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5913E" w14:textId="77777777" w:rsidR="009164FA" w:rsidRPr="00465F22" w:rsidRDefault="009164FA" w:rsidP="00465F22">
      <w:pPr>
        <w:spacing w:line="360" w:lineRule="auto"/>
        <w:rPr>
          <w:rFonts w:asciiTheme="minorBidi" w:hAnsiTheme="minorBidi"/>
          <w:b/>
          <w:bCs/>
          <w:color w:val="FF0000"/>
          <w:sz w:val="24"/>
          <w:szCs w:val="24"/>
        </w:rPr>
      </w:pPr>
      <w:r w:rsidRPr="00465F22">
        <w:rPr>
          <w:rFonts w:asciiTheme="minorBidi" w:hAnsiTheme="minorBidi"/>
          <w:b/>
          <w:bCs/>
          <w:color w:val="FF0000"/>
          <w:sz w:val="24"/>
          <w:szCs w:val="24"/>
        </w:rPr>
        <w:t xml:space="preserve">4b. Evaluate the importance of applying skills, knowledge and experience to reach appropriate investigative outcomes. </w:t>
      </w:r>
    </w:p>
    <w:p w14:paraId="1A51EDD6" w14:textId="77777777" w:rsidR="009164FA" w:rsidRPr="00CE6C31" w:rsidRDefault="009164FA" w:rsidP="00465F22">
      <w:pPr>
        <w:spacing w:line="360" w:lineRule="auto"/>
        <w:rPr>
          <w:rFonts w:ascii="Arial" w:hAnsi="Arial" w:cs="Arial"/>
          <w:b/>
          <w:bCs/>
          <w:sz w:val="24"/>
          <w:szCs w:val="24"/>
        </w:rPr>
      </w:pPr>
      <w:r w:rsidRPr="00CE6C31">
        <w:rPr>
          <w:rFonts w:ascii="Arial" w:hAnsi="Arial" w:cs="Arial"/>
          <w:b/>
          <w:bCs/>
          <w:sz w:val="24"/>
          <w:szCs w:val="24"/>
        </w:rPr>
        <w:t>Introduction</w:t>
      </w:r>
    </w:p>
    <w:p w14:paraId="541DFD50" w14:textId="54D305BD" w:rsidR="009164FA" w:rsidRPr="00CE6C31" w:rsidRDefault="009164FA" w:rsidP="00465F22">
      <w:pPr>
        <w:spacing w:line="360" w:lineRule="auto"/>
        <w:rPr>
          <w:rFonts w:ascii="Arial" w:hAnsi="Arial" w:cs="Arial"/>
          <w:sz w:val="24"/>
          <w:szCs w:val="24"/>
        </w:rPr>
      </w:pPr>
      <w:r w:rsidRPr="00CE6C31">
        <w:rPr>
          <w:rFonts w:ascii="Arial" w:hAnsi="Arial" w:cs="Arial"/>
          <w:sz w:val="24"/>
          <w:szCs w:val="24"/>
        </w:rPr>
        <w:t xml:space="preserve">Effective criminal investigations are not only pivotal for maintaining law and order, ensuring justice, and protecting the public, but also demand a seamless integration of skills, knowledge, and experience </w:t>
      </w:r>
      <w:r w:rsidR="003E1094" w:rsidRPr="00CE6C31">
        <w:rPr>
          <w:rFonts w:ascii="Arial" w:hAnsi="Arial" w:cs="Arial"/>
          <w:sz w:val="24"/>
          <w:szCs w:val="24"/>
        </w:rPr>
        <w:fldChar w:fldCharType="begin"/>
      </w:r>
      <w:r w:rsidR="003E1094" w:rsidRPr="00CE6C31">
        <w:rPr>
          <w:rFonts w:ascii="Arial" w:hAnsi="Arial" w:cs="Arial"/>
          <w:sz w:val="24"/>
          <w:szCs w:val="24"/>
        </w:rPr>
        <w:instrText xml:space="preserve"> ADDIN EN.CITE &lt;EndNote&gt;&lt;Cite&gt;&lt;Author&gt;Eck&lt;/Author&gt;&lt;Year&gt;2019&lt;/Year&gt;&lt;RecNum&gt;6&lt;/RecNum&gt;&lt;DisplayText&gt;(Eck and Rossmo, 2019)&lt;/DisplayText&gt;&lt;record&gt;&lt;rec-number&gt;6&lt;/rec-number&gt;&lt;foreign-keys&gt;&lt;key app="EN" db-id="ss2tdevp8tvxsge0avpxx2w2de9f9prtt22t" timestamp="1736342432"&gt;6&lt;/key&gt;&lt;/foreign-keys&gt;&lt;ref-type name="Journal Article"&gt;17&lt;/ref-type&gt;&lt;contributors&gt;&lt;authors&gt;&lt;author&gt;Eck, John E&lt;/author&gt;&lt;author&gt;Rossmo, D Kim&lt;/author&gt;&lt;/authors&gt;&lt;/contributors&gt;&lt;titles&gt;&lt;title&gt;The new detective: Rethinking criminal investigations&lt;/title&gt;&lt;secondary-title&gt;Criminology &amp;amp; public policy&lt;/secondary-title&gt;&lt;/titles&gt;&lt;periodical&gt;&lt;full-title&gt;Criminology &amp;amp; public policy&lt;/full-title&gt;&lt;/periodical&gt;&lt;pages&gt;601-622&lt;/pages&gt;&lt;volume&gt;18&lt;/volume&gt;&lt;number&gt;3&lt;/number&gt;&lt;dates&gt;&lt;year&gt;2019&lt;/year&gt;&lt;/dates&gt;&lt;isbn&gt;1538-6473&lt;/isbn&gt;&lt;urls&gt;&lt;/urls&gt;&lt;/record&gt;&lt;/Cite&gt;&lt;/EndNote&gt;</w:instrText>
      </w:r>
      <w:r w:rsidR="003E1094" w:rsidRPr="00CE6C31">
        <w:rPr>
          <w:rFonts w:ascii="Arial" w:hAnsi="Arial" w:cs="Arial"/>
          <w:sz w:val="24"/>
          <w:szCs w:val="24"/>
        </w:rPr>
        <w:fldChar w:fldCharType="separate"/>
      </w:r>
      <w:r w:rsidR="003E1094" w:rsidRPr="00CE6C31">
        <w:rPr>
          <w:rFonts w:ascii="Arial" w:hAnsi="Arial" w:cs="Arial"/>
          <w:noProof/>
          <w:sz w:val="24"/>
          <w:szCs w:val="24"/>
        </w:rPr>
        <w:t>(</w:t>
      </w:r>
      <w:r w:rsidR="003E1094" w:rsidRPr="001B5D3D">
        <w:rPr>
          <w:rFonts w:ascii="Arial" w:hAnsi="Arial" w:cs="Arial"/>
          <w:b/>
          <w:bCs/>
          <w:noProof/>
          <w:sz w:val="24"/>
          <w:szCs w:val="24"/>
        </w:rPr>
        <w:t>Eck and Rossmo, 2019</w:t>
      </w:r>
      <w:r w:rsidR="003E1094" w:rsidRPr="00CE6C31">
        <w:rPr>
          <w:rFonts w:ascii="Arial" w:hAnsi="Arial" w:cs="Arial"/>
          <w:noProof/>
          <w:sz w:val="24"/>
          <w:szCs w:val="24"/>
        </w:rPr>
        <w:t>)</w:t>
      </w:r>
      <w:r w:rsidR="003E1094" w:rsidRPr="00CE6C31">
        <w:rPr>
          <w:rFonts w:ascii="Arial" w:hAnsi="Arial" w:cs="Arial"/>
          <w:sz w:val="24"/>
          <w:szCs w:val="24"/>
        </w:rPr>
        <w:fldChar w:fldCharType="end"/>
      </w:r>
      <w:r w:rsidR="003E1094" w:rsidRPr="00CE6C31">
        <w:rPr>
          <w:rFonts w:ascii="Arial" w:hAnsi="Arial" w:cs="Arial"/>
          <w:sz w:val="24"/>
          <w:szCs w:val="24"/>
        </w:rPr>
        <w:t>.</w:t>
      </w:r>
      <w:r w:rsidRPr="00CE6C31">
        <w:rPr>
          <w:rFonts w:ascii="Arial" w:hAnsi="Arial" w:cs="Arial"/>
          <w:sz w:val="24"/>
          <w:szCs w:val="24"/>
        </w:rPr>
        <w:t xml:space="preserve"> These elements enable investigators to navigate complex and unpredictable scenarios, ensuring outcomes that uphold both legal standards and societal expectations. According to </w:t>
      </w:r>
      <w:r w:rsidR="003E1094" w:rsidRPr="00CE6C31">
        <w:rPr>
          <w:rFonts w:ascii="Arial" w:hAnsi="Arial" w:cs="Arial"/>
          <w:sz w:val="24"/>
          <w:szCs w:val="24"/>
        </w:rPr>
        <w:fldChar w:fldCharType="begin"/>
      </w:r>
      <w:r w:rsidR="003E1094" w:rsidRPr="00CE6C31">
        <w:rPr>
          <w:rFonts w:ascii="Arial" w:hAnsi="Arial" w:cs="Arial"/>
          <w:sz w:val="24"/>
          <w:szCs w:val="24"/>
        </w:rPr>
        <w:instrText xml:space="preserve"> ADDIN EN.CITE &lt;EndNote&gt;&lt;Cite AuthorYear="1"&gt;&lt;Author&gt;Fahsing&lt;/Author&gt;&lt;Year&gt;2018&lt;/Year&gt;&lt;RecNum&gt;7&lt;/RecNum&gt;&lt;DisplayText&gt;Fahsing and Ask (2018)&lt;/DisplayText&gt;&lt;record&gt;&lt;rec-number&gt;7&lt;/rec-number&gt;&lt;foreign-keys&gt;&lt;key app="EN" db-id="ss2tdevp8tvxsge0avpxx2w2de9f9prtt22t" timestamp="1736342537"&gt;7&lt;/key&gt;&lt;/foreign-keys&gt;&lt;ref-type name="Journal Article"&gt;17&lt;/ref-type&gt;&lt;contributors&gt;&lt;authors&gt;&lt;author&gt;Fahsing, Ivar A&lt;/author&gt;&lt;author&gt;Ask, Karl&lt;/author&gt;&lt;/authors&gt;&lt;/contributors&gt;&lt;titles&gt;&lt;title&gt;In search of indicators of detective aptitude: police recruits’ logical reasoning and ability to generate investigative hypotheses&lt;/title&gt;&lt;secondary-title&gt;Journal of Police and Criminal Psychology&lt;/secondary-title&gt;&lt;/titles&gt;&lt;periodical&gt;&lt;full-title&gt;Journal of Police and Criminal Psychology&lt;/full-title&gt;&lt;/periodical&gt;&lt;pages&gt;21-34&lt;/pages&gt;&lt;volume&gt;33&lt;/volume&gt;&lt;dates&gt;&lt;year&gt;2018&lt;/year&gt;&lt;/dates&gt;&lt;isbn&gt;0882-0783&lt;/isbn&gt;&lt;urls&gt;&lt;/urls&gt;&lt;/record&gt;&lt;/Cite&gt;&lt;/EndNote&gt;</w:instrText>
      </w:r>
      <w:r w:rsidR="003E1094" w:rsidRPr="00CE6C31">
        <w:rPr>
          <w:rFonts w:ascii="Arial" w:hAnsi="Arial" w:cs="Arial"/>
          <w:sz w:val="24"/>
          <w:szCs w:val="24"/>
        </w:rPr>
        <w:fldChar w:fldCharType="separate"/>
      </w:r>
      <w:r w:rsidR="003E1094" w:rsidRPr="001B5D3D">
        <w:rPr>
          <w:rFonts w:ascii="Arial" w:hAnsi="Arial" w:cs="Arial"/>
          <w:b/>
          <w:bCs/>
          <w:noProof/>
          <w:sz w:val="24"/>
          <w:szCs w:val="24"/>
        </w:rPr>
        <w:t>Fahsing and</w:t>
      </w:r>
      <w:r w:rsidR="003E1094" w:rsidRPr="00CE6C31">
        <w:rPr>
          <w:rFonts w:ascii="Arial" w:hAnsi="Arial" w:cs="Arial"/>
          <w:noProof/>
          <w:sz w:val="24"/>
          <w:szCs w:val="24"/>
        </w:rPr>
        <w:t xml:space="preserve"> </w:t>
      </w:r>
      <w:r w:rsidR="003E1094" w:rsidRPr="001B5D3D">
        <w:rPr>
          <w:rFonts w:ascii="Arial" w:hAnsi="Arial" w:cs="Arial"/>
          <w:b/>
          <w:bCs/>
          <w:noProof/>
          <w:sz w:val="24"/>
          <w:szCs w:val="24"/>
        </w:rPr>
        <w:t>Ask (2018)</w:t>
      </w:r>
      <w:r w:rsidR="003E1094" w:rsidRPr="00CE6C31">
        <w:rPr>
          <w:rFonts w:ascii="Arial" w:hAnsi="Arial" w:cs="Arial"/>
          <w:sz w:val="24"/>
          <w:szCs w:val="24"/>
        </w:rPr>
        <w:fldChar w:fldCharType="end"/>
      </w:r>
      <w:r w:rsidRPr="00CE6C31">
        <w:rPr>
          <w:rFonts w:ascii="Arial" w:hAnsi="Arial" w:cs="Arial"/>
          <w:sz w:val="24"/>
          <w:szCs w:val="24"/>
        </w:rPr>
        <w:t xml:space="preserve"> investigative outcomes are not solely dependent on following procedures or collecting evidence; they hinge on the investigators’ capacity to interpret data, make decisions under pressure, and adapt to the dynamic challenges of criminal investigations. This essay evaluates how the integration of skills, knowledge, and experience contributes to achieving effective investigative outcomes </w:t>
      </w:r>
    </w:p>
    <w:p w14:paraId="1D8BC659" w14:textId="127DCAC2" w:rsidR="009164FA" w:rsidRPr="00CE6C31" w:rsidRDefault="009164FA" w:rsidP="00465F22">
      <w:pPr>
        <w:spacing w:line="360" w:lineRule="auto"/>
        <w:rPr>
          <w:rFonts w:ascii="Arial" w:hAnsi="Arial" w:cs="Arial"/>
          <w:sz w:val="24"/>
          <w:szCs w:val="24"/>
        </w:rPr>
      </w:pPr>
      <w:r w:rsidRPr="00CE6C31">
        <w:rPr>
          <w:rFonts w:ascii="Arial" w:hAnsi="Arial" w:cs="Arial"/>
          <w:sz w:val="24"/>
          <w:szCs w:val="24"/>
        </w:rPr>
        <w:t xml:space="preserve">In </w:t>
      </w:r>
      <w:r w:rsidRPr="001B5D3D">
        <w:rPr>
          <w:rFonts w:ascii="Arial" w:hAnsi="Arial" w:cs="Arial"/>
          <w:b/>
          <w:bCs/>
          <w:sz w:val="24"/>
          <w:szCs w:val="24"/>
        </w:rPr>
        <w:t>Poyser and Milne’s</w:t>
      </w:r>
      <w:r w:rsidRPr="00CE6C31">
        <w:rPr>
          <w:rFonts w:ascii="Arial" w:hAnsi="Arial" w:cs="Arial"/>
          <w:sz w:val="24"/>
          <w:szCs w:val="24"/>
        </w:rPr>
        <w:t xml:space="preserve"> article titled “No grounds for complacency and plenty for continued vigilance”, they explain how investigators acquire skills through training, on-the-job experience and continued professional development</w:t>
      </w:r>
      <w:r w:rsidR="003E1094" w:rsidRPr="00CE6C31">
        <w:rPr>
          <w:rFonts w:ascii="Arial" w:hAnsi="Arial" w:cs="Arial"/>
          <w:sz w:val="24"/>
          <w:szCs w:val="24"/>
        </w:rPr>
        <w:t xml:space="preserve"> </w:t>
      </w:r>
      <w:r w:rsidR="003E1094" w:rsidRPr="00CE6C31">
        <w:rPr>
          <w:rFonts w:ascii="Arial" w:hAnsi="Arial" w:cs="Arial"/>
          <w:sz w:val="24"/>
          <w:szCs w:val="24"/>
        </w:rPr>
        <w:fldChar w:fldCharType="begin"/>
      </w:r>
      <w:r w:rsidR="003E1094" w:rsidRPr="00CE6C31">
        <w:rPr>
          <w:rFonts w:ascii="Arial" w:hAnsi="Arial" w:cs="Arial"/>
          <w:sz w:val="24"/>
          <w:szCs w:val="24"/>
        </w:rPr>
        <w:instrText xml:space="preserve"> ADDIN EN.CITE &lt;EndNote&gt;&lt;Cite&gt;&lt;Author&gt;Poyser&lt;/Author&gt;&lt;Year&gt;2015&lt;/Year&gt;&lt;RecNum&gt;13&lt;/RecNum&gt;&lt;DisplayText&gt;(Poyser and Milne, 2015)&lt;/DisplayText&gt;&lt;record&gt;&lt;rec-number&gt;13&lt;/rec-number&gt;&lt;foreign-keys&gt;&lt;key app="EN" db-id="ss2tdevp8tvxsge0avpxx2w2de9f9prtt22t" timestamp="1736342714"&gt;13&lt;/key&gt;&lt;/foreign-keys&gt;&lt;ref-type name="Journal Article"&gt;17&lt;/ref-type&gt;&lt;contributors&gt;&lt;authors&gt;&lt;author&gt;Poyser, Sam&lt;/author&gt;&lt;author&gt;Milne, Rebecca&lt;/author&gt;&lt;/authors&gt;&lt;/contributors&gt;&lt;titles&gt;&lt;title&gt;No grounds for complacency and plenty for continued vigilance: Miscarriages of justice as drivers for research on reforming the investigative interviewing process&lt;/title&gt;&lt;secondary-title&gt;The Police Journal&lt;/secondary-title&gt;&lt;/titles&gt;&lt;periodical&gt;&lt;full-title&gt;The Police Journal&lt;/full-title&gt;&lt;/periodical&gt;&lt;pages&gt;265-280&lt;/pages&gt;&lt;volume&gt;88&lt;/volume&gt;&lt;number&gt;4&lt;/number&gt;&lt;dates&gt;&lt;year&gt;2015&lt;/year&gt;&lt;/dates&gt;&lt;isbn&gt;0032-258X&lt;/isbn&gt;&lt;urls&gt;&lt;/urls&gt;&lt;/record&gt;&lt;/Cite&gt;&lt;/EndNote&gt;</w:instrText>
      </w:r>
      <w:r w:rsidR="003E1094" w:rsidRPr="00CE6C31">
        <w:rPr>
          <w:rFonts w:ascii="Arial" w:hAnsi="Arial" w:cs="Arial"/>
          <w:sz w:val="24"/>
          <w:szCs w:val="24"/>
        </w:rPr>
        <w:fldChar w:fldCharType="separate"/>
      </w:r>
      <w:r w:rsidR="003E1094" w:rsidRPr="001B5D3D">
        <w:rPr>
          <w:rFonts w:ascii="Arial" w:hAnsi="Arial" w:cs="Arial"/>
          <w:b/>
          <w:bCs/>
          <w:noProof/>
          <w:sz w:val="24"/>
          <w:szCs w:val="24"/>
        </w:rPr>
        <w:t>(Poyser and Milne, 2015</w:t>
      </w:r>
      <w:r w:rsidR="003E1094" w:rsidRPr="00CE6C31">
        <w:rPr>
          <w:rFonts w:ascii="Arial" w:hAnsi="Arial" w:cs="Arial"/>
          <w:noProof/>
          <w:sz w:val="24"/>
          <w:szCs w:val="24"/>
        </w:rPr>
        <w:t>)</w:t>
      </w:r>
      <w:r w:rsidR="003E1094" w:rsidRPr="00CE6C31">
        <w:rPr>
          <w:rFonts w:ascii="Arial" w:hAnsi="Arial" w:cs="Arial"/>
          <w:sz w:val="24"/>
          <w:szCs w:val="24"/>
        </w:rPr>
        <w:fldChar w:fldCharType="end"/>
      </w:r>
      <w:r w:rsidR="003E1094" w:rsidRPr="00CE6C31">
        <w:rPr>
          <w:rFonts w:ascii="Arial" w:hAnsi="Arial" w:cs="Arial"/>
          <w:sz w:val="24"/>
          <w:szCs w:val="24"/>
        </w:rPr>
        <w:t>.</w:t>
      </w:r>
      <w:r w:rsidRPr="00CE6C31">
        <w:rPr>
          <w:rFonts w:ascii="Arial" w:hAnsi="Arial" w:cs="Arial"/>
          <w:sz w:val="24"/>
          <w:szCs w:val="24"/>
        </w:rPr>
        <w:t xml:space="preserve"> The ability to apply those skills effectively in various investigative contexts is critical to successful criminal investigations. Investigators need to be vigilant to avoid becoming complacent. There can be no excuses or room for complacency when conducting criminal investigations, because complacency could potentially result in miscarriages of justice occurring. </w:t>
      </w:r>
    </w:p>
    <w:p w14:paraId="16450778" w14:textId="4A3063C0" w:rsidR="009164FA" w:rsidRPr="00CE6C31" w:rsidRDefault="009164FA" w:rsidP="00465F22">
      <w:pPr>
        <w:spacing w:line="360" w:lineRule="auto"/>
        <w:rPr>
          <w:rFonts w:ascii="Arial" w:hAnsi="Arial" w:cs="Arial"/>
          <w:sz w:val="24"/>
          <w:szCs w:val="24"/>
        </w:rPr>
      </w:pPr>
      <w:r w:rsidRPr="00CE6C31">
        <w:rPr>
          <w:rFonts w:ascii="Arial" w:hAnsi="Arial" w:cs="Arial"/>
          <w:sz w:val="24"/>
          <w:szCs w:val="24"/>
        </w:rPr>
        <w:t>One such essential skill in investigations is the ability to conduct effective interviews with witnesses, victims, and suspects. In the United Kingdom, law enforcement agencies use the PEACE model, which encourages an ethical and structured approach to eliciting information from individuals</w:t>
      </w:r>
      <w:r w:rsidR="00AA5A3F" w:rsidRPr="00CE6C31">
        <w:rPr>
          <w:rFonts w:ascii="Arial" w:hAnsi="Arial" w:cs="Arial"/>
          <w:sz w:val="24"/>
          <w:szCs w:val="24"/>
        </w:rPr>
        <w:t xml:space="preserve"> </w:t>
      </w:r>
      <w:r w:rsidR="00AA5A3F" w:rsidRPr="00CE6C31">
        <w:rPr>
          <w:rFonts w:ascii="Arial" w:hAnsi="Arial" w:cs="Arial"/>
          <w:sz w:val="24"/>
          <w:szCs w:val="24"/>
        </w:rPr>
        <w:fldChar w:fldCharType="begin"/>
      </w:r>
      <w:r w:rsidR="00AA5A3F" w:rsidRPr="00CE6C31">
        <w:rPr>
          <w:rFonts w:ascii="Arial" w:hAnsi="Arial" w:cs="Arial"/>
          <w:sz w:val="24"/>
          <w:szCs w:val="24"/>
        </w:rPr>
        <w:instrText xml:space="preserve"> ADDIN EN.CITE &lt;EndNote&gt;&lt;Cite&gt;&lt;Author&gt;Akca&lt;/Author&gt;&lt;Year&gt;2021&lt;/Year&gt;&lt;RecNum&gt;2&lt;/RecNum&gt;&lt;DisplayText&gt;(AkcaLarivière and Eastwood, 2021)&lt;/DisplayText&gt;&lt;record&gt;&lt;rec-number&gt;2&lt;/rec-number&gt;&lt;foreign-keys&gt;&lt;key app="EN" db-id="ss2tdevp8tvxsge0avpxx2w2de9f9prtt22t" timestamp="1736342075"&gt;2&lt;/key&gt;&lt;/foreign-keys&gt;&lt;ref-type name="Journal Article"&gt;17&lt;/ref-type&gt;&lt;contributors&gt;&lt;authors&gt;&lt;author&gt;Akca, Davut&lt;/author&gt;&lt;author&gt;Larivière, Cassandre Dion&lt;/author&gt;&lt;author&gt;Eastwood, Joseph&lt;/author&gt;&lt;/authors&gt;&lt;/contributors&gt;&lt;titles&gt;&lt;title&gt;Assessing the efficacy of investigative interviewing training courses: A systematic review&lt;/title&gt;&lt;secondary-title&gt;International Journal of Police Science &amp;amp; Management&lt;/secondary-title&gt;&lt;/titles&gt;&lt;periodical&gt;&lt;full-title&gt;International Journal of Police Science &amp;amp; Management&lt;/full-title&gt;&lt;/periodical&gt;&lt;pages&gt;73-84&lt;/pages&gt;&lt;volume&gt;23&lt;/volume&gt;&lt;number&gt;1&lt;/number&gt;&lt;keywords&gt;&lt;keyword&gt;Investigative interviewing,training efficacy,systematic review,follow-up training&lt;/keyword&gt;&lt;/keywords&gt;&lt;dates&gt;&lt;year&gt;2021&lt;/year&gt;&lt;/dates&gt;&lt;urls&gt;&lt;related-urls&gt;&lt;url&gt;https://journals.sagepub.com/doi/abs/10.1177/14613557211008470&lt;/url&gt;&lt;/related-urls&gt;&lt;/urls&gt;&lt;electronic-resource-num&gt;10.1177/14613557211008470&lt;/electronic-resource-num&gt;&lt;/record&gt;&lt;/Cite&gt;&lt;/EndNote&gt;</w:instrText>
      </w:r>
      <w:r w:rsidR="00AA5A3F" w:rsidRPr="00CE6C31">
        <w:rPr>
          <w:rFonts w:ascii="Arial" w:hAnsi="Arial" w:cs="Arial"/>
          <w:sz w:val="24"/>
          <w:szCs w:val="24"/>
        </w:rPr>
        <w:fldChar w:fldCharType="separate"/>
      </w:r>
      <w:r w:rsidR="00AA5A3F" w:rsidRPr="00CE6C31">
        <w:rPr>
          <w:rFonts w:ascii="Arial" w:hAnsi="Arial" w:cs="Arial"/>
          <w:noProof/>
          <w:sz w:val="24"/>
          <w:szCs w:val="24"/>
        </w:rPr>
        <w:t>(</w:t>
      </w:r>
      <w:r w:rsidR="00AA5A3F" w:rsidRPr="001B5D3D">
        <w:rPr>
          <w:rFonts w:ascii="Arial" w:hAnsi="Arial" w:cs="Arial"/>
          <w:b/>
          <w:bCs/>
          <w:noProof/>
          <w:sz w:val="24"/>
          <w:szCs w:val="24"/>
        </w:rPr>
        <w:t>Akca</w:t>
      </w:r>
      <w:r w:rsidR="006F47B3" w:rsidRPr="001B5D3D">
        <w:rPr>
          <w:rFonts w:ascii="Arial" w:hAnsi="Arial" w:cs="Arial"/>
          <w:b/>
          <w:bCs/>
          <w:noProof/>
          <w:sz w:val="24"/>
          <w:szCs w:val="24"/>
        </w:rPr>
        <w:t>,</w:t>
      </w:r>
      <w:r w:rsidR="00AA5A3F" w:rsidRPr="001B5D3D">
        <w:rPr>
          <w:rFonts w:ascii="Arial" w:hAnsi="Arial" w:cs="Arial"/>
          <w:b/>
          <w:bCs/>
          <w:noProof/>
          <w:sz w:val="24"/>
          <w:szCs w:val="24"/>
        </w:rPr>
        <w:t>Larivière and Eastwood, 2021</w:t>
      </w:r>
      <w:r w:rsidR="00AA5A3F" w:rsidRPr="00CE6C31">
        <w:rPr>
          <w:rFonts w:ascii="Arial" w:hAnsi="Arial" w:cs="Arial"/>
          <w:noProof/>
          <w:sz w:val="24"/>
          <w:szCs w:val="24"/>
        </w:rPr>
        <w:t>)</w:t>
      </w:r>
      <w:r w:rsidR="00AA5A3F" w:rsidRPr="00CE6C31">
        <w:rPr>
          <w:rFonts w:ascii="Arial" w:hAnsi="Arial" w:cs="Arial"/>
          <w:sz w:val="24"/>
          <w:szCs w:val="24"/>
        </w:rPr>
        <w:fldChar w:fldCharType="end"/>
      </w:r>
      <w:r w:rsidR="00AA5A3F" w:rsidRPr="00CE6C31">
        <w:rPr>
          <w:rFonts w:ascii="Arial" w:hAnsi="Arial" w:cs="Arial"/>
          <w:sz w:val="24"/>
          <w:szCs w:val="24"/>
        </w:rPr>
        <w:t>.</w:t>
      </w:r>
      <w:r w:rsidRPr="00CE6C31">
        <w:rPr>
          <w:rFonts w:ascii="Arial" w:hAnsi="Arial" w:cs="Arial"/>
          <w:sz w:val="24"/>
          <w:szCs w:val="24"/>
        </w:rPr>
        <w:t xml:space="preserve"> According to </w:t>
      </w:r>
      <w:r w:rsidR="00AA5A3F" w:rsidRPr="00CE6C31">
        <w:rPr>
          <w:rFonts w:ascii="Arial" w:hAnsi="Arial" w:cs="Arial"/>
          <w:sz w:val="24"/>
          <w:szCs w:val="24"/>
        </w:rPr>
        <w:fldChar w:fldCharType="begin"/>
      </w:r>
      <w:r w:rsidR="00AA5A3F" w:rsidRPr="00CE6C31">
        <w:rPr>
          <w:rFonts w:ascii="Arial" w:hAnsi="Arial" w:cs="Arial"/>
          <w:sz w:val="24"/>
          <w:szCs w:val="24"/>
        </w:rPr>
        <w:instrText xml:space="preserve"> ADDIN EN.CITE &lt;EndNote&gt;&lt;Cite AuthorYear="1"&gt;&lt;Author&gt;Alison&lt;/Author&gt;&lt;Year&gt;2013&lt;/Year&gt;&lt;RecNum&gt;3&lt;/RecNum&gt;&lt;DisplayText&gt;Alison et al. (2013)&lt;/DisplayText&gt;&lt;record&gt;&lt;rec-number&gt;3&lt;/rec-number&gt;&lt;foreign-keys&gt;&lt;key app="EN" db-id="ss2tdevp8tvxsge0avpxx2w2de9f9prtt22t" timestamp="1736342248"&gt;3&lt;/key&gt;&lt;/foreign-keys&gt;&lt;ref-type name="Journal Article"&gt;17&lt;/ref-type&gt;&lt;contributors&gt;&lt;authors&gt;&lt;author&gt;Alison, Laurence J&lt;/author&gt;&lt;author&gt;Alison, Emily&lt;/author&gt;&lt;author&gt;Noone, Geraldine&lt;/author&gt;&lt;author&gt;Elntib, Stamatis&lt;/author&gt;&lt;author&gt;Christiansen, Paul&lt;/author&gt;&lt;/authors&gt;&lt;/contributors&gt;&lt;titles&gt;&lt;title&gt;Why tough tactics fail and rapport gets results: Observing Rapport-Based Interpersonal Techniques (ORBIT) to generate useful information from terrorists&lt;/title&gt;&lt;secondary-title&gt;Psychology, public policy, and law&lt;/secondary-title&gt;&lt;/titles&gt;&lt;periodical&gt;&lt;full-title&gt;Psychology, public policy, and law&lt;/full-title&gt;&lt;/periodical&gt;&lt;pages&gt;411&lt;/pages&gt;&lt;volume&gt;19&lt;/volume&gt;&lt;number&gt;4&lt;/number&gt;&lt;dates&gt;&lt;year&gt;2013&lt;/year&gt;&lt;/dates&gt;&lt;isbn&gt;1939-1528&lt;/isbn&gt;&lt;urls&gt;&lt;/urls&gt;&lt;/record&gt;&lt;/Cite&gt;&lt;/EndNote&gt;</w:instrText>
      </w:r>
      <w:r w:rsidR="00AA5A3F" w:rsidRPr="00CE6C31">
        <w:rPr>
          <w:rFonts w:ascii="Arial" w:hAnsi="Arial" w:cs="Arial"/>
          <w:sz w:val="24"/>
          <w:szCs w:val="24"/>
        </w:rPr>
        <w:fldChar w:fldCharType="separate"/>
      </w:r>
      <w:r w:rsidR="00AA5A3F" w:rsidRPr="001B5D3D">
        <w:rPr>
          <w:rFonts w:ascii="Arial" w:hAnsi="Arial" w:cs="Arial"/>
          <w:b/>
          <w:bCs/>
          <w:noProof/>
          <w:sz w:val="24"/>
          <w:szCs w:val="24"/>
        </w:rPr>
        <w:t>Alison et al. (2013)</w:t>
      </w:r>
      <w:r w:rsidR="00AA5A3F" w:rsidRPr="00CE6C31">
        <w:rPr>
          <w:rFonts w:ascii="Arial" w:hAnsi="Arial" w:cs="Arial"/>
          <w:sz w:val="24"/>
          <w:szCs w:val="24"/>
        </w:rPr>
        <w:fldChar w:fldCharType="end"/>
      </w:r>
      <w:r w:rsidRPr="00CE6C31">
        <w:rPr>
          <w:rFonts w:ascii="Arial" w:hAnsi="Arial" w:cs="Arial"/>
          <w:sz w:val="24"/>
          <w:szCs w:val="24"/>
        </w:rPr>
        <w:t xml:space="preserve"> interviewing is not only about asking the right questions but also about building rapport.</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 AuthorYear="1"&gt;&lt;Author&gt;Abbe&lt;/Author&gt;&lt;Year&gt;2014&lt;/Year&gt;&lt;RecNum&gt;16&lt;/RecNum&gt;&lt;DisplayText&gt;Abbe and Brandon (2014)&lt;/DisplayText&gt;&lt;record&gt;&lt;rec-number&gt;16&lt;/rec-number&gt;&lt;foreign-keys&gt;&lt;key app="EN" db-id="ss2tdevp8tvxsge0avpxx2w2de9f9prtt22t" timestamp="1736342812"&gt;16&lt;/key&gt;&lt;/foreign-keys&gt;&lt;ref-type name="Journal Article"&gt;17&lt;/ref-type&gt;&lt;contributors&gt;&lt;authors&gt;&lt;author&gt;Abbe, Allison&lt;/author&gt;&lt;author&gt;Brandon, Susan E&lt;/author&gt;&lt;/authors&gt;&lt;/contributors&gt;&lt;titles&gt;&lt;title&gt;Building and maintaining rapport in investigative interviews&lt;/title&gt;&lt;secondary-title&gt;Police practice and research&lt;/secondary-title&gt;&lt;/titles&gt;&lt;periodical&gt;&lt;full-title&gt;Police practice and research&lt;/full-title&gt;&lt;/periodical&gt;&lt;pages&gt;207-220&lt;/pages&gt;&lt;volume&gt;15&lt;/volume&gt;&lt;number&gt;3&lt;/number&gt;&lt;dates&gt;&lt;year&gt;2014&lt;/year&gt;&lt;/dates&gt;&lt;isbn&gt;1561-4263&lt;/isbn&gt;&lt;urls&gt;&lt;/urls&gt;&lt;/record&gt;&lt;/Cite&gt;&lt;/EndNote&gt;</w:instrText>
      </w:r>
      <w:r w:rsidR="004E059B" w:rsidRPr="00CE6C31">
        <w:rPr>
          <w:rFonts w:ascii="Arial" w:hAnsi="Arial" w:cs="Arial"/>
          <w:sz w:val="24"/>
          <w:szCs w:val="24"/>
        </w:rPr>
        <w:fldChar w:fldCharType="separate"/>
      </w:r>
      <w:r w:rsidR="004E059B" w:rsidRPr="001B5D3D">
        <w:rPr>
          <w:rFonts w:ascii="Arial" w:hAnsi="Arial" w:cs="Arial"/>
          <w:b/>
          <w:bCs/>
          <w:noProof/>
          <w:sz w:val="24"/>
          <w:szCs w:val="24"/>
        </w:rPr>
        <w:t>Abbe and Brandon (2014)</w:t>
      </w:r>
      <w:r w:rsidR="004E059B" w:rsidRPr="00CE6C31">
        <w:rPr>
          <w:rFonts w:ascii="Arial" w:hAnsi="Arial" w:cs="Arial"/>
          <w:sz w:val="24"/>
          <w:szCs w:val="24"/>
        </w:rPr>
        <w:fldChar w:fldCharType="end"/>
      </w:r>
      <w:r w:rsidR="00AA5A3F" w:rsidRPr="00CE6C31">
        <w:rPr>
          <w:rFonts w:ascii="Arial" w:hAnsi="Arial" w:cs="Arial"/>
          <w:sz w:val="24"/>
          <w:szCs w:val="24"/>
        </w:rPr>
        <w:t xml:space="preserve"> also</w:t>
      </w:r>
      <w:r w:rsidRPr="00CE6C31">
        <w:rPr>
          <w:rFonts w:ascii="Arial" w:hAnsi="Arial" w:cs="Arial"/>
          <w:sz w:val="24"/>
          <w:szCs w:val="24"/>
        </w:rPr>
        <w:t xml:space="preserve"> emphasise </w:t>
      </w:r>
      <w:r w:rsidR="00AA5A3F" w:rsidRPr="00CE6C31">
        <w:rPr>
          <w:rFonts w:ascii="Arial" w:hAnsi="Arial" w:cs="Arial"/>
          <w:sz w:val="24"/>
          <w:szCs w:val="24"/>
        </w:rPr>
        <w:t xml:space="preserve">on the importance of using </w:t>
      </w:r>
      <w:r w:rsidRPr="00CE6C31">
        <w:rPr>
          <w:rFonts w:ascii="Arial" w:hAnsi="Arial" w:cs="Arial"/>
          <w:sz w:val="24"/>
          <w:szCs w:val="24"/>
        </w:rPr>
        <w:t xml:space="preserve">both active listening and rapport building skills during interviews. Therefore, investigators need such skills when dealing with challenging or evasive individuals, particularly when investigating members of Organised Crime Groups (OCGs).  </w:t>
      </w:r>
    </w:p>
    <w:p w14:paraId="713C56D7" w14:textId="7596B6C8" w:rsidR="009164FA" w:rsidRPr="00CE6C31" w:rsidRDefault="00A22752" w:rsidP="00465F22">
      <w:pPr>
        <w:spacing w:line="360" w:lineRule="auto"/>
        <w:rPr>
          <w:rFonts w:ascii="Arial" w:hAnsi="Arial" w:cs="Arial"/>
          <w:sz w:val="24"/>
          <w:szCs w:val="24"/>
        </w:rPr>
      </w:pPr>
      <w:r w:rsidRPr="00CE6C31">
        <w:rPr>
          <w:rFonts w:ascii="Arial" w:hAnsi="Arial" w:cs="Arial"/>
          <w:sz w:val="24"/>
          <w:szCs w:val="24"/>
        </w:rPr>
        <w:lastRenderedPageBreak/>
        <w:t xml:space="preserve">Another key skill is the ability to analyse and combine information effectively. Complex investigations often involve large volumes of data—such as phone records, financial transactions, surveillance footage, and witness statements—that must be pieced together to form a coherent picture. Investigators must be able to assess the relevance of that data, identify patterns, and generate hypotheses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&lt;EndNote&gt;&lt;Cite&gt;&lt;Author&gt;Innes&lt;/Author&gt;&lt;Year&gt;2021&lt;/Year&gt;&lt;RecNum&gt;9&lt;/RecNum&gt;&lt;DisplayText&gt;(InnesBrookman and Jones, 2021)&lt;/DisplayText&gt;&lt;record&gt;&lt;rec-number&gt;9&lt;/rec-number&gt;&lt;foreign-keys&gt;&lt;key app="EN" db-id="ss2tdevp8tvxsge0avpxx2w2de9f9prtt22t" timestamp="1736342598"&gt;9&lt;/key&gt;&lt;/foreign-keys&gt;&lt;ref-type name="Journal Article"&gt;17&lt;/ref-type&gt;&lt;contributors&gt;&lt;authors&gt;&lt;author&gt;Innes, Martin&lt;/author&gt;&lt;author&gt;Brookman, Fiona&lt;/author&gt;&lt;author&gt;Jones, Helen&lt;/author&gt;&lt;/authors&gt;&lt;/contributors&gt;&lt;titles&gt;&lt;title&gt;“Mosaicking”: cross construction, sense-making and methods of police investigation&lt;/title&gt;&lt;secondary-title&gt;Policing: An International Journal&lt;/secondary-title&gt;&lt;/titles&gt;&lt;periodical&gt;&lt;full-title&gt;Policing: An International Journal&lt;/full-title&gt;&lt;/periodical&gt;&lt;pages&gt;708-721&lt;/pages&gt;&lt;volume&gt;44&lt;/volume&gt;&lt;number&gt;4&lt;/number&gt;&lt;dates&gt;&lt;year&gt;2021&lt;/year&gt;&lt;/dates&gt;&lt;isbn&gt;1363-951X&lt;/isbn&gt;&lt;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Innes</w:t>
      </w:r>
      <w:r w:rsidRPr="00CE6C31">
        <w:rPr>
          <w:rFonts w:ascii="Arial" w:hAnsi="Arial" w:cs="Arial"/>
          <w:noProof/>
          <w:sz w:val="24"/>
          <w:szCs w:val="24"/>
        </w:rPr>
        <w:t xml:space="preserve">, </w:t>
      </w:r>
      <w:r w:rsidR="004E059B" w:rsidRPr="001B5D3D">
        <w:rPr>
          <w:rFonts w:ascii="Arial" w:hAnsi="Arial" w:cs="Arial"/>
          <w:b/>
          <w:bCs/>
          <w:noProof/>
          <w:sz w:val="24"/>
          <w:szCs w:val="24"/>
        </w:rPr>
        <w:t>Brookman and Jones, 2021</w:t>
      </w:r>
      <w:r w:rsidR="004E059B" w:rsidRPr="00CE6C31">
        <w:rPr>
          <w:rFonts w:ascii="Arial" w:hAnsi="Arial" w:cs="Arial"/>
          <w:noProof/>
          <w:sz w:val="24"/>
          <w:szCs w:val="24"/>
        </w:rPr>
        <w:t>)</w:t>
      </w:r>
      <w:r w:rsidR="004E059B" w:rsidRPr="00CE6C31">
        <w:rPr>
          <w:rFonts w:ascii="Arial" w:hAnsi="Arial" w:cs="Arial"/>
          <w:sz w:val="24"/>
          <w:szCs w:val="24"/>
        </w:rPr>
        <w:fldChar w:fldCharType="end"/>
      </w:r>
      <w:r w:rsidR="004E059B" w:rsidRPr="00CE6C31">
        <w:rPr>
          <w:rFonts w:ascii="Arial" w:hAnsi="Arial" w:cs="Arial"/>
          <w:sz w:val="24"/>
          <w:szCs w:val="24"/>
        </w:rPr>
        <w:t>.</w:t>
      </w:r>
    </w:p>
    <w:p w14:paraId="32DC648D" w14:textId="68A395EE" w:rsidR="009164FA" w:rsidRPr="00CE6C31" w:rsidRDefault="009164FA" w:rsidP="00465F22">
      <w:pPr>
        <w:spacing w:line="360" w:lineRule="auto"/>
        <w:rPr>
          <w:rFonts w:ascii="Arial" w:hAnsi="Arial" w:cs="Arial"/>
          <w:sz w:val="24"/>
          <w:szCs w:val="24"/>
        </w:rPr>
      </w:pPr>
      <w:r w:rsidRPr="00CE6C31">
        <w:rPr>
          <w:rFonts w:ascii="Arial" w:hAnsi="Arial" w:cs="Arial"/>
          <w:sz w:val="24"/>
          <w:szCs w:val="24"/>
        </w:rPr>
        <w:t>Investigators must make decisions based on a combination of facts and judgement, which requires critical thinking and the ability to consider possibilities</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&lt;EndNote&gt;&lt;Cite&gt;&lt;Author&gt;Facione&lt;/Author&gt;&lt;Year&gt;2011&lt;/Year&gt;&lt;RecNum&gt;15&lt;/RecNum&gt;&lt;DisplayText&gt;(Facione, 2011)&lt;/DisplayText&gt;&lt;record&gt;&lt;rec-number&gt;15&lt;/rec-number&gt;&lt;foreign-keys&gt;&lt;key app="EN" db-id="ss2tdevp8tvxsge0avpxx2w2de9f9prtt22t" timestamp="1736342782"&gt;15&lt;/key&gt;&lt;/foreign-keys&gt;&lt;ref-type name="Journal Article"&gt;17&lt;/ref-type&gt;&lt;contributors&gt;&lt;authors&gt;&lt;author&gt;Facione, Peter A&lt;/author&gt;&lt;/authors&gt;&lt;/contributors&gt;&lt;titles&gt;&lt;title&gt;Critical thinking: What it is and why it counts&lt;/title&gt;&lt;secondary-title&gt;Insight assessment&lt;/secondary-title&gt;&lt;/titles&gt;&lt;periodical&gt;&lt;full-title&gt;Insight assessment&lt;/full-title&gt;&lt;/periodical&gt;&lt;pages&gt;1-23&lt;/pages&gt;&lt;volume&gt;1&lt;/volume&gt;&lt;number&gt;1&lt;/number&gt;&lt;dates&gt;&lt;year&gt;2011&lt;/year&gt;&lt;/dates&gt;&lt;urls&gt;&lt;/urls&gt;&lt;/record&gt;&lt;/Cite&gt;&lt;/EndNote&gt;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Facione, 2011</w:t>
      </w:r>
      <w:r w:rsidR="004E059B" w:rsidRPr="00CE6C31">
        <w:rPr>
          <w:rFonts w:ascii="Arial" w:hAnsi="Arial" w:cs="Arial"/>
          <w:noProof/>
          <w:sz w:val="24"/>
          <w:szCs w:val="24"/>
        </w:rPr>
        <w:t>)</w:t>
      </w:r>
      <w:r w:rsidR="004E059B" w:rsidRPr="00CE6C31">
        <w:rPr>
          <w:rFonts w:ascii="Arial" w:hAnsi="Arial" w:cs="Arial"/>
          <w:sz w:val="24"/>
          <w:szCs w:val="24"/>
        </w:rPr>
        <w:fldChar w:fldCharType="end"/>
      </w:r>
      <w:r w:rsidR="004E059B" w:rsidRPr="00CE6C31">
        <w:rPr>
          <w:rFonts w:ascii="Arial" w:hAnsi="Arial" w:cs="Arial"/>
          <w:sz w:val="24"/>
          <w:szCs w:val="24"/>
        </w:rPr>
        <w:t>.</w:t>
      </w:r>
      <w:r w:rsidRPr="00CE6C31">
        <w:rPr>
          <w:rFonts w:ascii="Arial" w:hAnsi="Arial" w:cs="Arial"/>
          <w:sz w:val="24"/>
          <w:szCs w:val="24"/>
        </w:rPr>
        <w:t xml:space="preserve"> This is particularly vital in cases where there are multiple suspects or where there is circumstantial evidence</w:t>
      </w:r>
      <w:r w:rsidR="004E059B" w:rsidRPr="00CE6C31">
        <w:rPr>
          <w:rFonts w:ascii="Arial" w:hAnsi="Arial" w:cs="Arial"/>
          <w:sz w:val="24"/>
          <w:szCs w:val="24"/>
        </w:rPr>
        <w:t>.</w:t>
      </w:r>
    </w:p>
    <w:p w14:paraId="4C0A452C" w14:textId="7793FACD" w:rsidR="009164FA" w:rsidRPr="00CE6C31" w:rsidRDefault="00F54B7C" w:rsidP="00465F22">
      <w:pPr>
        <w:spacing w:line="360" w:lineRule="auto"/>
        <w:rPr>
          <w:rFonts w:ascii="Arial" w:hAnsi="Arial" w:cs="Arial"/>
          <w:b/>
          <w:bCs/>
          <w:i/>
          <w:iCs/>
          <w:sz w:val="24"/>
          <w:szCs w:val="24"/>
        </w:rPr>
      </w:pPr>
      <w:r w:rsidRPr="00CE6C31">
        <w:rPr>
          <w:rFonts w:ascii="Arial" w:hAnsi="Arial" w:cs="Arial"/>
          <w:sz w:val="24"/>
          <w:szCs w:val="24"/>
        </w:rPr>
        <w:t xml:space="preserve">As technology evolves, digital skills are increasingly vital in modern investigations.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 AuthorYear="1"&gt;&lt;Author&gt;Horsman&lt;/Author&gt;&lt;Year&gt;2021&lt;/Year&gt;&lt;RecNum&gt;8&lt;/RecNum&gt;&lt;DisplayText&gt;Horsman (2021)&lt;/DisplayText&gt;&lt;record&gt;&lt;rec-number&gt;8&lt;/rec-number&gt;&lt;foreign-keys&gt;&lt;key app="EN" db-id="ss2tdevp8tvxsge0avpxx2w2de9f9prtt22t" timestamp="1736342571"&gt;8&lt;/key&gt;&lt;/foreign-keys&gt;&lt;ref-type name="Journal Article"&gt;17&lt;/ref-type&gt;&lt;contributors&gt;&lt;authors&gt;&lt;author&gt;Horsman, Graeme&lt;/author&gt;&lt;/authors&gt;&lt;/contributors&gt;&lt;titles&gt;&lt;title&gt;Digital evidence and the crime scene&lt;/title&gt;&lt;secondary-title&gt;Science &amp;amp; Justice&lt;/secondary-title&gt;&lt;/titles&gt;&lt;periodical&gt;&lt;full-title&gt;Science &amp;amp; Justice&lt;/full-title&gt;&lt;/periodical&gt;&lt;pages&gt;761-770&lt;/pages&gt;&lt;volume&gt;61&lt;/volume&gt;&lt;number&gt;6&lt;/number&gt;&lt;dates&gt;&lt;year&gt;2021&lt;/year&gt;&lt;/dates&gt;&lt;isbn&gt;1355-0306&lt;/isbn&gt;&lt;urls&gt;&lt;/urls&gt;&lt;/record&gt;&lt;/Cite&gt;&lt;/EndNote&gt;</w:instrText>
      </w:r>
      <w:r w:rsidR="004E059B" w:rsidRPr="00CE6C31">
        <w:rPr>
          <w:rFonts w:ascii="Arial" w:hAnsi="Arial" w:cs="Arial"/>
          <w:sz w:val="24"/>
          <w:szCs w:val="24"/>
        </w:rPr>
        <w:fldChar w:fldCharType="separate"/>
      </w:r>
      <w:r w:rsidR="004E059B" w:rsidRPr="001B5D3D">
        <w:rPr>
          <w:rFonts w:ascii="Arial" w:hAnsi="Arial" w:cs="Arial"/>
          <w:b/>
          <w:bCs/>
          <w:noProof/>
          <w:sz w:val="24"/>
          <w:szCs w:val="24"/>
        </w:rPr>
        <w:t>Horsman (2021)</w:t>
      </w:r>
      <w:r w:rsidR="004E059B" w:rsidRPr="00CE6C31">
        <w:rPr>
          <w:rFonts w:ascii="Arial" w:hAnsi="Arial" w:cs="Arial"/>
          <w:sz w:val="24"/>
          <w:szCs w:val="24"/>
        </w:rPr>
        <w:fldChar w:fldCharType="end"/>
      </w:r>
      <w:r w:rsidR="004E059B" w:rsidRPr="00CE6C31">
        <w:rPr>
          <w:rFonts w:ascii="Arial" w:hAnsi="Arial" w:cs="Arial"/>
          <w:sz w:val="24"/>
          <w:szCs w:val="24"/>
        </w:rPr>
        <w:t xml:space="preserve"> </w:t>
      </w:r>
      <w:r w:rsidRPr="00CE6C31">
        <w:rPr>
          <w:rFonts w:ascii="Arial" w:hAnsi="Arial" w:cs="Arial"/>
          <w:sz w:val="24"/>
          <w:szCs w:val="24"/>
        </w:rPr>
        <w:t xml:space="preserve">highlights the need for investigators to effectively identify and assess digital evidence at crime scenes and during investigations to maximise investigative outcomes. </w:t>
      </w:r>
    </w:p>
    <w:p w14:paraId="410C7B8E" w14:textId="43DB4D30" w:rsidR="009164FA" w:rsidRPr="00CE6C31" w:rsidRDefault="009164FA" w:rsidP="00465F22">
      <w:pPr>
        <w:spacing w:line="360" w:lineRule="auto"/>
        <w:rPr>
          <w:rFonts w:ascii="Arial" w:hAnsi="Arial" w:cs="Arial"/>
          <w:sz w:val="24"/>
          <w:szCs w:val="24"/>
        </w:rPr>
      </w:pPr>
      <w:r w:rsidRPr="00CE6C31">
        <w:rPr>
          <w:rFonts w:ascii="Arial" w:hAnsi="Arial" w:cs="Arial"/>
          <w:sz w:val="24"/>
          <w:szCs w:val="24"/>
        </w:rPr>
        <w:t>While skills refer to the practical application of abilities, knowledge encompasses the theoretical understanding that guides how investigators approach their tasks</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&lt;EndNote&gt;&lt;Cite&gt;&lt;Author&gt;University of Southern California&lt;/Author&gt;&lt;Year&gt;2013&lt;/Year&gt;&lt;RecNum&gt;17&lt;/RecNum&gt;&lt;DisplayText&gt;(University of Southern California, 2013)&lt;/DisplayText&gt;&lt;record&gt;&lt;rec-number&gt;17&lt;/rec-number&gt;&lt;foreign-keys&gt;&lt;key app="EN" db-id="ss2tdevp8tvxsge0avpxx2w2de9f9prtt22t" timestamp="1736343772"&gt;17&lt;/key&gt;&lt;/foreign-keys&gt;&lt;ref-type name="Web Page"&gt;12&lt;/ref-type&gt;&lt;contributors&gt;&lt;authors&gt;&lt;author&gt;University of Southern California,&lt;/author&gt;&lt;/authors&gt;&lt;/contributors&gt;&lt;titles&gt;&lt;title&gt;Research Guides: Organizing Your Social Sciences Research Paper: Theoretical Framework&lt;/title&gt;&lt;/titles&gt;&lt;volume&gt;2024&lt;/volume&gt;&lt;number&gt;23 Dec.&lt;/number&gt;&lt;dates&gt;&lt;year&gt;2013&lt;/year&gt;&lt;/dates&gt;&lt;urls&gt;&lt;related-urls&gt;&lt;url&gt;https://libguides.usc.edu/writingguide/theoreticalframework&lt;/url&gt;&lt;/related-urls&gt;&lt;/urls&gt;&lt;/record&gt;&lt;/Cite&gt;&lt;/EndNote&gt;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University</w:t>
      </w:r>
      <w:r w:rsidR="004E059B" w:rsidRPr="00CE6C31">
        <w:rPr>
          <w:rFonts w:ascii="Arial" w:hAnsi="Arial" w:cs="Arial"/>
          <w:noProof/>
          <w:sz w:val="24"/>
          <w:szCs w:val="24"/>
        </w:rPr>
        <w:t xml:space="preserve"> </w:t>
      </w:r>
      <w:r w:rsidR="004E059B" w:rsidRPr="001B5D3D">
        <w:rPr>
          <w:rFonts w:ascii="Arial" w:hAnsi="Arial" w:cs="Arial"/>
          <w:b/>
          <w:bCs/>
          <w:noProof/>
          <w:sz w:val="24"/>
          <w:szCs w:val="24"/>
        </w:rPr>
        <w:t>of Southern California, 2013)</w:t>
      </w:r>
      <w:r w:rsidR="004E059B" w:rsidRPr="00CE6C31">
        <w:rPr>
          <w:rFonts w:ascii="Arial" w:hAnsi="Arial" w:cs="Arial"/>
          <w:sz w:val="24"/>
          <w:szCs w:val="24"/>
        </w:rPr>
        <w:fldChar w:fldCharType="end"/>
      </w:r>
      <w:r w:rsidR="004E059B" w:rsidRPr="00CE6C31">
        <w:rPr>
          <w:rFonts w:ascii="Arial" w:hAnsi="Arial" w:cs="Arial"/>
          <w:sz w:val="24"/>
          <w:szCs w:val="24"/>
        </w:rPr>
        <w:t>.</w:t>
      </w:r>
      <w:r w:rsidRPr="00CE6C31">
        <w:rPr>
          <w:rFonts w:ascii="Arial" w:hAnsi="Arial" w:cs="Arial"/>
          <w:sz w:val="24"/>
          <w:szCs w:val="24"/>
        </w:rPr>
        <w:t xml:space="preserve"> </w:t>
      </w:r>
    </w:p>
    <w:p w14:paraId="16ECD6DF" w14:textId="1D5AE9AA" w:rsidR="009164FA" w:rsidRPr="00CE6C31" w:rsidRDefault="009164FA" w:rsidP="00465F22">
      <w:pPr>
        <w:spacing w:line="360" w:lineRule="auto"/>
        <w:rPr>
          <w:rFonts w:ascii="Arial" w:hAnsi="Arial" w:cs="Arial"/>
          <w:b/>
          <w:bCs/>
          <w:sz w:val="24"/>
          <w:szCs w:val="24"/>
        </w:rPr>
      </w:pPr>
      <w:r w:rsidRPr="00CE6C31">
        <w:rPr>
          <w:rFonts w:ascii="Arial" w:hAnsi="Arial" w:cs="Arial"/>
          <w:sz w:val="24"/>
          <w:szCs w:val="24"/>
        </w:rPr>
        <w:t xml:space="preserve">A deep knowledge base is essential for understanding the law, criminal behaviour, investigative procedures, and emerging trends in criminal activities. Investigators must have a solid understanding of criminal law and the procedures for gathering, preserving, and presenting evidence in court. This encompasses an understanding of laws like the Police and Criminal Evidence Act 1984 (PACE), which regulates the collection of evidence and the treatment of suspects. Additionally, familiarity with human rights legislation, such as the European Convention on Human Rights, is essential to avoid potential legal challenges or breaches of civil liberties during an investigation. Morgan’s article </w:t>
      </w:r>
      <w:r w:rsidR="0000420F" w:rsidRPr="00CE6C31">
        <w:rPr>
          <w:rFonts w:ascii="Arial" w:hAnsi="Arial" w:cs="Arial"/>
          <w:sz w:val="24"/>
          <w:szCs w:val="24"/>
        </w:rPr>
        <w:t xml:space="preserve">suggests </w:t>
      </w:r>
      <w:r w:rsidRPr="00CE6C31">
        <w:rPr>
          <w:rFonts w:ascii="Arial" w:hAnsi="Arial" w:cs="Arial"/>
          <w:sz w:val="24"/>
          <w:szCs w:val="24"/>
        </w:rPr>
        <w:t>that without a sound grasp of the law, investigators risk mishandling evidence, which can result in it being deemed inadmissible in court, or worse, leading to wrongful convictions or lawsuits</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&lt;EndNote&gt;&lt;Cite&gt;&lt;Author&gt;Morgan&lt;/Author&gt;&lt;Year&gt;2023&lt;/Year&gt;&lt;RecNum&gt;11&lt;/RecNum&gt;&lt;DisplayText&gt;(Morgan, 2023)&lt;/DisplayText&gt;&lt;record&gt;&lt;rec-number&gt;11&lt;/rec-number&gt;&lt;foreign-keys&gt;&lt;key app="EN" db-id="ss2tdevp8tvxsge0avpxx2w2de9f9prtt22t" timestamp="1736342655"&gt;11&lt;/key&gt;&lt;/foreign-keys&gt;&lt;ref-type name="Journal Article"&gt;17&lt;/ref-type&gt;&lt;contributors&gt;&lt;authors&gt;&lt;author&gt;Morgan, John&lt;/author&gt;&lt;/authors&gt;&lt;/contributors&gt;&lt;titles&gt;&lt;title&gt;Wrongful convictions and claims of false or misleading forensic evidence&lt;/title&gt;&lt;secondary-title&gt;Journal of forensic sciences&lt;/secondary-title&gt;&lt;/titles&gt;&lt;periodical&gt;&lt;full-title&gt;Journal of forensic sciences&lt;/full-title&gt;&lt;/periodical&gt;&lt;pages&gt;908-961&lt;/pages&gt;&lt;volume&gt;68&lt;/volume&gt;&lt;number&gt;3&lt;/number&gt;&lt;dates&gt;&lt;year&gt;2023&lt;/year&gt;&lt;/dates&gt;&lt;isbn&gt;0022-1198&lt;/isbn&gt;&lt;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Morgan, 2023</w:t>
      </w:r>
      <w:r w:rsidR="004E059B" w:rsidRPr="00CE6C31">
        <w:rPr>
          <w:rFonts w:ascii="Arial" w:hAnsi="Arial" w:cs="Arial"/>
          <w:noProof/>
          <w:sz w:val="24"/>
          <w:szCs w:val="24"/>
        </w:rPr>
        <w:t>)</w:t>
      </w:r>
      <w:r w:rsidR="004E059B" w:rsidRPr="00CE6C31">
        <w:rPr>
          <w:rFonts w:ascii="Arial" w:hAnsi="Arial" w:cs="Arial"/>
          <w:sz w:val="24"/>
          <w:szCs w:val="24"/>
        </w:rPr>
        <w:fldChar w:fldCharType="end"/>
      </w:r>
      <w:r w:rsidR="004E059B" w:rsidRPr="00CE6C31">
        <w:rPr>
          <w:rFonts w:ascii="Arial" w:hAnsi="Arial" w:cs="Arial"/>
          <w:sz w:val="24"/>
          <w:szCs w:val="24"/>
        </w:rPr>
        <w:t>.</w:t>
      </w:r>
      <w:r w:rsidRPr="00CE6C31">
        <w:rPr>
          <w:rFonts w:ascii="Arial" w:hAnsi="Arial" w:cs="Arial"/>
          <w:sz w:val="24"/>
          <w:szCs w:val="24"/>
        </w:rPr>
        <w:t xml:space="preserve">  </w:t>
      </w:r>
    </w:p>
    <w:p w14:paraId="16FBEC26" w14:textId="2BA819C0" w:rsidR="009164FA" w:rsidRPr="00CE6C31" w:rsidRDefault="00DA60B9" w:rsidP="00465F22">
      <w:pPr>
        <w:spacing w:line="360" w:lineRule="auto"/>
        <w:rPr>
          <w:rFonts w:ascii="Arial" w:hAnsi="Arial" w:cs="Arial"/>
          <w:sz w:val="24"/>
          <w:szCs w:val="24"/>
        </w:rPr>
      </w:pPr>
      <w:r w:rsidRPr="00CE6C31">
        <w:rPr>
          <w:rFonts w:ascii="Arial" w:hAnsi="Arial" w:cs="Arial"/>
          <w:sz w:val="24"/>
          <w:szCs w:val="24"/>
        </w:rPr>
        <w:lastRenderedPageBreak/>
        <w:t>Kirby and Snow’s study highlights that disruption strategies can reduce the threat OCGs pose and that learning to u</w:t>
      </w:r>
      <w:r w:rsidR="009164FA" w:rsidRPr="00CE6C31">
        <w:rPr>
          <w:rFonts w:ascii="Arial" w:hAnsi="Arial" w:cs="Arial"/>
          <w:sz w:val="24"/>
          <w:szCs w:val="24"/>
        </w:rPr>
        <w:t xml:space="preserve">nderstand the psychology of offenders, especially those involved in organised crime, is </w:t>
      </w:r>
      <w:r w:rsidR="00267DD9" w:rsidRPr="00CE6C31">
        <w:rPr>
          <w:rFonts w:ascii="Arial" w:hAnsi="Arial" w:cs="Arial"/>
          <w:sz w:val="24"/>
          <w:szCs w:val="24"/>
        </w:rPr>
        <w:t>an important disruption tactic an investigator</w:t>
      </w:r>
      <w:r w:rsidR="0009678A" w:rsidRPr="00CE6C31">
        <w:rPr>
          <w:rFonts w:ascii="Arial" w:hAnsi="Arial" w:cs="Arial"/>
          <w:sz w:val="24"/>
          <w:szCs w:val="24"/>
        </w:rPr>
        <w:t xml:space="preserve"> should seek to attain</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&lt;EndNote&gt;&lt;Cite&gt;&lt;Author&gt;Kirby&lt;/Author&gt;&lt;Year&gt;2016&lt;/Year&gt;&lt;RecNum&gt;10&lt;/RecNum&gt;&lt;DisplayText&gt;(Kirby and Snow, 2016)&lt;/DisplayText&gt;&lt;record&gt;&lt;rec-number&gt;10&lt;/rec-number&gt;&lt;foreign-keys&gt;&lt;key app="EN" db-id="ss2tdevp8tvxsge0avpxx2w2de9f9prtt22t" timestamp="1736342629"&gt;10&lt;/key&gt;&lt;/foreign-keys&gt;&lt;ref-type name="Journal Article"&gt;17&lt;/ref-type&gt;&lt;contributors&gt;&lt;authors&gt;&lt;author&gt;Kirby, Stuart&lt;/author&gt;&lt;author&gt;Snow, Nicki&lt;/author&gt;&lt;/authors&gt;&lt;/contributors&gt;&lt;titles&gt;&lt;title&gt;Praxis and the disruption of organized crime groups&lt;/title&gt;&lt;secondary-title&gt;Trends in organized crime&lt;/secondary-title&gt;&lt;/titles&gt;&lt;periodical&gt;&lt;full-title&gt;Trends in organized crime&lt;/full-title&gt;&lt;/periodical&gt;&lt;pages&gt;111-124&lt;/pages&gt;&lt;volume&gt;19&lt;/volume&gt;&lt;dates&gt;&lt;year&gt;2016&lt;/year&gt;&lt;/dates&gt;&lt;isbn&gt;1084-4791&lt;/isbn&gt;&lt;urls&gt;&lt;/urls&gt;&lt;/record&gt;&lt;/Cite&gt;&lt;/EndNote&gt;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 xml:space="preserve">Kirby and </w:t>
      </w:r>
      <w:r w:rsidR="001B5D3D" w:rsidRPr="001B5D3D">
        <w:rPr>
          <w:rFonts w:ascii="Arial" w:hAnsi="Arial" w:cs="Arial"/>
          <w:b/>
          <w:bCs/>
          <w:noProof/>
          <w:sz w:val="24"/>
          <w:szCs w:val="24"/>
        </w:rPr>
        <w:t>Snow,</w:t>
      </w:r>
      <w:r w:rsidR="001B5D3D" w:rsidRPr="001B5D3D">
        <w:rPr>
          <w:rFonts w:ascii="Arial" w:hAnsi="Arial" w:cs="Arial"/>
          <w:b/>
          <w:bCs/>
          <w:noProof/>
          <w:sz w:val="24"/>
          <w:szCs w:val="24"/>
        </w:rPr>
        <w:t xml:space="preserve"> </w:t>
      </w:r>
      <w:r w:rsidR="004E059B" w:rsidRPr="001B5D3D">
        <w:rPr>
          <w:rFonts w:ascii="Arial" w:hAnsi="Arial" w:cs="Arial"/>
          <w:b/>
          <w:bCs/>
          <w:noProof/>
          <w:sz w:val="24"/>
          <w:szCs w:val="24"/>
        </w:rPr>
        <w:t>2016</w:t>
      </w:r>
      <w:r w:rsidR="004E059B" w:rsidRPr="00CE6C31">
        <w:rPr>
          <w:rFonts w:ascii="Arial" w:hAnsi="Arial" w:cs="Arial"/>
          <w:noProof/>
          <w:sz w:val="24"/>
          <w:szCs w:val="24"/>
        </w:rPr>
        <w:t>)</w:t>
      </w:r>
      <w:r w:rsidR="004E059B" w:rsidRPr="00CE6C31">
        <w:rPr>
          <w:rFonts w:ascii="Arial" w:hAnsi="Arial" w:cs="Arial"/>
          <w:sz w:val="24"/>
          <w:szCs w:val="24"/>
        </w:rPr>
        <w:fldChar w:fldCharType="end"/>
      </w:r>
      <w:r w:rsidR="004E059B" w:rsidRPr="00CE6C31">
        <w:rPr>
          <w:rFonts w:ascii="Arial" w:hAnsi="Arial" w:cs="Arial"/>
          <w:sz w:val="24"/>
          <w:szCs w:val="24"/>
        </w:rPr>
        <w:t>.</w:t>
      </w:r>
      <w:r w:rsidR="009164FA" w:rsidRPr="00CE6C31">
        <w:rPr>
          <w:rFonts w:ascii="Arial" w:hAnsi="Arial" w:cs="Arial"/>
          <w:sz w:val="24"/>
          <w:szCs w:val="24"/>
        </w:rPr>
        <w:t xml:space="preserve"> </w:t>
      </w:r>
      <w:r w:rsidR="00267DD9" w:rsidRPr="00CE6C31">
        <w:rPr>
          <w:rFonts w:ascii="Arial" w:hAnsi="Arial" w:cs="Arial"/>
          <w:sz w:val="24"/>
          <w:szCs w:val="24"/>
        </w:rPr>
        <w:t>Therefore, the use of p</w:t>
      </w:r>
      <w:r w:rsidR="009164FA" w:rsidRPr="00CE6C31">
        <w:rPr>
          <w:rFonts w:ascii="Arial" w:hAnsi="Arial" w:cs="Arial"/>
          <w:sz w:val="24"/>
          <w:szCs w:val="24"/>
        </w:rPr>
        <w:t xml:space="preserve">rofiling, risk assessment, and knowledge of criminal behaviours—such as the use of coercion, manipulation, or violence—are critical to understanding how OCGs operate and how they may respond to law enforcement strategies. </w:t>
      </w:r>
      <w:r w:rsidR="004E734B" w:rsidRPr="00CE6C31">
        <w:rPr>
          <w:rFonts w:ascii="Arial" w:hAnsi="Arial" w:cs="Arial"/>
          <w:sz w:val="24"/>
          <w:szCs w:val="24"/>
        </w:rPr>
        <w:t xml:space="preserve">Like Kirby and Snow, Professor </w:t>
      </w:r>
      <w:r w:rsidR="00B53B47" w:rsidRPr="00CE6C31">
        <w:rPr>
          <w:rFonts w:ascii="Arial" w:hAnsi="Arial" w:cs="Arial"/>
          <w:sz w:val="24"/>
          <w:szCs w:val="24"/>
        </w:rPr>
        <w:t>David Canter emphasise</w:t>
      </w:r>
      <w:r w:rsidR="004E734B" w:rsidRPr="00CE6C31">
        <w:rPr>
          <w:rFonts w:ascii="Arial" w:hAnsi="Arial" w:cs="Arial"/>
          <w:sz w:val="24"/>
          <w:szCs w:val="24"/>
        </w:rPr>
        <w:t>d</w:t>
      </w:r>
      <w:r w:rsidR="00B53B47" w:rsidRPr="00CE6C31">
        <w:rPr>
          <w:rFonts w:ascii="Arial" w:hAnsi="Arial" w:cs="Arial"/>
          <w:sz w:val="24"/>
          <w:szCs w:val="24"/>
        </w:rPr>
        <w:t xml:space="preserve"> the importance of offender profiling and investigative psychology in criminal investigations. He believed that such techniques would better equip i</w:t>
      </w:r>
      <w:r w:rsidR="009164FA" w:rsidRPr="00CE6C31">
        <w:rPr>
          <w:rFonts w:ascii="Arial" w:hAnsi="Arial" w:cs="Arial"/>
          <w:sz w:val="24"/>
          <w:szCs w:val="24"/>
        </w:rPr>
        <w:t xml:space="preserve">nvestigators </w:t>
      </w:r>
      <w:r w:rsidR="00B53B47" w:rsidRPr="00CE6C31">
        <w:rPr>
          <w:rFonts w:ascii="Arial" w:hAnsi="Arial" w:cs="Arial"/>
          <w:sz w:val="24"/>
          <w:szCs w:val="24"/>
        </w:rPr>
        <w:t xml:space="preserve">develop </w:t>
      </w:r>
      <w:r w:rsidR="009164FA" w:rsidRPr="00CE6C31">
        <w:rPr>
          <w:rFonts w:ascii="Arial" w:hAnsi="Arial" w:cs="Arial"/>
          <w:sz w:val="24"/>
          <w:szCs w:val="24"/>
        </w:rPr>
        <w:t xml:space="preserve">an understanding of criminal psychology </w:t>
      </w:r>
      <w:r w:rsidR="00B53B47" w:rsidRPr="00CE6C31">
        <w:rPr>
          <w:rFonts w:ascii="Arial" w:hAnsi="Arial" w:cs="Arial"/>
          <w:sz w:val="24"/>
          <w:szCs w:val="24"/>
        </w:rPr>
        <w:t xml:space="preserve">thus enabling them </w:t>
      </w:r>
      <w:r w:rsidR="004E734B" w:rsidRPr="00CE6C31">
        <w:rPr>
          <w:rFonts w:ascii="Arial" w:hAnsi="Arial" w:cs="Arial"/>
          <w:sz w:val="24"/>
          <w:szCs w:val="24"/>
        </w:rPr>
        <w:t xml:space="preserve">to potentially </w:t>
      </w:r>
      <w:r w:rsidR="009164FA" w:rsidRPr="00CE6C31">
        <w:rPr>
          <w:rFonts w:ascii="Arial" w:hAnsi="Arial" w:cs="Arial"/>
          <w:sz w:val="24"/>
          <w:szCs w:val="24"/>
        </w:rPr>
        <w:t>anticipate suspects’ actions, anticipate risks, and tailor investigative strategies accordingly</w:t>
      </w:r>
      <w:r w:rsidR="004E059B" w:rsidRPr="00CE6C31">
        <w:rPr>
          <w:rFonts w:ascii="Arial" w:hAnsi="Arial" w:cs="Arial"/>
          <w:sz w:val="24"/>
          <w:szCs w:val="24"/>
        </w:rPr>
        <w:t xml:space="preserve"> </w:t>
      </w:r>
      <w:r w:rsidR="004E059B" w:rsidRPr="001B5D3D">
        <w:rPr>
          <w:rFonts w:ascii="Arial" w:hAnsi="Arial" w:cs="Arial"/>
          <w:b/>
          <w:bCs/>
          <w:sz w:val="24"/>
          <w:szCs w:val="24"/>
        </w:rPr>
        <w:fldChar w:fldCharType="begin"/>
      </w:r>
      <w:r w:rsidR="004E059B" w:rsidRPr="001B5D3D">
        <w:rPr>
          <w:rFonts w:ascii="Arial" w:hAnsi="Arial" w:cs="Arial"/>
          <w:b/>
          <w:bCs/>
          <w:sz w:val="24"/>
          <w:szCs w:val="24"/>
        </w:rPr>
        <w:instrText xml:space="preserve"> ADDIN EN.CITE &lt;EndNote&gt;&lt;Cite&gt;&lt;Author&gt;Canter&lt;/Author&gt;&lt;Year&gt;2004&lt;/Year&gt;&lt;RecNum&gt;14&lt;/RecNum&gt;&lt;DisplayText&gt;(Canter, 2004)&lt;/DisplayText&gt;&lt;record&gt;&lt;rec-number&gt;14&lt;/rec-number&gt;&lt;foreign-keys&gt;&lt;key app="EN" db-id="ss2tdevp8tvxsge0avpxx2w2de9f9prtt22t" timestamp="1736342749"&gt;14&lt;/key&gt;&lt;/foreign-keys&gt;&lt;ref-type name="Generic"&gt;13&lt;/ref-type&gt;&lt;contributors&gt;&lt;authors&gt;&lt;author&gt;Canter, David&lt;/author&gt;&lt;/authors&gt;&lt;/contributors&gt;&lt;titles&gt;&lt;title&gt;Offender profiling and investigative psychology&lt;/title&gt;&lt;/titles&gt;&lt;pages&gt;1-15&lt;/pages&gt;&lt;volume&gt;1&lt;/volume&gt;&lt;number&gt;1&lt;/number&gt;&lt;dates&gt;&lt;year&gt;2004&lt;/year&gt;&lt;/dates&gt;&lt;publisher&gt;Wiley Online Library&lt;/publisher&gt;&lt;isbn&gt;1544-4759&lt;/isbn&gt;&lt;urls&gt;&lt;/urls&gt;&lt;/record&gt;&lt;/Cite&gt;&lt;/EndNote&gt;</w:instrText>
      </w:r>
      <w:r w:rsidR="004E059B" w:rsidRPr="001B5D3D">
        <w:rPr>
          <w:rFonts w:ascii="Arial" w:hAnsi="Arial" w:cs="Arial"/>
          <w:b/>
          <w:bCs/>
          <w:sz w:val="24"/>
          <w:szCs w:val="24"/>
        </w:rPr>
        <w:fldChar w:fldCharType="separate"/>
      </w:r>
      <w:r w:rsidR="004E059B" w:rsidRPr="001B5D3D">
        <w:rPr>
          <w:rFonts w:ascii="Arial" w:hAnsi="Arial" w:cs="Arial"/>
          <w:b/>
          <w:bCs/>
          <w:noProof/>
          <w:sz w:val="24"/>
          <w:szCs w:val="24"/>
        </w:rPr>
        <w:t>(Canter, 2004)</w:t>
      </w:r>
      <w:r w:rsidR="004E059B" w:rsidRPr="001B5D3D">
        <w:rPr>
          <w:rFonts w:ascii="Arial" w:hAnsi="Arial" w:cs="Arial"/>
          <w:b/>
          <w:bCs/>
          <w:sz w:val="24"/>
          <w:szCs w:val="24"/>
        </w:rPr>
        <w:fldChar w:fldCharType="end"/>
      </w:r>
      <w:r w:rsidR="004E059B" w:rsidRPr="001B5D3D">
        <w:rPr>
          <w:rFonts w:ascii="Arial" w:hAnsi="Arial" w:cs="Arial"/>
          <w:b/>
          <w:bCs/>
          <w:sz w:val="24"/>
          <w:szCs w:val="24"/>
        </w:rPr>
        <w:t>.</w:t>
      </w:r>
    </w:p>
    <w:p w14:paraId="6A5BA026" w14:textId="4F8BBD9E" w:rsidR="0000420F" w:rsidRPr="00CE6C31" w:rsidRDefault="0000420F" w:rsidP="00465F22">
      <w:pPr>
        <w:spacing w:line="360" w:lineRule="auto"/>
        <w:rPr>
          <w:rFonts w:ascii="Arial" w:hAnsi="Arial" w:cs="Arial"/>
          <w:sz w:val="24"/>
          <w:szCs w:val="24"/>
        </w:rPr>
      </w:pPr>
      <w:r w:rsidRPr="00CE6C31">
        <w:rPr>
          <w:rFonts w:ascii="Arial" w:hAnsi="Arial" w:cs="Arial"/>
          <w:sz w:val="24"/>
          <w:szCs w:val="24"/>
        </w:rPr>
        <w:t>Evolving investigative tools and techniques, such as digital forensics software and the PEACE model, are essential for resource-efficient investigations</w:t>
      </w:r>
      <w:r w:rsidR="004E059B" w:rsidRPr="00CE6C31">
        <w:rPr>
          <w:rFonts w:ascii="Arial" w:hAnsi="Arial" w:cs="Arial"/>
          <w:sz w:val="24"/>
          <w:szCs w:val="24"/>
        </w:rPr>
        <w:t xml:space="preserve"> </w:t>
      </w:r>
      <w:r w:rsidR="004E059B" w:rsidRPr="00CE6C31">
        <w:rPr>
          <w:rFonts w:ascii="Arial" w:hAnsi="Arial" w:cs="Arial"/>
          <w:sz w:val="24"/>
          <w:szCs w:val="24"/>
        </w:rPr>
        <w:fldChar w:fldCharType="begin"/>
      </w:r>
      <w:r w:rsidR="004E059B" w:rsidRPr="00CE6C31">
        <w:rPr>
          <w:rFonts w:ascii="Arial" w:hAnsi="Arial" w:cs="Arial"/>
          <w:sz w:val="24"/>
          <w:szCs w:val="24"/>
        </w:rPr>
        <w:instrText xml:space="preserve"> ADDIN EN.CITE &lt;EndNote&gt;&lt;Cite&gt;&lt;Author&gt;Morgan&lt;/Author&gt;&lt;Year&gt;2024&lt;/Year&gt;&lt;RecNum&gt;12&lt;/RecNum&gt;&lt;DisplayText&gt;(Morgan, 2024)&lt;/DisplayText&gt;&lt;record&gt;&lt;rec-number&gt;12&lt;/rec-number&gt;&lt;foreign-keys&gt;&lt;key app="EN" db-id="ss2tdevp8tvxsge0avpxx2w2de9f9prtt22t" timestamp="1736342682"&gt;12&lt;/key&gt;&lt;/foreign-keys&gt;&lt;ref-type name="Book Section"&gt;5&lt;/ref-type&gt;&lt;contributors&gt;&lt;authors&gt;&lt;author&gt;Morgan, Ruth M&lt;/author&gt;&lt;/authors&gt;&lt;/contributors&gt;&lt;titles&gt;&lt;title&gt;Forensic Science Innovation in the UK: Roadblocks and Enablers&lt;/title&gt;&lt;secondary-title&gt;Driving Forensic Innovation in the 21st Century: Crossing the Valley of Death&lt;/secondary-title&gt;&lt;/titles&gt;&lt;pages&gt;73-88&lt;/pages&gt;&lt;dates&gt;&lt;year&gt;2024&lt;/year&gt;&lt;/dates&gt;&lt;publisher&gt;Springer&lt;/publisher&gt;&lt;urls&gt;&lt;/urls&gt;&lt;/record&gt;&lt;/Cite&gt;&lt;/EndNote&gt;</w:instrText>
      </w:r>
      <w:r w:rsidR="004E059B" w:rsidRPr="00CE6C31">
        <w:rPr>
          <w:rFonts w:ascii="Arial" w:hAnsi="Arial" w:cs="Arial"/>
          <w:sz w:val="24"/>
          <w:szCs w:val="24"/>
        </w:rPr>
        <w:fldChar w:fldCharType="separate"/>
      </w:r>
      <w:r w:rsidR="004E059B" w:rsidRPr="00CE6C31">
        <w:rPr>
          <w:rFonts w:ascii="Arial" w:hAnsi="Arial" w:cs="Arial"/>
          <w:noProof/>
          <w:sz w:val="24"/>
          <w:szCs w:val="24"/>
        </w:rPr>
        <w:t>(</w:t>
      </w:r>
      <w:r w:rsidR="004E059B" w:rsidRPr="001B5D3D">
        <w:rPr>
          <w:rFonts w:ascii="Arial" w:hAnsi="Arial" w:cs="Arial"/>
          <w:b/>
          <w:bCs/>
          <w:noProof/>
          <w:sz w:val="24"/>
          <w:szCs w:val="24"/>
        </w:rPr>
        <w:t>Morgan, 2024</w:t>
      </w:r>
      <w:r w:rsidR="004E059B" w:rsidRPr="00CE6C31">
        <w:rPr>
          <w:rFonts w:ascii="Arial" w:hAnsi="Arial" w:cs="Arial"/>
          <w:noProof/>
          <w:sz w:val="24"/>
          <w:szCs w:val="24"/>
        </w:rPr>
        <w:t>)</w:t>
      </w:r>
      <w:r w:rsidR="004E059B" w:rsidRPr="00CE6C31">
        <w:rPr>
          <w:rFonts w:ascii="Arial" w:hAnsi="Arial" w:cs="Arial"/>
          <w:sz w:val="24"/>
          <w:szCs w:val="24"/>
        </w:rPr>
        <w:fldChar w:fldCharType="end"/>
      </w:r>
      <w:r w:rsidR="004E059B" w:rsidRPr="00CE6C31">
        <w:rPr>
          <w:rFonts w:ascii="Arial" w:hAnsi="Arial" w:cs="Arial"/>
          <w:sz w:val="24"/>
          <w:szCs w:val="24"/>
        </w:rPr>
        <w:t>.</w:t>
      </w:r>
      <w:r w:rsidRPr="00CE6C31">
        <w:rPr>
          <w:rFonts w:ascii="Arial" w:hAnsi="Arial" w:cs="Arial"/>
          <w:sz w:val="24"/>
          <w:szCs w:val="24"/>
        </w:rPr>
        <w:t xml:space="preserve"> </w:t>
      </w:r>
      <w:r w:rsidR="004E059B" w:rsidRPr="001B5D3D">
        <w:rPr>
          <w:rFonts w:ascii="Arial" w:hAnsi="Arial" w:cs="Arial"/>
          <w:b/>
          <w:bCs/>
          <w:sz w:val="24"/>
          <w:szCs w:val="24"/>
        </w:rPr>
        <w:fldChar w:fldCharType="begin"/>
      </w:r>
      <w:r w:rsidR="004E059B" w:rsidRPr="001B5D3D">
        <w:rPr>
          <w:rFonts w:ascii="Arial" w:hAnsi="Arial" w:cs="Arial"/>
          <w:b/>
          <w:bCs/>
          <w:sz w:val="24"/>
          <w:szCs w:val="24"/>
        </w:rPr>
        <w:instrText xml:space="preserve"> ADDIN EN.CITE &lt;EndNote&gt;&lt;Cite AuthorYear="1"&gt;&lt;Author&gt;Buhrig&lt;/Author&gt;&lt;Year&gt;2023&lt;/Year&gt;&lt;RecNum&gt;5&lt;/RecNum&gt;&lt;DisplayText&gt;Buhrig (2023)&lt;/DisplayText&gt;&lt;record&gt;&lt;rec-number&gt;5&lt;/rec-number&gt;&lt;foreign-keys&gt;&lt;key app="EN" db-id="ss2tdevp8tvxsge0avpxx2w2de9f9prtt22t" timestamp="1736342373"&gt;5&lt;/key&gt;&lt;/foreign-keys&gt;&lt;ref-type name="Journal Article"&gt;17&lt;/ref-type&gt;&lt;contributors&gt;&lt;authors&gt;&lt;author&gt;Buhrig, Ryan&lt;/author&gt;&lt;/authors&gt;&lt;/contributors&gt;&lt;titles&gt;&lt;title&gt;Capacity, capability, and collaboration: a qualitative analysis of international cybercrime investigations from the perspective of Canadian investigators&lt;/title&gt;&lt;secondary-title&gt;International Cybersecurity Law Review&lt;/secondary-title&gt;&lt;/titles&gt;&lt;periodical&gt;&lt;full-title&gt;International Cybersecurity Law Review&lt;/full-title&gt;&lt;/periodical&gt;&lt;pages&gt;415-429&lt;/pages&gt;&lt;volume&gt;4&lt;/volume&gt;&lt;number&gt;4&lt;/number&gt;&lt;dates&gt;&lt;year&gt;2023&lt;/year&gt;&lt;/dates&gt;&lt;isbn&gt;2662-9720&lt;/isbn&gt;&lt;urls&gt;&lt;/urls&gt;&lt;/record&gt;&lt;/Cite&gt;&lt;/EndNote&gt;</w:instrText>
      </w:r>
      <w:r w:rsidR="004E059B" w:rsidRPr="001B5D3D">
        <w:rPr>
          <w:rFonts w:ascii="Arial" w:hAnsi="Arial" w:cs="Arial"/>
          <w:b/>
          <w:bCs/>
          <w:sz w:val="24"/>
          <w:szCs w:val="24"/>
        </w:rPr>
        <w:fldChar w:fldCharType="separate"/>
      </w:r>
      <w:r w:rsidR="004E059B" w:rsidRPr="001B5D3D">
        <w:rPr>
          <w:rFonts w:ascii="Arial" w:hAnsi="Arial" w:cs="Arial"/>
          <w:b/>
          <w:bCs/>
          <w:noProof/>
          <w:sz w:val="24"/>
          <w:szCs w:val="24"/>
        </w:rPr>
        <w:t>Buhrig (2023)</w:t>
      </w:r>
      <w:r w:rsidR="004E059B" w:rsidRPr="001B5D3D">
        <w:rPr>
          <w:rFonts w:ascii="Arial" w:hAnsi="Arial" w:cs="Arial"/>
          <w:b/>
          <w:bCs/>
          <w:sz w:val="24"/>
          <w:szCs w:val="24"/>
        </w:rPr>
        <w:fldChar w:fldCharType="end"/>
      </w:r>
      <w:r w:rsidR="004E059B" w:rsidRPr="00CE6C31">
        <w:rPr>
          <w:rFonts w:ascii="Arial" w:hAnsi="Arial" w:cs="Arial"/>
          <w:sz w:val="24"/>
          <w:szCs w:val="24"/>
        </w:rPr>
        <w:t xml:space="preserve"> </w:t>
      </w:r>
      <w:r w:rsidRPr="00CE6C31">
        <w:rPr>
          <w:rFonts w:ascii="Arial" w:hAnsi="Arial" w:cs="Arial"/>
          <w:sz w:val="24"/>
          <w:szCs w:val="24"/>
        </w:rPr>
        <w:t>highlights the importance of collaborating with specialists in areas like financial crime and forensics, emphasi</w:t>
      </w:r>
      <w:r w:rsidR="00692195" w:rsidRPr="00CE6C31">
        <w:rPr>
          <w:rFonts w:ascii="Arial" w:hAnsi="Arial" w:cs="Arial"/>
          <w:sz w:val="24"/>
          <w:szCs w:val="24"/>
        </w:rPr>
        <w:t>s</w:t>
      </w:r>
      <w:r w:rsidRPr="00CE6C31">
        <w:rPr>
          <w:rFonts w:ascii="Arial" w:hAnsi="Arial" w:cs="Arial"/>
          <w:sz w:val="24"/>
          <w:szCs w:val="24"/>
        </w:rPr>
        <w:t>ing how expertise and adaptability enhance investigative outcomes.</w:t>
      </w:r>
    </w:p>
    <w:p w14:paraId="55AEAC6B" w14:textId="205FC920" w:rsidR="009164FA" w:rsidRPr="00CE6C31" w:rsidRDefault="00692195" w:rsidP="00465F22">
      <w:pPr>
        <w:spacing w:line="360" w:lineRule="auto"/>
        <w:rPr>
          <w:rFonts w:ascii="Arial" w:hAnsi="Arial" w:cs="Arial"/>
          <w:sz w:val="24"/>
          <w:szCs w:val="24"/>
        </w:rPr>
      </w:pPr>
      <w:r w:rsidRPr="00CE6C31">
        <w:rPr>
          <w:rFonts w:ascii="Arial" w:hAnsi="Arial" w:cs="Arial"/>
          <w:sz w:val="24"/>
          <w:szCs w:val="24"/>
        </w:rPr>
        <w:t>Decision making is another skill investigators need to master. According to the Carnegie perspective, organisational decision-making is shaped by direct and indirect experience</w:t>
      </w:r>
      <w:r w:rsidR="00465F22" w:rsidRPr="00CE6C31">
        <w:rPr>
          <w:rFonts w:ascii="Arial" w:hAnsi="Arial" w:cs="Arial"/>
          <w:sz w:val="24"/>
          <w:szCs w:val="24"/>
        </w:rPr>
        <w:t xml:space="preserve"> </w:t>
      </w:r>
      <w:r w:rsidR="00465F22" w:rsidRPr="00CE6C31">
        <w:rPr>
          <w:rFonts w:ascii="Arial" w:hAnsi="Arial" w:cs="Arial"/>
          <w:sz w:val="24"/>
          <w:szCs w:val="24"/>
        </w:rPr>
        <w:fldChar w:fldCharType="begin"/>
      </w:r>
      <w:r w:rsidR="00465F22" w:rsidRPr="00CE6C31">
        <w:rPr>
          <w:rFonts w:ascii="Arial" w:hAnsi="Arial" w:cs="Arial"/>
          <w:sz w:val="24"/>
          <w:szCs w:val="24"/>
        </w:rPr>
        <w:instrText xml:space="preserve"> ADDIN EN.CITE &lt;EndNote&gt;&lt;Cite&gt;&lt;Author&gt;Audia&lt;/Author&gt;&lt;Year&gt;2024&lt;/Year&gt;&lt;RecNum&gt;1&lt;/RecNum&gt;&lt;DisplayText&gt;(AudiaLaureiro Martinez and Newark, 2024)&lt;/DisplayText&gt;&lt;record&gt;&lt;rec-number&gt;1&lt;/rec-number&gt;&lt;foreign-keys&gt;&lt;key app="EN" db-id="ss2tdevp8tvxsge0avpxx2w2de9f9prtt22t" timestamp="1736342005"&gt;1&lt;/key&gt;&lt;/foreign-keys&gt;&lt;ref-type name="Journal Article"&gt;17&lt;/ref-type&gt;&lt;contributors&gt;&lt;authors&gt;&lt;author&gt;Audia, Pino G.&lt;/author&gt;&lt;author&gt;Laureiro Martinez, Daniella&lt;/author&gt;&lt;author&gt;Newark, Daniel A.&lt;/author&gt;&lt;/authors&gt;&lt;/contributors&gt;&lt;titles&gt;&lt;title&gt;Editorial: Decision making and problem solving in organizations: assessing and expanding the Carnegie perspective&lt;/title&gt;&lt;secondary-title&gt;Frontiers in Psychology&lt;/secondary-title&gt;&lt;/titles&gt;&lt;periodical&gt;&lt;full-title&gt;Frontiers in Psychology&lt;/full-title&gt;&lt;/periodical&gt;&lt;volume&gt;15&lt;/volume&gt;&lt;dates&gt;&lt;year&gt;2024&lt;/year&gt;&lt;/dates&gt;&lt;publisher&gt;Frontiers Media SA&lt;/publisher&gt;&lt;isbn&gt;1664-1078&lt;/isbn&gt;&lt;urls&gt;&lt;related-urls&gt;&lt;url&gt;https://dx.doi.org/10.3389/fpsyg.2024.1455794&lt;/url&gt;&lt;/related-urls&gt;&lt;/urls&gt;&lt;electronic-resource-num&gt;10.3389/fpsyg.2024.1455794&lt;/electronic-resource-num&gt;&lt;/record&gt;&lt;/Cite&gt;&lt;/EndNote&gt;</w:instrText>
      </w:r>
      <w:r w:rsidR="00465F22" w:rsidRPr="00CE6C31">
        <w:rPr>
          <w:rFonts w:ascii="Arial" w:hAnsi="Arial" w:cs="Arial"/>
          <w:sz w:val="24"/>
          <w:szCs w:val="24"/>
        </w:rPr>
        <w:fldChar w:fldCharType="separate"/>
      </w:r>
      <w:r w:rsidR="00465F22" w:rsidRPr="00CE6C31">
        <w:rPr>
          <w:rFonts w:ascii="Arial" w:hAnsi="Arial" w:cs="Arial"/>
          <w:noProof/>
          <w:sz w:val="24"/>
          <w:szCs w:val="24"/>
        </w:rPr>
        <w:t>(</w:t>
      </w:r>
      <w:r w:rsidR="00465F22" w:rsidRPr="001B5D3D">
        <w:rPr>
          <w:rFonts w:ascii="Arial" w:hAnsi="Arial" w:cs="Arial"/>
          <w:b/>
          <w:bCs/>
          <w:noProof/>
          <w:sz w:val="24"/>
          <w:szCs w:val="24"/>
        </w:rPr>
        <w:t>AudiaLaureiro Martinez and Newark, 2024</w:t>
      </w:r>
      <w:r w:rsidR="00465F22" w:rsidRPr="00CE6C31">
        <w:rPr>
          <w:rFonts w:ascii="Arial" w:hAnsi="Arial" w:cs="Arial"/>
          <w:noProof/>
          <w:sz w:val="24"/>
          <w:szCs w:val="24"/>
        </w:rPr>
        <w:t>)</w:t>
      </w:r>
      <w:r w:rsidR="00465F22" w:rsidRPr="00CE6C31">
        <w:rPr>
          <w:rFonts w:ascii="Arial" w:hAnsi="Arial" w:cs="Arial"/>
          <w:sz w:val="24"/>
          <w:szCs w:val="24"/>
        </w:rPr>
        <w:fldChar w:fldCharType="end"/>
      </w:r>
      <w:r w:rsidR="009C5C79" w:rsidRPr="00CE6C31">
        <w:rPr>
          <w:rFonts w:ascii="Arial" w:hAnsi="Arial" w:cs="Arial"/>
          <w:sz w:val="24"/>
          <w:szCs w:val="24"/>
        </w:rPr>
        <w:t xml:space="preserve">. Investigators will </w:t>
      </w:r>
      <w:r w:rsidRPr="00CE6C31">
        <w:rPr>
          <w:rFonts w:ascii="Arial" w:hAnsi="Arial" w:cs="Arial"/>
          <w:sz w:val="24"/>
          <w:szCs w:val="24"/>
        </w:rPr>
        <w:t xml:space="preserve">learn from their own actions and by observing others, which </w:t>
      </w:r>
      <w:r w:rsidR="009C5C79" w:rsidRPr="00CE6C31">
        <w:rPr>
          <w:rFonts w:ascii="Arial" w:hAnsi="Arial" w:cs="Arial"/>
          <w:sz w:val="24"/>
          <w:szCs w:val="24"/>
        </w:rPr>
        <w:t xml:space="preserve">will </w:t>
      </w:r>
      <w:r w:rsidRPr="00CE6C31">
        <w:rPr>
          <w:rFonts w:ascii="Arial" w:hAnsi="Arial" w:cs="Arial"/>
          <w:sz w:val="24"/>
          <w:szCs w:val="24"/>
        </w:rPr>
        <w:t>affect how they identify problems and evaluate solutions.</w:t>
      </w:r>
      <w:r w:rsidR="009C5C79" w:rsidRPr="00CE6C31">
        <w:rPr>
          <w:rFonts w:ascii="Arial" w:hAnsi="Arial" w:cs="Arial"/>
          <w:sz w:val="24"/>
          <w:szCs w:val="24"/>
        </w:rPr>
        <w:t xml:space="preserve"> That e</w:t>
      </w:r>
      <w:r w:rsidR="009164FA" w:rsidRPr="00CE6C31">
        <w:rPr>
          <w:rFonts w:ascii="Arial" w:hAnsi="Arial" w:cs="Arial"/>
          <w:sz w:val="24"/>
          <w:szCs w:val="24"/>
        </w:rPr>
        <w:t xml:space="preserve">xperience </w:t>
      </w:r>
      <w:r w:rsidR="009C5C79" w:rsidRPr="00CE6C31">
        <w:rPr>
          <w:rFonts w:ascii="Arial" w:hAnsi="Arial" w:cs="Arial"/>
          <w:sz w:val="24"/>
          <w:szCs w:val="24"/>
        </w:rPr>
        <w:t xml:space="preserve">will help </w:t>
      </w:r>
      <w:r w:rsidR="009164FA" w:rsidRPr="00CE6C31">
        <w:rPr>
          <w:rFonts w:ascii="Arial" w:hAnsi="Arial" w:cs="Arial"/>
          <w:sz w:val="24"/>
          <w:szCs w:val="24"/>
        </w:rPr>
        <w:t>influence an investigator’s ability to make sound decisions and reach appropriate investigative outcomes</w:t>
      </w:r>
      <w:r w:rsidR="009C5C79" w:rsidRPr="00CE6C31">
        <w:rPr>
          <w:rFonts w:ascii="Arial" w:hAnsi="Arial" w:cs="Arial"/>
          <w:sz w:val="24"/>
          <w:szCs w:val="24"/>
        </w:rPr>
        <w:t xml:space="preserve">. </w:t>
      </w:r>
      <w:r w:rsidR="009164FA" w:rsidRPr="00CE6C31">
        <w:rPr>
          <w:rFonts w:ascii="Arial" w:hAnsi="Arial" w:cs="Arial"/>
          <w:sz w:val="24"/>
          <w:szCs w:val="24"/>
        </w:rPr>
        <w:t>Experienced investigators are often better at handling complex situations, anticipating obstacles, and making quick decisions under pressure. For example, experience in managing undercover operations or handling informants can provide investigators with insights that purely theoretical knowledge cannot offer.</w:t>
      </w:r>
      <w:r w:rsidR="009C5C79" w:rsidRPr="00CE6C31">
        <w:rPr>
          <w:rFonts w:ascii="Arial" w:hAnsi="Arial" w:cs="Arial"/>
          <w:sz w:val="24"/>
          <w:szCs w:val="24"/>
        </w:rPr>
        <w:t xml:space="preserve"> </w:t>
      </w:r>
      <w:r w:rsidR="009164FA" w:rsidRPr="00CE6C31">
        <w:rPr>
          <w:rFonts w:ascii="Arial" w:hAnsi="Arial" w:cs="Arial"/>
          <w:sz w:val="24"/>
          <w:szCs w:val="24"/>
        </w:rPr>
        <w:t xml:space="preserve">Experience provides investigators with a deeper understanding of the subtleties and complexities of criminal investigations. </w:t>
      </w:r>
      <w:r w:rsidR="009C5C79" w:rsidRPr="00CE6C31">
        <w:rPr>
          <w:rFonts w:ascii="Arial" w:hAnsi="Arial" w:cs="Arial"/>
          <w:sz w:val="24"/>
          <w:szCs w:val="24"/>
        </w:rPr>
        <w:t xml:space="preserve">Another example being that </w:t>
      </w:r>
      <w:r w:rsidR="009164FA" w:rsidRPr="00CE6C31">
        <w:rPr>
          <w:rFonts w:ascii="Arial" w:hAnsi="Arial" w:cs="Arial"/>
          <w:sz w:val="24"/>
          <w:szCs w:val="24"/>
        </w:rPr>
        <w:t>they may have developed intuition regarding certain criminal behaviours or red flags that help them make better decisions. Experienced investigators are sometimes better equipped at recognising when an investigation is heading in the wrong direction or when additional resources or expertise are needed.</w:t>
      </w:r>
    </w:p>
    <w:p w14:paraId="57C26EA4" w14:textId="2D448DF0" w:rsidR="00025526" w:rsidRPr="00CE6C31" w:rsidRDefault="00025526" w:rsidP="00465F22">
      <w:pPr>
        <w:tabs>
          <w:tab w:val="num" w:pos="720"/>
          <w:tab w:val="num" w:pos="1440"/>
        </w:tabs>
        <w:spacing w:line="360" w:lineRule="auto"/>
        <w:rPr>
          <w:rFonts w:ascii="Arial" w:hAnsi="Arial" w:cs="Arial"/>
          <w:sz w:val="24"/>
          <w:szCs w:val="24"/>
        </w:rPr>
      </w:pPr>
      <w:r w:rsidRPr="00CE6C31">
        <w:rPr>
          <w:rFonts w:ascii="Arial" w:hAnsi="Arial" w:cs="Arial"/>
          <w:sz w:val="24"/>
          <w:szCs w:val="24"/>
        </w:rPr>
        <w:lastRenderedPageBreak/>
        <w:t xml:space="preserve">Brown, Julian and Howes </w:t>
      </w:r>
      <w:r w:rsidR="009C5C79" w:rsidRPr="00CE6C31">
        <w:rPr>
          <w:rFonts w:ascii="Arial" w:hAnsi="Arial" w:cs="Arial"/>
          <w:sz w:val="24"/>
          <w:szCs w:val="24"/>
        </w:rPr>
        <w:t>study highlighted that much of investigators' knowledge about using forensic evidence comes through experience rather than formal training, with experienced officers passing practical knowledge and skills to novice investigators through daily interactions. However, the authors argue this traditional reliance on experience-based learning could be enhanced by incorporating more formal training in decision-making processes and forensic evidence interpretation from the outset of an investigator's career</w:t>
      </w:r>
      <w:r w:rsidRPr="00CE6C31">
        <w:rPr>
          <w:rFonts w:ascii="Arial" w:hAnsi="Arial" w:cs="Arial"/>
          <w:sz w:val="24"/>
          <w:szCs w:val="24"/>
        </w:rPr>
        <w:t xml:space="preserve"> </w:t>
      </w:r>
      <w:r w:rsidR="00465F22" w:rsidRPr="00CE6C31">
        <w:rPr>
          <w:rFonts w:ascii="Arial" w:hAnsi="Arial" w:cs="Arial"/>
          <w:sz w:val="24"/>
          <w:szCs w:val="24"/>
        </w:rPr>
        <w:fldChar w:fldCharType="begin"/>
      </w:r>
      <w:r w:rsidR="00465F22" w:rsidRPr="00CE6C31">
        <w:rPr>
          <w:rFonts w:ascii="Arial" w:hAnsi="Arial" w:cs="Arial"/>
          <w:sz w:val="24"/>
          <w:szCs w:val="24"/>
        </w:rPr>
        <w:instrText xml:space="preserve"> ADDIN EN.CITE &lt;EndNote&gt;&lt;Cite&gt;&lt;Author&gt;Brown&lt;/Author&gt;&lt;Year&gt;2024&lt;/Year&gt;&lt;RecNum&gt;4&lt;/RecNum&gt;&lt;DisplayText&gt;(BrownJulian and Howes, 2024)&lt;/DisplayText&gt;&lt;record&gt;&lt;rec-number&gt;4&lt;/rec-number&gt;&lt;foreign-keys&gt;&lt;key app="EN" db-id="ss2tdevp8tvxsge0avpxx2w2de9f9prtt22t" timestamp="1736342317"&gt;4&lt;/key&gt;&lt;/foreign-keys&gt;&lt;ref-type name="Journal Article"&gt;17&lt;/ref-type&gt;&lt;contributors&gt;&lt;authors&gt;&lt;author&gt;Brown, Cheryl&lt;/author&gt;&lt;author&gt;Julian, Roberta&lt;/author&gt;&lt;author&gt;Howes, Loene M&lt;/author&gt;&lt;/authors&gt;&lt;/contributors&gt;&lt;titles&gt;&lt;title&gt;‘Strands in a cable’: effective investigator decision-making using forensic identification evidence in volume crime investigations&lt;/title&gt;&lt;secondary-title&gt;Policing and Society&lt;/secondary-title&gt;&lt;/titles&gt;&lt;periodical&gt;&lt;full-title&gt;Policing and Society&lt;/full-title&gt;&lt;/periodical&gt;&lt;pages&gt;417-433&lt;/pages&gt;&lt;volume&gt;34&lt;/volume&gt;&lt;number&gt;5&lt;/number&gt;&lt;dates&gt;&lt;year&gt;2024&lt;/year&gt;&lt;/dates&gt;&lt;isbn&gt;1043-9463&lt;/isbn&gt;&lt;urls&gt;&lt;/urls&gt;&lt;/record&gt;&lt;/Cite&gt;&lt;/EndNote&gt;</w:instrText>
      </w:r>
      <w:r w:rsidR="00465F22" w:rsidRPr="00CE6C31">
        <w:rPr>
          <w:rFonts w:ascii="Arial" w:hAnsi="Arial" w:cs="Arial"/>
          <w:sz w:val="24"/>
          <w:szCs w:val="24"/>
        </w:rPr>
        <w:fldChar w:fldCharType="separate"/>
      </w:r>
      <w:r w:rsidR="00465F22" w:rsidRPr="00CE6C31">
        <w:rPr>
          <w:rFonts w:ascii="Arial" w:hAnsi="Arial" w:cs="Arial"/>
          <w:noProof/>
          <w:sz w:val="24"/>
          <w:szCs w:val="24"/>
        </w:rPr>
        <w:t>(</w:t>
      </w:r>
      <w:r w:rsidR="00465F22" w:rsidRPr="001B5D3D">
        <w:rPr>
          <w:rFonts w:ascii="Arial" w:hAnsi="Arial" w:cs="Arial"/>
          <w:b/>
          <w:bCs/>
          <w:noProof/>
          <w:sz w:val="24"/>
          <w:szCs w:val="24"/>
        </w:rPr>
        <w:t>Brown</w:t>
      </w:r>
      <w:r w:rsidR="001B5D3D" w:rsidRPr="001B5D3D">
        <w:rPr>
          <w:rFonts w:ascii="Arial" w:hAnsi="Arial" w:cs="Arial"/>
          <w:b/>
          <w:bCs/>
          <w:noProof/>
          <w:sz w:val="24"/>
          <w:szCs w:val="24"/>
        </w:rPr>
        <w:t xml:space="preserve">, </w:t>
      </w:r>
      <w:r w:rsidR="00465F22" w:rsidRPr="001B5D3D">
        <w:rPr>
          <w:rFonts w:ascii="Arial" w:hAnsi="Arial" w:cs="Arial"/>
          <w:b/>
          <w:bCs/>
          <w:noProof/>
          <w:sz w:val="24"/>
          <w:szCs w:val="24"/>
        </w:rPr>
        <w:t>Julian and Howes, 2024</w:t>
      </w:r>
      <w:r w:rsidR="00465F22" w:rsidRPr="00CE6C31">
        <w:rPr>
          <w:rFonts w:ascii="Arial" w:hAnsi="Arial" w:cs="Arial"/>
          <w:noProof/>
          <w:sz w:val="24"/>
          <w:szCs w:val="24"/>
        </w:rPr>
        <w:t>)</w:t>
      </w:r>
      <w:r w:rsidR="00465F22" w:rsidRPr="00CE6C31">
        <w:rPr>
          <w:rFonts w:ascii="Arial" w:hAnsi="Arial" w:cs="Arial"/>
          <w:sz w:val="24"/>
          <w:szCs w:val="24"/>
        </w:rPr>
        <w:fldChar w:fldCharType="end"/>
      </w:r>
      <w:r w:rsidR="00465F22" w:rsidRPr="00CE6C31">
        <w:rPr>
          <w:rFonts w:ascii="Arial" w:hAnsi="Arial" w:cs="Arial"/>
          <w:sz w:val="24"/>
          <w:szCs w:val="24"/>
        </w:rPr>
        <w:t>.</w:t>
      </w:r>
    </w:p>
    <w:p w14:paraId="327300BC" w14:textId="69FDC5EE" w:rsidR="009164FA" w:rsidRPr="00CE6C31" w:rsidRDefault="00025526" w:rsidP="00465F22">
      <w:pPr>
        <w:spacing w:line="360" w:lineRule="auto"/>
        <w:rPr>
          <w:rFonts w:ascii="Arial" w:hAnsi="Arial" w:cs="Arial"/>
          <w:b/>
          <w:bCs/>
          <w:color w:val="000000" w:themeColor="text1"/>
          <w:sz w:val="24"/>
          <w:szCs w:val="24"/>
        </w:rPr>
      </w:pPr>
      <w:r w:rsidRPr="00CE6C31">
        <w:rPr>
          <w:rFonts w:ascii="Arial" w:hAnsi="Arial" w:cs="Arial"/>
          <w:b/>
          <w:bCs/>
          <w:color w:val="000000" w:themeColor="text1"/>
          <w:sz w:val="24"/>
          <w:szCs w:val="24"/>
        </w:rPr>
        <w:t>C</w:t>
      </w:r>
      <w:r w:rsidR="009164FA" w:rsidRPr="00CE6C31">
        <w:rPr>
          <w:rFonts w:ascii="Arial" w:hAnsi="Arial" w:cs="Arial"/>
          <w:b/>
          <w:bCs/>
          <w:color w:val="000000" w:themeColor="text1"/>
          <w:sz w:val="24"/>
          <w:szCs w:val="24"/>
        </w:rPr>
        <w:t>onclusion</w:t>
      </w:r>
    </w:p>
    <w:p w14:paraId="00F00398" w14:textId="77777777" w:rsidR="009164FA" w:rsidRPr="00CE6C31" w:rsidRDefault="009164FA" w:rsidP="00465F22">
      <w:pPr>
        <w:spacing w:line="360" w:lineRule="auto"/>
        <w:rPr>
          <w:rFonts w:ascii="Arial" w:hAnsi="Arial" w:cs="Arial"/>
          <w:color w:val="000000" w:themeColor="text1"/>
          <w:sz w:val="24"/>
          <w:szCs w:val="24"/>
        </w:rPr>
      </w:pPr>
      <w:r w:rsidRPr="00CE6C31">
        <w:rPr>
          <w:rFonts w:ascii="Arial" w:hAnsi="Arial" w:cs="Arial"/>
          <w:color w:val="000000" w:themeColor="text1"/>
          <w:sz w:val="24"/>
          <w:szCs w:val="24"/>
        </w:rPr>
        <w:t xml:space="preserve">The integration of skills, knowledge, and experience is crucial for achieving appropriate investigative outcomes. While skills enable investigators to handle specific tasks such as interviews, surveillance, or analysis, knowledge ensures they are grounded in legal and criminal theory, while experience enables them to anticipate challenges and make informed decisions. </w:t>
      </w:r>
    </w:p>
    <w:p w14:paraId="12C682C9" w14:textId="77777777" w:rsidR="009164FA" w:rsidRPr="00CE6C31" w:rsidRDefault="009164FA" w:rsidP="00465F22">
      <w:pPr>
        <w:spacing w:line="360" w:lineRule="auto"/>
        <w:rPr>
          <w:rFonts w:ascii="Arial" w:hAnsi="Arial" w:cs="Arial"/>
          <w:b/>
          <w:bCs/>
          <w:sz w:val="24"/>
          <w:szCs w:val="24"/>
        </w:rPr>
      </w:pPr>
    </w:p>
    <w:p w14:paraId="64942512" w14:textId="38CECFD1" w:rsidR="00672140" w:rsidRPr="00CE6C31" w:rsidRDefault="009164FA" w:rsidP="00465F22">
      <w:pPr>
        <w:spacing w:line="360" w:lineRule="auto"/>
        <w:rPr>
          <w:rFonts w:ascii="Arial" w:hAnsi="Arial" w:cs="Arial"/>
          <w:b/>
          <w:bCs/>
          <w:sz w:val="24"/>
          <w:szCs w:val="24"/>
        </w:rPr>
      </w:pPr>
      <w:r w:rsidRPr="00CE6C31">
        <w:rPr>
          <w:rFonts w:ascii="Arial" w:hAnsi="Arial" w:cs="Arial"/>
          <w:b/>
          <w:bCs/>
          <w:sz w:val="24"/>
          <w:szCs w:val="24"/>
        </w:rPr>
        <w:t xml:space="preserve">Words – </w:t>
      </w:r>
      <w:r w:rsidR="00025526" w:rsidRPr="00CE6C31">
        <w:rPr>
          <w:rFonts w:ascii="Arial" w:hAnsi="Arial" w:cs="Arial"/>
          <w:b/>
          <w:bCs/>
          <w:sz w:val="24"/>
          <w:szCs w:val="24"/>
        </w:rPr>
        <w:t>1,0</w:t>
      </w:r>
      <w:r w:rsidR="00452B9D" w:rsidRPr="00CE6C31">
        <w:rPr>
          <w:rFonts w:ascii="Arial" w:hAnsi="Arial" w:cs="Arial"/>
          <w:b/>
          <w:bCs/>
          <w:sz w:val="24"/>
          <w:szCs w:val="24"/>
        </w:rPr>
        <w:t>5</w:t>
      </w:r>
      <w:r w:rsidR="00A22752" w:rsidRPr="00CE6C31">
        <w:rPr>
          <w:rFonts w:ascii="Arial" w:hAnsi="Arial" w:cs="Arial"/>
          <w:b/>
          <w:bCs/>
          <w:sz w:val="24"/>
          <w:szCs w:val="24"/>
        </w:rPr>
        <w:t>8</w:t>
      </w:r>
      <w:r w:rsidRPr="00CE6C31">
        <w:rPr>
          <w:rFonts w:ascii="Arial" w:hAnsi="Arial" w:cs="Arial"/>
          <w:b/>
          <w:bCs/>
          <w:sz w:val="24"/>
          <w:szCs w:val="24"/>
        </w:rPr>
        <w:t xml:space="preserve"> </w:t>
      </w:r>
    </w:p>
    <w:p w14:paraId="2DF24FDA" w14:textId="64AE9E71" w:rsidR="003E1094" w:rsidRPr="00CE6C31" w:rsidRDefault="009164FA" w:rsidP="00465F22">
      <w:pPr>
        <w:spacing w:line="360" w:lineRule="auto"/>
        <w:rPr>
          <w:rFonts w:ascii="Arial" w:hAnsi="Arial" w:cs="Arial"/>
          <w:sz w:val="24"/>
          <w:szCs w:val="24"/>
        </w:rPr>
      </w:pPr>
      <w:r w:rsidRPr="00CE6C31">
        <w:rPr>
          <w:rFonts w:ascii="Arial" w:hAnsi="Arial" w:cs="Arial"/>
          <w:b/>
          <w:bCs/>
          <w:sz w:val="24"/>
          <w:szCs w:val="24"/>
        </w:rPr>
        <w:t>References</w:t>
      </w:r>
    </w:p>
    <w:p w14:paraId="0F296019" w14:textId="77777777" w:rsidR="00465F22" w:rsidRPr="00CE6C31" w:rsidRDefault="003E1094"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fldChar w:fldCharType="begin"/>
      </w:r>
      <w:r w:rsidRPr="00CE6C31">
        <w:rPr>
          <w:rFonts w:ascii="Arial" w:hAnsi="Arial" w:cs="Arial"/>
          <w:sz w:val="24"/>
          <w:szCs w:val="24"/>
        </w:rPr>
        <w:instrText xml:space="preserve"> ADDIN EN.REFLIST </w:instrText>
      </w:r>
      <w:r w:rsidRPr="00CE6C31">
        <w:rPr>
          <w:rFonts w:ascii="Arial" w:hAnsi="Arial" w:cs="Arial"/>
          <w:sz w:val="24"/>
          <w:szCs w:val="24"/>
        </w:rPr>
        <w:fldChar w:fldCharType="separate"/>
      </w:r>
      <w:r w:rsidR="00465F22" w:rsidRPr="00CE6C31">
        <w:rPr>
          <w:rFonts w:ascii="Arial" w:hAnsi="Arial" w:cs="Arial"/>
          <w:sz w:val="24"/>
          <w:szCs w:val="24"/>
        </w:rPr>
        <w:t xml:space="preserve">ABBE, A. &amp; BRANDON, S. E. 2014. Building and maintaining rapport in investigative interviews. </w:t>
      </w:r>
      <w:r w:rsidR="00465F22" w:rsidRPr="00CE6C31">
        <w:rPr>
          <w:rFonts w:ascii="Arial" w:hAnsi="Arial" w:cs="Arial"/>
          <w:i/>
          <w:sz w:val="24"/>
          <w:szCs w:val="24"/>
        </w:rPr>
        <w:t>Police practice and research,</w:t>
      </w:r>
      <w:r w:rsidR="00465F22" w:rsidRPr="00CE6C31">
        <w:rPr>
          <w:rFonts w:ascii="Arial" w:hAnsi="Arial" w:cs="Arial"/>
          <w:sz w:val="24"/>
          <w:szCs w:val="24"/>
        </w:rPr>
        <w:t xml:space="preserve"> 15</w:t>
      </w:r>
      <w:r w:rsidR="00465F22" w:rsidRPr="00CE6C31">
        <w:rPr>
          <w:rFonts w:ascii="Arial" w:hAnsi="Arial" w:cs="Arial"/>
          <w:b/>
          <w:sz w:val="24"/>
          <w:szCs w:val="24"/>
        </w:rPr>
        <w:t>,</w:t>
      </w:r>
      <w:r w:rsidR="00465F22" w:rsidRPr="00CE6C31">
        <w:rPr>
          <w:rFonts w:ascii="Arial" w:hAnsi="Arial" w:cs="Arial"/>
          <w:sz w:val="24"/>
          <w:szCs w:val="24"/>
        </w:rPr>
        <w:t xml:space="preserve"> 207-220.</w:t>
      </w:r>
    </w:p>
    <w:p w14:paraId="52B6A7B5"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AKCA, D., LARIVIÈRE, C. D. &amp; EASTWOOD, J. 2021. Assessing the efficacy of investigative interviewing training courses: A systematic review. </w:t>
      </w:r>
      <w:r w:rsidRPr="00CE6C31">
        <w:rPr>
          <w:rFonts w:ascii="Arial" w:hAnsi="Arial" w:cs="Arial"/>
          <w:i/>
          <w:sz w:val="24"/>
          <w:szCs w:val="24"/>
        </w:rPr>
        <w:t>International Journal of Police Science &amp; Management,</w:t>
      </w:r>
      <w:r w:rsidRPr="00CE6C31">
        <w:rPr>
          <w:rFonts w:ascii="Arial" w:hAnsi="Arial" w:cs="Arial"/>
          <w:sz w:val="24"/>
          <w:szCs w:val="24"/>
        </w:rPr>
        <w:t xml:space="preserve"> 23</w:t>
      </w:r>
      <w:r w:rsidRPr="00CE6C31">
        <w:rPr>
          <w:rFonts w:ascii="Arial" w:hAnsi="Arial" w:cs="Arial"/>
          <w:b/>
          <w:sz w:val="24"/>
          <w:szCs w:val="24"/>
        </w:rPr>
        <w:t>,</w:t>
      </w:r>
      <w:r w:rsidRPr="00CE6C31">
        <w:rPr>
          <w:rFonts w:ascii="Arial" w:hAnsi="Arial" w:cs="Arial"/>
          <w:sz w:val="24"/>
          <w:szCs w:val="24"/>
        </w:rPr>
        <w:t xml:space="preserve"> 73-84.</w:t>
      </w:r>
    </w:p>
    <w:p w14:paraId="01B168E3"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ALISON, L. J., ALISON, E., NOONE, G., ELNTIB, S. &amp; CHRISTIANSEN, P. 2013. Why tough tactics fail and rapport gets results: Observing Rapport-Based Interpersonal Techniques (ORBIT) to generate useful information from terrorists. </w:t>
      </w:r>
      <w:r w:rsidRPr="00CE6C31">
        <w:rPr>
          <w:rFonts w:ascii="Arial" w:hAnsi="Arial" w:cs="Arial"/>
          <w:i/>
          <w:sz w:val="24"/>
          <w:szCs w:val="24"/>
        </w:rPr>
        <w:t>Psychology, public policy, and law,</w:t>
      </w:r>
      <w:r w:rsidRPr="00CE6C31">
        <w:rPr>
          <w:rFonts w:ascii="Arial" w:hAnsi="Arial" w:cs="Arial"/>
          <w:sz w:val="24"/>
          <w:szCs w:val="24"/>
        </w:rPr>
        <w:t xml:space="preserve"> 19</w:t>
      </w:r>
      <w:r w:rsidRPr="00CE6C31">
        <w:rPr>
          <w:rFonts w:ascii="Arial" w:hAnsi="Arial" w:cs="Arial"/>
          <w:b/>
          <w:sz w:val="24"/>
          <w:szCs w:val="24"/>
        </w:rPr>
        <w:t>,</w:t>
      </w:r>
      <w:r w:rsidRPr="00CE6C31">
        <w:rPr>
          <w:rFonts w:ascii="Arial" w:hAnsi="Arial" w:cs="Arial"/>
          <w:sz w:val="24"/>
          <w:szCs w:val="24"/>
        </w:rPr>
        <w:t xml:space="preserve"> 411.</w:t>
      </w:r>
    </w:p>
    <w:p w14:paraId="0C5D6357"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lastRenderedPageBreak/>
        <w:t xml:space="preserve">AUDIA, P. G., LAUREIRO MARTINEZ, D. &amp; NEWARK, D. A. 2024. Editorial: Decision making and problem solving in organizations: assessing and expanding the Carnegie perspective. </w:t>
      </w:r>
      <w:r w:rsidRPr="00CE6C31">
        <w:rPr>
          <w:rFonts w:ascii="Arial" w:hAnsi="Arial" w:cs="Arial"/>
          <w:i/>
          <w:sz w:val="24"/>
          <w:szCs w:val="24"/>
        </w:rPr>
        <w:t>Frontiers in Psychology,</w:t>
      </w:r>
      <w:r w:rsidRPr="00CE6C31">
        <w:rPr>
          <w:rFonts w:ascii="Arial" w:hAnsi="Arial" w:cs="Arial"/>
          <w:sz w:val="24"/>
          <w:szCs w:val="24"/>
        </w:rPr>
        <w:t xml:space="preserve"> 15.</w:t>
      </w:r>
    </w:p>
    <w:p w14:paraId="6D331FCC"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BROWN, C., JULIAN, R. &amp; HOWES, L. M. 2024. ‘Strands in a cable’: effective investigator decision-making using forensic identification evidence in volume crime investigations. </w:t>
      </w:r>
      <w:r w:rsidRPr="00CE6C31">
        <w:rPr>
          <w:rFonts w:ascii="Arial" w:hAnsi="Arial" w:cs="Arial"/>
          <w:i/>
          <w:sz w:val="24"/>
          <w:szCs w:val="24"/>
        </w:rPr>
        <w:t>Policing and Society,</w:t>
      </w:r>
      <w:r w:rsidRPr="00CE6C31">
        <w:rPr>
          <w:rFonts w:ascii="Arial" w:hAnsi="Arial" w:cs="Arial"/>
          <w:sz w:val="24"/>
          <w:szCs w:val="24"/>
        </w:rPr>
        <w:t xml:space="preserve"> 34</w:t>
      </w:r>
      <w:r w:rsidRPr="00CE6C31">
        <w:rPr>
          <w:rFonts w:ascii="Arial" w:hAnsi="Arial" w:cs="Arial"/>
          <w:b/>
          <w:sz w:val="24"/>
          <w:szCs w:val="24"/>
        </w:rPr>
        <w:t>,</w:t>
      </w:r>
      <w:r w:rsidRPr="00CE6C31">
        <w:rPr>
          <w:rFonts w:ascii="Arial" w:hAnsi="Arial" w:cs="Arial"/>
          <w:sz w:val="24"/>
          <w:szCs w:val="24"/>
        </w:rPr>
        <w:t xml:space="preserve"> 417-433.</w:t>
      </w:r>
    </w:p>
    <w:p w14:paraId="0B9CA6E3"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BUHRIG, R. 2023. Capacity, capability, and collaboration: a qualitative analysis of international cybercrime investigations from the perspective of Canadian investigators. </w:t>
      </w:r>
      <w:r w:rsidRPr="00CE6C31">
        <w:rPr>
          <w:rFonts w:ascii="Arial" w:hAnsi="Arial" w:cs="Arial"/>
          <w:i/>
          <w:sz w:val="24"/>
          <w:szCs w:val="24"/>
        </w:rPr>
        <w:t>International Cybersecurity Law Review,</w:t>
      </w:r>
      <w:r w:rsidRPr="00CE6C31">
        <w:rPr>
          <w:rFonts w:ascii="Arial" w:hAnsi="Arial" w:cs="Arial"/>
          <w:sz w:val="24"/>
          <w:szCs w:val="24"/>
        </w:rPr>
        <w:t xml:space="preserve"> 4</w:t>
      </w:r>
      <w:r w:rsidRPr="00CE6C31">
        <w:rPr>
          <w:rFonts w:ascii="Arial" w:hAnsi="Arial" w:cs="Arial"/>
          <w:b/>
          <w:sz w:val="24"/>
          <w:szCs w:val="24"/>
        </w:rPr>
        <w:t>,</w:t>
      </w:r>
      <w:r w:rsidRPr="00CE6C31">
        <w:rPr>
          <w:rFonts w:ascii="Arial" w:hAnsi="Arial" w:cs="Arial"/>
          <w:sz w:val="24"/>
          <w:szCs w:val="24"/>
        </w:rPr>
        <w:t xml:space="preserve"> 415-429.</w:t>
      </w:r>
    </w:p>
    <w:p w14:paraId="5B660DF5"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CANTER, D. 2004. Offender profiling and investigative psychology. Wiley Online Library.</w:t>
      </w:r>
    </w:p>
    <w:p w14:paraId="29C58169"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ECK, J. E. &amp; ROSSMO, D. K. 2019. The new detective: Rethinking criminal investigations. </w:t>
      </w:r>
      <w:r w:rsidRPr="00CE6C31">
        <w:rPr>
          <w:rFonts w:ascii="Arial" w:hAnsi="Arial" w:cs="Arial"/>
          <w:i/>
          <w:sz w:val="24"/>
          <w:szCs w:val="24"/>
        </w:rPr>
        <w:t>Criminology &amp; public policy,</w:t>
      </w:r>
      <w:r w:rsidRPr="00CE6C31">
        <w:rPr>
          <w:rFonts w:ascii="Arial" w:hAnsi="Arial" w:cs="Arial"/>
          <w:sz w:val="24"/>
          <w:szCs w:val="24"/>
        </w:rPr>
        <w:t xml:space="preserve"> 18</w:t>
      </w:r>
      <w:r w:rsidRPr="00CE6C31">
        <w:rPr>
          <w:rFonts w:ascii="Arial" w:hAnsi="Arial" w:cs="Arial"/>
          <w:b/>
          <w:sz w:val="24"/>
          <w:szCs w:val="24"/>
        </w:rPr>
        <w:t>,</w:t>
      </w:r>
      <w:r w:rsidRPr="00CE6C31">
        <w:rPr>
          <w:rFonts w:ascii="Arial" w:hAnsi="Arial" w:cs="Arial"/>
          <w:sz w:val="24"/>
          <w:szCs w:val="24"/>
        </w:rPr>
        <w:t xml:space="preserve"> 601-622.</w:t>
      </w:r>
    </w:p>
    <w:p w14:paraId="28F5D76C"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FACIONE, P. A. 2011. Critical thinking: What it is and why it counts. </w:t>
      </w:r>
      <w:r w:rsidRPr="00CE6C31">
        <w:rPr>
          <w:rFonts w:ascii="Arial" w:hAnsi="Arial" w:cs="Arial"/>
          <w:i/>
          <w:sz w:val="24"/>
          <w:szCs w:val="24"/>
        </w:rPr>
        <w:t>Insight assessment,</w:t>
      </w:r>
      <w:r w:rsidRPr="00CE6C31">
        <w:rPr>
          <w:rFonts w:ascii="Arial" w:hAnsi="Arial" w:cs="Arial"/>
          <w:sz w:val="24"/>
          <w:szCs w:val="24"/>
        </w:rPr>
        <w:t xml:space="preserve"> 1</w:t>
      </w:r>
      <w:r w:rsidRPr="00CE6C31">
        <w:rPr>
          <w:rFonts w:ascii="Arial" w:hAnsi="Arial" w:cs="Arial"/>
          <w:b/>
          <w:sz w:val="24"/>
          <w:szCs w:val="24"/>
        </w:rPr>
        <w:t>,</w:t>
      </w:r>
      <w:r w:rsidRPr="00CE6C31">
        <w:rPr>
          <w:rFonts w:ascii="Arial" w:hAnsi="Arial" w:cs="Arial"/>
          <w:sz w:val="24"/>
          <w:szCs w:val="24"/>
        </w:rPr>
        <w:t xml:space="preserve"> 1-23.</w:t>
      </w:r>
    </w:p>
    <w:p w14:paraId="54A1AADC"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FAHSING, I. A. &amp; ASK, K. 2018. In search of indicators of detective aptitude: police recruits’ logical reasoning and ability to generate investigative hypotheses. </w:t>
      </w:r>
      <w:r w:rsidRPr="00CE6C31">
        <w:rPr>
          <w:rFonts w:ascii="Arial" w:hAnsi="Arial" w:cs="Arial"/>
          <w:i/>
          <w:sz w:val="24"/>
          <w:szCs w:val="24"/>
        </w:rPr>
        <w:t>Journal of Police and Criminal Psychology,</w:t>
      </w:r>
      <w:r w:rsidRPr="00CE6C31">
        <w:rPr>
          <w:rFonts w:ascii="Arial" w:hAnsi="Arial" w:cs="Arial"/>
          <w:sz w:val="24"/>
          <w:szCs w:val="24"/>
        </w:rPr>
        <w:t xml:space="preserve"> 33</w:t>
      </w:r>
      <w:r w:rsidRPr="00CE6C31">
        <w:rPr>
          <w:rFonts w:ascii="Arial" w:hAnsi="Arial" w:cs="Arial"/>
          <w:b/>
          <w:sz w:val="24"/>
          <w:szCs w:val="24"/>
        </w:rPr>
        <w:t>,</w:t>
      </w:r>
      <w:r w:rsidRPr="00CE6C31">
        <w:rPr>
          <w:rFonts w:ascii="Arial" w:hAnsi="Arial" w:cs="Arial"/>
          <w:sz w:val="24"/>
          <w:szCs w:val="24"/>
        </w:rPr>
        <w:t xml:space="preserve"> 21-34.</w:t>
      </w:r>
    </w:p>
    <w:p w14:paraId="6C64E494"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HORSMAN, G. 2021. Digital evidence and the crime scene. </w:t>
      </w:r>
      <w:r w:rsidRPr="00CE6C31">
        <w:rPr>
          <w:rFonts w:ascii="Arial" w:hAnsi="Arial" w:cs="Arial"/>
          <w:i/>
          <w:sz w:val="24"/>
          <w:szCs w:val="24"/>
        </w:rPr>
        <w:t>Science &amp; Justice,</w:t>
      </w:r>
      <w:r w:rsidRPr="00CE6C31">
        <w:rPr>
          <w:rFonts w:ascii="Arial" w:hAnsi="Arial" w:cs="Arial"/>
          <w:sz w:val="24"/>
          <w:szCs w:val="24"/>
        </w:rPr>
        <w:t xml:space="preserve"> 61</w:t>
      </w:r>
      <w:r w:rsidRPr="00CE6C31">
        <w:rPr>
          <w:rFonts w:ascii="Arial" w:hAnsi="Arial" w:cs="Arial"/>
          <w:b/>
          <w:sz w:val="24"/>
          <w:szCs w:val="24"/>
        </w:rPr>
        <w:t>,</w:t>
      </w:r>
      <w:r w:rsidRPr="00CE6C31">
        <w:rPr>
          <w:rFonts w:ascii="Arial" w:hAnsi="Arial" w:cs="Arial"/>
          <w:sz w:val="24"/>
          <w:szCs w:val="24"/>
        </w:rPr>
        <w:t xml:space="preserve"> 761-770.</w:t>
      </w:r>
    </w:p>
    <w:p w14:paraId="575B66BE"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INNES, M., BROOKMAN, F. &amp; JONES, H. 2021. “Mosaicking”: cross construction, sense-making and methods of police investigation. </w:t>
      </w:r>
      <w:r w:rsidRPr="00CE6C31">
        <w:rPr>
          <w:rFonts w:ascii="Arial" w:hAnsi="Arial" w:cs="Arial"/>
          <w:i/>
          <w:sz w:val="24"/>
          <w:szCs w:val="24"/>
        </w:rPr>
        <w:t>Policing: An International Journal,</w:t>
      </w:r>
      <w:r w:rsidRPr="00CE6C31">
        <w:rPr>
          <w:rFonts w:ascii="Arial" w:hAnsi="Arial" w:cs="Arial"/>
          <w:sz w:val="24"/>
          <w:szCs w:val="24"/>
        </w:rPr>
        <w:t xml:space="preserve"> 44</w:t>
      </w:r>
      <w:r w:rsidRPr="00CE6C31">
        <w:rPr>
          <w:rFonts w:ascii="Arial" w:hAnsi="Arial" w:cs="Arial"/>
          <w:b/>
          <w:sz w:val="24"/>
          <w:szCs w:val="24"/>
        </w:rPr>
        <w:t>,</w:t>
      </w:r>
      <w:r w:rsidRPr="00CE6C31">
        <w:rPr>
          <w:rFonts w:ascii="Arial" w:hAnsi="Arial" w:cs="Arial"/>
          <w:sz w:val="24"/>
          <w:szCs w:val="24"/>
        </w:rPr>
        <w:t xml:space="preserve"> 708-721.</w:t>
      </w:r>
    </w:p>
    <w:p w14:paraId="4670AFD4"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KIRBY, S. &amp; SNOW, N. 2016. Praxis and the disruption of organized crime groups. </w:t>
      </w:r>
      <w:r w:rsidRPr="00CE6C31">
        <w:rPr>
          <w:rFonts w:ascii="Arial" w:hAnsi="Arial" w:cs="Arial"/>
          <w:i/>
          <w:sz w:val="24"/>
          <w:szCs w:val="24"/>
        </w:rPr>
        <w:t>Trends in organized crime,</w:t>
      </w:r>
      <w:r w:rsidRPr="00CE6C31">
        <w:rPr>
          <w:rFonts w:ascii="Arial" w:hAnsi="Arial" w:cs="Arial"/>
          <w:sz w:val="24"/>
          <w:szCs w:val="24"/>
        </w:rPr>
        <w:t xml:space="preserve"> 19</w:t>
      </w:r>
      <w:r w:rsidRPr="00CE6C31">
        <w:rPr>
          <w:rFonts w:ascii="Arial" w:hAnsi="Arial" w:cs="Arial"/>
          <w:b/>
          <w:sz w:val="24"/>
          <w:szCs w:val="24"/>
        </w:rPr>
        <w:t>,</w:t>
      </w:r>
      <w:r w:rsidRPr="00CE6C31">
        <w:rPr>
          <w:rFonts w:ascii="Arial" w:hAnsi="Arial" w:cs="Arial"/>
          <w:sz w:val="24"/>
          <w:szCs w:val="24"/>
        </w:rPr>
        <w:t xml:space="preserve"> 111-124.</w:t>
      </w:r>
    </w:p>
    <w:p w14:paraId="48AE2591"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MORGAN, J. 2023. Wrongful convictions and claims of false or misleading forensic evidence. </w:t>
      </w:r>
      <w:r w:rsidRPr="00CE6C31">
        <w:rPr>
          <w:rFonts w:ascii="Arial" w:hAnsi="Arial" w:cs="Arial"/>
          <w:i/>
          <w:sz w:val="24"/>
          <w:szCs w:val="24"/>
        </w:rPr>
        <w:t>Journal of forensic sciences,</w:t>
      </w:r>
      <w:r w:rsidRPr="00CE6C31">
        <w:rPr>
          <w:rFonts w:ascii="Arial" w:hAnsi="Arial" w:cs="Arial"/>
          <w:sz w:val="24"/>
          <w:szCs w:val="24"/>
        </w:rPr>
        <w:t xml:space="preserve"> 68</w:t>
      </w:r>
      <w:r w:rsidRPr="00CE6C31">
        <w:rPr>
          <w:rFonts w:ascii="Arial" w:hAnsi="Arial" w:cs="Arial"/>
          <w:b/>
          <w:sz w:val="24"/>
          <w:szCs w:val="24"/>
        </w:rPr>
        <w:t>,</w:t>
      </w:r>
      <w:r w:rsidRPr="00CE6C31">
        <w:rPr>
          <w:rFonts w:ascii="Arial" w:hAnsi="Arial" w:cs="Arial"/>
          <w:sz w:val="24"/>
          <w:szCs w:val="24"/>
        </w:rPr>
        <w:t xml:space="preserve"> 908-961.</w:t>
      </w:r>
    </w:p>
    <w:p w14:paraId="575537DF"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MORGAN, R. M. 2024. Forensic Science Innovation in the UK: Roadblocks and Enablers. </w:t>
      </w:r>
      <w:r w:rsidRPr="00CE6C31">
        <w:rPr>
          <w:rFonts w:ascii="Arial" w:hAnsi="Arial" w:cs="Arial"/>
          <w:i/>
          <w:sz w:val="24"/>
          <w:szCs w:val="24"/>
        </w:rPr>
        <w:t>Driving Forensic Innovation in the 21st Century: Crossing the Valley of Death.</w:t>
      </w:r>
      <w:r w:rsidRPr="00CE6C31">
        <w:rPr>
          <w:rFonts w:ascii="Arial" w:hAnsi="Arial" w:cs="Arial"/>
          <w:sz w:val="24"/>
          <w:szCs w:val="24"/>
        </w:rPr>
        <w:t xml:space="preserve"> Springer.</w:t>
      </w:r>
    </w:p>
    <w:p w14:paraId="774EE80A" w14:textId="77777777" w:rsidR="00465F22" w:rsidRPr="00CE6C31" w:rsidRDefault="00465F22" w:rsidP="00465F22">
      <w:pPr>
        <w:pStyle w:val="EndNoteBibliography"/>
        <w:spacing w:after="0" w:line="360" w:lineRule="auto"/>
        <w:ind w:left="720" w:hanging="720"/>
        <w:rPr>
          <w:rFonts w:ascii="Arial" w:hAnsi="Arial" w:cs="Arial"/>
          <w:sz w:val="24"/>
          <w:szCs w:val="24"/>
        </w:rPr>
      </w:pPr>
      <w:r w:rsidRPr="00CE6C31">
        <w:rPr>
          <w:rFonts w:ascii="Arial" w:hAnsi="Arial" w:cs="Arial"/>
          <w:sz w:val="24"/>
          <w:szCs w:val="24"/>
        </w:rPr>
        <w:t xml:space="preserve">POYSER, S. &amp; MILNE, R. 2015. No grounds for complacency and plenty for continued vigilance: Miscarriages of justice as drivers for research on reforming the investigative interviewing process. </w:t>
      </w:r>
      <w:r w:rsidRPr="00CE6C31">
        <w:rPr>
          <w:rFonts w:ascii="Arial" w:hAnsi="Arial" w:cs="Arial"/>
          <w:i/>
          <w:sz w:val="24"/>
          <w:szCs w:val="24"/>
        </w:rPr>
        <w:t>The Police Journal,</w:t>
      </w:r>
      <w:r w:rsidRPr="00CE6C31">
        <w:rPr>
          <w:rFonts w:ascii="Arial" w:hAnsi="Arial" w:cs="Arial"/>
          <w:sz w:val="24"/>
          <w:szCs w:val="24"/>
        </w:rPr>
        <w:t xml:space="preserve"> 88</w:t>
      </w:r>
      <w:r w:rsidRPr="00CE6C31">
        <w:rPr>
          <w:rFonts w:ascii="Arial" w:hAnsi="Arial" w:cs="Arial"/>
          <w:b/>
          <w:sz w:val="24"/>
          <w:szCs w:val="24"/>
        </w:rPr>
        <w:t>,</w:t>
      </w:r>
      <w:r w:rsidRPr="00CE6C31">
        <w:rPr>
          <w:rFonts w:ascii="Arial" w:hAnsi="Arial" w:cs="Arial"/>
          <w:sz w:val="24"/>
          <w:szCs w:val="24"/>
        </w:rPr>
        <w:t xml:space="preserve"> 265-280.</w:t>
      </w:r>
    </w:p>
    <w:p w14:paraId="2E859F4A" w14:textId="29732E47" w:rsidR="00465F22" w:rsidRPr="00CE6C31" w:rsidRDefault="00465F22" w:rsidP="00465F22">
      <w:pPr>
        <w:pStyle w:val="EndNoteBibliography"/>
        <w:spacing w:line="360" w:lineRule="auto"/>
        <w:ind w:left="720" w:hanging="720"/>
        <w:rPr>
          <w:rFonts w:ascii="Arial" w:hAnsi="Arial" w:cs="Arial"/>
          <w:sz w:val="24"/>
          <w:szCs w:val="24"/>
        </w:rPr>
      </w:pPr>
      <w:r w:rsidRPr="00CE6C31">
        <w:rPr>
          <w:rFonts w:ascii="Arial" w:hAnsi="Arial" w:cs="Arial"/>
          <w:sz w:val="24"/>
          <w:szCs w:val="24"/>
        </w:rPr>
        <w:lastRenderedPageBreak/>
        <w:t xml:space="preserve">UNIVERSITY OF SOUTHERN CALIFORNIA. 2013. </w:t>
      </w:r>
      <w:r w:rsidRPr="00CE6C31">
        <w:rPr>
          <w:rFonts w:ascii="Arial" w:hAnsi="Arial" w:cs="Arial"/>
          <w:i/>
          <w:sz w:val="24"/>
          <w:szCs w:val="24"/>
        </w:rPr>
        <w:t xml:space="preserve">Research Guides: Organizing Your Social Sciences Research Paper: Theoretical Framework </w:t>
      </w:r>
      <w:r w:rsidRPr="00CE6C31">
        <w:rPr>
          <w:rFonts w:ascii="Arial" w:hAnsi="Arial" w:cs="Arial"/>
          <w:sz w:val="24"/>
          <w:szCs w:val="24"/>
        </w:rPr>
        <w:t xml:space="preserve">[Online]. Available: </w:t>
      </w:r>
      <w:hyperlink r:id="rId5" w:history="1">
        <w:r w:rsidRPr="00CE6C31">
          <w:rPr>
            <w:rStyle w:val="Hyperlink"/>
            <w:rFonts w:ascii="Arial" w:hAnsi="Arial" w:cs="Arial"/>
            <w:sz w:val="24"/>
            <w:szCs w:val="24"/>
          </w:rPr>
          <w:t>https://libguides.usc.edu/writingguide/theoreticalframework</w:t>
        </w:r>
      </w:hyperlink>
      <w:r w:rsidRPr="00CE6C31">
        <w:rPr>
          <w:rFonts w:ascii="Arial" w:hAnsi="Arial" w:cs="Arial"/>
          <w:sz w:val="24"/>
          <w:szCs w:val="24"/>
        </w:rPr>
        <w:t xml:space="preserve"> [Accessed 23 Dec. 2024].</w:t>
      </w:r>
    </w:p>
    <w:p w14:paraId="21541B7D" w14:textId="1C2E126D" w:rsidR="00256EFC" w:rsidRPr="00CE6C31" w:rsidRDefault="003E1094" w:rsidP="00465F22">
      <w:pPr>
        <w:spacing w:line="360" w:lineRule="auto"/>
        <w:rPr>
          <w:rFonts w:ascii="Arial" w:hAnsi="Arial" w:cs="Arial"/>
          <w:sz w:val="24"/>
          <w:szCs w:val="24"/>
        </w:rPr>
      </w:pPr>
      <w:r w:rsidRPr="00CE6C31">
        <w:rPr>
          <w:rFonts w:ascii="Arial" w:hAnsi="Arial" w:cs="Arial"/>
          <w:sz w:val="24"/>
          <w:szCs w:val="24"/>
        </w:rPr>
        <w:fldChar w:fldCharType="end"/>
      </w:r>
    </w:p>
    <w:sectPr w:rsidR="00256EFC" w:rsidRPr="00CE6C31" w:rsidSect="00452B9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s2tdevp8tvxsge0avpxx2w2de9f9prtt22t&quot;&gt;Wayne&amp;apos;s Library- Task 4 B&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record-ids&gt;&lt;/item&gt;&lt;/Libraries&gt;"/>
  </w:docVars>
  <w:rsids>
    <w:rsidRoot w:val="009164FA"/>
    <w:rsid w:val="0000420F"/>
    <w:rsid w:val="00007B01"/>
    <w:rsid w:val="00025526"/>
    <w:rsid w:val="0009678A"/>
    <w:rsid w:val="0012283C"/>
    <w:rsid w:val="001B5D3D"/>
    <w:rsid w:val="00256EFC"/>
    <w:rsid w:val="00267DD9"/>
    <w:rsid w:val="00312D10"/>
    <w:rsid w:val="00355DF5"/>
    <w:rsid w:val="003E1094"/>
    <w:rsid w:val="003F04DD"/>
    <w:rsid w:val="00452B9D"/>
    <w:rsid w:val="00465F22"/>
    <w:rsid w:val="004C6C64"/>
    <w:rsid w:val="004E059B"/>
    <w:rsid w:val="004E55EB"/>
    <w:rsid w:val="004E734B"/>
    <w:rsid w:val="00511563"/>
    <w:rsid w:val="00672140"/>
    <w:rsid w:val="00692195"/>
    <w:rsid w:val="006E071A"/>
    <w:rsid w:val="006F47B3"/>
    <w:rsid w:val="00845C7C"/>
    <w:rsid w:val="008E6B97"/>
    <w:rsid w:val="0091385E"/>
    <w:rsid w:val="009164FA"/>
    <w:rsid w:val="009C5C79"/>
    <w:rsid w:val="00A22752"/>
    <w:rsid w:val="00AA5A3F"/>
    <w:rsid w:val="00B53B47"/>
    <w:rsid w:val="00BF1F58"/>
    <w:rsid w:val="00CE6C31"/>
    <w:rsid w:val="00DA60B9"/>
    <w:rsid w:val="00E3659F"/>
    <w:rsid w:val="00E85275"/>
    <w:rsid w:val="00F54B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54A6"/>
  <w15:chartTrackingRefBased/>
  <w15:docId w15:val="{F1BF6E3A-0C95-4059-BF0B-631489BF8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4FA"/>
  </w:style>
  <w:style w:type="paragraph" w:styleId="Heading1">
    <w:name w:val="heading 1"/>
    <w:basedOn w:val="Normal"/>
    <w:next w:val="Normal"/>
    <w:link w:val="Heading1Char"/>
    <w:uiPriority w:val="9"/>
    <w:qFormat/>
    <w:rsid w:val="00916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6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6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6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6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64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64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64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64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6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6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6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6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6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6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6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6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64FA"/>
    <w:rPr>
      <w:rFonts w:eastAsiaTheme="majorEastAsia" w:cstheme="majorBidi"/>
      <w:color w:val="272727" w:themeColor="text1" w:themeTint="D8"/>
    </w:rPr>
  </w:style>
  <w:style w:type="paragraph" w:styleId="Title">
    <w:name w:val="Title"/>
    <w:basedOn w:val="Normal"/>
    <w:next w:val="Normal"/>
    <w:link w:val="TitleChar"/>
    <w:uiPriority w:val="10"/>
    <w:qFormat/>
    <w:rsid w:val="00916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6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64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6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64FA"/>
    <w:pPr>
      <w:spacing w:before="160"/>
      <w:jc w:val="center"/>
    </w:pPr>
    <w:rPr>
      <w:i/>
      <w:iCs/>
      <w:color w:val="404040" w:themeColor="text1" w:themeTint="BF"/>
    </w:rPr>
  </w:style>
  <w:style w:type="character" w:customStyle="1" w:styleId="QuoteChar">
    <w:name w:val="Quote Char"/>
    <w:basedOn w:val="DefaultParagraphFont"/>
    <w:link w:val="Quote"/>
    <w:uiPriority w:val="29"/>
    <w:rsid w:val="009164FA"/>
    <w:rPr>
      <w:i/>
      <w:iCs/>
      <w:color w:val="404040" w:themeColor="text1" w:themeTint="BF"/>
    </w:rPr>
  </w:style>
  <w:style w:type="paragraph" w:styleId="ListParagraph">
    <w:name w:val="List Paragraph"/>
    <w:basedOn w:val="Normal"/>
    <w:uiPriority w:val="34"/>
    <w:qFormat/>
    <w:rsid w:val="009164FA"/>
    <w:pPr>
      <w:ind w:left="720"/>
      <w:contextualSpacing/>
    </w:pPr>
  </w:style>
  <w:style w:type="character" w:styleId="IntenseEmphasis">
    <w:name w:val="Intense Emphasis"/>
    <w:basedOn w:val="DefaultParagraphFont"/>
    <w:uiPriority w:val="21"/>
    <w:qFormat/>
    <w:rsid w:val="009164FA"/>
    <w:rPr>
      <w:i/>
      <w:iCs/>
      <w:color w:val="0F4761" w:themeColor="accent1" w:themeShade="BF"/>
    </w:rPr>
  </w:style>
  <w:style w:type="paragraph" w:styleId="IntenseQuote">
    <w:name w:val="Intense Quote"/>
    <w:basedOn w:val="Normal"/>
    <w:next w:val="Normal"/>
    <w:link w:val="IntenseQuoteChar"/>
    <w:uiPriority w:val="30"/>
    <w:qFormat/>
    <w:rsid w:val="00916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64FA"/>
    <w:rPr>
      <w:i/>
      <w:iCs/>
      <w:color w:val="0F4761" w:themeColor="accent1" w:themeShade="BF"/>
    </w:rPr>
  </w:style>
  <w:style w:type="character" w:styleId="IntenseReference">
    <w:name w:val="Intense Reference"/>
    <w:basedOn w:val="DefaultParagraphFont"/>
    <w:uiPriority w:val="32"/>
    <w:qFormat/>
    <w:rsid w:val="009164FA"/>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3E1094"/>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3E1094"/>
    <w:rPr>
      <w:rFonts w:ascii="Aptos" w:hAnsi="Aptos"/>
      <w:noProof/>
      <w:lang w:val="en-US"/>
    </w:rPr>
  </w:style>
  <w:style w:type="paragraph" w:customStyle="1" w:styleId="EndNoteBibliography">
    <w:name w:val="EndNote Bibliography"/>
    <w:basedOn w:val="Normal"/>
    <w:link w:val="EndNoteBibliographyChar"/>
    <w:rsid w:val="003E1094"/>
    <w:pPr>
      <w:spacing w:line="240" w:lineRule="auto"/>
    </w:pPr>
    <w:rPr>
      <w:rFonts w:ascii="Aptos" w:hAnsi="Aptos"/>
      <w:noProof/>
      <w:lang w:val="en-US"/>
    </w:rPr>
  </w:style>
  <w:style w:type="character" w:customStyle="1" w:styleId="EndNoteBibliographyChar">
    <w:name w:val="EndNote Bibliography Char"/>
    <w:basedOn w:val="DefaultParagraphFont"/>
    <w:link w:val="EndNoteBibliography"/>
    <w:rsid w:val="003E1094"/>
    <w:rPr>
      <w:rFonts w:ascii="Aptos" w:hAnsi="Aptos"/>
      <w:noProof/>
      <w:lang w:val="en-US"/>
    </w:rPr>
  </w:style>
  <w:style w:type="character" w:styleId="Hyperlink">
    <w:name w:val="Hyperlink"/>
    <w:basedOn w:val="DefaultParagraphFont"/>
    <w:uiPriority w:val="99"/>
    <w:unhideWhenUsed/>
    <w:rsid w:val="004E059B"/>
    <w:rPr>
      <w:color w:val="467886" w:themeColor="hyperlink"/>
      <w:u w:val="single"/>
    </w:rPr>
  </w:style>
  <w:style w:type="character" w:styleId="UnresolvedMention">
    <w:name w:val="Unresolved Mention"/>
    <w:basedOn w:val="DefaultParagraphFont"/>
    <w:uiPriority w:val="99"/>
    <w:semiHidden/>
    <w:unhideWhenUsed/>
    <w:rsid w:val="004E0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69751">
      <w:bodyDiv w:val="1"/>
      <w:marLeft w:val="0"/>
      <w:marRight w:val="0"/>
      <w:marTop w:val="0"/>
      <w:marBottom w:val="0"/>
      <w:divBdr>
        <w:top w:val="none" w:sz="0" w:space="0" w:color="auto"/>
        <w:left w:val="none" w:sz="0" w:space="0" w:color="auto"/>
        <w:bottom w:val="none" w:sz="0" w:space="0" w:color="auto"/>
        <w:right w:val="none" w:sz="0" w:space="0" w:color="auto"/>
      </w:divBdr>
      <w:divsChild>
        <w:div w:id="1050574486">
          <w:marLeft w:val="0"/>
          <w:marRight w:val="0"/>
          <w:marTop w:val="0"/>
          <w:marBottom w:val="0"/>
          <w:divBdr>
            <w:top w:val="none" w:sz="0" w:space="0" w:color="auto"/>
            <w:left w:val="none" w:sz="0" w:space="0" w:color="auto"/>
            <w:bottom w:val="none" w:sz="0" w:space="0" w:color="auto"/>
            <w:right w:val="none" w:sz="0" w:space="0" w:color="auto"/>
          </w:divBdr>
          <w:divsChild>
            <w:div w:id="824399382">
              <w:marLeft w:val="0"/>
              <w:marRight w:val="0"/>
              <w:marTop w:val="0"/>
              <w:marBottom w:val="0"/>
              <w:divBdr>
                <w:top w:val="none" w:sz="0" w:space="0" w:color="auto"/>
                <w:left w:val="none" w:sz="0" w:space="0" w:color="auto"/>
                <w:bottom w:val="none" w:sz="0" w:space="0" w:color="auto"/>
                <w:right w:val="none" w:sz="0" w:space="0" w:color="auto"/>
              </w:divBdr>
              <w:divsChild>
                <w:div w:id="10691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49693">
      <w:bodyDiv w:val="1"/>
      <w:marLeft w:val="0"/>
      <w:marRight w:val="0"/>
      <w:marTop w:val="0"/>
      <w:marBottom w:val="0"/>
      <w:divBdr>
        <w:top w:val="none" w:sz="0" w:space="0" w:color="auto"/>
        <w:left w:val="none" w:sz="0" w:space="0" w:color="auto"/>
        <w:bottom w:val="none" w:sz="0" w:space="0" w:color="auto"/>
        <w:right w:val="none" w:sz="0" w:space="0" w:color="auto"/>
      </w:divBdr>
      <w:divsChild>
        <w:div w:id="1017074473">
          <w:marLeft w:val="0"/>
          <w:marRight w:val="0"/>
          <w:marTop w:val="0"/>
          <w:marBottom w:val="0"/>
          <w:divBdr>
            <w:top w:val="none" w:sz="0" w:space="0" w:color="auto"/>
            <w:left w:val="none" w:sz="0" w:space="0" w:color="auto"/>
            <w:bottom w:val="none" w:sz="0" w:space="0" w:color="auto"/>
            <w:right w:val="none" w:sz="0" w:space="0" w:color="auto"/>
          </w:divBdr>
          <w:divsChild>
            <w:div w:id="553934379">
              <w:marLeft w:val="0"/>
              <w:marRight w:val="0"/>
              <w:marTop w:val="0"/>
              <w:marBottom w:val="0"/>
              <w:divBdr>
                <w:top w:val="none" w:sz="0" w:space="0" w:color="auto"/>
                <w:left w:val="none" w:sz="0" w:space="0" w:color="auto"/>
                <w:bottom w:val="none" w:sz="0" w:space="0" w:color="auto"/>
                <w:right w:val="none" w:sz="0" w:space="0" w:color="auto"/>
              </w:divBdr>
              <w:divsChild>
                <w:div w:id="170173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libguides.usc.edu/writingguide/theoreticalframewor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6E517-4BF8-4653-98EA-7CFCCF3E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3883</Words>
  <Characters>22138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Staunton (2222122)</dc:creator>
  <cp:keywords/>
  <dc:description/>
  <cp:lastModifiedBy>Wayne Staunton (2222122)</cp:lastModifiedBy>
  <cp:revision>2</cp:revision>
  <dcterms:created xsi:type="dcterms:W3CDTF">2025-01-13T18:50:00Z</dcterms:created>
  <dcterms:modified xsi:type="dcterms:W3CDTF">2025-01-13T18:50:00Z</dcterms:modified>
</cp:coreProperties>
</file>