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E8A97" w14:textId="5A0B2D84" w:rsidR="006D4EC7" w:rsidRDefault="006D4EC7"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Critically compare </w:t>
      </w:r>
      <w:r w:rsidR="00C5230C">
        <w:rPr>
          <w:rFonts w:ascii="Times New Roman" w:hAnsi="Times New Roman" w:cs="Times New Roman"/>
          <w:sz w:val="24"/>
          <w:szCs w:val="24"/>
        </w:rPr>
        <w:t xml:space="preserve">the influence of Herodotus and </w:t>
      </w:r>
      <w:r w:rsidR="0030535A">
        <w:rPr>
          <w:rFonts w:ascii="Times New Roman" w:hAnsi="Times New Roman" w:cs="Times New Roman"/>
          <w:sz w:val="24"/>
          <w:szCs w:val="24"/>
        </w:rPr>
        <w:t xml:space="preserve">Plutarch on </w:t>
      </w:r>
      <w:r w:rsidR="0030535A" w:rsidRPr="00DE38EA">
        <w:rPr>
          <w:rFonts w:ascii="Times New Roman" w:hAnsi="Times New Roman" w:cs="Times New Roman"/>
          <w:sz w:val="24"/>
          <w:szCs w:val="24"/>
          <w:highlight w:val="yellow"/>
        </w:rPr>
        <w:t>modern</w:t>
      </w:r>
      <w:r w:rsidR="009A2AA0" w:rsidRPr="00DE38EA">
        <w:rPr>
          <w:rFonts w:ascii="Times New Roman" w:hAnsi="Times New Roman" w:cs="Times New Roman"/>
          <w:sz w:val="24"/>
          <w:szCs w:val="24"/>
          <w:highlight w:val="yellow"/>
        </w:rPr>
        <w:t>, popular or academic</w:t>
      </w:r>
      <w:r w:rsidR="006F003C">
        <w:rPr>
          <w:rFonts w:ascii="Times New Roman" w:hAnsi="Times New Roman" w:cs="Times New Roman"/>
          <w:sz w:val="24"/>
          <w:szCs w:val="24"/>
        </w:rPr>
        <w:t xml:space="preserve">, conceptions of Spartan Women. </w:t>
      </w:r>
    </w:p>
    <w:p w14:paraId="1AFBB0B1" w14:textId="54BEBAB7" w:rsidR="000E424B" w:rsidRDefault="000E424B" w:rsidP="00065A86">
      <w:pPr>
        <w:spacing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Spartans women are unique in the ancient world. They stand out in a number of ways in contrast to the veiled and voiceless women of Athens and other Greek city-states. Academic conceptions of Spartan women have changed over time, particularly with more female scholars presenting a more feminist perspective of the sources </w:t>
      </w:r>
      <w:r w:rsidRPr="00414048">
        <w:rPr>
          <w:rFonts w:ascii="Times New Roman" w:hAnsi="Times New Roman" w:cs="Times New Roman"/>
          <w:sz w:val="24"/>
          <w:szCs w:val="24"/>
        </w:rPr>
        <w:t>(Blundell, Pomeroy, Vivante)</w:t>
      </w:r>
    </w:p>
    <w:p w14:paraId="67851D23" w14:textId="16A4FE0C" w:rsidR="00BA0FB0" w:rsidRPr="002D4733" w:rsidRDefault="00BA0FB0"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Herodotus of Halicarnassus </w:t>
      </w:r>
      <w:r w:rsidR="00027BBB">
        <w:rPr>
          <w:rFonts w:ascii="Times New Roman" w:hAnsi="Times New Roman" w:cs="Times New Roman"/>
          <w:sz w:val="24"/>
          <w:szCs w:val="24"/>
        </w:rPr>
        <w:t>was born in 484 BC</w:t>
      </w:r>
      <w:r w:rsidR="002D4733">
        <w:rPr>
          <w:rFonts w:ascii="Times New Roman" w:hAnsi="Times New Roman" w:cs="Times New Roman"/>
          <w:sz w:val="24"/>
          <w:szCs w:val="24"/>
        </w:rPr>
        <w:t xml:space="preserve"> (</w:t>
      </w:r>
      <w:r w:rsidR="00807107">
        <w:rPr>
          <w:rFonts w:ascii="Times New Roman" w:hAnsi="Times New Roman" w:cs="Times New Roman"/>
          <w:sz w:val="24"/>
          <w:szCs w:val="24"/>
        </w:rPr>
        <w:t>v</w:t>
      </w:r>
      <w:r w:rsidR="002D4733">
        <w:rPr>
          <w:rFonts w:ascii="Times New Roman" w:hAnsi="Times New Roman" w:cs="Times New Roman"/>
          <w:sz w:val="24"/>
          <w:szCs w:val="24"/>
        </w:rPr>
        <w:t>ii)</w:t>
      </w:r>
      <w:r w:rsidR="00165CBC">
        <w:rPr>
          <w:rFonts w:ascii="Times New Roman" w:hAnsi="Times New Roman" w:cs="Times New Roman"/>
          <w:sz w:val="24"/>
          <w:szCs w:val="24"/>
        </w:rPr>
        <w:t xml:space="preserve">. The </w:t>
      </w:r>
      <w:r w:rsidR="002D4733">
        <w:rPr>
          <w:rFonts w:ascii="Times New Roman" w:hAnsi="Times New Roman" w:cs="Times New Roman"/>
          <w:i/>
          <w:iCs/>
          <w:sz w:val="24"/>
          <w:szCs w:val="24"/>
        </w:rPr>
        <w:t>Histories</w:t>
      </w:r>
      <w:r w:rsidR="002D4733">
        <w:rPr>
          <w:rFonts w:ascii="Times New Roman" w:hAnsi="Times New Roman" w:cs="Times New Roman"/>
          <w:sz w:val="24"/>
          <w:szCs w:val="24"/>
        </w:rPr>
        <w:t xml:space="preserve"> is not an autobiographical piece of work and we know very little about the Author</w:t>
      </w:r>
      <w:r w:rsidR="001A770D">
        <w:rPr>
          <w:rFonts w:ascii="Times New Roman" w:hAnsi="Times New Roman" w:cs="Times New Roman"/>
          <w:sz w:val="24"/>
          <w:szCs w:val="24"/>
        </w:rPr>
        <w:t xml:space="preserve"> (</w:t>
      </w:r>
      <w:r w:rsidR="00807107">
        <w:rPr>
          <w:rFonts w:ascii="Times New Roman" w:hAnsi="Times New Roman" w:cs="Times New Roman"/>
          <w:sz w:val="24"/>
          <w:szCs w:val="24"/>
        </w:rPr>
        <w:t>v</w:t>
      </w:r>
      <w:r w:rsidR="001A770D">
        <w:rPr>
          <w:rFonts w:ascii="Times New Roman" w:hAnsi="Times New Roman" w:cs="Times New Roman"/>
          <w:sz w:val="24"/>
          <w:szCs w:val="24"/>
        </w:rPr>
        <w:t>iii)</w:t>
      </w:r>
      <w:r w:rsidR="002D4733">
        <w:rPr>
          <w:rFonts w:ascii="Times New Roman" w:hAnsi="Times New Roman" w:cs="Times New Roman"/>
          <w:sz w:val="24"/>
          <w:szCs w:val="24"/>
        </w:rPr>
        <w:t xml:space="preserve">. </w:t>
      </w:r>
      <w:r w:rsidR="001A770D">
        <w:rPr>
          <w:rFonts w:ascii="Times New Roman" w:hAnsi="Times New Roman" w:cs="Times New Roman"/>
          <w:sz w:val="24"/>
          <w:szCs w:val="24"/>
        </w:rPr>
        <w:t>He states that his aim is to tell the Peloponnesian wars</w:t>
      </w:r>
      <w:r w:rsidR="000A7ABD">
        <w:rPr>
          <w:rFonts w:ascii="Times New Roman" w:hAnsi="Times New Roman" w:cs="Times New Roman"/>
          <w:sz w:val="24"/>
          <w:szCs w:val="24"/>
        </w:rPr>
        <w:t xml:space="preserve"> although, he begins with the Persian wars as </w:t>
      </w:r>
      <w:r w:rsidR="002E40B8">
        <w:rPr>
          <w:rFonts w:ascii="Times New Roman" w:hAnsi="Times New Roman" w:cs="Times New Roman"/>
          <w:sz w:val="24"/>
          <w:szCs w:val="24"/>
        </w:rPr>
        <w:t>background</w:t>
      </w:r>
      <w:r w:rsidR="00A448E3">
        <w:rPr>
          <w:rFonts w:ascii="Times New Roman" w:hAnsi="Times New Roman" w:cs="Times New Roman"/>
          <w:sz w:val="24"/>
          <w:szCs w:val="24"/>
        </w:rPr>
        <w:t xml:space="preserve"> (</w:t>
      </w:r>
      <w:r w:rsidR="00807107">
        <w:rPr>
          <w:rFonts w:ascii="Times New Roman" w:hAnsi="Times New Roman" w:cs="Times New Roman"/>
          <w:sz w:val="24"/>
          <w:szCs w:val="24"/>
        </w:rPr>
        <w:t>ix)</w:t>
      </w:r>
      <w:r w:rsidR="003F5E48">
        <w:rPr>
          <w:rFonts w:ascii="Times New Roman" w:hAnsi="Times New Roman" w:cs="Times New Roman"/>
          <w:sz w:val="24"/>
          <w:szCs w:val="24"/>
        </w:rPr>
        <w:t>.</w:t>
      </w:r>
    </w:p>
    <w:p w14:paraId="13BD9320" w14:textId="7E125B41" w:rsidR="00BC6639" w:rsidRDefault="00BC6639"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Two of the main issues with texts on Sparta are the they are not Spartan and </w:t>
      </w:r>
      <w:r w:rsidR="00AC37DE">
        <w:rPr>
          <w:rFonts w:ascii="Times New Roman" w:hAnsi="Times New Roman" w:cs="Times New Roman"/>
          <w:sz w:val="24"/>
          <w:szCs w:val="24"/>
        </w:rPr>
        <w:t>often</w:t>
      </w:r>
      <w:r>
        <w:rPr>
          <w:rFonts w:ascii="Times New Roman" w:hAnsi="Times New Roman" w:cs="Times New Roman"/>
          <w:sz w:val="24"/>
          <w:szCs w:val="24"/>
        </w:rPr>
        <w:t xml:space="preserve"> not contemporary. Herodotus of Halicarnassus was writing just after the Persian wars so was living and writing at the time of Sparta however, Plutarch was a Roman</w:t>
      </w:r>
      <w:r w:rsidR="000E424B">
        <w:rPr>
          <w:rFonts w:ascii="Times New Roman" w:hAnsi="Times New Roman" w:cs="Times New Roman"/>
          <w:sz w:val="24"/>
          <w:szCs w:val="24"/>
        </w:rPr>
        <w:t>,</w:t>
      </w:r>
      <w:r>
        <w:rPr>
          <w:rFonts w:ascii="Times New Roman" w:hAnsi="Times New Roman" w:cs="Times New Roman"/>
          <w:sz w:val="24"/>
          <w:szCs w:val="24"/>
        </w:rPr>
        <w:t xml:space="preserve"> writing in Second </w:t>
      </w:r>
      <w:r w:rsidR="000E424B">
        <w:rPr>
          <w:rFonts w:ascii="Times New Roman" w:hAnsi="Times New Roman" w:cs="Times New Roman"/>
          <w:sz w:val="24"/>
          <w:szCs w:val="24"/>
        </w:rPr>
        <w:t>centur</w:t>
      </w:r>
      <w:r>
        <w:rPr>
          <w:rFonts w:ascii="Times New Roman" w:hAnsi="Times New Roman" w:cs="Times New Roman"/>
          <w:sz w:val="24"/>
          <w:szCs w:val="24"/>
        </w:rPr>
        <w:t>y AD a</w:t>
      </w:r>
      <w:r w:rsidR="0024302B">
        <w:rPr>
          <w:rFonts w:ascii="Times New Roman" w:hAnsi="Times New Roman" w:cs="Times New Roman"/>
          <w:sz w:val="24"/>
          <w:szCs w:val="24"/>
        </w:rPr>
        <w:t xml:space="preserve"> </w:t>
      </w:r>
      <w:r w:rsidR="0024302B" w:rsidRPr="00B4358B">
        <w:rPr>
          <w:rFonts w:ascii="Times New Roman" w:hAnsi="Times New Roman" w:cs="Times New Roman"/>
          <w:sz w:val="24"/>
          <w:szCs w:val="24"/>
        </w:rPr>
        <w:t>considerable time</w:t>
      </w:r>
      <w:r w:rsidR="0024302B">
        <w:rPr>
          <w:rFonts w:ascii="Times New Roman" w:hAnsi="Times New Roman" w:cs="Times New Roman"/>
          <w:sz w:val="24"/>
          <w:szCs w:val="24"/>
        </w:rPr>
        <w:t xml:space="preserve"> after the decline of Sparta</w:t>
      </w:r>
      <w:r>
        <w:rPr>
          <w:rFonts w:ascii="Times New Roman" w:hAnsi="Times New Roman" w:cs="Times New Roman"/>
          <w:sz w:val="24"/>
          <w:szCs w:val="24"/>
        </w:rPr>
        <w:t xml:space="preserve">. </w:t>
      </w:r>
      <w:r w:rsidR="00B52E7E">
        <w:rPr>
          <w:rFonts w:ascii="Times New Roman" w:hAnsi="Times New Roman" w:cs="Times New Roman"/>
          <w:sz w:val="24"/>
          <w:szCs w:val="24"/>
        </w:rPr>
        <w:t xml:space="preserve">When discussing Spartan </w:t>
      </w:r>
      <w:r w:rsidR="00BB541C">
        <w:rPr>
          <w:rFonts w:ascii="Times New Roman" w:hAnsi="Times New Roman" w:cs="Times New Roman"/>
          <w:sz w:val="24"/>
          <w:szCs w:val="24"/>
        </w:rPr>
        <w:t>women,</w:t>
      </w:r>
      <w:r w:rsidR="00B52E7E">
        <w:rPr>
          <w:rFonts w:ascii="Times New Roman" w:hAnsi="Times New Roman" w:cs="Times New Roman"/>
          <w:sz w:val="24"/>
          <w:szCs w:val="24"/>
        </w:rPr>
        <w:t xml:space="preserve"> it is difficult to get a clear understanding of what they were really like as none of the sources are women</w:t>
      </w:r>
      <w:r w:rsidR="001D05C1">
        <w:rPr>
          <w:rFonts w:ascii="Times New Roman" w:hAnsi="Times New Roman" w:cs="Times New Roman"/>
          <w:sz w:val="24"/>
          <w:szCs w:val="24"/>
        </w:rPr>
        <w:t>, everything we know about Spartan women comes from a male perspective</w:t>
      </w:r>
      <w:r w:rsidR="000E424B">
        <w:rPr>
          <w:rFonts w:ascii="Times New Roman" w:hAnsi="Times New Roman" w:cs="Times New Roman"/>
          <w:sz w:val="24"/>
          <w:szCs w:val="24"/>
        </w:rPr>
        <w:t xml:space="preserve"> </w:t>
      </w:r>
    </w:p>
    <w:p w14:paraId="51667743" w14:textId="0032BC91" w:rsidR="002C1251" w:rsidRDefault="007A6939" w:rsidP="00065A86">
      <w:pPr>
        <w:spacing w:line="480" w:lineRule="auto"/>
        <w:rPr>
          <w:rFonts w:ascii="Times New Roman" w:hAnsi="Times New Roman" w:cs="Times New Roman"/>
          <w:sz w:val="24"/>
          <w:szCs w:val="24"/>
        </w:rPr>
      </w:pPr>
      <w:r>
        <w:rPr>
          <w:rFonts w:ascii="Times New Roman" w:hAnsi="Times New Roman" w:cs="Times New Roman"/>
          <w:sz w:val="24"/>
          <w:szCs w:val="24"/>
        </w:rPr>
        <w:t>Spartan women were unique</w:t>
      </w:r>
      <w:r w:rsidR="000E424B">
        <w:rPr>
          <w:rFonts w:ascii="Times New Roman" w:hAnsi="Times New Roman" w:cs="Times New Roman"/>
          <w:sz w:val="24"/>
          <w:szCs w:val="24"/>
        </w:rPr>
        <w:t xml:space="preserve"> as they stood out from other </w:t>
      </w:r>
      <w:r w:rsidR="00A05807">
        <w:rPr>
          <w:rFonts w:ascii="Times New Roman" w:hAnsi="Times New Roman" w:cs="Times New Roman"/>
          <w:sz w:val="24"/>
          <w:szCs w:val="24"/>
        </w:rPr>
        <w:t xml:space="preserve">women of the ancient world. This is partly because the sources, who were not spartan emphasise the ways in which Spartan women were different from their Athenian and Greek counterparts. </w:t>
      </w:r>
      <w:r>
        <w:rPr>
          <w:rFonts w:ascii="Times New Roman" w:hAnsi="Times New Roman" w:cs="Times New Roman"/>
          <w:sz w:val="24"/>
          <w:szCs w:val="24"/>
        </w:rPr>
        <w:t xml:space="preserve"> </w:t>
      </w:r>
    </w:p>
    <w:p w14:paraId="026C03EC" w14:textId="36AF37A9" w:rsidR="00BC6639" w:rsidRDefault="003E21A1"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Both </w:t>
      </w:r>
      <w:r w:rsidR="00FA0F9D">
        <w:rPr>
          <w:rFonts w:ascii="Times New Roman" w:hAnsi="Times New Roman" w:cs="Times New Roman"/>
          <w:sz w:val="24"/>
          <w:szCs w:val="24"/>
        </w:rPr>
        <w:t xml:space="preserve">Herodotus and </w:t>
      </w:r>
      <w:r>
        <w:rPr>
          <w:rFonts w:ascii="Times New Roman" w:hAnsi="Times New Roman" w:cs="Times New Roman"/>
          <w:sz w:val="24"/>
          <w:szCs w:val="24"/>
        </w:rPr>
        <w:t>P</w:t>
      </w:r>
      <w:r w:rsidR="00FA0F9D">
        <w:rPr>
          <w:rFonts w:ascii="Times New Roman" w:hAnsi="Times New Roman" w:cs="Times New Roman"/>
          <w:sz w:val="24"/>
          <w:szCs w:val="24"/>
        </w:rPr>
        <w:t xml:space="preserve">lutarch </w:t>
      </w:r>
      <w:r w:rsidR="006A5183">
        <w:rPr>
          <w:rFonts w:ascii="Times New Roman" w:hAnsi="Times New Roman" w:cs="Times New Roman"/>
          <w:sz w:val="24"/>
          <w:szCs w:val="24"/>
        </w:rPr>
        <w:t xml:space="preserve">devote attention to Spartan women </w:t>
      </w:r>
      <w:r>
        <w:rPr>
          <w:rFonts w:ascii="Times New Roman" w:hAnsi="Times New Roman" w:cs="Times New Roman"/>
          <w:sz w:val="24"/>
          <w:szCs w:val="24"/>
        </w:rPr>
        <w:t xml:space="preserve">in their writing </w:t>
      </w:r>
      <w:r w:rsidR="006A5183">
        <w:rPr>
          <w:rFonts w:ascii="Times New Roman" w:hAnsi="Times New Roman" w:cs="Times New Roman"/>
          <w:sz w:val="24"/>
          <w:szCs w:val="24"/>
        </w:rPr>
        <w:t xml:space="preserve">which in itself is unusual for writing of this period. Their writing emphasises the difference of Spartan women. </w:t>
      </w:r>
      <w:r w:rsidR="0052640B">
        <w:rPr>
          <w:rFonts w:ascii="Times New Roman" w:hAnsi="Times New Roman" w:cs="Times New Roman"/>
          <w:sz w:val="24"/>
          <w:szCs w:val="24"/>
        </w:rPr>
        <w:t>Pl</w:t>
      </w:r>
      <w:r w:rsidR="00133CE4">
        <w:rPr>
          <w:rFonts w:ascii="Times New Roman" w:hAnsi="Times New Roman" w:cs="Times New Roman"/>
          <w:sz w:val="24"/>
          <w:szCs w:val="24"/>
        </w:rPr>
        <w:t xml:space="preserve">utarch </w:t>
      </w:r>
      <w:r>
        <w:rPr>
          <w:rFonts w:ascii="Times New Roman" w:hAnsi="Times New Roman" w:cs="Times New Roman"/>
          <w:sz w:val="24"/>
          <w:szCs w:val="24"/>
        </w:rPr>
        <w:t>tends idealises</w:t>
      </w:r>
      <w:r w:rsidR="00517BA7">
        <w:rPr>
          <w:rFonts w:ascii="Times New Roman" w:hAnsi="Times New Roman" w:cs="Times New Roman"/>
          <w:sz w:val="24"/>
          <w:szCs w:val="24"/>
        </w:rPr>
        <w:t xml:space="preserve"> </w:t>
      </w:r>
      <w:r>
        <w:rPr>
          <w:rFonts w:ascii="Times New Roman" w:hAnsi="Times New Roman" w:cs="Times New Roman"/>
          <w:sz w:val="24"/>
          <w:szCs w:val="24"/>
        </w:rPr>
        <w:t>S</w:t>
      </w:r>
      <w:r w:rsidR="00517BA7">
        <w:rPr>
          <w:rFonts w:ascii="Times New Roman" w:hAnsi="Times New Roman" w:cs="Times New Roman"/>
          <w:sz w:val="24"/>
          <w:szCs w:val="24"/>
        </w:rPr>
        <w:t>partan women</w:t>
      </w:r>
      <w:r>
        <w:rPr>
          <w:rFonts w:ascii="Times New Roman" w:hAnsi="Times New Roman" w:cs="Times New Roman"/>
          <w:sz w:val="24"/>
          <w:szCs w:val="24"/>
        </w:rPr>
        <w:t xml:space="preserve"> and presents them in a sensationalised manner. </w:t>
      </w:r>
      <w:r w:rsidR="00517BA7">
        <w:rPr>
          <w:rFonts w:ascii="Times New Roman" w:hAnsi="Times New Roman" w:cs="Times New Roman"/>
          <w:sz w:val="24"/>
          <w:szCs w:val="24"/>
        </w:rPr>
        <w:t xml:space="preserve"> </w:t>
      </w:r>
      <w:r>
        <w:rPr>
          <w:rFonts w:ascii="Times New Roman" w:hAnsi="Times New Roman" w:cs="Times New Roman"/>
          <w:sz w:val="24"/>
          <w:szCs w:val="24"/>
        </w:rPr>
        <w:t>Herodotus</w:t>
      </w:r>
      <w:r w:rsidR="00594260">
        <w:rPr>
          <w:rFonts w:ascii="Times New Roman" w:hAnsi="Times New Roman" w:cs="Times New Roman"/>
          <w:sz w:val="24"/>
          <w:szCs w:val="24"/>
        </w:rPr>
        <w:t xml:space="preserve"> presents them as exotic and different</w:t>
      </w:r>
      <w:r>
        <w:rPr>
          <w:rFonts w:ascii="Times New Roman" w:hAnsi="Times New Roman" w:cs="Times New Roman"/>
          <w:sz w:val="24"/>
          <w:szCs w:val="24"/>
        </w:rPr>
        <w:t xml:space="preserve"> as he was writing for a contemporary Athenian audience who would have been fascinated. </w:t>
      </w:r>
    </w:p>
    <w:p w14:paraId="7AF71188" w14:textId="67749DC8" w:rsidR="003E21A1" w:rsidRPr="003E21A1" w:rsidRDefault="003E21A1" w:rsidP="00065A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Herodotus’ works on the history of the Greeks and non-Greeks include accounts of Spartan Women. Plutarch’s</w:t>
      </w:r>
      <w:r w:rsidR="00593B74">
        <w:rPr>
          <w:rFonts w:ascii="Times New Roman" w:hAnsi="Times New Roman" w:cs="Times New Roman"/>
          <w:sz w:val="24"/>
          <w:szCs w:val="24"/>
        </w:rPr>
        <w:t xml:space="preserve"> saying of the Spartan women are considered here, as well as his </w:t>
      </w:r>
      <w:r w:rsidR="00593B74">
        <w:rPr>
          <w:rFonts w:ascii="Times New Roman" w:hAnsi="Times New Roman" w:cs="Times New Roman"/>
          <w:i/>
          <w:iCs/>
          <w:sz w:val="24"/>
          <w:szCs w:val="24"/>
        </w:rPr>
        <w:t xml:space="preserve">Life of Lycurgus </w:t>
      </w:r>
      <w:r w:rsidR="00593B74">
        <w:rPr>
          <w:rFonts w:ascii="Times New Roman" w:hAnsi="Times New Roman" w:cs="Times New Roman"/>
          <w:sz w:val="24"/>
          <w:szCs w:val="24"/>
        </w:rPr>
        <w:t xml:space="preserve">in which there are numerous mentions of Spartan women. The Academics who have considered the works of these ancient writers in regard to Spartan women include: Dillon, Refield, Blundell, Pomeroy, Scott, Vivante and Cartledge. </w:t>
      </w:r>
    </w:p>
    <w:p w14:paraId="5108686B" w14:textId="4ED4BA5E" w:rsidR="002F0548" w:rsidRDefault="002F0548" w:rsidP="00065A86">
      <w:pPr>
        <w:spacing w:line="480" w:lineRule="auto"/>
        <w:rPr>
          <w:rFonts w:ascii="Times New Roman" w:hAnsi="Times New Roman" w:cs="Times New Roman"/>
          <w:sz w:val="24"/>
          <w:szCs w:val="24"/>
        </w:rPr>
      </w:pPr>
      <w:r w:rsidRPr="00F678B9">
        <w:rPr>
          <w:rFonts w:ascii="Times New Roman" w:hAnsi="Times New Roman" w:cs="Times New Roman"/>
          <w:b/>
          <w:bCs/>
          <w:sz w:val="24"/>
          <w:szCs w:val="24"/>
        </w:rPr>
        <w:t>Spartan women are different to other Greek women</w:t>
      </w:r>
      <w:r>
        <w:rPr>
          <w:rFonts w:ascii="Times New Roman" w:hAnsi="Times New Roman" w:cs="Times New Roman"/>
          <w:sz w:val="24"/>
          <w:szCs w:val="24"/>
        </w:rPr>
        <w:t xml:space="preserve">. </w:t>
      </w:r>
      <w:r w:rsidR="00593B74">
        <w:rPr>
          <w:rFonts w:ascii="Times New Roman" w:hAnsi="Times New Roman" w:cs="Times New Roman"/>
          <w:sz w:val="24"/>
          <w:szCs w:val="24"/>
        </w:rPr>
        <w:t xml:space="preserve">It is the way in which Spartan women are different to other Greek women that are the subject of sources. </w:t>
      </w:r>
    </w:p>
    <w:p w14:paraId="2BF0DDF3" w14:textId="2A4F6525" w:rsidR="009F25BB" w:rsidRPr="00593B74" w:rsidRDefault="00DF36A5" w:rsidP="00593B74">
      <w:pPr>
        <w:spacing w:line="480" w:lineRule="auto"/>
        <w:rPr>
          <w:rFonts w:ascii="Times New Roman" w:hAnsi="Times New Roman" w:cs="Times New Roman"/>
          <w:sz w:val="24"/>
          <w:szCs w:val="24"/>
        </w:rPr>
      </w:pPr>
      <w:r w:rsidRPr="00884457">
        <w:rPr>
          <w:rFonts w:ascii="Times New Roman" w:hAnsi="Times New Roman" w:cs="Times New Roman"/>
          <w:sz w:val="24"/>
          <w:szCs w:val="24"/>
        </w:rPr>
        <w:t>Cartledge (2003) makes a comparison between Athenian and Spartan women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p.32-3). According to Cartledge Athenian girls received no formal education beyond the duties required to be a good wife and mother; this included weaving, food preparation, childcare and household management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p.32). Cartledge also says that spartan girls would be fed smaller rations than their brothers and they were not allowed to “own any significant amount of property” themselves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p.32)</w:t>
      </w:r>
      <w:r w:rsidR="001B6610" w:rsidRPr="00884457">
        <w:rPr>
          <w:rFonts w:ascii="Times New Roman" w:hAnsi="Times New Roman" w:cs="Times New Roman"/>
          <w:sz w:val="24"/>
          <w:szCs w:val="24"/>
        </w:rPr>
        <w:t xml:space="preserve"> </w:t>
      </w:r>
      <w:r w:rsidRPr="00884457">
        <w:rPr>
          <w:rFonts w:ascii="Times New Roman" w:hAnsi="Times New Roman" w:cs="Times New Roman"/>
          <w:sz w:val="24"/>
          <w:szCs w:val="24"/>
        </w:rPr>
        <w:t>In comparison Spartan girls had a similar education to boys and could read and write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p.33). young women would also run races, dance, throw javelin, discus, wrestle and do gymnastics completely naked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p.33). Spartan women also differed from Athenian women in that they did not have household duties in the same way as Helots would perform duties such as cooking, weaving and childcare (</w:t>
      </w:r>
      <w:r w:rsidR="00884457" w:rsidRPr="00884457">
        <w:rPr>
          <w:rFonts w:ascii="Times New Roman" w:hAnsi="Times New Roman" w:cs="Times New Roman"/>
          <w:sz w:val="24"/>
          <w:szCs w:val="24"/>
        </w:rPr>
        <w:t xml:space="preserve">Cartledge, 2003, </w:t>
      </w:r>
      <w:r w:rsidRPr="00884457">
        <w:rPr>
          <w:rFonts w:ascii="Times New Roman" w:hAnsi="Times New Roman" w:cs="Times New Roman"/>
          <w:sz w:val="24"/>
          <w:szCs w:val="24"/>
        </w:rPr>
        <w:t xml:space="preserve">p.33). </w:t>
      </w:r>
      <w:r w:rsidR="00593B74">
        <w:rPr>
          <w:rFonts w:ascii="Times New Roman" w:hAnsi="Times New Roman" w:cs="Times New Roman"/>
          <w:sz w:val="24"/>
          <w:szCs w:val="24"/>
        </w:rPr>
        <w:t>However, Herodotus does give an account of Athenian women creating a typically masculine scene within their own realm</w:t>
      </w:r>
      <w:r w:rsidR="00593B74" w:rsidRPr="00593B74">
        <w:rPr>
          <w:rFonts w:ascii="Times New Roman" w:hAnsi="Times New Roman" w:cs="Times New Roman"/>
          <w:sz w:val="24"/>
          <w:szCs w:val="24"/>
        </w:rPr>
        <w:t>. A</w:t>
      </w:r>
      <w:r w:rsidR="009F25BB" w:rsidRPr="00593B74">
        <w:rPr>
          <w:rFonts w:ascii="Times New Roman" w:hAnsi="Times New Roman" w:cs="Times New Roman"/>
          <w:sz w:val="24"/>
          <w:szCs w:val="24"/>
        </w:rPr>
        <w:t xml:space="preserve"> group of Athenian men make a ring around Lycidas and stone him to death for his wrong doings. When the Athenian women hear about this they go to his house and also kill his wife and children. The Athenian women don’t step over the boundaries of gender; even though they do the same as the men the women go to the home and do it in private rather than publicly like the men do</w:t>
      </w:r>
      <w:r w:rsidR="00593B74" w:rsidRPr="00593B74">
        <w:rPr>
          <w:rFonts w:ascii="Times New Roman" w:hAnsi="Times New Roman" w:cs="Times New Roman"/>
          <w:sz w:val="24"/>
          <w:szCs w:val="24"/>
        </w:rPr>
        <w:t xml:space="preserve"> (hdt. 9.5)</w:t>
      </w:r>
      <w:r w:rsidR="009F25BB" w:rsidRPr="00593B74">
        <w:rPr>
          <w:rFonts w:ascii="Times New Roman" w:hAnsi="Times New Roman" w:cs="Times New Roman"/>
          <w:sz w:val="24"/>
          <w:szCs w:val="24"/>
        </w:rPr>
        <w:t xml:space="preserve">. </w:t>
      </w:r>
    </w:p>
    <w:p w14:paraId="671B38EE" w14:textId="77777777" w:rsidR="00FF3C35" w:rsidRDefault="00FF3C35" w:rsidP="00065A86">
      <w:pPr>
        <w:spacing w:line="480" w:lineRule="auto"/>
        <w:rPr>
          <w:rFonts w:ascii="Times New Roman" w:hAnsi="Times New Roman" w:cs="Times New Roman"/>
          <w:sz w:val="24"/>
          <w:szCs w:val="24"/>
        </w:rPr>
      </w:pPr>
    </w:p>
    <w:p w14:paraId="06573CF9" w14:textId="724BFAFF" w:rsidR="00593B74" w:rsidRDefault="00DC0A45" w:rsidP="00593B74">
      <w:pPr>
        <w:spacing w:line="480" w:lineRule="auto"/>
        <w:rPr>
          <w:rFonts w:ascii="Times New Roman" w:hAnsi="Times New Roman" w:cs="Times New Roman"/>
          <w:sz w:val="24"/>
          <w:szCs w:val="24"/>
        </w:rPr>
      </w:pPr>
      <w:r w:rsidRPr="00F678B9">
        <w:rPr>
          <w:rFonts w:ascii="Times New Roman" w:hAnsi="Times New Roman" w:cs="Times New Roman"/>
          <w:b/>
          <w:bCs/>
          <w:sz w:val="24"/>
          <w:szCs w:val="24"/>
        </w:rPr>
        <w:t>Spartan women have a reputation for being sexually liberated</w:t>
      </w:r>
      <w:r w:rsidR="00593B74">
        <w:rPr>
          <w:rFonts w:ascii="Times New Roman" w:hAnsi="Times New Roman" w:cs="Times New Roman"/>
          <w:sz w:val="24"/>
          <w:szCs w:val="24"/>
        </w:rPr>
        <w:t xml:space="preserve">. </w:t>
      </w:r>
      <w:r w:rsidR="001B6610" w:rsidRPr="001B6610">
        <w:rPr>
          <w:rFonts w:ascii="Times New Roman" w:hAnsi="Times New Roman" w:cs="Times New Roman"/>
          <w:sz w:val="24"/>
          <w:szCs w:val="24"/>
        </w:rPr>
        <w:t xml:space="preserve">Spartan laws on adultery were unique in that they did not have any, meaning that theoretically a Spartan woman could have sex with a men that wasn’t her husband – it was common for men to ‘lend’ out their wives to another man so as to create legitimate children for their household (Cartledge, 2003, p.156). These contributes to Aristotle’s view that Spartan women suffered from immoral depravity (Cartledge, 2003, p.157). </w:t>
      </w:r>
      <w:r w:rsidR="00593B74" w:rsidRPr="00F678B9">
        <w:rPr>
          <w:rFonts w:ascii="Times New Roman" w:hAnsi="Times New Roman" w:cs="Times New Roman"/>
          <w:b/>
          <w:bCs/>
          <w:sz w:val="24"/>
          <w:szCs w:val="24"/>
        </w:rPr>
        <w:t>Spartan women are considered to be complicit with the practice of eugenics</w:t>
      </w:r>
      <w:r w:rsidR="00593B74">
        <w:rPr>
          <w:rFonts w:ascii="Times New Roman" w:hAnsi="Times New Roman" w:cs="Times New Roman"/>
          <w:sz w:val="24"/>
          <w:szCs w:val="24"/>
        </w:rPr>
        <w:t xml:space="preserve"> through the idealisation of creating strong healthy offspring. </w:t>
      </w:r>
    </w:p>
    <w:p w14:paraId="61D3AD4A" w14:textId="14CACC58" w:rsidR="001B6610" w:rsidRDefault="001B6610" w:rsidP="00065A86">
      <w:pPr>
        <w:spacing w:line="480" w:lineRule="auto"/>
        <w:rPr>
          <w:rFonts w:ascii="Times New Roman" w:hAnsi="Times New Roman" w:cs="Times New Roman"/>
          <w:sz w:val="24"/>
          <w:szCs w:val="24"/>
        </w:rPr>
      </w:pPr>
    </w:p>
    <w:p w14:paraId="358E2E2D" w14:textId="1B907D31" w:rsidR="00DC0A45" w:rsidRDefault="00DC0A45" w:rsidP="00065A86">
      <w:pPr>
        <w:spacing w:line="480" w:lineRule="auto"/>
        <w:rPr>
          <w:rFonts w:ascii="Times New Roman" w:hAnsi="Times New Roman" w:cs="Times New Roman"/>
          <w:sz w:val="24"/>
          <w:szCs w:val="24"/>
        </w:rPr>
      </w:pPr>
      <w:r w:rsidRPr="00F678B9">
        <w:rPr>
          <w:rFonts w:ascii="Times New Roman" w:hAnsi="Times New Roman" w:cs="Times New Roman"/>
          <w:b/>
          <w:bCs/>
          <w:sz w:val="24"/>
          <w:szCs w:val="24"/>
        </w:rPr>
        <w:t>Spartan women are known to be able to own property in their own right and have their own autonomy to a certain degree</w:t>
      </w:r>
      <w:r>
        <w:rPr>
          <w:rFonts w:ascii="Times New Roman" w:hAnsi="Times New Roman" w:cs="Times New Roman"/>
          <w:sz w:val="24"/>
          <w:szCs w:val="24"/>
        </w:rPr>
        <w:t xml:space="preserve">. </w:t>
      </w:r>
      <w:r w:rsidR="003119FC">
        <w:rPr>
          <w:rFonts w:ascii="Times New Roman" w:hAnsi="Times New Roman" w:cs="Times New Roman"/>
          <w:sz w:val="24"/>
          <w:szCs w:val="24"/>
        </w:rPr>
        <w:t xml:space="preserve">This does not seem to apply to other </w:t>
      </w:r>
      <w:r w:rsidR="00527F6D">
        <w:rPr>
          <w:rFonts w:ascii="Times New Roman" w:hAnsi="Times New Roman" w:cs="Times New Roman"/>
          <w:sz w:val="24"/>
          <w:szCs w:val="24"/>
        </w:rPr>
        <w:t>D</w:t>
      </w:r>
      <w:r w:rsidR="003119FC">
        <w:rPr>
          <w:rFonts w:ascii="Times New Roman" w:hAnsi="Times New Roman" w:cs="Times New Roman"/>
          <w:sz w:val="24"/>
          <w:szCs w:val="24"/>
        </w:rPr>
        <w:t xml:space="preserve">orian states such as Gortyn in Crete. Flack and Hanssen state that the rights that women </w:t>
      </w:r>
      <w:r w:rsidR="00527F6D">
        <w:rPr>
          <w:rFonts w:ascii="Times New Roman" w:hAnsi="Times New Roman" w:cs="Times New Roman"/>
          <w:sz w:val="24"/>
          <w:szCs w:val="24"/>
        </w:rPr>
        <w:t>possessed</w:t>
      </w:r>
      <w:r w:rsidR="003119FC">
        <w:rPr>
          <w:rFonts w:ascii="Times New Roman" w:hAnsi="Times New Roman" w:cs="Times New Roman"/>
          <w:sz w:val="24"/>
          <w:szCs w:val="24"/>
        </w:rPr>
        <w:t xml:space="preserve"> in Gortyn was less than Spartan women but more than elsewhere in Greece (Flack and Hanssen, 2009, p.236). Women of Gortyn could inherit land although, she was requires to “marry her fathers nearest relative or </w:t>
      </w:r>
      <w:r w:rsidR="00527F6D">
        <w:rPr>
          <w:rFonts w:ascii="Times New Roman" w:hAnsi="Times New Roman" w:cs="Times New Roman"/>
          <w:sz w:val="24"/>
          <w:szCs w:val="24"/>
        </w:rPr>
        <w:t xml:space="preserve">surrender half of her inheritance” if her father died without any sons (Flack and Hanssen, 2009, p.236). </w:t>
      </w:r>
    </w:p>
    <w:p w14:paraId="00A2639D" w14:textId="3A250BD3" w:rsidR="001B6610" w:rsidRPr="001B6610" w:rsidRDefault="001B6610" w:rsidP="001B6610">
      <w:pPr>
        <w:spacing w:line="480" w:lineRule="auto"/>
        <w:rPr>
          <w:rFonts w:ascii="Times New Roman" w:hAnsi="Times New Roman" w:cs="Times New Roman"/>
          <w:sz w:val="24"/>
          <w:szCs w:val="24"/>
        </w:rPr>
      </w:pPr>
      <w:r w:rsidRPr="001B6610">
        <w:rPr>
          <w:rFonts w:ascii="Times New Roman" w:hAnsi="Times New Roman" w:cs="Times New Roman"/>
          <w:sz w:val="24"/>
          <w:szCs w:val="24"/>
        </w:rPr>
        <w:t xml:space="preserve">Spartan women were entitled to own and manage property in their own right (Cartledge, 2003, p.156). Heiresses in Sparta were called </w:t>
      </w:r>
      <w:r w:rsidRPr="001B6610">
        <w:rPr>
          <w:rFonts w:ascii="Times New Roman" w:hAnsi="Times New Roman" w:cs="Times New Roman"/>
          <w:i/>
          <w:iCs/>
          <w:sz w:val="24"/>
          <w:szCs w:val="24"/>
        </w:rPr>
        <w:t xml:space="preserve">patrouchoi </w:t>
      </w:r>
      <w:r w:rsidRPr="001B6610">
        <w:rPr>
          <w:rFonts w:ascii="Times New Roman" w:hAnsi="Times New Roman" w:cs="Times New Roman"/>
          <w:sz w:val="24"/>
          <w:szCs w:val="24"/>
        </w:rPr>
        <w:t>which means holders of the patrimony, these women were sought after by eligible Spartan men.</w:t>
      </w:r>
      <w:r w:rsidR="00B4358B">
        <w:rPr>
          <w:rStyle w:val="FootnoteReference"/>
          <w:rFonts w:ascii="Times New Roman" w:hAnsi="Times New Roman" w:cs="Times New Roman"/>
          <w:sz w:val="24"/>
          <w:szCs w:val="24"/>
        </w:rPr>
        <w:footnoteReference w:id="1"/>
      </w:r>
    </w:p>
    <w:p w14:paraId="5E78F575" w14:textId="77777777" w:rsidR="00F678B9" w:rsidRDefault="00F678B9" w:rsidP="00065A86">
      <w:pPr>
        <w:spacing w:line="480" w:lineRule="auto"/>
        <w:rPr>
          <w:rFonts w:ascii="Times New Roman" w:hAnsi="Times New Roman" w:cs="Times New Roman"/>
          <w:sz w:val="24"/>
          <w:szCs w:val="24"/>
        </w:rPr>
      </w:pPr>
    </w:p>
    <w:p w14:paraId="77983897" w14:textId="599E5E38" w:rsidR="009F25BB" w:rsidRPr="009F25BB" w:rsidRDefault="00DC0A45" w:rsidP="009F25BB">
      <w:pPr>
        <w:spacing w:line="480" w:lineRule="auto"/>
        <w:rPr>
          <w:rFonts w:ascii="Times New Roman" w:hAnsi="Times New Roman" w:cs="Times New Roman"/>
          <w:sz w:val="24"/>
          <w:szCs w:val="24"/>
        </w:rPr>
      </w:pPr>
      <w:r w:rsidRPr="00B4358B">
        <w:rPr>
          <w:rFonts w:ascii="Times New Roman" w:hAnsi="Times New Roman" w:cs="Times New Roman"/>
          <w:sz w:val="24"/>
          <w:szCs w:val="24"/>
        </w:rPr>
        <w:t>Motherhood was a feature that was discussed; they were considered to be great mothers while simultaneously being quite hard hearted and callous towards their sons</w:t>
      </w:r>
      <w:r w:rsidR="00B4358B" w:rsidRPr="00B4358B">
        <w:rPr>
          <w:rFonts w:ascii="Times New Roman" w:hAnsi="Times New Roman" w:cs="Times New Roman"/>
          <w:sz w:val="24"/>
          <w:szCs w:val="24"/>
        </w:rPr>
        <w:t>.</w:t>
      </w:r>
      <w:r w:rsidR="00B4358B">
        <w:rPr>
          <w:rFonts w:ascii="Times New Roman" w:hAnsi="Times New Roman" w:cs="Times New Roman"/>
          <w:sz w:val="24"/>
          <w:szCs w:val="24"/>
        </w:rPr>
        <w:t xml:space="preserve"> </w:t>
      </w:r>
      <w:r w:rsidR="00527F6D">
        <w:rPr>
          <w:rFonts w:ascii="Times New Roman" w:hAnsi="Times New Roman" w:cs="Times New Roman"/>
          <w:sz w:val="24"/>
          <w:szCs w:val="24"/>
        </w:rPr>
        <w:t xml:space="preserve">The death of Brasidas </w:t>
      </w:r>
      <w:r w:rsidR="00527F6D">
        <w:rPr>
          <w:rFonts w:ascii="Times New Roman" w:hAnsi="Times New Roman" w:cs="Times New Roman"/>
          <w:sz w:val="24"/>
          <w:szCs w:val="24"/>
        </w:rPr>
        <w:lastRenderedPageBreak/>
        <w:t xml:space="preserve">is discussed within Plutarch’s </w:t>
      </w:r>
      <w:r w:rsidR="00527F6D">
        <w:rPr>
          <w:rFonts w:ascii="Times New Roman" w:hAnsi="Times New Roman" w:cs="Times New Roman"/>
          <w:i/>
          <w:iCs/>
          <w:sz w:val="24"/>
          <w:szCs w:val="24"/>
        </w:rPr>
        <w:t>Life of Lycurgus</w:t>
      </w:r>
      <w:r w:rsidR="00527F6D">
        <w:rPr>
          <w:rFonts w:ascii="Times New Roman" w:hAnsi="Times New Roman" w:cs="Times New Roman"/>
          <w:sz w:val="24"/>
          <w:szCs w:val="24"/>
        </w:rPr>
        <w:t xml:space="preserve"> (25.5). According to Plutarch when his mother (Argileonis) was told of her sons death she simply said “there are in Sparta many better than he”.</w:t>
      </w:r>
      <w:r w:rsidR="004D3591">
        <w:rPr>
          <w:rFonts w:ascii="Times New Roman" w:hAnsi="Times New Roman" w:cs="Times New Roman"/>
          <w:sz w:val="24"/>
          <w:szCs w:val="24"/>
        </w:rPr>
        <w:t xml:space="preserve"> Plutarch also tells us about female mourning rituals in Sparta. Spartan women were not allowed to grieve when their sons died in battle (Xen. Hell. 6.4.16). According to Dillon (2007) women accepted the death of their sons during battle cheerfully and in some cases sent another son to battle as a replacement.</w:t>
      </w:r>
      <w:r w:rsidR="00B4358B">
        <w:rPr>
          <w:rStyle w:val="FootnoteReference"/>
          <w:rFonts w:ascii="Times New Roman" w:hAnsi="Times New Roman" w:cs="Times New Roman"/>
          <w:sz w:val="24"/>
          <w:szCs w:val="24"/>
        </w:rPr>
        <w:footnoteReference w:id="2"/>
      </w:r>
      <w:r w:rsidR="004D3591">
        <w:rPr>
          <w:rFonts w:ascii="Times New Roman" w:hAnsi="Times New Roman" w:cs="Times New Roman"/>
          <w:sz w:val="24"/>
          <w:szCs w:val="24"/>
        </w:rPr>
        <w:t xml:space="preserve"> </w:t>
      </w:r>
      <w:r w:rsidR="009F25BB">
        <w:rPr>
          <w:rFonts w:ascii="Times New Roman" w:hAnsi="Times New Roman" w:cs="Times New Roman"/>
          <w:sz w:val="24"/>
          <w:szCs w:val="24"/>
        </w:rPr>
        <w:t xml:space="preserve">This is vastly different from what we know of Athenian mourning rituals from </w:t>
      </w:r>
      <w:r w:rsidR="009F25BB" w:rsidRPr="009F25BB">
        <w:rPr>
          <w:rFonts w:ascii="Times New Roman" w:hAnsi="Times New Roman" w:cs="Times New Roman"/>
          <w:sz w:val="24"/>
          <w:szCs w:val="24"/>
        </w:rPr>
        <w:t>Thucydides as</w:t>
      </w:r>
      <w:r w:rsidR="009F25BB" w:rsidRPr="009F25BB">
        <w:rPr>
          <w:rFonts w:ascii="Times New Roman" w:hAnsi="Times New Roman" w:cs="Times New Roman"/>
          <w:sz w:val="24"/>
          <w:szCs w:val="24"/>
        </w:rPr>
        <w:t>they held public funerals for their warriors that died in battle. This is different to Sparta where they mourned privately</w:t>
      </w:r>
      <w:r w:rsidR="00B4358B">
        <w:rPr>
          <w:rFonts w:ascii="Times New Roman" w:hAnsi="Times New Roman" w:cs="Times New Roman"/>
          <w:sz w:val="24"/>
          <w:szCs w:val="24"/>
        </w:rPr>
        <w:t>.</w:t>
      </w:r>
      <w:r w:rsidR="00B4358B">
        <w:rPr>
          <w:rStyle w:val="FootnoteReference"/>
          <w:rFonts w:ascii="Times New Roman" w:hAnsi="Times New Roman" w:cs="Times New Roman"/>
          <w:sz w:val="24"/>
          <w:szCs w:val="24"/>
        </w:rPr>
        <w:footnoteReference w:id="3"/>
      </w:r>
    </w:p>
    <w:p w14:paraId="5FF536DC" w14:textId="77777777" w:rsidR="00F678B9" w:rsidRDefault="00F678B9" w:rsidP="00065A86">
      <w:pPr>
        <w:spacing w:line="480" w:lineRule="auto"/>
        <w:rPr>
          <w:rFonts w:ascii="Times New Roman" w:hAnsi="Times New Roman" w:cs="Times New Roman"/>
          <w:sz w:val="24"/>
          <w:szCs w:val="24"/>
        </w:rPr>
      </w:pPr>
    </w:p>
    <w:p w14:paraId="1F430B69" w14:textId="77777777" w:rsidR="00DF36A5" w:rsidRDefault="002F0548" w:rsidP="00D33753">
      <w:pPr>
        <w:spacing w:line="480" w:lineRule="auto"/>
        <w:rPr>
          <w:rFonts w:ascii="Times New Roman" w:hAnsi="Times New Roman" w:cs="Times New Roman"/>
          <w:sz w:val="24"/>
          <w:szCs w:val="24"/>
        </w:rPr>
      </w:pPr>
      <w:r w:rsidRPr="00B4358B">
        <w:rPr>
          <w:rFonts w:ascii="Times New Roman" w:hAnsi="Times New Roman" w:cs="Times New Roman"/>
          <w:sz w:val="24"/>
          <w:szCs w:val="24"/>
        </w:rPr>
        <w:t>Spartan women stand out as one of the few women of the ancient world who we know anything about</w:t>
      </w:r>
      <w:r w:rsidR="00F678B9" w:rsidRPr="00B4358B">
        <w:rPr>
          <w:rFonts w:ascii="Times New Roman" w:hAnsi="Times New Roman" w:cs="Times New Roman"/>
          <w:sz w:val="24"/>
          <w:szCs w:val="24"/>
        </w:rPr>
        <w:t>.</w:t>
      </w:r>
      <w:r>
        <w:rPr>
          <w:rFonts w:ascii="Times New Roman" w:hAnsi="Times New Roman" w:cs="Times New Roman"/>
          <w:sz w:val="24"/>
          <w:szCs w:val="24"/>
        </w:rPr>
        <w:t xml:space="preserve"> because all writing is from the male point of view about the ancient world and the vast majority of sources about the ancient world are about male activities and women are not featured, they are a small part of the </w:t>
      </w:r>
      <w:r w:rsidR="00F678B9">
        <w:rPr>
          <w:rFonts w:ascii="Times New Roman" w:hAnsi="Times New Roman" w:cs="Times New Roman"/>
          <w:sz w:val="24"/>
          <w:szCs w:val="24"/>
        </w:rPr>
        <w:t xml:space="preserve">sources from the </w:t>
      </w:r>
      <w:r>
        <w:rPr>
          <w:rFonts w:ascii="Times New Roman" w:hAnsi="Times New Roman" w:cs="Times New Roman"/>
          <w:sz w:val="24"/>
          <w:szCs w:val="24"/>
        </w:rPr>
        <w:t xml:space="preserve">ancient world. Spartan women </w:t>
      </w:r>
      <w:r w:rsidRPr="00D33753">
        <w:rPr>
          <w:rFonts w:ascii="Times New Roman" w:hAnsi="Times New Roman" w:cs="Times New Roman"/>
          <w:sz w:val="24"/>
          <w:szCs w:val="24"/>
        </w:rPr>
        <w:t xml:space="preserve">get specific treatment by Plutarch which makes then unique. </w:t>
      </w:r>
    </w:p>
    <w:p w14:paraId="1637D9FD" w14:textId="346D8A87" w:rsidR="00D33753" w:rsidRDefault="00D33753" w:rsidP="00D33753">
      <w:pPr>
        <w:spacing w:line="480" w:lineRule="auto"/>
        <w:rPr>
          <w:rFonts w:ascii="Times New Roman" w:hAnsi="Times New Roman" w:cs="Times New Roman"/>
          <w:sz w:val="24"/>
          <w:szCs w:val="24"/>
        </w:rPr>
      </w:pPr>
      <w:r w:rsidRPr="00D33753">
        <w:rPr>
          <w:rFonts w:ascii="Times New Roman" w:hAnsi="Times New Roman" w:cs="Times New Roman"/>
          <w:sz w:val="24"/>
          <w:szCs w:val="24"/>
        </w:rPr>
        <w:t>Within his Life of Lycurgus Plutarch discusses inscriptions on tombstones of deceased women.  'It was not permitted to inscribe the name of the dead [on a tomb], except for a man who had died in battle or a woman who had died while holding religious office.'</w:t>
      </w:r>
      <w:r w:rsidR="00B4358B">
        <w:rPr>
          <w:rStyle w:val="FootnoteReference"/>
          <w:rFonts w:ascii="Times New Roman" w:hAnsi="Times New Roman" w:cs="Times New Roman"/>
          <w:sz w:val="24"/>
          <w:szCs w:val="24"/>
        </w:rPr>
        <w:footnoteReference w:id="4"/>
      </w:r>
      <w:r w:rsidRPr="00D33753">
        <w:rPr>
          <w:rFonts w:ascii="Times New Roman" w:hAnsi="Times New Roman" w:cs="Times New Roman"/>
          <w:sz w:val="24"/>
          <w:szCs w:val="24"/>
        </w:rPr>
        <w:t xml:space="preserve"> This quote has previously been incorrectly translated to women who died in childbirth. However, Dillon notes that in Plutarch's Moralia  women are not mentioned at all, only men who dies in battle were permitted to have inscriptions of their tombstone.</w:t>
      </w:r>
      <w:r w:rsidR="00B4358B">
        <w:rPr>
          <w:rStyle w:val="FootnoteReference"/>
          <w:rFonts w:ascii="Times New Roman" w:hAnsi="Times New Roman" w:cs="Times New Roman"/>
          <w:sz w:val="24"/>
          <w:szCs w:val="24"/>
        </w:rPr>
        <w:footnoteReference w:id="5"/>
      </w:r>
      <w:r w:rsidRPr="00D33753">
        <w:rPr>
          <w:rFonts w:ascii="Times New Roman" w:hAnsi="Times New Roman" w:cs="Times New Roman"/>
          <w:sz w:val="24"/>
          <w:szCs w:val="24"/>
        </w:rPr>
        <w:t xml:space="preserve"> Due to the differences within </w:t>
      </w:r>
      <w:r w:rsidRPr="00D33753">
        <w:rPr>
          <w:rFonts w:ascii="Times New Roman" w:hAnsi="Times New Roman" w:cs="Times New Roman"/>
          <w:sz w:val="24"/>
          <w:szCs w:val="24"/>
        </w:rPr>
        <w:lastRenderedPageBreak/>
        <w:t>Plutarch's texts, Dillon questions if the Life of Lycurgus was actually mistranslated or women who held religious office were purposefully omitted from his Moralia.</w:t>
      </w:r>
      <w:r w:rsidR="00B4358B">
        <w:rPr>
          <w:rStyle w:val="FootnoteReference"/>
          <w:rFonts w:ascii="Times New Roman" w:hAnsi="Times New Roman" w:cs="Times New Roman"/>
          <w:sz w:val="24"/>
          <w:szCs w:val="24"/>
        </w:rPr>
        <w:footnoteReference w:id="6"/>
      </w:r>
    </w:p>
    <w:p w14:paraId="127C616B" w14:textId="76705503" w:rsidR="00D33753" w:rsidRPr="00DF36A5" w:rsidRDefault="00DF36A5" w:rsidP="00DF36A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It has become accepted academically that some Spartan women were honoured after their death although, Dillon makes a further argument </w:t>
      </w:r>
      <w:r w:rsidR="00D33753" w:rsidRPr="00DF36A5">
        <w:rPr>
          <w:rFonts w:ascii="Times New Roman" w:hAnsi="Times New Roman" w:cs="Times New Roman"/>
          <w:sz w:val="24"/>
          <w:szCs w:val="24"/>
        </w:rPr>
        <w:t xml:space="preserve">that the surviving inscriptions on female tombs might not even belong to spartan women. </w:t>
      </w:r>
      <w:r>
        <w:rPr>
          <w:rFonts w:ascii="Times New Roman" w:hAnsi="Times New Roman" w:cs="Times New Roman"/>
          <w:sz w:val="24"/>
          <w:szCs w:val="24"/>
        </w:rPr>
        <w:t>Dillon</w:t>
      </w:r>
      <w:r w:rsidR="00B4358B">
        <w:rPr>
          <w:rFonts w:ascii="Times New Roman" w:hAnsi="Times New Roman" w:cs="Times New Roman"/>
          <w:sz w:val="24"/>
          <w:szCs w:val="24"/>
        </w:rPr>
        <w:t>.</w:t>
      </w:r>
      <w:r w:rsidR="00B4358B">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00D33753" w:rsidRPr="00DF36A5">
        <w:rPr>
          <w:rFonts w:ascii="Times New Roman" w:hAnsi="Times New Roman" w:cs="Times New Roman"/>
          <w:sz w:val="24"/>
          <w:szCs w:val="24"/>
        </w:rPr>
        <w:t>Dillon conclude</w:t>
      </w:r>
      <w:r>
        <w:t>d</w:t>
      </w:r>
      <w:r w:rsidR="00D33753" w:rsidRPr="00DF36A5">
        <w:rPr>
          <w:rFonts w:ascii="Times New Roman" w:hAnsi="Times New Roman" w:cs="Times New Roman"/>
          <w:sz w:val="24"/>
          <w:szCs w:val="24"/>
        </w:rPr>
        <w:t xml:space="preserve"> that it was women that held religious office that were granted an inscription as they contributed to Spartan religion and society; whereas those that died in childbirth essentially did not give anything to Sparta.</w:t>
      </w:r>
      <w:r w:rsidR="00E467A2">
        <w:rPr>
          <w:rStyle w:val="FootnoteReference"/>
          <w:rFonts w:ascii="Times New Roman" w:hAnsi="Times New Roman" w:cs="Times New Roman"/>
          <w:sz w:val="24"/>
          <w:szCs w:val="24"/>
        </w:rPr>
        <w:footnoteReference w:id="8"/>
      </w:r>
      <w:r w:rsidR="00D33753" w:rsidRPr="00DF36A5">
        <w:rPr>
          <w:rFonts w:ascii="Times New Roman" w:hAnsi="Times New Roman" w:cs="Times New Roman"/>
          <w:sz w:val="24"/>
          <w:szCs w:val="24"/>
        </w:rPr>
        <w:t xml:space="preserve"> Dillon words the end of his article in a very crude yet simple way which emphasises the Spartan way of life, only those that truly gave to the state were worthy of being publicly honoured by the state.</w:t>
      </w:r>
    </w:p>
    <w:p w14:paraId="772B249B" w14:textId="77777777" w:rsidR="00F678B9" w:rsidRPr="00DF36A5" w:rsidRDefault="00F678B9" w:rsidP="00DF36A5">
      <w:pPr>
        <w:spacing w:line="480" w:lineRule="auto"/>
        <w:rPr>
          <w:rFonts w:ascii="Times New Roman" w:hAnsi="Times New Roman" w:cs="Times New Roman"/>
          <w:sz w:val="24"/>
          <w:szCs w:val="24"/>
        </w:rPr>
      </w:pPr>
    </w:p>
    <w:p w14:paraId="657952CD" w14:textId="05C006C0" w:rsidR="002F0548" w:rsidRDefault="002F0548" w:rsidP="00065A86">
      <w:pPr>
        <w:spacing w:line="480" w:lineRule="auto"/>
        <w:rPr>
          <w:rFonts w:ascii="Times New Roman" w:hAnsi="Times New Roman" w:cs="Times New Roman"/>
          <w:sz w:val="24"/>
          <w:szCs w:val="24"/>
        </w:rPr>
      </w:pPr>
      <w:r w:rsidRPr="00E467A2">
        <w:rPr>
          <w:rFonts w:ascii="Times New Roman" w:hAnsi="Times New Roman" w:cs="Times New Roman"/>
          <w:sz w:val="24"/>
          <w:szCs w:val="24"/>
        </w:rPr>
        <w:t>A unique feature about spartan women is that they have writing dedicated to them and their world, this writing specifically emphasises their voice</w:t>
      </w:r>
      <w:r w:rsidR="00E467A2">
        <w:rPr>
          <w:rFonts w:ascii="Times New Roman" w:hAnsi="Times New Roman" w:cs="Times New Roman"/>
          <w:sz w:val="24"/>
          <w:szCs w:val="24"/>
        </w:rPr>
        <w:t xml:space="preserve"> in the sayings of Spartan women</w:t>
      </w:r>
      <w:r w:rsidR="00DC0A45">
        <w:rPr>
          <w:rFonts w:ascii="Times New Roman" w:hAnsi="Times New Roman" w:cs="Times New Roman"/>
          <w:sz w:val="24"/>
          <w:szCs w:val="24"/>
        </w:rPr>
        <w:t xml:space="preserve">. </w:t>
      </w:r>
    </w:p>
    <w:p w14:paraId="49380942" w14:textId="0FC9A6D5" w:rsidR="00F678B9" w:rsidRDefault="004D3591"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r w:rsidR="007B5185">
        <w:rPr>
          <w:rFonts w:ascii="Times New Roman" w:hAnsi="Times New Roman" w:cs="Times New Roman"/>
          <w:sz w:val="24"/>
          <w:szCs w:val="24"/>
        </w:rPr>
        <w:t>Plutarch</w:t>
      </w:r>
      <w:r w:rsidR="009C5579">
        <w:rPr>
          <w:rFonts w:ascii="Times New Roman" w:hAnsi="Times New Roman" w:cs="Times New Roman"/>
          <w:sz w:val="24"/>
          <w:szCs w:val="24"/>
        </w:rPr>
        <w:t xml:space="preserve">’s </w:t>
      </w:r>
      <w:r w:rsidR="009C5579">
        <w:rPr>
          <w:rFonts w:ascii="Times New Roman" w:hAnsi="Times New Roman" w:cs="Times New Roman"/>
          <w:i/>
          <w:iCs/>
          <w:sz w:val="24"/>
          <w:szCs w:val="24"/>
        </w:rPr>
        <w:t>Moralia</w:t>
      </w:r>
      <w:r w:rsidR="009C5579">
        <w:rPr>
          <w:rFonts w:ascii="Times New Roman" w:hAnsi="Times New Roman" w:cs="Times New Roman"/>
          <w:sz w:val="24"/>
          <w:szCs w:val="24"/>
        </w:rPr>
        <w:t xml:space="preserve"> </w:t>
      </w:r>
      <w:r>
        <w:rPr>
          <w:rFonts w:ascii="Times New Roman" w:hAnsi="Times New Roman" w:cs="Times New Roman"/>
          <w:sz w:val="24"/>
          <w:szCs w:val="24"/>
        </w:rPr>
        <w:t>a number of the saying are about women encouraging the men to go to war, he</w:t>
      </w:r>
      <w:r w:rsidR="009C5579">
        <w:rPr>
          <w:rFonts w:ascii="Times New Roman" w:hAnsi="Times New Roman" w:cs="Times New Roman"/>
          <w:sz w:val="24"/>
          <w:szCs w:val="24"/>
        </w:rPr>
        <w:t xml:space="preserve"> gives women a voice in terms of </w:t>
      </w:r>
      <w:r>
        <w:rPr>
          <w:rFonts w:ascii="Times New Roman" w:hAnsi="Times New Roman" w:cs="Times New Roman"/>
          <w:sz w:val="24"/>
          <w:szCs w:val="24"/>
        </w:rPr>
        <w:t xml:space="preserve">attitudes to </w:t>
      </w:r>
      <w:r w:rsidR="009C5579">
        <w:rPr>
          <w:rFonts w:ascii="Times New Roman" w:hAnsi="Times New Roman" w:cs="Times New Roman"/>
          <w:sz w:val="24"/>
          <w:szCs w:val="24"/>
        </w:rPr>
        <w:t>warfare as one women gives her son his shiel</w:t>
      </w:r>
      <w:r w:rsidR="00DF36A5">
        <w:rPr>
          <w:rFonts w:ascii="Times New Roman" w:hAnsi="Times New Roman" w:cs="Times New Roman"/>
          <w:sz w:val="24"/>
          <w:szCs w:val="24"/>
        </w:rPr>
        <w:t>d</w:t>
      </w:r>
      <w:r w:rsidR="009C5579">
        <w:rPr>
          <w:rFonts w:ascii="Times New Roman" w:hAnsi="Times New Roman" w:cs="Times New Roman"/>
          <w:sz w:val="24"/>
          <w:szCs w:val="24"/>
        </w:rPr>
        <w:t xml:space="preserve"> and tells hi</w:t>
      </w:r>
      <w:r w:rsidR="00DF36A5">
        <w:rPr>
          <w:rFonts w:ascii="Times New Roman" w:hAnsi="Times New Roman" w:cs="Times New Roman"/>
          <w:sz w:val="24"/>
          <w:szCs w:val="24"/>
        </w:rPr>
        <w:t>m</w:t>
      </w:r>
      <w:r w:rsidR="009C5579">
        <w:rPr>
          <w:rFonts w:ascii="Times New Roman" w:hAnsi="Times New Roman" w:cs="Times New Roman"/>
          <w:sz w:val="24"/>
          <w:szCs w:val="24"/>
        </w:rPr>
        <w:t xml:space="preserve"> “either with this or on this”.</w:t>
      </w:r>
      <w:r w:rsidR="00EA561B">
        <w:rPr>
          <w:rStyle w:val="FootnoteReference"/>
          <w:rFonts w:ascii="Times New Roman" w:hAnsi="Times New Roman" w:cs="Times New Roman"/>
          <w:sz w:val="24"/>
          <w:szCs w:val="24"/>
        </w:rPr>
        <w:footnoteReference w:id="9"/>
      </w:r>
      <w:r w:rsidR="009C5579">
        <w:rPr>
          <w:rFonts w:ascii="Times New Roman" w:hAnsi="Times New Roman" w:cs="Times New Roman"/>
          <w:sz w:val="24"/>
          <w:szCs w:val="24"/>
        </w:rPr>
        <w:t xml:space="preserve"> This suggests that Spartan women played a strong role in the society views towards the warrior code. Redfield states that although there was a strong warrior code</w:t>
      </w:r>
      <w:r>
        <w:rPr>
          <w:rFonts w:ascii="Times New Roman" w:hAnsi="Times New Roman" w:cs="Times New Roman"/>
          <w:sz w:val="24"/>
          <w:szCs w:val="24"/>
        </w:rPr>
        <w:t>,</w:t>
      </w:r>
      <w:r w:rsidR="009C5579">
        <w:rPr>
          <w:rFonts w:ascii="Times New Roman" w:hAnsi="Times New Roman" w:cs="Times New Roman"/>
          <w:sz w:val="24"/>
          <w:szCs w:val="24"/>
        </w:rPr>
        <w:t xml:space="preserve"> women themselves did not have such a thing</w:t>
      </w:r>
      <w:r>
        <w:rPr>
          <w:rFonts w:ascii="Times New Roman" w:hAnsi="Times New Roman" w:cs="Times New Roman"/>
          <w:sz w:val="24"/>
          <w:szCs w:val="24"/>
        </w:rPr>
        <w:t>.</w:t>
      </w:r>
      <w:r w:rsidR="00EA561B">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p>
    <w:p w14:paraId="49E114AB" w14:textId="6E0C2BED" w:rsidR="001B6610" w:rsidRPr="00EA561B" w:rsidRDefault="002F0548" w:rsidP="00EA561B">
      <w:pPr>
        <w:spacing w:line="480" w:lineRule="auto"/>
        <w:rPr>
          <w:rFonts w:ascii="Times New Roman" w:hAnsi="Times New Roman" w:cs="Times New Roman"/>
          <w:sz w:val="24"/>
          <w:szCs w:val="24"/>
        </w:rPr>
      </w:pPr>
      <w:r w:rsidRPr="00EA561B">
        <w:rPr>
          <w:rFonts w:ascii="Times New Roman" w:hAnsi="Times New Roman" w:cs="Times New Roman"/>
          <w:sz w:val="24"/>
          <w:szCs w:val="24"/>
        </w:rPr>
        <w:t xml:space="preserve">Spartan women have been compared by scholars to Greek men. </w:t>
      </w:r>
      <w:r w:rsidR="001B6610" w:rsidRPr="00EA561B">
        <w:rPr>
          <w:rFonts w:ascii="Times New Roman" w:hAnsi="Times New Roman" w:cs="Times New Roman"/>
          <w:sz w:val="24"/>
          <w:szCs w:val="24"/>
        </w:rPr>
        <w:t xml:space="preserve">Redfield begins his article by saying "From the time of Alcman's Agido and Hegesichora, who run like horses in dreams, </w:t>
      </w:r>
      <w:r w:rsidR="001B6610" w:rsidRPr="00EA561B">
        <w:rPr>
          <w:rFonts w:ascii="Times New Roman" w:hAnsi="Times New Roman" w:cs="Times New Roman"/>
          <w:sz w:val="24"/>
          <w:szCs w:val="24"/>
        </w:rPr>
        <w:lastRenderedPageBreak/>
        <w:t>the women of Sparta. They were not, like the women of other Greek cities, shut in their houses making textiles; instead they exercised and displayed their limbs like men".</w:t>
      </w:r>
      <w:r w:rsidR="00EA561B" w:rsidRPr="00EA561B">
        <w:rPr>
          <w:rStyle w:val="FootnoteReference"/>
          <w:rFonts w:ascii="Times New Roman" w:hAnsi="Times New Roman" w:cs="Times New Roman"/>
          <w:sz w:val="24"/>
          <w:szCs w:val="24"/>
        </w:rPr>
        <w:footnoteReference w:id="11"/>
      </w:r>
      <w:r w:rsidR="001B6610" w:rsidRPr="00EA561B">
        <w:rPr>
          <w:rFonts w:ascii="Times New Roman" w:hAnsi="Times New Roman" w:cs="Times New Roman"/>
          <w:sz w:val="24"/>
          <w:szCs w:val="24"/>
        </w:rPr>
        <w:t xml:space="preserve">  Lycurgus’ reforms included rules about women such as doing exercise and having some form of education</w:t>
      </w:r>
      <w:r w:rsidR="001B6610" w:rsidRPr="00EA561B">
        <w:rPr>
          <w:rFonts w:ascii="Times New Roman" w:hAnsi="Times New Roman" w:cs="Times New Roman"/>
          <w:color w:val="FF0000"/>
          <w:sz w:val="24"/>
          <w:szCs w:val="24"/>
        </w:rPr>
        <w:t xml:space="preserve"> </w:t>
      </w:r>
      <w:r w:rsidR="001B6610" w:rsidRPr="00EA561B">
        <w:rPr>
          <w:rFonts w:ascii="Times New Roman" w:hAnsi="Times New Roman" w:cs="Times New Roman"/>
          <w:sz w:val="24"/>
          <w:szCs w:val="24"/>
        </w:rPr>
        <w:t xml:space="preserve">This effectively blurs the line between the ‘average’ Greek male and Spartan women. According to </w:t>
      </w:r>
      <w:r w:rsidR="00F1754C" w:rsidRPr="00EA561B">
        <w:rPr>
          <w:rFonts w:ascii="Times New Roman" w:hAnsi="Times New Roman" w:cs="Times New Roman"/>
          <w:sz w:val="24"/>
          <w:szCs w:val="24"/>
        </w:rPr>
        <w:t xml:space="preserve">Redfield </w:t>
      </w:r>
      <w:r w:rsidR="001B6610" w:rsidRPr="00EA561B">
        <w:rPr>
          <w:rFonts w:ascii="Times New Roman" w:hAnsi="Times New Roman" w:cs="Times New Roman"/>
          <w:sz w:val="24"/>
          <w:szCs w:val="24"/>
        </w:rPr>
        <w:t>the "</w:t>
      </w:r>
      <w:r w:rsidR="00D21B11" w:rsidRPr="00EA561B">
        <w:rPr>
          <w:rFonts w:ascii="Times New Roman" w:hAnsi="Times New Roman" w:cs="Times New Roman"/>
          <w:sz w:val="24"/>
          <w:szCs w:val="24"/>
        </w:rPr>
        <w:t xml:space="preserve">Spartan </w:t>
      </w:r>
      <w:r w:rsidR="001B6610" w:rsidRPr="00EA561B">
        <w:rPr>
          <w:rFonts w:ascii="Times New Roman" w:hAnsi="Times New Roman" w:cs="Times New Roman"/>
          <w:sz w:val="24"/>
          <w:szCs w:val="24"/>
        </w:rPr>
        <w:t xml:space="preserve">women were like men", </w:t>
      </w:r>
      <w:r w:rsidR="00F1754C" w:rsidRPr="00EA561B">
        <w:rPr>
          <w:rFonts w:ascii="Times New Roman" w:hAnsi="Times New Roman" w:cs="Times New Roman"/>
          <w:sz w:val="24"/>
          <w:szCs w:val="24"/>
        </w:rPr>
        <w:t>inferring</w:t>
      </w:r>
      <w:r w:rsidR="001B6610" w:rsidRPr="00EA561B">
        <w:rPr>
          <w:rFonts w:ascii="Times New Roman" w:hAnsi="Times New Roman" w:cs="Times New Roman"/>
          <w:sz w:val="24"/>
          <w:szCs w:val="24"/>
        </w:rPr>
        <w:t xml:space="preserve"> that they were different from Spartan men as they were not like other men of Greece.</w:t>
      </w:r>
      <w:r w:rsidR="00EA561B" w:rsidRPr="00EA561B">
        <w:rPr>
          <w:rStyle w:val="FootnoteReference"/>
          <w:rFonts w:ascii="Times New Roman" w:hAnsi="Times New Roman" w:cs="Times New Roman"/>
          <w:sz w:val="24"/>
          <w:szCs w:val="24"/>
        </w:rPr>
        <w:footnoteReference w:id="12"/>
      </w:r>
      <w:r w:rsidR="001B6610" w:rsidRPr="00EA561B">
        <w:rPr>
          <w:rFonts w:ascii="Times New Roman" w:hAnsi="Times New Roman" w:cs="Times New Roman"/>
          <w:sz w:val="24"/>
          <w:szCs w:val="24"/>
        </w:rPr>
        <w:t xml:space="preserve"> </w:t>
      </w:r>
    </w:p>
    <w:p w14:paraId="634692EF" w14:textId="77777777" w:rsidR="00F678B9" w:rsidRDefault="00F678B9" w:rsidP="00065A86">
      <w:pPr>
        <w:spacing w:line="480" w:lineRule="auto"/>
        <w:rPr>
          <w:rFonts w:ascii="Times New Roman" w:hAnsi="Times New Roman" w:cs="Times New Roman"/>
          <w:sz w:val="24"/>
          <w:szCs w:val="24"/>
        </w:rPr>
      </w:pPr>
    </w:p>
    <w:p w14:paraId="77B87788" w14:textId="131C9B1C" w:rsidR="00527F6D" w:rsidRDefault="002F0548" w:rsidP="00065A86">
      <w:pPr>
        <w:spacing w:line="480" w:lineRule="auto"/>
        <w:rPr>
          <w:rFonts w:ascii="Times New Roman" w:hAnsi="Times New Roman" w:cs="Times New Roman"/>
          <w:sz w:val="24"/>
          <w:szCs w:val="24"/>
        </w:rPr>
      </w:pPr>
      <w:r w:rsidRPr="00EA561B">
        <w:rPr>
          <w:rFonts w:ascii="Times New Roman" w:hAnsi="Times New Roman" w:cs="Times New Roman"/>
          <w:sz w:val="24"/>
          <w:szCs w:val="24"/>
        </w:rPr>
        <w:t>Spartan women have been idealise</w:t>
      </w:r>
      <w:r w:rsidR="00EA561B">
        <w:rPr>
          <w:rFonts w:ascii="Times New Roman" w:hAnsi="Times New Roman" w:cs="Times New Roman"/>
          <w:sz w:val="24"/>
          <w:szCs w:val="24"/>
        </w:rPr>
        <w:t>d</w:t>
      </w:r>
      <w:r w:rsidRPr="00EA561B">
        <w:rPr>
          <w:rFonts w:ascii="Times New Roman" w:hAnsi="Times New Roman" w:cs="Times New Roman"/>
          <w:sz w:val="24"/>
          <w:szCs w:val="24"/>
        </w:rPr>
        <w:t xml:space="preserve"> in the sources to some degree</w:t>
      </w:r>
      <w:r w:rsidR="00EA561B" w:rsidRPr="00EA561B">
        <w:rPr>
          <w:rFonts w:ascii="Times New Roman" w:hAnsi="Times New Roman" w:cs="Times New Roman"/>
          <w:sz w:val="24"/>
          <w:szCs w:val="24"/>
        </w:rPr>
        <w:t>.</w:t>
      </w:r>
      <w:r w:rsidR="00EA561B">
        <w:rPr>
          <w:rFonts w:ascii="Times New Roman" w:hAnsi="Times New Roman" w:cs="Times New Roman"/>
          <w:sz w:val="24"/>
          <w:szCs w:val="24"/>
        </w:rPr>
        <w:t xml:space="preserve"> </w:t>
      </w:r>
      <w:r w:rsidR="00527F6D">
        <w:rPr>
          <w:rFonts w:ascii="Times New Roman" w:hAnsi="Times New Roman" w:cs="Times New Roman"/>
          <w:sz w:val="24"/>
          <w:szCs w:val="24"/>
        </w:rPr>
        <w:t>An idealised for of a Spartan female i</w:t>
      </w:r>
      <w:r w:rsidR="007B5185">
        <w:rPr>
          <w:rFonts w:ascii="Times New Roman" w:hAnsi="Times New Roman" w:cs="Times New Roman"/>
          <w:sz w:val="24"/>
          <w:szCs w:val="24"/>
        </w:rPr>
        <w:t>s</w:t>
      </w:r>
      <w:r w:rsidR="00527F6D">
        <w:rPr>
          <w:rFonts w:ascii="Times New Roman" w:hAnsi="Times New Roman" w:cs="Times New Roman"/>
          <w:sz w:val="24"/>
          <w:szCs w:val="24"/>
        </w:rPr>
        <w:t xml:space="preserve"> that of Gorgo, the daughter of king Cleomenes I and the wife of King L</w:t>
      </w:r>
      <w:r w:rsidR="007B5185">
        <w:rPr>
          <w:rFonts w:ascii="Times New Roman" w:hAnsi="Times New Roman" w:cs="Times New Roman"/>
          <w:sz w:val="24"/>
          <w:szCs w:val="24"/>
        </w:rPr>
        <w:t>e</w:t>
      </w:r>
      <w:r w:rsidR="00527F6D">
        <w:rPr>
          <w:rFonts w:ascii="Times New Roman" w:hAnsi="Times New Roman" w:cs="Times New Roman"/>
          <w:sz w:val="24"/>
          <w:szCs w:val="24"/>
        </w:rPr>
        <w:t>onida</w:t>
      </w:r>
      <w:r w:rsidR="007B5185">
        <w:rPr>
          <w:rFonts w:ascii="Times New Roman" w:hAnsi="Times New Roman" w:cs="Times New Roman"/>
          <w:sz w:val="24"/>
          <w:szCs w:val="24"/>
        </w:rPr>
        <w:t>s. In book Five Herodotus uses Gorgo as a plot device to show that the Spartan were incorruptible. Herodotus tells us that at the age of eight or nine Gorgo tells her father Cleomenes “Father, the stranger will corrupt you”</w:t>
      </w:r>
      <w:r w:rsidR="00EA561B">
        <w:rPr>
          <w:rStyle w:val="FootnoteReference"/>
          <w:rFonts w:ascii="Times New Roman" w:hAnsi="Times New Roman" w:cs="Times New Roman"/>
          <w:sz w:val="24"/>
          <w:szCs w:val="24"/>
        </w:rPr>
        <w:footnoteReference w:id="13"/>
      </w:r>
      <w:r w:rsidR="007B5185">
        <w:rPr>
          <w:rFonts w:ascii="Times New Roman" w:hAnsi="Times New Roman" w:cs="Times New Roman"/>
          <w:sz w:val="24"/>
          <w:szCs w:val="24"/>
        </w:rPr>
        <w:t xml:space="preserve"> </w:t>
      </w:r>
      <w:r w:rsidR="00884457">
        <w:rPr>
          <w:rFonts w:ascii="Times New Roman" w:hAnsi="Times New Roman" w:cs="Times New Roman"/>
          <w:sz w:val="24"/>
          <w:szCs w:val="24"/>
        </w:rPr>
        <w:t>in regard to</w:t>
      </w:r>
      <w:r w:rsidR="007B5185">
        <w:rPr>
          <w:rFonts w:ascii="Times New Roman" w:hAnsi="Times New Roman" w:cs="Times New Roman"/>
          <w:sz w:val="24"/>
          <w:szCs w:val="24"/>
        </w:rPr>
        <w:t xml:space="preserve"> Aristagoras asking for help from Sparta and offering to pay fifty Talents. It is not only Gorgo that is idealised here  as an intelligent female but she also adds to perceptions of Sparta as a whole for they were knows to be incorruptible. Again in book Seven (7.239) Herodoutus creates an idealised version of Gogo when she discovers the trick to scrape the wax off the wood to discover the message left by Xerxes. </w:t>
      </w:r>
    </w:p>
    <w:p w14:paraId="6035AA66" w14:textId="02F5FEA0" w:rsidR="001B6610" w:rsidRPr="00884457" w:rsidRDefault="001B6610" w:rsidP="00884457">
      <w:pPr>
        <w:spacing w:line="480" w:lineRule="auto"/>
        <w:rPr>
          <w:rFonts w:ascii="Times New Roman" w:hAnsi="Times New Roman" w:cs="Times New Roman"/>
          <w:sz w:val="24"/>
          <w:szCs w:val="24"/>
        </w:rPr>
      </w:pPr>
      <w:r w:rsidRPr="00884457">
        <w:rPr>
          <w:rFonts w:ascii="Times New Roman" w:hAnsi="Times New Roman" w:cs="Times New Roman"/>
          <w:sz w:val="24"/>
          <w:szCs w:val="24"/>
        </w:rPr>
        <w:t xml:space="preserve">Another Famous Spartan </w:t>
      </w:r>
      <w:r w:rsidR="00884457" w:rsidRPr="00884457">
        <w:rPr>
          <w:rFonts w:ascii="Times New Roman" w:hAnsi="Times New Roman" w:cs="Times New Roman"/>
          <w:sz w:val="24"/>
          <w:szCs w:val="24"/>
        </w:rPr>
        <w:t>woman</w:t>
      </w:r>
      <w:r w:rsidRPr="00884457">
        <w:rPr>
          <w:rFonts w:ascii="Times New Roman" w:hAnsi="Times New Roman" w:cs="Times New Roman"/>
          <w:sz w:val="24"/>
          <w:szCs w:val="24"/>
        </w:rPr>
        <w:t xml:space="preserve"> mentioned in anctient texts is Cynisca (sister of Aegisiilus II) who won at the Olympics for her four horse chariot racing (the owner of the horses won not the person on the chariot)</w:t>
      </w:r>
      <w:r w:rsidR="00EA561B">
        <w:rPr>
          <w:rFonts w:ascii="Times New Roman" w:hAnsi="Times New Roman" w:cs="Times New Roman"/>
          <w:sz w:val="24"/>
          <w:szCs w:val="24"/>
        </w:rPr>
        <w:t>.</w:t>
      </w:r>
      <w:r w:rsidR="00EA561B">
        <w:rPr>
          <w:rStyle w:val="FootnoteReference"/>
          <w:rFonts w:ascii="Times New Roman" w:hAnsi="Times New Roman" w:cs="Times New Roman"/>
          <w:sz w:val="24"/>
          <w:szCs w:val="24"/>
        </w:rPr>
        <w:footnoteReference w:id="14"/>
      </w:r>
      <w:r w:rsidRPr="00884457">
        <w:rPr>
          <w:rFonts w:ascii="Times New Roman" w:hAnsi="Times New Roman" w:cs="Times New Roman"/>
          <w:sz w:val="24"/>
          <w:szCs w:val="24"/>
        </w:rPr>
        <w:t xml:space="preserve"> </w:t>
      </w:r>
    </w:p>
    <w:p w14:paraId="2A042C59" w14:textId="492C4FDE" w:rsidR="00D21B11" w:rsidRDefault="00D21B11" w:rsidP="00065A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influence of </w:t>
      </w:r>
      <w:r w:rsidR="00EA561B">
        <w:rPr>
          <w:rFonts w:ascii="Times New Roman" w:hAnsi="Times New Roman" w:cs="Times New Roman"/>
          <w:sz w:val="24"/>
          <w:szCs w:val="24"/>
        </w:rPr>
        <w:t>Herodotus</w:t>
      </w:r>
      <w:r>
        <w:rPr>
          <w:rFonts w:ascii="Times New Roman" w:hAnsi="Times New Roman" w:cs="Times New Roman"/>
          <w:sz w:val="24"/>
          <w:szCs w:val="24"/>
        </w:rPr>
        <w:t xml:space="preserve"> and Plutarch on academic conceptions of spartan women have been considerable. We know more about Spartan women than other Greek women because it was these authors about them, Plutarch even dedicated writing to the women of Sparta</w:t>
      </w:r>
      <w:r w:rsidR="00EA561B">
        <w:rPr>
          <w:rFonts w:ascii="Times New Roman" w:hAnsi="Times New Roman" w:cs="Times New Roman"/>
          <w:sz w:val="24"/>
          <w:szCs w:val="24"/>
        </w:rPr>
        <w:t>, uniquely giving them a voice</w:t>
      </w:r>
      <w:r>
        <w:rPr>
          <w:rFonts w:ascii="Times New Roman" w:hAnsi="Times New Roman" w:cs="Times New Roman"/>
          <w:sz w:val="24"/>
          <w:szCs w:val="24"/>
        </w:rPr>
        <w:t xml:space="preserve">. They present a male </w:t>
      </w:r>
      <w:r w:rsidR="00EA561B">
        <w:rPr>
          <w:rFonts w:ascii="Times New Roman" w:hAnsi="Times New Roman" w:cs="Times New Roman"/>
          <w:sz w:val="24"/>
          <w:szCs w:val="24"/>
        </w:rPr>
        <w:t>view,</w:t>
      </w:r>
      <w:r>
        <w:rPr>
          <w:rFonts w:ascii="Times New Roman" w:hAnsi="Times New Roman" w:cs="Times New Roman"/>
          <w:sz w:val="24"/>
          <w:szCs w:val="24"/>
        </w:rPr>
        <w:t xml:space="preserve"> but it is the only view we have. Herodotus and Plutarch show Spartan women as different. They show them as sexually liberated and not bound by the conventions and rules of other city-states. They were seen as strong, autonomous property owners and often their role as mothers was emphasised. As mothers they were concerned with producing health, strong male children. These children were raised with a tough love</w:t>
      </w:r>
      <w:r w:rsidR="00EA561B">
        <w:rPr>
          <w:rFonts w:ascii="Times New Roman" w:hAnsi="Times New Roman" w:cs="Times New Roman"/>
          <w:sz w:val="24"/>
          <w:szCs w:val="24"/>
        </w:rPr>
        <w:t xml:space="preserve"> </w:t>
      </w:r>
      <w:r>
        <w:rPr>
          <w:rFonts w:ascii="Times New Roman" w:hAnsi="Times New Roman" w:cs="Times New Roman"/>
          <w:sz w:val="24"/>
          <w:szCs w:val="24"/>
        </w:rPr>
        <w:t xml:space="preserve">that could be seen as callous as the boys were raised to be strong, brave and in service to Sparta. </w:t>
      </w:r>
      <w:r w:rsidR="00EA561B">
        <w:rPr>
          <w:rFonts w:ascii="Times New Roman" w:hAnsi="Times New Roman" w:cs="Times New Roman"/>
          <w:sz w:val="24"/>
          <w:szCs w:val="24"/>
        </w:rPr>
        <w:t>Spartan women athletic and educated much unlike other Greek women. This has led to them being compared to Greek men and to being idealised. What Spartan women were really like unknown to us.</w:t>
      </w:r>
    </w:p>
    <w:p w14:paraId="4400D802" w14:textId="6F6B8ED4" w:rsidR="00B4358B" w:rsidRDefault="00B4358B" w:rsidP="00065A86">
      <w:pPr>
        <w:spacing w:line="480" w:lineRule="auto"/>
        <w:rPr>
          <w:rFonts w:ascii="Times New Roman" w:hAnsi="Times New Roman" w:cs="Times New Roman"/>
          <w:sz w:val="24"/>
          <w:szCs w:val="24"/>
        </w:rPr>
      </w:pPr>
    </w:p>
    <w:p w14:paraId="65E66DB0" w14:textId="77777777" w:rsidR="00B4358B" w:rsidRDefault="00B4358B" w:rsidP="00065A86">
      <w:pPr>
        <w:spacing w:line="480" w:lineRule="auto"/>
        <w:rPr>
          <w:rFonts w:ascii="Times New Roman" w:hAnsi="Times New Roman" w:cs="Times New Roman"/>
          <w:sz w:val="24"/>
          <w:szCs w:val="24"/>
        </w:rPr>
      </w:pPr>
    </w:p>
    <w:p w14:paraId="3E956A58" w14:textId="77777777" w:rsidR="00B4358B" w:rsidRDefault="00B4358B" w:rsidP="00065A86">
      <w:pPr>
        <w:spacing w:line="480" w:lineRule="auto"/>
        <w:rPr>
          <w:rFonts w:ascii="Times New Roman" w:hAnsi="Times New Roman" w:cs="Times New Roman"/>
          <w:sz w:val="24"/>
          <w:szCs w:val="24"/>
        </w:rPr>
      </w:pPr>
    </w:p>
    <w:p w14:paraId="596C972A" w14:textId="77777777" w:rsidR="00B4358B" w:rsidRDefault="00B4358B" w:rsidP="00065A86">
      <w:pPr>
        <w:spacing w:line="480" w:lineRule="auto"/>
        <w:rPr>
          <w:rFonts w:ascii="Times New Roman" w:hAnsi="Times New Roman" w:cs="Times New Roman"/>
          <w:sz w:val="24"/>
          <w:szCs w:val="24"/>
        </w:rPr>
      </w:pPr>
    </w:p>
    <w:p w14:paraId="539C8C9D" w14:textId="77777777" w:rsidR="00B4358B" w:rsidRDefault="00B4358B" w:rsidP="00065A86">
      <w:pPr>
        <w:spacing w:line="480" w:lineRule="auto"/>
        <w:rPr>
          <w:rFonts w:ascii="Times New Roman" w:hAnsi="Times New Roman" w:cs="Times New Roman"/>
          <w:sz w:val="24"/>
          <w:szCs w:val="24"/>
        </w:rPr>
      </w:pPr>
    </w:p>
    <w:p w14:paraId="0C534D82" w14:textId="0E15CA95" w:rsidR="00B4358B" w:rsidRDefault="00B4358B" w:rsidP="00065A86">
      <w:pPr>
        <w:spacing w:line="480" w:lineRule="auto"/>
        <w:rPr>
          <w:rFonts w:ascii="Times New Roman" w:hAnsi="Times New Roman" w:cs="Times New Roman"/>
          <w:sz w:val="24"/>
          <w:szCs w:val="24"/>
        </w:rPr>
      </w:pPr>
      <w:r>
        <w:rPr>
          <w:rFonts w:ascii="Times New Roman" w:hAnsi="Times New Roman" w:cs="Times New Roman"/>
          <w:sz w:val="24"/>
          <w:szCs w:val="24"/>
        </w:rPr>
        <w:t xml:space="preserve">Bibliography </w:t>
      </w:r>
    </w:p>
    <w:p w14:paraId="1B354B0D" w14:textId="5A795869" w:rsidR="00B4358B" w:rsidRPr="00B4358B" w:rsidRDefault="00B4358B" w:rsidP="00B4358B">
      <w:pPr>
        <w:rPr>
          <w:rFonts w:ascii="Times New Roman" w:hAnsi="Times New Roman" w:cs="Times New Roman"/>
          <w:color w:val="333333"/>
          <w:sz w:val="24"/>
          <w:szCs w:val="24"/>
          <w:shd w:val="clear" w:color="auto" w:fill="FFFFFF"/>
        </w:rPr>
      </w:pPr>
      <w:r w:rsidRPr="00B4358B">
        <w:rPr>
          <w:rStyle w:val="bibliographicauthorname"/>
          <w:rFonts w:ascii="Times New Roman" w:hAnsi="Times New Roman" w:cs="Times New Roman"/>
          <w:color w:val="333333"/>
          <w:sz w:val="24"/>
          <w:szCs w:val="24"/>
          <w:shd w:val="clear" w:color="auto" w:fill="FFFFFF"/>
        </w:rPr>
        <w:t>Aristotle</w:t>
      </w:r>
      <w:r w:rsidRPr="00B4358B">
        <w:rPr>
          <w:rFonts w:ascii="Times New Roman" w:hAnsi="Times New Roman" w:cs="Times New Roman"/>
          <w:color w:val="333333"/>
          <w:sz w:val="24"/>
          <w:szCs w:val="24"/>
          <w:shd w:val="clear" w:color="auto" w:fill="FFFFFF"/>
        </w:rPr>
        <w:t>. </w:t>
      </w:r>
      <w:r w:rsidRPr="00B4358B">
        <w:rPr>
          <w:rFonts w:ascii="Times New Roman" w:hAnsi="Times New Roman" w:cs="Times New Roman"/>
          <w:i/>
          <w:iCs/>
          <w:color w:val="333333"/>
          <w:sz w:val="24"/>
          <w:szCs w:val="24"/>
          <w:shd w:val="clear" w:color="auto" w:fill="FFFFFF"/>
        </w:rPr>
        <w:t>Politics. </w:t>
      </w:r>
      <w:r w:rsidRPr="00B4358B">
        <w:rPr>
          <w:rStyle w:val="translators"/>
          <w:rFonts w:ascii="Times New Roman" w:hAnsi="Times New Roman" w:cs="Times New Roman"/>
          <w:color w:val="333333"/>
          <w:sz w:val="24"/>
          <w:szCs w:val="24"/>
          <w:shd w:val="clear" w:color="auto" w:fill="FFFFFF"/>
        </w:rPr>
        <w:t>Translated by </w:t>
      </w:r>
      <w:r w:rsidRPr="00B4358B">
        <w:rPr>
          <w:rStyle w:val="contributorname"/>
          <w:rFonts w:ascii="Times New Roman" w:hAnsi="Times New Roman" w:cs="Times New Roman"/>
          <w:color w:val="333333"/>
          <w:sz w:val="24"/>
          <w:szCs w:val="24"/>
          <w:shd w:val="clear" w:color="auto" w:fill="FFFFFF"/>
        </w:rPr>
        <w:t>H. Rackham</w:t>
      </w:r>
      <w:r w:rsidRPr="00B4358B">
        <w:rPr>
          <w:rStyle w:val="translators"/>
          <w:rFonts w:ascii="Times New Roman" w:hAnsi="Times New Roman" w:cs="Times New Roman"/>
          <w:color w:val="333333"/>
          <w:sz w:val="24"/>
          <w:szCs w:val="24"/>
          <w:shd w:val="clear" w:color="auto" w:fill="FFFFFF"/>
        </w:rPr>
        <w:t>. </w:t>
      </w:r>
      <w:r w:rsidRPr="00B4358B">
        <w:rPr>
          <w:rFonts w:ascii="Times New Roman" w:hAnsi="Times New Roman" w:cs="Times New Roman"/>
          <w:color w:val="333333"/>
          <w:sz w:val="24"/>
          <w:szCs w:val="24"/>
          <w:shd w:val="clear" w:color="auto" w:fill="FFFFFF"/>
        </w:rPr>
        <w:t>Loeb Classical Library 264. Cambridge, MA: Harvard University Press, 1932.</w:t>
      </w:r>
    </w:p>
    <w:p w14:paraId="7C41A50F" w14:textId="4B07D45E" w:rsidR="00B4358B" w:rsidRPr="00B4358B" w:rsidRDefault="00B4358B" w:rsidP="00B4358B">
      <w:pPr>
        <w:rPr>
          <w:rStyle w:val="bibliographicauthorname"/>
          <w:rFonts w:ascii="Times New Roman" w:hAnsi="Times New Roman" w:cs="Times New Roman"/>
          <w:color w:val="333333"/>
          <w:sz w:val="24"/>
          <w:szCs w:val="24"/>
          <w:shd w:val="clear" w:color="auto" w:fill="FFFFFF"/>
        </w:rPr>
      </w:pPr>
      <w:r w:rsidRPr="00B4358B">
        <w:rPr>
          <w:rStyle w:val="bibliographicauthorname"/>
          <w:rFonts w:ascii="Times New Roman" w:hAnsi="Times New Roman" w:cs="Times New Roman"/>
          <w:color w:val="333333"/>
          <w:sz w:val="24"/>
          <w:szCs w:val="24"/>
          <w:shd w:val="clear" w:color="auto" w:fill="FFFFFF"/>
        </w:rPr>
        <w:t>Herodotus</w:t>
      </w:r>
      <w:r w:rsidRPr="00B4358B">
        <w:rPr>
          <w:rFonts w:ascii="Times New Roman" w:hAnsi="Times New Roman" w:cs="Times New Roman"/>
          <w:color w:val="333333"/>
          <w:sz w:val="24"/>
          <w:szCs w:val="24"/>
          <w:shd w:val="clear" w:color="auto" w:fill="FFFFFF"/>
        </w:rPr>
        <w:t>. </w:t>
      </w:r>
      <w:r w:rsidRPr="00B4358B">
        <w:rPr>
          <w:rFonts w:ascii="Times New Roman" w:hAnsi="Times New Roman" w:cs="Times New Roman"/>
          <w:i/>
          <w:iCs/>
          <w:color w:val="333333"/>
          <w:sz w:val="24"/>
          <w:szCs w:val="24"/>
          <w:shd w:val="clear" w:color="auto" w:fill="FFFFFF"/>
        </w:rPr>
        <w:t>The Persian Wars, Volume I: Books 1-2. </w:t>
      </w:r>
      <w:r w:rsidRPr="00B4358B">
        <w:rPr>
          <w:rStyle w:val="translators"/>
          <w:rFonts w:ascii="Times New Roman" w:hAnsi="Times New Roman" w:cs="Times New Roman"/>
          <w:color w:val="333333"/>
          <w:sz w:val="24"/>
          <w:szCs w:val="24"/>
          <w:shd w:val="clear" w:color="auto" w:fill="FFFFFF"/>
        </w:rPr>
        <w:t>Translated by </w:t>
      </w:r>
      <w:r w:rsidRPr="00B4358B">
        <w:rPr>
          <w:rStyle w:val="contributorname"/>
          <w:rFonts w:ascii="Times New Roman" w:hAnsi="Times New Roman" w:cs="Times New Roman"/>
          <w:color w:val="333333"/>
          <w:sz w:val="24"/>
          <w:szCs w:val="24"/>
          <w:shd w:val="clear" w:color="auto" w:fill="FFFFFF"/>
        </w:rPr>
        <w:t>A. D. Godley</w:t>
      </w:r>
      <w:r w:rsidRPr="00B4358B">
        <w:rPr>
          <w:rStyle w:val="translators"/>
          <w:rFonts w:ascii="Times New Roman" w:hAnsi="Times New Roman" w:cs="Times New Roman"/>
          <w:color w:val="333333"/>
          <w:sz w:val="24"/>
          <w:szCs w:val="24"/>
          <w:shd w:val="clear" w:color="auto" w:fill="FFFFFF"/>
        </w:rPr>
        <w:t>. </w:t>
      </w:r>
      <w:r w:rsidRPr="00B4358B">
        <w:rPr>
          <w:rFonts w:ascii="Times New Roman" w:hAnsi="Times New Roman" w:cs="Times New Roman"/>
          <w:color w:val="333333"/>
          <w:sz w:val="24"/>
          <w:szCs w:val="24"/>
          <w:shd w:val="clear" w:color="auto" w:fill="FFFFFF"/>
        </w:rPr>
        <w:t>Loeb Classical Library 117. Cambridge, MA: Harvard University Press, 1920.</w:t>
      </w:r>
    </w:p>
    <w:p w14:paraId="647D5898" w14:textId="37BCA100" w:rsidR="00B4358B" w:rsidRPr="00B4358B" w:rsidRDefault="00B4358B" w:rsidP="00B4358B">
      <w:pPr>
        <w:rPr>
          <w:rStyle w:val="bibliographicauthorname"/>
          <w:rFonts w:ascii="Times New Roman" w:hAnsi="Times New Roman" w:cs="Times New Roman"/>
          <w:sz w:val="24"/>
          <w:szCs w:val="24"/>
        </w:rPr>
      </w:pPr>
      <w:r w:rsidRPr="00B4358B">
        <w:rPr>
          <w:rStyle w:val="bibliographicauthorname"/>
          <w:rFonts w:ascii="Times New Roman" w:hAnsi="Times New Roman" w:cs="Times New Roman"/>
          <w:color w:val="333333"/>
          <w:sz w:val="24"/>
          <w:szCs w:val="24"/>
          <w:shd w:val="clear" w:color="auto" w:fill="FFFFFF"/>
        </w:rPr>
        <w:t>Plutarch</w:t>
      </w:r>
      <w:r w:rsidRPr="00B4358B">
        <w:rPr>
          <w:rFonts w:ascii="Times New Roman" w:hAnsi="Times New Roman" w:cs="Times New Roman"/>
          <w:color w:val="333333"/>
          <w:sz w:val="24"/>
          <w:szCs w:val="24"/>
          <w:shd w:val="clear" w:color="auto" w:fill="FFFFFF"/>
        </w:rPr>
        <w:t>. </w:t>
      </w:r>
      <w:r w:rsidRPr="00B4358B">
        <w:rPr>
          <w:rFonts w:ascii="Times New Roman" w:hAnsi="Times New Roman" w:cs="Times New Roman"/>
          <w:i/>
          <w:iCs/>
          <w:color w:val="333333"/>
          <w:sz w:val="24"/>
          <w:szCs w:val="24"/>
          <w:shd w:val="clear" w:color="auto" w:fill="FFFFFF"/>
        </w:rPr>
        <w:t>Lives, Volume I: Theseus and Romulus. Lycurgus and Numa. Solon and Publicola. </w:t>
      </w:r>
      <w:r w:rsidRPr="00B4358B">
        <w:rPr>
          <w:rStyle w:val="translators"/>
          <w:rFonts w:ascii="Times New Roman" w:hAnsi="Times New Roman" w:cs="Times New Roman"/>
          <w:color w:val="333333"/>
          <w:sz w:val="24"/>
          <w:szCs w:val="24"/>
          <w:shd w:val="clear" w:color="auto" w:fill="FFFFFF"/>
        </w:rPr>
        <w:t>Translated by </w:t>
      </w:r>
      <w:r w:rsidRPr="00B4358B">
        <w:rPr>
          <w:rStyle w:val="contributorname"/>
          <w:rFonts w:ascii="Times New Roman" w:hAnsi="Times New Roman" w:cs="Times New Roman"/>
          <w:color w:val="333333"/>
          <w:sz w:val="24"/>
          <w:szCs w:val="24"/>
          <w:shd w:val="clear" w:color="auto" w:fill="FFFFFF"/>
        </w:rPr>
        <w:t>Bernadotte Perrin</w:t>
      </w:r>
      <w:r w:rsidRPr="00B4358B">
        <w:rPr>
          <w:rStyle w:val="translators"/>
          <w:rFonts w:ascii="Times New Roman" w:hAnsi="Times New Roman" w:cs="Times New Roman"/>
          <w:color w:val="333333"/>
          <w:sz w:val="24"/>
          <w:szCs w:val="24"/>
          <w:shd w:val="clear" w:color="auto" w:fill="FFFFFF"/>
        </w:rPr>
        <w:t>. </w:t>
      </w:r>
      <w:r w:rsidRPr="00B4358B">
        <w:rPr>
          <w:rFonts w:ascii="Times New Roman" w:hAnsi="Times New Roman" w:cs="Times New Roman"/>
          <w:color w:val="333333"/>
          <w:sz w:val="24"/>
          <w:szCs w:val="24"/>
          <w:shd w:val="clear" w:color="auto" w:fill="FFFFFF"/>
        </w:rPr>
        <w:t>Loeb Classical Library 46. Cambridge, MA: Harvard University Press, 1914.</w:t>
      </w:r>
    </w:p>
    <w:p w14:paraId="0364C529" w14:textId="2EE86527" w:rsidR="00B4358B" w:rsidRPr="00B4358B" w:rsidRDefault="00B4358B" w:rsidP="00B4358B">
      <w:pPr>
        <w:rPr>
          <w:rFonts w:ascii="Times New Roman" w:hAnsi="Times New Roman" w:cs="Times New Roman"/>
          <w:color w:val="333333"/>
          <w:sz w:val="24"/>
          <w:szCs w:val="24"/>
          <w:shd w:val="clear" w:color="auto" w:fill="FFFFFF"/>
        </w:rPr>
      </w:pPr>
      <w:r w:rsidRPr="00B4358B">
        <w:rPr>
          <w:rStyle w:val="bibliographicauthorname"/>
          <w:rFonts w:ascii="Times New Roman" w:hAnsi="Times New Roman" w:cs="Times New Roman"/>
          <w:color w:val="333333"/>
          <w:sz w:val="24"/>
          <w:szCs w:val="24"/>
          <w:shd w:val="clear" w:color="auto" w:fill="FFFFFF"/>
        </w:rPr>
        <w:lastRenderedPageBreak/>
        <w:t>Plutarch</w:t>
      </w:r>
      <w:r w:rsidRPr="00B4358B">
        <w:rPr>
          <w:rFonts w:ascii="Times New Roman" w:hAnsi="Times New Roman" w:cs="Times New Roman"/>
          <w:color w:val="333333"/>
          <w:sz w:val="24"/>
          <w:szCs w:val="24"/>
          <w:shd w:val="clear" w:color="auto" w:fill="FFFFFF"/>
        </w:rPr>
        <w:t>. </w:t>
      </w:r>
      <w:r w:rsidRPr="00B4358B">
        <w:rPr>
          <w:rFonts w:ascii="Times New Roman" w:hAnsi="Times New Roman" w:cs="Times New Roman"/>
          <w:i/>
          <w:iCs/>
          <w:color w:val="333333"/>
          <w:sz w:val="24"/>
          <w:szCs w:val="24"/>
          <w:shd w:val="clear" w:color="auto" w:fill="FFFFFF"/>
        </w:rPr>
        <w:t>Moralia, Volume XI: On the Malice of Herodotus. Causes of Natural Phenomena. </w:t>
      </w:r>
      <w:r w:rsidRPr="00B4358B">
        <w:rPr>
          <w:rStyle w:val="translators"/>
          <w:rFonts w:ascii="Times New Roman" w:hAnsi="Times New Roman" w:cs="Times New Roman"/>
          <w:color w:val="333333"/>
          <w:sz w:val="24"/>
          <w:szCs w:val="24"/>
          <w:shd w:val="clear" w:color="auto" w:fill="FFFFFF"/>
        </w:rPr>
        <w:t>Translated by </w:t>
      </w:r>
      <w:r w:rsidRPr="00B4358B">
        <w:rPr>
          <w:rStyle w:val="contributorname"/>
          <w:rFonts w:ascii="Times New Roman" w:hAnsi="Times New Roman" w:cs="Times New Roman"/>
          <w:color w:val="333333"/>
          <w:sz w:val="24"/>
          <w:szCs w:val="24"/>
          <w:shd w:val="clear" w:color="auto" w:fill="FFFFFF"/>
        </w:rPr>
        <w:t>Lionel Pearson</w:t>
      </w:r>
      <w:r w:rsidRPr="00B4358B">
        <w:rPr>
          <w:rStyle w:val="translators"/>
          <w:rFonts w:ascii="Times New Roman" w:hAnsi="Times New Roman" w:cs="Times New Roman"/>
          <w:color w:val="333333"/>
          <w:sz w:val="24"/>
          <w:szCs w:val="24"/>
          <w:shd w:val="clear" w:color="auto" w:fill="FFFFFF"/>
        </w:rPr>
        <w:t>, </w:t>
      </w:r>
      <w:r w:rsidRPr="00B4358B">
        <w:rPr>
          <w:rStyle w:val="contributorname"/>
          <w:rFonts w:ascii="Times New Roman" w:hAnsi="Times New Roman" w:cs="Times New Roman"/>
          <w:color w:val="333333"/>
          <w:sz w:val="24"/>
          <w:szCs w:val="24"/>
          <w:shd w:val="clear" w:color="auto" w:fill="FFFFFF"/>
        </w:rPr>
        <w:t>F. H. Sandbach</w:t>
      </w:r>
      <w:r w:rsidRPr="00B4358B">
        <w:rPr>
          <w:rStyle w:val="translators"/>
          <w:rFonts w:ascii="Times New Roman" w:hAnsi="Times New Roman" w:cs="Times New Roman"/>
          <w:color w:val="333333"/>
          <w:sz w:val="24"/>
          <w:szCs w:val="24"/>
          <w:shd w:val="clear" w:color="auto" w:fill="FFFFFF"/>
        </w:rPr>
        <w:t>. </w:t>
      </w:r>
      <w:r w:rsidRPr="00B4358B">
        <w:rPr>
          <w:rFonts w:ascii="Times New Roman" w:hAnsi="Times New Roman" w:cs="Times New Roman"/>
          <w:color w:val="333333"/>
          <w:sz w:val="24"/>
          <w:szCs w:val="24"/>
          <w:shd w:val="clear" w:color="auto" w:fill="FFFFFF"/>
        </w:rPr>
        <w:t>Loeb Classical Library 426. Cambridge, MA: Harvard University Press, 1965</w:t>
      </w:r>
    </w:p>
    <w:p w14:paraId="40FE3E22" w14:textId="77777777" w:rsidR="00B4358B" w:rsidRPr="00B4358B" w:rsidRDefault="00B4358B" w:rsidP="00B4358B">
      <w:pPr>
        <w:spacing w:line="240" w:lineRule="auto"/>
        <w:rPr>
          <w:rFonts w:ascii="Times New Roman" w:eastAsia="Times New Roman" w:hAnsi="Times New Roman" w:cs="Times New Roman"/>
          <w:color w:val="333333"/>
          <w:sz w:val="24"/>
          <w:szCs w:val="24"/>
          <w:lang w:eastAsia="en-GB"/>
        </w:rPr>
      </w:pPr>
      <w:r w:rsidRPr="00B4358B">
        <w:rPr>
          <w:rFonts w:ascii="Times New Roman" w:eastAsia="Times New Roman" w:hAnsi="Times New Roman" w:cs="Times New Roman"/>
          <w:color w:val="333333"/>
          <w:sz w:val="24"/>
          <w:szCs w:val="24"/>
          <w:lang w:eastAsia="en-GB"/>
        </w:rPr>
        <w:t>Thucydides. </w:t>
      </w:r>
      <w:r w:rsidRPr="00B4358B">
        <w:rPr>
          <w:rFonts w:ascii="Times New Roman" w:eastAsia="Times New Roman" w:hAnsi="Times New Roman" w:cs="Times New Roman"/>
          <w:i/>
          <w:iCs/>
          <w:color w:val="333333"/>
          <w:sz w:val="24"/>
          <w:szCs w:val="24"/>
          <w:lang w:eastAsia="en-GB"/>
        </w:rPr>
        <w:t>History of the Peloponnesian War, Volume I: Books 1-2. </w:t>
      </w:r>
      <w:r w:rsidRPr="00B4358B">
        <w:rPr>
          <w:rFonts w:ascii="Times New Roman" w:eastAsia="Times New Roman" w:hAnsi="Times New Roman" w:cs="Times New Roman"/>
          <w:color w:val="333333"/>
          <w:sz w:val="24"/>
          <w:szCs w:val="24"/>
          <w:lang w:eastAsia="en-GB"/>
        </w:rPr>
        <w:t>Translated by C. F. Smith. Loeb Classical Library 108. Cambridge, MA: Harvard University Press, 1919.</w:t>
      </w:r>
    </w:p>
    <w:p w14:paraId="74A27B42" w14:textId="77777777" w:rsidR="00B4358B" w:rsidRPr="00B4358B" w:rsidRDefault="00B4358B" w:rsidP="00B4358B">
      <w:pPr>
        <w:pBdr>
          <w:bottom w:val="single" w:sz="6" w:space="1" w:color="auto"/>
        </w:pBdr>
        <w:spacing w:after="0" w:line="240" w:lineRule="auto"/>
        <w:jc w:val="center"/>
        <w:rPr>
          <w:rFonts w:ascii="Arial" w:eastAsia="Times New Roman" w:hAnsi="Arial" w:cs="Arial"/>
          <w:vanish/>
          <w:sz w:val="16"/>
          <w:szCs w:val="16"/>
          <w:lang w:eastAsia="en-GB"/>
        </w:rPr>
      </w:pPr>
      <w:r w:rsidRPr="00B4358B">
        <w:rPr>
          <w:rFonts w:ascii="Arial" w:eastAsia="Times New Roman" w:hAnsi="Arial" w:cs="Arial"/>
          <w:vanish/>
          <w:sz w:val="16"/>
          <w:szCs w:val="16"/>
          <w:lang w:eastAsia="en-GB"/>
        </w:rPr>
        <w:t>Top of Form</w:t>
      </w:r>
    </w:p>
    <w:p w14:paraId="185F9C2C" w14:textId="77777777" w:rsidR="00B4358B" w:rsidRPr="00B4358B" w:rsidRDefault="00B4358B" w:rsidP="00B4358B">
      <w:pPr>
        <w:pBdr>
          <w:top w:val="single" w:sz="6" w:space="1" w:color="auto"/>
        </w:pBdr>
        <w:spacing w:line="240" w:lineRule="auto"/>
        <w:jc w:val="center"/>
        <w:rPr>
          <w:rFonts w:ascii="Arial" w:eastAsia="Times New Roman" w:hAnsi="Arial" w:cs="Arial"/>
          <w:vanish/>
          <w:sz w:val="16"/>
          <w:szCs w:val="16"/>
          <w:lang w:eastAsia="en-GB"/>
        </w:rPr>
      </w:pPr>
      <w:r w:rsidRPr="00B4358B">
        <w:rPr>
          <w:rFonts w:ascii="Arial" w:eastAsia="Times New Roman" w:hAnsi="Arial" w:cs="Arial"/>
          <w:vanish/>
          <w:sz w:val="16"/>
          <w:szCs w:val="16"/>
          <w:lang w:eastAsia="en-GB"/>
        </w:rPr>
        <w:t>Bottom of Form</w:t>
      </w:r>
    </w:p>
    <w:p w14:paraId="75095DEA" w14:textId="77777777" w:rsidR="00B4358B" w:rsidRDefault="00B4358B" w:rsidP="00065A86">
      <w:pPr>
        <w:spacing w:line="480" w:lineRule="auto"/>
        <w:rPr>
          <w:rFonts w:ascii="Times New Roman" w:hAnsi="Times New Roman" w:cs="Times New Roman"/>
          <w:sz w:val="24"/>
          <w:szCs w:val="24"/>
        </w:rPr>
      </w:pPr>
    </w:p>
    <w:p w14:paraId="59F8B150" w14:textId="2DA91B63" w:rsidR="00B4358B" w:rsidRPr="00B4358B" w:rsidRDefault="00B4358B" w:rsidP="00B4358B">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r w:rsidRPr="00B4358B">
        <w:rPr>
          <w:rFonts w:ascii="Times New Roman" w:hAnsi="Times New Roman" w:cs="Times New Roman"/>
          <w:sz w:val="24"/>
        </w:rPr>
        <w:t xml:space="preserve">Dillon, M., </w:t>
      </w:r>
      <w:r>
        <w:rPr>
          <w:rFonts w:ascii="Times New Roman" w:hAnsi="Times New Roman" w:cs="Times New Roman"/>
          <w:sz w:val="24"/>
        </w:rPr>
        <w:t>(</w:t>
      </w:r>
      <w:r w:rsidRPr="00B4358B">
        <w:rPr>
          <w:rFonts w:ascii="Times New Roman" w:hAnsi="Times New Roman" w:cs="Times New Roman"/>
          <w:sz w:val="24"/>
        </w:rPr>
        <w:t>2007</w:t>
      </w:r>
      <w:r>
        <w:rPr>
          <w:rFonts w:ascii="Times New Roman" w:hAnsi="Times New Roman" w:cs="Times New Roman"/>
          <w:sz w:val="24"/>
        </w:rPr>
        <w:t>)</w:t>
      </w:r>
      <w:r w:rsidRPr="00B4358B">
        <w:rPr>
          <w:rFonts w:ascii="Times New Roman" w:hAnsi="Times New Roman" w:cs="Times New Roman"/>
          <w:sz w:val="24"/>
        </w:rPr>
        <w:t>. Were Spartan Women Who Died in Childbirth Honoured with Grave Inscriptions? Hermes 135, 149–165.</w:t>
      </w:r>
    </w:p>
    <w:p w14:paraId="34B73F07" w14:textId="676AFC32" w:rsidR="00B4358B" w:rsidRPr="00B4358B" w:rsidRDefault="00B4358B" w:rsidP="00B4358B">
      <w:pPr>
        <w:pStyle w:val="Bibliography"/>
        <w:rPr>
          <w:rFonts w:ascii="Times New Roman" w:hAnsi="Times New Roman" w:cs="Times New Roman"/>
          <w:sz w:val="24"/>
        </w:rPr>
      </w:pPr>
      <w:r w:rsidRPr="00B4358B">
        <w:rPr>
          <w:rFonts w:ascii="Times New Roman" w:hAnsi="Times New Roman" w:cs="Times New Roman"/>
          <w:sz w:val="24"/>
        </w:rPr>
        <w:t xml:space="preserve">Fleck, R.A., Hanssen, F.A., </w:t>
      </w:r>
      <w:r>
        <w:rPr>
          <w:rFonts w:ascii="Times New Roman" w:hAnsi="Times New Roman" w:cs="Times New Roman"/>
          <w:sz w:val="24"/>
        </w:rPr>
        <w:t>(</w:t>
      </w:r>
      <w:r w:rsidRPr="00B4358B">
        <w:rPr>
          <w:rFonts w:ascii="Times New Roman" w:hAnsi="Times New Roman" w:cs="Times New Roman"/>
          <w:sz w:val="24"/>
        </w:rPr>
        <w:t>2009</w:t>
      </w:r>
      <w:r>
        <w:rPr>
          <w:rFonts w:ascii="Times New Roman" w:hAnsi="Times New Roman" w:cs="Times New Roman"/>
          <w:sz w:val="24"/>
        </w:rPr>
        <w:t>)</w:t>
      </w:r>
      <w:r w:rsidRPr="00B4358B">
        <w:rPr>
          <w:rFonts w:ascii="Times New Roman" w:hAnsi="Times New Roman" w:cs="Times New Roman"/>
          <w:sz w:val="24"/>
        </w:rPr>
        <w:t>. “Rulers Ruled by Women”: An Economic Analysis of the Rise and Fall of Womens Rights in Ancient Sparta. Econ Gov 10, 221–245.</w:t>
      </w:r>
    </w:p>
    <w:p w14:paraId="74F9B7C5" w14:textId="2DA8DCB4" w:rsidR="00B4358B" w:rsidRPr="00B4358B" w:rsidRDefault="00B4358B" w:rsidP="00B4358B">
      <w:pPr>
        <w:pStyle w:val="Bibliography"/>
        <w:rPr>
          <w:rFonts w:ascii="Times New Roman" w:hAnsi="Times New Roman" w:cs="Times New Roman"/>
          <w:sz w:val="24"/>
        </w:rPr>
      </w:pPr>
      <w:r w:rsidRPr="00B4358B">
        <w:rPr>
          <w:rFonts w:ascii="Times New Roman" w:hAnsi="Times New Roman" w:cs="Times New Roman"/>
          <w:sz w:val="24"/>
        </w:rPr>
        <w:t xml:space="preserve">Redfield, J., </w:t>
      </w:r>
      <w:r>
        <w:rPr>
          <w:rFonts w:ascii="Times New Roman" w:hAnsi="Times New Roman" w:cs="Times New Roman"/>
          <w:sz w:val="24"/>
        </w:rPr>
        <w:t>(</w:t>
      </w:r>
      <w:r w:rsidRPr="00B4358B">
        <w:rPr>
          <w:rFonts w:ascii="Times New Roman" w:hAnsi="Times New Roman" w:cs="Times New Roman"/>
          <w:sz w:val="24"/>
        </w:rPr>
        <w:t>1977</w:t>
      </w:r>
      <w:r>
        <w:rPr>
          <w:rFonts w:ascii="Times New Roman" w:hAnsi="Times New Roman" w:cs="Times New Roman"/>
          <w:sz w:val="24"/>
        </w:rPr>
        <w:t>)</w:t>
      </w:r>
      <w:r w:rsidRPr="00B4358B">
        <w:rPr>
          <w:rFonts w:ascii="Times New Roman" w:hAnsi="Times New Roman" w:cs="Times New Roman"/>
          <w:sz w:val="24"/>
        </w:rPr>
        <w:t>. The Women of Sparta. The Classical Journal 73, 146–161.</w:t>
      </w:r>
    </w:p>
    <w:p w14:paraId="2B0C04AB" w14:textId="07FD21D6" w:rsidR="00B4358B" w:rsidRPr="00B4358B" w:rsidRDefault="00B4358B" w:rsidP="00B4358B">
      <w:pPr>
        <w:pStyle w:val="Bibliography"/>
        <w:rPr>
          <w:rFonts w:ascii="Times New Roman" w:hAnsi="Times New Roman" w:cs="Times New Roman"/>
          <w:sz w:val="24"/>
        </w:rPr>
      </w:pPr>
      <w:r w:rsidRPr="00B4358B">
        <w:rPr>
          <w:rFonts w:ascii="Times New Roman" w:hAnsi="Times New Roman" w:cs="Times New Roman"/>
          <w:sz w:val="24"/>
        </w:rPr>
        <w:t xml:space="preserve">Vivante, B., </w:t>
      </w:r>
      <w:r>
        <w:rPr>
          <w:rFonts w:ascii="Times New Roman" w:hAnsi="Times New Roman" w:cs="Times New Roman"/>
          <w:sz w:val="24"/>
        </w:rPr>
        <w:t>(</w:t>
      </w:r>
      <w:r w:rsidRPr="00B4358B">
        <w:rPr>
          <w:rFonts w:ascii="Times New Roman" w:hAnsi="Times New Roman" w:cs="Times New Roman"/>
          <w:sz w:val="24"/>
        </w:rPr>
        <w:t>2003</w:t>
      </w:r>
      <w:r>
        <w:rPr>
          <w:rFonts w:ascii="Times New Roman" w:hAnsi="Times New Roman" w:cs="Times New Roman"/>
          <w:sz w:val="24"/>
        </w:rPr>
        <w:t>)</w:t>
      </w:r>
      <w:r w:rsidRPr="00B4358B">
        <w:rPr>
          <w:rFonts w:ascii="Times New Roman" w:hAnsi="Times New Roman" w:cs="Times New Roman"/>
          <w:sz w:val="24"/>
        </w:rPr>
        <w:t>. Review: Spartan Women by Sarah B. Pomperoy. The American Journal of Philology 124, 609–612.</w:t>
      </w:r>
    </w:p>
    <w:p w14:paraId="29001E30" w14:textId="0628DBE3" w:rsidR="00B4358B" w:rsidRPr="00065A86" w:rsidRDefault="00B4358B" w:rsidP="00065A86">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B4358B" w:rsidRPr="00065A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4B72F" w14:textId="77777777" w:rsidR="00212A9B" w:rsidRDefault="00212A9B" w:rsidP="00EA561B">
      <w:pPr>
        <w:spacing w:after="0" w:line="240" w:lineRule="auto"/>
      </w:pPr>
      <w:r>
        <w:separator/>
      </w:r>
    </w:p>
  </w:endnote>
  <w:endnote w:type="continuationSeparator" w:id="0">
    <w:p w14:paraId="428EFAF2" w14:textId="77777777" w:rsidR="00212A9B" w:rsidRDefault="00212A9B" w:rsidP="00EA5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EF83C" w14:textId="77777777" w:rsidR="00212A9B" w:rsidRDefault="00212A9B" w:rsidP="00EA561B">
      <w:pPr>
        <w:spacing w:after="0" w:line="240" w:lineRule="auto"/>
      </w:pPr>
      <w:r>
        <w:separator/>
      </w:r>
    </w:p>
  </w:footnote>
  <w:footnote w:type="continuationSeparator" w:id="0">
    <w:p w14:paraId="78E85742" w14:textId="77777777" w:rsidR="00212A9B" w:rsidRDefault="00212A9B" w:rsidP="00EA561B">
      <w:pPr>
        <w:spacing w:after="0" w:line="240" w:lineRule="auto"/>
      </w:pPr>
      <w:r>
        <w:continuationSeparator/>
      </w:r>
    </w:p>
  </w:footnote>
  <w:footnote w:id="1">
    <w:p w14:paraId="521AF659" w14:textId="18A0F51D" w:rsidR="00B4358B" w:rsidRDefault="00B4358B">
      <w:pPr>
        <w:pStyle w:val="FootnoteText"/>
      </w:pPr>
      <w:r>
        <w:rPr>
          <w:rStyle w:val="FootnoteReference"/>
        </w:rPr>
        <w:footnoteRef/>
      </w:r>
      <w:r>
        <w:t xml:space="preserve"> </w:t>
      </w:r>
      <w:r w:rsidRPr="001B6610">
        <w:rPr>
          <w:rFonts w:ascii="Times New Roman" w:hAnsi="Times New Roman" w:cs="Times New Roman"/>
          <w:sz w:val="24"/>
          <w:szCs w:val="24"/>
        </w:rPr>
        <w:t>Cartledge, 2003, p.156</w:t>
      </w:r>
    </w:p>
  </w:footnote>
  <w:footnote w:id="2">
    <w:p w14:paraId="34EA09D1" w14:textId="0201382C" w:rsidR="00B4358B" w:rsidRDefault="00B4358B">
      <w:pPr>
        <w:pStyle w:val="FootnoteText"/>
      </w:pPr>
      <w:r>
        <w:rPr>
          <w:rStyle w:val="FootnoteReference"/>
        </w:rPr>
        <w:footnoteRef/>
      </w:r>
      <w:r>
        <w:t xml:space="preserve"> </w:t>
      </w:r>
      <w:r>
        <w:rPr>
          <w:rFonts w:ascii="Times New Roman" w:hAnsi="Times New Roman" w:cs="Times New Roman"/>
          <w:sz w:val="24"/>
          <w:szCs w:val="24"/>
        </w:rPr>
        <w:t>Dillon, 2007, p.149</w:t>
      </w:r>
    </w:p>
  </w:footnote>
  <w:footnote w:id="3">
    <w:p w14:paraId="5F25059D" w14:textId="3831FDEC" w:rsidR="00B4358B" w:rsidRDefault="00B4358B">
      <w:pPr>
        <w:pStyle w:val="FootnoteText"/>
      </w:pPr>
      <w:r>
        <w:rPr>
          <w:rStyle w:val="FootnoteReference"/>
        </w:rPr>
        <w:footnoteRef/>
      </w:r>
      <w:r>
        <w:t xml:space="preserve"> </w:t>
      </w:r>
      <w:r w:rsidRPr="009F25BB">
        <w:rPr>
          <w:rFonts w:ascii="Times New Roman" w:hAnsi="Times New Roman" w:cs="Times New Roman"/>
          <w:sz w:val="24"/>
          <w:szCs w:val="24"/>
        </w:rPr>
        <w:t>Thuc. 2.34</w:t>
      </w:r>
    </w:p>
  </w:footnote>
  <w:footnote w:id="4">
    <w:p w14:paraId="6BBDF619" w14:textId="7B2D928A" w:rsidR="00B4358B" w:rsidRDefault="00B4358B">
      <w:pPr>
        <w:pStyle w:val="FootnoteText"/>
      </w:pPr>
      <w:r>
        <w:rPr>
          <w:rStyle w:val="FootnoteReference"/>
        </w:rPr>
        <w:footnoteRef/>
      </w:r>
      <w:r>
        <w:t xml:space="preserve"> Plut. Lyc. 27.3</w:t>
      </w:r>
    </w:p>
  </w:footnote>
  <w:footnote w:id="5">
    <w:p w14:paraId="296421B2" w14:textId="15F7D88D" w:rsidR="00B4358B" w:rsidRDefault="00B4358B">
      <w:pPr>
        <w:pStyle w:val="FootnoteText"/>
      </w:pPr>
      <w:r>
        <w:rPr>
          <w:rStyle w:val="FootnoteReference"/>
        </w:rPr>
        <w:footnoteRef/>
      </w:r>
      <w:r>
        <w:t xml:space="preserve"> </w:t>
      </w:r>
      <w:r>
        <w:rPr>
          <w:rFonts w:ascii="Times New Roman" w:hAnsi="Times New Roman" w:cs="Times New Roman"/>
          <w:sz w:val="24"/>
          <w:szCs w:val="24"/>
        </w:rPr>
        <w:t>Plut. Mor. 238d; D</w:t>
      </w:r>
      <w:r>
        <w:rPr>
          <w:rFonts w:ascii="Times New Roman" w:hAnsi="Times New Roman" w:cs="Times New Roman"/>
          <w:sz w:val="24"/>
          <w:szCs w:val="24"/>
        </w:rPr>
        <w:t xml:space="preserve">illon, 2007, </w:t>
      </w:r>
      <w:r w:rsidRPr="00D33753">
        <w:rPr>
          <w:rFonts w:ascii="Times New Roman" w:hAnsi="Times New Roman" w:cs="Times New Roman"/>
          <w:sz w:val="24"/>
          <w:szCs w:val="24"/>
        </w:rPr>
        <w:t>p.151</w:t>
      </w:r>
    </w:p>
  </w:footnote>
  <w:footnote w:id="6">
    <w:p w14:paraId="41CAA36A" w14:textId="215DDB73" w:rsidR="00B4358B" w:rsidRDefault="00B4358B">
      <w:pPr>
        <w:pStyle w:val="FootnoteText"/>
      </w:pPr>
      <w:r>
        <w:rPr>
          <w:rStyle w:val="FootnoteReference"/>
        </w:rPr>
        <w:footnoteRef/>
      </w:r>
      <w:r>
        <w:t xml:space="preserve"> </w:t>
      </w:r>
      <w:r>
        <w:rPr>
          <w:rFonts w:ascii="Times New Roman" w:hAnsi="Times New Roman" w:cs="Times New Roman"/>
          <w:sz w:val="24"/>
          <w:szCs w:val="24"/>
        </w:rPr>
        <w:t>Dillon, 2007</w:t>
      </w:r>
      <w:r>
        <w:t xml:space="preserve">, </w:t>
      </w:r>
      <w:r w:rsidRPr="00DF36A5">
        <w:rPr>
          <w:rFonts w:ascii="Times New Roman" w:hAnsi="Times New Roman" w:cs="Times New Roman"/>
          <w:sz w:val="24"/>
          <w:szCs w:val="24"/>
        </w:rPr>
        <w:t>p.1</w:t>
      </w:r>
      <w:r>
        <w:rPr>
          <w:rFonts w:ascii="Times New Roman" w:hAnsi="Times New Roman" w:cs="Times New Roman"/>
          <w:sz w:val="24"/>
          <w:szCs w:val="24"/>
        </w:rPr>
        <w:t>51</w:t>
      </w:r>
    </w:p>
  </w:footnote>
  <w:footnote w:id="7">
    <w:p w14:paraId="38175F0C" w14:textId="4806DBF0" w:rsidR="00B4358B" w:rsidRDefault="00B4358B">
      <w:pPr>
        <w:pStyle w:val="FootnoteText"/>
      </w:pPr>
      <w:r>
        <w:rPr>
          <w:rStyle w:val="FootnoteReference"/>
        </w:rPr>
        <w:footnoteRef/>
      </w:r>
      <w:r>
        <w:t xml:space="preserve"> </w:t>
      </w:r>
      <w:r>
        <w:rPr>
          <w:rFonts w:ascii="Times New Roman" w:hAnsi="Times New Roman" w:cs="Times New Roman"/>
          <w:sz w:val="24"/>
          <w:szCs w:val="24"/>
        </w:rPr>
        <w:t>Dillon, 2007</w:t>
      </w:r>
      <w:r>
        <w:t xml:space="preserve">, </w:t>
      </w:r>
      <w:r w:rsidRPr="00DF36A5">
        <w:rPr>
          <w:rFonts w:ascii="Times New Roman" w:hAnsi="Times New Roman" w:cs="Times New Roman"/>
          <w:sz w:val="24"/>
          <w:szCs w:val="24"/>
        </w:rPr>
        <w:t>p.1</w:t>
      </w:r>
      <w:r>
        <w:rPr>
          <w:rFonts w:ascii="Times New Roman" w:hAnsi="Times New Roman" w:cs="Times New Roman"/>
          <w:sz w:val="24"/>
          <w:szCs w:val="24"/>
        </w:rPr>
        <w:t>53</w:t>
      </w:r>
    </w:p>
  </w:footnote>
  <w:footnote w:id="8">
    <w:p w14:paraId="7AE2953F" w14:textId="17FE8551" w:rsidR="00E467A2" w:rsidRDefault="00E467A2">
      <w:pPr>
        <w:pStyle w:val="FootnoteText"/>
      </w:pPr>
      <w:r>
        <w:rPr>
          <w:rStyle w:val="FootnoteReference"/>
        </w:rPr>
        <w:footnoteRef/>
      </w:r>
      <w:r>
        <w:t xml:space="preserve"> </w:t>
      </w:r>
      <w:r>
        <w:rPr>
          <w:rFonts w:ascii="Times New Roman" w:hAnsi="Times New Roman" w:cs="Times New Roman"/>
          <w:sz w:val="24"/>
          <w:szCs w:val="24"/>
        </w:rPr>
        <w:t>Dillon, 2007</w:t>
      </w:r>
      <w:r>
        <w:t xml:space="preserve">, </w:t>
      </w:r>
      <w:r w:rsidRPr="00DF36A5">
        <w:rPr>
          <w:rFonts w:ascii="Times New Roman" w:hAnsi="Times New Roman" w:cs="Times New Roman"/>
          <w:sz w:val="24"/>
          <w:szCs w:val="24"/>
        </w:rPr>
        <w:t>p.165</w:t>
      </w:r>
    </w:p>
  </w:footnote>
  <w:footnote w:id="9">
    <w:p w14:paraId="3B30A7AE" w14:textId="109921C9" w:rsidR="00EA561B" w:rsidRDefault="00EA561B">
      <w:pPr>
        <w:pStyle w:val="FootnoteText"/>
      </w:pPr>
      <w:r>
        <w:rPr>
          <w:rStyle w:val="FootnoteReference"/>
        </w:rPr>
        <w:footnoteRef/>
      </w:r>
      <w:r>
        <w:t xml:space="preserve"> Plut. Mar. 241</w:t>
      </w:r>
    </w:p>
  </w:footnote>
  <w:footnote w:id="10">
    <w:p w14:paraId="768D3E76" w14:textId="4EFFF6DF" w:rsidR="00EA561B" w:rsidRDefault="00EA561B">
      <w:pPr>
        <w:pStyle w:val="FootnoteText"/>
      </w:pPr>
      <w:r>
        <w:rPr>
          <w:rStyle w:val="FootnoteReference"/>
        </w:rPr>
        <w:footnoteRef/>
      </w:r>
      <w:r>
        <w:t xml:space="preserve"> </w:t>
      </w:r>
      <w:r>
        <w:t>Redfield, 1977, p.149</w:t>
      </w:r>
    </w:p>
  </w:footnote>
  <w:footnote w:id="11">
    <w:p w14:paraId="580D992C" w14:textId="6A15D3A7" w:rsidR="00EA561B" w:rsidRDefault="00EA561B">
      <w:pPr>
        <w:pStyle w:val="FootnoteText"/>
      </w:pPr>
      <w:r>
        <w:rPr>
          <w:rStyle w:val="FootnoteReference"/>
        </w:rPr>
        <w:footnoteRef/>
      </w:r>
      <w:r>
        <w:t xml:space="preserve"> </w:t>
      </w:r>
      <w:r>
        <w:t>Redfield, 1977, p.14</w:t>
      </w:r>
      <w:r>
        <w:t>8</w:t>
      </w:r>
    </w:p>
  </w:footnote>
  <w:footnote w:id="12">
    <w:p w14:paraId="5BAF6288" w14:textId="5100C74C" w:rsidR="00EA561B" w:rsidRDefault="00EA561B">
      <w:pPr>
        <w:pStyle w:val="FootnoteText"/>
      </w:pPr>
      <w:r>
        <w:rPr>
          <w:rStyle w:val="FootnoteReference"/>
        </w:rPr>
        <w:footnoteRef/>
      </w:r>
      <w:r>
        <w:t xml:space="preserve"> Redfield, 1977, p.149</w:t>
      </w:r>
    </w:p>
  </w:footnote>
  <w:footnote w:id="13">
    <w:p w14:paraId="65B607E5" w14:textId="0F322E08" w:rsidR="00EA561B" w:rsidRDefault="00EA561B">
      <w:pPr>
        <w:pStyle w:val="FootnoteText"/>
      </w:pPr>
      <w:r>
        <w:rPr>
          <w:rStyle w:val="FootnoteReference"/>
        </w:rPr>
        <w:footnoteRef/>
      </w:r>
      <w:r>
        <w:t xml:space="preserve"> Hdt. 5.51</w:t>
      </w:r>
    </w:p>
  </w:footnote>
  <w:footnote w:id="14">
    <w:p w14:paraId="1BBBC765" w14:textId="4D283CFD" w:rsidR="00EA561B" w:rsidRDefault="00EA561B">
      <w:pPr>
        <w:pStyle w:val="FootnoteText"/>
      </w:pPr>
      <w:r>
        <w:rPr>
          <w:rStyle w:val="FootnoteReference"/>
        </w:rPr>
        <w:footnoteRef/>
      </w:r>
      <w:r>
        <w:t xml:space="preserve"> Cartledge, 2003, p.33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730DC"/>
    <w:multiLevelType w:val="hybridMultilevel"/>
    <w:tmpl w:val="64BC0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9160A6"/>
    <w:multiLevelType w:val="hybridMultilevel"/>
    <w:tmpl w:val="9D2AF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91281D"/>
    <w:multiLevelType w:val="hybridMultilevel"/>
    <w:tmpl w:val="D32E3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86"/>
    <w:rsid w:val="00027BBB"/>
    <w:rsid w:val="00065A86"/>
    <w:rsid w:val="000A7ABD"/>
    <w:rsid w:val="000E424B"/>
    <w:rsid w:val="000F5659"/>
    <w:rsid w:val="00133CE4"/>
    <w:rsid w:val="00151452"/>
    <w:rsid w:val="00165CBC"/>
    <w:rsid w:val="0019389A"/>
    <w:rsid w:val="001A770D"/>
    <w:rsid w:val="001B6610"/>
    <w:rsid w:val="001D05C1"/>
    <w:rsid w:val="00212A9B"/>
    <w:rsid w:val="0024302B"/>
    <w:rsid w:val="002C1251"/>
    <w:rsid w:val="002D4733"/>
    <w:rsid w:val="002E40B8"/>
    <w:rsid w:val="002F0548"/>
    <w:rsid w:val="0030535A"/>
    <w:rsid w:val="003119FC"/>
    <w:rsid w:val="0039341E"/>
    <w:rsid w:val="003E21A1"/>
    <w:rsid w:val="003F5E48"/>
    <w:rsid w:val="00414048"/>
    <w:rsid w:val="004D3591"/>
    <w:rsid w:val="00517BA7"/>
    <w:rsid w:val="0052640B"/>
    <w:rsid w:val="00527F6D"/>
    <w:rsid w:val="00593B74"/>
    <w:rsid w:val="00594260"/>
    <w:rsid w:val="005D732A"/>
    <w:rsid w:val="005F143A"/>
    <w:rsid w:val="006A5183"/>
    <w:rsid w:val="006D4EC7"/>
    <w:rsid w:val="006F003C"/>
    <w:rsid w:val="00706ED4"/>
    <w:rsid w:val="007A6939"/>
    <w:rsid w:val="007B5185"/>
    <w:rsid w:val="007C6EAB"/>
    <w:rsid w:val="00807107"/>
    <w:rsid w:val="00884457"/>
    <w:rsid w:val="008C3739"/>
    <w:rsid w:val="0091571A"/>
    <w:rsid w:val="00936399"/>
    <w:rsid w:val="009A2AA0"/>
    <w:rsid w:val="009C5579"/>
    <w:rsid w:val="009E475C"/>
    <w:rsid w:val="009F25BB"/>
    <w:rsid w:val="00A05807"/>
    <w:rsid w:val="00A448E3"/>
    <w:rsid w:val="00AA2EA0"/>
    <w:rsid w:val="00AC37DE"/>
    <w:rsid w:val="00B273E5"/>
    <w:rsid w:val="00B4358B"/>
    <w:rsid w:val="00B52E7E"/>
    <w:rsid w:val="00BA0FB0"/>
    <w:rsid w:val="00BA4BBC"/>
    <w:rsid w:val="00BB541C"/>
    <w:rsid w:val="00BC6639"/>
    <w:rsid w:val="00BE4DCC"/>
    <w:rsid w:val="00C5230C"/>
    <w:rsid w:val="00D21B11"/>
    <w:rsid w:val="00D33753"/>
    <w:rsid w:val="00DC0A45"/>
    <w:rsid w:val="00DE38EA"/>
    <w:rsid w:val="00DF36A5"/>
    <w:rsid w:val="00E37668"/>
    <w:rsid w:val="00E467A2"/>
    <w:rsid w:val="00EA561B"/>
    <w:rsid w:val="00EB261B"/>
    <w:rsid w:val="00F1754C"/>
    <w:rsid w:val="00F678B9"/>
    <w:rsid w:val="00FA0F9D"/>
    <w:rsid w:val="00FD60F2"/>
    <w:rsid w:val="00FF3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AC71"/>
  <w15:chartTrackingRefBased/>
  <w15:docId w15:val="{674BBE5F-268C-4F7E-A3E8-545C064C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38EA"/>
    <w:rPr>
      <w:sz w:val="16"/>
      <w:szCs w:val="16"/>
    </w:rPr>
  </w:style>
  <w:style w:type="paragraph" w:styleId="CommentText">
    <w:name w:val="annotation text"/>
    <w:basedOn w:val="Normal"/>
    <w:link w:val="CommentTextChar"/>
    <w:uiPriority w:val="99"/>
    <w:semiHidden/>
    <w:unhideWhenUsed/>
    <w:rsid w:val="00DE38EA"/>
    <w:pPr>
      <w:spacing w:line="240" w:lineRule="auto"/>
    </w:pPr>
    <w:rPr>
      <w:sz w:val="20"/>
      <w:szCs w:val="20"/>
    </w:rPr>
  </w:style>
  <w:style w:type="character" w:customStyle="1" w:styleId="CommentTextChar">
    <w:name w:val="Comment Text Char"/>
    <w:basedOn w:val="DefaultParagraphFont"/>
    <w:link w:val="CommentText"/>
    <w:uiPriority w:val="99"/>
    <w:semiHidden/>
    <w:rsid w:val="00DE38EA"/>
    <w:rPr>
      <w:sz w:val="20"/>
      <w:szCs w:val="20"/>
    </w:rPr>
  </w:style>
  <w:style w:type="paragraph" w:styleId="CommentSubject">
    <w:name w:val="annotation subject"/>
    <w:basedOn w:val="CommentText"/>
    <w:next w:val="CommentText"/>
    <w:link w:val="CommentSubjectChar"/>
    <w:uiPriority w:val="99"/>
    <w:semiHidden/>
    <w:unhideWhenUsed/>
    <w:rsid w:val="00DE38EA"/>
    <w:rPr>
      <w:b/>
      <w:bCs/>
    </w:rPr>
  </w:style>
  <w:style w:type="character" w:customStyle="1" w:styleId="CommentSubjectChar">
    <w:name w:val="Comment Subject Char"/>
    <w:basedOn w:val="CommentTextChar"/>
    <w:link w:val="CommentSubject"/>
    <w:uiPriority w:val="99"/>
    <w:semiHidden/>
    <w:rsid w:val="00DE38EA"/>
    <w:rPr>
      <w:b/>
      <w:bCs/>
      <w:sz w:val="20"/>
      <w:szCs w:val="20"/>
    </w:rPr>
  </w:style>
  <w:style w:type="paragraph" w:styleId="BalloonText">
    <w:name w:val="Balloon Text"/>
    <w:basedOn w:val="Normal"/>
    <w:link w:val="BalloonTextChar"/>
    <w:uiPriority w:val="99"/>
    <w:semiHidden/>
    <w:unhideWhenUsed/>
    <w:rsid w:val="00DE38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8EA"/>
    <w:rPr>
      <w:rFonts w:ascii="Segoe UI" w:hAnsi="Segoe UI" w:cs="Segoe UI"/>
      <w:sz w:val="18"/>
      <w:szCs w:val="18"/>
    </w:rPr>
  </w:style>
  <w:style w:type="paragraph" w:styleId="NormalWeb">
    <w:name w:val="Normal (Web)"/>
    <w:basedOn w:val="Normal"/>
    <w:uiPriority w:val="99"/>
    <w:unhideWhenUsed/>
    <w:rsid w:val="00D33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36A5"/>
    <w:pPr>
      <w:ind w:left="720"/>
      <w:contextualSpacing/>
    </w:pPr>
  </w:style>
  <w:style w:type="character" w:styleId="Hyperlink">
    <w:name w:val="Hyperlink"/>
    <w:basedOn w:val="DefaultParagraphFont"/>
    <w:uiPriority w:val="99"/>
    <w:unhideWhenUsed/>
    <w:rsid w:val="00DF36A5"/>
    <w:rPr>
      <w:color w:val="0563C1" w:themeColor="hyperlink"/>
      <w:u w:val="single"/>
    </w:rPr>
  </w:style>
  <w:style w:type="paragraph" w:styleId="FootnoteText">
    <w:name w:val="footnote text"/>
    <w:basedOn w:val="Normal"/>
    <w:link w:val="FootnoteTextChar"/>
    <w:uiPriority w:val="99"/>
    <w:semiHidden/>
    <w:unhideWhenUsed/>
    <w:rsid w:val="00EA56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61B"/>
    <w:rPr>
      <w:sz w:val="20"/>
      <w:szCs w:val="20"/>
    </w:rPr>
  </w:style>
  <w:style w:type="character" w:styleId="FootnoteReference">
    <w:name w:val="footnote reference"/>
    <w:basedOn w:val="DefaultParagraphFont"/>
    <w:uiPriority w:val="99"/>
    <w:semiHidden/>
    <w:unhideWhenUsed/>
    <w:rsid w:val="00EA561B"/>
    <w:rPr>
      <w:vertAlign w:val="superscript"/>
    </w:rPr>
  </w:style>
  <w:style w:type="paragraph" w:styleId="Bibliography">
    <w:name w:val="Bibliography"/>
    <w:basedOn w:val="Normal"/>
    <w:next w:val="Normal"/>
    <w:uiPriority w:val="37"/>
    <w:unhideWhenUsed/>
    <w:rsid w:val="00B4358B"/>
    <w:pPr>
      <w:spacing w:after="0" w:line="240" w:lineRule="auto"/>
      <w:ind w:left="720" w:hanging="720"/>
    </w:pPr>
  </w:style>
  <w:style w:type="character" w:customStyle="1" w:styleId="bibliographicauthorname">
    <w:name w:val="bibliographicauthorname"/>
    <w:basedOn w:val="DefaultParagraphFont"/>
    <w:rsid w:val="00B4358B"/>
  </w:style>
  <w:style w:type="character" w:customStyle="1" w:styleId="translators">
    <w:name w:val="translators"/>
    <w:basedOn w:val="DefaultParagraphFont"/>
    <w:rsid w:val="00B4358B"/>
  </w:style>
  <w:style w:type="character" w:customStyle="1" w:styleId="contributorname">
    <w:name w:val="contributorname"/>
    <w:basedOn w:val="DefaultParagraphFont"/>
    <w:rsid w:val="00B4358B"/>
  </w:style>
  <w:style w:type="paragraph" w:styleId="z-TopofForm">
    <w:name w:val="HTML Top of Form"/>
    <w:basedOn w:val="Normal"/>
    <w:next w:val="Normal"/>
    <w:link w:val="z-TopofFormChar"/>
    <w:hidden/>
    <w:uiPriority w:val="99"/>
    <w:semiHidden/>
    <w:unhideWhenUsed/>
    <w:rsid w:val="00B4358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4358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4358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4358B"/>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177797">
      <w:bodyDiv w:val="1"/>
      <w:marLeft w:val="0"/>
      <w:marRight w:val="0"/>
      <w:marTop w:val="0"/>
      <w:marBottom w:val="0"/>
      <w:divBdr>
        <w:top w:val="none" w:sz="0" w:space="0" w:color="auto"/>
        <w:left w:val="none" w:sz="0" w:space="0" w:color="auto"/>
        <w:bottom w:val="none" w:sz="0" w:space="0" w:color="auto"/>
        <w:right w:val="none" w:sz="0" w:space="0" w:color="auto"/>
      </w:divBdr>
      <w:divsChild>
        <w:div w:id="127019659">
          <w:marLeft w:val="3600"/>
          <w:marRight w:val="0"/>
          <w:marTop w:val="0"/>
          <w:marBottom w:val="0"/>
          <w:divBdr>
            <w:top w:val="none" w:sz="0" w:space="0" w:color="auto"/>
            <w:left w:val="none" w:sz="0" w:space="0" w:color="auto"/>
            <w:bottom w:val="none" w:sz="0" w:space="0" w:color="auto"/>
            <w:right w:val="none" w:sz="0" w:space="0" w:color="auto"/>
          </w:divBdr>
          <w:divsChild>
            <w:div w:id="78060786">
              <w:marLeft w:val="0"/>
              <w:marRight w:val="0"/>
              <w:marTop w:val="0"/>
              <w:marBottom w:val="240"/>
              <w:divBdr>
                <w:top w:val="single" w:sz="12" w:space="0" w:color="DFDFDF"/>
                <w:left w:val="single" w:sz="2" w:space="0" w:color="DFDFDF"/>
                <w:bottom w:val="single" w:sz="12" w:space="0" w:color="DFDFDF"/>
                <w:right w:val="single" w:sz="2" w:space="0" w:color="DFDFDF"/>
              </w:divBdr>
              <w:divsChild>
                <w:div w:id="1452287953">
                  <w:marLeft w:val="0"/>
                  <w:marRight w:val="0"/>
                  <w:marTop w:val="0"/>
                  <w:marBottom w:val="0"/>
                  <w:divBdr>
                    <w:top w:val="single" w:sz="6" w:space="22" w:color="EAEAEA"/>
                    <w:left w:val="none" w:sz="0" w:space="0" w:color="auto"/>
                    <w:bottom w:val="none" w:sz="0" w:space="0" w:color="auto"/>
                    <w:right w:val="none" w:sz="0" w:space="0" w:color="auto"/>
                  </w:divBdr>
                </w:div>
              </w:divsChild>
            </w:div>
          </w:divsChild>
        </w:div>
        <w:div w:id="1669865831">
          <w:marLeft w:val="-15300"/>
          <w:marRight w:val="0"/>
          <w:marTop w:val="0"/>
          <w:marBottom w:val="0"/>
          <w:divBdr>
            <w:top w:val="none" w:sz="0" w:space="0" w:color="auto"/>
            <w:left w:val="none" w:sz="0" w:space="0" w:color="auto"/>
            <w:bottom w:val="none" w:sz="0" w:space="0" w:color="auto"/>
            <w:right w:val="none" w:sz="0" w:space="0" w:color="auto"/>
          </w:divBdr>
          <w:divsChild>
            <w:div w:id="691419249">
              <w:marLeft w:val="0"/>
              <w:marRight w:val="0"/>
              <w:marTop w:val="0"/>
              <w:marBottom w:val="195"/>
              <w:divBdr>
                <w:top w:val="single" w:sz="2" w:space="0" w:color="E3E9EB"/>
                <w:left w:val="single" w:sz="2" w:space="0" w:color="E3E9EB"/>
                <w:bottom w:val="single" w:sz="2" w:space="0" w:color="E3E9EB"/>
                <w:right w:val="single" w:sz="2" w:space="0" w:color="E3E9EB"/>
              </w:divBdr>
            </w:div>
          </w:divsChild>
        </w:div>
      </w:divsChild>
    </w:div>
    <w:div w:id="126603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EEC993B78BD44391798A1D9493F7C4" ma:contentTypeVersion="5" ma:contentTypeDescription="Create a new document." ma:contentTypeScope="" ma:versionID="1866ad888d0c2b994850d63f34c77303">
  <xsd:schema xmlns:xsd="http://www.w3.org/2001/XMLSchema" xmlns:xs="http://www.w3.org/2001/XMLSchema" xmlns:p="http://schemas.microsoft.com/office/2006/metadata/properties" xmlns:ns3="25ce3cbb-3bbb-428e-8fbe-608006d66d82" xmlns:ns4="1d233544-c417-4f90-a699-e7fbf73512b7" targetNamespace="http://schemas.microsoft.com/office/2006/metadata/properties" ma:root="true" ma:fieldsID="9f9f393967c08a74ce5eb64d40ef4645" ns3:_="" ns4:_="">
    <xsd:import namespace="25ce3cbb-3bbb-428e-8fbe-608006d66d82"/>
    <xsd:import namespace="1d233544-c417-4f90-a699-e7fbf73512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e3cbb-3bbb-428e-8fbe-608006d6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33544-c417-4f90-a699-e7fbf73512b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93F924-2610-4123-B31D-960DCE0215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CB0C19-C266-4BE8-9551-FF18FAB205F3}">
  <ds:schemaRefs>
    <ds:schemaRef ds:uri="http://schemas.microsoft.com/sharepoint/v3/contenttype/forms"/>
  </ds:schemaRefs>
</ds:datastoreItem>
</file>

<file path=customXml/itemProps3.xml><?xml version="1.0" encoding="utf-8"?>
<ds:datastoreItem xmlns:ds="http://schemas.openxmlformats.org/officeDocument/2006/customXml" ds:itemID="{C13F679B-E588-4914-AA21-B982E4243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ce3cbb-3bbb-428e-8fbe-608006d66d82"/>
    <ds:schemaRef ds:uri="1d233544-c417-4f90-a699-e7fbf73512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17237C-22D0-4458-B00F-41E4A6DD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Biggar (1703322)</dc:creator>
  <cp:keywords/>
  <dc:description/>
  <cp:lastModifiedBy>Georgia Biggar (1703322)</cp:lastModifiedBy>
  <cp:revision>5</cp:revision>
  <dcterms:created xsi:type="dcterms:W3CDTF">2019-12-06T15:16:00Z</dcterms:created>
  <dcterms:modified xsi:type="dcterms:W3CDTF">2019-12-06T16:27:00Z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0x01010046EEC993B78BD44391798A1D9493F7C4</vt:lpwstr>
  </property>
  <property fmtid="{D5CDD505-2E9C-101B-9397-08002B2CF9AE}" pid="3" name="ZOTERO_PREF_1">
    <vt:lpwstr>&lt;data data-version="3" zotero-version="5.0.80"&gt;&lt;session id="WoOZkfBe"/&gt;&lt;style id="http://www.zotero.org/styles/elsevier-harvard" hasBibliography="1" bibliographyStyleHasBeenSet="1"/&gt;&lt;prefs&gt;&lt;pref name="fieldType" value="Field"/&gt;&lt;/prefs&gt;&lt;/data&gt;</vt:lpwstr>
  </property>
</Properties>
</file>