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E0960" w14:textId="0CE206A6" w:rsidR="00D55639" w:rsidRDefault="00570BB0" w:rsidP="00D55639">
      <w:pPr>
        <w:pStyle w:val="isselectedend"/>
      </w:pPr>
      <w:r>
        <w:rPr>
          <w:noProof/>
        </w:rPr>
        <mc:AlternateContent>
          <mc:Choice Requires="wps">
            <w:drawing>
              <wp:anchor distT="0" distB="0" distL="114300" distR="114300" simplePos="0" relativeHeight="251658240" behindDoc="0" locked="0" layoutInCell="1" allowOverlap="1" wp14:anchorId="4C33833C" wp14:editId="606BE578">
                <wp:simplePos x="0" y="0"/>
                <wp:positionH relativeFrom="column">
                  <wp:posOffset>-137160</wp:posOffset>
                </wp:positionH>
                <wp:positionV relativeFrom="paragraph">
                  <wp:posOffset>1468755</wp:posOffset>
                </wp:positionV>
                <wp:extent cx="6049210" cy="707886"/>
                <wp:effectExtent l="0" t="0" r="0" b="0"/>
                <wp:wrapNone/>
                <wp:docPr id="4" name="TextBox 3">
                  <a:extLst xmlns:a="http://schemas.openxmlformats.org/drawingml/2006/main">
                    <a:ext uri="{FF2B5EF4-FFF2-40B4-BE49-F238E27FC236}">
                      <a16:creationId xmlns:a16="http://schemas.microsoft.com/office/drawing/2014/main" id="{0DB5D689-0DBF-6610-F166-1771F1505D35}"/>
                    </a:ext>
                  </a:extLst>
                </wp:docPr>
                <wp:cNvGraphicFramePr/>
                <a:graphic xmlns:a="http://schemas.openxmlformats.org/drawingml/2006/main">
                  <a:graphicData uri="http://schemas.microsoft.com/office/word/2010/wordprocessingShape">
                    <wps:wsp>
                      <wps:cNvSpPr txBox="1"/>
                      <wps:spPr>
                        <a:xfrm>
                          <a:off x="0" y="0"/>
                          <a:ext cx="6049210" cy="707886"/>
                        </a:xfrm>
                        <a:prstGeom prst="rect">
                          <a:avLst/>
                        </a:prstGeom>
                        <a:noFill/>
                      </wps:spPr>
                      <wps:txbx>
                        <w:txbxContent>
                          <w:p w14:paraId="3E56AC4E" w14:textId="77777777" w:rsidR="00570BB0" w:rsidRPr="00305C31" w:rsidRDefault="00570BB0" w:rsidP="00570BB0">
                            <w:pPr>
                              <w:jc w:val="center"/>
                              <w:rPr>
                                <w:rFonts w:ascii="Arial" w:hAnsi="Arial" w:cs="Arial"/>
                                <w:b/>
                                <w:bCs/>
                                <w:color w:val="000000" w:themeColor="text1"/>
                                <w:kern w:val="24"/>
                                <w:sz w:val="40"/>
                                <w:szCs w:val="40"/>
                                <w14:ligatures w14:val="none"/>
                              </w:rPr>
                            </w:pPr>
                            <w:r w:rsidRPr="00305C31">
                              <w:rPr>
                                <w:rFonts w:ascii="Arial" w:hAnsi="Arial" w:cs="Arial"/>
                                <w:b/>
                                <w:bCs/>
                                <w:color w:val="000000" w:themeColor="text1"/>
                                <w:kern w:val="24"/>
                                <w:sz w:val="40"/>
                                <w:szCs w:val="40"/>
                              </w:rPr>
                              <w:t>LCHS4010</w:t>
                            </w:r>
                          </w:p>
                          <w:p w14:paraId="7DE698B5" w14:textId="4A896578" w:rsidR="00570BB0" w:rsidRPr="00305C31" w:rsidRDefault="00570BB0" w:rsidP="00570BB0">
                            <w:pPr>
                              <w:jc w:val="center"/>
                              <w:rPr>
                                <w:rFonts w:ascii="Arial" w:hAnsi="Arial" w:cs="Arial"/>
                                <w:b/>
                                <w:bCs/>
                                <w:color w:val="000000" w:themeColor="text1"/>
                                <w:kern w:val="24"/>
                                <w:sz w:val="40"/>
                                <w:szCs w:val="40"/>
                              </w:rPr>
                            </w:pPr>
                            <w:r w:rsidRPr="00305C31">
                              <w:rPr>
                                <w:rFonts w:ascii="Arial" w:hAnsi="Arial" w:cs="Arial"/>
                                <w:b/>
                                <w:bCs/>
                                <w:color w:val="000000" w:themeColor="text1"/>
                                <w:kern w:val="24"/>
                                <w:sz w:val="40"/>
                                <w:szCs w:val="40"/>
                              </w:rPr>
                              <w:t>Psychology in Health and Social Care</w:t>
                            </w:r>
                          </w:p>
                        </w:txbxContent>
                      </wps:txbx>
                      <wps:bodyPr wrap="square" rtlCol="0">
                        <a:spAutoFit/>
                      </wps:bodyPr>
                    </wps:wsp>
                  </a:graphicData>
                </a:graphic>
              </wp:anchor>
            </w:drawing>
          </mc:Choice>
          <mc:Fallback>
            <w:pict>
              <v:shapetype w14:anchorId="4C33833C" id="_x0000_t202" coordsize="21600,21600" o:spt="202" path="m,l,21600r21600,l21600,xe">
                <v:stroke joinstyle="miter"/>
                <v:path gradientshapeok="t" o:connecttype="rect"/>
              </v:shapetype>
              <v:shape id="TextBox 3" o:spid="_x0000_s1026" type="#_x0000_t202" style="position:absolute;margin-left:-10.8pt;margin-top:115.65pt;width:476.3pt;height:55.7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" filled="f" stroked="f">
                <v:textbox style="mso-fit-shape-to-text:t">
                  <w:txbxContent>
                    <w:p w14:paraId="3E56AC4E" w14:textId="77777777" w:rsidR="00570BB0" w:rsidRPr="00305C31" w:rsidRDefault="00570BB0" w:rsidP="00570BB0">
                      <w:pPr>
                        <w:jc w:val="center"/>
                        <w:rPr>
                          <w:rFonts w:ascii="Arial" w:hAnsi="Arial" w:cs="Arial"/>
                          <w:b/>
                          <w:bCs/>
                          <w:color w:val="000000" w:themeColor="text1"/>
                          <w:kern w:val="24"/>
                          <w:sz w:val="40"/>
                          <w:szCs w:val="40"/>
                          <w14:ligatures w14:val="none"/>
                        </w:rPr>
                      </w:pPr>
                      <w:r w:rsidRPr="00305C31">
                        <w:rPr>
                          <w:rFonts w:ascii="Arial" w:hAnsi="Arial" w:cs="Arial"/>
                          <w:b/>
                          <w:bCs/>
                          <w:color w:val="000000" w:themeColor="text1"/>
                          <w:kern w:val="24"/>
                          <w:sz w:val="40"/>
                          <w:szCs w:val="40"/>
                        </w:rPr>
                        <w:t>LCHS4010</w:t>
                      </w:r>
                    </w:p>
                    <w:p w14:paraId="7DE698B5" w14:textId="4A896578" w:rsidR="00570BB0" w:rsidRPr="00305C31" w:rsidRDefault="00570BB0" w:rsidP="00570BB0">
                      <w:pPr>
                        <w:jc w:val="center"/>
                        <w:rPr>
                          <w:rFonts w:ascii="Arial" w:hAnsi="Arial" w:cs="Arial"/>
                          <w:b/>
                          <w:bCs/>
                          <w:color w:val="000000" w:themeColor="text1"/>
                          <w:kern w:val="24"/>
                          <w:sz w:val="40"/>
                          <w:szCs w:val="40"/>
                        </w:rPr>
                      </w:pPr>
                      <w:r w:rsidRPr="00305C31">
                        <w:rPr>
                          <w:rFonts w:ascii="Arial" w:hAnsi="Arial" w:cs="Arial"/>
                          <w:b/>
                          <w:bCs/>
                          <w:color w:val="000000" w:themeColor="text1"/>
                          <w:kern w:val="24"/>
                          <w:sz w:val="40"/>
                          <w:szCs w:val="40"/>
                        </w:rPr>
                        <w:t>Psychology in Health and Social Care</w:t>
                      </w:r>
                    </w:p>
                  </w:txbxContent>
                </v:textbox>
              </v:shape>
            </w:pict>
          </mc:Fallback>
        </mc:AlternateContent>
      </w:r>
      <w:r>
        <w:rPr>
          <w:noProof/>
        </w:rPr>
        <w:drawing>
          <wp:inline distT="0" distB="0" distL="0" distR="0" wp14:anchorId="52D17E4D" wp14:editId="3D011AF1">
            <wp:extent cx="3839041" cy="1308100"/>
            <wp:effectExtent l="0" t="0" r="9525" b="6350"/>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88403" cy="1324919"/>
                    </a:xfrm>
                    <a:prstGeom prst="rect">
                      <a:avLst/>
                    </a:prstGeom>
                    <a:noFill/>
                  </pic:spPr>
                </pic:pic>
              </a:graphicData>
            </a:graphic>
          </wp:inline>
        </w:drawing>
      </w:r>
    </w:p>
    <w:p w14:paraId="53690350" w14:textId="4C9BB7AB" w:rsidR="00570BB0" w:rsidRDefault="00570BB0" w:rsidP="00D55639">
      <w:pPr>
        <w:pStyle w:val="isselectedend"/>
      </w:pPr>
    </w:p>
    <w:p w14:paraId="4ACCE8CC" w14:textId="77777777" w:rsidR="00570BB0" w:rsidRDefault="00570BB0" w:rsidP="00D55639">
      <w:pPr>
        <w:pStyle w:val="isselectedend"/>
        <w:rPr>
          <w:rFonts w:ascii="Arial" w:hAnsi="Arial" w:cs="Arial"/>
          <w:sz w:val="22"/>
          <w:szCs w:val="22"/>
        </w:rPr>
      </w:pPr>
    </w:p>
    <w:p w14:paraId="1050DBBD" w14:textId="77777777" w:rsidR="00570BB0" w:rsidRDefault="00570BB0" w:rsidP="00D55639">
      <w:pPr>
        <w:pStyle w:val="isselectedend"/>
        <w:rPr>
          <w:rFonts w:ascii="Arial" w:hAnsi="Arial" w:cs="Arial"/>
          <w:sz w:val="22"/>
          <w:szCs w:val="22"/>
        </w:rPr>
      </w:pPr>
    </w:p>
    <w:p w14:paraId="03DF5AE9" w14:textId="10AE4461" w:rsidR="00570BB0" w:rsidRPr="00305C31" w:rsidRDefault="00570BB0" w:rsidP="00D55639">
      <w:pPr>
        <w:pStyle w:val="isselectedend"/>
        <w:rPr>
          <w:rFonts w:ascii="Arial" w:eastAsiaTheme="majorEastAsia" w:hAnsi="Arial" w:cs="Arial"/>
          <w:color w:val="000000" w:themeColor="text1"/>
          <w:kern w:val="24"/>
          <w:sz w:val="40"/>
          <w:szCs w:val="40"/>
        </w:rPr>
      </w:pPr>
      <w:r w:rsidRPr="00305C31">
        <w:rPr>
          <w:rFonts w:ascii="Arial" w:eastAsiaTheme="majorEastAsia" w:hAnsi="Arial" w:cs="Arial"/>
          <w:color w:val="000000" w:themeColor="text1"/>
          <w:kern w:val="24"/>
          <w:sz w:val="40"/>
          <w:szCs w:val="40"/>
        </w:rPr>
        <w:t>Student name</w:t>
      </w:r>
      <w:r w:rsidR="00305C31">
        <w:rPr>
          <w:rFonts w:ascii="Arial" w:eastAsiaTheme="majorEastAsia" w:hAnsi="Arial" w:cs="Arial"/>
          <w:color w:val="000000" w:themeColor="text1"/>
          <w:kern w:val="24"/>
          <w:sz w:val="40"/>
          <w:szCs w:val="40"/>
        </w:rPr>
        <w:t>: SNEJANA RADU</w:t>
      </w:r>
      <w:r w:rsidRPr="00305C31">
        <w:rPr>
          <w:rFonts w:ascii="Arial" w:eastAsiaTheme="majorEastAsia" w:hAnsi="Arial" w:cs="Arial"/>
          <w:color w:val="000000" w:themeColor="text1"/>
          <w:kern w:val="24"/>
          <w:sz w:val="40"/>
          <w:szCs w:val="40"/>
        </w:rPr>
        <w:br/>
        <w:t>Student number</w:t>
      </w:r>
      <w:r w:rsidR="00305C31">
        <w:rPr>
          <w:rFonts w:ascii="Arial" w:eastAsiaTheme="majorEastAsia" w:hAnsi="Arial" w:cs="Arial"/>
          <w:color w:val="000000" w:themeColor="text1"/>
          <w:kern w:val="24"/>
          <w:sz w:val="40"/>
          <w:szCs w:val="40"/>
        </w:rPr>
        <w:t xml:space="preserve">: </w:t>
      </w:r>
      <w:r w:rsidR="00030FF9">
        <w:rPr>
          <w:rFonts w:ascii="Arial" w:eastAsiaTheme="majorEastAsia" w:hAnsi="Arial" w:cs="Arial"/>
          <w:color w:val="000000" w:themeColor="text1"/>
          <w:kern w:val="24"/>
          <w:sz w:val="40"/>
          <w:szCs w:val="40"/>
        </w:rPr>
        <w:t>251</w:t>
      </w:r>
      <w:r w:rsidR="00842EAA">
        <w:rPr>
          <w:rFonts w:ascii="Arial" w:eastAsiaTheme="majorEastAsia" w:hAnsi="Arial" w:cs="Arial"/>
          <w:color w:val="000000" w:themeColor="text1"/>
          <w:kern w:val="24"/>
          <w:sz w:val="40"/>
          <w:szCs w:val="40"/>
        </w:rPr>
        <w:t>2090</w:t>
      </w:r>
      <w:r w:rsidRPr="00305C31">
        <w:rPr>
          <w:rFonts w:ascii="Arial" w:eastAsiaTheme="majorEastAsia" w:hAnsi="Arial" w:cs="Arial"/>
          <w:color w:val="000000" w:themeColor="text1"/>
          <w:kern w:val="24"/>
          <w:sz w:val="40"/>
          <w:szCs w:val="40"/>
        </w:rPr>
        <w:br/>
        <w:t>Lecturer’s name</w:t>
      </w:r>
      <w:r w:rsidR="00305C31">
        <w:rPr>
          <w:rFonts w:ascii="Arial" w:eastAsiaTheme="majorEastAsia" w:hAnsi="Arial" w:cs="Arial"/>
          <w:color w:val="000000" w:themeColor="text1"/>
          <w:kern w:val="24"/>
          <w:sz w:val="40"/>
          <w:szCs w:val="40"/>
        </w:rPr>
        <w:t xml:space="preserve">: </w:t>
      </w:r>
      <w:r w:rsidR="00842EAA">
        <w:rPr>
          <w:rFonts w:ascii="Arial" w:eastAsiaTheme="majorEastAsia" w:hAnsi="Arial" w:cs="Arial"/>
          <w:color w:val="000000" w:themeColor="text1"/>
          <w:kern w:val="24"/>
          <w:sz w:val="40"/>
          <w:szCs w:val="40"/>
        </w:rPr>
        <w:t>Christiana Melam</w:t>
      </w:r>
    </w:p>
    <w:p w14:paraId="7830188E" w14:textId="377D53A2" w:rsidR="00570BB0" w:rsidRPr="00FD5D7C" w:rsidRDefault="00570BB0" w:rsidP="00FD5D7C">
      <w:pPr>
        <w:pStyle w:val="isselectedend"/>
        <w:spacing w:line="360" w:lineRule="auto"/>
        <w:rPr>
          <w:rFonts w:ascii="Arial" w:hAnsi="Arial" w:cs="Arial"/>
          <w:b/>
          <w:bCs/>
          <w:sz w:val="22"/>
          <w:szCs w:val="22"/>
        </w:rPr>
      </w:pPr>
      <w:r w:rsidRPr="00FD5D7C">
        <w:rPr>
          <w:rFonts w:ascii="Arial" w:hAnsi="Arial" w:cs="Arial"/>
          <w:b/>
          <w:bCs/>
          <w:sz w:val="22"/>
          <w:szCs w:val="22"/>
        </w:rPr>
        <w:t>Discuss the impact of social media on mental health in adolescence.</w:t>
      </w:r>
    </w:p>
    <w:p w14:paraId="664CCCDC" w14:textId="77777777" w:rsidR="00D83332" w:rsidRPr="00FD5D7C" w:rsidRDefault="00D83332" w:rsidP="00FD5D7C">
      <w:pPr>
        <w:pStyle w:val="pdq2pgselectionanchorcontainer"/>
        <w:spacing w:line="360" w:lineRule="auto"/>
        <w:rPr>
          <w:rFonts w:ascii="Arial" w:hAnsi="Arial" w:cs="Arial"/>
          <w:sz w:val="22"/>
          <w:szCs w:val="22"/>
        </w:rPr>
      </w:pPr>
      <w:r w:rsidRPr="00FD5D7C">
        <w:rPr>
          <w:rFonts w:ascii="Arial" w:hAnsi="Arial" w:cs="Arial"/>
          <w:sz w:val="22"/>
          <w:szCs w:val="22"/>
        </w:rPr>
        <w:t>Teenagers now spend a considerable amount of their daily lives using social networking platforms, which can influence the way they communicate, build relationships and understand themselves. Applications such as Instagram, TikTok and Snapchat can provide young people with opportunities to interact with others, develop friendships and receive emotional support. However, research increasingly highlights possible disadvantages when social media is used excessively. Frequent or problematic use has been associated with difficulties such as anxiety, depression, poor self-confidence and dissatisfaction with physical appearance. Online activity may also expose adolescents to experiences such as cyberbullying and inadequate sleep. These concerns are particularly relevant during adolescence because this period involves major emotional, psychological and social development (Keles, McCrae and Grealish, 2020; Viner et al., 2019). Psychological theories can help explain why social media may affect some young people more strongly than others. Erikson’s theory focuses on the development of identity, while Bowlby’s Attachment Theory considers how early relationships can influence emotional security and wellbeing (Erikson, 1968; Bowlby, 1969). This essay explores the relationship between social media and adolescent mental health using both theories and considers their importance within health and social care practice.</w:t>
      </w:r>
    </w:p>
    <w:p w14:paraId="2B5BFF12" w14:textId="77777777" w:rsidR="00D83332" w:rsidRPr="00FD5D7C" w:rsidRDefault="00D83332" w:rsidP="00FD5D7C">
      <w:pPr>
        <w:pStyle w:val="NormalWeb"/>
        <w:spacing w:line="360" w:lineRule="auto"/>
        <w:rPr>
          <w:rFonts w:ascii="Arial" w:hAnsi="Arial" w:cs="Arial"/>
          <w:sz w:val="22"/>
          <w:szCs w:val="22"/>
        </w:rPr>
      </w:pPr>
      <w:r w:rsidRPr="00FD5D7C">
        <w:rPr>
          <w:rFonts w:ascii="Arial" w:hAnsi="Arial" w:cs="Arial"/>
          <w:sz w:val="22"/>
          <w:szCs w:val="22"/>
        </w:rPr>
        <w:t xml:space="preserve">Erikson’s theory of psychosocial development can be used to explore the ways in which social networking may influence young people’s psychological wellbeing. Erikson (1968) </w:t>
      </w:r>
      <w:r w:rsidRPr="00FD5D7C">
        <w:rPr>
          <w:rFonts w:ascii="Arial" w:hAnsi="Arial" w:cs="Arial"/>
          <w:sz w:val="22"/>
          <w:szCs w:val="22"/>
        </w:rPr>
        <w:lastRenderedPageBreak/>
        <w:t>suggests that adolescence represents a crucial period in which individuals face the challenge of establishing their identity while avoiding uncertainty about their role. During this time, young people gradually develop their own beliefs, values, sense of individuality and understanding of where they belong within society. Interactions with friends and other members of their social environment can strongly influence this process, particularly through the opinions and reactions they receive. Digital platforms have therefore become another setting in which adolescents can experiment with different aspects of who they are. Through photographs, personal profiles, opinions and interactions with other users, young people can communicate how they want to be perceived and explore different aspects of their identity.</w:t>
      </w:r>
    </w:p>
    <w:p w14:paraId="403AB9CF" w14:textId="2FD6F96A" w:rsidR="00DC0366" w:rsidRPr="00FD5D7C" w:rsidRDefault="00DC0366" w:rsidP="00FD5D7C">
      <w:pPr>
        <w:pStyle w:val="isselectedend"/>
        <w:spacing w:line="360" w:lineRule="auto"/>
        <w:rPr>
          <w:rFonts w:ascii="Arial" w:hAnsi="Arial" w:cs="Arial"/>
          <w:sz w:val="22"/>
          <w:szCs w:val="22"/>
        </w:rPr>
      </w:pPr>
      <w:r w:rsidRPr="00FD5D7C">
        <w:rPr>
          <w:rFonts w:ascii="Arial" w:hAnsi="Arial" w:cs="Arial"/>
          <w:sz w:val="22"/>
          <w:szCs w:val="22"/>
        </w:rPr>
        <w:t>Positive online experiences, such as receiving support from friends or interacting with people who have similar interests, may help strengthen confidence and contribute to identity development (Odgers and Jensen, 2020).</w:t>
      </w:r>
    </w:p>
    <w:p w14:paraId="27F6FF96" w14:textId="77777777" w:rsidR="00DC0366" w:rsidRPr="00FD5D7C" w:rsidRDefault="00DC0366" w:rsidP="00FD5D7C">
      <w:pPr>
        <w:pStyle w:val="NormalWeb"/>
        <w:spacing w:line="360" w:lineRule="auto"/>
        <w:rPr>
          <w:rFonts w:ascii="Arial" w:hAnsi="Arial" w:cs="Arial"/>
          <w:sz w:val="22"/>
          <w:szCs w:val="22"/>
        </w:rPr>
      </w:pPr>
      <w:r w:rsidRPr="00FD5D7C">
        <w:rPr>
          <w:rFonts w:ascii="Arial" w:hAnsi="Arial" w:cs="Arial"/>
          <w:sz w:val="22"/>
          <w:szCs w:val="22"/>
        </w:rPr>
        <w:t>Nevertheless, social media can also present difficulties during this important period of development. Adolescents may become reliant on online validation, including likes, comments and follower counts, which can affect their perception of self-worth. The expectation to display an idealised image of themselves online may increase feelings of insecurity, anxiety and uncertainty about their identity. Keles, McCrae and Grealish (2020) reported an association between social media use and psychological distress, including symptoms of depression and anxiety in adolescents. From an Eriksonian viewpoint, frequent exposure to unrealistic portrayals of other people may negatively affect healthy identity development by promoting social comparison instead of genuine self-exploration. Therefore, Erikson’s theory provides an explanation for why adolescents can be particularly vulnerable to the influence of social media while their identity and self-esteem are still developing.</w:t>
      </w:r>
    </w:p>
    <w:p w14:paraId="6F203D68" w14:textId="59201B70" w:rsidR="0005410F" w:rsidRPr="00FD5D7C" w:rsidRDefault="00D55639" w:rsidP="00FD5D7C">
      <w:pPr>
        <w:pStyle w:val="isselectedend"/>
        <w:spacing w:line="360" w:lineRule="auto"/>
        <w:rPr>
          <w:rFonts w:ascii="Arial" w:hAnsi="Arial" w:cs="Arial"/>
          <w:sz w:val="22"/>
          <w:szCs w:val="22"/>
        </w:rPr>
      </w:pPr>
      <w:r w:rsidRPr="00FD5D7C">
        <w:rPr>
          <w:rFonts w:ascii="Arial" w:hAnsi="Arial" w:cs="Arial"/>
          <w:sz w:val="22"/>
          <w:szCs w:val="22"/>
        </w:rPr>
        <w:t>Bowlby’s Attachment Theory provides another useful framework for understanding why social media may affect adolescents differently depending on their emotional experiences and relationships. Bowlby (1969) proposed that early attachment relationships with caregivers influence the development of emotional regulation, self-confidence and the ability to form relationships throughout life</w:t>
      </w:r>
      <w:r w:rsidR="00812560" w:rsidRPr="00FD5D7C">
        <w:rPr>
          <w:rFonts w:ascii="Arial" w:hAnsi="Arial" w:cs="Arial"/>
          <w:sz w:val="22"/>
          <w:szCs w:val="22"/>
        </w:rPr>
        <w:t>. Secure attachment may support emotional stability and confidence, whereas insecure attachment may increase vulnerability to difficulties managing emotions and seeking reassurance from others.</w:t>
      </w:r>
      <w:r w:rsidRPr="00FD5D7C">
        <w:rPr>
          <w:rFonts w:ascii="Arial" w:hAnsi="Arial" w:cs="Arial"/>
          <w:sz w:val="22"/>
          <w:szCs w:val="22"/>
        </w:rPr>
        <w:t xml:space="preserve"> Although Bowlby’s theory focuses primarily on early relationships, it can be applied to adolescent behaviour, including how young people interact with social media and respond to online experiences.</w:t>
      </w:r>
    </w:p>
    <w:p w14:paraId="0FF67069" w14:textId="15A54832" w:rsidR="00D55639" w:rsidRPr="00FD5D7C" w:rsidRDefault="00D55639" w:rsidP="00FD5D7C">
      <w:pPr>
        <w:pStyle w:val="isselectedend"/>
        <w:spacing w:line="360" w:lineRule="auto"/>
        <w:rPr>
          <w:rFonts w:ascii="Arial" w:hAnsi="Arial" w:cs="Arial"/>
          <w:sz w:val="22"/>
          <w:szCs w:val="22"/>
        </w:rPr>
      </w:pPr>
      <w:r w:rsidRPr="00FD5D7C">
        <w:rPr>
          <w:rFonts w:ascii="Arial" w:hAnsi="Arial" w:cs="Arial"/>
          <w:sz w:val="22"/>
          <w:szCs w:val="22"/>
        </w:rPr>
        <w:t xml:space="preserve">Social media can provide adolescents with opportunities to maintain friendships, seek support and develop a sense of belonging. For young people with secure relationships, </w:t>
      </w:r>
      <w:r w:rsidRPr="00FD5D7C">
        <w:rPr>
          <w:rFonts w:ascii="Arial" w:hAnsi="Arial" w:cs="Arial"/>
          <w:sz w:val="22"/>
          <w:szCs w:val="22"/>
        </w:rPr>
        <w:lastRenderedPageBreak/>
        <w:t>online communication may complement existing relationships and provide additional emotional support. However, adolescents who experience insecurity in relationships may become more dependent on online validation, such as receiving likes, comments or messages, to feel accepted. This reliance on external approval may increase vulnerability to</w:t>
      </w:r>
      <w:r w:rsidR="00A67777" w:rsidRPr="00FD5D7C">
        <w:rPr>
          <w:rFonts w:ascii="Arial" w:hAnsi="Arial" w:cs="Arial"/>
          <w:sz w:val="22"/>
          <w:szCs w:val="22"/>
        </w:rPr>
        <w:t xml:space="preserve"> </w:t>
      </w:r>
      <w:r w:rsidRPr="00FD5D7C">
        <w:rPr>
          <w:rFonts w:ascii="Arial" w:hAnsi="Arial" w:cs="Arial"/>
          <w:sz w:val="22"/>
          <w:szCs w:val="22"/>
        </w:rPr>
        <w:t>anxiety, loneliness and low self-esteem when positive feedback is absent (Keles, McCrae and Grealish, 2020).</w:t>
      </w:r>
    </w:p>
    <w:p w14:paraId="6926D5AF" w14:textId="77777777" w:rsidR="008A4138" w:rsidRPr="00FD5D7C" w:rsidRDefault="008A4138" w:rsidP="00FD5D7C">
      <w:pPr>
        <w:pStyle w:val="pdq2pgselectionanchorcontainer"/>
        <w:spacing w:line="360" w:lineRule="auto"/>
        <w:rPr>
          <w:rFonts w:ascii="Arial" w:hAnsi="Arial" w:cs="Arial"/>
          <w:sz w:val="22"/>
          <w:szCs w:val="22"/>
        </w:rPr>
      </w:pPr>
      <w:r w:rsidRPr="00FD5D7C">
        <w:rPr>
          <w:rFonts w:ascii="Arial" w:hAnsi="Arial" w:cs="Arial"/>
          <w:sz w:val="22"/>
          <w:szCs w:val="22"/>
        </w:rPr>
        <w:t xml:space="preserve">Bowlby’s theory also offers an explanation of why harmful online experiences, including rejection and cyberbullying, can have a strong emotional effect on adolescents. Young people who face exclusion online may view these experiences as a threat to their relationships, social belonging and feelings of security. Viner </w:t>
      </w:r>
      <w:r w:rsidRPr="00FD5D7C">
        <w:rPr>
          <w:rStyle w:val="Emphasis"/>
          <w:rFonts w:ascii="Arial" w:hAnsi="Arial" w:cs="Arial"/>
          <w:sz w:val="22"/>
          <w:szCs w:val="22"/>
        </w:rPr>
        <w:t>et al.</w:t>
      </w:r>
      <w:r w:rsidRPr="00FD5D7C">
        <w:rPr>
          <w:rFonts w:ascii="Arial" w:hAnsi="Arial" w:cs="Arial"/>
          <w:sz w:val="22"/>
          <w:szCs w:val="22"/>
        </w:rPr>
        <w:t xml:space="preserve"> (2019) identified cyberbullying as one of the ways in which social media may contribute to poorer mental health among adolescents. However, one limitation of using Bowlby’s theory to understand social media is that it does not fully address the broader social and technological influences that shape young people’s online behaviour. Elements such as peer culture, digital skills and the way social media platforms are designed can also influence experiences. Therefore, although attachment theory offers useful understanding of emotional vulnerability and relationships, it should be used together with current research concerning adolescent development and digital environments.</w:t>
      </w:r>
    </w:p>
    <w:p w14:paraId="11E0886C" w14:textId="77777777" w:rsidR="008A4138" w:rsidRPr="00FD5D7C" w:rsidRDefault="008A4138" w:rsidP="00FD5D7C">
      <w:pPr>
        <w:pStyle w:val="NormalWeb"/>
        <w:spacing w:line="360" w:lineRule="auto"/>
        <w:rPr>
          <w:rFonts w:ascii="Arial" w:hAnsi="Arial" w:cs="Arial"/>
          <w:sz w:val="22"/>
          <w:szCs w:val="22"/>
        </w:rPr>
      </w:pPr>
      <w:r w:rsidRPr="00FD5D7C">
        <w:rPr>
          <w:rFonts w:ascii="Arial" w:hAnsi="Arial" w:cs="Arial"/>
          <w:sz w:val="22"/>
          <w:szCs w:val="22"/>
        </w:rPr>
        <w:t>Another important way social media may affect adolescent mental health is through social comparison. Young people often compare their appearance, lifestyles and achievements with the content presented by others online. A large amount of social media content is edited or carefully selected, creating unrealistic representations of beauty, achievement and happiness that can negatively influence self-esteem and body image. From the perspective of Erikson’s Psychosocial Development Theory, adolescents may be especially responsive to external opinions because they are forming their identity and looking for acceptance from others (Erikson, 1968). Consequently, regularly viewing idealised images and lifestyles online may increase feelings of inadequacy and uncertainty about one’s own identity. Keles, McCrae and Grealish (2020) found associations between social media use and higher levels of depression, anxiety and psychological distress in adolescents, although this relationship is complex and can be affected by individual circumstances.</w:t>
      </w:r>
    </w:p>
    <w:p w14:paraId="6DDE55A6" w14:textId="77777777" w:rsidR="008A4138" w:rsidRPr="00FD5D7C" w:rsidRDefault="008A4138" w:rsidP="00FD5D7C">
      <w:pPr>
        <w:pStyle w:val="NormalWeb"/>
        <w:spacing w:line="360" w:lineRule="auto"/>
        <w:rPr>
          <w:rFonts w:ascii="Arial" w:hAnsi="Arial" w:cs="Arial"/>
          <w:sz w:val="22"/>
          <w:szCs w:val="22"/>
        </w:rPr>
      </w:pPr>
      <w:r w:rsidRPr="00FD5D7C">
        <w:rPr>
          <w:rFonts w:ascii="Arial" w:hAnsi="Arial" w:cs="Arial"/>
          <w:sz w:val="22"/>
          <w:szCs w:val="22"/>
        </w:rPr>
        <w:t xml:space="preserve">Cyberbullying represents another major concern connected with social media use. In contrast to traditional forms of bullying, cyberbullying may happen repeatedly, reach a much wider audience and be difficult for adolescents to avoid. Online harassment, rejection and exclusion can negatively influence emotional wellbeing and increase feelings of loneliness, </w:t>
      </w:r>
      <w:r w:rsidRPr="00FD5D7C">
        <w:rPr>
          <w:rFonts w:ascii="Arial" w:hAnsi="Arial" w:cs="Arial"/>
          <w:sz w:val="22"/>
          <w:szCs w:val="22"/>
        </w:rPr>
        <w:lastRenderedPageBreak/>
        <w:t xml:space="preserve">anxiety and distress (Viner </w:t>
      </w:r>
      <w:r w:rsidRPr="00FD5D7C">
        <w:rPr>
          <w:rStyle w:val="Emphasis"/>
          <w:rFonts w:ascii="Arial" w:hAnsi="Arial" w:cs="Arial"/>
          <w:sz w:val="22"/>
          <w:szCs w:val="22"/>
        </w:rPr>
        <w:t>et al</w:t>
      </w:r>
      <w:r w:rsidRPr="00FD5D7C">
        <w:rPr>
          <w:rFonts w:ascii="Arial" w:hAnsi="Arial" w:cs="Arial"/>
          <w:sz w:val="22"/>
          <w:szCs w:val="22"/>
        </w:rPr>
        <w:t>., 2019). Bowlby’s Attachment Theory can help explain why these experiences may have a particularly harmful effect, as adolescents have important emotional needs for acceptance, security and supportive relationships. When online experiences threaten these needs, young people may develop greater emotional difficulties and feel less socially secure.</w:t>
      </w:r>
    </w:p>
    <w:p w14:paraId="0588A6E9" w14:textId="77777777" w:rsidR="008A4138" w:rsidRPr="00FD5D7C" w:rsidRDefault="008A4138" w:rsidP="00FD5D7C">
      <w:pPr>
        <w:pStyle w:val="NormalWeb"/>
        <w:spacing w:line="360" w:lineRule="auto"/>
        <w:rPr>
          <w:rFonts w:ascii="Arial" w:hAnsi="Arial" w:cs="Arial"/>
          <w:sz w:val="22"/>
          <w:szCs w:val="22"/>
        </w:rPr>
      </w:pPr>
      <w:r w:rsidRPr="00FD5D7C">
        <w:rPr>
          <w:rFonts w:ascii="Arial" w:hAnsi="Arial" w:cs="Arial"/>
          <w:sz w:val="22"/>
          <w:szCs w:val="22"/>
        </w:rPr>
        <w:t xml:space="preserve">Additionally, excessive engagement with social media has been associated with poorer sleep quality, which may further influence adolescent mental health. Using social media during the night can interrupt normal sleeping routines and contribute to tiredness, difficulties with concentration and emotional problems (Viner </w:t>
      </w:r>
      <w:r w:rsidRPr="00FD5D7C">
        <w:rPr>
          <w:rStyle w:val="Emphasis"/>
          <w:rFonts w:ascii="Arial" w:hAnsi="Arial" w:cs="Arial"/>
          <w:sz w:val="22"/>
          <w:szCs w:val="22"/>
        </w:rPr>
        <w:t>et al</w:t>
      </w:r>
      <w:r w:rsidRPr="00FD5D7C">
        <w:rPr>
          <w:rFonts w:ascii="Arial" w:hAnsi="Arial" w:cs="Arial"/>
          <w:sz w:val="22"/>
          <w:szCs w:val="22"/>
        </w:rPr>
        <w:t>., 2019). Higher amounts of screen time have also been connected with reduced psychological wellbeing among children and adolescents, indicating that both the amount and way digital media is used may affect emotional outcomes (Twenge and Campbell, 2018). Nevertheless, social media use should not automatically be viewed as a direct cause of poor mental health. Its effects can vary according to the purpose of use, the quality of online relationships, individual resilience and the availability of supportive relationships. Therefore, developmental theories should be considered alongside broader social and environmental approaches when providing support to adolescents.</w:t>
      </w:r>
    </w:p>
    <w:p w14:paraId="6677F7CF" w14:textId="77777777" w:rsidR="008A4138" w:rsidRPr="00FD5D7C" w:rsidRDefault="008A4138" w:rsidP="00FD5D7C">
      <w:pPr>
        <w:pStyle w:val="NormalWeb"/>
        <w:spacing w:line="360" w:lineRule="auto"/>
        <w:rPr>
          <w:rFonts w:ascii="Arial" w:hAnsi="Arial" w:cs="Arial"/>
          <w:sz w:val="22"/>
          <w:szCs w:val="22"/>
        </w:rPr>
      </w:pPr>
      <w:r w:rsidRPr="00FD5D7C">
        <w:rPr>
          <w:rFonts w:ascii="Arial" w:hAnsi="Arial" w:cs="Arial"/>
          <w:sz w:val="22"/>
          <w:szCs w:val="22"/>
        </w:rPr>
        <w:t>Although Erikson’s Psychosocial Development Theory and Bowlby’s Attachment Theory offer useful explanations of adolescent behaviour and mental wellbeing, both have limitations when considering the effects of social media. Erikson’s theory is valuable because it emphasises identity development during adolescence and explains why young people can be highly influenced by peer opinions, feedback and social acceptance. However, the theory was established before digital technology became part of everyday life and therefore does not specifically address online environments, algorithms or digital forms of communication. Likewise, Bowlby’s Attachment Theory provides useful insight into emotional security and patterns of relationships, but it may focus more heavily on experiences formed during early childhood and give less consideration to wider influences such as culture, peer relationships and technological developments.</w:t>
      </w:r>
    </w:p>
    <w:p w14:paraId="116F970A" w14:textId="77777777" w:rsidR="00D55639" w:rsidRPr="00FD5D7C" w:rsidRDefault="00D55639" w:rsidP="00FD5D7C">
      <w:pPr>
        <w:pStyle w:val="isselectedend"/>
        <w:spacing w:line="360" w:lineRule="auto"/>
        <w:rPr>
          <w:rFonts w:ascii="Arial" w:hAnsi="Arial" w:cs="Arial"/>
          <w:sz w:val="22"/>
          <w:szCs w:val="22"/>
        </w:rPr>
      </w:pPr>
      <w:r w:rsidRPr="00FD5D7C">
        <w:rPr>
          <w:rFonts w:ascii="Arial" w:hAnsi="Arial" w:cs="Arial"/>
          <w:sz w:val="22"/>
          <w:szCs w:val="22"/>
        </w:rPr>
        <w:t xml:space="preserve">Despite these limitations, both theories remain relevant within health and social care practice. Understanding adolescent development allows professionals to recognise how social media experiences may influence emotional wellbeing, self-esteem and relationships. Health and social care practitioners can support young people by encouraging healthy online behaviours, strengthening social support networks and identifying signs of anxiety, depression or social isolation. A combined approach using developmental theories and </w:t>
      </w:r>
      <w:r w:rsidRPr="00FD5D7C">
        <w:rPr>
          <w:rFonts w:ascii="Arial" w:hAnsi="Arial" w:cs="Arial"/>
          <w:sz w:val="22"/>
          <w:szCs w:val="22"/>
        </w:rPr>
        <w:lastRenderedPageBreak/>
        <w:t>current research allows professionals to consider both individual experiences and wider environmental influences.</w:t>
      </w:r>
    </w:p>
    <w:p w14:paraId="010226D7" w14:textId="2D5F077B" w:rsidR="00D55639" w:rsidRPr="00FD5D7C" w:rsidRDefault="00C42665" w:rsidP="00FD5D7C">
      <w:pPr>
        <w:pStyle w:val="NormalWeb"/>
        <w:spacing w:line="360" w:lineRule="auto"/>
        <w:rPr>
          <w:rFonts w:ascii="Arial" w:hAnsi="Arial" w:cs="Arial"/>
          <w:sz w:val="22"/>
          <w:szCs w:val="22"/>
        </w:rPr>
      </w:pPr>
      <w:r w:rsidRPr="00FD5D7C">
        <w:rPr>
          <w:rFonts w:ascii="Arial" w:hAnsi="Arial" w:cs="Arial"/>
          <w:sz w:val="22"/>
          <w:szCs w:val="22"/>
        </w:rPr>
        <w:t>These theories can also provide insight when supporting older adults, although they were not specifically developed to explain later-life experiences</w:t>
      </w:r>
      <w:r w:rsidR="00D55639" w:rsidRPr="00FD5D7C">
        <w:rPr>
          <w:rFonts w:ascii="Arial" w:hAnsi="Arial" w:cs="Arial"/>
          <w:sz w:val="22"/>
          <w:szCs w:val="22"/>
        </w:rPr>
        <w:t>. Erikson’s later stage of psychosocial development, integrity versus despair, suggests that older adults reflect on their lives and seek a sense of meaning and acceptance. Supportive relationships, social inclusion and opportunities for meaningful activity can promote psychological wellbeing. Bowlby’s theory is also relevant because attachment needs continue throughout adulthood. Older adults experiencing bereavement, illness, loneliness or transitions into care settings may benefit from secure and supportive relationships with family members and health and social care professionals. However, these theories should be used alongside broader biopsychosocial approaches, as they do not fully explain physical health conditions, dementia or social inequalities that may affect older adults.</w:t>
      </w:r>
    </w:p>
    <w:p w14:paraId="4B22E99C" w14:textId="053B9B99" w:rsidR="00C42665" w:rsidRPr="00FD5D7C" w:rsidRDefault="00812560" w:rsidP="00FD5D7C">
      <w:pPr>
        <w:pStyle w:val="NormalWeb"/>
        <w:spacing w:line="360" w:lineRule="auto"/>
        <w:rPr>
          <w:rFonts w:ascii="Arial" w:hAnsi="Arial" w:cs="Arial"/>
          <w:sz w:val="22"/>
          <w:szCs w:val="22"/>
        </w:rPr>
      </w:pPr>
      <w:r w:rsidRPr="00FD5D7C">
        <w:rPr>
          <w:rFonts w:ascii="Arial" w:hAnsi="Arial" w:cs="Arial"/>
          <w:sz w:val="22"/>
          <w:szCs w:val="22"/>
        </w:rPr>
        <w:t xml:space="preserve">Overall, the evidence demonstrates that social media has a complex influence on adolescent mental health, with outcomes shaped by individual characteristics, the nature of online experiences and the availability of supportive relationships. </w:t>
      </w:r>
      <w:r w:rsidR="00C42665" w:rsidRPr="00FD5D7C">
        <w:rPr>
          <w:rFonts w:ascii="Arial" w:hAnsi="Arial" w:cs="Arial"/>
          <w:sz w:val="22"/>
          <w:szCs w:val="22"/>
        </w:rPr>
        <w:t>The evidence discussed suggests that social media may negatively affect wellbeing when it increases social comparison, exposure to cyberbullying, dependence on external validation and disruption to healthy routines. However, its impact is influenced by individual circumstances, the quality of online interactions and the availability of supportive relationships. Erikson’s Psychosocial Development Theory demonstrates the importance of identity formation during adolescence and explains why online feedback may strongly influence young people’s self-perception. Bowlby’s Attachment Theory further highlights how emotional security and relationships can affect responses to online experiences. Although both theories have limitations in explaining modern digital behaviour, they remain valuable for health and social care professionals by improving understanding of emotional</w:t>
      </w:r>
      <w:r w:rsidR="0005410F" w:rsidRPr="00FD5D7C">
        <w:rPr>
          <w:rFonts w:ascii="Arial" w:hAnsi="Arial" w:cs="Arial"/>
          <w:sz w:val="22"/>
          <w:szCs w:val="22"/>
        </w:rPr>
        <w:t xml:space="preserve"> </w:t>
      </w:r>
      <w:r w:rsidR="00C42665" w:rsidRPr="00FD5D7C">
        <w:rPr>
          <w:rFonts w:ascii="Arial" w:hAnsi="Arial" w:cs="Arial"/>
          <w:sz w:val="22"/>
          <w:szCs w:val="22"/>
        </w:rPr>
        <w:t>needs and supporting interventions that promote positive mental wellbeing across the lifespan.</w:t>
      </w:r>
    </w:p>
    <w:p w14:paraId="58BFED79" w14:textId="77777777" w:rsidR="00A67777" w:rsidRPr="00FD5D7C" w:rsidRDefault="00A67777" w:rsidP="00FD5D7C">
      <w:pPr>
        <w:pStyle w:val="isselectedend"/>
        <w:spacing w:line="360" w:lineRule="auto"/>
        <w:rPr>
          <w:rFonts w:ascii="Arial" w:hAnsi="Arial" w:cs="Arial"/>
          <w:sz w:val="22"/>
          <w:szCs w:val="22"/>
        </w:rPr>
      </w:pPr>
    </w:p>
    <w:p w14:paraId="43DF9631" w14:textId="77777777" w:rsidR="00A67777" w:rsidRPr="00FD5D7C" w:rsidRDefault="00A67777" w:rsidP="00FD5D7C">
      <w:pPr>
        <w:pStyle w:val="isselectedend"/>
        <w:spacing w:line="360" w:lineRule="auto"/>
        <w:rPr>
          <w:rFonts w:ascii="Arial" w:hAnsi="Arial" w:cs="Arial"/>
          <w:sz w:val="22"/>
          <w:szCs w:val="22"/>
        </w:rPr>
      </w:pPr>
    </w:p>
    <w:p w14:paraId="39399F29" w14:textId="77777777" w:rsidR="00A67777" w:rsidRPr="00FD5D7C" w:rsidRDefault="00A67777" w:rsidP="00FD5D7C">
      <w:pPr>
        <w:pStyle w:val="isselectedend"/>
        <w:spacing w:line="360" w:lineRule="auto"/>
        <w:rPr>
          <w:rFonts w:ascii="Arial" w:hAnsi="Arial" w:cs="Arial"/>
          <w:sz w:val="22"/>
          <w:szCs w:val="22"/>
        </w:rPr>
      </w:pPr>
    </w:p>
    <w:p w14:paraId="5D3E9123" w14:textId="77777777" w:rsidR="00A67777" w:rsidRPr="00FD5D7C" w:rsidRDefault="00A67777" w:rsidP="00FD5D7C">
      <w:pPr>
        <w:pStyle w:val="isselectedend"/>
        <w:spacing w:line="360" w:lineRule="auto"/>
        <w:rPr>
          <w:rFonts w:ascii="Arial" w:hAnsi="Arial" w:cs="Arial"/>
          <w:sz w:val="22"/>
          <w:szCs w:val="22"/>
        </w:rPr>
      </w:pPr>
    </w:p>
    <w:p w14:paraId="3B34736D" w14:textId="77777777" w:rsidR="00A67777" w:rsidRPr="00FD5D7C" w:rsidRDefault="00A67777" w:rsidP="00FD5D7C">
      <w:pPr>
        <w:pStyle w:val="isselectedend"/>
        <w:spacing w:line="360" w:lineRule="auto"/>
        <w:rPr>
          <w:rFonts w:ascii="Arial" w:hAnsi="Arial" w:cs="Arial"/>
          <w:sz w:val="22"/>
          <w:szCs w:val="22"/>
        </w:rPr>
      </w:pPr>
    </w:p>
    <w:p w14:paraId="0B7EC6EF" w14:textId="77777777" w:rsidR="008A4138" w:rsidRPr="00FD5D7C" w:rsidRDefault="008A4138" w:rsidP="00FD5D7C">
      <w:pPr>
        <w:pStyle w:val="isselectedend"/>
        <w:spacing w:line="360" w:lineRule="auto"/>
        <w:rPr>
          <w:rFonts w:ascii="Arial" w:hAnsi="Arial" w:cs="Arial"/>
          <w:sz w:val="22"/>
          <w:szCs w:val="22"/>
        </w:rPr>
      </w:pPr>
    </w:p>
    <w:p w14:paraId="5810C7B8" w14:textId="0AC03A07" w:rsidR="00A67777" w:rsidRPr="00FD5D7C" w:rsidRDefault="00A67777" w:rsidP="00FD5D7C">
      <w:pPr>
        <w:pStyle w:val="isselectedend"/>
        <w:spacing w:line="360" w:lineRule="auto"/>
        <w:rPr>
          <w:rFonts w:ascii="Arial" w:hAnsi="Arial" w:cs="Arial"/>
          <w:sz w:val="22"/>
          <w:szCs w:val="22"/>
        </w:rPr>
      </w:pPr>
      <w:r w:rsidRPr="00FD5D7C">
        <w:rPr>
          <w:rFonts w:ascii="Arial" w:hAnsi="Arial" w:cs="Arial"/>
          <w:sz w:val="22"/>
          <w:szCs w:val="22"/>
        </w:rPr>
        <w:t>REFERENCE LIST</w:t>
      </w:r>
    </w:p>
    <w:p w14:paraId="7F8A8C98" w14:textId="0A0C8F0D" w:rsidR="00374BE0" w:rsidRPr="00FD5D7C" w:rsidRDefault="00374BE0" w:rsidP="00FD5D7C">
      <w:pPr>
        <w:pStyle w:val="isselectedend"/>
        <w:spacing w:line="360" w:lineRule="auto"/>
        <w:rPr>
          <w:rFonts w:ascii="Arial" w:hAnsi="Arial" w:cs="Arial"/>
          <w:sz w:val="22"/>
          <w:szCs w:val="22"/>
        </w:rPr>
      </w:pPr>
      <w:r w:rsidRPr="00FD5D7C">
        <w:rPr>
          <w:rFonts w:ascii="Arial" w:hAnsi="Arial" w:cs="Arial"/>
          <w:sz w:val="22"/>
          <w:szCs w:val="22"/>
        </w:rPr>
        <w:t xml:space="preserve">Bowlby, J. (1969) </w:t>
      </w:r>
      <w:r w:rsidRPr="00FD5D7C">
        <w:rPr>
          <w:rStyle w:val="Emphasis"/>
          <w:rFonts w:ascii="Arial" w:hAnsi="Arial" w:cs="Arial"/>
          <w:sz w:val="22"/>
          <w:szCs w:val="22"/>
        </w:rPr>
        <w:t>Attachment and Loss: Volume 1: Attachment</w:t>
      </w:r>
      <w:r w:rsidRPr="00FD5D7C">
        <w:rPr>
          <w:rFonts w:ascii="Arial" w:hAnsi="Arial" w:cs="Arial"/>
          <w:sz w:val="22"/>
          <w:szCs w:val="22"/>
        </w:rPr>
        <w:t xml:space="preserve">. London: Hogarth Press. Available at: </w:t>
      </w:r>
      <w:hyperlink r:id="rId9" w:history="1">
        <w:r w:rsidRPr="00FD5D7C">
          <w:rPr>
            <w:rStyle w:val="Hyperlink"/>
            <w:rFonts w:ascii="Arial" w:hAnsi="Arial" w:cs="Arial"/>
            <w:sz w:val="22"/>
            <w:szCs w:val="22"/>
          </w:rPr>
          <w:t>https://books.google.com/books/about/Attachment_and_Loss.html?id=xwrzzwEACAAJ</w:t>
        </w:r>
      </w:hyperlink>
      <w:r w:rsidRPr="00FD5D7C">
        <w:rPr>
          <w:rFonts w:ascii="Arial" w:hAnsi="Arial" w:cs="Arial"/>
          <w:sz w:val="22"/>
          <w:szCs w:val="22"/>
        </w:rPr>
        <w:t xml:space="preserve"> (Accessed: </w:t>
      </w:r>
      <w:r w:rsidR="008A4138" w:rsidRPr="00FD5D7C">
        <w:rPr>
          <w:rFonts w:ascii="Arial" w:hAnsi="Arial" w:cs="Arial"/>
          <w:sz w:val="22"/>
          <w:szCs w:val="22"/>
        </w:rPr>
        <w:t>16 August</w:t>
      </w:r>
      <w:r w:rsidRPr="00FD5D7C">
        <w:rPr>
          <w:rFonts w:ascii="Arial" w:hAnsi="Arial" w:cs="Arial"/>
          <w:sz w:val="22"/>
          <w:szCs w:val="22"/>
        </w:rPr>
        <w:t xml:space="preserve"> 2026).</w:t>
      </w:r>
    </w:p>
    <w:p w14:paraId="01409F3B" w14:textId="32EEBAC4" w:rsidR="00374BE0" w:rsidRPr="00FD5D7C" w:rsidRDefault="00374BE0" w:rsidP="00FD5D7C">
      <w:pPr>
        <w:pStyle w:val="NormalWeb"/>
        <w:spacing w:line="360" w:lineRule="auto"/>
        <w:rPr>
          <w:rFonts w:ascii="Arial" w:hAnsi="Arial" w:cs="Arial"/>
          <w:sz w:val="22"/>
          <w:szCs w:val="22"/>
        </w:rPr>
      </w:pPr>
      <w:r w:rsidRPr="00FD5D7C">
        <w:rPr>
          <w:rFonts w:ascii="Arial" w:hAnsi="Arial" w:cs="Arial"/>
          <w:sz w:val="22"/>
          <w:szCs w:val="22"/>
        </w:rPr>
        <w:t xml:space="preserve">Erikson, E.H. (1968) </w:t>
      </w:r>
      <w:r w:rsidRPr="00FD5D7C">
        <w:rPr>
          <w:rStyle w:val="Emphasis"/>
          <w:rFonts w:ascii="Arial" w:hAnsi="Arial" w:cs="Arial"/>
          <w:sz w:val="22"/>
          <w:szCs w:val="22"/>
        </w:rPr>
        <w:t>Identity: Youth and Crisis</w:t>
      </w:r>
      <w:r w:rsidRPr="00FD5D7C">
        <w:rPr>
          <w:rFonts w:ascii="Arial" w:hAnsi="Arial" w:cs="Arial"/>
          <w:sz w:val="22"/>
          <w:szCs w:val="22"/>
        </w:rPr>
        <w:t xml:space="preserve">. New York: W.W. Norton &amp; Company. Available at: </w:t>
      </w:r>
      <w:hyperlink r:id="rId10" w:history="1">
        <w:r w:rsidRPr="00FD5D7C">
          <w:rPr>
            <w:rStyle w:val="Hyperlink"/>
            <w:rFonts w:ascii="Arial" w:hAnsi="Arial" w:cs="Arial"/>
            <w:sz w:val="22"/>
            <w:szCs w:val="22"/>
          </w:rPr>
          <w:t>https://books.google.com/books/about/Identity.html?id=aonjxwEACAAJ</w:t>
        </w:r>
      </w:hyperlink>
      <w:r w:rsidRPr="00FD5D7C">
        <w:rPr>
          <w:rFonts w:ascii="Arial" w:hAnsi="Arial" w:cs="Arial"/>
          <w:sz w:val="22"/>
          <w:szCs w:val="22"/>
        </w:rPr>
        <w:t xml:space="preserve"> (Accessed: </w:t>
      </w:r>
      <w:r w:rsidR="008A4138" w:rsidRPr="00FD5D7C">
        <w:rPr>
          <w:rFonts w:ascii="Arial" w:hAnsi="Arial" w:cs="Arial"/>
          <w:sz w:val="22"/>
          <w:szCs w:val="22"/>
        </w:rPr>
        <w:t>16 August</w:t>
      </w:r>
      <w:r w:rsidRPr="00FD5D7C">
        <w:rPr>
          <w:rFonts w:ascii="Arial" w:hAnsi="Arial" w:cs="Arial"/>
          <w:sz w:val="22"/>
          <w:szCs w:val="22"/>
        </w:rPr>
        <w:t xml:space="preserve"> 2026).</w:t>
      </w:r>
    </w:p>
    <w:p w14:paraId="3D9DF441" w14:textId="20C5EF88" w:rsidR="00A67777" w:rsidRPr="00FD5D7C" w:rsidRDefault="00374BE0" w:rsidP="00FD5D7C">
      <w:pPr>
        <w:pStyle w:val="isselectedend"/>
        <w:spacing w:line="360" w:lineRule="auto"/>
        <w:rPr>
          <w:rFonts w:ascii="Arial" w:hAnsi="Arial" w:cs="Arial"/>
          <w:sz w:val="22"/>
          <w:szCs w:val="22"/>
        </w:rPr>
      </w:pPr>
      <w:r w:rsidRPr="00FD5D7C">
        <w:rPr>
          <w:rFonts w:ascii="Arial" w:hAnsi="Arial" w:cs="Arial"/>
          <w:sz w:val="22"/>
          <w:szCs w:val="22"/>
        </w:rPr>
        <w:t xml:space="preserve">Keles, B., McCrae, N. and Grealish, A. (2020) ‘A systematic review: The influence of social media on depression, anxiety and psychological distress in adolescents’, </w:t>
      </w:r>
      <w:r w:rsidRPr="00FD5D7C">
        <w:rPr>
          <w:rStyle w:val="Emphasis"/>
          <w:rFonts w:ascii="Arial" w:hAnsi="Arial" w:cs="Arial"/>
          <w:sz w:val="22"/>
          <w:szCs w:val="22"/>
        </w:rPr>
        <w:t>International Journal of Adolescence and Youth</w:t>
      </w:r>
      <w:r w:rsidRPr="00FD5D7C">
        <w:rPr>
          <w:rFonts w:ascii="Arial" w:hAnsi="Arial" w:cs="Arial"/>
          <w:sz w:val="22"/>
          <w:szCs w:val="22"/>
        </w:rPr>
        <w:t xml:space="preserve">, 25(1), pp. 79–93. Available at: </w:t>
      </w:r>
      <w:hyperlink r:id="rId11" w:history="1">
        <w:r w:rsidRPr="00FD5D7C">
          <w:rPr>
            <w:rStyle w:val="Hyperlink"/>
            <w:rFonts w:ascii="Arial" w:hAnsi="Arial" w:cs="Arial"/>
            <w:sz w:val="22"/>
            <w:szCs w:val="22"/>
          </w:rPr>
          <w:t>https://doi.org/10.1080/02673843.2019.1590851</w:t>
        </w:r>
      </w:hyperlink>
      <w:r w:rsidRPr="00FD5D7C">
        <w:rPr>
          <w:rFonts w:ascii="Arial" w:hAnsi="Arial" w:cs="Arial"/>
          <w:sz w:val="22"/>
          <w:szCs w:val="22"/>
        </w:rPr>
        <w:t xml:space="preserve"> (Accessed: </w:t>
      </w:r>
      <w:r w:rsidR="008A4138" w:rsidRPr="00FD5D7C">
        <w:rPr>
          <w:rFonts w:ascii="Arial" w:hAnsi="Arial" w:cs="Arial"/>
          <w:sz w:val="22"/>
          <w:szCs w:val="22"/>
        </w:rPr>
        <w:t xml:space="preserve">16 August </w:t>
      </w:r>
      <w:r w:rsidRPr="00FD5D7C">
        <w:rPr>
          <w:rFonts w:ascii="Arial" w:hAnsi="Arial" w:cs="Arial"/>
          <w:sz w:val="22"/>
          <w:szCs w:val="22"/>
        </w:rPr>
        <w:t>2026).</w:t>
      </w:r>
      <w:r w:rsidR="00A67777" w:rsidRPr="00FD5D7C">
        <w:rPr>
          <w:rFonts w:ascii="Arial" w:hAnsi="Arial" w:cs="Arial"/>
          <w:sz w:val="22"/>
          <w:szCs w:val="22"/>
        </w:rPr>
        <w:t xml:space="preserve"> </w:t>
      </w:r>
    </w:p>
    <w:p w14:paraId="2CD565B2" w14:textId="40D10A53" w:rsidR="00374BE0" w:rsidRPr="00FD5D7C" w:rsidRDefault="00374BE0" w:rsidP="00FD5D7C">
      <w:pPr>
        <w:pStyle w:val="isselectedend"/>
        <w:spacing w:line="360" w:lineRule="auto"/>
        <w:rPr>
          <w:rFonts w:ascii="Arial" w:hAnsi="Arial" w:cs="Arial"/>
          <w:sz w:val="22"/>
          <w:szCs w:val="22"/>
        </w:rPr>
      </w:pPr>
      <w:r w:rsidRPr="00FD5D7C">
        <w:rPr>
          <w:rFonts w:ascii="Arial" w:hAnsi="Arial" w:cs="Arial"/>
          <w:sz w:val="22"/>
          <w:szCs w:val="22"/>
        </w:rPr>
        <w:t xml:space="preserve">Odgers, C.L. and Jensen, M.R. (2020) ‘Annual Research Review: Adolescent mental health in the digital age: Facts, fears, and future directions’, </w:t>
      </w:r>
      <w:r w:rsidRPr="00FD5D7C">
        <w:rPr>
          <w:rStyle w:val="Emphasis"/>
          <w:rFonts w:ascii="Arial" w:hAnsi="Arial" w:cs="Arial"/>
          <w:sz w:val="22"/>
          <w:szCs w:val="22"/>
        </w:rPr>
        <w:t>Journal of Child Psychology and Psychiatry</w:t>
      </w:r>
      <w:r w:rsidRPr="00FD5D7C">
        <w:rPr>
          <w:rFonts w:ascii="Arial" w:hAnsi="Arial" w:cs="Arial"/>
          <w:sz w:val="22"/>
          <w:szCs w:val="22"/>
        </w:rPr>
        <w:t xml:space="preserve">, 61(3), pp. 336–348. Available at: </w:t>
      </w:r>
      <w:hyperlink r:id="rId12" w:history="1">
        <w:r w:rsidRPr="00FD5D7C">
          <w:rPr>
            <w:rStyle w:val="Hyperlink"/>
            <w:rFonts w:ascii="Arial" w:hAnsi="Arial" w:cs="Arial"/>
            <w:sz w:val="22"/>
            <w:szCs w:val="22"/>
          </w:rPr>
          <w:t>https://doi.org/10.1111/jcpp.13190</w:t>
        </w:r>
      </w:hyperlink>
      <w:r w:rsidRPr="00FD5D7C">
        <w:rPr>
          <w:rFonts w:ascii="Arial" w:hAnsi="Arial" w:cs="Arial"/>
          <w:sz w:val="22"/>
          <w:szCs w:val="22"/>
        </w:rPr>
        <w:t xml:space="preserve"> (Accessed: </w:t>
      </w:r>
      <w:r w:rsidR="008A4138" w:rsidRPr="00FD5D7C">
        <w:rPr>
          <w:rFonts w:ascii="Arial" w:hAnsi="Arial" w:cs="Arial"/>
          <w:sz w:val="22"/>
          <w:szCs w:val="22"/>
        </w:rPr>
        <w:t xml:space="preserve">16 August </w:t>
      </w:r>
      <w:r w:rsidRPr="00FD5D7C">
        <w:rPr>
          <w:rFonts w:ascii="Arial" w:hAnsi="Arial" w:cs="Arial"/>
          <w:sz w:val="22"/>
          <w:szCs w:val="22"/>
        </w:rPr>
        <w:t>2026).</w:t>
      </w:r>
    </w:p>
    <w:p w14:paraId="11AB31E3" w14:textId="47A086D9" w:rsidR="00374BE0" w:rsidRPr="00FD5D7C" w:rsidRDefault="00374BE0" w:rsidP="00FD5D7C">
      <w:pPr>
        <w:pStyle w:val="isselectedend"/>
        <w:spacing w:line="360" w:lineRule="auto"/>
        <w:rPr>
          <w:rFonts w:ascii="Arial" w:hAnsi="Arial" w:cs="Arial"/>
          <w:sz w:val="22"/>
          <w:szCs w:val="22"/>
        </w:rPr>
      </w:pPr>
      <w:r w:rsidRPr="00FD5D7C">
        <w:rPr>
          <w:rFonts w:ascii="Arial" w:hAnsi="Arial" w:cs="Arial"/>
          <w:sz w:val="22"/>
          <w:szCs w:val="22"/>
        </w:rPr>
        <w:t xml:space="preserve">Twenge, J.M. and Campbell, W.K. (2018) ‘Associations between screen time and lower psychological well-being among children and adolescents: Evidence from a population-based study’, </w:t>
      </w:r>
      <w:r w:rsidRPr="00FD5D7C">
        <w:rPr>
          <w:rStyle w:val="Emphasis"/>
          <w:rFonts w:ascii="Arial" w:hAnsi="Arial" w:cs="Arial"/>
          <w:sz w:val="22"/>
          <w:szCs w:val="22"/>
        </w:rPr>
        <w:t>Preventive Medicine Reports</w:t>
      </w:r>
      <w:r w:rsidRPr="00FD5D7C">
        <w:rPr>
          <w:rFonts w:ascii="Arial" w:hAnsi="Arial" w:cs="Arial"/>
          <w:sz w:val="22"/>
          <w:szCs w:val="22"/>
        </w:rPr>
        <w:t xml:space="preserve">, 12, pp. 271–283. Available at: </w:t>
      </w:r>
      <w:hyperlink r:id="rId13" w:history="1">
        <w:r w:rsidRPr="00FD5D7C">
          <w:rPr>
            <w:rStyle w:val="Hyperlink"/>
            <w:rFonts w:ascii="Arial" w:hAnsi="Arial" w:cs="Arial"/>
            <w:sz w:val="22"/>
            <w:szCs w:val="22"/>
          </w:rPr>
          <w:t>https://doi.org/10.1016/j.pmedr.2018.10.003</w:t>
        </w:r>
      </w:hyperlink>
      <w:r w:rsidRPr="00FD5D7C">
        <w:rPr>
          <w:rFonts w:ascii="Arial" w:hAnsi="Arial" w:cs="Arial"/>
          <w:sz w:val="22"/>
          <w:szCs w:val="22"/>
        </w:rPr>
        <w:t xml:space="preserve"> (Accessed: </w:t>
      </w:r>
      <w:r w:rsidR="008A4138" w:rsidRPr="00FD5D7C">
        <w:rPr>
          <w:rFonts w:ascii="Arial" w:hAnsi="Arial" w:cs="Arial"/>
          <w:sz w:val="22"/>
          <w:szCs w:val="22"/>
        </w:rPr>
        <w:t xml:space="preserve">16 August </w:t>
      </w:r>
      <w:r w:rsidRPr="00FD5D7C">
        <w:rPr>
          <w:rFonts w:ascii="Arial" w:hAnsi="Arial" w:cs="Arial"/>
          <w:sz w:val="22"/>
          <w:szCs w:val="22"/>
        </w:rPr>
        <w:t>2026).</w:t>
      </w:r>
    </w:p>
    <w:p w14:paraId="6FA58B3B" w14:textId="693A0C4B" w:rsidR="00374BE0" w:rsidRPr="00FD5D7C" w:rsidRDefault="00374BE0" w:rsidP="00FD5D7C">
      <w:pPr>
        <w:pStyle w:val="NormalWeb"/>
        <w:spacing w:line="360" w:lineRule="auto"/>
        <w:rPr>
          <w:rFonts w:ascii="Arial" w:hAnsi="Arial" w:cs="Arial"/>
          <w:sz w:val="22"/>
          <w:szCs w:val="22"/>
        </w:rPr>
      </w:pPr>
      <w:r w:rsidRPr="00FD5D7C">
        <w:rPr>
          <w:rFonts w:ascii="Arial" w:hAnsi="Arial" w:cs="Arial"/>
          <w:sz w:val="22"/>
          <w:szCs w:val="22"/>
        </w:rPr>
        <w:t xml:space="preserve">Viner, R.M., Gireesh, A., Stiglic, N., Hudson, L.D., Goddings, A.L., Ward, J.L. and Nicholls, D.E. (2019) ‘Roles of cyberbullying, sleep, and physical activity in mediating the effects of social media use on mental health and wellbeing among young people in England: A secondary analysis of longitudinal data’, </w:t>
      </w:r>
      <w:r w:rsidRPr="00FD5D7C">
        <w:rPr>
          <w:rStyle w:val="Emphasis"/>
          <w:rFonts w:ascii="Arial" w:hAnsi="Arial" w:cs="Arial"/>
          <w:sz w:val="22"/>
          <w:szCs w:val="22"/>
        </w:rPr>
        <w:t>The Lancet Child &amp; Adolescent Health</w:t>
      </w:r>
      <w:r w:rsidRPr="00FD5D7C">
        <w:rPr>
          <w:rFonts w:ascii="Arial" w:hAnsi="Arial" w:cs="Arial"/>
          <w:sz w:val="22"/>
          <w:szCs w:val="22"/>
        </w:rPr>
        <w:t xml:space="preserve">, 3(10), pp. 685–696. Available at: </w:t>
      </w:r>
      <w:hyperlink r:id="rId14" w:history="1">
        <w:r w:rsidRPr="00FD5D7C">
          <w:rPr>
            <w:rStyle w:val="Hyperlink"/>
            <w:rFonts w:ascii="Arial" w:hAnsi="Arial" w:cs="Arial"/>
            <w:sz w:val="22"/>
            <w:szCs w:val="22"/>
          </w:rPr>
          <w:t>https://doi.org/10.1016/S2352-4642(19)30186-5</w:t>
        </w:r>
      </w:hyperlink>
      <w:r w:rsidRPr="00FD5D7C">
        <w:rPr>
          <w:rFonts w:ascii="Arial" w:hAnsi="Arial" w:cs="Arial"/>
          <w:sz w:val="22"/>
          <w:szCs w:val="22"/>
        </w:rPr>
        <w:t xml:space="preserve"> (Accessed: </w:t>
      </w:r>
      <w:r w:rsidR="008A4138" w:rsidRPr="00FD5D7C">
        <w:rPr>
          <w:rFonts w:ascii="Arial" w:hAnsi="Arial" w:cs="Arial"/>
          <w:sz w:val="22"/>
          <w:szCs w:val="22"/>
        </w:rPr>
        <w:t xml:space="preserve">16 August </w:t>
      </w:r>
      <w:r w:rsidRPr="00FD5D7C">
        <w:rPr>
          <w:rFonts w:ascii="Arial" w:hAnsi="Arial" w:cs="Arial"/>
          <w:sz w:val="22"/>
          <w:szCs w:val="22"/>
        </w:rPr>
        <w:t>2026).</w:t>
      </w:r>
    </w:p>
    <w:p w14:paraId="23385528" w14:textId="77777777" w:rsidR="00C57740" w:rsidRPr="008A4138" w:rsidRDefault="00C57740" w:rsidP="008A4138">
      <w:pPr>
        <w:spacing w:line="276" w:lineRule="auto"/>
        <w:rPr>
          <w:rFonts w:ascii="Arial" w:hAnsi="Arial" w:cs="Arial"/>
          <w:sz w:val="22"/>
          <w:szCs w:val="22"/>
        </w:rPr>
      </w:pPr>
    </w:p>
    <w:sectPr w:rsidR="00C57740" w:rsidRPr="008A4138">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20182" w14:textId="77777777" w:rsidR="0057513E" w:rsidRDefault="0057513E" w:rsidP="00305C31">
      <w:pPr>
        <w:spacing w:after="0" w:line="240" w:lineRule="auto"/>
      </w:pPr>
      <w:r>
        <w:separator/>
      </w:r>
    </w:p>
  </w:endnote>
  <w:endnote w:type="continuationSeparator" w:id="0">
    <w:p w14:paraId="6727B2D7" w14:textId="77777777" w:rsidR="0057513E" w:rsidRDefault="0057513E" w:rsidP="00305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ABF492" w14:textId="77777777" w:rsidR="008B36E8" w:rsidRDefault="008B36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3659576"/>
      <w:docPartObj>
        <w:docPartGallery w:val="Page Numbers (Bottom of Page)"/>
        <w:docPartUnique/>
      </w:docPartObj>
    </w:sdtPr>
    <w:sdtContent>
      <w:p w14:paraId="6A2FB2C4" w14:textId="269A566A" w:rsidR="008B36E8" w:rsidRDefault="008B36E8">
        <w:pPr>
          <w:pStyle w:val="Footer"/>
          <w:jc w:val="right"/>
        </w:pPr>
        <w:r>
          <w:fldChar w:fldCharType="begin"/>
        </w:r>
        <w:r>
          <w:instrText>PAGE   \* MERGEFORMAT</w:instrText>
        </w:r>
        <w:r>
          <w:fldChar w:fldCharType="separate"/>
        </w:r>
        <w:r>
          <w:t>2</w:t>
        </w:r>
        <w:r>
          <w:fldChar w:fldCharType="end"/>
        </w:r>
      </w:p>
    </w:sdtContent>
  </w:sdt>
  <w:p w14:paraId="67325C87" w14:textId="77777777" w:rsidR="008B36E8" w:rsidRDefault="008B36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0B2FA6" w14:textId="77777777" w:rsidR="008B36E8" w:rsidRDefault="008B36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86D8B" w14:textId="77777777" w:rsidR="0057513E" w:rsidRDefault="0057513E" w:rsidP="00305C31">
      <w:pPr>
        <w:spacing w:after="0" w:line="240" w:lineRule="auto"/>
      </w:pPr>
      <w:r>
        <w:separator/>
      </w:r>
    </w:p>
  </w:footnote>
  <w:footnote w:type="continuationSeparator" w:id="0">
    <w:p w14:paraId="050E26E7" w14:textId="77777777" w:rsidR="0057513E" w:rsidRDefault="0057513E" w:rsidP="00305C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06F3AC" w14:textId="77777777" w:rsidR="008B36E8" w:rsidRDefault="008B36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896F27" w14:textId="77777777" w:rsidR="008B36E8" w:rsidRDefault="008B36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619B99" w14:textId="77777777" w:rsidR="008B36E8" w:rsidRDefault="008B36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639"/>
    <w:rsid w:val="00007AD6"/>
    <w:rsid w:val="00030FF9"/>
    <w:rsid w:val="0005410F"/>
    <w:rsid w:val="00070499"/>
    <w:rsid w:val="000714FC"/>
    <w:rsid w:val="00305C31"/>
    <w:rsid w:val="00374BE0"/>
    <w:rsid w:val="00570BB0"/>
    <w:rsid w:val="0057513E"/>
    <w:rsid w:val="005C19FC"/>
    <w:rsid w:val="005F4B3B"/>
    <w:rsid w:val="0077081B"/>
    <w:rsid w:val="007909F5"/>
    <w:rsid w:val="007A5B3C"/>
    <w:rsid w:val="00812560"/>
    <w:rsid w:val="00842EAA"/>
    <w:rsid w:val="008A4138"/>
    <w:rsid w:val="008B36E8"/>
    <w:rsid w:val="009A437F"/>
    <w:rsid w:val="009B4CB7"/>
    <w:rsid w:val="00A13EAA"/>
    <w:rsid w:val="00A66941"/>
    <w:rsid w:val="00A67777"/>
    <w:rsid w:val="00A7332A"/>
    <w:rsid w:val="00C41DFD"/>
    <w:rsid w:val="00C42665"/>
    <w:rsid w:val="00C57740"/>
    <w:rsid w:val="00D55639"/>
    <w:rsid w:val="00D83332"/>
    <w:rsid w:val="00DC0366"/>
    <w:rsid w:val="00F47BE9"/>
    <w:rsid w:val="00F647B4"/>
    <w:rsid w:val="00FC5FC4"/>
    <w:rsid w:val="00FD5D7C"/>
    <w:rsid w:val="00FD7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653AE5"/>
  <w15:chartTrackingRefBased/>
  <w15:docId w15:val="{14628163-1AC1-428A-AFE5-7247D67C3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6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56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56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56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56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56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6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6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6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6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56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56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56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56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56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6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6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639"/>
    <w:rPr>
      <w:rFonts w:eastAsiaTheme="majorEastAsia" w:cstheme="majorBidi"/>
      <w:color w:val="272727" w:themeColor="text1" w:themeTint="D8"/>
    </w:rPr>
  </w:style>
  <w:style w:type="paragraph" w:styleId="Title">
    <w:name w:val="Title"/>
    <w:basedOn w:val="Normal"/>
    <w:next w:val="Normal"/>
    <w:link w:val="TitleChar"/>
    <w:uiPriority w:val="10"/>
    <w:qFormat/>
    <w:rsid w:val="00D556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6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6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6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639"/>
    <w:pPr>
      <w:spacing w:before="160"/>
      <w:jc w:val="center"/>
    </w:pPr>
    <w:rPr>
      <w:i/>
      <w:iCs/>
      <w:color w:val="404040" w:themeColor="text1" w:themeTint="BF"/>
    </w:rPr>
  </w:style>
  <w:style w:type="character" w:customStyle="1" w:styleId="QuoteChar">
    <w:name w:val="Quote Char"/>
    <w:basedOn w:val="DefaultParagraphFont"/>
    <w:link w:val="Quote"/>
    <w:uiPriority w:val="29"/>
    <w:rsid w:val="00D55639"/>
    <w:rPr>
      <w:i/>
      <w:iCs/>
      <w:color w:val="404040" w:themeColor="text1" w:themeTint="BF"/>
    </w:rPr>
  </w:style>
  <w:style w:type="paragraph" w:styleId="ListParagraph">
    <w:name w:val="List Paragraph"/>
    <w:basedOn w:val="Normal"/>
    <w:uiPriority w:val="34"/>
    <w:qFormat/>
    <w:rsid w:val="00D55639"/>
    <w:pPr>
      <w:ind w:left="720"/>
      <w:contextualSpacing/>
    </w:pPr>
  </w:style>
  <w:style w:type="character" w:styleId="IntenseEmphasis">
    <w:name w:val="Intense Emphasis"/>
    <w:basedOn w:val="DefaultParagraphFont"/>
    <w:uiPriority w:val="21"/>
    <w:qFormat/>
    <w:rsid w:val="00D55639"/>
    <w:rPr>
      <w:i/>
      <w:iCs/>
      <w:color w:val="0F4761" w:themeColor="accent1" w:themeShade="BF"/>
    </w:rPr>
  </w:style>
  <w:style w:type="paragraph" w:styleId="IntenseQuote">
    <w:name w:val="Intense Quote"/>
    <w:basedOn w:val="Normal"/>
    <w:next w:val="Normal"/>
    <w:link w:val="IntenseQuoteChar"/>
    <w:uiPriority w:val="30"/>
    <w:qFormat/>
    <w:rsid w:val="00D556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5639"/>
    <w:rPr>
      <w:i/>
      <w:iCs/>
      <w:color w:val="0F4761" w:themeColor="accent1" w:themeShade="BF"/>
    </w:rPr>
  </w:style>
  <w:style w:type="character" w:styleId="IntenseReference">
    <w:name w:val="Intense Reference"/>
    <w:basedOn w:val="DefaultParagraphFont"/>
    <w:uiPriority w:val="32"/>
    <w:qFormat/>
    <w:rsid w:val="00D55639"/>
    <w:rPr>
      <w:b/>
      <w:bCs/>
      <w:smallCaps/>
      <w:color w:val="0F4761" w:themeColor="accent1" w:themeShade="BF"/>
      <w:spacing w:val="5"/>
    </w:rPr>
  </w:style>
  <w:style w:type="paragraph" w:customStyle="1" w:styleId="isselectedend">
    <w:name w:val="isselectedend"/>
    <w:basedOn w:val="Normal"/>
    <w:rsid w:val="00D556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55639"/>
    <w:rPr>
      <w:i/>
      <w:iCs/>
    </w:rPr>
  </w:style>
  <w:style w:type="paragraph" w:styleId="NormalWeb">
    <w:name w:val="Normal (Web)"/>
    <w:basedOn w:val="Normal"/>
    <w:uiPriority w:val="99"/>
    <w:semiHidden/>
    <w:unhideWhenUsed/>
    <w:rsid w:val="00D556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374BE0"/>
    <w:rPr>
      <w:color w:val="0000FF"/>
      <w:u w:val="single"/>
    </w:rPr>
  </w:style>
  <w:style w:type="character" w:styleId="FollowedHyperlink">
    <w:name w:val="FollowedHyperlink"/>
    <w:basedOn w:val="DefaultParagraphFont"/>
    <w:uiPriority w:val="99"/>
    <w:semiHidden/>
    <w:unhideWhenUsed/>
    <w:rsid w:val="00374BE0"/>
    <w:rPr>
      <w:color w:val="96607D" w:themeColor="followedHyperlink"/>
      <w:u w:val="single"/>
    </w:rPr>
  </w:style>
  <w:style w:type="paragraph" w:styleId="Header">
    <w:name w:val="header"/>
    <w:basedOn w:val="Normal"/>
    <w:link w:val="HeaderChar"/>
    <w:uiPriority w:val="99"/>
    <w:unhideWhenUsed/>
    <w:rsid w:val="00305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C31"/>
  </w:style>
  <w:style w:type="paragraph" w:styleId="Footer">
    <w:name w:val="footer"/>
    <w:basedOn w:val="Normal"/>
    <w:link w:val="FooterChar"/>
    <w:uiPriority w:val="99"/>
    <w:unhideWhenUsed/>
    <w:rsid w:val="00305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C31"/>
  </w:style>
  <w:style w:type="paragraph" w:customStyle="1" w:styleId="pdq2pgselectionanchorcontainer">
    <w:name w:val="pdq2pg_selectionanchorcontainer"/>
    <w:basedOn w:val="Normal"/>
    <w:rsid w:val="008A413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16/j.pmedr.2018.10.003"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11/jcpp.1319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2673843.2019.1590851"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books.google.com/books/about/Identity.html?id=aonjxwEACAAJ"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books.google.com/books/about/Attachment_and_Loss.html?id=xwrzzwEACAAJ" TargetMode="External"/><Relationship Id="rId14" Type="http://schemas.openxmlformats.org/officeDocument/2006/relationships/hyperlink" Target="https://doi.org/10.1016/S2352-4642(19)30186-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0D7ED-DF4D-4314-983B-FAF29F5BF0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6</Pages>
  <Words>2222</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Snejana Radu (2512090)</dc:creator>
  <cp:keywords/>
  <dc:description/>
  <cp:lastModifiedBy>Snejana Radu (2512090)</cp:lastModifiedBy>
  <cp:revision>13</cp:revision>
  <dcterms:created xsi:type="dcterms:W3CDTF">2026-07-28T21:16:00Z</dcterms:created>
  <dcterms:modified xsi:type="dcterms:W3CDTF">2026-08-17T22:45:00Z</dcterms:modified>
</cp:coreProperties>
</file>