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B5F04" w:rsidRPr="00E0610F" w:rsidRDefault="001B5F04" w:rsidP="003134E1">
      <w:pPr>
        <w:rPr>
          <w:rFonts w:cs="Arial"/>
          <w:lang w:val="en-GB"/>
        </w:rPr>
      </w:pPr>
      <w:bookmarkStart w:id="0" w:name="_GoBack"/>
      <w:bookmarkEnd w:id="0"/>
      <w:r w:rsidRPr="00E0610F">
        <w:rPr>
          <w:rFonts w:cs="Arial"/>
          <w:noProof/>
          <w:lang w:val="en-GB" w:eastAsia="en-GB"/>
        </w:rPr>
        <w:drawing>
          <wp:inline distT="0" distB="0" distL="0" distR="0" wp14:anchorId="35AA8371" wp14:editId="69815912">
            <wp:extent cx="2082800" cy="85295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027" t="7849" r="5495" b="7780"/>
                    <a:stretch/>
                  </pic:blipFill>
                  <pic:spPr bwMode="auto">
                    <a:xfrm>
                      <a:off x="0" y="0"/>
                      <a:ext cx="2090838" cy="856248"/>
                    </a:xfrm>
                    <a:prstGeom prst="rect">
                      <a:avLst/>
                    </a:prstGeom>
                    <a:ln>
                      <a:noFill/>
                    </a:ln>
                    <a:extLst>
                      <a:ext uri="{53640926-AAD7-44D8-BBD7-CCE9431645EC}">
                        <a14:shadowObscured xmlns:a14="http://schemas.microsoft.com/office/drawing/2010/main"/>
                      </a:ext>
                    </a:extLst>
                  </pic:spPr>
                </pic:pic>
              </a:graphicData>
            </a:graphic>
          </wp:inline>
        </w:drawing>
      </w:r>
    </w:p>
    <w:p w:rsidR="006D2192" w:rsidRPr="00E0610F" w:rsidRDefault="006D2192" w:rsidP="003134E1">
      <w:pPr>
        <w:rPr>
          <w:rFonts w:cs="Arial"/>
          <w:lang w:val="en-GB"/>
        </w:rPr>
      </w:pPr>
    </w:p>
    <w:p w:rsidR="001B5F04" w:rsidRPr="00E0610F" w:rsidRDefault="001B5F04" w:rsidP="00E0610F">
      <w:pPr>
        <w:jc w:val="center"/>
        <w:rPr>
          <w:rFonts w:cs="Arial"/>
          <w:b/>
          <w:sz w:val="28"/>
          <w:szCs w:val="28"/>
          <w:lang w:val="en-GB"/>
        </w:rPr>
      </w:pPr>
      <w:r w:rsidRPr="00E0610F">
        <w:rPr>
          <w:rFonts w:cs="Arial"/>
          <w:b/>
          <w:sz w:val="28"/>
          <w:szCs w:val="28"/>
          <w:lang w:val="en-GB"/>
        </w:rPr>
        <w:t xml:space="preserve">Module Title: </w:t>
      </w:r>
      <w:r w:rsidRPr="00E0610F">
        <w:rPr>
          <w:rFonts w:cs="Arial"/>
          <w:sz w:val="28"/>
          <w:szCs w:val="28"/>
          <w:lang w:val="en-GB"/>
        </w:rPr>
        <w:t>Financial Management</w:t>
      </w:r>
    </w:p>
    <w:p w:rsidR="001B5F04" w:rsidRPr="00E0610F" w:rsidRDefault="001B5F04" w:rsidP="00E0610F">
      <w:pPr>
        <w:jc w:val="center"/>
        <w:rPr>
          <w:rFonts w:cs="Arial"/>
          <w:b/>
          <w:sz w:val="28"/>
          <w:szCs w:val="28"/>
          <w:lang w:val="en-GB"/>
        </w:rPr>
      </w:pPr>
      <w:r w:rsidRPr="00E0610F">
        <w:rPr>
          <w:rFonts w:cs="Arial"/>
          <w:b/>
          <w:sz w:val="28"/>
          <w:szCs w:val="28"/>
          <w:lang w:val="en-GB"/>
        </w:rPr>
        <w:t>Module Code:</w:t>
      </w:r>
      <w:r w:rsidR="006F4FC7" w:rsidRPr="00E0610F">
        <w:rPr>
          <w:b/>
          <w:sz w:val="28"/>
          <w:szCs w:val="28"/>
          <w:lang w:val="en-GB"/>
        </w:rPr>
        <w:t xml:space="preserve"> </w:t>
      </w:r>
      <w:r w:rsidR="006F4FC7" w:rsidRPr="00E0610F">
        <w:rPr>
          <w:rFonts w:cs="Arial"/>
          <w:sz w:val="28"/>
          <w:szCs w:val="28"/>
          <w:lang w:val="en-GB"/>
        </w:rPr>
        <w:t>LCMB7002</w:t>
      </w:r>
    </w:p>
    <w:p w:rsidR="004A5BAF" w:rsidRPr="00E0610F" w:rsidRDefault="001B5F04" w:rsidP="00E0610F">
      <w:pPr>
        <w:jc w:val="center"/>
        <w:rPr>
          <w:rFonts w:cs="Arial"/>
          <w:b/>
          <w:sz w:val="28"/>
          <w:szCs w:val="28"/>
          <w:lang w:val="en-GB"/>
        </w:rPr>
      </w:pPr>
      <w:r w:rsidRPr="00E0610F">
        <w:rPr>
          <w:rFonts w:cs="Arial"/>
          <w:b/>
          <w:sz w:val="28"/>
          <w:szCs w:val="28"/>
          <w:lang w:val="en-GB"/>
        </w:rPr>
        <w:t>Assignment Title:</w:t>
      </w:r>
    </w:p>
    <w:p w:rsidR="001B5F04" w:rsidRPr="00E0610F" w:rsidRDefault="001B5F04" w:rsidP="00E0610F">
      <w:pPr>
        <w:jc w:val="center"/>
        <w:rPr>
          <w:rFonts w:cs="Arial"/>
          <w:sz w:val="28"/>
          <w:szCs w:val="28"/>
          <w:lang w:val="en-GB"/>
        </w:rPr>
      </w:pPr>
      <w:r w:rsidRPr="00E0610F">
        <w:rPr>
          <w:rFonts w:cs="Arial"/>
          <w:sz w:val="28"/>
          <w:szCs w:val="28"/>
          <w:lang w:val="en-GB"/>
        </w:rPr>
        <w:t>Assessment component: Financial performance and management</w:t>
      </w:r>
    </w:p>
    <w:p w:rsidR="0047576A" w:rsidRPr="00E0610F" w:rsidRDefault="0047576A" w:rsidP="00E0610F">
      <w:pPr>
        <w:jc w:val="center"/>
        <w:rPr>
          <w:rFonts w:cs="Arial"/>
          <w:b/>
          <w:sz w:val="28"/>
          <w:szCs w:val="28"/>
          <w:lang w:val="en-GB"/>
        </w:rPr>
      </w:pPr>
      <w:r w:rsidRPr="00E0610F">
        <w:rPr>
          <w:rFonts w:cs="Arial"/>
          <w:b/>
          <w:sz w:val="28"/>
          <w:szCs w:val="28"/>
          <w:lang w:val="en-GB"/>
        </w:rPr>
        <w:t xml:space="preserve">Organisation: </w:t>
      </w:r>
      <w:r w:rsidRPr="00E0610F">
        <w:rPr>
          <w:rFonts w:cs="Arial"/>
          <w:sz w:val="28"/>
          <w:szCs w:val="28"/>
          <w:lang w:val="en-GB"/>
        </w:rPr>
        <w:t>Tesla, Inc.</w:t>
      </w:r>
    </w:p>
    <w:p w:rsidR="006F4FC7" w:rsidRPr="00E0610F" w:rsidRDefault="006F4FC7" w:rsidP="00E0610F">
      <w:pPr>
        <w:jc w:val="center"/>
        <w:rPr>
          <w:rFonts w:cs="Arial"/>
          <w:b/>
          <w:sz w:val="28"/>
          <w:szCs w:val="28"/>
          <w:lang w:val="en-GB"/>
        </w:rPr>
      </w:pPr>
    </w:p>
    <w:p w:rsidR="001B5F04" w:rsidRPr="00E0610F" w:rsidRDefault="001B5F04" w:rsidP="00E0610F">
      <w:pPr>
        <w:jc w:val="center"/>
        <w:rPr>
          <w:rFonts w:cs="Arial"/>
          <w:b/>
          <w:sz w:val="28"/>
          <w:szCs w:val="28"/>
          <w:lang w:val="en-GB"/>
        </w:rPr>
      </w:pPr>
      <w:r w:rsidRPr="00E0610F">
        <w:rPr>
          <w:rFonts w:cs="Arial"/>
          <w:b/>
          <w:sz w:val="28"/>
          <w:szCs w:val="28"/>
          <w:lang w:val="en-GB"/>
        </w:rPr>
        <w:t>Student Name:</w:t>
      </w:r>
      <w:r w:rsidR="002E67E7" w:rsidRPr="00E0610F">
        <w:rPr>
          <w:sz w:val="28"/>
          <w:szCs w:val="28"/>
          <w:lang w:val="en-GB"/>
        </w:rPr>
        <w:t xml:space="preserve"> </w:t>
      </w:r>
      <w:r w:rsidR="002E67E7" w:rsidRPr="00E0610F">
        <w:rPr>
          <w:rFonts w:cs="Arial"/>
          <w:sz w:val="28"/>
          <w:szCs w:val="28"/>
          <w:lang w:val="en-GB"/>
        </w:rPr>
        <w:t>Mehedi Kobir</w:t>
      </w:r>
    </w:p>
    <w:p w:rsidR="001B5F04" w:rsidRPr="00E0610F" w:rsidRDefault="001B5F04" w:rsidP="00E0610F">
      <w:pPr>
        <w:jc w:val="center"/>
        <w:rPr>
          <w:rFonts w:cs="Arial"/>
          <w:b/>
          <w:sz w:val="28"/>
          <w:szCs w:val="28"/>
          <w:lang w:val="en-GB"/>
        </w:rPr>
      </w:pPr>
      <w:r w:rsidRPr="00E0610F">
        <w:rPr>
          <w:rFonts w:cs="Arial"/>
          <w:b/>
          <w:sz w:val="28"/>
          <w:szCs w:val="28"/>
          <w:lang w:val="en-GB"/>
        </w:rPr>
        <w:t>Student ID:</w:t>
      </w:r>
      <w:r w:rsidR="002D6EBF" w:rsidRPr="00E0610F">
        <w:rPr>
          <w:sz w:val="28"/>
          <w:szCs w:val="28"/>
          <w:lang w:val="en-GB"/>
        </w:rPr>
        <w:t xml:space="preserve"> </w:t>
      </w:r>
      <w:r w:rsidR="002D6EBF" w:rsidRPr="00E0610F">
        <w:rPr>
          <w:rFonts w:cs="Arial"/>
          <w:b/>
          <w:sz w:val="28"/>
          <w:szCs w:val="28"/>
          <w:lang w:val="en-GB"/>
        </w:rPr>
        <w:t>2521541</w:t>
      </w:r>
    </w:p>
    <w:p w:rsidR="001B5F04" w:rsidRPr="00E0610F" w:rsidRDefault="001B5F04" w:rsidP="00E0610F">
      <w:pPr>
        <w:jc w:val="center"/>
        <w:rPr>
          <w:rFonts w:cs="Arial"/>
          <w:b/>
          <w:sz w:val="28"/>
          <w:szCs w:val="28"/>
          <w:lang w:val="en-GB"/>
        </w:rPr>
      </w:pPr>
      <w:r w:rsidRPr="00E0610F">
        <w:rPr>
          <w:rFonts w:cs="Arial"/>
          <w:b/>
          <w:sz w:val="28"/>
          <w:szCs w:val="28"/>
          <w:lang w:val="en-GB"/>
        </w:rPr>
        <w:t>Programme:</w:t>
      </w:r>
      <w:r w:rsidR="006F4FC7" w:rsidRPr="00E0610F">
        <w:rPr>
          <w:b/>
          <w:sz w:val="28"/>
          <w:szCs w:val="28"/>
          <w:lang w:val="en-GB"/>
        </w:rPr>
        <w:t xml:space="preserve"> </w:t>
      </w:r>
      <w:r w:rsidR="006F4FC7" w:rsidRPr="00E0610F">
        <w:rPr>
          <w:rFonts w:cs="Arial"/>
          <w:sz w:val="28"/>
          <w:szCs w:val="28"/>
          <w:lang w:val="en-GB"/>
        </w:rPr>
        <w:t>Master of Business Administration</w:t>
      </w:r>
    </w:p>
    <w:p w:rsidR="006F4FC7" w:rsidRPr="00E0610F" w:rsidRDefault="006F4FC7" w:rsidP="00E0610F">
      <w:pPr>
        <w:jc w:val="center"/>
        <w:rPr>
          <w:rFonts w:cs="Arial"/>
          <w:b/>
          <w:sz w:val="28"/>
          <w:szCs w:val="28"/>
          <w:lang w:val="en-GB"/>
        </w:rPr>
      </w:pPr>
    </w:p>
    <w:p w:rsidR="001B5F04" w:rsidRPr="00E0610F" w:rsidRDefault="001B5F04" w:rsidP="00E0610F">
      <w:pPr>
        <w:jc w:val="center"/>
        <w:rPr>
          <w:rFonts w:cs="Arial"/>
          <w:b/>
          <w:sz w:val="28"/>
          <w:szCs w:val="28"/>
          <w:lang w:val="en-GB"/>
        </w:rPr>
      </w:pPr>
      <w:r w:rsidRPr="00E0610F">
        <w:rPr>
          <w:rFonts w:cs="Arial"/>
          <w:b/>
          <w:sz w:val="28"/>
          <w:szCs w:val="28"/>
          <w:lang w:val="en-GB"/>
        </w:rPr>
        <w:t>Submission Date:</w:t>
      </w:r>
      <w:r w:rsidR="006F4FC7" w:rsidRPr="00E0610F">
        <w:rPr>
          <w:b/>
          <w:sz w:val="28"/>
          <w:szCs w:val="28"/>
          <w:lang w:val="en-GB"/>
        </w:rPr>
        <w:t xml:space="preserve"> </w:t>
      </w:r>
      <w:r w:rsidR="006F4FC7" w:rsidRPr="00E0610F">
        <w:rPr>
          <w:rFonts w:cs="Arial"/>
          <w:sz w:val="28"/>
          <w:szCs w:val="28"/>
          <w:lang w:val="en-GB"/>
        </w:rPr>
        <w:t>24th April 2026</w:t>
      </w:r>
    </w:p>
    <w:p w:rsidR="001B5F04" w:rsidRPr="00E0610F" w:rsidRDefault="001B5F04" w:rsidP="00E0610F">
      <w:pPr>
        <w:jc w:val="center"/>
        <w:rPr>
          <w:rFonts w:cs="Arial"/>
          <w:b/>
          <w:sz w:val="28"/>
          <w:szCs w:val="28"/>
          <w:lang w:val="en-GB"/>
        </w:rPr>
      </w:pPr>
      <w:r w:rsidRPr="00E0610F">
        <w:rPr>
          <w:rFonts w:cs="Arial"/>
          <w:b/>
          <w:sz w:val="28"/>
          <w:szCs w:val="28"/>
          <w:lang w:val="en-GB"/>
        </w:rPr>
        <w:t>Word Count:</w:t>
      </w:r>
      <w:r w:rsidR="004A5BAF" w:rsidRPr="00E0610F">
        <w:rPr>
          <w:rFonts w:cs="Arial"/>
          <w:b/>
          <w:sz w:val="28"/>
          <w:szCs w:val="28"/>
          <w:lang w:val="en-GB"/>
        </w:rPr>
        <w:t xml:space="preserve"> </w:t>
      </w:r>
      <w:r w:rsidR="002D6EBF" w:rsidRPr="00E0610F">
        <w:rPr>
          <w:rFonts w:cs="Arial"/>
          <w:sz w:val="28"/>
          <w:szCs w:val="28"/>
          <w:lang w:val="en-GB"/>
        </w:rPr>
        <w:t>5408</w:t>
      </w:r>
    </w:p>
    <w:p w:rsidR="00BA4093" w:rsidRPr="00E0610F" w:rsidRDefault="00BA4093" w:rsidP="003134E1">
      <w:pPr>
        <w:rPr>
          <w:rFonts w:cs="Arial"/>
          <w:lang w:val="en-GB"/>
        </w:rPr>
      </w:pPr>
      <w:r w:rsidRPr="00E0610F">
        <w:rPr>
          <w:rFonts w:cs="Arial"/>
          <w:lang w:val="en-GB"/>
        </w:rPr>
        <w:br w:type="page"/>
      </w:r>
    </w:p>
    <w:sdt>
      <w:sdtPr>
        <w:rPr>
          <w:rFonts w:ascii="Arial" w:eastAsiaTheme="minorHAnsi" w:hAnsi="Arial" w:cstheme="minorBidi"/>
          <w:color w:val="auto"/>
          <w:sz w:val="24"/>
          <w:szCs w:val="22"/>
          <w:lang w:val="en-GB"/>
        </w:rPr>
        <w:id w:val="1870728898"/>
        <w:docPartObj>
          <w:docPartGallery w:val="Table of Contents"/>
          <w:docPartUnique/>
        </w:docPartObj>
      </w:sdtPr>
      <w:sdtEndPr>
        <w:rPr>
          <w:b/>
          <w:bCs/>
          <w:noProof/>
        </w:rPr>
      </w:sdtEndPr>
      <w:sdtContent>
        <w:p w:rsidR="006D2192" w:rsidRPr="00E0610F" w:rsidRDefault="006D2192" w:rsidP="006D2192">
          <w:pPr>
            <w:pStyle w:val="TOCHeading"/>
            <w:jc w:val="center"/>
            <w:rPr>
              <w:rFonts w:ascii="Arial" w:hAnsi="Arial" w:cs="Arial"/>
              <w:b/>
              <w:color w:val="auto"/>
              <w:lang w:val="en-GB"/>
            </w:rPr>
          </w:pPr>
          <w:r w:rsidRPr="00E0610F">
            <w:rPr>
              <w:rFonts w:ascii="Arial" w:hAnsi="Arial" w:cs="Arial"/>
              <w:b/>
              <w:color w:val="auto"/>
              <w:lang w:val="en-GB"/>
            </w:rPr>
            <w:t>Table of Contents</w:t>
          </w:r>
        </w:p>
        <w:p w:rsidR="006D2192" w:rsidRPr="00E0610F" w:rsidRDefault="006D2192" w:rsidP="006D2192">
          <w:pPr>
            <w:pStyle w:val="TOC1"/>
            <w:tabs>
              <w:tab w:val="right" w:leader="dot" w:pos="9350"/>
            </w:tabs>
            <w:spacing w:after="0"/>
            <w:rPr>
              <w:rFonts w:eastAsiaTheme="minorEastAsia" w:cs="Arial"/>
              <w:noProof/>
              <w:szCs w:val="24"/>
              <w:lang w:val="en-GB" w:eastAsia="en-GB"/>
            </w:rPr>
          </w:pPr>
          <w:r w:rsidRPr="00E0610F">
            <w:rPr>
              <w:rFonts w:cs="Arial"/>
              <w:szCs w:val="24"/>
              <w:lang w:val="en-GB"/>
            </w:rPr>
            <w:fldChar w:fldCharType="begin"/>
          </w:r>
          <w:r w:rsidRPr="00E0610F">
            <w:rPr>
              <w:rFonts w:cs="Arial"/>
              <w:szCs w:val="24"/>
              <w:lang w:val="en-GB"/>
            </w:rPr>
            <w:instrText xml:space="preserve"> TOC \o "1-3" \h \z \u </w:instrText>
          </w:r>
          <w:r w:rsidRPr="00E0610F">
            <w:rPr>
              <w:rFonts w:cs="Arial"/>
              <w:szCs w:val="24"/>
              <w:lang w:val="en-GB"/>
            </w:rPr>
            <w:fldChar w:fldCharType="separate"/>
          </w:r>
          <w:hyperlink w:anchor="_Toc227762118" w:history="1">
            <w:r w:rsidRPr="00E0610F">
              <w:rPr>
                <w:rStyle w:val="Hyperlink"/>
                <w:rFonts w:cs="Arial"/>
                <w:noProof/>
                <w:color w:val="auto"/>
                <w:szCs w:val="24"/>
                <w:lang w:val="en-GB"/>
              </w:rPr>
              <w:t>1. Introduction</w:t>
            </w:r>
            <w:r w:rsidRPr="00E0610F">
              <w:rPr>
                <w:rFonts w:cs="Arial"/>
                <w:noProof/>
                <w:webHidden/>
                <w:szCs w:val="24"/>
                <w:lang w:val="en-GB"/>
              </w:rPr>
              <w:tab/>
            </w:r>
            <w:r w:rsidRPr="00E0610F">
              <w:rPr>
                <w:rFonts w:cs="Arial"/>
                <w:noProof/>
                <w:webHidden/>
                <w:szCs w:val="24"/>
                <w:lang w:val="en-GB"/>
              </w:rPr>
              <w:fldChar w:fldCharType="begin"/>
            </w:r>
            <w:r w:rsidRPr="00E0610F">
              <w:rPr>
                <w:rFonts w:cs="Arial"/>
                <w:noProof/>
                <w:webHidden/>
                <w:szCs w:val="24"/>
                <w:lang w:val="en-GB"/>
              </w:rPr>
              <w:instrText xml:space="preserve"> PAGEREF _Toc227762118 \h </w:instrText>
            </w:r>
            <w:r w:rsidRPr="00E0610F">
              <w:rPr>
                <w:rFonts w:cs="Arial"/>
                <w:noProof/>
                <w:webHidden/>
                <w:szCs w:val="24"/>
                <w:lang w:val="en-GB"/>
              </w:rPr>
            </w:r>
            <w:r w:rsidRPr="00E0610F">
              <w:rPr>
                <w:rFonts w:cs="Arial"/>
                <w:noProof/>
                <w:webHidden/>
                <w:szCs w:val="24"/>
                <w:lang w:val="en-GB"/>
              </w:rPr>
              <w:fldChar w:fldCharType="separate"/>
            </w:r>
            <w:r w:rsidR="00E0610F" w:rsidRPr="00E0610F">
              <w:rPr>
                <w:rFonts w:cs="Arial"/>
                <w:noProof/>
                <w:webHidden/>
                <w:szCs w:val="24"/>
                <w:lang w:val="en-GB"/>
              </w:rPr>
              <w:t>5</w:t>
            </w:r>
            <w:r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19" w:history="1">
            <w:r w:rsidR="006D2192" w:rsidRPr="00E0610F">
              <w:rPr>
                <w:rStyle w:val="Hyperlink"/>
                <w:rFonts w:cs="Arial"/>
                <w:noProof/>
                <w:color w:val="auto"/>
                <w:szCs w:val="24"/>
                <w:lang w:val="en-GB"/>
              </w:rPr>
              <w:t>2. Company Overview</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_Toc227762119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6</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20" w:history="1">
            <w:r w:rsidR="006D2192" w:rsidRPr="00E0610F">
              <w:rPr>
                <w:rStyle w:val="Hyperlink"/>
                <w:rFonts w:cs="Arial"/>
                <w:noProof/>
                <w:color w:val="auto"/>
                <w:szCs w:val="24"/>
                <w:lang w:val="en-GB"/>
              </w:rPr>
              <w:t>3. Financial Health Check</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_Toc227762120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7</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1" w:history="1">
            <w:r w:rsidR="006D2192" w:rsidRPr="00E0610F">
              <w:rPr>
                <w:rStyle w:val="Hyperlink"/>
                <w:rFonts w:cs="Arial"/>
                <w:noProof/>
                <w:color w:val="auto"/>
                <w:szCs w:val="24"/>
                <w:lang w:val="en-GB"/>
              </w:rPr>
              <w:t>3.1 Profitability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_Toc227762121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7</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2" w:history="1">
            <w:r w:rsidR="006D2192" w:rsidRPr="00E0610F">
              <w:rPr>
                <w:rStyle w:val="Hyperlink"/>
                <w:rFonts w:cs="Arial"/>
                <w:noProof/>
                <w:color w:val="auto"/>
                <w:szCs w:val="24"/>
                <w:lang w:val="en-GB"/>
              </w:rPr>
              <w:t>3.2 Liquidity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_Toc227762122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8</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3" w:history="1">
            <w:r w:rsidR="006D2192" w:rsidRPr="00E0610F">
              <w:rPr>
                <w:rStyle w:val="Hyperlink"/>
                <w:rFonts w:cs="Arial"/>
                <w:noProof/>
                <w:color w:val="auto"/>
                <w:szCs w:val="24"/>
                <w:lang w:val="en-GB"/>
              </w:rPr>
              <w:t>3.3 Efficiency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_Toc227762123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8</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4" w:history="1">
            <w:r w:rsidR="006D2192" w:rsidRPr="00E0610F">
              <w:rPr>
                <w:rStyle w:val="Hyperlink"/>
                <w:rFonts w:cs="Arial"/>
                <w:noProof/>
                <w:color w:val="auto"/>
                <w:szCs w:val="24"/>
                <w:lang w:val="en-GB"/>
              </w:rPr>
              <w:t>3.4 Gearing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_Toc227762124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9</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5" w:history="1">
            <w:r w:rsidR="006D2192" w:rsidRPr="00E0610F">
              <w:rPr>
                <w:rStyle w:val="Hyperlink"/>
                <w:rFonts w:cs="Arial"/>
                <w:noProof/>
                <w:color w:val="auto"/>
                <w:szCs w:val="24"/>
                <w:lang w:val="en-GB"/>
              </w:rPr>
              <w:t>3.5 Investment and Cash Flow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_Toc227762125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9</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6" w:history="1">
            <w:r w:rsidR="006D2192" w:rsidRPr="00E0610F">
              <w:rPr>
                <w:rStyle w:val="Hyperlink"/>
                <w:rFonts w:cs="Arial"/>
                <w:noProof/>
                <w:color w:val="auto"/>
                <w:szCs w:val="24"/>
                <w:lang w:val="en-GB"/>
              </w:rPr>
              <w:t>3.6 Financial Trends, Strengths and Threats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_Toc227762126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10</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27" w:history="1">
            <w:r w:rsidR="006D2192" w:rsidRPr="00E0610F">
              <w:rPr>
                <w:rStyle w:val="Hyperlink"/>
                <w:rFonts w:cs="Arial"/>
                <w:noProof/>
                <w:color w:val="auto"/>
                <w:szCs w:val="24"/>
                <w:lang w:val="en-GB"/>
              </w:rPr>
              <w:t>4. Working Capital Management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_Toc227762127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12</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8" w:history="1">
            <w:r w:rsidR="006D2192" w:rsidRPr="00E0610F">
              <w:rPr>
                <w:rStyle w:val="Hyperlink"/>
                <w:rFonts w:cs="Arial"/>
                <w:noProof/>
                <w:color w:val="auto"/>
                <w:szCs w:val="24"/>
                <w:lang w:val="en-GB"/>
              </w:rPr>
              <w:t>4.1 Cash Operating Cycle</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_Toc227762128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12</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29" w:history="1">
            <w:r w:rsidR="006D2192" w:rsidRPr="00E0610F">
              <w:rPr>
                <w:rStyle w:val="Hyperlink"/>
                <w:rFonts w:cs="Arial"/>
                <w:noProof/>
                <w:color w:val="auto"/>
                <w:szCs w:val="24"/>
                <w:lang w:val="en-GB"/>
              </w:rPr>
              <w:t>4.2 Liquidity Management</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_Toc227762129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13</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0" w:history="1">
            <w:r w:rsidR="006D2192" w:rsidRPr="00E0610F">
              <w:rPr>
                <w:rStyle w:val="Hyperlink"/>
                <w:rFonts w:cs="Arial"/>
                <w:noProof/>
                <w:color w:val="auto"/>
                <w:szCs w:val="24"/>
                <w:lang w:val="en-GB"/>
              </w:rPr>
              <w:t>4.3 Working Capital Improvement Strategies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_Toc227762130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13</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1" w:history="1">
            <w:r w:rsidR="006D2192" w:rsidRPr="00E0610F">
              <w:rPr>
                <w:rStyle w:val="Hyperlink"/>
                <w:rFonts w:cs="Arial"/>
                <w:noProof/>
                <w:color w:val="auto"/>
                <w:szCs w:val="24"/>
                <w:lang w:val="en-GB"/>
              </w:rPr>
              <w:t>4.4 Financing Options: Short-Term vs Long-Term</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_Toc227762131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14</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2" w:history="1">
            <w:r w:rsidR="006D2192" w:rsidRPr="00E0610F">
              <w:rPr>
                <w:rStyle w:val="Hyperlink"/>
                <w:rFonts w:cs="Arial"/>
                <w:noProof/>
                <w:color w:val="auto"/>
                <w:szCs w:val="24"/>
                <w:lang w:val="en-GB"/>
              </w:rPr>
              <w:t>4.5 Recommendations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_Toc227762132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14</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33" w:history="1">
            <w:r w:rsidR="006D2192" w:rsidRPr="00E0610F">
              <w:rPr>
                <w:rStyle w:val="Hyperlink"/>
                <w:rFonts w:cs="Arial"/>
                <w:noProof/>
                <w:color w:val="auto"/>
                <w:szCs w:val="24"/>
                <w:lang w:val="en-GB"/>
              </w:rPr>
              <w:t>5. Strategic Financial Restructuring Plan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_Toc227762133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15</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4" w:history="1">
            <w:r w:rsidR="006D2192" w:rsidRPr="00E0610F">
              <w:rPr>
                <w:rStyle w:val="Hyperlink"/>
                <w:rFonts w:cs="Arial"/>
                <w:noProof/>
                <w:color w:val="auto"/>
                <w:szCs w:val="24"/>
                <w:lang w:val="en-GB"/>
              </w:rPr>
              <w:t>5.1 Financial Restructuring Options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_Toc227762134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15</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5" w:history="1">
            <w:r w:rsidR="006D2192" w:rsidRPr="00E0610F">
              <w:rPr>
                <w:rStyle w:val="Hyperlink"/>
                <w:rFonts w:cs="Arial"/>
                <w:noProof/>
                <w:color w:val="auto"/>
                <w:szCs w:val="24"/>
                <w:lang w:val="en-GB"/>
              </w:rPr>
              <w:t>5.2 Impact on Shareholder Value</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_Toc227762135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16</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6" w:history="1">
            <w:r w:rsidR="006D2192" w:rsidRPr="00E0610F">
              <w:rPr>
                <w:rStyle w:val="Hyperlink"/>
                <w:rFonts w:cs="Arial"/>
                <w:noProof/>
                <w:color w:val="auto"/>
                <w:szCs w:val="24"/>
                <w:lang w:val="en-GB"/>
              </w:rPr>
              <w:t>5.3 Impact on Debt Structure and Financial Stability</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_Toc227762136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17</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7" w:history="1">
            <w:r w:rsidR="006D2192" w:rsidRPr="00E0610F">
              <w:rPr>
                <w:rStyle w:val="Hyperlink"/>
                <w:rFonts w:cs="Arial"/>
                <w:noProof/>
                <w:color w:val="auto"/>
                <w:szCs w:val="24"/>
                <w:lang w:val="en-GB"/>
              </w:rPr>
              <w:t>5.4 Impact on Operational Flexibility</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_Toc227762137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17</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8" w:history="1">
            <w:r w:rsidR="006D2192" w:rsidRPr="00E0610F">
              <w:rPr>
                <w:rStyle w:val="Hyperlink"/>
                <w:rFonts w:cs="Arial"/>
                <w:noProof/>
                <w:color w:val="auto"/>
                <w:szCs w:val="24"/>
                <w:lang w:val="en-GB"/>
              </w:rPr>
              <w:t>5.5 International Considerations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_Toc227762138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17</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39" w:history="1">
            <w:r w:rsidR="006D2192" w:rsidRPr="00E0610F">
              <w:rPr>
                <w:rStyle w:val="Hyperlink"/>
                <w:rFonts w:cs="Arial"/>
                <w:noProof/>
                <w:color w:val="auto"/>
                <w:szCs w:val="24"/>
                <w:lang w:val="en-GB"/>
              </w:rPr>
              <w:t>5.6 Ethical and Corporate Social Responsibility (CSR) Considerations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_Toc227762139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18</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0" w:history="1">
            <w:r w:rsidR="006D2192" w:rsidRPr="00E0610F">
              <w:rPr>
                <w:rStyle w:val="Hyperlink"/>
                <w:rFonts w:cs="Arial"/>
                <w:noProof/>
                <w:color w:val="auto"/>
                <w:szCs w:val="24"/>
                <w:lang w:val="en-GB"/>
              </w:rPr>
              <w:t>5.7 Overall Evaluation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_Toc227762140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18</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41" w:history="1">
            <w:r w:rsidR="006D2192" w:rsidRPr="00E0610F">
              <w:rPr>
                <w:rStyle w:val="Hyperlink"/>
                <w:rFonts w:cs="Arial"/>
                <w:noProof/>
                <w:color w:val="auto"/>
                <w:szCs w:val="24"/>
                <w:lang w:val="en-GB"/>
              </w:rPr>
              <w:t>6. Investment Appraisal and Capital Budgeting</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_Toc227762141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20</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2" w:history="1">
            <w:r w:rsidR="006D2192" w:rsidRPr="00E0610F">
              <w:rPr>
                <w:rStyle w:val="Hyperlink"/>
                <w:rFonts w:cs="Arial"/>
                <w:noProof/>
                <w:color w:val="auto"/>
                <w:szCs w:val="24"/>
                <w:lang w:val="en-GB"/>
              </w:rPr>
              <w:t>6.1 Overview of Projects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_Toc227762142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20</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3" w:history="1">
            <w:r w:rsidR="006D2192" w:rsidRPr="00E0610F">
              <w:rPr>
                <w:rStyle w:val="Hyperlink"/>
                <w:rFonts w:cs="Arial"/>
                <w:noProof/>
                <w:color w:val="auto"/>
                <w:szCs w:val="24"/>
                <w:lang w:val="en-GB"/>
              </w:rPr>
              <w:t>6.2 Payback Period (PBP)</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_Toc227762143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20</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4" w:history="1">
            <w:r w:rsidR="006D2192" w:rsidRPr="00E0610F">
              <w:rPr>
                <w:rStyle w:val="Hyperlink"/>
                <w:rFonts w:cs="Arial"/>
                <w:noProof/>
                <w:color w:val="auto"/>
                <w:szCs w:val="24"/>
                <w:lang w:val="en-GB"/>
              </w:rPr>
              <w:t>6.3 Accounting Rate of Return (ARR)</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_Toc227762144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21</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5" w:history="1">
            <w:r w:rsidR="006D2192" w:rsidRPr="00E0610F">
              <w:rPr>
                <w:rStyle w:val="Hyperlink"/>
                <w:rFonts w:cs="Arial"/>
                <w:noProof/>
                <w:color w:val="auto"/>
                <w:szCs w:val="24"/>
                <w:lang w:val="en-GB"/>
              </w:rPr>
              <w:t>6.4 Net Present Value (NPV)</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_Toc227762145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21</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6" w:history="1">
            <w:r w:rsidR="006D2192" w:rsidRPr="00E0610F">
              <w:rPr>
                <w:rStyle w:val="Hyperlink"/>
                <w:rFonts w:cs="Arial"/>
                <w:noProof/>
                <w:color w:val="auto"/>
                <w:szCs w:val="24"/>
                <w:lang w:val="en-GB"/>
              </w:rPr>
              <w:t>6.5 Internal Rate of Return (IRR)</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_Toc227762146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21</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7" w:history="1">
            <w:r w:rsidR="006D2192" w:rsidRPr="00E0610F">
              <w:rPr>
                <w:rStyle w:val="Hyperlink"/>
                <w:rFonts w:cs="Arial"/>
                <w:noProof/>
                <w:color w:val="auto"/>
                <w:szCs w:val="24"/>
                <w:lang w:val="en-GB"/>
              </w:rPr>
              <w:t>6.6 Profitability Index (PI)</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_Toc227762147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22</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8" w:history="1">
            <w:r w:rsidR="006D2192" w:rsidRPr="00E0610F">
              <w:rPr>
                <w:rStyle w:val="Hyperlink"/>
                <w:rFonts w:cs="Arial"/>
                <w:noProof/>
                <w:color w:val="auto"/>
                <w:szCs w:val="24"/>
                <w:lang w:val="en-GB"/>
              </w:rPr>
              <w:t>6.7 Comparative Evaluation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_Toc227762148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22</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49" w:history="1">
            <w:r w:rsidR="006D2192" w:rsidRPr="00E0610F">
              <w:rPr>
                <w:rStyle w:val="Hyperlink"/>
                <w:rFonts w:cs="Arial"/>
                <w:noProof/>
                <w:color w:val="auto"/>
                <w:szCs w:val="24"/>
                <w:lang w:val="en-GB"/>
              </w:rPr>
              <w:t>6.8 Link to Tesla’s Financial Performance</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_Toc227762149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22</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50" w:history="1">
            <w:r w:rsidR="006D2192" w:rsidRPr="00E0610F">
              <w:rPr>
                <w:rStyle w:val="Hyperlink"/>
                <w:rFonts w:cs="Arial"/>
                <w:noProof/>
                <w:color w:val="auto"/>
                <w:szCs w:val="24"/>
                <w:lang w:val="en-GB"/>
              </w:rPr>
              <w:t>6.9 Non-Financial Considerations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_Toc227762150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23</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51" w:history="1">
            <w:r w:rsidR="006D2192" w:rsidRPr="00E0610F">
              <w:rPr>
                <w:rStyle w:val="Hyperlink"/>
                <w:rFonts w:cs="Arial"/>
                <w:noProof/>
                <w:color w:val="auto"/>
                <w:szCs w:val="24"/>
                <w:lang w:val="en-GB"/>
              </w:rPr>
              <w:t>6.10 Capital Rationing Decision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_Toc227762151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24</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52" w:history="1">
            <w:r w:rsidR="006D2192" w:rsidRPr="00E0610F">
              <w:rPr>
                <w:rStyle w:val="Hyperlink"/>
                <w:rFonts w:cs="Arial"/>
                <w:noProof/>
                <w:color w:val="auto"/>
                <w:szCs w:val="24"/>
                <w:lang w:val="en-GB"/>
              </w:rPr>
              <w:t>6.11 Final Recommendation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_Toc227762152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24</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53" w:history="1">
            <w:r w:rsidR="006D2192" w:rsidRPr="00E0610F">
              <w:rPr>
                <w:rStyle w:val="Hyperlink"/>
                <w:rFonts w:cs="Arial"/>
                <w:noProof/>
                <w:color w:val="auto"/>
                <w:szCs w:val="24"/>
                <w:lang w:val="en-GB"/>
              </w:rPr>
              <w:t>6.12 Overall Evaluation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_Toc227762153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24</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54" w:history="1">
            <w:r w:rsidR="006D2192" w:rsidRPr="00E0610F">
              <w:rPr>
                <w:rStyle w:val="Hyperlink"/>
                <w:rFonts w:cs="Arial"/>
                <w:noProof/>
                <w:color w:val="auto"/>
                <w:szCs w:val="24"/>
                <w:lang w:val="en-GB"/>
              </w:rPr>
              <w:t>7. Conclusion</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_Toc227762154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25</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55" w:history="1">
            <w:r w:rsidR="006D2192" w:rsidRPr="00E0610F">
              <w:rPr>
                <w:rStyle w:val="Hyperlink"/>
                <w:rFonts w:cs="Arial"/>
                <w:noProof/>
                <w:color w:val="auto"/>
                <w:szCs w:val="24"/>
                <w:lang w:val="en-GB"/>
              </w:rPr>
              <w:t>References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_Toc227762155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26</w:t>
            </w:r>
            <w:r w:rsidR="006D2192" w:rsidRPr="00E0610F">
              <w:rPr>
                <w:rFonts w:cs="Arial"/>
                <w:noProof/>
                <w:webHidden/>
                <w:szCs w:val="24"/>
                <w:lang w:val="en-GB"/>
              </w:rPr>
              <w:fldChar w:fldCharType="end"/>
            </w:r>
          </w:hyperlink>
        </w:p>
        <w:p w:rsidR="006D2192" w:rsidRPr="00E0610F" w:rsidRDefault="00F64F09" w:rsidP="006D2192">
          <w:pPr>
            <w:pStyle w:val="TOC1"/>
            <w:tabs>
              <w:tab w:val="right" w:leader="dot" w:pos="9350"/>
            </w:tabs>
            <w:spacing w:after="0"/>
            <w:rPr>
              <w:rFonts w:eastAsiaTheme="minorEastAsia" w:cs="Arial"/>
              <w:noProof/>
              <w:szCs w:val="24"/>
              <w:lang w:val="en-GB" w:eastAsia="en-GB"/>
            </w:rPr>
          </w:pPr>
          <w:hyperlink w:anchor="_Toc227762156" w:history="1">
            <w:r w:rsidR="006D2192" w:rsidRPr="00E0610F">
              <w:rPr>
                <w:rStyle w:val="Hyperlink"/>
                <w:rFonts w:cs="Arial"/>
                <w:noProof/>
                <w:color w:val="auto"/>
                <w:szCs w:val="24"/>
                <w:lang w:val="en-GB"/>
              </w:rPr>
              <w:t>Appendices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_Toc227762156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29</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57" w:history="1">
            <w:r w:rsidR="006D2192" w:rsidRPr="00E0610F">
              <w:rPr>
                <w:rStyle w:val="Hyperlink"/>
                <w:rFonts w:cs="Arial"/>
                <w:noProof/>
                <w:color w:val="auto"/>
                <w:szCs w:val="24"/>
                <w:lang w:val="en-GB"/>
              </w:rPr>
              <w:t>Appendix A: Ratio Tables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_Toc227762157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29</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58" w:history="1">
            <w:r w:rsidR="006D2192" w:rsidRPr="00E0610F">
              <w:rPr>
                <w:rStyle w:val="Hyperlink"/>
                <w:rFonts w:cs="Arial"/>
                <w:noProof/>
                <w:color w:val="auto"/>
                <w:szCs w:val="24"/>
                <w:lang w:val="en-GB"/>
              </w:rPr>
              <w:t>Appendix A1. Key Financial Statement Data Used for Ratio Analysis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_Toc227762158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29</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59" w:history="1">
            <w:r w:rsidR="006D2192" w:rsidRPr="00E0610F">
              <w:rPr>
                <w:rStyle w:val="Hyperlink"/>
                <w:rFonts w:cs="Arial"/>
                <w:noProof/>
                <w:color w:val="auto"/>
                <w:szCs w:val="24"/>
                <w:lang w:val="en-GB"/>
              </w:rPr>
              <w:t>Appendix A2. Profitability, Investment and Cash Flow Ratios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_Toc227762159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29</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0" w:history="1">
            <w:r w:rsidR="006D2192" w:rsidRPr="00E0610F">
              <w:rPr>
                <w:rStyle w:val="Hyperlink"/>
                <w:rFonts w:cs="Arial"/>
                <w:noProof/>
                <w:color w:val="auto"/>
                <w:szCs w:val="24"/>
                <w:lang w:val="en-GB"/>
              </w:rPr>
              <w:t>Appendix A3. Liquidity, Efficiency and Gearing Ratios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_Toc227762160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30</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61" w:history="1">
            <w:r w:rsidR="006D2192" w:rsidRPr="00E0610F">
              <w:rPr>
                <w:rStyle w:val="Hyperlink"/>
                <w:rFonts w:cs="Arial"/>
                <w:noProof/>
                <w:color w:val="auto"/>
                <w:szCs w:val="24"/>
                <w:lang w:val="en-GB"/>
              </w:rPr>
              <w:t>Appendix B: Graphs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_Toc227762161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31</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2" w:history="1">
            <w:r w:rsidR="006D2192" w:rsidRPr="00E0610F">
              <w:rPr>
                <w:rStyle w:val="Hyperlink"/>
                <w:rFonts w:cs="Arial"/>
                <w:noProof/>
                <w:color w:val="auto"/>
                <w:szCs w:val="24"/>
                <w:lang w:val="en-GB"/>
              </w:rPr>
              <w:t>Figure B1. Profit Margin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_Toc227762162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31</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3" w:history="1">
            <w:r w:rsidR="006D2192" w:rsidRPr="00E0610F">
              <w:rPr>
                <w:rStyle w:val="Hyperlink"/>
                <w:rFonts w:cs="Arial"/>
                <w:noProof/>
                <w:color w:val="auto"/>
                <w:szCs w:val="24"/>
                <w:lang w:val="en-GB"/>
              </w:rPr>
              <w:t>Figure B2. Return on Assets and Equity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_Toc227762163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31</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4" w:history="1">
            <w:r w:rsidR="006D2192" w:rsidRPr="00E0610F">
              <w:rPr>
                <w:rStyle w:val="Hyperlink"/>
                <w:rFonts w:cs="Arial"/>
                <w:noProof/>
                <w:color w:val="auto"/>
                <w:szCs w:val="24"/>
                <w:lang w:val="en-GB"/>
              </w:rPr>
              <w:t>Figure B3. Basic EPS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_Toc227762164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32</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5" w:history="1">
            <w:r w:rsidR="006D2192" w:rsidRPr="00E0610F">
              <w:rPr>
                <w:rStyle w:val="Hyperlink"/>
                <w:rFonts w:cs="Arial"/>
                <w:noProof/>
                <w:color w:val="auto"/>
                <w:szCs w:val="24"/>
                <w:lang w:val="en-GB"/>
              </w:rPr>
              <w:t>Figure B4. Operating Cash Flow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_Toc227762165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32</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6" w:history="1">
            <w:r w:rsidR="006D2192" w:rsidRPr="00E0610F">
              <w:rPr>
                <w:rStyle w:val="Hyperlink"/>
                <w:rFonts w:cs="Arial"/>
                <w:noProof/>
                <w:color w:val="auto"/>
                <w:szCs w:val="24"/>
                <w:lang w:val="en-GB"/>
              </w:rPr>
              <w:t>Figure B5. Liquidity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_Toc227762166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33</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7" w:history="1">
            <w:r w:rsidR="006D2192" w:rsidRPr="00E0610F">
              <w:rPr>
                <w:rStyle w:val="Hyperlink"/>
                <w:rFonts w:cs="Arial"/>
                <w:noProof/>
                <w:color w:val="auto"/>
                <w:szCs w:val="24"/>
                <w:lang w:val="en-GB"/>
              </w:rPr>
              <w:t>Figure B6. Asset Turnover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_Toc227762167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33</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68" w:history="1">
            <w:r w:rsidR="006D2192" w:rsidRPr="00E0610F">
              <w:rPr>
                <w:rStyle w:val="Hyperlink"/>
                <w:rFonts w:cs="Arial"/>
                <w:noProof/>
                <w:color w:val="auto"/>
                <w:szCs w:val="24"/>
                <w:lang w:val="en-GB"/>
              </w:rPr>
              <w:t>Figure B7. Gearing Ratio Trend, 2020-2024</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_Toc227762168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34</w:t>
            </w:r>
            <w:r w:rsidR="006D2192" w:rsidRPr="00E0610F">
              <w:rPr>
                <w:rFonts w:cs="Arial"/>
                <w:noProof/>
                <w:webHidden/>
                <w:szCs w:val="24"/>
                <w:lang w:val="en-GB"/>
              </w:rPr>
              <w:fldChar w:fldCharType="end"/>
            </w:r>
          </w:hyperlink>
        </w:p>
        <w:p w:rsidR="006D2192" w:rsidRPr="00E0610F" w:rsidRDefault="00F64F09" w:rsidP="006D2192">
          <w:pPr>
            <w:pStyle w:val="TOC2"/>
            <w:tabs>
              <w:tab w:val="right" w:leader="dot" w:pos="9350"/>
            </w:tabs>
            <w:spacing w:after="0"/>
            <w:rPr>
              <w:rFonts w:eastAsiaTheme="minorEastAsia" w:cs="Arial"/>
              <w:noProof/>
              <w:szCs w:val="24"/>
              <w:lang w:val="en-GB" w:eastAsia="en-GB"/>
            </w:rPr>
          </w:pPr>
          <w:hyperlink w:anchor="_Toc227762169" w:history="1">
            <w:r w:rsidR="006D2192" w:rsidRPr="00E0610F">
              <w:rPr>
                <w:rStyle w:val="Hyperlink"/>
                <w:rFonts w:cs="Arial"/>
                <w:noProof/>
                <w:color w:val="auto"/>
                <w:szCs w:val="24"/>
                <w:lang w:val="en-GB"/>
              </w:rPr>
              <w:t>Appendix C: Investment Appraisal Calculations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_Toc227762169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35</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0" w:history="1">
            <w:r w:rsidR="006D2192" w:rsidRPr="00E0610F">
              <w:rPr>
                <w:rStyle w:val="Hyperlink"/>
                <w:rFonts w:cs="Arial"/>
                <w:noProof/>
                <w:color w:val="auto"/>
                <w:szCs w:val="24"/>
                <w:lang w:val="en-GB"/>
              </w:rPr>
              <w:t>Appendix C1. Project Data</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_Toc227762170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35</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1" w:history="1">
            <w:r w:rsidR="006D2192" w:rsidRPr="00E0610F">
              <w:rPr>
                <w:rStyle w:val="Hyperlink"/>
                <w:rFonts w:cs="Arial"/>
                <w:noProof/>
                <w:color w:val="auto"/>
                <w:szCs w:val="24"/>
                <w:lang w:val="en-GB"/>
              </w:rPr>
              <w:t>Appendix C2. Discount Factors at 10%</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_Toc227762171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35</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2" w:history="1">
            <w:r w:rsidR="006D2192" w:rsidRPr="00E0610F">
              <w:rPr>
                <w:rStyle w:val="Hyperlink"/>
                <w:rFonts w:cs="Arial"/>
                <w:noProof/>
                <w:color w:val="auto"/>
                <w:szCs w:val="24"/>
                <w:lang w:val="en-GB"/>
              </w:rPr>
              <w:t>Appendix C3. NPV Workings</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_Toc227762172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35</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3" w:history="1">
            <w:r w:rsidR="006D2192" w:rsidRPr="00E0610F">
              <w:rPr>
                <w:rStyle w:val="Hyperlink"/>
                <w:rFonts w:cs="Arial"/>
                <w:noProof/>
                <w:color w:val="auto"/>
                <w:szCs w:val="24"/>
                <w:lang w:val="en-GB"/>
              </w:rPr>
              <w:t>Appendix C4. Payback Period</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_Toc227762173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36</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4" w:history="1">
            <w:r w:rsidR="006D2192" w:rsidRPr="00E0610F">
              <w:rPr>
                <w:rStyle w:val="Hyperlink"/>
                <w:rFonts w:cs="Arial"/>
                <w:noProof/>
                <w:color w:val="auto"/>
                <w:szCs w:val="24"/>
                <w:lang w:val="en-GB"/>
              </w:rPr>
              <w:t>Appendix C5. Accounting Rate of Return (ARR)</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_Toc227762174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37</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5" w:history="1">
            <w:r w:rsidR="006D2192" w:rsidRPr="00E0610F">
              <w:rPr>
                <w:rStyle w:val="Hyperlink"/>
                <w:rFonts w:cs="Arial"/>
                <w:noProof/>
                <w:color w:val="auto"/>
                <w:szCs w:val="24"/>
                <w:lang w:val="en-GB"/>
              </w:rPr>
              <w:t>Appendix C6. Profitability Index (PI)</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_Toc227762175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38</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6" w:history="1">
            <w:r w:rsidR="006D2192" w:rsidRPr="00E0610F">
              <w:rPr>
                <w:rStyle w:val="Hyperlink"/>
                <w:rFonts w:cs="Arial"/>
                <w:noProof/>
                <w:color w:val="auto"/>
                <w:szCs w:val="24"/>
                <w:lang w:val="en-GB"/>
              </w:rPr>
              <w:t>Appendix C7. Internal Rate of Return (IRR)</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_Toc227762176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38</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7" w:history="1">
            <w:r w:rsidR="006D2192" w:rsidRPr="00E0610F">
              <w:rPr>
                <w:rStyle w:val="Hyperlink"/>
                <w:rFonts w:cs="Arial"/>
                <w:noProof/>
                <w:color w:val="auto"/>
                <w:szCs w:val="24"/>
                <w:lang w:val="en-GB"/>
              </w:rPr>
              <w:t>Appendix C8. Investment Appraisal Summary Table</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_Toc227762177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38</w:t>
            </w:r>
            <w:r w:rsidR="006D2192" w:rsidRPr="00E0610F">
              <w:rPr>
                <w:rFonts w:cs="Arial"/>
                <w:noProof/>
                <w:webHidden/>
                <w:szCs w:val="24"/>
                <w:lang w:val="en-GB"/>
              </w:rPr>
              <w:fldChar w:fldCharType="end"/>
            </w:r>
          </w:hyperlink>
        </w:p>
        <w:p w:rsidR="006D2192" w:rsidRPr="00E0610F" w:rsidRDefault="00F64F09" w:rsidP="006D2192">
          <w:pPr>
            <w:pStyle w:val="TOC3"/>
            <w:tabs>
              <w:tab w:val="right" w:leader="dot" w:pos="9350"/>
            </w:tabs>
            <w:spacing w:after="0"/>
            <w:rPr>
              <w:rFonts w:eastAsiaTheme="minorEastAsia" w:cs="Arial"/>
              <w:noProof/>
              <w:szCs w:val="24"/>
              <w:lang w:val="en-GB" w:eastAsia="en-GB"/>
            </w:rPr>
          </w:pPr>
          <w:hyperlink w:anchor="_Toc227762178" w:history="1">
            <w:r w:rsidR="006D2192" w:rsidRPr="00E0610F">
              <w:rPr>
                <w:rStyle w:val="Hyperlink"/>
                <w:rFonts w:cs="Arial"/>
                <w:noProof/>
                <w:color w:val="auto"/>
                <w:szCs w:val="24"/>
                <w:lang w:val="en-GB"/>
              </w:rPr>
              <w:t>Appendix C9. Capital Rationing (Maximum Budget = £100m)</w:t>
            </w:r>
            <w:r w:rsidR="006D2192" w:rsidRPr="00E0610F">
              <w:rPr>
                <w:rFonts w:cs="Arial"/>
                <w:noProof/>
                <w:webHidden/>
                <w:szCs w:val="24"/>
                <w:lang w:val="en-GB"/>
              </w:rPr>
              <w:tab/>
            </w:r>
            <w:r w:rsidR="006D2192" w:rsidRPr="00E0610F">
              <w:rPr>
                <w:rFonts w:cs="Arial"/>
                <w:noProof/>
                <w:webHidden/>
                <w:szCs w:val="24"/>
                <w:lang w:val="en-GB"/>
              </w:rPr>
              <w:fldChar w:fldCharType="begin"/>
            </w:r>
            <w:r w:rsidR="006D2192" w:rsidRPr="00E0610F">
              <w:rPr>
                <w:rFonts w:cs="Arial"/>
                <w:noProof/>
                <w:webHidden/>
                <w:szCs w:val="24"/>
                <w:lang w:val="en-GB"/>
              </w:rPr>
              <w:instrText xml:space="preserve"> PAGEREF _Toc227762178 \h </w:instrText>
            </w:r>
            <w:r w:rsidR="006D2192" w:rsidRPr="00E0610F">
              <w:rPr>
                <w:rFonts w:cs="Arial"/>
                <w:noProof/>
                <w:webHidden/>
                <w:szCs w:val="24"/>
                <w:lang w:val="en-GB"/>
              </w:rPr>
            </w:r>
            <w:r w:rsidR="006D2192" w:rsidRPr="00E0610F">
              <w:rPr>
                <w:rFonts w:cs="Arial"/>
                <w:noProof/>
                <w:webHidden/>
                <w:szCs w:val="24"/>
                <w:lang w:val="en-GB"/>
              </w:rPr>
              <w:fldChar w:fldCharType="separate"/>
            </w:r>
            <w:r w:rsidR="00E0610F" w:rsidRPr="00E0610F">
              <w:rPr>
                <w:rFonts w:cs="Arial"/>
                <w:noProof/>
                <w:webHidden/>
                <w:szCs w:val="24"/>
                <w:lang w:val="en-GB"/>
              </w:rPr>
              <w:t>39</w:t>
            </w:r>
            <w:r w:rsidR="006D2192" w:rsidRPr="00E0610F">
              <w:rPr>
                <w:rFonts w:cs="Arial"/>
                <w:noProof/>
                <w:webHidden/>
                <w:szCs w:val="24"/>
                <w:lang w:val="en-GB"/>
              </w:rPr>
              <w:fldChar w:fldCharType="end"/>
            </w:r>
          </w:hyperlink>
        </w:p>
        <w:p w:rsidR="006D2192" w:rsidRPr="00E0610F" w:rsidRDefault="006D2192" w:rsidP="006D2192">
          <w:pPr>
            <w:spacing w:after="0"/>
            <w:rPr>
              <w:lang w:val="en-GB"/>
            </w:rPr>
          </w:pPr>
          <w:r w:rsidRPr="00E0610F">
            <w:rPr>
              <w:rFonts w:cs="Arial"/>
              <w:bCs/>
              <w:noProof/>
              <w:szCs w:val="24"/>
              <w:lang w:val="en-GB"/>
            </w:rPr>
            <w:fldChar w:fldCharType="end"/>
          </w:r>
        </w:p>
      </w:sdtContent>
    </w:sdt>
    <w:p w:rsidR="009D485E" w:rsidRPr="00E0610F" w:rsidRDefault="009D485E"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6D2192" w:rsidRPr="00E0610F" w:rsidRDefault="006D2192" w:rsidP="003134E1">
      <w:pPr>
        <w:rPr>
          <w:rFonts w:cs="Arial"/>
          <w:b/>
          <w:i/>
          <w:lang w:val="en-GB"/>
        </w:rPr>
      </w:pPr>
    </w:p>
    <w:p w:rsidR="00BA4093" w:rsidRPr="00E0610F" w:rsidRDefault="00BA4093" w:rsidP="003134E1">
      <w:pPr>
        <w:pStyle w:val="Heading1"/>
        <w:spacing w:before="120" w:after="120"/>
        <w:rPr>
          <w:rFonts w:cs="Arial"/>
          <w:color w:val="auto"/>
          <w:lang w:val="en-GB"/>
        </w:rPr>
      </w:pPr>
      <w:bookmarkStart w:id="1" w:name="_Toc227762118"/>
      <w:r w:rsidRPr="00E0610F">
        <w:rPr>
          <w:rFonts w:cs="Arial"/>
          <w:color w:val="auto"/>
          <w:lang w:val="en-GB"/>
        </w:rPr>
        <w:lastRenderedPageBreak/>
        <w:t>1. Introduction</w:t>
      </w:r>
      <w:bookmarkEnd w:id="1"/>
    </w:p>
    <w:p w:rsidR="00BA4093" w:rsidRPr="00E0610F" w:rsidRDefault="00BA4093" w:rsidP="003134E1">
      <w:pPr>
        <w:rPr>
          <w:rFonts w:cs="Arial"/>
          <w:lang w:val="en-GB"/>
        </w:rPr>
      </w:pPr>
      <w:r w:rsidRPr="00E0610F">
        <w:rPr>
          <w:rFonts w:cs="Arial"/>
          <w:lang w:val="en-GB"/>
        </w:rPr>
        <w:t xml:space="preserve">The change in the automotive and energy </w:t>
      </w:r>
      <w:r w:rsidR="004A5BAF" w:rsidRPr="00E0610F">
        <w:rPr>
          <w:rFonts w:cs="Arial"/>
          <w:lang w:val="en-GB"/>
        </w:rPr>
        <w:t>systems</w:t>
      </w:r>
      <w:r w:rsidRPr="00E0610F">
        <w:rPr>
          <w:rFonts w:cs="Arial"/>
          <w:lang w:val="en-GB"/>
        </w:rPr>
        <w:t xml:space="preserve"> towards sustainability across the world has changed how the global community views electric vehicles as an important aspect </w:t>
      </w:r>
      <w:r w:rsidR="004A5BAF" w:rsidRPr="00E0610F">
        <w:rPr>
          <w:rFonts w:cs="Arial"/>
          <w:lang w:val="en-GB"/>
        </w:rPr>
        <w:t>of</w:t>
      </w:r>
      <w:r w:rsidRPr="00E0610F">
        <w:rPr>
          <w:rFonts w:cs="Arial"/>
          <w:lang w:val="en-GB"/>
        </w:rPr>
        <w:t xml:space="preserve"> lowering carbon emissions. The governments all over the world are providing more stringent regulations on the environment and incentives, and the competition in the industry is rising</w:t>
      </w:r>
      <w:r w:rsidR="004A5BAF" w:rsidRPr="00E0610F">
        <w:rPr>
          <w:rFonts w:cs="Arial"/>
          <w:lang w:val="en-GB"/>
        </w:rPr>
        <w:t xml:space="preserve"> (Pan et al., 2026)</w:t>
      </w:r>
      <w:r w:rsidRPr="00E0610F">
        <w:rPr>
          <w:rFonts w:cs="Arial"/>
          <w:lang w:val="en-GB"/>
        </w:rPr>
        <w:t>. In this case, Tesla, Inc. has become one of the leaders in the field of innovations by integrating the production of electric cars with energy storage and the latest developments in artificial intelligence and autonomous technologies.</w:t>
      </w:r>
    </w:p>
    <w:p w:rsidR="003134E1" w:rsidRPr="00E0610F" w:rsidRDefault="00BA4093" w:rsidP="003134E1">
      <w:pPr>
        <w:rPr>
          <w:rFonts w:cs="Arial"/>
          <w:lang w:val="en-GB"/>
        </w:rPr>
      </w:pPr>
      <w:r w:rsidRPr="00E0610F">
        <w:rPr>
          <w:rFonts w:cs="Arial"/>
          <w:lang w:val="en-GB"/>
        </w:rPr>
        <w:t xml:space="preserve">In this report, data from annual reports have been used to assess the financial performance of Tesla during the years </w:t>
      </w:r>
      <w:r w:rsidRPr="00E0610F">
        <w:rPr>
          <w:rFonts w:cs="Arial"/>
          <w:b/>
          <w:lang w:val="en-GB"/>
        </w:rPr>
        <w:t>202</w:t>
      </w:r>
      <w:r w:rsidR="001B10F9" w:rsidRPr="00E0610F">
        <w:rPr>
          <w:rFonts w:cs="Arial"/>
          <w:b/>
          <w:lang w:val="en-GB"/>
        </w:rPr>
        <w:t>0</w:t>
      </w:r>
      <w:r w:rsidRPr="00E0610F">
        <w:rPr>
          <w:rFonts w:cs="Arial"/>
          <w:b/>
          <w:lang w:val="en-GB"/>
        </w:rPr>
        <w:t>-202</w:t>
      </w:r>
      <w:r w:rsidR="001B10F9" w:rsidRPr="00E0610F">
        <w:rPr>
          <w:rFonts w:cs="Arial"/>
          <w:b/>
          <w:lang w:val="en-GB"/>
        </w:rPr>
        <w:t>4</w:t>
      </w:r>
      <w:r w:rsidRPr="00E0610F">
        <w:rPr>
          <w:rFonts w:cs="Arial"/>
          <w:lang w:val="en-GB"/>
        </w:rPr>
        <w:t>. It also involves a financial health analysis, evaluation of the working capital management and a strategic financial restructuring plan. Moreover, major methodologies in investment appraisal are utilised to back up capital budgeting. The objective is to evaluate the financial status of Tesla and offer suggestions on how it can grow sustainably and improve its shareholder value in the long-run.</w:t>
      </w:r>
    </w:p>
    <w:p w:rsidR="003134E1" w:rsidRPr="00E0610F" w:rsidRDefault="003134E1" w:rsidP="003134E1">
      <w:pPr>
        <w:rPr>
          <w:rFonts w:cs="Arial"/>
          <w:lang w:val="en-GB"/>
        </w:rPr>
      </w:pPr>
      <w:r w:rsidRPr="00E0610F">
        <w:rPr>
          <w:rFonts w:cs="Arial"/>
          <w:lang w:val="en-GB"/>
        </w:rPr>
        <w:br w:type="page"/>
      </w:r>
    </w:p>
    <w:p w:rsidR="00BA4093" w:rsidRPr="00E0610F" w:rsidRDefault="00BA4093" w:rsidP="003134E1">
      <w:pPr>
        <w:pStyle w:val="Heading1"/>
        <w:spacing w:before="120" w:after="120"/>
        <w:rPr>
          <w:rFonts w:cs="Arial"/>
          <w:color w:val="auto"/>
          <w:lang w:val="en-GB"/>
        </w:rPr>
      </w:pPr>
      <w:bookmarkStart w:id="2" w:name="_Toc227762119"/>
      <w:r w:rsidRPr="00E0610F">
        <w:rPr>
          <w:rFonts w:cs="Arial"/>
          <w:color w:val="auto"/>
          <w:lang w:val="en-GB"/>
        </w:rPr>
        <w:lastRenderedPageBreak/>
        <w:t>2. Company Overview</w:t>
      </w:r>
      <w:bookmarkEnd w:id="2"/>
    </w:p>
    <w:p w:rsidR="00964A7B" w:rsidRPr="00E0610F" w:rsidRDefault="00964A7B" w:rsidP="00964A7B">
      <w:pPr>
        <w:keepNext/>
        <w:jc w:val="center"/>
        <w:rPr>
          <w:lang w:val="en-GB"/>
        </w:rPr>
      </w:pPr>
      <w:r w:rsidRPr="00E0610F">
        <w:rPr>
          <w:noProof/>
          <w:lang w:val="en-GB" w:eastAsia="en-GB"/>
        </w:rPr>
        <w:drawing>
          <wp:inline distT="0" distB="0" distL="0" distR="0" wp14:anchorId="2242EB45" wp14:editId="7C4886D6">
            <wp:extent cx="3649345" cy="2052026"/>
            <wp:effectExtent l="0" t="0" r="825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3276" cy="2054236"/>
                    </a:xfrm>
                    <a:prstGeom prst="rect">
                      <a:avLst/>
                    </a:prstGeom>
                    <a:noFill/>
                  </pic:spPr>
                </pic:pic>
              </a:graphicData>
            </a:graphic>
          </wp:inline>
        </w:drawing>
      </w:r>
    </w:p>
    <w:p w:rsidR="00964A7B" w:rsidRPr="00E0610F" w:rsidRDefault="00964A7B" w:rsidP="00964A7B">
      <w:pPr>
        <w:pStyle w:val="Caption"/>
        <w:jc w:val="center"/>
        <w:rPr>
          <w:b/>
          <w:color w:val="auto"/>
          <w:lang w:val="en-GB"/>
        </w:rPr>
      </w:pPr>
      <w:bookmarkStart w:id="3" w:name="_Toc227557520"/>
      <w:r w:rsidRPr="00E0610F">
        <w:rPr>
          <w:b/>
          <w:color w:val="auto"/>
          <w:lang w:val="en-GB"/>
        </w:rPr>
        <w:t xml:space="preserve">Figure </w:t>
      </w:r>
      <w:r w:rsidRPr="00E0610F">
        <w:rPr>
          <w:b/>
          <w:color w:val="auto"/>
          <w:lang w:val="en-GB"/>
        </w:rPr>
        <w:fldChar w:fldCharType="begin"/>
      </w:r>
      <w:r w:rsidRPr="00E0610F">
        <w:rPr>
          <w:b/>
          <w:color w:val="auto"/>
          <w:lang w:val="en-GB"/>
        </w:rPr>
        <w:instrText xml:space="preserve"> SEQ Figure \* ARABIC </w:instrText>
      </w:r>
      <w:r w:rsidRPr="00E0610F">
        <w:rPr>
          <w:b/>
          <w:color w:val="auto"/>
          <w:lang w:val="en-GB"/>
        </w:rPr>
        <w:fldChar w:fldCharType="separate"/>
      </w:r>
      <w:r w:rsidR="0023396C" w:rsidRPr="00E0610F">
        <w:rPr>
          <w:b/>
          <w:noProof/>
          <w:color w:val="auto"/>
          <w:lang w:val="en-GB"/>
        </w:rPr>
        <w:t>1</w:t>
      </w:r>
      <w:r w:rsidRPr="00E0610F">
        <w:rPr>
          <w:b/>
          <w:color w:val="auto"/>
          <w:lang w:val="en-GB"/>
        </w:rPr>
        <w:fldChar w:fldCharType="end"/>
      </w:r>
      <w:r w:rsidRPr="00E0610F">
        <w:rPr>
          <w:b/>
          <w:color w:val="auto"/>
          <w:lang w:val="en-GB"/>
        </w:rPr>
        <w:t>:</w:t>
      </w:r>
      <w:r w:rsidR="002D6EBF" w:rsidRPr="00E0610F">
        <w:rPr>
          <w:b/>
          <w:color w:val="auto"/>
          <w:lang w:val="en-GB"/>
        </w:rPr>
        <w:t xml:space="preserve"> </w:t>
      </w:r>
      <w:r w:rsidRPr="00E0610F">
        <w:rPr>
          <w:b/>
          <w:color w:val="auto"/>
          <w:lang w:val="en-GB"/>
        </w:rPr>
        <w:t>Tesla: Leading the EV Revolution (</w:t>
      </w:r>
      <w:proofErr w:type="spellStart"/>
      <w:r w:rsidRPr="00E0610F">
        <w:rPr>
          <w:b/>
          <w:color w:val="auto"/>
          <w:lang w:val="en-GB"/>
        </w:rPr>
        <w:t>Persson</w:t>
      </w:r>
      <w:proofErr w:type="spellEnd"/>
      <w:r w:rsidRPr="00E0610F">
        <w:rPr>
          <w:b/>
          <w:color w:val="auto"/>
          <w:lang w:val="en-GB"/>
        </w:rPr>
        <w:t>, 2024)</w:t>
      </w:r>
      <w:bookmarkEnd w:id="3"/>
    </w:p>
    <w:p w:rsidR="00964A7B" w:rsidRPr="00E0610F" w:rsidRDefault="00BA4093" w:rsidP="003134E1">
      <w:pPr>
        <w:rPr>
          <w:rFonts w:cs="Arial"/>
          <w:lang w:val="en-GB"/>
        </w:rPr>
      </w:pPr>
      <w:r w:rsidRPr="00E0610F">
        <w:rPr>
          <w:rFonts w:cs="Arial"/>
          <w:lang w:val="en-GB"/>
        </w:rPr>
        <w:t xml:space="preserve">Tesla, Inc. is a </w:t>
      </w:r>
      <w:r w:rsidR="003134E1" w:rsidRPr="00E0610F">
        <w:rPr>
          <w:rFonts w:cs="Arial"/>
          <w:lang w:val="en-GB"/>
        </w:rPr>
        <w:t>technology-based</w:t>
      </w:r>
      <w:r w:rsidRPr="00E0610F">
        <w:rPr>
          <w:rFonts w:cs="Arial"/>
          <w:lang w:val="en-GB"/>
        </w:rPr>
        <w:t xml:space="preserve"> organisation which has two main divisions: automotive and energy generation and storage. The vertically integrated company structure, direct sales to consumers</w:t>
      </w:r>
      <w:r w:rsidR="003134E1" w:rsidRPr="00E0610F">
        <w:rPr>
          <w:rFonts w:cs="Arial"/>
          <w:lang w:val="en-GB"/>
        </w:rPr>
        <w:t>,</w:t>
      </w:r>
      <w:r w:rsidRPr="00E0610F">
        <w:rPr>
          <w:rFonts w:cs="Arial"/>
          <w:lang w:val="en-GB"/>
        </w:rPr>
        <w:t xml:space="preserve"> </w:t>
      </w:r>
      <w:r w:rsidR="003134E1" w:rsidRPr="00E0610F">
        <w:rPr>
          <w:rFonts w:cs="Arial"/>
          <w:lang w:val="en-GB"/>
        </w:rPr>
        <w:t>promotes</w:t>
      </w:r>
      <w:r w:rsidRPr="00E0610F">
        <w:rPr>
          <w:rFonts w:cs="Arial"/>
          <w:lang w:val="en-GB"/>
        </w:rPr>
        <w:t xml:space="preserve"> effectiveness and cash flow management of the company. Further investments of Tesla in the field of artificial intelligence, battery technology, </w:t>
      </w:r>
      <w:r w:rsidR="003134E1" w:rsidRPr="00E0610F">
        <w:rPr>
          <w:rFonts w:cs="Arial"/>
          <w:lang w:val="en-GB"/>
        </w:rPr>
        <w:t>and</w:t>
      </w:r>
      <w:r w:rsidRPr="00E0610F">
        <w:rPr>
          <w:rFonts w:cs="Arial"/>
          <w:lang w:val="en-GB"/>
        </w:rPr>
        <w:t xml:space="preserve"> renewable energy solutions make the company one of the actors in the global change to sustainable sources</w:t>
      </w:r>
      <w:r w:rsidR="003134E1" w:rsidRPr="00E0610F">
        <w:rPr>
          <w:rFonts w:cs="Arial"/>
          <w:lang w:val="en-GB"/>
        </w:rPr>
        <w:t xml:space="preserve"> (Tesla Annual Report, 202</w:t>
      </w:r>
      <w:r w:rsidR="001B10F9" w:rsidRPr="00E0610F">
        <w:rPr>
          <w:rFonts w:cs="Arial"/>
          <w:lang w:val="en-GB"/>
        </w:rPr>
        <w:t>4</w:t>
      </w:r>
      <w:r w:rsidR="003134E1" w:rsidRPr="00E0610F">
        <w:rPr>
          <w:rFonts w:cs="Arial"/>
          <w:lang w:val="en-GB"/>
        </w:rPr>
        <w:t>)</w:t>
      </w:r>
      <w:r w:rsidRPr="00E0610F">
        <w:rPr>
          <w:rFonts w:cs="Arial"/>
          <w:lang w:val="en-GB"/>
        </w:rPr>
        <w:t>.</w:t>
      </w:r>
    </w:p>
    <w:p w:rsidR="00E33CBE" w:rsidRPr="00E0610F" w:rsidRDefault="00E33CBE" w:rsidP="00964A7B">
      <w:pPr>
        <w:jc w:val="center"/>
        <w:rPr>
          <w:rFonts w:cs="Arial"/>
          <w:lang w:val="en-GB"/>
        </w:rPr>
      </w:pPr>
      <w:r w:rsidRPr="00E0610F">
        <w:rPr>
          <w:rFonts w:cs="Arial"/>
          <w:lang w:val="en-GB"/>
        </w:rPr>
        <w:br w:type="page"/>
      </w:r>
    </w:p>
    <w:p w:rsidR="00E33CBE" w:rsidRPr="00E0610F" w:rsidRDefault="00E33CBE" w:rsidP="003134E1">
      <w:pPr>
        <w:pStyle w:val="Heading1"/>
        <w:spacing w:before="120" w:after="120"/>
        <w:rPr>
          <w:rFonts w:cs="Arial"/>
          <w:color w:val="auto"/>
          <w:lang w:val="en-GB"/>
        </w:rPr>
      </w:pPr>
      <w:bookmarkStart w:id="4" w:name="_Toc227762120"/>
      <w:r w:rsidRPr="00E0610F">
        <w:rPr>
          <w:rFonts w:cs="Arial"/>
          <w:color w:val="auto"/>
          <w:lang w:val="en-GB"/>
        </w:rPr>
        <w:lastRenderedPageBreak/>
        <w:t>3. Financial Health Check</w:t>
      </w:r>
      <w:bookmarkEnd w:id="4"/>
    </w:p>
    <w:p w:rsidR="00E33CBE" w:rsidRPr="00E0610F" w:rsidRDefault="00E33CBE" w:rsidP="003134E1">
      <w:pPr>
        <w:rPr>
          <w:rFonts w:cs="Arial"/>
          <w:lang w:val="en-GB"/>
        </w:rPr>
      </w:pPr>
      <w:r w:rsidRPr="00E0610F">
        <w:rPr>
          <w:rFonts w:cs="Arial"/>
          <w:lang w:val="en-GB"/>
        </w:rPr>
        <w:t xml:space="preserve">The thorough assessment of Tesla, Inc.'s financial state during </w:t>
      </w:r>
      <w:r w:rsidRPr="00E0610F">
        <w:rPr>
          <w:rFonts w:cs="Arial"/>
          <w:b/>
          <w:lang w:val="en-GB"/>
        </w:rPr>
        <w:t>202</w:t>
      </w:r>
      <w:r w:rsidR="00AC09CB" w:rsidRPr="00E0610F">
        <w:rPr>
          <w:rFonts w:cs="Arial"/>
          <w:b/>
          <w:lang w:val="en-GB"/>
        </w:rPr>
        <w:t>0</w:t>
      </w:r>
      <w:r w:rsidR="001A7306" w:rsidRPr="00E0610F">
        <w:rPr>
          <w:rFonts w:cs="Arial"/>
          <w:b/>
          <w:lang w:val="en-GB"/>
        </w:rPr>
        <w:t>-</w:t>
      </w:r>
      <w:r w:rsidRPr="00E0610F">
        <w:rPr>
          <w:rFonts w:cs="Arial"/>
          <w:b/>
          <w:lang w:val="en-GB"/>
        </w:rPr>
        <w:t>202</w:t>
      </w:r>
      <w:r w:rsidR="00AC09CB" w:rsidRPr="00E0610F">
        <w:rPr>
          <w:rFonts w:cs="Arial"/>
          <w:b/>
          <w:lang w:val="en-GB"/>
        </w:rPr>
        <w:t>4</w:t>
      </w:r>
      <w:r w:rsidRPr="00E0610F">
        <w:rPr>
          <w:rFonts w:cs="Arial"/>
          <w:lang w:val="en-GB"/>
        </w:rPr>
        <w:t xml:space="preserve"> indicates a dynamic performance pattern of the company that was characterised by a high revenue growth rate, improved liquidity ratios and good cash flow rates, and reduced profitability and efficiency later in the period</w:t>
      </w:r>
      <w:r w:rsidR="0097509A" w:rsidRPr="00E0610F">
        <w:rPr>
          <w:rFonts w:cs="Arial"/>
          <w:lang w:val="en-GB"/>
        </w:rPr>
        <w:t xml:space="preserve"> (Tesla Annual Report</w:t>
      </w:r>
      <w:r w:rsidR="001B10F9" w:rsidRPr="00E0610F">
        <w:rPr>
          <w:rFonts w:cs="Arial"/>
          <w:lang w:val="en-GB"/>
        </w:rPr>
        <w:t xml:space="preserve"> 2020; Tesla Annual Report</w:t>
      </w:r>
      <w:r w:rsidR="0097509A" w:rsidRPr="00E0610F">
        <w:rPr>
          <w:rFonts w:cs="Arial"/>
          <w:lang w:val="en-GB"/>
        </w:rPr>
        <w:t xml:space="preserve"> 2022; Tesla Annual Report, 2023; Tesla Annual Report, 2024)</w:t>
      </w:r>
      <w:r w:rsidRPr="00E0610F">
        <w:rPr>
          <w:rFonts w:cs="Arial"/>
          <w:lang w:val="en-GB"/>
        </w:rPr>
        <w:t>. This part will review the financial status of the firm using a complete ratio analysis that will include profitability, liquidity, efficiency, gearing, investment, and cash flow, and then a critical analysis of the major trends, strengths, and threats.</w:t>
      </w:r>
      <w:r w:rsidR="0097509A" w:rsidRPr="00E0610F">
        <w:rPr>
          <w:rFonts w:cs="Arial"/>
          <w:lang w:val="en-GB"/>
        </w:rPr>
        <w:t xml:space="preserve"> </w:t>
      </w:r>
      <w:r w:rsidR="0097509A" w:rsidRPr="00E0610F">
        <w:rPr>
          <w:rFonts w:cs="Arial"/>
          <w:b/>
          <w:lang w:val="en-GB"/>
        </w:rPr>
        <w:t xml:space="preserve">The ratios are calculated and broken down in Appendix </w:t>
      </w:r>
      <w:proofErr w:type="gramStart"/>
      <w:r w:rsidR="0097509A" w:rsidRPr="00E0610F">
        <w:rPr>
          <w:rFonts w:cs="Arial"/>
          <w:b/>
          <w:lang w:val="en-GB"/>
        </w:rPr>
        <w:t>A</w:t>
      </w:r>
      <w:proofErr w:type="gramEnd"/>
      <w:r w:rsidR="0097509A" w:rsidRPr="00E0610F">
        <w:rPr>
          <w:rFonts w:cs="Arial"/>
          <w:b/>
          <w:lang w:val="en-GB"/>
        </w:rPr>
        <w:t xml:space="preserve"> later.</w:t>
      </w:r>
    </w:p>
    <w:p w:rsidR="00E33CBE" w:rsidRPr="00E0610F" w:rsidRDefault="00E33CBE" w:rsidP="003134E1">
      <w:pPr>
        <w:pStyle w:val="Heading2"/>
        <w:spacing w:before="120" w:after="120"/>
        <w:rPr>
          <w:rFonts w:cs="Arial"/>
          <w:color w:val="auto"/>
          <w:lang w:val="en-GB"/>
        </w:rPr>
      </w:pPr>
      <w:bookmarkStart w:id="5" w:name="_Toc227762121"/>
      <w:r w:rsidRPr="00E0610F">
        <w:rPr>
          <w:rFonts w:cs="Arial"/>
          <w:color w:val="auto"/>
          <w:lang w:val="en-GB"/>
        </w:rPr>
        <w:t>3.1 Profitability Analysis</w:t>
      </w:r>
      <w:bookmarkEnd w:id="5"/>
    </w:p>
    <w:p w:rsidR="002E3337" w:rsidRPr="00E0610F" w:rsidRDefault="002E3337" w:rsidP="002E3337">
      <w:pPr>
        <w:rPr>
          <w:rFonts w:cs="Arial"/>
          <w:lang w:val="en-GB"/>
        </w:rPr>
      </w:pPr>
      <w:r w:rsidRPr="00E0610F">
        <w:rPr>
          <w:rFonts w:cs="Arial"/>
          <w:lang w:val="en-GB"/>
        </w:rPr>
        <w:t>Profitability ratios give an indication of the capability of a firm to release its earnings depending on its revenue, assets and equity. The revenue of Tesla rose considerably by 53,823 million in 2021 compared to 31,536 million in the previous year, and further 97,690 million in 2024, which is a reflection of good growth due to the growing demand for electric vehicles around the globe and the growth of energy storage systems (Tesla Annual Report, 2024).</w:t>
      </w:r>
    </w:p>
    <w:p w:rsidR="002E3337" w:rsidRPr="00E0610F" w:rsidRDefault="002E3337" w:rsidP="002E3337">
      <w:pPr>
        <w:rPr>
          <w:rFonts w:cs="Arial"/>
          <w:lang w:val="en-GB"/>
        </w:rPr>
      </w:pPr>
      <w:r w:rsidRPr="00E0610F">
        <w:rPr>
          <w:rFonts w:cs="Arial"/>
          <w:lang w:val="en-GB"/>
        </w:rPr>
        <w:t>Gross profit margins were still quite high, at about 25% in 2021</w:t>
      </w:r>
      <w:r w:rsidR="006F4FC7" w:rsidRPr="00E0610F">
        <w:rPr>
          <w:rFonts w:cs="Arial"/>
          <w:lang w:val="en-GB"/>
        </w:rPr>
        <w:t>-</w:t>
      </w:r>
      <w:r w:rsidRPr="00E0610F">
        <w:rPr>
          <w:rFonts w:cs="Arial"/>
          <w:lang w:val="en-GB"/>
        </w:rPr>
        <w:t>2022, but dropped to 18.2% in 2023, and it has stayed at 18% in 2024. This decrease connotes escalating manufacturing expenses, price strains, and competition in the electric vehicle market.</w:t>
      </w:r>
    </w:p>
    <w:p w:rsidR="002E3337" w:rsidRPr="00E0610F" w:rsidRDefault="002E3337" w:rsidP="002E3337">
      <w:pPr>
        <w:rPr>
          <w:rFonts w:cs="Arial"/>
          <w:lang w:val="en-GB"/>
        </w:rPr>
      </w:pPr>
      <w:r w:rsidRPr="00E0610F">
        <w:rPr>
          <w:rFonts w:cs="Arial"/>
          <w:lang w:val="en-GB"/>
        </w:rPr>
        <w:t>The same trend applies to net profit margins. They improved from 10.3% in 2021 to a peak of 15.5% in 2023, before declining to approximately 7.3% in 2024. Such a trend suggests that although Tesla managed to grow its business, profitability was influenced by the increasing costs and tactical price shifts in an attempt to preserve market shares (Arnold and Lewis, 2019).</w:t>
      </w:r>
    </w:p>
    <w:p w:rsidR="002E3337" w:rsidRPr="00E0610F" w:rsidRDefault="002E3337" w:rsidP="002E3337">
      <w:pPr>
        <w:rPr>
          <w:rFonts w:cs="Arial"/>
          <w:lang w:val="en-GB"/>
        </w:rPr>
      </w:pPr>
      <w:r w:rsidRPr="00E0610F">
        <w:rPr>
          <w:rFonts w:cs="Arial"/>
          <w:lang w:val="en-GB"/>
        </w:rPr>
        <w:t xml:space="preserve">Return on assets (ROA) improved to around 15.2% in 2022 as compared to 8.9 </w:t>
      </w:r>
      <w:proofErr w:type="spellStart"/>
      <w:r w:rsidRPr="00E0610F">
        <w:rPr>
          <w:rFonts w:cs="Arial"/>
          <w:lang w:val="en-GB"/>
        </w:rPr>
        <w:t>percent</w:t>
      </w:r>
      <w:proofErr w:type="spellEnd"/>
      <w:r w:rsidRPr="00E0610F">
        <w:rPr>
          <w:rFonts w:cs="Arial"/>
          <w:lang w:val="en-GB"/>
        </w:rPr>
        <w:t xml:space="preserve"> in 2021, indicating that the assets have been efficiently utilised in the growth stage. Nevertheless, ROA decreased to approximately 5.8% in 2024, which means that the growth of assets has exceeded the capacity of the firm to create returns. Likewise, the maximum return on equity (ROE) of about 28.1% in 2022, followed by </w:t>
      </w:r>
      <w:r w:rsidRPr="00E0610F">
        <w:rPr>
          <w:rFonts w:cs="Arial"/>
          <w:lang w:val="en-GB"/>
        </w:rPr>
        <w:lastRenderedPageBreak/>
        <w:t>a decline to about 9.7% by 2024, indicates reduced returns to shareholders (Tesla Annual Report, 2024).</w:t>
      </w:r>
    </w:p>
    <w:p w:rsidR="00E33CBE" w:rsidRPr="00E0610F" w:rsidRDefault="002E3337" w:rsidP="002E3337">
      <w:pPr>
        <w:rPr>
          <w:rFonts w:cs="Arial"/>
          <w:lang w:val="en-GB"/>
        </w:rPr>
      </w:pPr>
      <w:r w:rsidRPr="00E0610F">
        <w:rPr>
          <w:rFonts w:cs="Arial"/>
          <w:lang w:val="en-GB"/>
        </w:rPr>
        <w:t>Overall, the profitability analysis demonstrates that Tesla elites have shifted from a high-margin expansion phase to a margin-compression phase caused by external competition and strategic investments internally.</w:t>
      </w:r>
    </w:p>
    <w:p w:rsidR="00E33CBE" w:rsidRPr="00E0610F" w:rsidRDefault="00E33CBE" w:rsidP="003134E1">
      <w:pPr>
        <w:pStyle w:val="Heading2"/>
        <w:spacing w:before="120" w:after="120"/>
        <w:rPr>
          <w:rFonts w:cs="Arial"/>
          <w:color w:val="auto"/>
          <w:lang w:val="en-GB"/>
        </w:rPr>
      </w:pPr>
      <w:bookmarkStart w:id="6" w:name="_Toc227762122"/>
      <w:r w:rsidRPr="00E0610F">
        <w:rPr>
          <w:rFonts w:cs="Arial"/>
          <w:color w:val="auto"/>
          <w:lang w:val="en-GB"/>
        </w:rPr>
        <w:t>3.2 Liquidity Analysis</w:t>
      </w:r>
      <w:bookmarkEnd w:id="6"/>
    </w:p>
    <w:p w:rsidR="002E3337" w:rsidRPr="00E0610F" w:rsidRDefault="002E3337" w:rsidP="002E3337">
      <w:pPr>
        <w:rPr>
          <w:rFonts w:cs="Arial"/>
          <w:lang w:val="en-GB"/>
        </w:rPr>
      </w:pPr>
      <w:r w:rsidRPr="00E0610F">
        <w:rPr>
          <w:rFonts w:cs="Arial"/>
          <w:lang w:val="en-GB"/>
        </w:rPr>
        <w:t>The liquidity ratios are measures of the capability of the firm to pay the short-run obligations. General fluctuations apparent in the current ratio indicated Tesla was in a strong position. It became 1.88 in 2020, decreased to 1.38 in 2021, and in 2024, it went up to 1.98, meaning that current assets always surpassed current liabilities.</w:t>
      </w:r>
    </w:p>
    <w:p w:rsidR="002E3337" w:rsidRPr="00E0610F" w:rsidRDefault="002E3337" w:rsidP="002E3337">
      <w:pPr>
        <w:rPr>
          <w:rFonts w:cs="Arial"/>
          <w:lang w:val="en-GB"/>
        </w:rPr>
      </w:pPr>
      <w:r w:rsidRPr="00E0610F">
        <w:rPr>
          <w:rFonts w:cs="Arial"/>
          <w:lang w:val="en-GB"/>
        </w:rPr>
        <w:t>The liquidity of Tesla can also be seen by the quick ratio excluding inventory. It was approximately 1.59 in 2020, decreased to 1.08 in 2021, and then increased to around 1.61 in 2024. This proves that Tesla has adequate liquid cash to ensure that short-term debts are met without over-dependence on inventory (Tesla Annual Report, 2024).</w:t>
      </w:r>
    </w:p>
    <w:p w:rsidR="002E3337" w:rsidRPr="00E0610F" w:rsidRDefault="002E3337" w:rsidP="002E3337">
      <w:pPr>
        <w:rPr>
          <w:rFonts w:cs="Arial"/>
          <w:lang w:val="en-GB"/>
        </w:rPr>
      </w:pPr>
      <w:r w:rsidRPr="00E0610F">
        <w:rPr>
          <w:rFonts w:cs="Arial"/>
          <w:lang w:val="en-GB"/>
        </w:rPr>
        <w:t xml:space="preserve">The growth in liquidity is facilitated by the increasing cash balances and short-term investments, which strengthen financial flexibility and minimise short-term financial risk exposure (Madura, </w:t>
      </w:r>
      <w:proofErr w:type="spellStart"/>
      <w:r w:rsidRPr="00E0610F">
        <w:rPr>
          <w:rFonts w:cs="Arial"/>
          <w:lang w:val="en-GB"/>
        </w:rPr>
        <w:t>Hoque</w:t>
      </w:r>
      <w:proofErr w:type="spellEnd"/>
      <w:r w:rsidRPr="00E0610F">
        <w:rPr>
          <w:rFonts w:cs="Arial"/>
          <w:lang w:val="en-GB"/>
        </w:rPr>
        <w:t xml:space="preserve"> and </w:t>
      </w:r>
      <w:proofErr w:type="spellStart"/>
      <w:r w:rsidRPr="00E0610F">
        <w:rPr>
          <w:rFonts w:cs="Arial"/>
          <w:lang w:val="en-GB"/>
        </w:rPr>
        <w:t>Krishnamurti</w:t>
      </w:r>
      <w:proofErr w:type="spellEnd"/>
      <w:r w:rsidRPr="00E0610F">
        <w:rPr>
          <w:rFonts w:cs="Arial"/>
          <w:lang w:val="en-GB"/>
        </w:rPr>
        <w:t>, 2018).</w:t>
      </w:r>
    </w:p>
    <w:p w:rsidR="00E33CBE" w:rsidRPr="00E0610F" w:rsidRDefault="002E3337" w:rsidP="002E3337">
      <w:pPr>
        <w:rPr>
          <w:rFonts w:cs="Arial"/>
          <w:lang w:val="en-GB"/>
        </w:rPr>
      </w:pPr>
      <w:r w:rsidRPr="00E0610F">
        <w:rPr>
          <w:rFonts w:cs="Arial"/>
          <w:lang w:val="en-GB"/>
        </w:rPr>
        <w:t>Altogether, Tesla has a satisfactory liquidity position, which means its chances of experiencing a short-term financial crunch are minimal, and its capabilities are enough to facilitate its functioning with the help of internal resources.</w:t>
      </w:r>
    </w:p>
    <w:p w:rsidR="002E3337" w:rsidRPr="00E0610F" w:rsidRDefault="00E33CBE" w:rsidP="002E3337">
      <w:pPr>
        <w:pStyle w:val="Heading2"/>
        <w:spacing w:before="120" w:after="120"/>
        <w:rPr>
          <w:rFonts w:cs="Arial"/>
          <w:color w:val="auto"/>
          <w:lang w:val="en-GB"/>
        </w:rPr>
      </w:pPr>
      <w:bookmarkStart w:id="7" w:name="_Toc227762123"/>
      <w:r w:rsidRPr="00E0610F">
        <w:rPr>
          <w:rFonts w:cs="Arial"/>
          <w:color w:val="auto"/>
          <w:lang w:val="en-GB"/>
        </w:rPr>
        <w:t>3.3 Efficiency Analysis</w:t>
      </w:r>
      <w:bookmarkEnd w:id="7"/>
    </w:p>
    <w:p w:rsidR="002E3337" w:rsidRPr="00E0610F" w:rsidRDefault="002E3337" w:rsidP="002E3337">
      <w:pPr>
        <w:rPr>
          <w:rFonts w:cs="Arial"/>
          <w:lang w:val="en-GB"/>
        </w:rPr>
      </w:pPr>
      <w:r w:rsidRPr="00E0610F">
        <w:rPr>
          <w:rFonts w:cs="Arial"/>
          <w:lang w:val="en-GB"/>
        </w:rPr>
        <w:t>Efficiency ratios evaluate the effectiveness of the firm in its utilisation of the assets to generate revenue. The increase in the asset turnover is good, as Tesla had 0.87 in 2021 and 0.99 in 2022, which reflects the increased efficiency in the growth period. Nevertheless, it fell to approximately 0.80 in 2024, indicating that the growth of assets has started to exceed the income generation (Tesla Annual Report, 2024).</w:t>
      </w:r>
    </w:p>
    <w:p w:rsidR="002E3337" w:rsidRPr="00E0610F" w:rsidRDefault="002E3337" w:rsidP="002E3337">
      <w:pPr>
        <w:rPr>
          <w:rFonts w:cs="Arial"/>
          <w:lang w:val="en-GB"/>
        </w:rPr>
      </w:pPr>
    </w:p>
    <w:p w:rsidR="002E3337" w:rsidRPr="00E0610F" w:rsidRDefault="002E3337" w:rsidP="002E3337">
      <w:pPr>
        <w:rPr>
          <w:rFonts w:cs="Arial"/>
          <w:lang w:val="en-GB"/>
        </w:rPr>
      </w:pPr>
      <w:r w:rsidRPr="00E0610F">
        <w:rPr>
          <w:rFonts w:cs="Arial"/>
          <w:lang w:val="en-GB"/>
        </w:rPr>
        <w:t xml:space="preserve">This decrease is a manifestation of the substantial investments in Tesla in production plants, infrastructure, and new technologies. Although these investments are useful </w:t>
      </w:r>
      <w:r w:rsidRPr="00E0610F">
        <w:rPr>
          <w:rFonts w:cs="Arial"/>
          <w:lang w:val="en-GB"/>
        </w:rPr>
        <w:lastRenderedPageBreak/>
        <w:t>in the long run, it lowers efficiency in the short run since the growth of revenue has not kept pace with the growth in assets.</w:t>
      </w:r>
    </w:p>
    <w:p w:rsidR="002E3337" w:rsidRPr="00E0610F" w:rsidRDefault="002E3337" w:rsidP="002E3337">
      <w:pPr>
        <w:rPr>
          <w:rFonts w:cs="Arial"/>
          <w:lang w:val="en-GB"/>
        </w:rPr>
      </w:pPr>
      <w:r w:rsidRPr="00E0610F">
        <w:rPr>
          <w:rFonts w:cs="Arial"/>
          <w:lang w:val="en-GB"/>
        </w:rPr>
        <w:t>2021-2023 inventory levels showed significant growth, indicating the greater production capacity. The inventory levels have evened out in 2024, but the level is still high, tying up working capital. But the direct sales approach by Tesla restricts the receivables and enhances a smoother cash inflow.</w:t>
      </w:r>
    </w:p>
    <w:p w:rsidR="00E33CBE" w:rsidRPr="00E0610F" w:rsidRDefault="002E3337" w:rsidP="002E3337">
      <w:pPr>
        <w:rPr>
          <w:rFonts w:cs="Arial"/>
          <w:lang w:val="en-GB"/>
        </w:rPr>
      </w:pPr>
      <w:r w:rsidRPr="00E0610F">
        <w:rPr>
          <w:rFonts w:cs="Arial"/>
          <w:lang w:val="en-GB"/>
        </w:rPr>
        <w:t>In general, the discussion reveals that irrespective of a successful business model, Tesla has become significantly inefficient in its operations in the short run</w:t>
      </w:r>
      <w:r w:rsidR="00AC09CB" w:rsidRPr="00E0610F">
        <w:rPr>
          <w:rFonts w:cs="Arial"/>
          <w:lang w:val="en-GB"/>
        </w:rPr>
        <w:t>,</w:t>
      </w:r>
      <w:r w:rsidRPr="00E0610F">
        <w:rPr>
          <w:rFonts w:cs="Arial"/>
          <w:lang w:val="en-GB"/>
        </w:rPr>
        <w:t xml:space="preserve"> owing to speedy growth (</w:t>
      </w:r>
      <w:proofErr w:type="spellStart"/>
      <w:r w:rsidRPr="00E0610F">
        <w:rPr>
          <w:rFonts w:cs="Arial"/>
          <w:lang w:val="en-GB"/>
        </w:rPr>
        <w:t>Valinurova</w:t>
      </w:r>
      <w:proofErr w:type="spellEnd"/>
      <w:r w:rsidRPr="00E0610F">
        <w:rPr>
          <w:rFonts w:cs="Arial"/>
          <w:lang w:val="en-GB"/>
        </w:rPr>
        <w:t xml:space="preserve">, </w:t>
      </w:r>
      <w:proofErr w:type="spellStart"/>
      <w:r w:rsidRPr="00E0610F">
        <w:rPr>
          <w:rFonts w:cs="Arial"/>
          <w:lang w:val="en-GB"/>
        </w:rPr>
        <w:t>Leibert</w:t>
      </w:r>
      <w:proofErr w:type="spellEnd"/>
      <w:r w:rsidRPr="00E0610F">
        <w:rPr>
          <w:rFonts w:cs="Arial"/>
          <w:lang w:val="en-GB"/>
        </w:rPr>
        <w:t xml:space="preserve"> and </w:t>
      </w:r>
      <w:proofErr w:type="spellStart"/>
      <w:r w:rsidRPr="00E0610F">
        <w:rPr>
          <w:rFonts w:cs="Arial"/>
          <w:lang w:val="en-GB"/>
        </w:rPr>
        <w:t>Khalikova</w:t>
      </w:r>
      <w:proofErr w:type="spellEnd"/>
      <w:r w:rsidRPr="00E0610F">
        <w:rPr>
          <w:rFonts w:cs="Arial"/>
          <w:lang w:val="en-GB"/>
        </w:rPr>
        <w:t>, 2019).</w:t>
      </w:r>
    </w:p>
    <w:p w:rsidR="00E33CBE" w:rsidRPr="00E0610F" w:rsidRDefault="00E33CBE" w:rsidP="003134E1">
      <w:pPr>
        <w:pStyle w:val="Heading2"/>
        <w:spacing w:before="120" w:after="120"/>
        <w:rPr>
          <w:rFonts w:cs="Arial"/>
          <w:color w:val="auto"/>
          <w:lang w:val="en-GB"/>
        </w:rPr>
      </w:pPr>
      <w:bookmarkStart w:id="8" w:name="_Toc227762124"/>
      <w:r w:rsidRPr="00E0610F">
        <w:rPr>
          <w:rFonts w:cs="Arial"/>
          <w:color w:val="auto"/>
          <w:lang w:val="en-GB"/>
        </w:rPr>
        <w:t>3.4 Gearing Analysis</w:t>
      </w:r>
      <w:bookmarkEnd w:id="8"/>
    </w:p>
    <w:p w:rsidR="00AC09CB" w:rsidRPr="00E0610F" w:rsidRDefault="00AC09CB" w:rsidP="00AC09CB">
      <w:pPr>
        <w:rPr>
          <w:rFonts w:cs="Arial"/>
          <w:lang w:val="en-GB"/>
        </w:rPr>
      </w:pPr>
      <w:r w:rsidRPr="00E0610F">
        <w:rPr>
          <w:rFonts w:cs="Arial"/>
          <w:lang w:val="en-GB"/>
        </w:rPr>
        <w:t>Gearing ratios estimate a company's capital structure and risk in finance. The debt-to-equity ratio of Tesla decreased considerably, from around 1.28 in 2020 to 0.66 in 2024, which is evidence of an expansion in debt financing with the use of equity financing.</w:t>
      </w:r>
    </w:p>
    <w:p w:rsidR="00AC09CB" w:rsidRPr="00E0610F" w:rsidRDefault="00AC09CB" w:rsidP="00AC09CB">
      <w:pPr>
        <w:rPr>
          <w:rFonts w:cs="Arial"/>
          <w:lang w:val="en-GB"/>
        </w:rPr>
      </w:pPr>
      <w:r w:rsidRPr="00E0610F">
        <w:rPr>
          <w:rFonts w:cs="Arial"/>
          <w:lang w:val="en-GB"/>
        </w:rPr>
        <w:t xml:space="preserve">In the same way, the debt ratio dropped to 39.6% in 2024, compared to 54.5% in 2020, indicating a higher solvency and a reduced financial risk. This pattern provides an indication that Tesla has funded its expansion mostly via retained earnings and equity instead of </w:t>
      </w:r>
      <w:proofErr w:type="spellStart"/>
      <w:r w:rsidRPr="00E0610F">
        <w:rPr>
          <w:rFonts w:cs="Arial"/>
          <w:lang w:val="en-GB"/>
        </w:rPr>
        <w:t>overborrowing</w:t>
      </w:r>
      <w:proofErr w:type="spellEnd"/>
      <w:r w:rsidRPr="00E0610F">
        <w:rPr>
          <w:rFonts w:cs="Arial"/>
          <w:lang w:val="en-GB"/>
        </w:rPr>
        <w:t>.</w:t>
      </w:r>
    </w:p>
    <w:p w:rsidR="00E33CBE" w:rsidRPr="00E0610F" w:rsidRDefault="00AC09CB" w:rsidP="00AC09CB">
      <w:pPr>
        <w:rPr>
          <w:rFonts w:cs="Arial"/>
          <w:lang w:val="en-GB"/>
        </w:rPr>
      </w:pPr>
      <w:r w:rsidRPr="00E0610F">
        <w:rPr>
          <w:rFonts w:cs="Arial"/>
          <w:lang w:val="en-GB"/>
        </w:rPr>
        <w:t xml:space="preserve">The medium level of leverage of the firm can be viewed as its financial strength, as it offers it the flexibility to invest in the future without going out of business. A balanced capital structure, especially in a capital-intensive industry such as in the case of electric vehicle manufacturing, is necessary (Brigham and </w:t>
      </w:r>
      <w:proofErr w:type="spellStart"/>
      <w:r w:rsidRPr="00E0610F">
        <w:rPr>
          <w:rFonts w:cs="Arial"/>
          <w:lang w:val="en-GB"/>
        </w:rPr>
        <w:t>Ehrhardt</w:t>
      </w:r>
      <w:proofErr w:type="spellEnd"/>
      <w:r w:rsidRPr="00E0610F">
        <w:rPr>
          <w:rFonts w:cs="Arial"/>
          <w:lang w:val="en-GB"/>
        </w:rPr>
        <w:t>, 2023).</w:t>
      </w:r>
    </w:p>
    <w:p w:rsidR="00E33CBE" w:rsidRPr="00E0610F" w:rsidRDefault="00E33CBE" w:rsidP="003134E1">
      <w:pPr>
        <w:pStyle w:val="Heading2"/>
        <w:spacing w:before="120" w:after="120"/>
        <w:rPr>
          <w:rFonts w:cs="Arial"/>
          <w:color w:val="auto"/>
          <w:lang w:val="en-GB"/>
        </w:rPr>
      </w:pPr>
      <w:bookmarkStart w:id="9" w:name="_Toc227762125"/>
      <w:r w:rsidRPr="00E0610F">
        <w:rPr>
          <w:rFonts w:cs="Arial"/>
          <w:color w:val="auto"/>
          <w:lang w:val="en-GB"/>
        </w:rPr>
        <w:t>3.5 Investment and Cash Flow Analysis</w:t>
      </w:r>
      <w:bookmarkEnd w:id="9"/>
    </w:p>
    <w:p w:rsidR="00AC09CB" w:rsidRPr="00E0610F" w:rsidRDefault="00AC09CB" w:rsidP="00AC09CB">
      <w:pPr>
        <w:rPr>
          <w:rFonts w:cs="Arial"/>
          <w:lang w:val="en-GB"/>
        </w:rPr>
      </w:pPr>
      <w:r w:rsidRPr="00E0610F">
        <w:rPr>
          <w:rFonts w:cs="Arial"/>
          <w:lang w:val="en-GB"/>
        </w:rPr>
        <w:t>The returns to shareholders are expressed in investment ratios, especially in earnings per share (EPS). Tesla’s EPS increased from approximately 1.87 in 2021 to 4.73 in 2023, before declining to around 2.22 in 2024. This drop is an indication of lower net income in the last year, and this can adversely impact investor confidence should it continue in the same way.</w:t>
      </w:r>
    </w:p>
    <w:p w:rsidR="00AC09CB" w:rsidRPr="00E0610F" w:rsidRDefault="00AC09CB" w:rsidP="00AC09CB">
      <w:pPr>
        <w:rPr>
          <w:rFonts w:cs="Arial"/>
          <w:lang w:val="en-GB"/>
        </w:rPr>
      </w:pPr>
      <w:r w:rsidRPr="00E0610F">
        <w:rPr>
          <w:rFonts w:cs="Arial"/>
          <w:lang w:val="en-GB"/>
        </w:rPr>
        <w:t xml:space="preserve">The profitability has decreased, but Tesla has continued to carry a robust operating cash flow, consistently over $11 billion during the second half of the period. There was also relative stability with the operating cash flow ratio, which decreased </w:t>
      </w:r>
      <w:r w:rsidRPr="00E0610F">
        <w:rPr>
          <w:rFonts w:cs="Arial"/>
          <w:lang w:val="en-GB"/>
        </w:rPr>
        <w:lastRenderedPageBreak/>
        <w:t>somewhat (by about 0.58 of 2021) to 0.52 in 2024, which shows that the firm is paying a bit less operating cash flow to meet its short-term liabilities (Tesla Annual Report, 2024).</w:t>
      </w:r>
    </w:p>
    <w:p w:rsidR="00E33CBE" w:rsidRPr="00E0610F" w:rsidRDefault="00AC09CB" w:rsidP="00AC09CB">
      <w:pPr>
        <w:rPr>
          <w:rFonts w:cs="Arial"/>
          <w:lang w:val="en-GB"/>
        </w:rPr>
      </w:pPr>
      <w:r w:rsidRPr="00E0610F">
        <w:rPr>
          <w:rFonts w:cs="Arial"/>
          <w:lang w:val="en-GB"/>
        </w:rPr>
        <w:t>The break-even of decreasing earnings and comparatively constant cash flows indicates that the essential operation of Tesla is financially sound. The decline in profitability is probably caused by non-cash costs and long-term investments, but not by essential operational inefficiencies.</w:t>
      </w:r>
    </w:p>
    <w:p w:rsidR="001A7306" w:rsidRPr="00E0610F" w:rsidRDefault="001A7306" w:rsidP="003134E1">
      <w:pPr>
        <w:pStyle w:val="Heading2"/>
        <w:spacing w:before="120" w:after="120"/>
        <w:rPr>
          <w:rFonts w:cs="Arial"/>
          <w:color w:val="auto"/>
          <w:lang w:val="en-GB"/>
        </w:rPr>
      </w:pPr>
      <w:bookmarkStart w:id="10" w:name="_Toc227762126"/>
      <w:r w:rsidRPr="00E0610F">
        <w:rPr>
          <w:rFonts w:cs="Arial"/>
          <w:color w:val="auto"/>
          <w:lang w:val="en-GB"/>
        </w:rPr>
        <w:t>3.6 Financial Trends, Strengths and Threats</w:t>
      </w:r>
      <w:bookmarkEnd w:id="10"/>
    </w:p>
    <w:p w:rsidR="00375F40" w:rsidRPr="00E0610F" w:rsidRDefault="00375F40" w:rsidP="00375F40">
      <w:pPr>
        <w:rPr>
          <w:rFonts w:cs="Arial"/>
          <w:b/>
          <w:lang w:val="en-GB"/>
        </w:rPr>
      </w:pPr>
      <w:r w:rsidRPr="00E0610F">
        <w:rPr>
          <w:rFonts w:cs="Arial"/>
          <w:b/>
          <w:lang w:val="en-GB"/>
        </w:rPr>
        <w:t>Key Trends</w:t>
      </w:r>
    </w:p>
    <w:p w:rsidR="00375F40" w:rsidRPr="00E0610F" w:rsidRDefault="00375F40" w:rsidP="00375F40">
      <w:pPr>
        <w:rPr>
          <w:rFonts w:cs="Arial"/>
          <w:lang w:val="en-GB"/>
        </w:rPr>
      </w:pPr>
      <w:r w:rsidRPr="00E0610F">
        <w:rPr>
          <w:rFonts w:cs="Arial"/>
          <w:lang w:val="en-GB"/>
        </w:rPr>
        <w:t>Financial results of Tesla show a shift towards the inability to grow fast and become more mature in development. The revenue grew considerably until 2024, and the profitability was strong until the last year (2023), and remained down in the latest year with lower margins and returns indicating that. People have continuously invested in it, which has resulted in a significant increase in the size of the capital base and liquidity. Efficiency has, however, faltered, with the grow</w:t>
      </w:r>
      <w:r w:rsidR="006D2192" w:rsidRPr="00E0610F">
        <w:rPr>
          <w:rFonts w:cs="Arial"/>
          <w:lang w:val="en-GB"/>
        </w:rPr>
        <w:t>th in assets exceeding income (</w:t>
      </w:r>
      <w:r w:rsidR="002E67E7" w:rsidRPr="00E0610F">
        <w:rPr>
          <w:rFonts w:cs="Arial"/>
          <w:lang w:val="en-GB"/>
        </w:rPr>
        <w:t>Tesla Annual Report, 2020;</w:t>
      </w:r>
      <w:r w:rsidRPr="00E0610F">
        <w:rPr>
          <w:rFonts w:cs="Arial"/>
          <w:lang w:val="en-GB"/>
        </w:rPr>
        <w:t xml:space="preserve"> </w:t>
      </w:r>
      <w:r w:rsidR="002E67E7" w:rsidRPr="00E0610F">
        <w:rPr>
          <w:rFonts w:cs="Arial"/>
          <w:lang w:val="en-GB"/>
        </w:rPr>
        <w:t xml:space="preserve">Tesla Annual Report, 2021; Tesla Annual </w:t>
      </w:r>
      <w:proofErr w:type="gramStart"/>
      <w:r w:rsidR="002E67E7" w:rsidRPr="00E0610F">
        <w:rPr>
          <w:rFonts w:cs="Arial"/>
          <w:lang w:val="en-GB"/>
        </w:rPr>
        <w:t>Report ,</w:t>
      </w:r>
      <w:proofErr w:type="gramEnd"/>
      <w:r w:rsidR="002E67E7" w:rsidRPr="00E0610F">
        <w:rPr>
          <w:rFonts w:cs="Arial"/>
          <w:lang w:val="en-GB"/>
        </w:rPr>
        <w:t xml:space="preserve"> 2022;</w:t>
      </w:r>
      <w:r w:rsidRPr="00E0610F">
        <w:rPr>
          <w:rFonts w:cs="Arial"/>
          <w:lang w:val="en-GB"/>
        </w:rPr>
        <w:t xml:space="preserve"> </w:t>
      </w:r>
      <w:r w:rsidR="002E67E7" w:rsidRPr="00E0610F">
        <w:rPr>
          <w:rFonts w:cs="Arial"/>
          <w:lang w:val="en-GB"/>
        </w:rPr>
        <w:t xml:space="preserve">Tesla Annual Report , </w:t>
      </w:r>
      <w:r w:rsidRPr="00E0610F">
        <w:rPr>
          <w:rFonts w:cs="Arial"/>
          <w:lang w:val="en-GB"/>
        </w:rPr>
        <w:t>2023</w:t>
      </w:r>
      <w:r w:rsidR="002E67E7" w:rsidRPr="00E0610F">
        <w:rPr>
          <w:rFonts w:cs="Arial"/>
          <w:lang w:val="en-GB"/>
        </w:rPr>
        <w:t>;</w:t>
      </w:r>
      <w:r w:rsidRPr="00E0610F">
        <w:rPr>
          <w:rFonts w:cs="Arial"/>
          <w:lang w:val="en-GB"/>
        </w:rPr>
        <w:t xml:space="preserve"> </w:t>
      </w:r>
      <w:r w:rsidR="002E67E7" w:rsidRPr="00E0610F">
        <w:rPr>
          <w:rFonts w:cs="Arial"/>
          <w:lang w:val="en-GB"/>
        </w:rPr>
        <w:t xml:space="preserve">Tesla Annual Report, </w:t>
      </w:r>
      <w:r w:rsidRPr="00E0610F">
        <w:rPr>
          <w:rFonts w:cs="Arial"/>
          <w:lang w:val="en-GB"/>
        </w:rPr>
        <w:t xml:space="preserve"> 2024).</w:t>
      </w:r>
    </w:p>
    <w:p w:rsidR="00375F40" w:rsidRPr="00E0610F" w:rsidRDefault="00375F40" w:rsidP="00375F40">
      <w:pPr>
        <w:rPr>
          <w:rFonts w:cs="Arial"/>
          <w:b/>
          <w:lang w:val="en-GB"/>
        </w:rPr>
      </w:pPr>
      <w:r w:rsidRPr="00E0610F">
        <w:rPr>
          <w:rFonts w:cs="Arial"/>
          <w:b/>
          <w:lang w:val="en-GB"/>
        </w:rPr>
        <w:t>Strengths</w:t>
      </w:r>
    </w:p>
    <w:p w:rsidR="00375F40" w:rsidRPr="00E0610F" w:rsidRDefault="00375F40" w:rsidP="00375F40">
      <w:pPr>
        <w:rPr>
          <w:rFonts w:cs="Arial"/>
          <w:lang w:val="en-GB"/>
        </w:rPr>
      </w:pPr>
      <w:r w:rsidRPr="00E0610F">
        <w:rPr>
          <w:rFonts w:cs="Arial"/>
          <w:lang w:val="en-GB"/>
        </w:rPr>
        <w:t xml:space="preserve">There are some significant financial </w:t>
      </w:r>
      <w:proofErr w:type="gramStart"/>
      <w:r w:rsidRPr="00E0610F">
        <w:rPr>
          <w:rFonts w:cs="Arial"/>
          <w:lang w:val="en-GB"/>
        </w:rPr>
        <w:t>strengths</w:t>
      </w:r>
      <w:proofErr w:type="gramEnd"/>
      <w:r w:rsidRPr="00E0610F">
        <w:rPr>
          <w:rFonts w:cs="Arial"/>
          <w:lang w:val="en-GB"/>
        </w:rPr>
        <w:t xml:space="preserve"> that Tesla exhibits. The company has a solid liquidity status, which can support it in fulfilling its short-term obligations. The cash flows are always strong, enabling the firm to finance </w:t>
      </w:r>
      <w:proofErr w:type="gramStart"/>
      <w:r w:rsidRPr="00E0610F">
        <w:rPr>
          <w:rFonts w:cs="Arial"/>
          <w:lang w:val="en-GB"/>
        </w:rPr>
        <w:t>itself</w:t>
      </w:r>
      <w:proofErr w:type="gramEnd"/>
      <w:r w:rsidRPr="00E0610F">
        <w:rPr>
          <w:rFonts w:cs="Arial"/>
          <w:lang w:val="en-GB"/>
        </w:rPr>
        <w:t xml:space="preserve"> internally and be financially flexible. Moreover, Tesla has a relatively stable capital structure, moderate leverage, and a good equity base, which diminishes financial risk. The direct-to-consumer sales framework boosts the cash flows by minimising the receivables, and the strategy of diversification into the energy or technology policies helps grow the business in the long-term and avoid dependence on one source of revenue </w:t>
      </w:r>
      <w:r w:rsidR="002E67E7" w:rsidRPr="00E0610F">
        <w:rPr>
          <w:rFonts w:cs="Arial"/>
          <w:lang w:val="en-GB"/>
        </w:rPr>
        <w:t xml:space="preserve">(Tesla Annual Report, 2020; Tesla Annual Report, 2021; Tesla Annual </w:t>
      </w:r>
      <w:proofErr w:type="gramStart"/>
      <w:r w:rsidR="002E67E7" w:rsidRPr="00E0610F">
        <w:rPr>
          <w:rFonts w:cs="Arial"/>
          <w:lang w:val="en-GB"/>
        </w:rPr>
        <w:t>Report ,</w:t>
      </w:r>
      <w:proofErr w:type="gramEnd"/>
      <w:r w:rsidR="002E67E7" w:rsidRPr="00E0610F">
        <w:rPr>
          <w:rFonts w:cs="Arial"/>
          <w:lang w:val="en-GB"/>
        </w:rPr>
        <w:t xml:space="preserve"> 2022; Tesla Annual Report , 2023; Tesla Annual Report,  2024)</w:t>
      </w:r>
      <w:r w:rsidRPr="00E0610F">
        <w:rPr>
          <w:rFonts w:cs="Arial"/>
          <w:lang w:val="en-GB"/>
        </w:rPr>
        <w:t>.</w:t>
      </w:r>
    </w:p>
    <w:p w:rsidR="00375F40" w:rsidRPr="00E0610F" w:rsidRDefault="00375F40" w:rsidP="00375F40">
      <w:pPr>
        <w:rPr>
          <w:rFonts w:cs="Arial"/>
          <w:b/>
          <w:lang w:val="en-GB"/>
        </w:rPr>
      </w:pPr>
      <w:r w:rsidRPr="00E0610F">
        <w:rPr>
          <w:rFonts w:cs="Arial"/>
          <w:b/>
          <w:lang w:val="en-GB"/>
        </w:rPr>
        <w:t>Threats</w:t>
      </w:r>
    </w:p>
    <w:p w:rsidR="001A7306" w:rsidRPr="00E0610F" w:rsidRDefault="00375F40" w:rsidP="00375F40">
      <w:pPr>
        <w:rPr>
          <w:rFonts w:cs="Arial"/>
          <w:lang w:val="en-GB"/>
        </w:rPr>
      </w:pPr>
      <w:r w:rsidRPr="00E0610F">
        <w:rPr>
          <w:rFonts w:cs="Arial"/>
          <w:lang w:val="en-GB"/>
        </w:rPr>
        <w:t xml:space="preserve">In spite of these benefits, there are various financial risks that can be identified. The decrease in profitability can be considered a major issue, with the prolonged </w:t>
      </w:r>
      <w:r w:rsidRPr="00E0610F">
        <w:rPr>
          <w:rFonts w:cs="Arial"/>
          <w:lang w:val="en-GB"/>
        </w:rPr>
        <w:lastRenderedPageBreak/>
        <w:t xml:space="preserve">downtrend undermining investor confidence. Financial performance is still under the impact of margin compression due to increasing costs and competition based on price establishment. There has also been a reduction in efficiency because the growth in assets has not increased in proportion to the revitalisation of the revenue. Moreover, the large amount of capital expenditure incentives works against the financial resources with growing strain. There are various external risks like inflation and fluctuations in exchange rates, which provide an increased uncertainty and can cause an adverse influence on future profits </w:t>
      </w:r>
      <w:r w:rsidR="002E67E7" w:rsidRPr="00E0610F">
        <w:rPr>
          <w:rFonts w:cs="Arial"/>
          <w:lang w:val="en-GB"/>
        </w:rPr>
        <w:t xml:space="preserve">(Tesla Annual Report, 2020; Tesla Annual Report, 2021; Tesla Annual </w:t>
      </w:r>
      <w:proofErr w:type="gramStart"/>
      <w:r w:rsidR="002E67E7" w:rsidRPr="00E0610F">
        <w:rPr>
          <w:rFonts w:cs="Arial"/>
          <w:lang w:val="en-GB"/>
        </w:rPr>
        <w:t>Report ,</w:t>
      </w:r>
      <w:proofErr w:type="gramEnd"/>
      <w:r w:rsidR="002E67E7" w:rsidRPr="00E0610F">
        <w:rPr>
          <w:rFonts w:cs="Arial"/>
          <w:lang w:val="en-GB"/>
        </w:rPr>
        <w:t xml:space="preserve"> 2022; Tesla Annual Report , 2023; Tesla Annual Report,  2024)</w:t>
      </w:r>
      <w:r w:rsidRPr="00E0610F">
        <w:rPr>
          <w:rFonts w:cs="Arial"/>
          <w:lang w:val="en-GB"/>
        </w:rPr>
        <w:t>.</w:t>
      </w:r>
    </w:p>
    <w:p w:rsidR="001A7306" w:rsidRPr="00E0610F" w:rsidRDefault="001A7306" w:rsidP="003134E1">
      <w:pPr>
        <w:rPr>
          <w:rFonts w:cs="Arial"/>
          <w:lang w:val="en-GB"/>
        </w:rPr>
      </w:pPr>
      <w:r w:rsidRPr="00E0610F">
        <w:rPr>
          <w:rFonts w:cs="Arial"/>
          <w:lang w:val="en-GB"/>
        </w:rPr>
        <w:br w:type="page"/>
      </w:r>
    </w:p>
    <w:p w:rsidR="001A7306" w:rsidRPr="00E0610F" w:rsidRDefault="001A7306" w:rsidP="003134E1">
      <w:pPr>
        <w:pStyle w:val="Heading1"/>
        <w:spacing w:before="120" w:after="120"/>
        <w:rPr>
          <w:rFonts w:cs="Arial"/>
          <w:color w:val="auto"/>
          <w:lang w:val="en-GB"/>
        </w:rPr>
      </w:pPr>
      <w:bookmarkStart w:id="11" w:name="_Toc227762127"/>
      <w:r w:rsidRPr="00E0610F">
        <w:rPr>
          <w:rFonts w:cs="Arial"/>
          <w:color w:val="auto"/>
          <w:lang w:val="en-GB"/>
        </w:rPr>
        <w:lastRenderedPageBreak/>
        <w:t>4. Working Capital Management Analysis</w:t>
      </w:r>
      <w:bookmarkEnd w:id="11"/>
    </w:p>
    <w:p w:rsidR="001A7306" w:rsidRPr="00E0610F" w:rsidRDefault="001A7306" w:rsidP="003134E1">
      <w:pPr>
        <w:rPr>
          <w:rFonts w:cs="Arial"/>
          <w:lang w:val="en-GB"/>
        </w:rPr>
      </w:pPr>
      <w:r w:rsidRPr="00E0610F">
        <w:rPr>
          <w:rFonts w:cs="Arial"/>
          <w:lang w:val="en-GB"/>
        </w:rPr>
        <w:t>As a fundamental part of business, working capital needs to be managed effectively to facilitate liquidity, operations, and financial stability. This part compares the cash operating cycle of Tesla, analyses the liquidity position of the company and suggests ways to enhance working capital utilisation. It also juxtaposes both short-term and long-term financing choices to facilitate financial sustainability</w:t>
      </w:r>
      <w:r w:rsidR="00B844EE" w:rsidRPr="00E0610F">
        <w:rPr>
          <w:rFonts w:cs="Arial"/>
          <w:lang w:val="en-GB"/>
        </w:rPr>
        <w:t xml:space="preserve"> (Arnold and Lewis, 2019)</w:t>
      </w:r>
      <w:r w:rsidRPr="00E0610F">
        <w:rPr>
          <w:rFonts w:cs="Arial"/>
          <w:lang w:val="en-GB"/>
        </w:rPr>
        <w:t>.</w:t>
      </w:r>
    </w:p>
    <w:p w:rsidR="001A7306" w:rsidRPr="00E0610F" w:rsidRDefault="001A7306" w:rsidP="003134E1">
      <w:pPr>
        <w:pStyle w:val="Heading2"/>
        <w:spacing w:before="120" w:after="120"/>
        <w:rPr>
          <w:rFonts w:cs="Arial"/>
          <w:color w:val="auto"/>
          <w:lang w:val="en-GB"/>
        </w:rPr>
      </w:pPr>
      <w:bookmarkStart w:id="12" w:name="_Toc227762128"/>
      <w:r w:rsidRPr="00E0610F">
        <w:rPr>
          <w:rFonts w:cs="Arial"/>
          <w:color w:val="auto"/>
          <w:lang w:val="en-GB"/>
        </w:rPr>
        <w:t>4.1 Cash Operating Cycle</w:t>
      </w:r>
      <w:bookmarkEnd w:id="12"/>
    </w:p>
    <w:p w:rsidR="001A7306" w:rsidRPr="00E0610F" w:rsidRDefault="001A7306" w:rsidP="003134E1">
      <w:pPr>
        <w:rPr>
          <w:rFonts w:cs="Arial"/>
          <w:lang w:val="en-GB"/>
        </w:rPr>
      </w:pPr>
      <w:r w:rsidRPr="00E0610F">
        <w:rPr>
          <w:rFonts w:cs="Arial"/>
          <w:lang w:val="en-GB"/>
        </w:rPr>
        <w:t>The cash operating cycle (cash conversion cycle) is used to determine how long it takes to turn inventory and other resources into the inflow of cash. It is calculated as:</w:t>
      </w:r>
    </w:p>
    <w:p w:rsidR="008934AD" w:rsidRPr="00E0610F" w:rsidRDefault="008934AD" w:rsidP="003134E1">
      <w:pPr>
        <w:rPr>
          <w:rFonts w:cs="Arial"/>
          <w:b/>
          <w:i/>
          <w:lang w:val="en-GB"/>
        </w:rPr>
      </w:pPr>
      <w:r w:rsidRPr="00E0610F">
        <w:rPr>
          <w:rFonts w:cs="Arial"/>
          <w:b/>
          <w:i/>
          <w:lang w:val="en-GB"/>
        </w:rPr>
        <w:t>Cash Operating Cycle = Inventory Days + Receivable Days − Payable Days</w:t>
      </w:r>
    </w:p>
    <w:p w:rsidR="008934AD" w:rsidRPr="00E0610F" w:rsidRDefault="008934AD" w:rsidP="003134E1">
      <w:pPr>
        <w:rPr>
          <w:rFonts w:cs="Arial"/>
          <w:lang w:val="en-GB"/>
        </w:rPr>
      </w:pPr>
      <w:r w:rsidRPr="00E0610F">
        <w:rPr>
          <w:rFonts w:cs="Arial"/>
          <w:lang w:val="en-GB"/>
        </w:rPr>
        <w:t>To estimate the cycle, the following calculations are used (based on the latest data):</w:t>
      </w:r>
    </w:p>
    <w:p w:rsidR="008934AD" w:rsidRPr="00E0610F" w:rsidRDefault="008934AD" w:rsidP="003134E1">
      <w:pPr>
        <w:rPr>
          <w:rFonts w:cs="Arial"/>
          <w:lang w:val="en-GB"/>
        </w:rPr>
      </w:pPr>
      <w:r w:rsidRPr="00E0610F">
        <w:rPr>
          <w:rFonts w:cs="Arial"/>
          <w:lang w:val="en-GB"/>
        </w:rPr>
        <w:t>Inventory Days = (Inventory / Cost of Sales) × 365</w:t>
      </w:r>
    </w:p>
    <w:p w:rsidR="008934AD" w:rsidRPr="00E0610F" w:rsidRDefault="008934AD" w:rsidP="003134E1">
      <w:pPr>
        <w:rPr>
          <w:rFonts w:cs="Arial"/>
          <w:lang w:val="en-GB"/>
        </w:rPr>
      </w:pPr>
      <w:r w:rsidRPr="00E0610F">
        <w:rPr>
          <w:rFonts w:cs="Arial"/>
          <w:lang w:val="en-GB"/>
        </w:rPr>
        <w:t>Receivable Days = (Receivables / Revenue) × 365</w:t>
      </w:r>
    </w:p>
    <w:p w:rsidR="008934AD" w:rsidRPr="00E0610F" w:rsidRDefault="008934AD" w:rsidP="003134E1">
      <w:pPr>
        <w:rPr>
          <w:rFonts w:cs="Arial"/>
          <w:lang w:val="en-GB"/>
        </w:rPr>
      </w:pPr>
      <w:r w:rsidRPr="00E0610F">
        <w:rPr>
          <w:rFonts w:cs="Arial"/>
          <w:lang w:val="en-GB"/>
        </w:rPr>
        <w:t>Payable Days = (Payables / Cost of Sales) × 365</w:t>
      </w:r>
    </w:p>
    <w:p w:rsidR="008934AD" w:rsidRPr="00E0610F" w:rsidRDefault="008934AD" w:rsidP="003134E1">
      <w:pPr>
        <w:rPr>
          <w:rFonts w:cs="Arial"/>
          <w:b/>
          <w:lang w:val="en-GB"/>
        </w:rPr>
      </w:pPr>
      <w:r w:rsidRPr="00E0610F">
        <w:rPr>
          <w:rFonts w:cs="Arial"/>
          <w:b/>
          <w:lang w:val="en-GB"/>
        </w:rPr>
        <w:t>Using Tesla’s financial data</w:t>
      </w:r>
      <w:r w:rsidR="00B844EE" w:rsidRPr="00E0610F">
        <w:rPr>
          <w:rFonts w:cs="Arial"/>
          <w:b/>
          <w:lang w:val="en-GB"/>
        </w:rPr>
        <w:t xml:space="preserve"> </w:t>
      </w:r>
      <w:r w:rsidR="00B844EE" w:rsidRPr="00E0610F">
        <w:rPr>
          <w:rFonts w:cs="Arial"/>
          <w:lang w:val="en-GB"/>
        </w:rPr>
        <w:t>(Tesla Annual Report, 202</w:t>
      </w:r>
      <w:r w:rsidR="00375F40" w:rsidRPr="00E0610F">
        <w:rPr>
          <w:rFonts w:cs="Arial"/>
          <w:lang w:val="en-GB"/>
        </w:rPr>
        <w:t>4</w:t>
      </w:r>
      <w:r w:rsidR="00B844EE" w:rsidRPr="00E0610F">
        <w:rPr>
          <w:rFonts w:cs="Arial"/>
          <w:lang w:val="en-GB"/>
        </w:rPr>
        <w:t>)</w:t>
      </w:r>
      <w:r w:rsidRPr="00E0610F">
        <w:rPr>
          <w:rFonts w:cs="Arial"/>
          <w:b/>
          <w:lang w:val="en-GB"/>
        </w:rPr>
        <w:t>:</w:t>
      </w:r>
    </w:p>
    <w:p w:rsidR="00375F40" w:rsidRPr="00E0610F" w:rsidRDefault="00375F40" w:rsidP="00375F40">
      <w:pPr>
        <w:pStyle w:val="ListParagraph"/>
        <w:numPr>
          <w:ilvl w:val="0"/>
          <w:numId w:val="1"/>
        </w:numPr>
        <w:rPr>
          <w:rFonts w:cs="Arial"/>
          <w:lang w:val="en-GB"/>
        </w:rPr>
      </w:pPr>
      <w:r w:rsidRPr="00E0610F">
        <w:rPr>
          <w:rFonts w:cs="Arial"/>
          <w:lang w:val="en-GB"/>
        </w:rPr>
        <w:t>Inventory = $12,017 million</w:t>
      </w:r>
    </w:p>
    <w:p w:rsidR="00375F40" w:rsidRPr="00E0610F" w:rsidRDefault="00375F40" w:rsidP="00375F40">
      <w:pPr>
        <w:pStyle w:val="ListParagraph"/>
        <w:numPr>
          <w:ilvl w:val="0"/>
          <w:numId w:val="1"/>
        </w:numPr>
        <w:rPr>
          <w:rFonts w:cs="Arial"/>
          <w:lang w:val="en-GB"/>
        </w:rPr>
      </w:pPr>
      <w:r w:rsidRPr="00E0610F">
        <w:rPr>
          <w:rFonts w:cs="Arial"/>
          <w:lang w:val="en-GB"/>
        </w:rPr>
        <w:t>Accounts receivable = $4,418 million</w:t>
      </w:r>
    </w:p>
    <w:p w:rsidR="00375F40" w:rsidRPr="00E0610F" w:rsidRDefault="00375F40" w:rsidP="00375F40">
      <w:pPr>
        <w:pStyle w:val="ListParagraph"/>
        <w:numPr>
          <w:ilvl w:val="0"/>
          <w:numId w:val="1"/>
        </w:numPr>
        <w:rPr>
          <w:rFonts w:cs="Arial"/>
          <w:lang w:val="en-GB"/>
        </w:rPr>
      </w:pPr>
      <w:r w:rsidRPr="00E0610F">
        <w:rPr>
          <w:rFonts w:cs="Arial"/>
          <w:lang w:val="en-GB"/>
        </w:rPr>
        <w:t>Accounts payable = $12,474 million</w:t>
      </w:r>
    </w:p>
    <w:p w:rsidR="00375F40" w:rsidRPr="00E0610F" w:rsidRDefault="00375F40" w:rsidP="00375F40">
      <w:pPr>
        <w:pStyle w:val="ListParagraph"/>
        <w:numPr>
          <w:ilvl w:val="0"/>
          <w:numId w:val="1"/>
        </w:numPr>
        <w:rPr>
          <w:rFonts w:cs="Arial"/>
          <w:lang w:val="en-GB"/>
        </w:rPr>
      </w:pPr>
      <w:r w:rsidRPr="00E0610F">
        <w:rPr>
          <w:rFonts w:cs="Arial"/>
          <w:lang w:val="en-GB"/>
        </w:rPr>
        <w:t>Revenue = $97,690 million</w:t>
      </w:r>
    </w:p>
    <w:p w:rsidR="008934AD" w:rsidRPr="00E0610F" w:rsidRDefault="00375F40" w:rsidP="00375F40">
      <w:pPr>
        <w:pStyle w:val="ListParagraph"/>
        <w:numPr>
          <w:ilvl w:val="0"/>
          <w:numId w:val="1"/>
        </w:numPr>
        <w:rPr>
          <w:rFonts w:cs="Arial"/>
          <w:lang w:val="en-GB"/>
        </w:rPr>
      </w:pPr>
      <w:r w:rsidRPr="00E0610F">
        <w:rPr>
          <w:rFonts w:cs="Arial"/>
          <w:lang w:val="en-GB"/>
        </w:rPr>
        <w:t>Cost of sales = $80,240 million (Revenue of $97,690 million less gross profit of $17,450 million)</w:t>
      </w:r>
    </w:p>
    <w:p w:rsidR="008934AD" w:rsidRPr="00E0610F" w:rsidRDefault="008934AD" w:rsidP="003134E1">
      <w:pPr>
        <w:rPr>
          <w:rFonts w:cs="Arial"/>
          <w:b/>
          <w:lang w:val="en-GB"/>
        </w:rPr>
      </w:pPr>
      <w:r w:rsidRPr="00E0610F">
        <w:rPr>
          <w:rFonts w:cs="Arial"/>
          <w:b/>
          <w:lang w:val="en-GB"/>
        </w:rPr>
        <w:t>Approximate calculations:</w:t>
      </w:r>
    </w:p>
    <w:p w:rsidR="00375F40" w:rsidRPr="00E0610F" w:rsidRDefault="00375F40" w:rsidP="00375F40">
      <w:pPr>
        <w:pStyle w:val="ListParagraph"/>
        <w:numPr>
          <w:ilvl w:val="0"/>
          <w:numId w:val="13"/>
        </w:numPr>
        <w:rPr>
          <w:rFonts w:cs="Arial"/>
          <w:lang w:val="en-GB"/>
        </w:rPr>
      </w:pPr>
      <w:r w:rsidRPr="00E0610F">
        <w:rPr>
          <w:rFonts w:cs="Arial"/>
          <w:lang w:val="en-GB"/>
        </w:rPr>
        <w:t>Inventory Days = (12,017 / 80,240) × 365 = 54.7 days</w:t>
      </w:r>
    </w:p>
    <w:p w:rsidR="00375F40" w:rsidRPr="00E0610F" w:rsidRDefault="00375F40" w:rsidP="00375F40">
      <w:pPr>
        <w:pStyle w:val="ListParagraph"/>
        <w:numPr>
          <w:ilvl w:val="0"/>
          <w:numId w:val="13"/>
        </w:numPr>
        <w:rPr>
          <w:rFonts w:cs="Arial"/>
          <w:lang w:val="en-GB"/>
        </w:rPr>
      </w:pPr>
      <w:r w:rsidRPr="00E0610F">
        <w:rPr>
          <w:rFonts w:cs="Arial"/>
          <w:lang w:val="en-GB"/>
        </w:rPr>
        <w:t>Receivable Days = (4,418 / 97,690) × 365 = 16.5 days</w:t>
      </w:r>
    </w:p>
    <w:p w:rsidR="00375F40" w:rsidRPr="00E0610F" w:rsidRDefault="00375F40" w:rsidP="00375F40">
      <w:pPr>
        <w:pStyle w:val="ListParagraph"/>
        <w:numPr>
          <w:ilvl w:val="0"/>
          <w:numId w:val="13"/>
        </w:numPr>
        <w:rPr>
          <w:rFonts w:cs="Arial"/>
          <w:lang w:val="en-GB"/>
        </w:rPr>
      </w:pPr>
      <w:r w:rsidRPr="00E0610F">
        <w:rPr>
          <w:rFonts w:cs="Arial"/>
          <w:lang w:val="en-GB"/>
        </w:rPr>
        <w:t>Payable Days = (12,474 / 80,240) × 365 = 56.8 days</w:t>
      </w:r>
    </w:p>
    <w:p w:rsidR="00375F40" w:rsidRPr="00E0610F" w:rsidRDefault="00375F40" w:rsidP="00375F40">
      <w:pPr>
        <w:rPr>
          <w:rFonts w:cs="Arial"/>
          <w:b/>
          <w:lang w:val="en-GB"/>
        </w:rPr>
      </w:pPr>
      <w:r w:rsidRPr="00E0610F">
        <w:rPr>
          <w:rFonts w:cs="Arial"/>
          <w:b/>
          <w:lang w:val="en-GB"/>
        </w:rPr>
        <w:t>So:</w:t>
      </w:r>
    </w:p>
    <w:p w:rsidR="001A7306" w:rsidRPr="00E0610F" w:rsidRDefault="00375F40" w:rsidP="00375F40">
      <w:pPr>
        <w:rPr>
          <w:rFonts w:cs="Arial"/>
          <w:lang w:val="en-GB"/>
        </w:rPr>
      </w:pPr>
      <w:r w:rsidRPr="00E0610F">
        <w:rPr>
          <w:rFonts w:cs="Arial"/>
          <w:b/>
          <w:lang w:val="en-GB"/>
        </w:rPr>
        <w:t>Cash Operating Cycle</w:t>
      </w:r>
      <w:r w:rsidRPr="00E0610F">
        <w:rPr>
          <w:rFonts w:cs="Arial"/>
          <w:lang w:val="en-GB"/>
        </w:rPr>
        <w:t xml:space="preserve"> = 54.7 + 16.5 − 56.8 = 14.4 days</w:t>
      </w:r>
    </w:p>
    <w:p w:rsidR="001A7306" w:rsidRPr="00E0610F" w:rsidRDefault="001A7306" w:rsidP="003134E1">
      <w:pPr>
        <w:rPr>
          <w:rFonts w:cs="Arial"/>
          <w:b/>
          <w:lang w:val="en-GB"/>
        </w:rPr>
      </w:pPr>
      <w:r w:rsidRPr="00E0610F">
        <w:rPr>
          <w:rFonts w:cs="Arial"/>
          <w:b/>
          <w:lang w:val="en-GB"/>
        </w:rPr>
        <w:t>Interpretation</w:t>
      </w:r>
    </w:p>
    <w:p w:rsidR="00375F40" w:rsidRPr="00E0610F" w:rsidRDefault="00375F40" w:rsidP="00375F40">
      <w:pPr>
        <w:rPr>
          <w:rFonts w:cs="Arial"/>
          <w:lang w:val="en-GB"/>
        </w:rPr>
      </w:pPr>
      <w:r w:rsidRPr="00E0610F">
        <w:rPr>
          <w:rFonts w:cs="Arial"/>
          <w:lang w:val="en-GB"/>
        </w:rPr>
        <w:lastRenderedPageBreak/>
        <w:t>A positive cash operating cycle means that Tesla has a relatively short period to invest in its inventory and receivables and convert them into cash. The company has an efficient working capital management with a cycle of about 14 days.</w:t>
      </w:r>
    </w:p>
    <w:p w:rsidR="00375F40" w:rsidRPr="00E0610F" w:rsidRDefault="00375F40" w:rsidP="00375F40">
      <w:pPr>
        <w:rPr>
          <w:rFonts w:cs="Arial"/>
          <w:lang w:val="en-GB"/>
        </w:rPr>
      </w:pPr>
      <w:r w:rsidRPr="00E0610F">
        <w:rPr>
          <w:rFonts w:cs="Arial"/>
          <w:lang w:val="en-GB"/>
        </w:rPr>
        <w:t>The direct-to-consumer model maintains a small receivable days outstanding, whereas longer payable days affect the cash flow, due to the postponement of payments to suppliers (Dyer et al., 2021). But the level of inventory is comparatively high, and this capital-intensive nature of operation must be well handled.</w:t>
      </w:r>
    </w:p>
    <w:p w:rsidR="001A7306" w:rsidRPr="00E0610F" w:rsidRDefault="00375F40" w:rsidP="00375F40">
      <w:pPr>
        <w:rPr>
          <w:rFonts w:cs="Arial"/>
          <w:lang w:val="en-GB"/>
        </w:rPr>
      </w:pPr>
      <w:r w:rsidRPr="00E0610F">
        <w:rPr>
          <w:rFonts w:cs="Arial"/>
          <w:lang w:val="en-GB"/>
        </w:rPr>
        <w:t>In general, although the short cycle is advantageous, good inventory management and dependency on supplier credit should still play a significant role in ensuring liquidity (</w:t>
      </w:r>
      <w:proofErr w:type="spellStart"/>
      <w:r w:rsidRPr="00E0610F">
        <w:rPr>
          <w:rFonts w:cs="Arial"/>
          <w:lang w:val="en-GB"/>
        </w:rPr>
        <w:t>Teece</w:t>
      </w:r>
      <w:proofErr w:type="spellEnd"/>
      <w:r w:rsidRPr="00E0610F">
        <w:rPr>
          <w:rFonts w:cs="Arial"/>
          <w:lang w:val="en-GB"/>
        </w:rPr>
        <w:t>, 2018).</w:t>
      </w:r>
    </w:p>
    <w:p w:rsidR="001A7306" w:rsidRPr="00E0610F" w:rsidRDefault="001A7306" w:rsidP="003134E1">
      <w:pPr>
        <w:pStyle w:val="Heading2"/>
        <w:spacing w:before="120" w:after="120"/>
        <w:rPr>
          <w:rFonts w:cs="Arial"/>
          <w:color w:val="auto"/>
          <w:lang w:val="en-GB"/>
        </w:rPr>
      </w:pPr>
      <w:bookmarkStart w:id="13" w:name="_Toc227762129"/>
      <w:r w:rsidRPr="00E0610F">
        <w:rPr>
          <w:rFonts w:cs="Arial"/>
          <w:color w:val="auto"/>
          <w:lang w:val="en-GB"/>
        </w:rPr>
        <w:t>4.2 Liquidity Management</w:t>
      </w:r>
      <w:bookmarkEnd w:id="13"/>
    </w:p>
    <w:p w:rsidR="001A7306" w:rsidRPr="00E0610F" w:rsidRDefault="001A7306" w:rsidP="003134E1">
      <w:pPr>
        <w:rPr>
          <w:rFonts w:cs="Arial"/>
          <w:lang w:val="en-GB"/>
        </w:rPr>
      </w:pPr>
      <w:r w:rsidRPr="00E0610F">
        <w:rPr>
          <w:rFonts w:cs="Arial"/>
          <w:lang w:val="en-GB"/>
        </w:rPr>
        <w:t xml:space="preserve">Tesla has a good liquidity position as indicated by increasing current and quick ratios. The company boasts of a large amount of cash and </w:t>
      </w:r>
      <w:r w:rsidR="008934AD" w:rsidRPr="00E0610F">
        <w:rPr>
          <w:rFonts w:cs="Arial"/>
          <w:lang w:val="en-GB"/>
        </w:rPr>
        <w:t>short-term</w:t>
      </w:r>
      <w:r w:rsidRPr="00E0610F">
        <w:rPr>
          <w:rFonts w:cs="Arial"/>
          <w:lang w:val="en-GB"/>
        </w:rPr>
        <w:t xml:space="preserve"> investments</w:t>
      </w:r>
      <w:r w:rsidR="008934AD" w:rsidRPr="00E0610F">
        <w:rPr>
          <w:rFonts w:cs="Arial"/>
          <w:lang w:val="en-GB"/>
        </w:rPr>
        <w:t>,</w:t>
      </w:r>
      <w:r w:rsidRPr="00E0610F">
        <w:rPr>
          <w:rFonts w:cs="Arial"/>
          <w:lang w:val="en-GB"/>
        </w:rPr>
        <w:t xml:space="preserve"> thus not having to strain </w:t>
      </w:r>
      <w:r w:rsidR="008934AD" w:rsidRPr="00E0610F">
        <w:rPr>
          <w:rFonts w:cs="Arial"/>
          <w:lang w:val="en-GB"/>
        </w:rPr>
        <w:t>to meet short-term</w:t>
      </w:r>
      <w:r w:rsidRPr="00E0610F">
        <w:rPr>
          <w:rFonts w:cs="Arial"/>
          <w:lang w:val="en-GB"/>
        </w:rPr>
        <w:t xml:space="preserve"> liabilities. This gives financial flexibility and helps to maintain operations</w:t>
      </w:r>
      <w:r w:rsidR="00C754D0" w:rsidRPr="00E0610F">
        <w:rPr>
          <w:rFonts w:cs="Arial"/>
          <w:lang w:val="en-GB"/>
        </w:rPr>
        <w:t xml:space="preserve"> (Tesla Annual Report, 202</w:t>
      </w:r>
      <w:r w:rsidR="00D87BDA" w:rsidRPr="00E0610F">
        <w:rPr>
          <w:rFonts w:cs="Arial"/>
          <w:lang w:val="en-GB"/>
        </w:rPr>
        <w:t>4</w:t>
      </w:r>
      <w:r w:rsidR="00C754D0" w:rsidRPr="00E0610F">
        <w:rPr>
          <w:rFonts w:cs="Arial"/>
          <w:lang w:val="en-GB"/>
        </w:rPr>
        <w:t>)</w:t>
      </w:r>
      <w:r w:rsidRPr="00E0610F">
        <w:rPr>
          <w:rFonts w:cs="Arial"/>
          <w:lang w:val="en-GB"/>
        </w:rPr>
        <w:t>.</w:t>
      </w:r>
    </w:p>
    <w:p w:rsidR="001A7306" w:rsidRPr="00E0610F" w:rsidRDefault="001A7306" w:rsidP="003134E1">
      <w:pPr>
        <w:rPr>
          <w:rFonts w:cs="Arial"/>
          <w:lang w:val="en-GB"/>
        </w:rPr>
      </w:pPr>
      <w:r w:rsidRPr="00E0610F">
        <w:rPr>
          <w:rFonts w:cs="Arial"/>
          <w:lang w:val="en-GB"/>
        </w:rPr>
        <w:t xml:space="preserve">However, large inventories and low current </w:t>
      </w:r>
      <w:r w:rsidR="008934AD" w:rsidRPr="00E0610F">
        <w:rPr>
          <w:rFonts w:cs="Arial"/>
          <w:lang w:val="en-GB"/>
        </w:rPr>
        <w:t>ratios</w:t>
      </w:r>
      <w:r w:rsidRPr="00E0610F">
        <w:rPr>
          <w:rFonts w:cs="Arial"/>
          <w:lang w:val="en-GB"/>
        </w:rPr>
        <w:t xml:space="preserve"> can decrease productivity. Surplus working capital held in stock or low-yielding </w:t>
      </w:r>
      <w:r w:rsidR="008934AD" w:rsidRPr="00E0610F">
        <w:rPr>
          <w:rFonts w:cs="Arial"/>
          <w:lang w:val="en-GB"/>
        </w:rPr>
        <w:t>assets</w:t>
      </w:r>
      <w:r w:rsidRPr="00E0610F">
        <w:rPr>
          <w:rFonts w:cs="Arial"/>
          <w:lang w:val="en-GB"/>
        </w:rPr>
        <w:t xml:space="preserve"> would restrict returns. As such, the liquidity level is high, but optimisation should be performed to increase capital </w:t>
      </w:r>
      <w:r w:rsidR="00C754D0" w:rsidRPr="00E0610F">
        <w:rPr>
          <w:rFonts w:cs="Arial"/>
          <w:lang w:val="en-GB"/>
        </w:rPr>
        <w:t xml:space="preserve">utilisation (Brigham and </w:t>
      </w:r>
      <w:proofErr w:type="spellStart"/>
      <w:r w:rsidR="00C754D0" w:rsidRPr="00E0610F">
        <w:rPr>
          <w:rFonts w:cs="Arial"/>
          <w:lang w:val="en-GB"/>
        </w:rPr>
        <w:t>Ehrhardt</w:t>
      </w:r>
      <w:proofErr w:type="spellEnd"/>
      <w:r w:rsidR="00C754D0" w:rsidRPr="00E0610F">
        <w:rPr>
          <w:rFonts w:cs="Arial"/>
          <w:lang w:val="en-GB"/>
        </w:rPr>
        <w:t>, 2023)</w:t>
      </w:r>
      <w:r w:rsidRPr="00E0610F">
        <w:rPr>
          <w:rFonts w:cs="Arial"/>
          <w:lang w:val="en-GB"/>
        </w:rPr>
        <w:t>.</w:t>
      </w:r>
    </w:p>
    <w:p w:rsidR="001A7306" w:rsidRPr="00E0610F" w:rsidRDefault="008934AD" w:rsidP="00EB4FD0">
      <w:pPr>
        <w:pStyle w:val="Heading2"/>
        <w:spacing w:before="120" w:after="120"/>
        <w:rPr>
          <w:rFonts w:cs="Arial"/>
          <w:color w:val="auto"/>
          <w:lang w:val="en-GB"/>
        </w:rPr>
      </w:pPr>
      <w:bookmarkStart w:id="14" w:name="_Toc227762130"/>
      <w:r w:rsidRPr="00E0610F">
        <w:rPr>
          <w:rFonts w:cs="Arial"/>
          <w:color w:val="auto"/>
          <w:lang w:val="en-GB"/>
        </w:rPr>
        <w:t>4.3 Working Capital Improvement Strategies</w:t>
      </w:r>
      <w:bookmarkEnd w:id="14"/>
    </w:p>
    <w:p w:rsidR="00EB4FD0" w:rsidRPr="00E0610F" w:rsidRDefault="00EB4FD0" w:rsidP="00EB4FD0">
      <w:pPr>
        <w:rPr>
          <w:lang w:val="en-GB"/>
        </w:rPr>
      </w:pPr>
      <w:r w:rsidRPr="00E0610F">
        <w:rPr>
          <w:lang w:val="en-GB"/>
        </w:rPr>
        <w:t>Several measures will increase the efficiency of Tesla's working capital:</w:t>
      </w:r>
    </w:p>
    <w:p w:rsidR="001A7306" w:rsidRPr="00E0610F" w:rsidRDefault="00996F2D" w:rsidP="003134E1">
      <w:pPr>
        <w:pStyle w:val="ListParagraph"/>
        <w:numPr>
          <w:ilvl w:val="0"/>
          <w:numId w:val="2"/>
        </w:numPr>
        <w:rPr>
          <w:rFonts w:cs="Arial"/>
          <w:lang w:val="en-GB"/>
        </w:rPr>
      </w:pPr>
      <w:r w:rsidRPr="00E0610F">
        <w:rPr>
          <w:rFonts w:cs="Arial"/>
          <w:lang w:val="en-GB"/>
        </w:rPr>
        <w:t>Firstly</w:t>
      </w:r>
      <w:r w:rsidR="001A7306" w:rsidRPr="00E0610F">
        <w:rPr>
          <w:rFonts w:cs="Arial"/>
          <w:lang w:val="en-GB"/>
        </w:rPr>
        <w:t>, the inventory management should be enhanced with sophisticated demand forecasting and production planning. This would help decrease the stock on hand and holding costs</w:t>
      </w:r>
      <w:r w:rsidR="00C754D0" w:rsidRPr="00E0610F">
        <w:rPr>
          <w:rFonts w:cs="Arial"/>
          <w:lang w:val="en-GB"/>
        </w:rPr>
        <w:t xml:space="preserve"> (</w:t>
      </w:r>
      <w:proofErr w:type="spellStart"/>
      <w:r w:rsidR="00C754D0" w:rsidRPr="00E0610F">
        <w:rPr>
          <w:rFonts w:cs="Arial"/>
          <w:lang w:val="en-GB"/>
        </w:rPr>
        <w:t>Valinurova</w:t>
      </w:r>
      <w:proofErr w:type="spellEnd"/>
      <w:r w:rsidR="00C754D0" w:rsidRPr="00E0610F">
        <w:rPr>
          <w:rFonts w:cs="Arial"/>
          <w:lang w:val="en-GB"/>
        </w:rPr>
        <w:t xml:space="preserve">, </w:t>
      </w:r>
      <w:proofErr w:type="spellStart"/>
      <w:r w:rsidR="00C754D0" w:rsidRPr="00E0610F">
        <w:rPr>
          <w:rFonts w:cs="Arial"/>
          <w:lang w:val="en-GB"/>
        </w:rPr>
        <w:t>Leibert</w:t>
      </w:r>
      <w:proofErr w:type="spellEnd"/>
      <w:r w:rsidR="00C754D0" w:rsidRPr="00E0610F">
        <w:rPr>
          <w:rFonts w:cs="Arial"/>
          <w:lang w:val="en-GB"/>
        </w:rPr>
        <w:t xml:space="preserve"> and </w:t>
      </w:r>
      <w:proofErr w:type="spellStart"/>
      <w:r w:rsidR="00C754D0" w:rsidRPr="00E0610F">
        <w:rPr>
          <w:rFonts w:cs="Arial"/>
          <w:lang w:val="en-GB"/>
        </w:rPr>
        <w:t>Khalikova</w:t>
      </w:r>
      <w:proofErr w:type="spellEnd"/>
      <w:r w:rsidR="00C754D0" w:rsidRPr="00E0610F">
        <w:rPr>
          <w:rFonts w:cs="Arial"/>
          <w:lang w:val="en-GB"/>
        </w:rPr>
        <w:t>, 2019)</w:t>
      </w:r>
      <w:r w:rsidR="001A7306" w:rsidRPr="00E0610F">
        <w:rPr>
          <w:rFonts w:cs="Arial"/>
          <w:lang w:val="en-GB"/>
        </w:rPr>
        <w:t>.</w:t>
      </w:r>
    </w:p>
    <w:p w:rsidR="001A7306" w:rsidRPr="00E0610F" w:rsidRDefault="001A7306" w:rsidP="003134E1">
      <w:pPr>
        <w:pStyle w:val="ListParagraph"/>
        <w:numPr>
          <w:ilvl w:val="0"/>
          <w:numId w:val="2"/>
        </w:numPr>
        <w:rPr>
          <w:rFonts w:cs="Arial"/>
          <w:lang w:val="en-GB"/>
        </w:rPr>
      </w:pPr>
      <w:r w:rsidRPr="00E0610F">
        <w:rPr>
          <w:rFonts w:cs="Arial"/>
          <w:lang w:val="en-GB"/>
        </w:rPr>
        <w:t xml:space="preserve">Secondly, it is possible to use supplier relationships to sustain or negotiate favourable terms of payment. Nevertheless, this should </w:t>
      </w:r>
      <w:r w:rsidR="008934AD" w:rsidRPr="00E0610F">
        <w:rPr>
          <w:rFonts w:cs="Arial"/>
          <w:lang w:val="en-GB"/>
        </w:rPr>
        <w:t>be done</w:t>
      </w:r>
      <w:r w:rsidRPr="00E0610F">
        <w:rPr>
          <w:rFonts w:cs="Arial"/>
          <w:lang w:val="en-GB"/>
        </w:rPr>
        <w:t xml:space="preserve"> with caution in order not to destroy trust </w:t>
      </w:r>
      <w:r w:rsidR="008934AD" w:rsidRPr="00E0610F">
        <w:rPr>
          <w:rFonts w:cs="Arial"/>
          <w:lang w:val="en-GB"/>
        </w:rPr>
        <w:t>in</w:t>
      </w:r>
      <w:r w:rsidRPr="00E0610F">
        <w:rPr>
          <w:rFonts w:cs="Arial"/>
          <w:lang w:val="en-GB"/>
        </w:rPr>
        <w:t xml:space="preserve"> the suppliers</w:t>
      </w:r>
      <w:r w:rsidR="00C754D0" w:rsidRPr="00E0610F">
        <w:rPr>
          <w:rFonts w:cs="Arial"/>
          <w:lang w:val="en-GB"/>
        </w:rPr>
        <w:t xml:space="preserve"> (</w:t>
      </w:r>
      <w:proofErr w:type="spellStart"/>
      <w:r w:rsidR="00C754D0" w:rsidRPr="00E0610F">
        <w:rPr>
          <w:rFonts w:cs="Arial"/>
          <w:lang w:val="en-GB"/>
        </w:rPr>
        <w:t>DePamphilis</w:t>
      </w:r>
      <w:proofErr w:type="spellEnd"/>
      <w:r w:rsidR="00C754D0" w:rsidRPr="00E0610F">
        <w:rPr>
          <w:rFonts w:cs="Arial"/>
          <w:lang w:val="en-GB"/>
        </w:rPr>
        <w:t>, 2014)</w:t>
      </w:r>
      <w:r w:rsidRPr="00E0610F">
        <w:rPr>
          <w:rFonts w:cs="Arial"/>
          <w:lang w:val="en-GB"/>
        </w:rPr>
        <w:t>.</w:t>
      </w:r>
    </w:p>
    <w:p w:rsidR="001A7306" w:rsidRPr="00E0610F" w:rsidRDefault="001A7306" w:rsidP="003134E1">
      <w:pPr>
        <w:pStyle w:val="ListParagraph"/>
        <w:numPr>
          <w:ilvl w:val="0"/>
          <w:numId w:val="2"/>
        </w:numPr>
        <w:rPr>
          <w:rFonts w:cs="Arial"/>
          <w:lang w:val="en-GB"/>
        </w:rPr>
      </w:pPr>
      <w:r w:rsidRPr="00E0610F">
        <w:rPr>
          <w:rFonts w:cs="Arial"/>
          <w:lang w:val="en-GB"/>
        </w:rPr>
        <w:t xml:space="preserve">Thirdly, Tesla must keep on </w:t>
      </w:r>
      <w:r w:rsidR="008934AD" w:rsidRPr="00E0610F">
        <w:rPr>
          <w:rFonts w:cs="Arial"/>
          <w:lang w:val="en-GB"/>
        </w:rPr>
        <w:t>minimising</w:t>
      </w:r>
      <w:r w:rsidRPr="00E0610F">
        <w:rPr>
          <w:rFonts w:cs="Arial"/>
          <w:lang w:val="en-GB"/>
        </w:rPr>
        <w:t xml:space="preserve"> the receivable days; that is</w:t>
      </w:r>
      <w:r w:rsidR="008934AD" w:rsidRPr="00E0610F">
        <w:rPr>
          <w:rFonts w:cs="Arial"/>
          <w:lang w:val="en-GB"/>
        </w:rPr>
        <w:t>,</w:t>
      </w:r>
      <w:r w:rsidRPr="00E0610F">
        <w:rPr>
          <w:rFonts w:cs="Arial"/>
          <w:lang w:val="en-GB"/>
        </w:rPr>
        <w:t xml:space="preserve"> through sustaining its direct sales system and prompt </w:t>
      </w:r>
      <w:r w:rsidR="008934AD" w:rsidRPr="00E0610F">
        <w:rPr>
          <w:rFonts w:cs="Arial"/>
          <w:lang w:val="en-GB"/>
        </w:rPr>
        <w:t>customer</w:t>
      </w:r>
      <w:r w:rsidRPr="00E0610F">
        <w:rPr>
          <w:rFonts w:cs="Arial"/>
          <w:lang w:val="en-GB"/>
        </w:rPr>
        <w:t xml:space="preserve"> payment.</w:t>
      </w:r>
    </w:p>
    <w:p w:rsidR="001A7306" w:rsidRPr="00E0610F" w:rsidRDefault="001A7306" w:rsidP="003134E1">
      <w:pPr>
        <w:pStyle w:val="ListParagraph"/>
        <w:numPr>
          <w:ilvl w:val="0"/>
          <w:numId w:val="2"/>
        </w:numPr>
        <w:rPr>
          <w:rFonts w:cs="Arial"/>
          <w:lang w:val="en-GB"/>
        </w:rPr>
      </w:pPr>
      <w:r w:rsidRPr="00E0610F">
        <w:rPr>
          <w:rFonts w:cs="Arial"/>
          <w:lang w:val="en-GB"/>
        </w:rPr>
        <w:t>Also</w:t>
      </w:r>
      <w:r w:rsidR="008934AD" w:rsidRPr="00E0610F">
        <w:rPr>
          <w:rFonts w:cs="Arial"/>
          <w:lang w:val="en-GB"/>
        </w:rPr>
        <w:t>,</w:t>
      </w:r>
      <w:r w:rsidRPr="00E0610F">
        <w:rPr>
          <w:rFonts w:cs="Arial"/>
          <w:lang w:val="en-GB"/>
        </w:rPr>
        <w:t xml:space="preserve"> any excess cash may be invested in </w:t>
      </w:r>
      <w:r w:rsidR="008934AD" w:rsidRPr="00E0610F">
        <w:rPr>
          <w:rFonts w:cs="Arial"/>
          <w:lang w:val="en-GB"/>
        </w:rPr>
        <w:t>short-term</w:t>
      </w:r>
      <w:r w:rsidRPr="00E0610F">
        <w:rPr>
          <w:rFonts w:cs="Arial"/>
          <w:lang w:val="en-GB"/>
        </w:rPr>
        <w:t xml:space="preserve"> financial instruments to earn returns without impairing the liquidity.</w:t>
      </w:r>
    </w:p>
    <w:p w:rsidR="001A7306" w:rsidRPr="00E0610F" w:rsidRDefault="001A7306" w:rsidP="003134E1">
      <w:pPr>
        <w:pStyle w:val="ListParagraph"/>
        <w:numPr>
          <w:ilvl w:val="0"/>
          <w:numId w:val="2"/>
        </w:numPr>
        <w:rPr>
          <w:rFonts w:cs="Arial"/>
          <w:lang w:val="en-GB"/>
        </w:rPr>
      </w:pPr>
      <w:r w:rsidRPr="00E0610F">
        <w:rPr>
          <w:rFonts w:cs="Arial"/>
          <w:lang w:val="en-GB"/>
        </w:rPr>
        <w:lastRenderedPageBreak/>
        <w:t>Lastly, increased restraint on capital spending and operating expenses will alleviate the working capital pressure</w:t>
      </w:r>
      <w:r w:rsidR="00C754D0" w:rsidRPr="00E0610F">
        <w:rPr>
          <w:rFonts w:cs="Arial"/>
          <w:lang w:val="en-GB"/>
        </w:rPr>
        <w:t xml:space="preserve"> (Dyer et al., 2021)</w:t>
      </w:r>
      <w:r w:rsidRPr="00E0610F">
        <w:rPr>
          <w:rFonts w:cs="Arial"/>
          <w:lang w:val="en-GB"/>
        </w:rPr>
        <w:t>.</w:t>
      </w:r>
    </w:p>
    <w:p w:rsidR="001A7306" w:rsidRPr="00E0610F" w:rsidRDefault="008934AD" w:rsidP="003134E1">
      <w:pPr>
        <w:pStyle w:val="Heading2"/>
        <w:spacing w:before="120" w:after="120"/>
        <w:rPr>
          <w:rFonts w:cs="Arial"/>
          <w:color w:val="auto"/>
          <w:lang w:val="en-GB"/>
        </w:rPr>
      </w:pPr>
      <w:bookmarkStart w:id="15" w:name="_Toc227762131"/>
      <w:r w:rsidRPr="00E0610F">
        <w:rPr>
          <w:rFonts w:cs="Arial"/>
          <w:color w:val="auto"/>
          <w:lang w:val="en-GB"/>
        </w:rPr>
        <w:t xml:space="preserve">4.4 Financing Options: Short-Term </w:t>
      </w:r>
      <w:proofErr w:type="spellStart"/>
      <w:r w:rsidRPr="00E0610F">
        <w:rPr>
          <w:rFonts w:cs="Arial"/>
          <w:color w:val="auto"/>
          <w:lang w:val="en-GB"/>
        </w:rPr>
        <w:t>vs</w:t>
      </w:r>
      <w:proofErr w:type="spellEnd"/>
      <w:r w:rsidRPr="00E0610F">
        <w:rPr>
          <w:rFonts w:cs="Arial"/>
          <w:color w:val="auto"/>
          <w:lang w:val="en-GB"/>
        </w:rPr>
        <w:t xml:space="preserve"> Long-Term</w:t>
      </w:r>
      <w:bookmarkEnd w:id="15"/>
    </w:p>
    <w:p w:rsidR="008934AD" w:rsidRPr="00E0610F" w:rsidRDefault="008934AD" w:rsidP="003134E1">
      <w:pPr>
        <w:rPr>
          <w:rFonts w:cs="Arial"/>
          <w:lang w:val="en-GB"/>
        </w:rPr>
      </w:pPr>
      <w:r w:rsidRPr="00E0610F">
        <w:rPr>
          <w:rFonts w:cs="Arial"/>
          <w:lang w:val="en-GB"/>
        </w:rPr>
        <w:t>The short-term and long-term forms of financing can be used to support the working capital requirements. Both methods have their own benefits and restrictions.</w:t>
      </w:r>
    </w:p>
    <w:p w:rsidR="008934AD" w:rsidRPr="00E0610F" w:rsidRDefault="008934AD" w:rsidP="003134E1">
      <w:pPr>
        <w:rPr>
          <w:rFonts w:cs="Arial"/>
          <w:lang w:val="en-GB"/>
        </w:rPr>
      </w:pPr>
      <w:r w:rsidRPr="00E0610F">
        <w:rPr>
          <w:rFonts w:cs="Arial"/>
          <w:lang w:val="en-GB"/>
        </w:rPr>
        <w:t xml:space="preserve">Trade credit, bank overdrafts and short-term loans are examples of short-term financing options. Such sources are mostly pliable and less difficult to </w:t>
      </w:r>
      <w:r w:rsidR="00C754D0" w:rsidRPr="00E0610F">
        <w:rPr>
          <w:rFonts w:cs="Arial"/>
          <w:lang w:val="en-GB"/>
        </w:rPr>
        <w:t>obtain;</w:t>
      </w:r>
      <w:r w:rsidRPr="00E0610F">
        <w:rPr>
          <w:rFonts w:cs="Arial"/>
          <w:lang w:val="en-GB"/>
        </w:rPr>
        <w:t xml:space="preserve"> hence</w:t>
      </w:r>
      <w:r w:rsidR="00EB4FD0" w:rsidRPr="00E0610F">
        <w:rPr>
          <w:rFonts w:cs="Arial"/>
          <w:lang w:val="en-GB"/>
        </w:rPr>
        <w:t>,</w:t>
      </w:r>
      <w:r w:rsidRPr="00E0610F">
        <w:rPr>
          <w:rFonts w:cs="Arial"/>
          <w:lang w:val="en-GB"/>
        </w:rPr>
        <w:t xml:space="preserve"> they can be used in handling urgent liquidity requirements. Trade credit, specifically, is a relatively inexpensive financing option, which Tesla already uses via supplier relationships</w:t>
      </w:r>
      <w:r w:rsidR="00C754D0" w:rsidRPr="00E0610F">
        <w:rPr>
          <w:rFonts w:cs="Arial"/>
          <w:lang w:val="en-GB"/>
        </w:rPr>
        <w:t xml:space="preserve"> (Arnold and Lewis, 2019)</w:t>
      </w:r>
      <w:r w:rsidRPr="00E0610F">
        <w:rPr>
          <w:rFonts w:cs="Arial"/>
          <w:lang w:val="en-GB"/>
        </w:rPr>
        <w:t>. Nonetheless, relying too much on temporary funding may result in a higher refinance risk and expose the company to vulnerability to changes in interest rates.</w:t>
      </w:r>
    </w:p>
    <w:p w:rsidR="008934AD" w:rsidRPr="00E0610F" w:rsidRDefault="008934AD" w:rsidP="003134E1">
      <w:pPr>
        <w:rPr>
          <w:rFonts w:cs="Arial"/>
          <w:lang w:val="en-GB"/>
        </w:rPr>
      </w:pPr>
      <w:r w:rsidRPr="00E0610F">
        <w:rPr>
          <w:rFonts w:cs="Arial"/>
          <w:lang w:val="en-GB"/>
        </w:rPr>
        <w:t>Equity financing, corporate bonds and long-term loans are some of the long-term forms of financing. They offer more reliable funding and are more adequate in the financing of larger investments and long-term growth projects</w:t>
      </w:r>
      <w:r w:rsidR="00C754D0" w:rsidRPr="00E0610F">
        <w:rPr>
          <w:rFonts w:cs="Arial"/>
          <w:lang w:val="en-GB"/>
        </w:rPr>
        <w:t xml:space="preserve"> (Madura, </w:t>
      </w:r>
      <w:proofErr w:type="spellStart"/>
      <w:r w:rsidR="00C754D0" w:rsidRPr="00E0610F">
        <w:rPr>
          <w:rFonts w:cs="Arial"/>
          <w:lang w:val="en-GB"/>
        </w:rPr>
        <w:t>Hoque</w:t>
      </w:r>
      <w:proofErr w:type="spellEnd"/>
      <w:r w:rsidR="00C754D0" w:rsidRPr="00E0610F">
        <w:rPr>
          <w:rFonts w:cs="Arial"/>
          <w:lang w:val="en-GB"/>
        </w:rPr>
        <w:t xml:space="preserve"> and </w:t>
      </w:r>
      <w:proofErr w:type="spellStart"/>
      <w:r w:rsidR="00C754D0" w:rsidRPr="00E0610F">
        <w:rPr>
          <w:rFonts w:cs="Arial"/>
          <w:lang w:val="en-GB"/>
        </w:rPr>
        <w:t>Krishnamurti</w:t>
      </w:r>
      <w:proofErr w:type="spellEnd"/>
      <w:r w:rsidR="00C754D0" w:rsidRPr="00E0610F">
        <w:rPr>
          <w:rFonts w:cs="Arial"/>
          <w:lang w:val="en-GB"/>
        </w:rPr>
        <w:t>, 2018)</w:t>
      </w:r>
      <w:r w:rsidRPr="00E0610F">
        <w:rPr>
          <w:rFonts w:cs="Arial"/>
          <w:lang w:val="en-GB"/>
        </w:rPr>
        <w:t>. The high level of equity in Tesla indicates that the company can resort to equity funding and capitalise without raising the degree of debt. Issuing new equity, however, can lead to dilution of the existing shareholders.</w:t>
      </w:r>
    </w:p>
    <w:p w:rsidR="001A7306" w:rsidRPr="00E0610F" w:rsidRDefault="008934AD" w:rsidP="003134E1">
      <w:pPr>
        <w:rPr>
          <w:rFonts w:cs="Arial"/>
          <w:lang w:val="en-GB"/>
        </w:rPr>
      </w:pPr>
      <w:r w:rsidRPr="00E0610F">
        <w:rPr>
          <w:rFonts w:cs="Arial"/>
          <w:lang w:val="en-GB"/>
        </w:rPr>
        <w:t>Comparatively, short-term financing will be more suitable in dealing with daily operation requirements, whereas long-term financing deals with expansion and capital investment. There is therefore a need to have a balanced approach</w:t>
      </w:r>
      <w:r w:rsidR="00C754D0" w:rsidRPr="00E0610F">
        <w:rPr>
          <w:rFonts w:cs="Arial"/>
          <w:lang w:val="en-GB"/>
        </w:rPr>
        <w:t xml:space="preserve"> (</w:t>
      </w:r>
      <w:proofErr w:type="spellStart"/>
      <w:r w:rsidR="00C754D0" w:rsidRPr="00E0610F">
        <w:rPr>
          <w:rFonts w:cs="Arial"/>
          <w:lang w:val="en-GB"/>
        </w:rPr>
        <w:t>Brealey</w:t>
      </w:r>
      <w:proofErr w:type="spellEnd"/>
      <w:r w:rsidR="00C754D0" w:rsidRPr="00E0610F">
        <w:rPr>
          <w:rFonts w:cs="Arial"/>
          <w:lang w:val="en-GB"/>
        </w:rPr>
        <w:t>, Myers and Allen, 2023)</w:t>
      </w:r>
      <w:r w:rsidRPr="00E0610F">
        <w:rPr>
          <w:rFonts w:cs="Arial"/>
          <w:lang w:val="en-GB"/>
        </w:rPr>
        <w:t>.</w:t>
      </w:r>
    </w:p>
    <w:p w:rsidR="001A7306" w:rsidRPr="00E0610F" w:rsidRDefault="001A7306" w:rsidP="003134E1">
      <w:pPr>
        <w:pStyle w:val="Heading2"/>
        <w:spacing w:before="120" w:after="120"/>
        <w:rPr>
          <w:rFonts w:cs="Arial"/>
          <w:color w:val="auto"/>
          <w:lang w:val="en-GB"/>
        </w:rPr>
      </w:pPr>
      <w:bookmarkStart w:id="16" w:name="_Toc227762132"/>
      <w:r w:rsidRPr="00E0610F">
        <w:rPr>
          <w:rFonts w:cs="Arial"/>
          <w:color w:val="auto"/>
          <w:lang w:val="en-GB"/>
        </w:rPr>
        <w:t>4.5 Recommendations</w:t>
      </w:r>
      <w:bookmarkEnd w:id="16"/>
    </w:p>
    <w:p w:rsidR="00C754D0" w:rsidRPr="00E0610F" w:rsidRDefault="001A7306" w:rsidP="003134E1">
      <w:pPr>
        <w:rPr>
          <w:rFonts w:cs="Arial"/>
          <w:lang w:val="en-GB"/>
        </w:rPr>
      </w:pPr>
      <w:r w:rsidRPr="00E0610F">
        <w:rPr>
          <w:rFonts w:cs="Arial"/>
          <w:lang w:val="en-GB"/>
        </w:rPr>
        <w:t>Tesla ought to aim at lowering inventory by enhancing its forecasting and production efficiency. Favourable conditions with the suppliers will facilitate a negative cash operating cycle</w:t>
      </w:r>
      <w:r w:rsidR="008934AD" w:rsidRPr="00E0610F">
        <w:rPr>
          <w:rFonts w:cs="Arial"/>
          <w:lang w:val="en-GB"/>
        </w:rPr>
        <w:t>,</w:t>
      </w:r>
      <w:r w:rsidRPr="00E0610F">
        <w:rPr>
          <w:rFonts w:cs="Arial"/>
          <w:lang w:val="en-GB"/>
        </w:rPr>
        <w:t xml:space="preserve"> whereas </w:t>
      </w:r>
      <w:r w:rsidR="008934AD" w:rsidRPr="00E0610F">
        <w:rPr>
          <w:rFonts w:cs="Arial"/>
          <w:lang w:val="en-GB"/>
        </w:rPr>
        <w:t xml:space="preserve">the </w:t>
      </w:r>
      <w:r w:rsidRPr="00E0610F">
        <w:rPr>
          <w:rFonts w:cs="Arial"/>
          <w:lang w:val="en-GB"/>
        </w:rPr>
        <w:t xml:space="preserve">suspected use of </w:t>
      </w:r>
      <w:r w:rsidR="008934AD" w:rsidRPr="00E0610F">
        <w:rPr>
          <w:rFonts w:cs="Arial"/>
          <w:lang w:val="en-GB"/>
        </w:rPr>
        <w:t xml:space="preserve">a </w:t>
      </w:r>
      <w:r w:rsidRPr="00E0610F">
        <w:rPr>
          <w:rFonts w:cs="Arial"/>
          <w:lang w:val="en-GB"/>
        </w:rPr>
        <w:t>direct sales model will allow efficient cash inflows to be maintained</w:t>
      </w:r>
      <w:r w:rsidR="00C754D0" w:rsidRPr="00E0610F">
        <w:rPr>
          <w:rFonts w:cs="Arial"/>
          <w:lang w:val="en-GB"/>
        </w:rPr>
        <w:t xml:space="preserve"> (Dyer et al., 2021)</w:t>
      </w:r>
      <w:r w:rsidRPr="00E0610F">
        <w:rPr>
          <w:rFonts w:cs="Arial"/>
          <w:lang w:val="en-GB"/>
        </w:rPr>
        <w:t>.</w:t>
      </w:r>
      <w:r w:rsidR="00C754D0" w:rsidRPr="00E0610F">
        <w:rPr>
          <w:rFonts w:cs="Arial"/>
          <w:lang w:val="en-GB"/>
        </w:rPr>
        <w:t xml:space="preserve"> </w:t>
      </w:r>
    </w:p>
    <w:p w:rsidR="00996F2D" w:rsidRPr="00E0610F" w:rsidRDefault="008934AD" w:rsidP="003134E1">
      <w:pPr>
        <w:rPr>
          <w:rFonts w:cs="Arial"/>
          <w:lang w:val="en-GB"/>
        </w:rPr>
      </w:pPr>
      <w:r w:rsidRPr="00E0610F">
        <w:rPr>
          <w:rFonts w:cs="Arial"/>
          <w:lang w:val="en-GB"/>
        </w:rPr>
        <w:t>About</w:t>
      </w:r>
      <w:r w:rsidR="001A7306" w:rsidRPr="00E0610F">
        <w:rPr>
          <w:rFonts w:cs="Arial"/>
          <w:lang w:val="en-GB"/>
        </w:rPr>
        <w:t xml:space="preserve"> financing, there should be a mix of both short-term and long-term sources so as to strike a balance between flexibility and stability</w:t>
      </w:r>
      <w:r w:rsidR="00C754D0" w:rsidRPr="00E0610F">
        <w:rPr>
          <w:rFonts w:cs="Arial"/>
          <w:lang w:val="en-GB"/>
        </w:rPr>
        <w:t xml:space="preserve"> (Arnold and Lewis, 2019)</w:t>
      </w:r>
      <w:r w:rsidR="001A7306" w:rsidRPr="00E0610F">
        <w:rPr>
          <w:rFonts w:cs="Arial"/>
          <w:lang w:val="en-GB"/>
        </w:rPr>
        <w:t>.</w:t>
      </w:r>
    </w:p>
    <w:p w:rsidR="00996F2D" w:rsidRPr="00E0610F" w:rsidRDefault="00996F2D" w:rsidP="003134E1">
      <w:pPr>
        <w:rPr>
          <w:rFonts w:cs="Arial"/>
          <w:lang w:val="en-GB"/>
        </w:rPr>
      </w:pPr>
      <w:r w:rsidRPr="00E0610F">
        <w:rPr>
          <w:rFonts w:cs="Arial"/>
          <w:lang w:val="en-GB"/>
        </w:rPr>
        <w:br w:type="page"/>
      </w:r>
    </w:p>
    <w:p w:rsidR="00996F2D" w:rsidRPr="00E0610F" w:rsidRDefault="00996F2D" w:rsidP="003134E1">
      <w:pPr>
        <w:pStyle w:val="Heading1"/>
        <w:spacing w:before="120" w:after="120"/>
        <w:rPr>
          <w:rFonts w:cs="Arial"/>
          <w:color w:val="auto"/>
          <w:lang w:val="en-GB"/>
        </w:rPr>
      </w:pPr>
      <w:bookmarkStart w:id="17" w:name="_Toc227762133"/>
      <w:r w:rsidRPr="00E0610F">
        <w:rPr>
          <w:rFonts w:cs="Arial"/>
          <w:color w:val="auto"/>
          <w:lang w:val="en-GB"/>
        </w:rPr>
        <w:lastRenderedPageBreak/>
        <w:t>5. Strategic Financial Restructuring Plan</w:t>
      </w:r>
      <w:bookmarkEnd w:id="17"/>
    </w:p>
    <w:p w:rsidR="00996F2D" w:rsidRPr="00E0610F" w:rsidRDefault="00996F2D" w:rsidP="003134E1">
      <w:pPr>
        <w:rPr>
          <w:rFonts w:cs="Arial"/>
          <w:lang w:val="en-GB"/>
        </w:rPr>
      </w:pPr>
      <w:r w:rsidRPr="00E0610F">
        <w:rPr>
          <w:rFonts w:cs="Arial"/>
          <w:lang w:val="en-GB"/>
        </w:rPr>
        <w:t xml:space="preserve">Recent financial results of Tesla indicate good liquidity and cash flow coupled with a downtrend in profitability and efficiency, as demonstrated in its financial reports. This implies that a well-planned financial restructuring strategy must be implemented to increase shareholder value, optimise the capital structure and increase efficiency by increasing operational flexibility and solving global economic risks. The term financial restructuring is rather vaguely defined as the rearrangement of financial and operational structures of a company to enhance its performance and sustainability </w:t>
      </w:r>
      <w:r w:rsidR="00C754D0" w:rsidRPr="00E0610F">
        <w:rPr>
          <w:rFonts w:cs="Arial"/>
          <w:lang w:val="en-GB"/>
        </w:rPr>
        <w:t>(</w:t>
      </w:r>
      <w:proofErr w:type="spellStart"/>
      <w:r w:rsidR="00C754D0" w:rsidRPr="00E0610F">
        <w:rPr>
          <w:rFonts w:cs="Arial"/>
          <w:lang w:val="en-GB"/>
        </w:rPr>
        <w:t>Brealey</w:t>
      </w:r>
      <w:proofErr w:type="spellEnd"/>
      <w:r w:rsidR="00C754D0" w:rsidRPr="00E0610F">
        <w:rPr>
          <w:rFonts w:cs="Arial"/>
          <w:lang w:val="en-GB"/>
        </w:rPr>
        <w:t>, Myers and Allen, 2023)</w:t>
      </w:r>
      <w:r w:rsidRPr="00E0610F">
        <w:rPr>
          <w:rFonts w:cs="Arial"/>
          <w:lang w:val="en-GB"/>
        </w:rPr>
        <w:t>.</w:t>
      </w:r>
    </w:p>
    <w:p w:rsidR="00996F2D" w:rsidRPr="00E0610F" w:rsidRDefault="00996F2D" w:rsidP="003134E1">
      <w:pPr>
        <w:pStyle w:val="Heading2"/>
        <w:spacing w:before="120" w:after="120"/>
        <w:rPr>
          <w:rFonts w:cs="Arial"/>
          <w:color w:val="auto"/>
          <w:lang w:val="en-GB"/>
        </w:rPr>
      </w:pPr>
      <w:bookmarkStart w:id="18" w:name="_Toc227762134"/>
      <w:r w:rsidRPr="00E0610F">
        <w:rPr>
          <w:rFonts w:cs="Arial"/>
          <w:color w:val="auto"/>
          <w:lang w:val="en-GB"/>
        </w:rPr>
        <w:t>5.1 Financial Restructuring Options</w:t>
      </w:r>
      <w:bookmarkEnd w:id="18"/>
    </w:p>
    <w:p w:rsidR="00996F2D" w:rsidRPr="00E0610F" w:rsidRDefault="00996F2D" w:rsidP="003134E1">
      <w:pPr>
        <w:rPr>
          <w:rFonts w:cs="Arial"/>
          <w:b/>
          <w:lang w:val="en-GB"/>
        </w:rPr>
      </w:pPr>
      <w:r w:rsidRPr="00E0610F">
        <w:rPr>
          <w:rFonts w:cs="Arial"/>
          <w:b/>
          <w:lang w:val="en-GB"/>
        </w:rPr>
        <w:t>Equity Injection</w:t>
      </w:r>
    </w:p>
    <w:p w:rsidR="00996F2D" w:rsidRPr="00E0610F" w:rsidRDefault="00996F2D" w:rsidP="003134E1">
      <w:pPr>
        <w:rPr>
          <w:rFonts w:cs="Arial"/>
          <w:lang w:val="en-GB"/>
        </w:rPr>
      </w:pPr>
      <w:r w:rsidRPr="00E0610F">
        <w:rPr>
          <w:rFonts w:cs="Arial"/>
          <w:lang w:val="en-GB"/>
        </w:rPr>
        <w:t xml:space="preserve">Equity financing by issuing new shares and the restructuring of Tesla </w:t>
      </w:r>
      <w:r w:rsidR="00043016" w:rsidRPr="00E0610F">
        <w:rPr>
          <w:rFonts w:cs="Arial"/>
          <w:lang w:val="en-GB"/>
        </w:rPr>
        <w:t>come</w:t>
      </w:r>
      <w:r w:rsidRPr="00E0610F">
        <w:rPr>
          <w:rFonts w:cs="Arial"/>
          <w:lang w:val="en-GB"/>
        </w:rPr>
        <w:t xml:space="preserve"> out as one of the most suitable measures that the company can take. The equity issuance can be a most effective source of capital and does not require Tesla to add to its financial leverage because of its strong market position and investor confidence. The pecking order theory suggests that companies would use internal financing, then debt and then equity</w:t>
      </w:r>
      <w:r w:rsidR="00043016" w:rsidRPr="00E0610F">
        <w:rPr>
          <w:rFonts w:cs="Arial"/>
          <w:lang w:val="en-GB"/>
        </w:rPr>
        <w:t>,</w:t>
      </w:r>
      <w:r w:rsidRPr="00E0610F">
        <w:rPr>
          <w:rFonts w:cs="Arial"/>
          <w:lang w:val="en-GB"/>
        </w:rPr>
        <w:t xml:space="preserve"> but in high-growth companies, </w:t>
      </w:r>
      <w:r w:rsidR="00043016" w:rsidRPr="00E0610F">
        <w:rPr>
          <w:rFonts w:cs="Arial"/>
          <w:lang w:val="en-GB"/>
        </w:rPr>
        <w:t>they</w:t>
      </w:r>
      <w:r w:rsidRPr="00E0610F">
        <w:rPr>
          <w:rFonts w:cs="Arial"/>
          <w:lang w:val="en-GB"/>
        </w:rPr>
        <w:t xml:space="preserve"> would use equity financing to remain flexible (Myers and </w:t>
      </w:r>
      <w:proofErr w:type="spellStart"/>
      <w:r w:rsidRPr="00E0610F">
        <w:rPr>
          <w:rFonts w:cs="Arial"/>
          <w:lang w:val="en-GB"/>
        </w:rPr>
        <w:t>Majluf</w:t>
      </w:r>
      <w:proofErr w:type="spellEnd"/>
      <w:r w:rsidRPr="00E0610F">
        <w:rPr>
          <w:rFonts w:cs="Arial"/>
          <w:lang w:val="en-GB"/>
        </w:rPr>
        <w:t>, 1984).</w:t>
      </w:r>
    </w:p>
    <w:p w:rsidR="00996F2D" w:rsidRPr="00E0610F" w:rsidRDefault="00996F2D" w:rsidP="003134E1">
      <w:pPr>
        <w:rPr>
          <w:rFonts w:cs="Arial"/>
          <w:lang w:val="en-GB"/>
        </w:rPr>
      </w:pPr>
      <w:proofErr w:type="gramStart"/>
      <w:r w:rsidRPr="00E0610F">
        <w:rPr>
          <w:rFonts w:cs="Arial"/>
          <w:lang w:val="en-GB"/>
        </w:rPr>
        <w:t xml:space="preserve">The expansion in </w:t>
      </w:r>
      <w:r w:rsidR="00043016" w:rsidRPr="00E0610F">
        <w:rPr>
          <w:rFonts w:cs="Arial"/>
          <w:lang w:val="en-GB"/>
        </w:rPr>
        <w:t>high-growth</w:t>
      </w:r>
      <w:r w:rsidRPr="00E0610F">
        <w:rPr>
          <w:rFonts w:cs="Arial"/>
          <w:lang w:val="en-GB"/>
        </w:rPr>
        <w:t xml:space="preserve"> rates like artificial intelligence, autonomous driving, and energy storage could be supported by equity financing.</w:t>
      </w:r>
      <w:proofErr w:type="gramEnd"/>
      <w:r w:rsidRPr="00E0610F">
        <w:rPr>
          <w:rFonts w:cs="Arial"/>
          <w:lang w:val="en-GB"/>
        </w:rPr>
        <w:t xml:space="preserve"> However, it can reduce the ownership of the current shareholders, which should be taken into account when deciding on the volume of the issue </w:t>
      </w:r>
      <w:r w:rsidR="00C754D0" w:rsidRPr="00E0610F">
        <w:rPr>
          <w:rFonts w:cs="Arial"/>
          <w:lang w:val="en-GB"/>
        </w:rPr>
        <w:t>(</w:t>
      </w:r>
      <w:proofErr w:type="spellStart"/>
      <w:r w:rsidR="00C754D0" w:rsidRPr="00E0610F">
        <w:rPr>
          <w:rFonts w:cs="Arial"/>
          <w:lang w:val="en-GB"/>
        </w:rPr>
        <w:t>Brealey</w:t>
      </w:r>
      <w:proofErr w:type="spellEnd"/>
      <w:r w:rsidR="00C754D0" w:rsidRPr="00E0610F">
        <w:rPr>
          <w:rFonts w:cs="Arial"/>
          <w:lang w:val="en-GB"/>
        </w:rPr>
        <w:t>, Myers and Allen, 2023)</w:t>
      </w:r>
      <w:r w:rsidRPr="00E0610F">
        <w:rPr>
          <w:rFonts w:cs="Arial"/>
          <w:lang w:val="en-GB"/>
        </w:rPr>
        <w:t>.</w:t>
      </w:r>
    </w:p>
    <w:p w:rsidR="00996F2D" w:rsidRPr="00E0610F" w:rsidRDefault="00996F2D" w:rsidP="003134E1">
      <w:pPr>
        <w:rPr>
          <w:rFonts w:cs="Arial"/>
          <w:b/>
          <w:lang w:val="en-GB"/>
        </w:rPr>
      </w:pPr>
      <w:r w:rsidRPr="00E0610F">
        <w:rPr>
          <w:rFonts w:cs="Arial"/>
          <w:b/>
          <w:lang w:val="en-GB"/>
        </w:rPr>
        <w:t>Cost Restructuring</w:t>
      </w:r>
    </w:p>
    <w:p w:rsidR="00996F2D" w:rsidRPr="00E0610F" w:rsidRDefault="00996F2D" w:rsidP="003134E1">
      <w:pPr>
        <w:rPr>
          <w:rFonts w:cs="Arial"/>
          <w:lang w:val="en-GB"/>
        </w:rPr>
      </w:pPr>
      <w:r w:rsidRPr="00E0610F">
        <w:rPr>
          <w:rFonts w:cs="Arial"/>
          <w:lang w:val="en-GB"/>
        </w:rPr>
        <w:t>A decrease in profit margin implies that cost optimisation should be done. Tesla can achieve better efficiency with automation, better supply chain management, and economies of scale. Restructuring of costs directly improves operating margins and competitiveness, and specifically in the industries where extreme prices are prevalent (Porter, 2008).</w:t>
      </w:r>
    </w:p>
    <w:p w:rsidR="00996F2D" w:rsidRPr="00E0610F" w:rsidRDefault="00996F2D" w:rsidP="003134E1">
      <w:pPr>
        <w:rPr>
          <w:rFonts w:cs="Arial"/>
          <w:lang w:val="en-GB"/>
        </w:rPr>
      </w:pPr>
      <w:r w:rsidRPr="00E0610F">
        <w:rPr>
          <w:rFonts w:cs="Arial"/>
          <w:lang w:val="en-GB"/>
        </w:rPr>
        <w:t>Compression of margins would be countered through a reduction in production cost and efficiency of operations, which would facilitate long-term profitability.</w:t>
      </w:r>
    </w:p>
    <w:p w:rsidR="00996F2D" w:rsidRPr="00E0610F" w:rsidRDefault="00996F2D" w:rsidP="003134E1">
      <w:pPr>
        <w:rPr>
          <w:rFonts w:cs="Arial"/>
          <w:b/>
          <w:lang w:val="en-GB"/>
        </w:rPr>
      </w:pPr>
      <w:r w:rsidRPr="00E0610F">
        <w:rPr>
          <w:rFonts w:cs="Arial"/>
          <w:b/>
          <w:lang w:val="en-GB"/>
        </w:rPr>
        <w:lastRenderedPageBreak/>
        <w:t>Strategic Partnerships and Joint Ventures</w:t>
      </w:r>
    </w:p>
    <w:p w:rsidR="00996F2D" w:rsidRPr="00E0610F" w:rsidRDefault="00996F2D" w:rsidP="003134E1">
      <w:pPr>
        <w:rPr>
          <w:rFonts w:cs="Arial"/>
          <w:lang w:val="en-GB"/>
        </w:rPr>
      </w:pPr>
      <w:r w:rsidRPr="00E0610F">
        <w:rPr>
          <w:rFonts w:cs="Arial"/>
          <w:lang w:val="en-GB"/>
        </w:rPr>
        <w:t xml:space="preserve">Strategic alliances may allow for minimising financial risk and capital requirements and access to new technologies and markets. Tesla has an opportunity to establish collaborations in battery manufacturing, software and energy infrastructure. JV allows the sharing of risk and enhances the use of resources </w:t>
      </w:r>
      <w:r w:rsidR="008E41BB" w:rsidRPr="00E0610F">
        <w:rPr>
          <w:rFonts w:cs="Arial"/>
          <w:lang w:val="en-GB"/>
        </w:rPr>
        <w:t>(Dyer et al., 2021)</w:t>
      </w:r>
      <w:r w:rsidRPr="00E0610F">
        <w:rPr>
          <w:rFonts w:cs="Arial"/>
          <w:lang w:val="en-GB"/>
        </w:rPr>
        <w:t>.</w:t>
      </w:r>
    </w:p>
    <w:p w:rsidR="00996F2D" w:rsidRPr="00E0610F" w:rsidRDefault="00996F2D" w:rsidP="003134E1">
      <w:pPr>
        <w:rPr>
          <w:rFonts w:cs="Arial"/>
          <w:b/>
          <w:lang w:val="en-GB"/>
        </w:rPr>
      </w:pPr>
      <w:r w:rsidRPr="00E0610F">
        <w:rPr>
          <w:rFonts w:cs="Arial"/>
          <w:b/>
          <w:lang w:val="en-GB"/>
        </w:rPr>
        <w:t>Selective Divestiture</w:t>
      </w:r>
    </w:p>
    <w:p w:rsidR="00996F2D" w:rsidRPr="00E0610F" w:rsidRDefault="00996F2D" w:rsidP="003134E1">
      <w:pPr>
        <w:rPr>
          <w:rFonts w:cs="Arial"/>
          <w:lang w:val="en-GB"/>
        </w:rPr>
      </w:pPr>
      <w:r w:rsidRPr="00E0610F">
        <w:rPr>
          <w:rFonts w:cs="Arial"/>
          <w:lang w:val="en-GB"/>
        </w:rPr>
        <w:t xml:space="preserve">Despite the fact that Tesla is largely oriented towards growth, the realisation of non-core or non-performing assets will help in achieving efficiency in the allocation of capital. This will enable the company to focus on areas where returns are high, like energy storage and computer-based services. One of the ways to restructure is divestiture to enhance operational focus and financial performance </w:t>
      </w:r>
      <w:r w:rsidR="008E41BB" w:rsidRPr="00E0610F">
        <w:rPr>
          <w:rFonts w:cs="Arial"/>
          <w:lang w:val="en-GB"/>
        </w:rPr>
        <w:t>(</w:t>
      </w:r>
      <w:proofErr w:type="spellStart"/>
      <w:r w:rsidR="008E41BB" w:rsidRPr="00E0610F">
        <w:rPr>
          <w:rFonts w:cs="Arial"/>
          <w:lang w:val="en-GB"/>
        </w:rPr>
        <w:t>DePamphilis</w:t>
      </w:r>
      <w:proofErr w:type="spellEnd"/>
      <w:r w:rsidR="008E41BB" w:rsidRPr="00E0610F">
        <w:rPr>
          <w:rFonts w:cs="Arial"/>
          <w:lang w:val="en-GB"/>
        </w:rPr>
        <w:t>, 2014)</w:t>
      </w:r>
      <w:r w:rsidRPr="00E0610F">
        <w:rPr>
          <w:rFonts w:cs="Arial"/>
          <w:lang w:val="en-GB"/>
        </w:rPr>
        <w:t>.</w:t>
      </w:r>
    </w:p>
    <w:p w:rsidR="00996F2D" w:rsidRPr="00E0610F" w:rsidRDefault="00996F2D" w:rsidP="003134E1">
      <w:pPr>
        <w:rPr>
          <w:rFonts w:cs="Arial"/>
          <w:b/>
          <w:lang w:val="en-GB"/>
        </w:rPr>
      </w:pPr>
      <w:r w:rsidRPr="00E0610F">
        <w:rPr>
          <w:rFonts w:cs="Arial"/>
          <w:b/>
          <w:lang w:val="en-GB"/>
        </w:rPr>
        <w:t>Debt Restructuring</w:t>
      </w:r>
    </w:p>
    <w:p w:rsidR="00996F2D" w:rsidRPr="00E0610F" w:rsidRDefault="00996F2D" w:rsidP="003134E1">
      <w:pPr>
        <w:rPr>
          <w:rFonts w:cs="Arial"/>
          <w:lang w:val="en-GB"/>
        </w:rPr>
      </w:pPr>
      <w:r w:rsidRPr="00E0610F">
        <w:rPr>
          <w:rFonts w:cs="Arial"/>
          <w:lang w:val="en-GB"/>
        </w:rPr>
        <w:t>Tesla has moderate leverage now</w:t>
      </w:r>
      <w:r w:rsidR="00B03C9A" w:rsidRPr="00E0610F">
        <w:rPr>
          <w:rFonts w:cs="Arial"/>
          <w:lang w:val="en-GB"/>
        </w:rPr>
        <w:t>,</w:t>
      </w:r>
      <w:r w:rsidRPr="00E0610F">
        <w:rPr>
          <w:rFonts w:cs="Arial"/>
          <w:lang w:val="en-GB"/>
        </w:rPr>
        <w:t xml:space="preserve"> but restructuring of current debt can be done with refinancing or maturity extension that will help alleviate financial strain. Reduced interest rates and better repayment schemes contribute to better stability of the cash flows </w:t>
      </w:r>
      <w:r w:rsidR="004C2B21" w:rsidRPr="00E0610F">
        <w:rPr>
          <w:rFonts w:cs="Arial"/>
          <w:lang w:val="en-GB"/>
        </w:rPr>
        <w:t xml:space="preserve">(Brigham and </w:t>
      </w:r>
      <w:proofErr w:type="spellStart"/>
      <w:r w:rsidR="004C2B21" w:rsidRPr="00E0610F">
        <w:rPr>
          <w:rFonts w:cs="Arial"/>
          <w:lang w:val="en-GB"/>
        </w:rPr>
        <w:t>Ehrhardt</w:t>
      </w:r>
      <w:proofErr w:type="spellEnd"/>
      <w:r w:rsidR="004C2B21" w:rsidRPr="00E0610F">
        <w:rPr>
          <w:rFonts w:cs="Arial"/>
          <w:lang w:val="en-GB"/>
        </w:rPr>
        <w:t>, 2023)</w:t>
      </w:r>
      <w:r w:rsidRPr="00E0610F">
        <w:rPr>
          <w:rFonts w:cs="Arial"/>
          <w:lang w:val="en-GB"/>
        </w:rPr>
        <w:t>.</w:t>
      </w:r>
    </w:p>
    <w:p w:rsidR="00996F2D" w:rsidRPr="00E0610F" w:rsidRDefault="00996F2D" w:rsidP="003134E1">
      <w:pPr>
        <w:rPr>
          <w:rFonts w:cs="Arial"/>
          <w:lang w:val="en-GB"/>
        </w:rPr>
      </w:pPr>
      <w:r w:rsidRPr="00E0610F">
        <w:rPr>
          <w:rFonts w:cs="Arial"/>
          <w:lang w:val="en-GB"/>
        </w:rPr>
        <w:t xml:space="preserve">It should be taken when not </w:t>
      </w:r>
      <w:proofErr w:type="spellStart"/>
      <w:r w:rsidRPr="00E0610F">
        <w:rPr>
          <w:rFonts w:cs="Arial"/>
          <w:lang w:val="en-GB"/>
        </w:rPr>
        <w:t>overborrowed</w:t>
      </w:r>
      <w:proofErr w:type="spellEnd"/>
      <w:r w:rsidRPr="00E0610F">
        <w:rPr>
          <w:rFonts w:cs="Arial"/>
          <w:lang w:val="en-GB"/>
        </w:rPr>
        <w:t xml:space="preserve"> because higher leverage leads to financial risk and eventually </w:t>
      </w:r>
      <w:r w:rsidR="00B03C9A" w:rsidRPr="00E0610F">
        <w:rPr>
          <w:rFonts w:cs="Arial"/>
          <w:lang w:val="en-GB"/>
        </w:rPr>
        <w:t>results in</w:t>
      </w:r>
      <w:r w:rsidRPr="00E0610F">
        <w:rPr>
          <w:rFonts w:cs="Arial"/>
          <w:lang w:val="en-GB"/>
        </w:rPr>
        <w:t xml:space="preserve"> low credit ratings.</w:t>
      </w:r>
    </w:p>
    <w:p w:rsidR="00996F2D" w:rsidRPr="00E0610F" w:rsidRDefault="00B03C9A" w:rsidP="003134E1">
      <w:pPr>
        <w:pStyle w:val="Heading2"/>
        <w:spacing w:before="120" w:after="120"/>
        <w:rPr>
          <w:rFonts w:cs="Arial"/>
          <w:color w:val="auto"/>
          <w:lang w:val="en-GB"/>
        </w:rPr>
      </w:pPr>
      <w:bookmarkStart w:id="19" w:name="_Toc227762135"/>
      <w:r w:rsidRPr="00E0610F">
        <w:rPr>
          <w:rFonts w:cs="Arial"/>
          <w:color w:val="auto"/>
          <w:lang w:val="en-GB"/>
        </w:rPr>
        <w:t>5.2 Impact on Shareholder Value</w:t>
      </w:r>
      <w:bookmarkEnd w:id="19"/>
    </w:p>
    <w:p w:rsidR="00996F2D" w:rsidRPr="00E0610F" w:rsidRDefault="00996F2D" w:rsidP="003134E1">
      <w:pPr>
        <w:rPr>
          <w:rFonts w:cs="Arial"/>
          <w:lang w:val="en-GB"/>
        </w:rPr>
      </w:pPr>
      <w:r w:rsidRPr="00E0610F">
        <w:rPr>
          <w:rFonts w:cs="Arial"/>
          <w:lang w:val="en-GB"/>
        </w:rPr>
        <w:t xml:space="preserve">The restructuring strategies proposed will result in </w:t>
      </w:r>
      <w:r w:rsidR="00B03C9A" w:rsidRPr="00E0610F">
        <w:rPr>
          <w:rFonts w:cs="Arial"/>
          <w:lang w:val="en-GB"/>
        </w:rPr>
        <w:t>an</w:t>
      </w:r>
      <w:r w:rsidRPr="00E0610F">
        <w:rPr>
          <w:rFonts w:cs="Arial"/>
          <w:lang w:val="en-GB"/>
        </w:rPr>
        <w:t xml:space="preserve"> increase </w:t>
      </w:r>
      <w:r w:rsidR="00B03C9A" w:rsidRPr="00E0610F">
        <w:rPr>
          <w:rFonts w:cs="Arial"/>
          <w:lang w:val="en-GB"/>
        </w:rPr>
        <w:t>in</w:t>
      </w:r>
      <w:r w:rsidRPr="00E0610F">
        <w:rPr>
          <w:rFonts w:cs="Arial"/>
          <w:lang w:val="en-GB"/>
        </w:rPr>
        <w:t xml:space="preserve"> shareholder value in terms of better profitability and decreased risk. Equity financing helps in promoting </w:t>
      </w:r>
      <w:r w:rsidR="00B03C9A" w:rsidRPr="00E0610F">
        <w:rPr>
          <w:rFonts w:cs="Arial"/>
          <w:lang w:val="en-GB"/>
        </w:rPr>
        <w:t>long-term</w:t>
      </w:r>
      <w:r w:rsidRPr="00E0610F">
        <w:rPr>
          <w:rFonts w:cs="Arial"/>
          <w:lang w:val="en-GB"/>
        </w:rPr>
        <w:t xml:space="preserve"> growth, whereas cost restructuring enhances margins and returns. Strategic alliances give the ability to venture into new sources of revenue at reduced financial expenses</w:t>
      </w:r>
      <w:r w:rsidR="00C754D0" w:rsidRPr="00E0610F">
        <w:rPr>
          <w:rFonts w:cs="Arial"/>
          <w:lang w:val="en-GB"/>
        </w:rPr>
        <w:t xml:space="preserve"> (Arnold and Lewis, 2019)</w:t>
      </w:r>
      <w:r w:rsidRPr="00E0610F">
        <w:rPr>
          <w:rFonts w:cs="Arial"/>
          <w:lang w:val="en-GB"/>
        </w:rPr>
        <w:t>.</w:t>
      </w:r>
    </w:p>
    <w:p w:rsidR="00996F2D" w:rsidRPr="00E0610F" w:rsidRDefault="00996F2D" w:rsidP="003134E1">
      <w:pPr>
        <w:rPr>
          <w:rFonts w:cs="Arial"/>
          <w:lang w:val="en-GB"/>
        </w:rPr>
      </w:pPr>
      <w:r w:rsidRPr="00E0610F">
        <w:rPr>
          <w:rFonts w:cs="Arial"/>
          <w:lang w:val="en-GB"/>
        </w:rPr>
        <w:t>By shareholder value theory, companies are expected to embrace those strategies that would maximise returns to investors in the long-term (Jensen, 2001). The restructuring strategy at Tesla is in line with this goal because Tesla will have an equal number of growth prospects and financial stability.</w:t>
      </w:r>
    </w:p>
    <w:p w:rsidR="00996F2D" w:rsidRPr="00E0610F" w:rsidRDefault="00B03C9A" w:rsidP="003134E1">
      <w:pPr>
        <w:pStyle w:val="Heading2"/>
        <w:spacing w:before="120" w:after="120"/>
        <w:rPr>
          <w:rFonts w:cs="Arial"/>
          <w:color w:val="auto"/>
          <w:lang w:val="en-GB"/>
        </w:rPr>
      </w:pPr>
      <w:bookmarkStart w:id="20" w:name="_Toc227762136"/>
      <w:r w:rsidRPr="00E0610F">
        <w:rPr>
          <w:rFonts w:cs="Arial"/>
          <w:color w:val="auto"/>
          <w:lang w:val="en-GB"/>
        </w:rPr>
        <w:lastRenderedPageBreak/>
        <w:t>5.3 Impact on Debt Structure and Financial Stability</w:t>
      </w:r>
      <w:bookmarkEnd w:id="20"/>
    </w:p>
    <w:p w:rsidR="00996F2D" w:rsidRPr="00E0610F" w:rsidRDefault="00996F2D" w:rsidP="003134E1">
      <w:pPr>
        <w:rPr>
          <w:rFonts w:cs="Arial"/>
          <w:lang w:val="en-GB"/>
        </w:rPr>
      </w:pPr>
      <w:r w:rsidRPr="00E0610F">
        <w:rPr>
          <w:rFonts w:cs="Arial"/>
          <w:lang w:val="en-GB"/>
        </w:rPr>
        <w:t xml:space="preserve">The decreasing ratio of debt to equity suggests that Tesla has a good equity standing and </w:t>
      </w:r>
      <w:r w:rsidR="00B03C9A" w:rsidRPr="00E0610F">
        <w:rPr>
          <w:rFonts w:cs="Arial"/>
          <w:lang w:val="en-GB"/>
        </w:rPr>
        <w:t>less</w:t>
      </w:r>
      <w:r w:rsidRPr="00E0610F">
        <w:rPr>
          <w:rFonts w:cs="Arial"/>
          <w:lang w:val="en-GB"/>
        </w:rPr>
        <w:t xml:space="preserve"> dependence on debt. This would be further enhanced by equity injection</w:t>
      </w:r>
      <w:r w:rsidR="00B03C9A" w:rsidRPr="00E0610F">
        <w:rPr>
          <w:rFonts w:cs="Arial"/>
          <w:lang w:val="en-GB"/>
        </w:rPr>
        <w:t>,</w:t>
      </w:r>
      <w:r w:rsidRPr="00E0610F">
        <w:rPr>
          <w:rFonts w:cs="Arial"/>
          <w:lang w:val="en-GB"/>
        </w:rPr>
        <w:t xml:space="preserve"> which would enhance solvency and mitigate financial risk</w:t>
      </w:r>
      <w:r w:rsidR="00BA4093" w:rsidRPr="00E0610F">
        <w:rPr>
          <w:rFonts w:cs="Arial"/>
          <w:lang w:val="en-GB"/>
        </w:rPr>
        <w:t xml:space="preserve"> (</w:t>
      </w:r>
      <w:proofErr w:type="spellStart"/>
      <w:r w:rsidR="00BA4093" w:rsidRPr="00E0610F">
        <w:rPr>
          <w:rFonts w:cs="Arial"/>
          <w:lang w:val="en-GB"/>
        </w:rPr>
        <w:t>Brealey</w:t>
      </w:r>
      <w:proofErr w:type="spellEnd"/>
      <w:r w:rsidR="00BA4093" w:rsidRPr="00E0610F">
        <w:rPr>
          <w:rFonts w:cs="Arial"/>
          <w:lang w:val="en-GB"/>
        </w:rPr>
        <w:t>, Myers and Allen, 2023)</w:t>
      </w:r>
      <w:r w:rsidRPr="00E0610F">
        <w:rPr>
          <w:rFonts w:cs="Arial"/>
          <w:lang w:val="en-GB"/>
        </w:rPr>
        <w:t>.</w:t>
      </w:r>
    </w:p>
    <w:p w:rsidR="00996F2D" w:rsidRPr="00E0610F" w:rsidRDefault="00996F2D" w:rsidP="003134E1">
      <w:pPr>
        <w:rPr>
          <w:rFonts w:cs="Arial"/>
          <w:lang w:val="en-GB"/>
        </w:rPr>
      </w:pPr>
      <w:r w:rsidRPr="00E0610F">
        <w:rPr>
          <w:rFonts w:cs="Arial"/>
          <w:lang w:val="en-GB"/>
        </w:rPr>
        <w:t>Restructuring of debt could increase financial stability by decreasing the interest payments that are paid and better management of cash flow. Nonetheless, too high equity would result in diluted ownership</w:t>
      </w:r>
      <w:r w:rsidR="00B03C9A" w:rsidRPr="00E0610F">
        <w:rPr>
          <w:rFonts w:cs="Arial"/>
          <w:lang w:val="en-GB"/>
        </w:rPr>
        <w:t>,</w:t>
      </w:r>
      <w:r w:rsidRPr="00E0610F">
        <w:rPr>
          <w:rFonts w:cs="Arial"/>
          <w:lang w:val="en-GB"/>
        </w:rPr>
        <w:t xml:space="preserve"> and too high debt could attract higher financial risk. Thus, there is a need to ensure optimal capital structure, which is in line with </w:t>
      </w:r>
      <w:r w:rsidR="00B03C9A" w:rsidRPr="00E0610F">
        <w:rPr>
          <w:rFonts w:cs="Arial"/>
          <w:lang w:val="en-GB"/>
        </w:rPr>
        <w:t xml:space="preserve">the </w:t>
      </w:r>
      <w:r w:rsidRPr="00E0610F">
        <w:rPr>
          <w:rFonts w:cs="Arial"/>
          <w:lang w:val="en-GB"/>
        </w:rPr>
        <w:t xml:space="preserve">trade-off theory of capital structure (Kraus and </w:t>
      </w:r>
      <w:proofErr w:type="spellStart"/>
      <w:r w:rsidRPr="00E0610F">
        <w:rPr>
          <w:rFonts w:cs="Arial"/>
          <w:lang w:val="en-GB"/>
        </w:rPr>
        <w:t>Litzenberger</w:t>
      </w:r>
      <w:proofErr w:type="spellEnd"/>
      <w:r w:rsidRPr="00E0610F">
        <w:rPr>
          <w:rFonts w:cs="Arial"/>
          <w:lang w:val="en-GB"/>
        </w:rPr>
        <w:t>, 1973).</w:t>
      </w:r>
    </w:p>
    <w:p w:rsidR="00996F2D" w:rsidRPr="00E0610F" w:rsidRDefault="00B03C9A" w:rsidP="003134E1">
      <w:pPr>
        <w:pStyle w:val="Heading2"/>
        <w:spacing w:before="120" w:after="120"/>
        <w:rPr>
          <w:rFonts w:cs="Arial"/>
          <w:color w:val="auto"/>
          <w:sz w:val="36"/>
          <w:lang w:val="en-GB"/>
        </w:rPr>
      </w:pPr>
      <w:bookmarkStart w:id="21" w:name="_Toc227762137"/>
      <w:r w:rsidRPr="00E0610F">
        <w:rPr>
          <w:rStyle w:val="Strong"/>
          <w:rFonts w:cs="Arial"/>
          <w:b/>
          <w:bCs w:val="0"/>
          <w:color w:val="auto"/>
          <w:lang w:val="en-GB"/>
        </w:rPr>
        <w:t>5.4 Impact on Operational Flexibility</w:t>
      </w:r>
      <w:bookmarkEnd w:id="21"/>
    </w:p>
    <w:p w:rsidR="00996F2D" w:rsidRPr="00E0610F" w:rsidRDefault="00996F2D" w:rsidP="003134E1">
      <w:pPr>
        <w:rPr>
          <w:rFonts w:cs="Arial"/>
          <w:lang w:val="en-GB"/>
        </w:rPr>
      </w:pPr>
      <w:r w:rsidRPr="00E0610F">
        <w:rPr>
          <w:rFonts w:cs="Arial"/>
          <w:lang w:val="en-GB"/>
        </w:rPr>
        <w:t xml:space="preserve">Operational flexibility is a concept that involves how flexible the firm is in relation to the market. Restructuring costs </w:t>
      </w:r>
      <w:r w:rsidR="00B03C9A" w:rsidRPr="00E0610F">
        <w:rPr>
          <w:rFonts w:cs="Arial"/>
          <w:lang w:val="en-GB"/>
        </w:rPr>
        <w:t>make</w:t>
      </w:r>
      <w:r w:rsidRPr="00E0610F">
        <w:rPr>
          <w:rFonts w:cs="Arial"/>
          <w:lang w:val="en-GB"/>
        </w:rPr>
        <w:t xml:space="preserve"> Tesla more efficient, and therefore, it is able to react to price pressures. Strategic alliances increase flexibility through external resources and experience</w:t>
      </w:r>
      <w:r w:rsidR="00C754D0" w:rsidRPr="00E0610F">
        <w:rPr>
          <w:rFonts w:cs="Arial"/>
          <w:lang w:val="en-GB"/>
        </w:rPr>
        <w:t xml:space="preserve"> (Madura, </w:t>
      </w:r>
      <w:proofErr w:type="spellStart"/>
      <w:r w:rsidR="00C754D0" w:rsidRPr="00E0610F">
        <w:rPr>
          <w:rFonts w:cs="Arial"/>
          <w:lang w:val="en-GB"/>
        </w:rPr>
        <w:t>Hoque</w:t>
      </w:r>
      <w:proofErr w:type="spellEnd"/>
      <w:r w:rsidR="00C754D0" w:rsidRPr="00E0610F">
        <w:rPr>
          <w:rFonts w:cs="Arial"/>
          <w:lang w:val="en-GB"/>
        </w:rPr>
        <w:t xml:space="preserve"> and </w:t>
      </w:r>
      <w:proofErr w:type="spellStart"/>
      <w:r w:rsidR="00C754D0" w:rsidRPr="00E0610F">
        <w:rPr>
          <w:rFonts w:cs="Arial"/>
          <w:lang w:val="en-GB"/>
        </w:rPr>
        <w:t>Krishnamurti</w:t>
      </w:r>
      <w:proofErr w:type="spellEnd"/>
      <w:r w:rsidR="00C754D0" w:rsidRPr="00E0610F">
        <w:rPr>
          <w:rFonts w:cs="Arial"/>
          <w:lang w:val="en-GB"/>
        </w:rPr>
        <w:t>, 2018)</w:t>
      </w:r>
      <w:r w:rsidRPr="00E0610F">
        <w:rPr>
          <w:rFonts w:cs="Arial"/>
          <w:lang w:val="en-GB"/>
        </w:rPr>
        <w:t>.</w:t>
      </w:r>
    </w:p>
    <w:p w:rsidR="00996F2D" w:rsidRPr="00E0610F" w:rsidRDefault="00996F2D" w:rsidP="003134E1">
      <w:pPr>
        <w:rPr>
          <w:rFonts w:cs="Arial"/>
          <w:lang w:val="en-GB"/>
        </w:rPr>
      </w:pPr>
      <w:r w:rsidRPr="00E0610F">
        <w:rPr>
          <w:rFonts w:cs="Arial"/>
          <w:lang w:val="en-GB"/>
        </w:rPr>
        <w:t xml:space="preserve">Divestiture leads to the complexity in operations </w:t>
      </w:r>
      <w:r w:rsidR="00B03C9A" w:rsidRPr="00E0610F">
        <w:rPr>
          <w:rFonts w:cs="Arial"/>
          <w:lang w:val="en-GB"/>
        </w:rPr>
        <w:t>being minimised</w:t>
      </w:r>
      <w:r w:rsidRPr="00E0610F">
        <w:rPr>
          <w:rFonts w:cs="Arial"/>
          <w:lang w:val="en-GB"/>
        </w:rPr>
        <w:t xml:space="preserve"> and enables the management to work on the core activities. Besides, solid liquidity and regulated debt will grant them financial flexibility to venture </w:t>
      </w:r>
      <w:r w:rsidR="00B03C9A" w:rsidRPr="00E0610F">
        <w:rPr>
          <w:rFonts w:cs="Arial"/>
          <w:lang w:val="en-GB"/>
        </w:rPr>
        <w:t>into</w:t>
      </w:r>
      <w:r w:rsidRPr="00E0610F">
        <w:rPr>
          <w:rFonts w:cs="Arial"/>
          <w:lang w:val="en-GB"/>
        </w:rPr>
        <w:t xml:space="preserve"> new prospects (</w:t>
      </w:r>
      <w:proofErr w:type="spellStart"/>
      <w:r w:rsidRPr="00E0610F">
        <w:rPr>
          <w:rFonts w:cs="Arial"/>
          <w:lang w:val="en-GB"/>
        </w:rPr>
        <w:t>Brealey</w:t>
      </w:r>
      <w:proofErr w:type="spellEnd"/>
      <w:r w:rsidRPr="00E0610F">
        <w:rPr>
          <w:rFonts w:cs="Arial"/>
          <w:lang w:val="en-GB"/>
        </w:rPr>
        <w:t xml:space="preserve"> et al., 2023).</w:t>
      </w:r>
    </w:p>
    <w:p w:rsidR="00996F2D" w:rsidRPr="00E0610F" w:rsidRDefault="00996F2D" w:rsidP="003134E1">
      <w:pPr>
        <w:pStyle w:val="Heading2"/>
        <w:spacing w:before="120" w:after="120"/>
        <w:rPr>
          <w:rFonts w:cs="Arial"/>
          <w:color w:val="auto"/>
          <w:lang w:val="en-GB"/>
        </w:rPr>
      </w:pPr>
      <w:bookmarkStart w:id="22" w:name="_Toc227762138"/>
      <w:r w:rsidRPr="00E0610F">
        <w:rPr>
          <w:rFonts w:cs="Arial"/>
          <w:color w:val="auto"/>
          <w:lang w:val="en-GB"/>
        </w:rPr>
        <w:t>5.5 International Considerations</w:t>
      </w:r>
      <w:bookmarkEnd w:id="22"/>
    </w:p>
    <w:p w:rsidR="00996F2D" w:rsidRPr="00E0610F" w:rsidRDefault="00996F2D" w:rsidP="003134E1">
      <w:pPr>
        <w:rPr>
          <w:rFonts w:cs="Arial"/>
          <w:lang w:val="en-GB"/>
        </w:rPr>
      </w:pPr>
      <w:r w:rsidRPr="00E0610F">
        <w:rPr>
          <w:rFonts w:cs="Arial"/>
          <w:lang w:val="en-GB"/>
        </w:rPr>
        <w:t xml:space="preserve">Tesla has operations in different parts of the world and is </w:t>
      </w:r>
      <w:r w:rsidR="00B03C9A" w:rsidRPr="00E0610F">
        <w:rPr>
          <w:rFonts w:cs="Arial"/>
          <w:lang w:val="en-GB"/>
        </w:rPr>
        <w:t>subject</w:t>
      </w:r>
      <w:r w:rsidRPr="00E0610F">
        <w:rPr>
          <w:rFonts w:cs="Arial"/>
          <w:lang w:val="en-GB"/>
        </w:rPr>
        <w:t xml:space="preserve"> to </w:t>
      </w:r>
      <w:r w:rsidR="00B03C9A" w:rsidRPr="00E0610F">
        <w:rPr>
          <w:rFonts w:cs="Arial"/>
          <w:lang w:val="en-GB"/>
        </w:rPr>
        <w:t>several</w:t>
      </w:r>
      <w:r w:rsidRPr="00E0610F">
        <w:rPr>
          <w:rFonts w:cs="Arial"/>
          <w:lang w:val="en-GB"/>
        </w:rPr>
        <w:t xml:space="preserve"> foreign financial risks.</w:t>
      </w:r>
    </w:p>
    <w:p w:rsidR="00B03C9A" w:rsidRPr="00E0610F" w:rsidRDefault="00996F2D" w:rsidP="003134E1">
      <w:pPr>
        <w:rPr>
          <w:rFonts w:cs="Arial"/>
          <w:b/>
          <w:lang w:val="en-GB"/>
        </w:rPr>
      </w:pPr>
      <w:r w:rsidRPr="00E0610F">
        <w:rPr>
          <w:rFonts w:cs="Arial"/>
          <w:b/>
          <w:lang w:val="en-GB"/>
        </w:rPr>
        <w:t>Currency Risk</w:t>
      </w:r>
    </w:p>
    <w:p w:rsidR="00996F2D" w:rsidRPr="00E0610F" w:rsidRDefault="00996F2D" w:rsidP="003134E1">
      <w:pPr>
        <w:rPr>
          <w:rFonts w:cs="Arial"/>
          <w:lang w:val="en-GB"/>
        </w:rPr>
      </w:pPr>
      <w:r w:rsidRPr="00E0610F">
        <w:rPr>
          <w:rFonts w:cs="Arial"/>
          <w:lang w:val="en-GB"/>
        </w:rPr>
        <w:t>Revenues and costs can be greatly impacted by the exchange rates. Operational activities worldwide also expose Tesla to different varieties of currencies and</w:t>
      </w:r>
      <w:r w:rsidR="00B03C9A" w:rsidRPr="00E0610F">
        <w:rPr>
          <w:rFonts w:cs="Arial"/>
          <w:lang w:val="en-GB"/>
        </w:rPr>
        <w:t>,</w:t>
      </w:r>
      <w:r w:rsidRPr="00E0610F">
        <w:rPr>
          <w:rFonts w:cs="Arial"/>
          <w:lang w:val="en-GB"/>
        </w:rPr>
        <w:t xml:space="preserve"> therefore</w:t>
      </w:r>
      <w:r w:rsidR="00B03C9A" w:rsidRPr="00E0610F">
        <w:rPr>
          <w:rFonts w:cs="Arial"/>
          <w:lang w:val="en-GB"/>
        </w:rPr>
        <w:t>,</w:t>
      </w:r>
      <w:r w:rsidRPr="00E0610F">
        <w:rPr>
          <w:rFonts w:cs="Arial"/>
          <w:lang w:val="en-GB"/>
        </w:rPr>
        <w:t xml:space="preserve"> subject it to the adverse effects of currency volatility. The risk can be avoided by using forward contracts as a hedging approach </w:t>
      </w:r>
      <w:r w:rsidR="004C2B21" w:rsidRPr="00E0610F">
        <w:rPr>
          <w:rFonts w:cs="Arial"/>
          <w:lang w:val="en-GB"/>
        </w:rPr>
        <w:t xml:space="preserve">(Madura, </w:t>
      </w:r>
      <w:proofErr w:type="spellStart"/>
      <w:r w:rsidR="004C2B21" w:rsidRPr="00E0610F">
        <w:rPr>
          <w:rFonts w:cs="Arial"/>
          <w:lang w:val="en-GB"/>
        </w:rPr>
        <w:t>Hoque</w:t>
      </w:r>
      <w:proofErr w:type="spellEnd"/>
      <w:r w:rsidR="004C2B21" w:rsidRPr="00E0610F">
        <w:rPr>
          <w:rFonts w:cs="Arial"/>
          <w:lang w:val="en-GB"/>
        </w:rPr>
        <w:t xml:space="preserve"> and </w:t>
      </w:r>
      <w:proofErr w:type="spellStart"/>
      <w:r w:rsidR="004C2B21" w:rsidRPr="00E0610F">
        <w:rPr>
          <w:rFonts w:cs="Arial"/>
          <w:lang w:val="en-GB"/>
        </w:rPr>
        <w:t>Krishnamurti</w:t>
      </w:r>
      <w:proofErr w:type="spellEnd"/>
      <w:r w:rsidR="004C2B21" w:rsidRPr="00E0610F">
        <w:rPr>
          <w:rFonts w:cs="Arial"/>
          <w:lang w:val="en-GB"/>
        </w:rPr>
        <w:t>, 2018)</w:t>
      </w:r>
      <w:r w:rsidRPr="00E0610F">
        <w:rPr>
          <w:rFonts w:cs="Arial"/>
          <w:lang w:val="en-GB"/>
        </w:rPr>
        <w:t>.</w:t>
      </w:r>
    </w:p>
    <w:p w:rsidR="002E67E7" w:rsidRPr="00E0610F" w:rsidRDefault="002E67E7" w:rsidP="003134E1">
      <w:pPr>
        <w:rPr>
          <w:rFonts w:cs="Arial"/>
          <w:lang w:val="en-GB"/>
        </w:rPr>
      </w:pPr>
    </w:p>
    <w:p w:rsidR="002E67E7" w:rsidRPr="00E0610F" w:rsidRDefault="002E67E7" w:rsidP="003134E1">
      <w:pPr>
        <w:rPr>
          <w:rFonts w:cs="Arial"/>
          <w:b/>
          <w:lang w:val="en-GB"/>
        </w:rPr>
      </w:pPr>
    </w:p>
    <w:p w:rsidR="00996F2D" w:rsidRPr="00E0610F" w:rsidRDefault="00996F2D" w:rsidP="003134E1">
      <w:pPr>
        <w:rPr>
          <w:rFonts w:cs="Arial"/>
          <w:b/>
          <w:lang w:val="en-GB"/>
        </w:rPr>
      </w:pPr>
      <w:r w:rsidRPr="00E0610F">
        <w:rPr>
          <w:rFonts w:cs="Arial"/>
          <w:b/>
          <w:lang w:val="en-GB"/>
        </w:rPr>
        <w:lastRenderedPageBreak/>
        <w:t>Inflation</w:t>
      </w:r>
    </w:p>
    <w:p w:rsidR="00996F2D" w:rsidRPr="00E0610F" w:rsidRDefault="00996F2D" w:rsidP="003134E1">
      <w:pPr>
        <w:rPr>
          <w:rFonts w:cs="Arial"/>
          <w:lang w:val="en-GB"/>
        </w:rPr>
      </w:pPr>
      <w:r w:rsidRPr="00E0610F">
        <w:rPr>
          <w:rFonts w:cs="Arial"/>
          <w:lang w:val="en-GB"/>
        </w:rPr>
        <w:t>Inflation partly boosts the cost of production</w:t>
      </w:r>
      <w:r w:rsidR="00B03C9A" w:rsidRPr="00E0610F">
        <w:rPr>
          <w:rFonts w:cs="Arial"/>
          <w:lang w:val="en-GB"/>
        </w:rPr>
        <w:t>,</w:t>
      </w:r>
      <w:r w:rsidRPr="00E0610F">
        <w:rPr>
          <w:rFonts w:cs="Arial"/>
          <w:lang w:val="en-GB"/>
        </w:rPr>
        <w:t xml:space="preserve"> particularly the cost of raw materials and labour, which is </w:t>
      </w:r>
      <w:r w:rsidR="00B03C9A" w:rsidRPr="00E0610F">
        <w:rPr>
          <w:rFonts w:cs="Arial"/>
          <w:lang w:val="en-GB"/>
        </w:rPr>
        <w:t>margin-compressing</w:t>
      </w:r>
      <w:r w:rsidRPr="00E0610F">
        <w:rPr>
          <w:rFonts w:cs="Arial"/>
          <w:lang w:val="en-GB"/>
        </w:rPr>
        <w:t xml:space="preserve">. Profitability in an inflationary environment requires efficient cost management and strategies of prices </w:t>
      </w:r>
      <w:r w:rsidR="004C2B21" w:rsidRPr="00E0610F">
        <w:rPr>
          <w:rFonts w:cs="Arial"/>
          <w:lang w:val="en-GB"/>
        </w:rPr>
        <w:t>(Arnold and Lewis, 2019)</w:t>
      </w:r>
      <w:r w:rsidRPr="00E0610F">
        <w:rPr>
          <w:rFonts w:cs="Arial"/>
          <w:lang w:val="en-GB"/>
        </w:rPr>
        <w:t>.</w:t>
      </w:r>
    </w:p>
    <w:p w:rsidR="00996F2D" w:rsidRPr="00E0610F" w:rsidRDefault="00996F2D" w:rsidP="003134E1">
      <w:pPr>
        <w:rPr>
          <w:rFonts w:cs="Arial"/>
          <w:b/>
          <w:lang w:val="en-GB"/>
        </w:rPr>
      </w:pPr>
      <w:r w:rsidRPr="00E0610F">
        <w:rPr>
          <w:rFonts w:cs="Arial"/>
          <w:b/>
          <w:lang w:val="en-GB"/>
        </w:rPr>
        <w:t>Taxation</w:t>
      </w:r>
    </w:p>
    <w:p w:rsidR="00996F2D" w:rsidRPr="00E0610F" w:rsidRDefault="00996F2D" w:rsidP="003134E1">
      <w:pPr>
        <w:rPr>
          <w:rFonts w:cs="Arial"/>
          <w:lang w:val="en-GB"/>
        </w:rPr>
      </w:pPr>
      <w:r w:rsidRPr="00E0610F">
        <w:rPr>
          <w:rFonts w:cs="Arial"/>
          <w:lang w:val="en-GB"/>
        </w:rPr>
        <w:t>The fact that Tesla operates in more than one jurisdiction is subjecting it to diverse taxation regimes. Effective tax planning is needed to reduce liabilities without violating international regulations (OECD, 2022). Taxation alterations can cause a major difference in financial performance.</w:t>
      </w:r>
    </w:p>
    <w:p w:rsidR="00996F2D" w:rsidRPr="00E0610F" w:rsidRDefault="00B03C9A" w:rsidP="003134E1">
      <w:pPr>
        <w:pStyle w:val="Heading2"/>
        <w:spacing w:before="120" w:after="120"/>
        <w:rPr>
          <w:rFonts w:cs="Arial"/>
          <w:color w:val="auto"/>
          <w:lang w:val="en-GB"/>
        </w:rPr>
      </w:pPr>
      <w:bookmarkStart w:id="23" w:name="_Toc227762139"/>
      <w:r w:rsidRPr="00E0610F">
        <w:rPr>
          <w:rFonts w:cs="Arial"/>
          <w:color w:val="auto"/>
          <w:lang w:val="en-GB"/>
        </w:rPr>
        <w:t>5.6 Ethical and Corporate Social Responsibility (CSR) Considerations</w:t>
      </w:r>
      <w:bookmarkEnd w:id="23"/>
    </w:p>
    <w:p w:rsidR="00996F2D" w:rsidRPr="00E0610F" w:rsidRDefault="00996F2D" w:rsidP="003134E1">
      <w:pPr>
        <w:rPr>
          <w:rFonts w:cs="Arial"/>
          <w:b/>
          <w:lang w:val="en-GB"/>
        </w:rPr>
      </w:pPr>
      <w:r w:rsidRPr="00E0610F">
        <w:rPr>
          <w:rFonts w:cs="Arial"/>
          <w:b/>
          <w:lang w:val="en-GB"/>
        </w:rPr>
        <w:t>Environmental Responsibility</w:t>
      </w:r>
    </w:p>
    <w:p w:rsidR="00996F2D" w:rsidRPr="00E0610F" w:rsidRDefault="009C078F" w:rsidP="003134E1">
      <w:pPr>
        <w:rPr>
          <w:rFonts w:cs="Arial"/>
          <w:lang w:val="en-GB"/>
        </w:rPr>
      </w:pPr>
      <w:r w:rsidRPr="00E0610F">
        <w:rPr>
          <w:rFonts w:cs="Arial"/>
          <w:lang w:val="en-GB"/>
        </w:rPr>
        <w:t>Tesla is committed to electric vehicles and renewable energy, which contribute to environmental sustainability and eliminate the negative impact of climate change on a global basis. This undertaking also helps in building the corporate reputation and presence during the clean energy transition (UN, 2024).</w:t>
      </w:r>
    </w:p>
    <w:p w:rsidR="00996F2D" w:rsidRPr="00E0610F" w:rsidRDefault="00996F2D" w:rsidP="003134E1">
      <w:pPr>
        <w:rPr>
          <w:rFonts w:cs="Arial"/>
          <w:b/>
          <w:lang w:val="en-GB"/>
        </w:rPr>
      </w:pPr>
      <w:r w:rsidRPr="00E0610F">
        <w:rPr>
          <w:rFonts w:cs="Arial"/>
          <w:b/>
          <w:lang w:val="en-GB"/>
        </w:rPr>
        <w:t>Social Responsibility</w:t>
      </w:r>
    </w:p>
    <w:p w:rsidR="00996F2D" w:rsidRPr="00E0610F" w:rsidRDefault="009C078F" w:rsidP="003134E1">
      <w:pPr>
        <w:rPr>
          <w:rFonts w:cs="Arial"/>
          <w:lang w:val="en-GB"/>
        </w:rPr>
      </w:pPr>
      <w:r w:rsidRPr="00E0610F">
        <w:rPr>
          <w:rFonts w:cs="Arial"/>
          <w:lang w:val="en-GB"/>
        </w:rPr>
        <w:t>Ethical sourcing of raw materials and fair labour practices, especially in battery production, should be ensured. The inability to resolve them could result in reputational losses and regulatory complications (</w:t>
      </w:r>
      <w:proofErr w:type="spellStart"/>
      <w:r w:rsidRPr="00E0610F">
        <w:rPr>
          <w:rFonts w:cs="Arial"/>
          <w:lang w:val="en-GB"/>
        </w:rPr>
        <w:t>Valinurova</w:t>
      </w:r>
      <w:proofErr w:type="spellEnd"/>
      <w:r w:rsidRPr="00E0610F">
        <w:rPr>
          <w:rFonts w:cs="Arial"/>
          <w:lang w:val="en-GB"/>
        </w:rPr>
        <w:t xml:space="preserve">, </w:t>
      </w:r>
      <w:proofErr w:type="spellStart"/>
      <w:r w:rsidRPr="00E0610F">
        <w:rPr>
          <w:rFonts w:cs="Arial"/>
          <w:lang w:val="en-GB"/>
        </w:rPr>
        <w:t>Leibert</w:t>
      </w:r>
      <w:proofErr w:type="spellEnd"/>
      <w:r w:rsidRPr="00E0610F">
        <w:rPr>
          <w:rFonts w:cs="Arial"/>
          <w:lang w:val="en-GB"/>
        </w:rPr>
        <w:t xml:space="preserve"> and </w:t>
      </w:r>
      <w:proofErr w:type="spellStart"/>
      <w:r w:rsidRPr="00E0610F">
        <w:rPr>
          <w:rFonts w:cs="Arial"/>
          <w:lang w:val="en-GB"/>
        </w:rPr>
        <w:t>Khalikova</w:t>
      </w:r>
      <w:proofErr w:type="spellEnd"/>
      <w:r w:rsidRPr="00E0610F">
        <w:rPr>
          <w:rFonts w:cs="Arial"/>
          <w:lang w:val="en-GB"/>
        </w:rPr>
        <w:t>, 2019).</w:t>
      </w:r>
    </w:p>
    <w:p w:rsidR="00996F2D" w:rsidRPr="00E0610F" w:rsidRDefault="00996F2D" w:rsidP="003134E1">
      <w:pPr>
        <w:rPr>
          <w:rFonts w:cs="Arial"/>
          <w:b/>
          <w:lang w:val="en-GB"/>
        </w:rPr>
      </w:pPr>
      <w:r w:rsidRPr="00E0610F">
        <w:rPr>
          <w:rFonts w:cs="Arial"/>
          <w:b/>
          <w:lang w:val="en-GB"/>
        </w:rPr>
        <w:t>Corporate Governance</w:t>
      </w:r>
    </w:p>
    <w:p w:rsidR="009C078F" w:rsidRPr="00E0610F" w:rsidRDefault="002D6EBF" w:rsidP="009C078F">
      <w:pPr>
        <w:rPr>
          <w:rFonts w:cs="Arial"/>
          <w:lang w:val="en-GB"/>
        </w:rPr>
      </w:pPr>
      <w:r w:rsidRPr="00E0610F">
        <w:rPr>
          <w:rFonts w:cs="Arial"/>
          <w:lang w:val="en-GB"/>
        </w:rPr>
        <w:t>Corporate governance is important in promoting transparency, accountability and good decision making</w:t>
      </w:r>
      <w:r w:rsidR="009C078F" w:rsidRPr="00E0610F">
        <w:rPr>
          <w:rFonts w:cs="Arial"/>
          <w:lang w:val="en-GB"/>
        </w:rPr>
        <w:t>. This becomes particularly significant when financial restructuring is the issue at hand, where a strategy can directly influence the shareholders and other stakeholders (</w:t>
      </w:r>
      <w:proofErr w:type="spellStart"/>
      <w:r w:rsidR="009C078F" w:rsidRPr="00E0610F">
        <w:rPr>
          <w:rFonts w:cs="Arial"/>
          <w:lang w:val="en-GB"/>
        </w:rPr>
        <w:t>Tricker</w:t>
      </w:r>
      <w:proofErr w:type="spellEnd"/>
      <w:r w:rsidR="009C078F" w:rsidRPr="00E0610F">
        <w:rPr>
          <w:rFonts w:cs="Arial"/>
          <w:lang w:val="en-GB"/>
        </w:rPr>
        <w:t>, 2015).</w:t>
      </w:r>
    </w:p>
    <w:p w:rsidR="00B03C9A" w:rsidRPr="00E0610F" w:rsidRDefault="00B03C9A" w:rsidP="009C078F">
      <w:pPr>
        <w:pStyle w:val="Heading2"/>
        <w:rPr>
          <w:rFonts w:cs="Arial"/>
          <w:color w:val="auto"/>
          <w:lang w:val="en-GB"/>
        </w:rPr>
      </w:pPr>
      <w:bookmarkStart w:id="24" w:name="_Toc227762140"/>
      <w:r w:rsidRPr="00E0610F">
        <w:rPr>
          <w:rFonts w:cs="Arial"/>
          <w:color w:val="auto"/>
          <w:lang w:val="en-GB"/>
        </w:rPr>
        <w:t xml:space="preserve">5.7 </w:t>
      </w:r>
      <w:r w:rsidR="00996F2D" w:rsidRPr="00E0610F">
        <w:rPr>
          <w:rFonts w:cs="Arial"/>
          <w:color w:val="auto"/>
          <w:lang w:val="en-GB"/>
        </w:rPr>
        <w:t>Overall Evaluation</w:t>
      </w:r>
      <w:bookmarkEnd w:id="24"/>
    </w:p>
    <w:p w:rsidR="002D6EBF" w:rsidRPr="00E0610F" w:rsidRDefault="002D6EBF" w:rsidP="002D6EBF">
      <w:pPr>
        <w:rPr>
          <w:rFonts w:cs="Arial"/>
          <w:lang w:val="en-GB"/>
        </w:rPr>
      </w:pPr>
      <w:r w:rsidRPr="00E0610F">
        <w:rPr>
          <w:rFonts w:cs="Arial"/>
          <w:lang w:val="en-GB"/>
        </w:rPr>
        <w:t xml:space="preserve">The financial restructuring approach which Tesla must take is to increase its profitability, utilize its funds optimally and secure long term financial sustainability. It </w:t>
      </w:r>
      <w:r w:rsidRPr="00E0610F">
        <w:rPr>
          <w:rFonts w:cs="Arial"/>
          <w:lang w:val="en-GB"/>
        </w:rPr>
        <w:lastRenderedPageBreak/>
        <w:t>is advisable to take a balanced strategy, which involves cost optimization, equity funding, joint venture, and selective divestiture.</w:t>
      </w:r>
    </w:p>
    <w:p w:rsidR="00B03C9A" w:rsidRPr="00E0610F" w:rsidRDefault="002D6EBF" w:rsidP="002D6EBF">
      <w:pPr>
        <w:rPr>
          <w:rFonts w:cs="Arial"/>
          <w:lang w:val="en-GB"/>
        </w:rPr>
      </w:pPr>
      <w:r w:rsidRPr="00E0610F">
        <w:rPr>
          <w:rFonts w:cs="Arial"/>
          <w:lang w:val="en-GB"/>
        </w:rPr>
        <w:t>Although the global risks like inflation and variable exchange rates are a challenge, they can be dealt with successfully in case the appropriate financial and operational strategies are in place</w:t>
      </w:r>
      <w:proofErr w:type="gramStart"/>
      <w:r w:rsidRPr="00E0610F">
        <w:rPr>
          <w:rFonts w:cs="Arial"/>
          <w:lang w:val="en-GB"/>
        </w:rPr>
        <w:t>.</w:t>
      </w:r>
      <w:r w:rsidR="009C078F" w:rsidRPr="00E0610F">
        <w:rPr>
          <w:rFonts w:cs="Arial"/>
          <w:lang w:val="en-GB"/>
        </w:rPr>
        <w:t>.</w:t>
      </w:r>
      <w:proofErr w:type="gramEnd"/>
      <w:r w:rsidR="009C078F" w:rsidRPr="00E0610F">
        <w:rPr>
          <w:rFonts w:cs="Arial"/>
          <w:lang w:val="en-GB"/>
        </w:rPr>
        <w:t xml:space="preserve"> These measures will help Tesla to improve its financial status, increase its shareholder value and grow in the long term.</w:t>
      </w:r>
    </w:p>
    <w:p w:rsidR="00B03C9A" w:rsidRPr="00E0610F" w:rsidRDefault="00B03C9A" w:rsidP="003134E1">
      <w:pPr>
        <w:rPr>
          <w:rFonts w:cs="Arial"/>
          <w:lang w:val="en-GB"/>
        </w:rPr>
      </w:pPr>
      <w:r w:rsidRPr="00E0610F">
        <w:rPr>
          <w:rFonts w:cs="Arial"/>
          <w:lang w:val="en-GB"/>
        </w:rPr>
        <w:br w:type="page"/>
      </w:r>
    </w:p>
    <w:p w:rsidR="00B03C9A" w:rsidRPr="00E0610F" w:rsidRDefault="00B03C9A" w:rsidP="003134E1">
      <w:pPr>
        <w:pStyle w:val="Heading1"/>
        <w:spacing w:before="120" w:after="120"/>
        <w:rPr>
          <w:rFonts w:cs="Arial"/>
          <w:color w:val="auto"/>
          <w:lang w:val="en-GB"/>
        </w:rPr>
      </w:pPr>
      <w:bookmarkStart w:id="25" w:name="_Toc227762141"/>
      <w:r w:rsidRPr="00E0610F">
        <w:rPr>
          <w:rFonts w:cs="Arial"/>
          <w:color w:val="auto"/>
          <w:lang w:val="en-GB"/>
        </w:rPr>
        <w:lastRenderedPageBreak/>
        <w:t>6. Investment Appraisal and Capital Budgeting</w:t>
      </w:r>
      <w:bookmarkEnd w:id="25"/>
    </w:p>
    <w:p w:rsidR="00B03C9A" w:rsidRPr="00E0610F" w:rsidRDefault="00B03C9A" w:rsidP="003134E1">
      <w:pPr>
        <w:rPr>
          <w:rFonts w:cs="Arial"/>
          <w:lang w:val="en-GB"/>
        </w:rPr>
      </w:pPr>
      <w:r w:rsidRPr="00E0610F">
        <w:rPr>
          <w:rFonts w:cs="Arial"/>
          <w:lang w:val="en-GB"/>
        </w:rPr>
        <w:t xml:space="preserve">The appraisal of investment is a key element of financial management in corporations and allows companies to examine the feasibility of investments and deploy funds effectively. In the case of Tesla, a capital and innovation-based firm, the investment decisions should be in line with the financial performance as well as the long-term strategic objectives. It is analysed in three proposed projects based on Payback Period (PBP), Accounting rate of Return (ARR), Net Present Value (NPV), internal rate of return (IRR), Profitability Index (PI) and assuming 10% discount rate and straight line depreciation. The analysis also takes the financial status of Tesla and non-financial risks into consideration to sort out the most suitable investment strategy </w:t>
      </w:r>
      <w:r w:rsidR="00214B50" w:rsidRPr="00E0610F">
        <w:rPr>
          <w:rFonts w:cs="Arial"/>
          <w:lang w:val="en-GB"/>
        </w:rPr>
        <w:t>(Arnold and Lewis, 2019)</w:t>
      </w:r>
      <w:r w:rsidRPr="00E0610F">
        <w:rPr>
          <w:rFonts w:cs="Arial"/>
          <w:lang w:val="en-GB"/>
        </w:rPr>
        <w:t>.</w:t>
      </w:r>
      <w:r w:rsidR="003134E1" w:rsidRPr="00E0610F">
        <w:rPr>
          <w:rFonts w:cs="Arial"/>
          <w:lang w:val="en-GB"/>
        </w:rPr>
        <w:t xml:space="preserve"> </w:t>
      </w:r>
      <w:r w:rsidR="003134E1" w:rsidRPr="00E0610F">
        <w:rPr>
          <w:rFonts w:cs="Arial"/>
          <w:b/>
          <w:lang w:val="en-GB"/>
        </w:rPr>
        <w:t xml:space="preserve">The calculation for this part is demonstrated in Appendix </w:t>
      </w:r>
      <w:r w:rsidR="00964A7B" w:rsidRPr="00E0610F">
        <w:rPr>
          <w:rFonts w:cs="Arial"/>
          <w:b/>
          <w:lang w:val="en-GB"/>
        </w:rPr>
        <w:t>C</w:t>
      </w:r>
      <w:r w:rsidR="003134E1" w:rsidRPr="00E0610F">
        <w:rPr>
          <w:rFonts w:cs="Arial"/>
          <w:b/>
          <w:lang w:val="en-GB"/>
        </w:rPr>
        <w:t>.</w:t>
      </w:r>
    </w:p>
    <w:p w:rsidR="00B03C9A" w:rsidRPr="00E0610F" w:rsidRDefault="00B03C9A" w:rsidP="003134E1">
      <w:pPr>
        <w:pStyle w:val="Heading2"/>
        <w:spacing w:before="120" w:after="120"/>
        <w:rPr>
          <w:rFonts w:cs="Arial"/>
          <w:color w:val="auto"/>
          <w:lang w:val="en-GB"/>
        </w:rPr>
      </w:pPr>
      <w:bookmarkStart w:id="26" w:name="_Toc227762142"/>
      <w:r w:rsidRPr="00E0610F">
        <w:rPr>
          <w:rFonts w:cs="Arial"/>
          <w:color w:val="auto"/>
          <w:lang w:val="en-GB"/>
        </w:rPr>
        <w:t>6.1 Overview of Projects</w:t>
      </w:r>
      <w:bookmarkEnd w:id="26"/>
    </w:p>
    <w:p w:rsidR="00B03C9A" w:rsidRPr="00E0610F" w:rsidRDefault="00B03C9A" w:rsidP="003134E1">
      <w:pPr>
        <w:rPr>
          <w:rFonts w:cs="Arial"/>
          <w:lang w:val="en-GB"/>
        </w:rPr>
      </w:pPr>
      <w:r w:rsidRPr="00E0610F">
        <w:rPr>
          <w:rFonts w:cs="Arial"/>
          <w:lang w:val="en-GB"/>
        </w:rPr>
        <w:t xml:space="preserve">The projects are all capitalised by a </w:t>
      </w:r>
      <w:r w:rsidR="00043016" w:rsidRPr="00E0610F">
        <w:rPr>
          <w:rFonts w:cs="Arial"/>
          <w:lang w:val="en-GB"/>
        </w:rPr>
        <w:t>start-up</w:t>
      </w:r>
      <w:r w:rsidRPr="00E0610F">
        <w:rPr>
          <w:rFonts w:cs="Arial"/>
          <w:lang w:val="en-GB"/>
        </w:rPr>
        <w:t xml:space="preserve"> loan amount of an average of 50 million pounds</w:t>
      </w:r>
      <w:r w:rsidR="00043016" w:rsidRPr="00E0610F">
        <w:rPr>
          <w:rFonts w:cs="Arial"/>
          <w:lang w:val="en-GB"/>
        </w:rPr>
        <w:t>,</w:t>
      </w:r>
      <w:r w:rsidRPr="00E0610F">
        <w:rPr>
          <w:rFonts w:cs="Arial"/>
          <w:lang w:val="en-GB"/>
        </w:rPr>
        <w:t xml:space="preserve"> but they vary in terms of cash inflow. Project </w:t>
      </w:r>
      <w:proofErr w:type="gramStart"/>
      <w:r w:rsidRPr="00E0610F">
        <w:rPr>
          <w:rFonts w:cs="Arial"/>
          <w:lang w:val="en-GB"/>
        </w:rPr>
        <w:t>A</w:t>
      </w:r>
      <w:proofErr w:type="gramEnd"/>
      <w:r w:rsidRPr="00E0610F">
        <w:rPr>
          <w:rFonts w:cs="Arial"/>
          <w:lang w:val="en-GB"/>
        </w:rPr>
        <w:t xml:space="preserve"> gives moderate but irregular returns, Project B gives steady and regular cash flows</w:t>
      </w:r>
      <w:r w:rsidR="00043016" w:rsidRPr="00E0610F">
        <w:rPr>
          <w:rFonts w:cs="Arial"/>
          <w:lang w:val="en-GB"/>
        </w:rPr>
        <w:t>,</w:t>
      </w:r>
      <w:r w:rsidRPr="00E0610F">
        <w:rPr>
          <w:rFonts w:cs="Arial"/>
          <w:lang w:val="en-GB"/>
        </w:rPr>
        <w:t xml:space="preserve"> and Project C gives low initial returns but large inflows in the later years. The different cash flow structures indicate different risk profiles, which have to be assessed through various appraisal methods to guarantee a sound decision-making process </w:t>
      </w:r>
      <w:r w:rsidR="00214B50" w:rsidRPr="00E0610F">
        <w:rPr>
          <w:rFonts w:cs="Arial"/>
          <w:lang w:val="en-GB"/>
        </w:rPr>
        <w:t>(</w:t>
      </w:r>
      <w:proofErr w:type="spellStart"/>
      <w:r w:rsidR="00214B50" w:rsidRPr="00E0610F">
        <w:rPr>
          <w:rFonts w:cs="Arial"/>
          <w:lang w:val="en-GB"/>
        </w:rPr>
        <w:t>Theodosopoulos</w:t>
      </w:r>
      <w:proofErr w:type="spellEnd"/>
      <w:r w:rsidR="00214B50" w:rsidRPr="00E0610F">
        <w:rPr>
          <w:rFonts w:cs="Arial"/>
          <w:lang w:val="en-GB"/>
        </w:rPr>
        <w:t xml:space="preserve">, </w:t>
      </w:r>
      <w:proofErr w:type="spellStart"/>
      <w:r w:rsidR="00214B50" w:rsidRPr="00E0610F">
        <w:rPr>
          <w:rFonts w:cs="Arial"/>
          <w:lang w:val="en-GB"/>
        </w:rPr>
        <w:t>Haslam</w:t>
      </w:r>
      <w:proofErr w:type="spellEnd"/>
      <w:r w:rsidR="00214B50" w:rsidRPr="00E0610F">
        <w:rPr>
          <w:rFonts w:cs="Arial"/>
          <w:lang w:val="en-GB"/>
        </w:rPr>
        <w:t xml:space="preserve"> and Riley, 2023)</w:t>
      </w:r>
      <w:r w:rsidRPr="00E0610F">
        <w:rPr>
          <w:rFonts w:cs="Arial"/>
          <w:lang w:val="en-GB"/>
        </w:rPr>
        <w:t>.</w:t>
      </w:r>
    </w:p>
    <w:p w:rsidR="00B03C9A" w:rsidRPr="00E0610F" w:rsidRDefault="00B03C9A" w:rsidP="003134E1">
      <w:pPr>
        <w:pStyle w:val="Heading2"/>
        <w:spacing w:before="120" w:after="120"/>
        <w:rPr>
          <w:rFonts w:cs="Arial"/>
          <w:color w:val="auto"/>
          <w:lang w:val="en-GB"/>
        </w:rPr>
      </w:pPr>
      <w:bookmarkStart w:id="27" w:name="_Toc227762143"/>
      <w:r w:rsidRPr="00E0610F">
        <w:rPr>
          <w:rFonts w:cs="Arial"/>
          <w:color w:val="auto"/>
          <w:lang w:val="en-GB"/>
        </w:rPr>
        <w:t>6.2 Payback Period (PBP)</w:t>
      </w:r>
      <w:bookmarkEnd w:id="27"/>
    </w:p>
    <w:p w:rsidR="00B03C9A" w:rsidRPr="00E0610F" w:rsidRDefault="00B03C9A" w:rsidP="003134E1">
      <w:pPr>
        <w:rPr>
          <w:rFonts w:cs="Arial"/>
          <w:lang w:val="en-GB"/>
        </w:rPr>
      </w:pPr>
      <w:r w:rsidRPr="00E0610F">
        <w:rPr>
          <w:rFonts w:cs="Arial"/>
          <w:lang w:val="en-GB"/>
        </w:rPr>
        <w:t xml:space="preserve">The Payback Period is the time taken to break even with the initial investment and is also useful in the evaluation of liquidity risk. Project A will break even after 4.50 </w:t>
      </w:r>
      <w:proofErr w:type="gramStart"/>
      <w:r w:rsidRPr="00E0610F">
        <w:rPr>
          <w:rFonts w:cs="Arial"/>
          <w:lang w:val="en-GB"/>
        </w:rPr>
        <w:t>years</w:t>
      </w:r>
      <w:r w:rsidR="00043016" w:rsidRPr="00E0610F">
        <w:rPr>
          <w:rFonts w:cs="Arial"/>
          <w:lang w:val="en-GB"/>
        </w:rPr>
        <w:t>,</w:t>
      </w:r>
      <w:proofErr w:type="gramEnd"/>
      <w:r w:rsidRPr="00E0610F">
        <w:rPr>
          <w:rFonts w:cs="Arial"/>
          <w:lang w:val="en-GB"/>
        </w:rPr>
        <w:t xml:space="preserve"> and Project B will break even after 4.55 years. Project C</w:t>
      </w:r>
      <w:r w:rsidR="00043016" w:rsidRPr="00E0610F">
        <w:rPr>
          <w:rFonts w:cs="Arial"/>
          <w:lang w:val="en-GB"/>
        </w:rPr>
        <w:t>,</w:t>
      </w:r>
      <w:r w:rsidRPr="00E0610F">
        <w:rPr>
          <w:rFonts w:cs="Arial"/>
          <w:lang w:val="en-GB"/>
        </w:rPr>
        <w:t xml:space="preserve"> in contrast</w:t>
      </w:r>
      <w:r w:rsidR="00043016" w:rsidRPr="00E0610F">
        <w:rPr>
          <w:rFonts w:cs="Arial"/>
          <w:lang w:val="en-GB"/>
        </w:rPr>
        <w:t>,</w:t>
      </w:r>
      <w:r w:rsidRPr="00E0610F">
        <w:rPr>
          <w:rFonts w:cs="Arial"/>
          <w:lang w:val="en-GB"/>
        </w:rPr>
        <w:t xml:space="preserve"> has a payback period of 3.60 years; hence</w:t>
      </w:r>
      <w:r w:rsidR="00043016" w:rsidRPr="00E0610F">
        <w:rPr>
          <w:rFonts w:cs="Arial"/>
          <w:lang w:val="en-GB"/>
        </w:rPr>
        <w:t>,</w:t>
      </w:r>
      <w:r w:rsidRPr="00E0610F">
        <w:rPr>
          <w:rFonts w:cs="Arial"/>
          <w:lang w:val="en-GB"/>
        </w:rPr>
        <w:t xml:space="preserve"> it is the quickest of the three.</w:t>
      </w:r>
    </w:p>
    <w:p w:rsidR="00B03C9A" w:rsidRPr="00E0610F" w:rsidRDefault="00B03C9A" w:rsidP="003134E1">
      <w:pPr>
        <w:rPr>
          <w:rFonts w:cs="Arial"/>
          <w:lang w:val="en-GB"/>
        </w:rPr>
      </w:pPr>
      <w:r w:rsidRPr="00E0610F">
        <w:rPr>
          <w:rFonts w:cs="Arial"/>
          <w:lang w:val="en-GB"/>
        </w:rPr>
        <w:t xml:space="preserve">In terms of liquidity, Tesla would be </w:t>
      </w:r>
      <w:r w:rsidR="00043016" w:rsidRPr="00E0610F">
        <w:rPr>
          <w:rFonts w:cs="Arial"/>
          <w:lang w:val="en-GB"/>
        </w:rPr>
        <w:t>better off</w:t>
      </w:r>
      <w:r w:rsidRPr="00E0610F">
        <w:rPr>
          <w:rFonts w:cs="Arial"/>
          <w:lang w:val="en-GB"/>
        </w:rPr>
        <w:t xml:space="preserve"> choosing Project C, as it will enable the company to recoup sooner and avoid being held at the mercy of uncertainty. It is particularly appropriate in this context since Tesla is becoming less profitable, with speeding cash recovery increasing financial stability. Nevertheless, Payback Period disregards the time value of money or cash flows that extend the payback period and prevents its use as an independent decision-making tool </w:t>
      </w:r>
      <w:r w:rsidR="00D735F1" w:rsidRPr="00E0610F">
        <w:rPr>
          <w:rFonts w:cs="Arial"/>
          <w:lang w:val="en-GB"/>
        </w:rPr>
        <w:t>(</w:t>
      </w:r>
      <w:proofErr w:type="spellStart"/>
      <w:r w:rsidR="00D735F1" w:rsidRPr="00E0610F">
        <w:rPr>
          <w:rFonts w:cs="Arial"/>
          <w:lang w:val="en-GB"/>
        </w:rPr>
        <w:t>Teece</w:t>
      </w:r>
      <w:proofErr w:type="spellEnd"/>
      <w:r w:rsidR="00D735F1" w:rsidRPr="00E0610F">
        <w:rPr>
          <w:rFonts w:cs="Arial"/>
          <w:lang w:val="en-GB"/>
        </w:rPr>
        <w:t>, 2018)</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28" w:name="_Toc227762144"/>
      <w:r w:rsidRPr="00E0610F">
        <w:rPr>
          <w:rFonts w:cs="Arial"/>
          <w:color w:val="auto"/>
          <w:lang w:val="en-GB"/>
        </w:rPr>
        <w:lastRenderedPageBreak/>
        <w:t>6.3 Accounting Rate of Return (ARR)</w:t>
      </w:r>
      <w:bookmarkEnd w:id="28"/>
    </w:p>
    <w:p w:rsidR="00B03C9A" w:rsidRPr="00E0610F" w:rsidRDefault="00B03C9A" w:rsidP="003134E1">
      <w:pPr>
        <w:rPr>
          <w:rFonts w:cs="Arial"/>
          <w:lang w:val="en-GB"/>
        </w:rPr>
      </w:pPr>
      <w:r w:rsidRPr="00E0610F">
        <w:rPr>
          <w:rFonts w:cs="Arial"/>
          <w:lang w:val="en-GB"/>
        </w:rPr>
        <w:t xml:space="preserve">ARR </w:t>
      </w:r>
      <w:r w:rsidR="00043016" w:rsidRPr="00E0610F">
        <w:rPr>
          <w:rFonts w:cs="Arial"/>
          <w:lang w:val="en-GB"/>
        </w:rPr>
        <w:t>analyses</w:t>
      </w:r>
      <w:r w:rsidRPr="00E0610F">
        <w:rPr>
          <w:rFonts w:cs="Arial"/>
          <w:lang w:val="en-GB"/>
        </w:rPr>
        <w:t xml:space="preserve"> how profitable the investment is by determining the ratio of average annual profit to the initial investment. ARR of project A is 1.6% and</w:t>
      </w:r>
      <w:r w:rsidR="00043016" w:rsidRPr="00E0610F">
        <w:rPr>
          <w:rFonts w:cs="Arial"/>
          <w:lang w:val="en-GB"/>
        </w:rPr>
        <w:t>,</w:t>
      </w:r>
      <w:r w:rsidRPr="00E0610F">
        <w:rPr>
          <w:rFonts w:cs="Arial"/>
          <w:lang w:val="en-GB"/>
        </w:rPr>
        <w:t xml:space="preserve"> of project B 2.0%</w:t>
      </w:r>
      <w:r w:rsidR="00043016" w:rsidRPr="00E0610F">
        <w:rPr>
          <w:rFonts w:cs="Arial"/>
          <w:lang w:val="en-GB"/>
        </w:rPr>
        <w:t>,</w:t>
      </w:r>
      <w:r w:rsidRPr="00E0610F">
        <w:rPr>
          <w:rFonts w:cs="Arial"/>
          <w:lang w:val="en-GB"/>
        </w:rPr>
        <w:t xml:space="preserve"> and </w:t>
      </w:r>
      <w:r w:rsidR="00043016" w:rsidRPr="00E0610F">
        <w:rPr>
          <w:rFonts w:cs="Arial"/>
          <w:lang w:val="en-GB"/>
        </w:rPr>
        <w:t xml:space="preserve">of </w:t>
      </w:r>
      <w:r w:rsidRPr="00E0610F">
        <w:rPr>
          <w:rFonts w:cs="Arial"/>
          <w:lang w:val="en-GB"/>
        </w:rPr>
        <w:t>project C 6.0%. Project C illustrates excellent profitability.</w:t>
      </w:r>
    </w:p>
    <w:p w:rsidR="00B03C9A" w:rsidRPr="00E0610F" w:rsidRDefault="00B03C9A" w:rsidP="003134E1">
      <w:pPr>
        <w:rPr>
          <w:rFonts w:cs="Arial"/>
          <w:lang w:val="en-GB"/>
        </w:rPr>
      </w:pPr>
      <w:r w:rsidRPr="00E0610F">
        <w:rPr>
          <w:rFonts w:cs="Arial"/>
          <w:lang w:val="en-GB"/>
        </w:rPr>
        <w:t xml:space="preserve">ARR has limitations due to its simplicity in that it does not consider when cash flows occur and uses accounting profit instead of cash flow. However, it offers a valuable complementary performance indicator of a project, especially one that compares relative profitability </w:t>
      </w:r>
      <w:r w:rsidR="00D735F1" w:rsidRPr="00E0610F">
        <w:rPr>
          <w:rFonts w:cs="Arial"/>
          <w:lang w:val="en-GB"/>
        </w:rPr>
        <w:t>(</w:t>
      </w:r>
      <w:proofErr w:type="spellStart"/>
      <w:r w:rsidR="00D735F1" w:rsidRPr="00E0610F">
        <w:rPr>
          <w:rFonts w:cs="Arial"/>
          <w:lang w:val="en-GB"/>
        </w:rPr>
        <w:t>Brealey</w:t>
      </w:r>
      <w:proofErr w:type="spellEnd"/>
      <w:r w:rsidR="00D735F1" w:rsidRPr="00E0610F">
        <w:rPr>
          <w:rFonts w:cs="Arial"/>
          <w:lang w:val="en-GB"/>
        </w:rPr>
        <w:t>, Myers and Allen, 2023)</w:t>
      </w:r>
      <w:r w:rsidRPr="00E0610F">
        <w:rPr>
          <w:rFonts w:cs="Arial"/>
          <w:lang w:val="en-GB"/>
        </w:rPr>
        <w:t>.</w:t>
      </w:r>
    </w:p>
    <w:p w:rsidR="00B03C9A" w:rsidRPr="00E0610F" w:rsidRDefault="00B03C9A" w:rsidP="003134E1">
      <w:pPr>
        <w:pStyle w:val="Heading2"/>
        <w:spacing w:before="120" w:after="120"/>
        <w:rPr>
          <w:rFonts w:cs="Arial"/>
          <w:color w:val="auto"/>
          <w:lang w:val="en-GB"/>
        </w:rPr>
      </w:pPr>
      <w:bookmarkStart w:id="29" w:name="_Toc227762145"/>
      <w:r w:rsidRPr="00E0610F">
        <w:rPr>
          <w:rFonts w:cs="Arial"/>
          <w:color w:val="auto"/>
          <w:lang w:val="en-GB"/>
        </w:rPr>
        <w:t>6.4 Net Present Value (NPV)</w:t>
      </w:r>
      <w:bookmarkEnd w:id="29"/>
    </w:p>
    <w:p w:rsidR="00B03C9A" w:rsidRPr="00E0610F" w:rsidRDefault="00B03C9A" w:rsidP="003134E1">
      <w:pPr>
        <w:rPr>
          <w:rFonts w:cs="Arial"/>
          <w:lang w:val="en-GB"/>
        </w:rPr>
      </w:pPr>
      <w:r w:rsidRPr="00E0610F">
        <w:rPr>
          <w:rFonts w:cs="Arial"/>
          <w:lang w:val="en-GB"/>
        </w:rPr>
        <w:t>NPV is generally considered the best method of appraisal since it takes into account the time value of money and the absolute change in wealth to its shareholders (</w:t>
      </w:r>
      <w:proofErr w:type="spellStart"/>
      <w:r w:rsidRPr="00E0610F">
        <w:rPr>
          <w:rFonts w:cs="Arial"/>
          <w:lang w:val="en-GB"/>
        </w:rPr>
        <w:t>Brealey</w:t>
      </w:r>
      <w:proofErr w:type="spellEnd"/>
      <w:r w:rsidRPr="00E0610F">
        <w:rPr>
          <w:rFonts w:cs="Arial"/>
          <w:lang w:val="en-GB"/>
        </w:rPr>
        <w:t>, Myers and Allen, 2023).</w:t>
      </w:r>
    </w:p>
    <w:p w:rsidR="00B03C9A" w:rsidRPr="00E0610F" w:rsidRDefault="00B03C9A" w:rsidP="003134E1">
      <w:pPr>
        <w:rPr>
          <w:rFonts w:cs="Arial"/>
          <w:lang w:val="en-GB"/>
        </w:rPr>
      </w:pPr>
      <w:r w:rsidRPr="00E0610F">
        <w:rPr>
          <w:rFonts w:cs="Arial"/>
          <w:lang w:val="en-GB"/>
        </w:rPr>
        <w:t>All the projects give negative NPV at 10% discount rate:</w:t>
      </w:r>
    </w:p>
    <w:p w:rsidR="00043016" w:rsidRPr="00E0610F" w:rsidRDefault="00043016" w:rsidP="003134E1">
      <w:pPr>
        <w:pStyle w:val="ListParagraph"/>
        <w:numPr>
          <w:ilvl w:val="0"/>
          <w:numId w:val="3"/>
        </w:numPr>
        <w:rPr>
          <w:rFonts w:cs="Arial"/>
          <w:lang w:val="en-GB"/>
        </w:rPr>
      </w:pPr>
      <w:r w:rsidRPr="00E0610F">
        <w:rPr>
          <w:rFonts w:cs="Arial"/>
          <w:lang w:val="en-GB"/>
        </w:rPr>
        <w:t>Project A: −£8.676 million</w:t>
      </w:r>
    </w:p>
    <w:p w:rsidR="00043016" w:rsidRPr="00E0610F" w:rsidRDefault="00043016" w:rsidP="003134E1">
      <w:pPr>
        <w:pStyle w:val="ListParagraph"/>
        <w:numPr>
          <w:ilvl w:val="0"/>
          <w:numId w:val="3"/>
        </w:numPr>
        <w:rPr>
          <w:rFonts w:cs="Arial"/>
          <w:lang w:val="en-GB"/>
        </w:rPr>
      </w:pPr>
      <w:r w:rsidRPr="00E0610F">
        <w:rPr>
          <w:rFonts w:cs="Arial"/>
          <w:lang w:val="en-GB"/>
        </w:rPr>
        <w:t>Project B: −£8.301 million</w:t>
      </w:r>
    </w:p>
    <w:p w:rsidR="00B03C9A" w:rsidRPr="00E0610F" w:rsidRDefault="00043016" w:rsidP="003134E1">
      <w:pPr>
        <w:pStyle w:val="ListParagraph"/>
        <w:numPr>
          <w:ilvl w:val="0"/>
          <w:numId w:val="3"/>
        </w:numPr>
        <w:rPr>
          <w:rFonts w:cs="Arial"/>
          <w:lang w:val="en-GB"/>
        </w:rPr>
      </w:pPr>
      <w:r w:rsidRPr="00E0610F">
        <w:rPr>
          <w:rFonts w:cs="Arial"/>
          <w:lang w:val="en-GB"/>
        </w:rPr>
        <w:t>Project C: −£1.984 million</w:t>
      </w:r>
    </w:p>
    <w:p w:rsidR="00B03C9A" w:rsidRPr="00E0610F" w:rsidRDefault="00B03C9A" w:rsidP="003134E1">
      <w:pPr>
        <w:rPr>
          <w:rFonts w:cs="Arial"/>
          <w:lang w:val="en-GB"/>
        </w:rPr>
      </w:pPr>
      <w:r w:rsidRPr="00E0610F">
        <w:rPr>
          <w:rFonts w:cs="Arial"/>
          <w:lang w:val="en-GB"/>
        </w:rPr>
        <w:t xml:space="preserve">These findings suggest that </w:t>
      </w:r>
      <w:r w:rsidR="00043016" w:rsidRPr="00E0610F">
        <w:rPr>
          <w:rFonts w:cs="Arial"/>
          <w:lang w:val="en-GB"/>
        </w:rPr>
        <w:t>none</w:t>
      </w:r>
      <w:r w:rsidRPr="00E0610F">
        <w:rPr>
          <w:rFonts w:cs="Arial"/>
          <w:lang w:val="en-GB"/>
        </w:rPr>
        <w:t xml:space="preserve"> of the projects has the necessary rate of return. Nonetheless, Project C presents the least negative NPV, implying that it is the most acceptable financially in the circumstances.</w:t>
      </w:r>
    </w:p>
    <w:p w:rsidR="00B03C9A" w:rsidRPr="00E0610F" w:rsidRDefault="00B03C9A" w:rsidP="003134E1">
      <w:pPr>
        <w:rPr>
          <w:rFonts w:cs="Arial"/>
          <w:lang w:val="en-GB"/>
        </w:rPr>
      </w:pPr>
      <w:r w:rsidRPr="00E0610F">
        <w:rPr>
          <w:rFonts w:cs="Arial"/>
          <w:lang w:val="en-GB"/>
        </w:rPr>
        <w:t>The negative NPVs could be indicative of an economy-wide pressure on costs and the dwindling margins of Tesla. Financial theory states that projects with negative NPV should be discarded, but strategic logic and growth prospects in the long term can play in favour of the least desirable alternative (</w:t>
      </w:r>
      <w:proofErr w:type="spellStart"/>
      <w:r w:rsidRPr="00E0610F">
        <w:rPr>
          <w:rFonts w:cs="Arial"/>
          <w:lang w:val="en-GB"/>
        </w:rPr>
        <w:t>Damodaran</w:t>
      </w:r>
      <w:proofErr w:type="spellEnd"/>
      <w:r w:rsidRPr="00E0610F">
        <w:rPr>
          <w:rFonts w:cs="Arial"/>
          <w:lang w:val="en-GB"/>
        </w:rPr>
        <w:t>, 20</w:t>
      </w:r>
      <w:r w:rsidR="00605C86" w:rsidRPr="00E0610F">
        <w:rPr>
          <w:rFonts w:cs="Arial"/>
          <w:lang w:val="en-GB"/>
        </w:rPr>
        <w:t>12</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30" w:name="_Toc227762146"/>
      <w:r w:rsidRPr="00E0610F">
        <w:rPr>
          <w:rFonts w:cs="Arial"/>
          <w:color w:val="auto"/>
          <w:lang w:val="en-GB"/>
        </w:rPr>
        <w:t>6.5 Internal Rate of Return (IRR)</w:t>
      </w:r>
      <w:bookmarkEnd w:id="30"/>
    </w:p>
    <w:p w:rsidR="00B03C9A" w:rsidRPr="00E0610F" w:rsidRDefault="00B03C9A" w:rsidP="003134E1">
      <w:pPr>
        <w:rPr>
          <w:rFonts w:cs="Arial"/>
          <w:lang w:val="en-GB"/>
        </w:rPr>
      </w:pPr>
      <w:r w:rsidRPr="00E0610F">
        <w:rPr>
          <w:rFonts w:cs="Arial"/>
          <w:lang w:val="en-GB"/>
        </w:rPr>
        <w:t>Internal Rate of Return is a discount rate which makes the NPV of a project zero. The projects have IRRs of:</w:t>
      </w:r>
    </w:p>
    <w:p w:rsidR="00043016" w:rsidRPr="00E0610F" w:rsidRDefault="00043016" w:rsidP="003134E1">
      <w:pPr>
        <w:pStyle w:val="ListParagraph"/>
        <w:numPr>
          <w:ilvl w:val="0"/>
          <w:numId w:val="4"/>
        </w:numPr>
        <w:rPr>
          <w:rFonts w:cs="Arial"/>
          <w:lang w:val="en-GB"/>
        </w:rPr>
      </w:pPr>
      <w:r w:rsidRPr="00E0610F">
        <w:rPr>
          <w:rFonts w:cs="Arial"/>
          <w:lang w:val="en-GB"/>
        </w:rPr>
        <w:t>Project A: 2.72%</w:t>
      </w:r>
    </w:p>
    <w:p w:rsidR="00043016" w:rsidRPr="00E0610F" w:rsidRDefault="00043016" w:rsidP="003134E1">
      <w:pPr>
        <w:pStyle w:val="ListParagraph"/>
        <w:numPr>
          <w:ilvl w:val="0"/>
          <w:numId w:val="4"/>
        </w:numPr>
        <w:rPr>
          <w:rFonts w:cs="Arial"/>
          <w:lang w:val="en-GB"/>
        </w:rPr>
      </w:pPr>
      <w:r w:rsidRPr="00E0610F">
        <w:rPr>
          <w:rFonts w:cs="Arial"/>
          <w:lang w:val="en-GB"/>
        </w:rPr>
        <w:t>Project B: 3.26%</w:t>
      </w:r>
    </w:p>
    <w:p w:rsidR="00B03C9A" w:rsidRPr="00E0610F" w:rsidRDefault="00043016" w:rsidP="003134E1">
      <w:pPr>
        <w:pStyle w:val="ListParagraph"/>
        <w:numPr>
          <w:ilvl w:val="0"/>
          <w:numId w:val="4"/>
        </w:numPr>
        <w:rPr>
          <w:rFonts w:cs="Arial"/>
          <w:lang w:val="en-GB"/>
        </w:rPr>
      </w:pPr>
      <w:r w:rsidRPr="00E0610F">
        <w:rPr>
          <w:rFonts w:cs="Arial"/>
          <w:lang w:val="en-GB"/>
        </w:rPr>
        <w:t>Project C: 8.59%</w:t>
      </w:r>
    </w:p>
    <w:p w:rsidR="00B03C9A" w:rsidRPr="00E0610F" w:rsidRDefault="00B03C9A" w:rsidP="003134E1">
      <w:pPr>
        <w:rPr>
          <w:rFonts w:cs="Arial"/>
          <w:lang w:val="en-GB"/>
        </w:rPr>
      </w:pPr>
      <w:r w:rsidRPr="00E0610F">
        <w:rPr>
          <w:rFonts w:cs="Arial"/>
          <w:lang w:val="en-GB"/>
        </w:rPr>
        <w:lastRenderedPageBreak/>
        <w:t>The real interest rate of all the projects is lower than the minimum of 10%</w:t>
      </w:r>
      <w:r w:rsidR="00043016" w:rsidRPr="00E0610F">
        <w:rPr>
          <w:rFonts w:cs="Arial"/>
          <w:lang w:val="en-GB"/>
        </w:rPr>
        <w:t>,</w:t>
      </w:r>
      <w:r w:rsidRPr="00E0610F">
        <w:rPr>
          <w:rFonts w:cs="Arial"/>
          <w:lang w:val="en-GB"/>
        </w:rPr>
        <w:t xml:space="preserve"> meaning that none of the projects could be given a chance by a strictly financial choice. Nevertheless, again</w:t>
      </w:r>
      <w:r w:rsidR="00043016" w:rsidRPr="00E0610F">
        <w:rPr>
          <w:rFonts w:cs="Arial"/>
          <w:lang w:val="en-GB"/>
        </w:rPr>
        <w:t>,</w:t>
      </w:r>
      <w:r w:rsidRPr="00E0610F">
        <w:rPr>
          <w:rFonts w:cs="Arial"/>
          <w:lang w:val="en-GB"/>
        </w:rPr>
        <w:t xml:space="preserve"> Project C shows the best performance</w:t>
      </w:r>
      <w:r w:rsidR="00043016" w:rsidRPr="00E0610F">
        <w:rPr>
          <w:rFonts w:cs="Arial"/>
          <w:lang w:val="en-GB"/>
        </w:rPr>
        <w:t>,</w:t>
      </w:r>
      <w:r w:rsidRPr="00E0610F">
        <w:rPr>
          <w:rFonts w:cs="Arial"/>
          <w:lang w:val="en-GB"/>
        </w:rPr>
        <w:t xml:space="preserve"> against which it is best and has the highest IRR.</w:t>
      </w:r>
    </w:p>
    <w:p w:rsidR="00B03C9A" w:rsidRPr="00E0610F" w:rsidRDefault="00B03C9A" w:rsidP="003134E1">
      <w:pPr>
        <w:rPr>
          <w:rFonts w:cs="Arial"/>
          <w:lang w:val="en-GB"/>
        </w:rPr>
      </w:pPr>
      <w:r w:rsidRPr="00E0610F">
        <w:rPr>
          <w:rFonts w:cs="Arial"/>
          <w:lang w:val="en-GB"/>
        </w:rPr>
        <w:t>IRR can be employed to compare projects</w:t>
      </w:r>
      <w:r w:rsidR="00043016" w:rsidRPr="00E0610F">
        <w:rPr>
          <w:rFonts w:cs="Arial"/>
          <w:lang w:val="en-GB"/>
        </w:rPr>
        <w:t>,</w:t>
      </w:r>
      <w:r w:rsidRPr="00E0610F">
        <w:rPr>
          <w:rFonts w:cs="Arial"/>
          <w:lang w:val="en-GB"/>
        </w:rPr>
        <w:t xml:space="preserve"> and it can be confusing </w:t>
      </w:r>
      <w:r w:rsidR="00043016" w:rsidRPr="00E0610F">
        <w:rPr>
          <w:rFonts w:cs="Arial"/>
          <w:lang w:val="en-GB"/>
        </w:rPr>
        <w:t>when</w:t>
      </w:r>
      <w:r w:rsidRPr="00E0610F">
        <w:rPr>
          <w:rFonts w:cs="Arial"/>
          <w:lang w:val="en-GB"/>
        </w:rPr>
        <w:t xml:space="preserve"> there is a large variation in the cash flow patterns of the projects. Here, the cash inflows in Project </w:t>
      </w:r>
      <w:proofErr w:type="spellStart"/>
      <w:proofErr w:type="gramStart"/>
      <w:r w:rsidRPr="00E0610F">
        <w:rPr>
          <w:rFonts w:cs="Arial"/>
          <w:lang w:val="en-GB"/>
        </w:rPr>
        <w:t xml:space="preserve">C </w:t>
      </w:r>
      <w:r w:rsidR="002E67E7" w:rsidRPr="00E0610F">
        <w:rPr>
          <w:rFonts w:cs="Arial"/>
          <w:lang w:val="en-GB"/>
        </w:rPr>
        <w:t xml:space="preserve"> </w:t>
      </w:r>
      <w:r w:rsidRPr="00E0610F">
        <w:rPr>
          <w:rFonts w:cs="Arial"/>
          <w:lang w:val="en-GB"/>
        </w:rPr>
        <w:t>are</w:t>
      </w:r>
      <w:proofErr w:type="spellEnd"/>
      <w:proofErr w:type="gramEnd"/>
      <w:r w:rsidRPr="00E0610F">
        <w:rPr>
          <w:rFonts w:cs="Arial"/>
          <w:lang w:val="en-GB"/>
        </w:rPr>
        <w:t xml:space="preserve"> aggregated with cash outflows compressed to the rear to provide it with a higher IRR even with lower initial returns </w:t>
      </w:r>
      <w:r w:rsidR="00605C86" w:rsidRPr="00E0610F">
        <w:rPr>
          <w:rFonts w:cs="Arial"/>
          <w:lang w:val="en-GB"/>
        </w:rPr>
        <w:t>(Arnold and Lewis, 2019)</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31" w:name="_Toc227762147"/>
      <w:r w:rsidRPr="00E0610F">
        <w:rPr>
          <w:rFonts w:cs="Arial"/>
          <w:color w:val="auto"/>
          <w:lang w:val="en-GB"/>
        </w:rPr>
        <w:t>6.6 Profitability Index (PI)</w:t>
      </w:r>
      <w:bookmarkEnd w:id="31"/>
    </w:p>
    <w:p w:rsidR="00B03C9A" w:rsidRPr="00E0610F" w:rsidRDefault="00B03C9A" w:rsidP="003134E1">
      <w:pPr>
        <w:rPr>
          <w:rFonts w:cs="Arial"/>
          <w:lang w:val="en-GB"/>
        </w:rPr>
      </w:pPr>
      <w:r w:rsidRPr="00E0610F">
        <w:rPr>
          <w:rFonts w:cs="Arial"/>
          <w:lang w:val="en-GB"/>
        </w:rPr>
        <w:t>The Profitability Index is used to determine the value of future cash flow considering the initial investment.</w:t>
      </w:r>
    </w:p>
    <w:p w:rsidR="00B03C9A" w:rsidRPr="00E0610F" w:rsidRDefault="00B03C9A" w:rsidP="003134E1">
      <w:pPr>
        <w:pStyle w:val="ListParagraph"/>
        <w:numPr>
          <w:ilvl w:val="0"/>
          <w:numId w:val="5"/>
        </w:numPr>
        <w:rPr>
          <w:rFonts w:cs="Arial"/>
          <w:lang w:val="en-GB"/>
        </w:rPr>
      </w:pPr>
      <w:r w:rsidRPr="00E0610F">
        <w:rPr>
          <w:rFonts w:cs="Arial"/>
          <w:lang w:val="en-GB"/>
        </w:rPr>
        <w:t>Project A: 0.826</w:t>
      </w:r>
    </w:p>
    <w:p w:rsidR="00B03C9A" w:rsidRPr="00E0610F" w:rsidRDefault="00B03C9A" w:rsidP="003134E1">
      <w:pPr>
        <w:pStyle w:val="ListParagraph"/>
        <w:numPr>
          <w:ilvl w:val="0"/>
          <w:numId w:val="5"/>
        </w:numPr>
        <w:rPr>
          <w:rFonts w:cs="Arial"/>
          <w:lang w:val="en-GB"/>
        </w:rPr>
      </w:pPr>
      <w:r w:rsidRPr="00E0610F">
        <w:rPr>
          <w:rFonts w:cs="Arial"/>
          <w:lang w:val="en-GB"/>
        </w:rPr>
        <w:t>Project B: 0.834</w:t>
      </w:r>
    </w:p>
    <w:p w:rsidR="00B03C9A" w:rsidRPr="00E0610F" w:rsidRDefault="00B03C9A" w:rsidP="003134E1">
      <w:pPr>
        <w:pStyle w:val="ListParagraph"/>
        <w:numPr>
          <w:ilvl w:val="0"/>
          <w:numId w:val="5"/>
        </w:numPr>
        <w:rPr>
          <w:rFonts w:cs="Arial"/>
          <w:lang w:val="en-GB"/>
        </w:rPr>
      </w:pPr>
      <w:r w:rsidRPr="00E0610F">
        <w:rPr>
          <w:rFonts w:cs="Arial"/>
          <w:lang w:val="en-GB"/>
        </w:rPr>
        <w:t>Project C: 0.960</w:t>
      </w:r>
    </w:p>
    <w:p w:rsidR="00B03C9A" w:rsidRPr="00E0610F" w:rsidRDefault="00043016" w:rsidP="003134E1">
      <w:pPr>
        <w:rPr>
          <w:rFonts w:cs="Arial"/>
          <w:lang w:val="en-GB"/>
        </w:rPr>
      </w:pPr>
      <w:r w:rsidRPr="00E0610F">
        <w:rPr>
          <w:rFonts w:cs="Arial"/>
          <w:lang w:val="en-GB"/>
        </w:rPr>
        <w:t xml:space="preserve">A </w:t>
      </w:r>
      <w:r w:rsidR="00B03C9A" w:rsidRPr="00E0610F">
        <w:rPr>
          <w:rFonts w:cs="Arial"/>
          <w:lang w:val="en-GB"/>
        </w:rPr>
        <w:t xml:space="preserve">PI of less than 1 </w:t>
      </w:r>
      <w:proofErr w:type="gramStart"/>
      <w:r w:rsidR="00B03C9A" w:rsidRPr="00E0610F">
        <w:rPr>
          <w:rFonts w:cs="Arial"/>
          <w:lang w:val="en-GB"/>
        </w:rPr>
        <w:t>shows</w:t>
      </w:r>
      <w:proofErr w:type="gramEnd"/>
      <w:r w:rsidR="00B03C9A" w:rsidRPr="00E0610F">
        <w:rPr>
          <w:rFonts w:cs="Arial"/>
          <w:lang w:val="en-GB"/>
        </w:rPr>
        <w:t xml:space="preserve"> that a project does not add value. Despite the fact that none of the projects has a higher capital utilisation than this threshold, the closest to 1 is Project C, which is the most efficient in its capital utilisation </w:t>
      </w:r>
      <w:r w:rsidR="00605C86" w:rsidRPr="00E0610F">
        <w:rPr>
          <w:rFonts w:cs="Arial"/>
          <w:lang w:val="en-GB"/>
        </w:rPr>
        <w:t>(</w:t>
      </w:r>
      <w:proofErr w:type="spellStart"/>
      <w:r w:rsidR="00605C86" w:rsidRPr="00E0610F">
        <w:rPr>
          <w:rFonts w:cs="Arial"/>
          <w:lang w:val="en-GB"/>
        </w:rPr>
        <w:t>Tricker</w:t>
      </w:r>
      <w:proofErr w:type="spellEnd"/>
      <w:r w:rsidR="00605C86" w:rsidRPr="00E0610F">
        <w:rPr>
          <w:rFonts w:cs="Arial"/>
          <w:lang w:val="en-GB"/>
        </w:rPr>
        <w:t>, 2015)</w:t>
      </w:r>
      <w:r w:rsidR="00B03C9A" w:rsidRPr="00E0610F">
        <w:rPr>
          <w:rFonts w:cs="Arial"/>
          <w:lang w:val="en-GB"/>
        </w:rPr>
        <w:t>.</w:t>
      </w:r>
    </w:p>
    <w:p w:rsidR="00B03C9A" w:rsidRPr="00E0610F" w:rsidRDefault="00B03C9A" w:rsidP="003134E1">
      <w:pPr>
        <w:pStyle w:val="Heading2"/>
        <w:spacing w:before="120" w:after="120"/>
        <w:rPr>
          <w:rFonts w:cs="Arial"/>
          <w:color w:val="auto"/>
          <w:lang w:val="en-GB"/>
        </w:rPr>
      </w:pPr>
      <w:bookmarkStart w:id="32" w:name="_Toc227762148"/>
      <w:r w:rsidRPr="00E0610F">
        <w:rPr>
          <w:rFonts w:cs="Arial"/>
          <w:color w:val="auto"/>
          <w:lang w:val="en-GB"/>
        </w:rPr>
        <w:t>6.7 Comparative Evaluation</w:t>
      </w:r>
      <w:bookmarkEnd w:id="32"/>
    </w:p>
    <w:p w:rsidR="00B03C9A" w:rsidRPr="00E0610F" w:rsidRDefault="00B03C9A" w:rsidP="003134E1">
      <w:pPr>
        <w:rPr>
          <w:rFonts w:cs="Arial"/>
          <w:lang w:val="en-GB"/>
        </w:rPr>
      </w:pPr>
      <w:r w:rsidRPr="00E0610F">
        <w:rPr>
          <w:rFonts w:cs="Arial"/>
          <w:lang w:val="en-GB"/>
        </w:rPr>
        <w:t xml:space="preserve">Project C performs better than Projects A and B in all methods of appraisal used. It is the lowest paying back period, farthest ARR, farthest IRR, farthest PI and smallest negative NPV. Such uniformity reinforces the argument </w:t>
      </w:r>
      <w:r w:rsidR="00043016" w:rsidRPr="00E0610F">
        <w:rPr>
          <w:rFonts w:cs="Arial"/>
          <w:lang w:val="en-GB"/>
        </w:rPr>
        <w:t>for</w:t>
      </w:r>
      <w:r w:rsidRPr="00E0610F">
        <w:rPr>
          <w:rFonts w:cs="Arial"/>
          <w:lang w:val="en-GB"/>
        </w:rPr>
        <w:t xml:space="preserve"> taking Project C.</w:t>
      </w:r>
    </w:p>
    <w:p w:rsidR="00B03C9A" w:rsidRPr="00E0610F" w:rsidRDefault="00B03C9A" w:rsidP="003134E1">
      <w:pPr>
        <w:rPr>
          <w:rFonts w:cs="Arial"/>
          <w:lang w:val="en-GB"/>
        </w:rPr>
      </w:pPr>
      <w:r w:rsidRPr="00E0610F">
        <w:rPr>
          <w:rFonts w:cs="Arial"/>
          <w:lang w:val="en-GB"/>
        </w:rPr>
        <w:t xml:space="preserve">However, the unprofitable NPV of all the projects indicates that Tesla needs to be cautious in regard to investment. The use of both financial and strategic metrics should thus be included in </w:t>
      </w:r>
      <w:r w:rsidR="00043016" w:rsidRPr="00E0610F">
        <w:rPr>
          <w:rFonts w:cs="Arial"/>
          <w:lang w:val="en-GB"/>
        </w:rPr>
        <w:t>decision-making</w:t>
      </w:r>
      <w:r w:rsidR="00BA4093" w:rsidRPr="00E0610F">
        <w:rPr>
          <w:rFonts w:cs="Arial"/>
          <w:lang w:val="en-GB"/>
        </w:rPr>
        <w:t xml:space="preserve"> (</w:t>
      </w:r>
      <w:proofErr w:type="spellStart"/>
      <w:r w:rsidR="00BA4093" w:rsidRPr="00E0610F">
        <w:rPr>
          <w:rFonts w:cs="Arial"/>
          <w:lang w:val="en-GB"/>
        </w:rPr>
        <w:t>Damodaran</w:t>
      </w:r>
      <w:proofErr w:type="spellEnd"/>
      <w:r w:rsidR="00BA4093" w:rsidRPr="00E0610F">
        <w:rPr>
          <w:rFonts w:cs="Arial"/>
          <w:lang w:val="en-GB"/>
        </w:rPr>
        <w:t>, 2012)</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33" w:name="_Toc227762149"/>
      <w:r w:rsidRPr="00E0610F">
        <w:rPr>
          <w:rFonts w:cs="Arial"/>
          <w:color w:val="auto"/>
          <w:lang w:val="en-GB"/>
        </w:rPr>
        <w:t>6.8 Link to Tesla’s Financial Performance</w:t>
      </w:r>
      <w:bookmarkEnd w:id="33"/>
    </w:p>
    <w:p w:rsidR="00B03C9A" w:rsidRPr="00E0610F" w:rsidRDefault="00B03C9A" w:rsidP="003134E1">
      <w:pPr>
        <w:rPr>
          <w:rFonts w:cs="Arial"/>
          <w:lang w:val="en-GB"/>
        </w:rPr>
      </w:pPr>
      <w:r w:rsidRPr="00E0610F">
        <w:rPr>
          <w:rFonts w:cs="Arial"/>
          <w:lang w:val="en-GB"/>
        </w:rPr>
        <w:t>The financial situation of Tesla shows good liquidity and cash flow</w:t>
      </w:r>
      <w:r w:rsidR="00043016" w:rsidRPr="00E0610F">
        <w:rPr>
          <w:rFonts w:cs="Arial"/>
          <w:lang w:val="en-GB"/>
        </w:rPr>
        <w:t>,</w:t>
      </w:r>
      <w:r w:rsidRPr="00E0610F">
        <w:rPr>
          <w:rFonts w:cs="Arial"/>
          <w:lang w:val="en-GB"/>
        </w:rPr>
        <w:t xml:space="preserve"> but deteriorating profitability and efficiency. These two should be important in </w:t>
      </w:r>
      <w:r w:rsidR="00043016" w:rsidRPr="00E0610F">
        <w:rPr>
          <w:rFonts w:cs="Arial"/>
          <w:lang w:val="en-GB"/>
        </w:rPr>
        <w:t xml:space="preserve">the </w:t>
      </w:r>
      <w:r w:rsidRPr="00E0610F">
        <w:rPr>
          <w:rFonts w:cs="Arial"/>
          <w:lang w:val="en-GB"/>
        </w:rPr>
        <w:t xml:space="preserve">consideration of </w:t>
      </w:r>
      <w:r w:rsidR="00043016" w:rsidRPr="00E0610F">
        <w:rPr>
          <w:rFonts w:cs="Arial"/>
          <w:lang w:val="en-GB"/>
        </w:rPr>
        <w:t>investment</w:t>
      </w:r>
      <w:r w:rsidRPr="00E0610F">
        <w:rPr>
          <w:rFonts w:cs="Arial"/>
          <w:lang w:val="en-GB"/>
        </w:rPr>
        <w:t xml:space="preserve"> choices.</w:t>
      </w:r>
    </w:p>
    <w:p w:rsidR="00B03C9A" w:rsidRPr="00E0610F" w:rsidRDefault="00B03C9A" w:rsidP="003134E1">
      <w:pPr>
        <w:rPr>
          <w:rFonts w:cs="Arial"/>
          <w:lang w:val="en-GB"/>
        </w:rPr>
      </w:pPr>
      <w:r w:rsidRPr="00E0610F">
        <w:rPr>
          <w:rFonts w:cs="Arial"/>
          <w:lang w:val="en-GB"/>
        </w:rPr>
        <w:lastRenderedPageBreak/>
        <w:t>With falling profit margins, Tesla must focus on the initiative with better returns and shorter payback. Project C works to this need, since it is offering a comparatively better profitability and faster payback period.</w:t>
      </w:r>
    </w:p>
    <w:p w:rsidR="00B03C9A" w:rsidRPr="00E0610F" w:rsidRDefault="00B03C9A" w:rsidP="003134E1">
      <w:pPr>
        <w:rPr>
          <w:rFonts w:cs="Arial"/>
          <w:lang w:val="en-GB"/>
        </w:rPr>
      </w:pPr>
      <w:r w:rsidRPr="00E0610F">
        <w:rPr>
          <w:rFonts w:cs="Arial"/>
          <w:lang w:val="en-GB"/>
        </w:rPr>
        <w:t>Good liquidity helps the firm to take on new ventures</w:t>
      </w:r>
      <w:r w:rsidR="00043016" w:rsidRPr="00E0610F">
        <w:rPr>
          <w:rFonts w:cs="Arial"/>
          <w:lang w:val="en-GB"/>
        </w:rPr>
        <w:t>,</w:t>
      </w:r>
      <w:r w:rsidRPr="00E0610F">
        <w:rPr>
          <w:rFonts w:cs="Arial"/>
          <w:lang w:val="en-GB"/>
        </w:rPr>
        <w:t xml:space="preserve"> but poor efficiency is an indicator that the investment should be done judiciously. Financial difficulties might be further aggravated by investing in less lucrative projects. Thus, Project C will be the best option under the financial position of Tesla </w:t>
      </w:r>
      <w:r w:rsidR="00605C86" w:rsidRPr="00E0610F">
        <w:rPr>
          <w:rFonts w:cs="Arial"/>
          <w:lang w:val="en-GB"/>
        </w:rPr>
        <w:t>(Tesla Annual Report, 202</w:t>
      </w:r>
      <w:r w:rsidR="00D87BDA" w:rsidRPr="00E0610F">
        <w:rPr>
          <w:rFonts w:cs="Arial"/>
          <w:lang w:val="en-GB"/>
        </w:rPr>
        <w:t>4</w:t>
      </w:r>
      <w:r w:rsidR="00605C86" w:rsidRPr="00E0610F">
        <w:rPr>
          <w:rFonts w:cs="Arial"/>
          <w:lang w:val="en-GB"/>
        </w:rPr>
        <w:t>)</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34" w:name="_Toc227762150"/>
      <w:r w:rsidRPr="00E0610F">
        <w:rPr>
          <w:rFonts w:cs="Arial"/>
          <w:color w:val="auto"/>
          <w:lang w:val="en-GB"/>
        </w:rPr>
        <w:t>6.9 Non-Financial Considerations</w:t>
      </w:r>
      <w:bookmarkEnd w:id="34"/>
    </w:p>
    <w:p w:rsidR="00B03C9A" w:rsidRPr="00E0610F" w:rsidRDefault="00B03C9A" w:rsidP="003134E1">
      <w:pPr>
        <w:rPr>
          <w:rFonts w:cs="Arial"/>
          <w:lang w:val="en-GB"/>
        </w:rPr>
      </w:pPr>
      <w:r w:rsidRPr="00E0610F">
        <w:rPr>
          <w:rFonts w:cs="Arial"/>
          <w:lang w:val="en-GB"/>
        </w:rPr>
        <w:t xml:space="preserve">The investment decisions need to consider the </w:t>
      </w:r>
      <w:r w:rsidR="00043016" w:rsidRPr="00E0610F">
        <w:rPr>
          <w:rFonts w:cs="Arial"/>
          <w:lang w:val="en-GB"/>
        </w:rPr>
        <w:t>non-financial</w:t>
      </w:r>
      <w:r w:rsidRPr="00E0610F">
        <w:rPr>
          <w:rFonts w:cs="Arial"/>
          <w:lang w:val="en-GB"/>
        </w:rPr>
        <w:t xml:space="preserve"> risks that are likely to compromise the project outcomes as well.</w:t>
      </w:r>
    </w:p>
    <w:p w:rsidR="00B03C9A" w:rsidRPr="00E0610F" w:rsidRDefault="00043016" w:rsidP="003134E1">
      <w:pPr>
        <w:rPr>
          <w:rFonts w:cs="Arial"/>
          <w:b/>
          <w:lang w:val="en-GB"/>
        </w:rPr>
      </w:pPr>
      <w:r w:rsidRPr="00E0610F">
        <w:rPr>
          <w:rFonts w:cs="Arial"/>
          <w:b/>
          <w:lang w:val="en-GB"/>
        </w:rPr>
        <w:t>Political and Regulatory Risk</w:t>
      </w:r>
    </w:p>
    <w:p w:rsidR="00B03C9A" w:rsidRPr="00E0610F" w:rsidRDefault="00B03C9A" w:rsidP="003134E1">
      <w:pPr>
        <w:rPr>
          <w:rFonts w:cs="Arial"/>
          <w:lang w:val="en-GB"/>
        </w:rPr>
      </w:pPr>
      <w:r w:rsidRPr="00E0610F">
        <w:rPr>
          <w:rFonts w:cs="Arial"/>
          <w:lang w:val="en-GB"/>
        </w:rPr>
        <w:t>Tesla has a footprint in several countries</w:t>
      </w:r>
      <w:r w:rsidR="00043016" w:rsidRPr="00E0610F">
        <w:rPr>
          <w:rFonts w:cs="Arial"/>
          <w:lang w:val="en-GB"/>
        </w:rPr>
        <w:t>,</w:t>
      </w:r>
      <w:r w:rsidRPr="00E0610F">
        <w:rPr>
          <w:rFonts w:cs="Arial"/>
          <w:lang w:val="en-GB"/>
        </w:rPr>
        <w:t xml:space="preserve"> thus it is exposed to </w:t>
      </w:r>
      <w:r w:rsidR="00043016" w:rsidRPr="00E0610F">
        <w:rPr>
          <w:rFonts w:cs="Arial"/>
          <w:lang w:val="en-GB"/>
        </w:rPr>
        <w:t xml:space="preserve">the </w:t>
      </w:r>
      <w:r w:rsidRPr="00E0610F">
        <w:rPr>
          <w:rFonts w:cs="Arial"/>
          <w:lang w:val="en-GB"/>
        </w:rPr>
        <w:t xml:space="preserve">regulatory environment and policy uncertainty. Such risks are more susceptible in projects that have a long payback period. The payback on project C is shorter and hence </w:t>
      </w:r>
      <w:r w:rsidR="00043016" w:rsidRPr="00E0610F">
        <w:rPr>
          <w:rFonts w:cs="Arial"/>
          <w:lang w:val="en-GB"/>
        </w:rPr>
        <w:t>minimises</w:t>
      </w:r>
      <w:r w:rsidRPr="00E0610F">
        <w:rPr>
          <w:rFonts w:cs="Arial"/>
          <w:lang w:val="en-GB"/>
        </w:rPr>
        <w:t xml:space="preserve"> this exposure (World Bank, 202</w:t>
      </w:r>
      <w:r w:rsidR="00605C86" w:rsidRPr="00E0610F">
        <w:rPr>
          <w:rFonts w:cs="Arial"/>
          <w:lang w:val="en-GB"/>
        </w:rPr>
        <w:t>5</w:t>
      </w:r>
      <w:r w:rsidRPr="00E0610F">
        <w:rPr>
          <w:rFonts w:cs="Arial"/>
          <w:lang w:val="en-GB"/>
        </w:rPr>
        <w:t>).</w:t>
      </w:r>
    </w:p>
    <w:p w:rsidR="00B03C9A" w:rsidRPr="00E0610F" w:rsidRDefault="00043016" w:rsidP="003134E1">
      <w:pPr>
        <w:rPr>
          <w:rFonts w:cs="Arial"/>
          <w:b/>
          <w:lang w:val="en-GB"/>
        </w:rPr>
      </w:pPr>
      <w:r w:rsidRPr="00E0610F">
        <w:rPr>
          <w:rFonts w:cs="Arial"/>
          <w:b/>
          <w:lang w:val="en-GB"/>
        </w:rPr>
        <w:t>Market and Customer Risk</w:t>
      </w:r>
    </w:p>
    <w:p w:rsidR="006F4FC7" w:rsidRPr="00E0610F" w:rsidRDefault="00B03C9A" w:rsidP="003134E1">
      <w:pPr>
        <w:rPr>
          <w:rFonts w:cs="Arial"/>
          <w:lang w:val="en-GB"/>
        </w:rPr>
      </w:pPr>
      <w:r w:rsidRPr="00E0610F">
        <w:rPr>
          <w:rFonts w:cs="Arial"/>
          <w:lang w:val="en-GB"/>
        </w:rPr>
        <w:t>Electric vehicles are also subject to demand based on economic, consumer and technological factors. The project C is based on greater cash inflows in the future, which presents the issue of demand uncertainty, which should be e</w:t>
      </w:r>
      <w:r w:rsidR="006D2192" w:rsidRPr="00E0610F">
        <w:rPr>
          <w:rFonts w:cs="Arial"/>
          <w:lang w:val="en-GB"/>
        </w:rPr>
        <w:t>ffectively handled (IEA, 2024).</w:t>
      </w:r>
    </w:p>
    <w:p w:rsidR="00B03C9A" w:rsidRPr="00E0610F" w:rsidRDefault="00B03C9A" w:rsidP="003134E1">
      <w:pPr>
        <w:rPr>
          <w:rFonts w:cs="Arial"/>
          <w:b/>
          <w:lang w:val="en-GB"/>
        </w:rPr>
      </w:pPr>
      <w:r w:rsidRPr="00E0610F">
        <w:rPr>
          <w:rFonts w:cs="Arial"/>
          <w:b/>
          <w:lang w:val="en-GB"/>
        </w:rPr>
        <w:t>Technological Risk</w:t>
      </w:r>
    </w:p>
    <w:p w:rsidR="00B03C9A" w:rsidRPr="00E0610F" w:rsidRDefault="00B03C9A" w:rsidP="003134E1">
      <w:pPr>
        <w:rPr>
          <w:rFonts w:cs="Arial"/>
          <w:lang w:val="en-GB"/>
        </w:rPr>
      </w:pPr>
      <w:r w:rsidRPr="00E0610F">
        <w:rPr>
          <w:rFonts w:cs="Arial"/>
          <w:lang w:val="en-GB"/>
        </w:rPr>
        <w:t>The change in technology is rather quick, and hence, the current investment can become obsolete. Tesla should make sure that projects are flexible to innovation and changes in the industry.</w:t>
      </w:r>
    </w:p>
    <w:p w:rsidR="00B03C9A" w:rsidRPr="00E0610F" w:rsidRDefault="00B03C9A" w:rsidP="003134E1">
      <w:pPr>
        <w:rPr>
          <w:rFonts w:cs="Arial"/>
          <w:b/>
          <w:lang w:val="en-GB"/>
        </w:rPr>
      </w:pPr>
      <w:r w:rsidRPr="00E0610F">
        <w:rPr>
          <w:rFonts w:cs="Arial"/>
          <w:b/>
          <w:lang w:val="en-GB"/>
        </w:rPr>
        <w:t>Sustainability and Reputation</w:t>
      </w:r>
    </w:p>
    <w:p w:rsidR="00B03C9A" w:rsidRPr="00E0610F" w:rsidRDefault="00B03C9A" w:rsidP="003134E1">
      <w:pPr>
        <w:rPr>
          <w:rFonts w:cs="Arial"/>
          <w:lang w:val="en-GB"/>
        </w:rPr>
      </w:pPr>
      <w:r w:rsidRPr="00E0610F">
        <w:rPr>
          <w:rFonts w:cs="Arial"/>
          <w:lang w:val="en-GB"/>
        </w:rPr>
        <w:t>The emphasis on sustainability is strengthening customer loyalty and brand value at Tesla. The ones within the line of the objectives of environmental projects can lead to long-term yields other than financial returns (U</w:t>
      </w:r>
      <w:r w:rsidR="00605C86" w:rsidRPr="00E0610F">
        <w:rPr>
          <w:rFonts w:cs="Arial"/>
          <w:lang w:val="en-GB"/>
        </w:rPr>
        <w:t>N</w:t>
      </w:r>
      <w:r w:rsidRPr="00E0610F">
        <w:rPr>
          <w:rFonts w:cs="Arial"/>
          <w:lang w:val="en-GB"/>
        </w:rPr>
        <w:t>, 202</w:t>
      </w:r>
      <w:r w:rsidR="00605C86" w:rsidRPr="00E0610F">
        <w:rPr>
          <w:rFonts w:cs="Arial"/>
          <w:lang w:val="en-GB"/>
        </w:rPr>
        <w:t>4</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35" w:name="_Toc227762151"/>
      <w:r w:rsidRPr="00E0610F">
        <w:rPr>
          <w:rFonts w:cs="Arial"/>
          <w:color w:val="auto"/>
          <w:lang w:val="en-GB"/>
        </w:rPr>
        <w:lastRenderedPageBreak/>
        <w:t>6.10 Capital Rationing Decision</w:t>
      </w:r>
      <w:bookmarkEnd w:id="35"/>
    </w:p>
    <w:p w:rsidR="00B03C9A" w:rsidRPr="00E0610F" w:rsidRDefault="00B03C9A" w:rsidP="003134E1">
      <w:pPr>
        <w:rPr>
          <w:rFonts w:cs="Arial"/>
          <w:lang w:val="en-GB"/>
        </w:rPr>
      </w:pPr>
      <w:r w:rsidRPr="00E0610F">
        <w:rPr>
          <w:rFonts w:cs="Arial"/>
          <w:lang w:val="en-GB"/>
        </w:rPr>
        <w:t>With a capital limit of 100 million pounds, Tesla will only be able to pick two projects. Capital rationing involves the selection of the combination that will maximise total value.</w:t>
      </w:r>
    </w:p>
    <w:p w:rsidR="00043016" w:rsidRPr="00E0610F" w:rsidRDefault="00043016" w:rsidP="003134E1">
      <w:pPr>
        <w:rPr>
          <w:rFonts w:cs="Arial"/>
          <w:lang w:val="en-GB"/>
        </w:rPr>
      </w:pPr>
      <w:r w:rsidRPr="00E0610F">
        <w:rPr>
          <w:rFonts w:cs="Arial"/>
          <w:lang w:val="en-GB"/>
        </w:rPr>
        <w:t>The combined NPVs are:</w:t>
      </w:r>
    </w:p>
    <w:p w:rsidR="00043016" w:rsidRPr="00E0610F" w:rsidRDefault="00043016" w:rsidP="003134E1">
      <w:pPr>
        <w:pStyle w:val="ListParagraph"/>
        <w:numPr>
          <w:ilvl w:val="0"/>
          <w:numId w:val="8"/>
        </w:numPr>
        <w:rPr>
          <w:rFonts w:cs="Arial"/>
          <w:lang w:val="en-GB"/>
        </w:rPr>
      </w:pPr>
      <w:r w:rsidRPr="00E0610F">
        <w:rPr>
          <w:rFonts w:cs="Arial"/>
          <w:lang w:val="en-GB"/>
        </w:rPr>
        <w:t xml:space="preserve">Project A + B: −£16.977 million </w:t>
      </w:r>
    </w:p>
    <w:p w:rsidR="00043016" w:rsidRPr="00E0610F" w:rsidRDefault="00043016" w:rsidP="003134E1">
      <w:pPr>
        <w:pStyle w:val="ListParagraph"/>
        <w:numPr>
          <w:ilvl w:val="0"/>
          <w:numId w:val="8"/>
        </w:numPr>
        <w:rPr>
          <w:rFonts w:cs="Arial"/>
          <w:lang w:val="en-GB"/>
        </w:rPr>
      </w:pPr>
      <w:r w:rsidRPr="00E0610F">
        <w:rPr>
          <w:rFonts w:cs="Arial"/>
          <w:lang w:val="en-GB"/>
        </w:rPr>
        <w:t xml:space="preserve">Project A + C: −£10.660 million </w:t>
      </w:r>
    </w:p>
    <w:p w:rsidR="00B03C9A" w:rsidRPr="00E0610F" w:rsidRDefault="00043016" w:rsidP="003134E1">
      <w:pPr>
        <w:pStyle w:val="ListParagraph"/>
        <w:numPr>
          <w:ilvl w:val="0"/>
          <w:numId w:val="8"/>
        </w:numPr>
        <w:rPr>
          <w:rFonts w:cs="Arial"/>
          <w:lang w:val="en-GB"/>
        </w:rPr>
      </w:pPr>
      <w:r w:rsidRPr="00E0610F">
        <w:rPr>
          <w:rFonts w:cs="Arial"/>
          <w:lang w:val="en-GB"/>
        </w:rPr>
        <w:t>Project B + C: −£10.285 million</w:t>
      </w:r>
    </w:p>
    <w:p w:rsidR="00B03C9A" w:rsidRPr="00E0610F" w:rsidRDefault="00B03C9A" w:rsidP="003134E1">
      <w:pPr>
        <w:rPr>
          <w:rFonts w:cs="Arial"/>
          <w:lang w:val="en-GB"/>
        </w:rPr>
      </w:pPr>
      <w:r w:rsidRPr="00E0610F">
        <w:rPr>
          <w:rFonts w:cs="Arial"/>
          <w:lang w:val="en-GB"/>
        </w:rPr>
        <w:t>Project B</w:t>
      </w:r>
      <w:r w:rsidR="00043016" w:rsidRPr="00E0610F">
        <w:rPr>
          <w:rFonts w:cs="Arial"/>
          <w:lang w:val="en-GB"/>
        </w:rPr>
        <w:t>,</w:t>
      </w:r>
      <w:r w:rsidRPr="00E0610F">
        <w:rPr>
          <w:rFonts w:cs="Arial"/>
          <w:lang w:val="en-GB"/>
        </w:rPr>
        <w:t xml:space="preserve"> together with Project C</w:t>
      </w:r>
      <w:r w:rsidR="00043016" w:rsidRPr="00E0610F">
        <w:rPr>
          <w:rFonts w:cs="Arial"/>
          <w:lang w:val="en-GB"/>
        </w:rPr>
        <w:t>,</w:t>
      </w:r>
      <w:r w:rsidRPr="00E0610F">
        <w:rPr>
          <w:rFonts w:cs="Arial"/>
          <w:lang w:val="en-GB"/>
        </w:rPr>
        <w:t xml:space="preserve"> brings about the best combination </w:t>
      </w:r>
      <w:r w:rsidR="00043016" w:rsidRPr="00E0610F">
        <w:rPr>
          <w:rFonts w:cs="Arial"/>
          <w:lang w:val="en-GB"/>
        </w:rPr>
        <w:t xml:space="preserve">of </w:t>
      </w:r>
      <w:r w:rsidRPr="00E0610F">
        <w:rPr>
          <w:rFonts w:cs="Arial"/>
          <w:lang w:val="en-GB"/>
        </w:rPr>
        <w:t>NPV and would hence be the best. This synthesis reduces the loss of values and balances risk and return.</w:t>
      </w:r>
    </w:p>
    <w:p w:rsidR="00B03C9A" w:rsidRPr="00E0610F" w:rsidRDefault="00B03C9A" w:rsidP="003134E1">
      <w:pPr>
        <w:rPr>
          <w:rFonts w:cs="Arial"/>
          <w:lang w:val="en-GB"/>
        </w:rPr>
      </w:pPr>
      <w:r w:rsidRPr="00E0610F">
        <w:rPr>
          <w:rFonts w:cs="Arial"/>
          <w:lang w:val="en-GB"/>
        </w:rPr>
        <w:t xml:space="preserve">Capital rationing emphasises </w:t>
      </w:r>
      <w:r w:rsidR="00043016" w:rsidRPr="00E0610F">
        <w:rPr>
          <w:rFonts w:cs="Arial"/>
          <w:lang w:val="en-GB"/>
        </w:rPr>
        <w:t xml:space="preserve">the </w:t>
      </w:r>
      <w:r w:rsidRPr="00E0610F">
        <w:rPr>
          <w:rFonts w:cs="Arial"/>
          <w:lang w:val="en-GB"/>
        </w:rPr>
        <w:t>use of projects that are most efficient in limited resources (</w:t>
      </w:r>
      <w:proofErr w:type="spellStart"/>
      <w:r w:rsidR="00D735F1" w:rsidRPr="00E0610F">
        <w:rPr>
          <w:rFonts w:cs="Arial"/>
          <w:lang w:val="en-GB"/>
        </w:rPr>
        <w:t>Hossain</w:t>
      </w:r>
      <w:proofErr w:type="spellEnd"/>
      <w:r w:rsidR="00D735F1" w:rsidRPr="00E0610F">
        <w:rPr>
          <w:rFonts w:cs="Arial"/>
          <w:lang w:val="en-GB"/>
        </w:rPr>
        <w:t xml:space="preserve">, </w:t>
      </w:r>
      <w:proofErr w:type="spellStart"/>
      <w:r w:rsidR="00D735F1" w:rsidRPr="00E0610F">
        <w:rPr>
          <w:rFonts w:cs="Arial"/>
          <w:lang w:val="en-GB"/>
        </w:rPr>
        <w:t>Yousuf</w:t>
      </w:r>
      <w:proofErr w:type="spellEnd"/>
      <w:r w:rsidR="00D735F1" w:rsidRPr="00E0610F">
        <w:rPr>
          <w:rFonts w:cs="Arial"/>
          <w:lang w:val="en-GB"/>
        </w:rPr>
        <w:t xml:space="preserve"> and Khalid, 2019)</w:t>
      </w:r>
      <w:r w:rsidRPr="00E0610F">
        <w:rPr>
          <w:rFonts w:cs="Arial"/>
          <w:lang w:val="en-GB"/>
        </w:rPr>
        <w:t>.</w:t>
      </w:r>
    </w:p>
    <w:p w:rsidR="00B03C9A" w:rsidRPr="00E0610F" w:rsidRDefault="00043016" w:rsidP="003134E1">
      <w:pPr>
        <w:pStyle w:val="Heading2"/>
        <w:spacing w:before="120" w:after="120"/>
        <w:rPr>
          <w:rFonts w:cs="Arial"/>
          <w:color w:val="auto"/>
          <w:lang w:val="en-GB"/>
        </w:rPr>
      </w:pPr>
      <w:bookmarkStart w:id="36" w:name="_Toc227762152"/>
      <w:r w:rsidRPr="00E0610F">
        <w:rPr>
          <w:rFonts w:cs="Arial"/>
          <w:color w:val="auto"/>
          <w:lang w:val="en-GB"/>
        </w:rPr>
        <w:t>6.11 Final Recommendation</w:t>
      </w:r>
      <w:bookmarkEnd w:id="36"/>
    </w:p>
    <w:p w:rsidR="00B03C9A" w:rsidRPr="00E0610F" w:rsidRDefault="00B03C9A" w:rsidP="003134E1">
      <w:pPr>
        <w:rPr>
          <w:rFonts w:cs="Arial"/>
          <w:lang w:val="en-GB"/>
        </w:rPr>
      </w:pPr>
      <w:r w:rsidRPr="00E0610F">
        <w:rPr>
          <w:rFonts w:cs="Arial"/>
          <w:lang w:val="en-GB"/>
        </w:rPr>
        <w:t>According to the analysis, the most appropriate single investment is Project C, which has always shown the best results compared to the rest of the projects with regard to all the evaluation methods. It has the best returns, quickest payback and is the most efficient in relation to investment.</w:t>
      </w:r>
    </w:p>
    <w:p w:rsidR="00043016" w:rsidRPr="00E0610F" w:rsidRDefault="00B03C9A" w:rsidP="003134E1">
      <w:pPr>
        <w:rPr>
          <w:rFonts w:cs="Arial"/>
          <w:lang w:val="en-GB"/>
        </w:rPr>
      </w:pPr>
      <w:r w:rsidRPr="00E0610F">
        <w:rPr>
          <w:rFonts w:cs="Arial"/>
          <w:lang w:val="en-GB"/>
        </w:rPr>
        <w:t>The proposed plan under capital rationing will be to do Project B and Project C because the two offer the best economic decision.</w:t>
      </w:r>
    </w:p>
    <w:p w:rsidR="00B03C9A" w:rsidRPr="00E0610F" w:rsidRDefault="00B03C9A" w:rsidP="003134E1">
      <w:pPr>
        <w:rPr>
          <w:rFonts w:cs="Arial"/>
          <w:lang w:val="en-GB"/>
        </w:rPr>
      </w:pPr>
      <w:r w:rsidRPr="00E0610F">
        <w:rPr>
          <w:rFonts w:cs="Arial"/>
          <w:lang w:val="en-GB"/>
        </w:rPr>
        <w:t>Even though the NPVs of all these projects have negative values</w:t>
      </w:r>
      <w:r w:rsidR="00043016" w:rsidRPr="00E0610F">
        <w:rPr>
          <w:rFonts w:cs="Arial"/>
          <w:lang w:val="en-GB"/>
        </w:rPr>
        <w:t>,</w:t>
      </w:r>
      <w:r w:rsidRPr="00E0610F">
        <w:rPr>
          <w:rFonts w:cs="Arial"/>
          <w:lang w:val="en-GB"/>
        </w:rPr>
        <w:t xml:space="preserve"> Tesla has high liquidity, and </w:t>
      </w:r>
      <w:r w:rsidR="00043016" w:rsidRPr="00E0610F">
        <w:rPr>
          <w:rFonts w:cs="Arial"/>
          <w:lang w:val="en-GB"/>
        </w:rPr>
        <w:t xml:space="preserve">a </w:t>
      </w:r>
      <w:r w:rsidRPr="00E0610F">
        <w:rPr>
          <w:rFonts w:cs="Arial"/>
          <w:lang w:val="en-GB"/>
        </w:rPr>
        <w:t xml:space="preserve">long-term growth plan might warrant the best of </w:t>
      </w:r>
      <w:r w:rsidR="00043016" w:rsidRPr="00E0610F">
        <w:rPr>
          <w:rFonts w:cs="Arial"/>
          <w:lang w:val="en-GB"/>
        </w:rPr>
        <w:t xml:space="preserve">the </w:t>
      </w:r>
      <w:r w:rsidRPr="00E0610F">
        <w:rPr>
          <w:rFonts w:cs="Arial"/>
          <w:lang w:val="en-GB"/>
        </w:rPr>
        <w:t>bad options. But it will need to be carefully monitored and controlled to achieve success in implementation.</w:t>
      </w:r>
    </w:p>
    <w:p w:rsidR="00043016" w:rsidRPr="00E0610F" w:rsidRDefault="00043016" w:rsidP="003134E1">
      <w:pPr>
        <w:pStyle w:val="Heading2"/>
        <w:spacing w:before="120" w:after="120"/>
        <w:rPr>
          <w:rFonts w:cs="Arial"/>
          <w:color w:val="auto"/>
          <w:lang w:val="en-GB"/>
        </w:rPr>
      </w:pPr>
      <w:bookmarkStart w:id="37" w:name="_Toc227762153"/>
      <w:r w:rsidRPr="00E0610F">
        <w:rPr>
          <w:rFonts w:cs="Arial"/>
          <w:color w:val="auto"/>
          <w:lang w:val="en-GB"/>
        </w:rPr>
        <w:t>6.12 Overall Evaluation</w:t>
      </w:r>
      <w:bookmarkEnd w:id="37"/>
    </w:p>
    <w:p w:rsidR="00BA4093" w:rsidRPr="00E0610F" w:rsidRDefault="00B03C9A" w:rsidP="003134E1">
      <w:pPr>
        <w:rPr>
          <w:rFonts w:cs="Arial"/>
          <w:lang w:val="en-GB"/>
        </w:rPr>
      </w:pPr>
      <w:r w:rsidRPr="00E0610F">
        <w:rPr>
          <w:rFonts w:cs="Arial"/>
          <w:lang w:val="en-GB"/>
        </w:rPr>
        <w:t xml:space="preserve">The investment appraisal throws more emphasis on careful capital investment in a difficult financial world. Due to its high liquidity, Tesla can </w:t>
      </w:r>
      <w:r w:rsidR="00043016" w:rsidRPr="00E0610F">
        <w:rPr>
          <w:rFonts w:cs="Arial"/>
          <w:lang w:val="en-GB"/>
        </w:rPr>
        <w:t>invest</w:t>
      </w:r>
      <w:r w:rsidRPr="00E0610F">
        <w:rPr>
          <w:rFonts w:cs="Arial"/>
          <w:lang w:val="en-GB"/>
        </w:rPr>
        <w:t>, whereas the falling profitability requires making decisions carefully. With prioriti</w:t>
      </w:r>
      <w:r w:rsidR="00D87BDA" w:rsidRPr="00E0610F">
        <w:rPr>
          <w:rFonts w:cs="Arial"/>
          <w:lang w:val="en-GB"/>
        </w:rPr>
        <w:t>s</w:t>
      </w:r>
      <w:r w:rsidRPr="00E0610F">
        <w:rPr>
          <w:rFonts w:cs="Arial"/>
          <w:lang w:val="en-GB"/>
        </w:rPr>
        <w:t xml:space="preserve">ed capital budgeting processes and taking into account not only financial but also non-financial factors, Tesla will be able to </w:t>
      </w:r>
      <w:r w:rsidR="00043016" w:rsidRPr="00E0610F">
        <w:rPr>
          <w:rFonts w:cs="Arial"/>
          <w:lang w:val="en-GB"/>
        </w:rPr>
        <w:t>optimise</w:t>
      </w:r>
      <w:r w:rsidRPr="00E0610F">
        <w:rPr>
          <w:rFonts w:cs="Arial"/>
          <w:lang w:val="en-GB"/>
        </w:rPr>
        <w:t xml:space="preserve"> its capital budgeting plan and ensure long-term growth.</w:t>
      </w:r>
    </w:p>
    <w:p w:rsidR="00BA4093" w:rsidRPr="00E0610F" w:rsidRDefault="00BA4093" w:rsidP="003134E1">
      <w:pPr>
        <w:pStyle w:val="Heading1"/>
        <w:spacing w:before="120" w:after="120"/>
        <w:rPr>
          <w:rFonts w:cs="Arial"/>
          <w:color w:val="auto"/>
          <w:lang w:val="en-GB"/>
        </w:rPr>
      </w:pPr>
      <w:bookmarkStart w:id="38" w:name="_Toc227762154"/>
      <w:r w:rsidRPr="00E0610F">
        <w:rPr>
          <w:rFonts w:cs="Arial"/>
          <w:color w:val="auto"/>
          <w:lang w:val="en-GB"/>
        </w:rPr>
        <w:lastRenderedPageBreak/>
        <w:t>7. Conclusion</w:t>
      </w:r>
      <w:bookmarkEnd w:id="38"/>
    </w:p>
    <w:p w:rsidR="00220915" w:rsidRPr="00E0610F" w:rsidRDefault="00BA4093" w:rsidP="00E62E33">
      <w:pPr>
        <w:rPr>
          <w:rFonts w:cs="Arial"/>
          <w:lang w:val="en-GB"/>
        </w:rPr>
      </w:pPr>
      <w:r w:rsidRPr="00E0610F">
        <w:rPr>
          <w:rFonts w:cs="Arial"/>
          <w:lang w:val="en-GB"/>
        </w:rPr>
        <w:t>Overall, Tesla has good financial fundamentals, especially regarding liquidity, cash flow generation and balance of capital base. The mentioned strengths ensure that further development and strategic investment are well-founded. But as the profitability and efficiency have decreased over the last few years, it shows that there are new financial issues which should be handled with care. The investment appraisal analysis demonstrates that on the capital rationing constraint, the optimal individual investment is Project C, although a combination of Projects B and C is most favourable. Going forward, Tesla should work on efficiency in costs and utilisation of assets and continue to exercise financial discipline in capital allocation to continue to achieve long-term performance and maximise shareholder wealth.</w:t>
      </w:r>
    </w:p>
    <w:p w:rsidR="003134E1" w:rsidRPr="00E0610F" w:rsidRDefault="003134E1" w:rsidP="00E62E33">
      <w:pPr>
        <w:rPr>
          <w:rFonts w:cs="Arial"/>
          <w:lang w:val="en-GB"/>
        </w:rPr>
      </w:pPr>
      <w:r w:rsidRPr="00E0610F">
        <w:rPr>
          <w:rFonts w:cs="Arial"/>
          <w:lang w:val="en-GB"/>
        </w:rPr>
        <w:br w:type="page"/>
      </w:r>
    </w:p>
    <w:p w:rsidR="001B5F04" w:rsidRPr="00E0610F" w:rsidRDefault="006D2192" w:rsidP="001B5F04">
      <w:pPr>
        <w:pStyle w:val="Heading1"/>
        <w:rPr>
          <w:rFonts w:cs="Arial"/>
          <w:color w:val="auto"/>
          <w:lang w:val="en-GB"/>
        </w:rPr>
      </w:pPr>
      <w:bookmarkStart w:id="39" w:name="_Toc227762155"/>
      <w:r w:rsidRPr="00E0610F">
        <w:rPr>
          <w:rFonts w:cs="Arial"/>
          <w:color w:val="auto"/>
          <w:lang w:val="en-GB"/>
        </w:rPr>
        <w:lastRenderedPageBreak/>
        <w:t xml:space="preserve">8. </w:t>
      </w:r>
      <w:r w:rsidR="001B5F04" w:rsidRPr="00E0610F">
        <w:rPr>
          <w:rFonts w:cs="Arial"/>
          <w:color w:val="auto"/>
          <w:lang w:val="en-GB"/>
        </w:rPr>
        <w:t>References</w:t>
      </w:r>
      <w:bookmarkEnd w:id="39"/>
    </w:p>
    <w:p w:rsidR="002D6EBF" w:rsidRPr="00E0610F" w:rsidRDefault="002D6EBF" w:rsidP="001B5F04">
      <w:pPr>
        <w:rPr>
          <w:rFonts w:cs="Arial"/>
          <w:lang w:val="en-GB"/>
        </w:rPr>
      </w:pPr>
      <w:proofErr w:type="gramStart"/>
      <w:r w:rsidRPr="00E0610F">
        <w:rPr>
          <w:rFonts w:cs="Arial"/>
          <w:lang w:val="en-GB"/>
        </w:rPr>
        <w:t>Arnold, G. and Lewis, D.S. (2019).</w:t>
      </w:r>
      <w:proofErr w:type="gramEnd"/>
      <w:r w:rsidRPr="00E0610F">
        <w:rPr>
          <w:rFonts w:cs="Arial"/>
          <w:lang w:val="en-GB"/>
        </w:rPr>
        <w:t> </w:t>
      </w:r>
      <w:proofErr w:type="gramStart"/>
      <w:r w:rsidRPr="00E0610F">
        <w:rPr>
          <w:rFonts w:cs="Arial"/>
          <w:i/>
          <w:iCs/>
          <w:lang w:val="en-GB"/>
        </w:rPr>
        <w:t>Corporate financial management</w:t>
      </w:r>
      <w:r w:rsidRPr="00E0610F">
        <w:rPr>
          <w:rFonts w:cs="Arial"/>
          <w:lang w:val="en-GB"/>
        </w:rPr>
        <w:t>.</w:t>
      </w:r>
      <w:proofErr w:type="gramEnd"/>
      <w:r w:rsidRPr="00E0610F">
        <w:rPr>
          <w:rFonts w:cs="Arial"/>
          <w:lang w:val="en-GB"/>
        </w:rPr>
        <w:t xml:space="preserve"> Pearson UK.</w:t>
      </w:r>
    </w:p>
    <w:p w:rsidR="002D6EBF" w:rsidRPr="00E0610F" w:rsidRDefault="002D6EBF" w:rsidP="001B5F04">
      <w:pPr>
        <w:rPr>
          <w:rFonts w:cs="Arial"/>
          <w:lang w:val="en-GB"/>
        </w:rPr>
      </w:pPr>
      <w:proofErr w:type="spellStart"/>
      <w:proofErr w:type="gramStart"/>
      <w:r w:rsidRPr="00E0610F">
        <w:rPr>
          <w:rFonts w:cs="Arial"/>
          <w:lang w:val="en-GB"/>
        </w:rPr>
        <w:t>Brealey</w:t>
      </w:r>
      <w:proofErr w:type="spellEnd"/>
      <w:r w:rsidRPr="00E0610F">
        <w:rPr>
          <w:rFonts w:cs="Arial"/>
          <w:lang w:val="en-GB"/>
        </w:rPr>
        <w:t>, R.A., Myers, S.C. and Allen, F. (2023).</w:t>
      </w:r>
      <w:proofErr w:type="gramEnd"/>
      <w:r w:rsidRPr="00E0610F">
        <w:rPr>
          <w:rFonts w:cs="Arial"/>
          <w:lang w:val="en-GB"/>
        </w:rPr>
        <w:t xml:space="preserve"> </w:t>
      </w:r>
      <w:proofErr w:type="gramStart"/>
      <w:r w:rsidRPr="00E0610F">
        <w:rPr>
          <w:rFonts w:cs="Arial"/>
          <w:i/>
          <w:iCs/>
          <w:lang w:val="en-GB"/>
        </w:rPr>
        <w:t>Principles of Corporate Finance</w:t>
      </w:r>
      <w:r w:rsidRPr="00E0610F">
        <w:rPr>
          <w:rFonts w:cs="Arial"/>
          <w:lang w:val="en-GB"/>
        </w:rPr>
        <w:t>.</w:t>
      </w:r>
      <w:proofErr w:type="gramEnd"/>
      <w:r w:rsidRPr="00E0610F">
        <w:rPr>
          <w:rFonts w:cs="Arial"/>
          <w:lang w:val="en-GB"/>
        </w:rPr>
        <w:t xml:space="preserve"> 14th </w:t>
      </w:r>
      <w:proofErr w:type="gramStart"/>
      <w:r w:rsidRPr="00E0610F">
        <w:rPr>
          <w:rFonts w:cs="Arial"/>
          <w:lang w:val="en-GB"/>
        </w:rPr>
        <w:t>ed</w:t>
      </w:r>
      <w:proofErr w:type="gramEnd"/>
      <w:r w:rsidRPr="00E0610F">
        <w:rPr>
          <w:rFonts w:cs="Arial"/>
          <w:lang w:val="en-GB"/>
        </w:rPr>
        <w:t>. New York: McGraw-Hill Education.</w:t>
      </w:r>
    </w:p>
    <w:p w:rsidR="002D6EBF" w:rsidRPr="00E0610F" w:rsidRDefault="002D6EBF" w:rsidP="001B5F04">
      <w:pPr>
        <w:rPr>
          <w:rFonts w:cs="Arial"/>
          <w:lang w:val="en-GB"/>
        </w:rPr>
      </w:pPr>
      <w:proofErr w:type="gramStart"/>
      <w:r w:rsidRPr="00E0610F">
        <w:rPr>
          <w:rFonts w:cs="Arial"/>
          <w:lang w:val="en-GB"/>
        </w:rPr>
        <w:t xml:space="preserve">Brigham, E.F. and </w:t>
      </w:r>
      <w:proofErr w:type="spellStart"/>
      <w:r w:rsidRPr="00E0610F">
        <w:rPr>
          <w:rFonts w:cs="Arial"/>
          <w:lang w:val="en-GB"/>
        </w:rPr>
        <w:t>Ehrhardt</w:t>
      </w:r>
      <w:proofErr w:type="spellEnd"/>
      <w:r w:rsidRPr="00E0610F">
        <w:rPr>
          <w:rFonts w:cs="Arial"/>
          <w:lang w:val="en-GB"/>
        </w:rPr>
        <w:t>, M.C. (2023).</w:t>
      </w:r>
      <w:proofErr w:type="gramEnd"/>
      <w:r w:rsidRPr="00E0610F">
        <w:rPr>
          <w:rFonts w:cs="Arial"/>
          <w:lang w:val="en-GB"/>
        </w:rPr>
        <w:t xml:space="preserve"> </w:t>
      </w:r>
      <w:proofErr w:type="gramStart"/>
      <w:r w:rsidRPr="00E0610F">
        <w:rPr>
          <w:rFonts w:cs="Arial"/>
          <w:i/>
          <w:iCs/>
          <w:lang w:val="en-GB"/>
        </w:rPr>
        <w:t>Financial Management</w:t>
      </w:r>
      <w:r w:rsidRPr="00E0610F">
        <w:rPr>
          <w:rFonts w:cs="Arial"/>
          <w:lang w:val="en-GB"/>
        </w:rPr>
        <w:t>.</w:t>
      </w:r>
      <w:proofErr w:type="gramEnd"/>
      <w:r w:rsidRPr="00E0610F">
        <w:rPr>
          <w:rFonts w:cs="Arial"/>
          <w:lang w:val="en-GB"/>
        </w:rPr>
        <w:t xml:space="preserve"> </w:t>
      </w:r>
      <w:proofErr w:type="spellStart"/>
      <w:r w:rsidRPr="00E0610F">
        <w:rPr>
          <w:rFonts w:cs="Arial"/>
          <w:lang w:val="en-GB"/>
        </w:rPr>
        <w:t>Cengage</w:t>
      </w:r>
      <w:proofErr w:type="spellEnd"/>
      <w:r w:rsidRPr="00E0610F">
        <w:rPr>
          <w:rFonts w:cs="Arial"/>
          <w:lang w:val="en-GB"/>
        </w:rPr>
        <w:t xml:space="preserve"> Learning.</w:t>
      </w:r>
    </w:p>
    <w:p w:rsidR="002D6EBF" w:rsidRPr="00E0610F" w:rsidRDefault="002D6EBF" w:rsidP="001B5F04">
      <w:pPr>
        <w:rPr>
          <w:rFonts w:cs="Arial"/>
          <w:lang w:val="en-GB"/>
        </w:rPr>
      </w:pPr>
      <w:proofErr w:type="spellStart"/>
      <w:r w:rsidRPr="00E0610F">
        <w:rPr>
          <w:rFonts w:cs="Arial"/>
          <w:lang w:val="en-GB"/>
        </w:rPr>
        <w:t>Damodaran</w:t>
      </w:r>
      <w:proofErr w:type="spellEnd"/>
      <w:r w:rsidRPr="00E0610F">
        <w:rPr>
          <w:rFonts w:cs="Arial"/>
          <w:lang w:val="en-GB"/>
        </w:rPr>
        <w:t>, A., (2012). </w:t>
      </w:r>
      <w:r w:rsidRPr="00E0610F">
        <w:rPr>
          <w:rFonts w:cs="Arial"/>
          <w:i/>
          <w:iCs/>
          <w:lang w:val="en-GB"/>
        </w:rPr>
        <w:t>Investment valuation: Tools and techniques for determining the value of any asset</w:t>
      </w:r>
      <w:r w:rsidRPr="00E0610F">
        <w:rPr>
          <w:rFonts w:cs="Arial"/>
          <w:lang w:val="en-GB"/>
        </w:rPr>
        <w:t xml:space="preserve">. </w:t>
      </w:r>
      <w:proofErr w:type="gramStart"/>
      <w:r w:rsidRPr="00E0610F">
        <w:rPr>
          <w:rFonts w:cs="Arial"/>
          <w:lang w:val="en-GB"/>
        </w:rPr>
        <w:t>John Wiley &amp; Sons.</w:t>
      </w:r>
      <w:proofErr w:type="gramEnd"/>
    </w:p>
    <w:p w:rsidR="002D6EBF" w:rsidRPr="00E0610F" w:rsidRDefault="002D6EBF" w:rsidP="001B5F04">
      <w:pPr>
        <w:rPr>
          <w:rFonts w:cs="Arial"/>
          <w:lang w:val="en-GB"/>
        </w:rPr>
      </w:pPr>
      <w:proofErr w:type="spellStart"/>
      <w:r w:rsidRPr="00E0610F">
        <w:rPr>
          <w:rFonts w:cs="Arial"/>
          <w:lang w:val="en-GB"/>
        </w:rPr>
        <w:t>DePamphilis</w:t>
      </w:r>
      <w:proofErr w:type="spellEnd"/>
      <w:r w:rsidRPr="00E0610F">
        <w:rPr>
          <w:rFonts w:cs="Arial"/>
          <w:lang w:val="en-GB"/>
        </w:rPr>
        <w:t xml:space="preserve">, D.M. (2014). </w:t>
      </w:r>
      <w:proofErr w:type="gramStart"/>
      <w:r w:rsidRPr="00E0610F">
        <w:rPr>
          <w:rFonts w:cs="Arial"/>
          <w:lang w:val="en-GB"/>
        </w:rPr>
        <w:t>An Introduction to Mergers, Acquisitions, and Other Restructuring Activities.</w:t>
      </w:r>
      <w:proofErr w:type="gramEnd"/>
      <w:r w:rsidRPr="00E0610F">
        <w:rPr>
          <w:rFonts w:cs="Arial"/>
          <w:lang w:val="en-GB"/>
        </w:rPr>
        <w:t xml:space="preserve"> </w:t>
      </w:r>
      <w:proofErr w:type="gramStart"/>
      <w:r w:rsidRPr="00E0610F">
        <w:rPr>
          <w:rFonts w:cs="Arial"/>
          <w:i/>
          <w:iCs/>
          <w:lang w:val="en-GB"/>
        </w:rPr>
        <w:t>Elsevier eBooks</w:t>
      </w:r>
      <w:r w:rsidRPr="00E0610F">
        <w:rPr>
          <w:rFonts w:cs="Arial"/>
          <w:lang w:val="en-GB"/>
        </w:rPr>
        <w:t>, 35(23), pp.3–40.</w:t>
      </w:r>
      <w:proofErr w:type="gramEnd"/>
      <w:r w:rsidRPr="00E0610F">
        <w:rPr>
          <w:rFonts w:cs="Arial"/>
          <w:lang w:val="en-GB"/>
        </w:rPr>
        <w:t xml:space="preserve"> </w:t>
      </w:r>
      <w:proofErr w:type="spellStart"/>
      <w:r w:rsidRPr="00E0610F">
        <w:rPr>
          <w:rFonts w:cs="Arial"/>
          <w:lang w:val="en-GB"/>
        </w:rPr>
        <w:t>doi:https</w:t>
      </w:r>
      <w:proofErr w:type="spellEnd"/>
      <w:r w:rsidRPr="00E0610F">
        <w:rPr>
          <w:rFonts w:cs="Arial"/>
          <w:lang w:val="en-GB"/>
        </w:rPr>
        <w:t>://doi.org/10.1016/b978-0-12-385487-2.00001-5.</w:t>
      </w:r>
    </w:p>
    <w:p w:rsidR="002D6EBF" w:rsidRPr="00E0610F" w:rsidRDefault="002D6EBF" w:rsidP="001B5F04">
      <w:pPr>
        <w:rPr>
          <w:rFonts w:cs="Arial"/>
          <w:lang w:val="en-GB"/>
        </w:rPr>
      </w:pPr>
      <w:proofErr w:type="gramStart"/>
      <w:r w:rsidRPr="00E0610F">
        <w:rPr>
          <w:rFonts w:cs="Arial"/>
          <w:lang w:val="en-GB"/>
        </w:rPr>
        <w:t>Dyer, J.H., Godfrey, P.C., Jensen, R.J. and Bryce, D.J. (2021).</w:t>
      </w:r>
      <w:proofErr w:type="gramEnd"/>
      <w:r w:rsidRPr="00E0610F">
        <w:rPr>
          <w:rFonts w:cs="Arial"/>
          <w:lang w:val="en-GB"/>
        </w:rPr>
        <w:t xml:space="preserve"> </w:t>
      </w:r>
      <w:proofErr w:type="gramStart"/>
      <w:r w:rsidRPr="00E0610F">
        <w:rPr>
          <w:rFonts w:cs="Arial"/>
          <w:i/>
          <w:iCs/>
          <w:lang w:val="en-GB"/>
        </w:rPr>
        <w:t>Strategic Management</w:t>
      </w:r>
      <w:r w:rsidRPr="00E0610F">
        <w:rPr>
          <w:rFonts w:cs="Arial"/>
          <w:lang w:val="en-GB"/>
        </w:rPr>
        <w:t>.</w:t>
      </w:r>
      <w:proofErr w:type="gramEnd"/>
      <w:r w:rsidRPr="00E0610F">
        <w:rPr>
          <w:rFonts w:cs="Arial"/>
          <w:lang w:val="en-GB"/>
        </w:rPr>
        <w:t xml:space="preserve"> </w:t>
      </w:r>
      <w:proofErr w:type="gramStart"/>
      <w:r w:rsidRPr="00E0610F">
        <w:rPr>
          <w:rFonts w:cs="Arial"/>
          <w:lang w:val="en-GB"/>
        </w:rPr>
        <w:t>Wiley Global Education.</w:t>
      </w:r>
      <w:proofErr w:type="gramEnd"/>
    </w:p>
    <w:p w:rsidR="002D6EBF" w:rsidRPr="00E0610F" w:rsidRDefault="002D6EBF" w:rsidP="001B5F04">
      <w:pPr>
        <w:rPr>
          <w:rFonts w:cs="Arial"/>
          <w:lang w:val="en-GB"/>
        </w:rPr>
      </w:pPr>
      <w:proofErr w:type="spellStart"/>
      <w:proofErr w:type="gramStart"/>
      <w:r w:rsidRPr="00E0610F">
        <w:rPr>
          <w:rFonts w:cs="Arial"/>
          <w:lang w:val="en-GB"/>
        </w:rPr>
        <w:t>Hossain</w:t>
      </w:r>
      <w:proofErr w:type="spellEnd"/>
      <w:r w:rsidRPr="00E0610F">
        <w:rPr>
          <w:rFonts w:cs="Arial"/>
          <w:lang w:val="en-GB"/>
        </w:rPr>
        <w:t xml:space="preserve">, A., </w:t>
      </w:r>
      <w:proofErr w:type="spellStart"/>
      <w:r w:rsidRPr="00E0610F">
        <w:rPr>
          <w:rFonts w:cs="Arial"/>
          <w:lang w:val="en-GB"/>
        </w:rPr>
        <w:t>Yousuf</w:t>
      </w:r>
      <w:proofErr w:type="spellEnd"/>
      <w:r w:rsidRPr="00E0610F">
        <w:rPr>
          <w:rFonts w:cs="Arial"/>
          <w:lang w:val="en-GB"/>
        </w:rPr>
        <w:t>, A. and Khalid, M.S. (2019).</w:t>
      </w:r>
      <w:proofErr w:type="gramEnd"/>
      <w:r w:rsidRPr="00E0610F">
        <w:rPr>
          <w:rFonts w:cs="Arial"/>
          <w:lang w:val="en-GB"/>
        </w:rPr>
        <w:t xml:space="preserve"> An Empirical Analysis of Capital Structure and Firm#x2019</w:t>
      </w:r>
      <w:proofErr w:type="gramStart"/>
      <w:r w:rsidRPr="00E0610F">
        <w:rPr>
          <w:rFonts w:cs="Arial"/>
          <w:lang w:val="en-GB"/>
        </w:rPr>
        <w:t>;s</w:t>
      </w:r>
      <w:proofErr w:type="gramEnd"/>
      <w:r w:rsidRPr="00E0610F">
        <w:rPr>
          <w:rFonts w:cs="Arial"/>
          <w:lang w:val="en-GB"/>
        </w:rPr>
        <w:t xml:space="preserve"> Financial Performance in a Developing Country. </w:t>
      </w:r>
      <w:proofErr w:type="gramStart"/>
      <w:r w:rsidRPr="00E0610F">
        <w:rPr>
          <w:rFonts w:cs="Arial"/>
          <w:i/>
          <w:iCs/>
          <w:lang w:val="en-GB"/>
        </w:rPr>
        <w:t>Global Journal of Management and Business Research</w:t>
      </w:r>
      <w:r w:rsidRPr="00E0610F">
        <w:rPr>
          <w:rFonts w:cs="Arial"/>
          <w:lang w:val="en-GB"/>
        </w:rPr>
        <w:t>, [online] 19(C3), pp.9–16.</w:t>
      </w:r>
      <w:proofErr w:type="gramEnd"/>
      <w:r w:rsidRPr="00E0610F">
        <w:rPr>
          <w:rFonts w:cs="Arial"/>
          <w:lang w:val="en-GB"/>
        </w:rPr>
        <w:t xml:space="preserve"> Available at: https://journalofbusiness.org/index.php/GJMBR/article/view/101704 [Accessed 17 Apr. 2026].</w:t>
      </w:r>
    </w:p>
    <w:p w:rsidR="002D6EBF" w:rsidRPr="00E0610F" w:rsidRDefault="002D6EBF" w:rsidP="001B5F04">
      <w:pPr>
        <w:rPr>
          <w:rFonts w:cs="Arial"/>
          <w:lang w:val="en-GB"/>
        </w:rPr>
      </w:pPr>
      <w:proofErr w:type="gramStart"/>
      <w:r w:rsidRPr="00E0610F">
        <w:rPr>
          <w:rFonts w:cs="Arial"/>
          <w:lang w:val="en-GB"/>
        </w:rPr>
        <w:t>IEA (2024).</w:t>
      </w:r>
      <w:proofErr w:type="gramEnd"/>
      <w:r w:rsidRPr="00E0610F">
        <w:rPr>
          <w:rFonts w:cs="Arial"/>
          <w:lang w:val="en-GB"/>
        </w:rPr>
        <w:t xml:space="preserve"> </w:t>
      </w:r>
      <w:proofErr w:type="gramStart"/>
      <w:r w:rsidRPr="00E0610F">
        <w:rPr>
          <w:rFonts w:cs="Arial"/>
          <w:i/>
          <w:iCs/>
          <w:lang w:val="en-GB"/>
        </w:rPr>
        <w:t>Global EV Outlook 2024</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xml:space="preserve">] </w:t>
      </w:r>
      <w:proofErr w:type="gramStart"/>
      <w:r w:rsidRPr="00E0610F">
        <w:rPr>
          <w:rFonts w:cs="Arial"/>
          <w:lang w:val="en-GB"/>
        </w:rPr>
        <w:t>IEA.</w:t>
      </w:r>
      <w:proofErr w:type="gramEnd"/>
      <w:r w:rsidRPr="00E0610F">
        <w:rPr>
          <w:rFonts w:cs="Arial"/>
          <w:lang w:val="en-GB"/>
        </w:rPr>
        <w:t xml:space="preserve"> Available at: https://www.iea.org/reports/global-ev-outlook-2024 [Accessed 17 Apr. 2026].</w:t>
      </w:r>
    </w:p>
    <w:p w:rsidR="002D6EBF" w:rsidRPr="00E0610F" w:rsidRDefault="002D6EBF" w:rsidP="001B5F04">
      <w:pPr>
        <w:rPr>
          <w:rFonts w:cs="Arial"/>
          <w:lang w:val="en-GB"/>
        </w:rPr>
      </w:pPr>
      <w:r w:rsidRPr="00E0610F">
        <w:rPr>
          <w:rFonts w:cs="Arial"/>
          <w:lang w:val="en-GB"/>
        </w:rPr>
        <w:t xml:space="preserve">Jensen, M.C. (2001). </w:t>
      </w:r>
      <w:proofErr w:type="gramStart"/>
      <w:r w:rsidRPr="00E0610F">
        <w:rPr>
          <w:rFonts w:cs="Arial"/>
          <w:lang w:val="en-GB"/>
        </w:rPr>
        <w:t>VALUE MAXIMIZATION, STAKEHOLDER THEORY, AND THE CORPORATE OBJECTIVE FUNCTION.</w:t>
      </w:r>
      <w:proofErr w:type="gramEnd"/>
      <w:r w:rsidRPr="00E0610F">
        <w:rPr>
          <w:rFonts w:cs="Arial"/>
          <w:lang w:val="en-GB"/>
        </w:rPr>
        <w:t xml:space="preserve"> </w:t>
      </w:r>
      <w:proofErr w:type="gramStart"/>
      <w:r w:rsidRPr="00E0610F">
        <w:rPr>
          <w:rFonts w:cs="Arial"/>
          <w:i/>
          <w:iCs/>
          <w:lang w:val="en-GB"/>
        </w:rPr>
        <w:t>Journal of Applied Corporate Finance</w:t>
      </w:r>
      <w:r w:rsidRPr="00E0610F">
        <w:rPr>
          <w:rFonts w:cs="Arial"/>
          <w:lang w:val="en-GB"/>
        </w:rPr>
        <w:t>, 14(3), pp.8–21.</w:t>
      </w:r>
      <w:proofErr w:type="gramEnd"/>
      <w:r w:rsidRPr="00E0610F">
        <w:rPr>
          <w:rFonts w:cs="Arial"/>
          <w:lang w:val="en-GB"/>
        </w:rPr>
        <w:t xml:space="preserve"> </w:t>
      </w:r>
      <w:proofErr w:type="spellStart"/>
      <w:r w:rsidRPr="00E0610F">
        <w:rPr>
          <w:rFonts w:cs="Arial"/>
          <w:lang w:val="en-GB"/>
        </w:rPr>
        <w:t>doi:https</w:t>
      </w:r>
      <w:proofErr w:type="spellEnd"/>
      <w:r w:rsidRPr="00E0610F">
        <w:rPr>
          <w:rFonts w:cs="Arial"/>
          <w:lang w:val="en-GB"/>
        </w:rPr>
        <w:t>://doi.org/10.1111/j.1745-6622.2001.tb00434.x.</w:t>
      </w:r>
    </w:p>
    <w:p w:rsidR="002D6EBF" w:rsidRPr="00E0610F" w:rsidRDefault="002D6EBF" w:rsidP="001B5F04">
      <w:pPr>
        <w:rPr>
          <w:rFonts w:cs="Arial"/>
          <w:lang w:val="en-GB"/>
        </w:rPr>
      </w:pPr>
      <w:proofErr w:type="gramStart"/>
      <w:r w:rsidRPr="00E0610F">
        <w:rPr>
          <w:rFonts w:cs="Arial"/>
          <w:lang w:val="en-GB"/>
        </w:rPr>
        <w:t xml:space="preserve">Kraus, A. and </w:t>
      </w:r>
      <w:proofErr w:type="spellStart"/>
      <w:r w:rsidRPr="00E0610F">
        <w:rPr>
          <w:rFonts w:cs="Arial"/>
          <w:lang w:val="en-GB"/>
        </w:rPr>
        <w:t>Litzenberger</w:t>
      </w:r>
      <w:proofErr w:type="spellEnd"/>
      <w:r w:rsidRPr="00E0610F">
        <w:rPr>
          <w:rFonts w:cs="Arial"/>
          <w:lang w:val="en-GB"/>
        </w:rPr>
        <w:t>, R.H. (1973).</w:t>
      </w:r>
      <w:proofErr w:type="gramEnd"/>
      <w:r w:rsidRPr="00E0610F">
        <w:rPr>
          <w:rFonts w:cs="Arial"/>
          <w:lang w:val="en-GB"/>
        </w:rPr>
        <w:t xml:space="preserve"> </w:t>
      </w:r>
      <w:proofErr w:type="gramStart"/>
      <w:r w:rsidRPr="00E0610F">
        <w:rPr>
          <w:rFonts w:cs="Arial"/>
          <w:lang w:val="en-GB"/>
        </w:rPr>
        <w:t>A State-Preference Model of Optimal Financial Leverage.</w:t>
      </w:r>
      <w:proofErr w:type="gramEnd"/>
      <w:r w:rsidRPr="00E0610F">
        <w:rPr>
          <w:rFonts w:cs="Arial"/>
          <w:lang w:val="en-GB"/>
        </w:rPr>
        <w:t xml:space="preserve"> </w:t>
      </w:r>
      <w:proofErr w:type="gramStart"/>
      <w:r w:rsidRPr="00E0610F">
        <w:rPr>
          <w:rFonts w:cs="Arial"/>
          <w:i/>
          <w:iCs/>
          <w:lang w:val="en-GB"/>
        </w:rPr>
        <w:t>The Journal of Finance</w:t>
      </w:r>
      <w:r w:rsidRPr="00E0610F">
        <w:rPr>
          <w:rFonts w:cs="Arial"/>
          <w:lang w:val="en-GB"/>
        </w:rPr>
        <w:t>, [online] 28(4), pp.911–922.</w:t>
      </w:r>
      <w:proofErr w:type="gramEnd"/>
      <w:r w:rsidRPr="00E0610F">
        <w:rPr>
          <w:rFonts w:cs="Arial"/>
          <w:lang w:val="en-GB"/>
        </w:rPr>
        <w:t xml:space="preserve"> </w:t>
      </w:r>
      <w:proofErr w:type="spellStart"/>
      <w:r w:rsidRPr="00E0610F">
        <w:rPr>
          <w:rFonts w:cs="Arial"/>
          <w:lang w:val="en-GB"/>
        </w:rPr>
        <w:t>doi:https</w:t>
      </w:r>
      <w:proofErr w:type="spellEnd"/>
      <w:r w:rsidRPr="00E0610F">
        <w:rPr>
          <w:rFonts w:cs="Arial"/>
          <w:lang w:val="en-GB"/>
        </w:rPr>
        <w:t>://doi.org/10.2307/2978343.</w:t>
      </w:r>
    </w:p>
    <w:p w:rsidR="002D6EBF" w:rsidRPr="00E0610F" w:rsidRDefault="002D6EBF" w:rsidP="001B5F04">
      <w:pPr>
        <w:rPr>
          <w:rFonts w:cs="Arial"/>
          <w:lang w:val="en-GB"/>
        </w:rPr>
      </w:pPr>
      <w:proofErr w:type="gramStart"/>
      <w:r w:rsidRPr="00E0610F">
        <w:rPr>
          <w:rFonts w:cs="Arial"/>
          <w:lang w:val="en-GB"/>
        </w:rPr>
        <w:t xml:space="preserve">Madura, J., </w:t>
      </w:r>
      <w:proofErr w:type="spellStart"/>
      <w:r w:rsidRPr="00E0610F">
        <w:rPr>
          <w:rFonts w:cs="Arial"/>
          <w:lang w:val="en-GB"/>
        </w:rPr>
        <w:t>Hoque</w:t>
      </w:r>
      <w:proofErr w:type="spellEnd"/>
      <w:r w:rsidRPr="00E0610F">
        <w:rPr>
          <w:rFonts w:cs="Arial"/>
          <w:lang w:val="en-GB"/>
        </w:rPr>
        <w:t xml:space="preserve">, A. and </w:t>
      </w:r>
      <w:proofErr w:type="spellStart"/>
      <w:r w:rsidRPr="00E0610F">
        <w:rPr>
          <w:rFonts w:cs="Arial"/>
          <w:lang w:val="en-GB"/>
        </w:rPr>
        <w:t>Krishnamrti</w:t>
      </w:r>
      <w:proofErr w:type="spellEnd"/>
      <w:r w:rsidRPr="00E0610F">
        <w:rPr>
          <w:rFonts w:cs="Arial"/>
          <w:lang w:val="en-GB"/>
        </w:rPr>
        <w:t>, C. (2018).</w:t>
      </w:r>
      <w:proofErr w:type="gramEnd"/>
      <w:r w:rsidRPr="00E0610F">
        <w:rPr>
          <w:rFonts w:cs="Arial"/>
          <w:lang w:val="en-GB"/>
        </w:rPr>
        <w:t> </w:t>
      </w:r>
      <w:proofErr w:type="gramStart"/>
      <w:r w:rsidRPr="00E0610F">
        <w:rPr>
          <w:rFonts w:cs="Arial"/>
          <w:i/>
          <w:iCs/>
          <w:lang w:val="en-GB"/>
        </w:rPr>
        <w:t>International financial management</w:t>
      </w:r>
      <w:r w:rsidRPr="00E0610F">
        <w:rPr>
          <w:rFonts w:cs="Arial"/>
          <w:lang w:val="en-GB"/>
        </w:rPr>
        <w:t>.</w:t>
      </w:r>
      <w:proofErr w:type="gramEnd"/>
      <w:r w:rsidRPr="00E0610F">
        <w:rPr>
          <w:rFonts w:cs="Arial"/>
          <w:lang w:val="en-GB"/>
        </w:rPr>
        <w:t xml:space="preserve"> </w:t>
      </w:r>
      <w:proofErr w:type="spellStart"/>
      <w:r w:rsidRPr="00E0610F">
        <w:rPr>
          <w:rFonts w:cs="Arial"/>
          <w:lang w:val="en-GB"/>
        </w:rPr>
        <w:t>Cengage</w:t>
      </w:r>
      <w:proofErr w:type="spellEnd"/>
      <w:r w:rsidRPr="00E0610F">
        <w:rPr>
          <w:rFonts w:cs="Arial"/>
          <w:lang w:val="en-GB"/>
        </w:rPr>
        <w:t xml:space="preserve"> AU.</w:t>
      </w:r>
    </w:p>
    <w:p w:rsidR="002D6EBF" w:rsidRPr="00E0610F" w:rsidRDefault="002D6EBF" w:rsidP="001B5F04">
      <w:pPr>
        <w:rPr>
          <w:rFonts w:cs="Arial"/>
          <w:lang w:val="en-GB"/>
        </w:rPr>
      </w:pPr>
      <w:proofErr w:type="gramStart"/>
      <w:r w:rsidRPr="00E0610F">
        <w:rPr>
          <w:rFonts w:cs="Arial"/>
          <w:lang w:val="en-GB"/>
        </w:rPr>
        <w:lastRenderedPageBreak/>
        <w:t xml:space="preserve">Myers, S.C. and </w:t>
      </w:r>
      <w:proofErr w:type="spellStart"/>
      <w:r w:rsidRPr="00E0610F">
        <w:rPr>
          <w:rFonts w:cs="Arial"/>
          <w:lang w:val="en-GB"/>
        </w:rPr>
        <w:t>Majluf</w:t>
      </w:r>
      <w:proofErr w:type="spellEnd"/>
      <w:r w:rsidRPr="00E0610F">
        <w:rPr>
          <w:rFonts w:cs="Arial"/>
          <w:lang w:val="en-GB"/>
        </w:rPr>
        <w:t>, N.S. (1984).</w:t>
      </w:r>
      <w:proofErr w:type="gramEnd"/>
      <w:r w:rsidRPr="00E0610F">
        <w:rPr>
          <w:rFonts w:cs="Arial"/>
          <w:lang w:val="en-GB"/>
        </w:rPr>
        <w:t xml:space="preserve"> Corporate financing and investment decisions when firms have information </w:t>
      </w:r>
      <w:proofErr w:type="gramStart"/>
      <w:r w:rsidRPr="00E0610F">
        <w:rPr>
          <w:rFonts w:cs="Arial"/>
          <w:lang w:val="en-GB"/>
        </w:rPr>
        <w:t>that</w:t>
      </w:r>
      <w:proofErr w:type="gramEnd"/>
      <w:r w:rsidRPr="00E0610F">
        <w:rPr>
          <w:rFonts w:cs="Arial"/>
          <w:lang w:val="en-GB"/>
        </w:rPr>
        <w:t xml:space="preserve"> investors do not have. </w:t>
      </w:r>
      <w:proofErr w:type="gramStart"/>
      <w:r w:rsidRPr="00E0610F">
        <w:rPr>
          <w:rFonts w:cs="Arial"/>
          <w:i/>
          <w:iCs/>
          <w:lang w:val="en-GB"/>
        </w:rPr>
        <w:t>Journal of Financial Economics</w:t>
      </w:r>
      <w:r w:rsidRPr="00E0610F">
        <w:rPr>
          <w:rFonts w:cs="Arial"/>
          <w:lang w:val="en-GB"/>
        </w:rPr>
        <w:t>, 13(2), pp.187–221.</w:t>
      </w:r>
      <w:proofErr w:type="gramEnd"/>
      <w:r w:rsidRPr="00E0610F">
        <w:rPr>
          <w:rFonts w:cs="Arial"/>
          <w:lang w:val="en-GB"/>
        </w:rPr>
        <w:t xml:space="preserve"> </w:t>
      </w:r>
      <w:proofErr w:type="spellStart"/>
      <w:r w:rsidRPr="00E0610F">
        <w:rPr>
          <w:rFonts w:cs="Arial"/>
          <w:lang w:val="en-GB"/>
        </w:rPr>
        <w:t>doi:https</w:t>
      </w:r>
      <w:proofErr w:type="spellEnd"/>
      <w:r w:rsidRPr="00E0610F">
        <w:rPr>
          <w:rFonts w:cs="Arial"/>
          <w:lang w:val="en-GB"/>
        </w:rPr>
        <w:t>://doi.org/10.1016/0304-</w:t>
      </w:r>
      <w:proofErr w:type="gramStart"/>
      <w:r w:rsidRPr="00E0610F">
        <w:rPr>
          <w:rFonts w:cs="Arial"/>
          <w:lang w:val="en-GB"/>
        </w:rPr>
        <w:t>405X(</w:t>
      </w:r>
      <w:proofErr w:type="gramEnd"/>
      <w:r w:rsidRPr="00E0610F">
        <w:rPr>
          <w:rFonts w:cs="Arial"/>
          <w:lang w:val="en-GB"/>
        </w:rPr>
        <w:t>84)90023-0.</w:t>
      </w:r>
    </w:p>
    <w:p w:rsidR="002D6EBF" w:rsidRPr="00E0610F" w:rsidRDefault="002D6EBF" w:rsidP="001B5F04">
      <w:pPr>
        <w:rPr>
          <w:rFonts w:cs="Arial"/>
          <w:lang w:val="en-GB"/>
        </w:rPr>
      </w:pPr>
      <w:proofErr w:type="gramStart"/>
      <w:r w:rsidRPr="00E0610F">
        <w:rPr>
          <w:rFonts w:cs="Arial"/>
          <w:lang w:val="en-GB"/>
        </w:rPr>
        <w:t>OCED (2022).</w:t>
      </w:r>
      <w:proofErr w:type="gramEnd"/>
      <w:r w:rsidRPr="00E0610F">
        <w:rPr>
          <w:rFonts w:cs="Arial"/>
          <w:lang w:val="en-GB"/>
        </w:rPr>
        <w:t xml:space="preserve"> </w:t>
      </w:r>
      <w:r w:rsidRPr="00E0610F">
        <w:rPr>
          <w:rFonts w:cs="Arial"/>
          <w:i/>
          <w:iCs/>
          <w:lang w:val="en-GB"/>
        </w:rPr>
        <w:t>Tax Policy Reforms 2022</w:t>
      </w:r>
      <w:r w:rsidRPr="00E0610F">
        <w:rPr>
          <w:rFonts w:cs="Arial"/>
          <w:lang w:val="en-GB"/>
        </w:rPr>
        <w:t>. [</w:t>
      </w:r>
      <w:proofErr w:type="gramStart"/>
      <w:r w:rsidRPr="00E0610F">
        <w:rPr>
          <w:rFonts w:cs="Arial"/>
          <w:lang w:val="en-GB"/>
        </w:rPr>
        <w:t>online</w:t>
      </w:r>
      <w:proofErr w:type="gramEnd"/>
      <w:r w:rsidRPr="00E0610F">
        <w:rPr>
          <w:rFonts w:cs="Arial"/>
          <w:lang w:val="en-GB"/>
        </w:rPr>
        <w:t xml:space="preserve">] </w:t>
      </w:r>
      <w:proofErr w:type="gramStart"/>
      <w:r w:rsidRPr="00E0610F">
        <w:rPr>
          <w:rFonts w:cs="Arial"/>
          <w:lang w:val="en-GB"/>
        </w:rPr>
        <w:t>OECD.</w:t>
      </w:r>
      <w:proofErr w:type="gramEnd"/>
      <w:r w:rsidRPr="00E0610F">
        <w:rPr>
          <w:rFonts w:cs="Arial"/>
          <w:lang w:val="en-GB"/>
        </w:rPr>
        <w:t xml:space="preserve"> Available at: https://www.oecd.org/en/publications/tax-policy-reforms-2022_067c593d-en.html [Accessed 17 Apr. 2026].</w:t>
      </w:r>
    </w:p>
    <w:p w:rsidR="002D6EBF" w:rsidRPr="00E0610F" w:rsidRDefault="002D6EBF" w:rsidP="001B5F04">
      <w:pPr>
        <w:rPr>
          <w:rFonts w:cs="Arial"/>
          <w:lang w:val="en-GB"/>
        </w:rPr>
      </w:pPr>
      <w:r w:rsidRPr="00E0610F">
        <w:rPr>
          <w:rFonts w:cs="Arial"/>
          <w:lang w:val="en-GB"/>
        </w:rPr>
        <w:t xml:space="preserve">Pan, S., </w:t>
      </w:r>
      <w:proofErr w:type="spellStart"/>
      <w:r w:rsidRPr="00E0610F">
        <w:rPr>
          <w:rFonts w:cs="Arial"/>
          <w:lang w:val="en-GB"/>
        </w:rPr>
        <w:t>Xu</w:t>
      </w:r>
      <w:proofErr w:type="spellEnd"/>
      <w:r w:rsidRPr="00E0610F">
        <w:rPr>
          <w:rFonts w:cs="Arial"/>
          <w:lang w:val="en-GB"/>
        </w:rPr>
        <w:t xml:space="preserve">, Y., Li, Z., Fulton, L.M. and </w:t>
      </w:r>
      <w:proofErr w:type="spellStart"/>
      <w:proofErr w:type="gramStart"/>
      <w:r w:rsidRPr="00E0610F">
        <w:rPr>
          <w:rFonts w:cs="Arial"/>
          <w:lang w:val="en-GB"/>
        </w:rPr>
        <w:t>Gao</w:t>
      </w:r>
      <w:proofErr w:type="spellEnd"/>
      <w:proofErr w:type="gramEnd"/>
      <w:r w:rsidRPr="00E0610F">
        <w:rPr>
          <w:rFonts w:cs="Arial"/>
          <w:lang w:val="en-GB"/>
        </w:rPr>
        <w:t xml:space="preserve">, H.O. (2026). Future changes in CO2 emissions in the shift to electric mobility in countries with varied levels of zero-emission vehicle policies. </w:t>
      </w:r>
      <w:proofErr w:type="gramStart"/>
      <w:r w:rsidRPr="00E0610F">
        <w:rPr>
          <w:rFonts w:cs="Arial"/>
          <w:i/>
          <w:iCs/>
          <w:lang w:val="en-GB"/>
        </w:rPr>
        <w:t>Resources, Environment and Sustainability</w:t>
      </w:r>
      <w:r w:rsidRPr="00E0610F">
        <w:rPr>
          <w:rFonts w:cs="Arial"/>
          <w:lang w:val="en-GB"/>
        </w:rPr>
        <w:t>, 24(34), p.100316.</w:t>
      </w:r>
      <w:proofErr w:type="gramEnd"/>
      <w:r w:rsidRPr="00E0610F">
        <w:rPr>
          <w:rFonts w:cs="Arial"/>
          <w:lang w:val="en-GB"/>
        </w:rPr>
        <w:t xml:space="preserve"> </w:t>
      </w:r>
      <w:proofErr w:type="spellStart"/>
      <w:r w:rsidRPr="00E0610F">
        <w:rPr>
          <w:rFonts w:cs="Arial"/>
          <w:lang w:val="en-GB"/>
        </w:rPr>
        <w:t>doi:https</w:t>
      </w:r>
      <w:proofErr w:type="spellEnd"/>
      <w:r w:rsidRPr="00E0610F">
        <w:rPr>
          <w:rFonts w:cs="Arial"/>
          <w:lang w:val="en-GB"/>
        </w:rPr>
        <w:t>://doi.org/10.1016/j.resenv.2026.100316.</w:t>
      </w:r>
    </w:p>
    <w:p w:rsidR="002D6EBF" w:rsidRPr="00E0610F" w:rsidRDefault="002D6EBF" w:rsidP="001B5F04">
      <w:pPr>
        <w:rPr>
          <w:rFonts w:cs="Arial"/>
          <w:lang w:val="en-GB"/>
        </w:rPr>
      </w:pPr>
      <w:proofErr w:type="spellStart"/>
      <w:r w:rsidRPr="00E0610F">
        <w:rPr>
          <w:rFonts w:cs="Arial"/>
          <w:lang w:val="en-GB"/>
        </w:rPr>
        <w:t>Persson</w:t>
      </w:r>
      <w:proofErr w:type="spellEnd"/>
      <w:r w:rsidRPr="00E0610F">
        <w:rPr>
          <w:rFonts w:cs="Arial"/>
          <w:lang w:val="en-GB"/>
        </w:rPr>
        <w:t xml:space="preserve">, E. (2024). </w:t>
      </w:r>
      <w:r w:rsidRPr="00E0610F">
        <w:rPr>
          <w:rFonts w:cs="Arial"/>
          <w:i/>
          <w:iCs/>
          <w:lang w:val="en-GB"/>
        </w:rPr>
        <w:t>Tesla: Leading the EV Revolution</w:t>
      </w:r>
      <w:r w:rsidRPr="00E0610F">
        <w:rPr>
          <w:rFonts w:cs="Arial"/>
          <w:lang w:val="en-GB"/>
        </w:rPr>
        <w:t>. [</w:t>
      </w:r>
      <w:proofErr w:type="gramStart"/>
      <w:r w:rsidRPr="00E0610F">
        <w:rPr>
          <w:rFonts w:cs="Arial"/>
          <w:lang w:val="en-GB"/>
        </w:rPr>
        <w:t>online</w:t>
      </w:r>
      <w:proofErr w:type="gramEnd"/>
      <w:r w:rsidRPr="00E0610F">
        <w:rPr>
          <w:rFonts w:cs="Arial"/>
          <w:lang w:val="en-GB"/>
        </w:rPr>
        <w:t>] quarter. Available at: https://quartr.com/insights/company-research/tesla-leading-the-ev-revolution [Accessed 17 Apr. 2026].</w:t>
      </w:r>
    </w:p>
    <w:p w:rsidR="002D6EBF" w:rsidRPr="00E0610F" w:rsidRDefault="002D6EBF" w:rsidP="001B5F04">
      <w:pPr>
        <w:rPr>
          <w:rFonts w:cs="Arial"/>
          <w:lang w:val="en-GB"/>
        </w:rPr>
      </w:pPr>
      <w:proofErr w:type="gramStart"/>
      <w:r w:rsidRPr="00E0610F">
        <w:rPr>
          <w:rFonts w:cs="Arial"/>
          <w:lang w:val="en-GB"/>
        </w:rPr>
        <w:t>Porter, M. (2008).</w:t>
      </w:r>
      <w:proofErr w:type="gramEnd"/>
      <w:r w:rsidRPr="00E0610F">
        <w:rPr>
          <w:rFonts w:cs="Arial"/>
          <w:lang w:val="en-GB"/>
        </w:rPr>
        <w:t xml:space="preserve"> </w:t>
      </w:r>
      <w:r w:rsidRPr="00E0610F">
        <w:rPr>
          <w:rFonts w:cs="Arial"/>
          <w:i/>
          <w:iCs/>
          <w:lang w:val="en-GB"/>
        </w:rPr>
        <w:t>The Five Competitive Forces That Shape Strategy</w:t>
      </w:r>
      <w:r w:rsidRPr="00E0610F">
        <w:rPr>
          <w:rFonts w:cs="Arial"/>
          <w:lang w:val="en-GB"/>
        </w:rPr>
        <w:t>. [</w:t>
      </w:r>
      <w:proofErr w:type="gramStart"/>
      <w:r w:rsidRPr="00E0610F">
        <w:rPr>
          <w:rFonts w:cs="Arial"/>
          <w:lang w:val="en-GB"/>
        </w:rPr>
        <w:t>online</w:t>
      </w:r>
      <w:proofErr w:type="gramEnd"/>
      <w:r w:rsidRPr="00E0610F">
        <w:rPr>
          <w:rFonts w:cs="Arial"/>
          <w:lang w:val="en-GB"/>
        </w:rPr>
        <w:t>] Harvard Business Review. Available at: https://hbr.org/2008/01/the-five-competitive-forces-that-shape-strategy [Accessed 17 Apr. 2026].</w:t>
      </w:r>
    </w:p>
    <w:p w:rsidR="002D6EBF" w:rsidRPr="00E0610F" w:rsidRDefault="002D6EBF" w:rsidP="001B5F04">
      <w:pPr>
        <w:rPr>
          <w:rFonts w:cs="Arial"/>
          <w:lang w:val="en-GB"/>
        </w:rPr>
      </w:pPr>
      <w:proofErr w:type="spellStart"/>
      <w:r w:rsidRPr="00E0610F">
        <w:rPr>
          <w:rFonts w:cs="Arial"/>
          <w:lang w:val="en-GB"/>
        </w:rPr>
        <w:t>Teece</w:t>
      </w:r>
      <w:proofErr w:type="spellEnd"/>
      <w:r w:rsidRPr="00E0610F">
        <w:rPr>
          <w:rFonts w:cs="Arial"/>
          <w:lang w:val="en-GB"/>
        </w:rPr>
        <w:t xml:space="preserve">, D.J. (2018). </w:t>
      </w:r>
      <w:proofErr w:type="gramStart"/>
      <w:r w:rsidRPr="00E0610F">
        <w:rPr>
          <w:rFonts w:cs="Arial"/>
          <w:lang w:val="en-GB"/>
        </w:rPr>
        <w:t>Business models and dynamic capabilities.</w:t>
      </w:r>
      <w:proofErr w:type="gramEnd"/>
      <w:r w:rsidRPr="00E0610F">
        <w:rPr>
          <w:rFonts w:cs="Arial"/>
          <w:lang w:val="en-GB"/>
        </w:rPr>
        <w:t xml:space="preserve"> </w:t>
      </w:r>
      <w:proofErr w:type="gramStart"/>
      <w:r w:rsidRPr="00E0610F">
        <w:rPr>
          <w:rFonts w:cs="Arial"/>
          <w:i/>
          <w:iCs/>
          <w:lang w:val="en-GB"/>
        </w:rPr>
        <w:t>Long Range Planning</w:t>
      </w:r>
      <w:r w:rsidRPr="00E0610F">
        <w:rPr>
          <w:rFonts w:cs="Arial"/>
          <w:lang w:val="en-GB"/>
        </w:rPr>
        <w:t>, [online] 51(1), pp.40–49.</w:t>
      </w:r>
      <w:proofErr w:type="gramEnd"/>
      <w:r w:rsidRPr="00E0610F">
        <w:rPr>
          <w:rFonts w:cs="Arial"/>
          <w:lang w:val="en-GB"/>
        </w:rPr>
        <w:t xml:space="preserve"> </w:t>
      </w:r>
      <w:proofErr w:type="spellStart"/>
      <w:r w:rsidRPr="00E0610F">
        <w:rPr>
          <w:rFonts w:cs="Arial"/>
          <w:lang w:val="en-GB"/>
        </w:rPr>
        <w:t>doi:https</w:t>
      </w:r>
      <w:proofErr w:type="spellEnd"/>
      <w:r w:rsidRPr="00E0610F">
        <w:rPr>
          <w:rFonts w:cs="Arial"/>
          <w:lang w:val="en-GB"/>
        </w:rPr>
        <w:t>://doi.org/10.1016/j.lrp.2017.06.007.</w:t>
      </w:r>
    </w:p>
    <w:p w:rsidR="002D6EBF" w:rsidRPr="00E0610F" w:rsidRDefault="002D6EBF" w:rsidP="001B5F04">
      <w:pPr>
        <w:rPr>
          <w:rFonts w:cs="Arial"/>
          <w:lang w:val="en-GB"/>
        </w:rPr>
      </w:pPr>
      <w:proofErr w:type="gramStart"/>
      <w:r w:rsidRPr="00E0610F">
        <w:rPr>
          <w:rFonts w:cs="Arial"/>
          <w:lang w:val="en-GB"/>
        </w:rPr>
        <w:t>Tesla Annual Report (2020).</w:t>
      </w:r>
      <w:proofErr w:type="gramEnd"/>
      <w:r w:rsidRPr="00E0610F">
        <w:rPr>
          <w:rFonts w:cs="Arial"/>
          <w:lang w:val="en-GB"/>
        </w:rPr>
        <w:t xml:space="preserve"> </w:t>
      </w:r>
      <w:proofErr w:type="gramStart"/>
      <w:r w:rsidRPr="00E0610F">
        <w:rPr>
          <w:rFonts w:cs="Arial"/>
          <w:i/>
          <w:iCs/>
          <w:lang w:val="en-GB"/>
        </w:rPr>
        <w:t>UNITED STATES SECURITIES AND EXCHANGE COMMISSION</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Available at: https://ir.tesla.com/_flysystem/s3/sec/000156459021004599/tsla-10k_20201231-gen.pdf [Accessed 21 Apr. 2026].</w:t>
      </w:r>
    </w:p>
    <w:p w:rsidR="002D6EBF" w:rsidRPr="00E0610F" w:rsidRDefault="002D6EBF" w:rsidP="001B5F04">
      <w:pPr>
        <w:rPr>
          <w:rFonts w:cs="Arial"/>
          <w:lang w:val="en-GB"/>
        </w:rPr>
      </w:pPr>
      <w:proofErr w:type="gramStart"/>
      <w:r w:rsidRPr="00E0610F">
        <w:rPr>
          <w:rFonts w:cs="Arial"/>
          <w:lang w:val="en-GB"/>
        </w:rPr>
        <w:t>Tesla Annual Report (2022).</w:t>
      </w:r>
      <w:proofErr w:type="gramEnd"/>
      <w:r w:rsidRPr="00E0610F">
        <w:rPr>
          <w:rFonts w:cs="Arial"/>
          <w:lang w:val="en-GB"/>
        </w:rPr>
        <w:t xml:space="preserve"> </w:t>
      </w:r>
      <w:proofErr w:type="gramStart"/>
      <w:r w:rsidRPr="00E0610F">
        <w:rPr>
          <w:rFonts w:cs="Arial"/>
          <w:i/>
          <w:iCs/>
          <w:lang w:val="en-GB"/>
        </w:rPr>
        <w:t>UNITED STATES SECURITIES AND EXCHANGE COMMISSION</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Available at: https://ir.tesla.com/_flysystem/s3/sec/000095017023001409/tsla-20221231-gen.pdf [Accessed 19 Apr. 2026].</w:t>
      </w:r>
    </w:p>
    <w:p w:rsidR="002D6EBF" w:rsidRPr="00E0610F" w:rsidRDefault="002D6EBF" w:rsidP="001B5F04">
      <w:pPr>
        <w:rPr>
          <w:rFonts w:cs="Arial"/>
          <w:lang w:val="en-GB"/>
        </w:rPr>
      </w:pPr>
      <w:proofErr w:type="gramStart"/>
      <w:r w:rsidRPr="00E0610F">
        <w:rPr>
          <w:rFonts w:cs="Arial"/>
          <w:lang w:val="en-GB"/>
        </w:rPr>
        <w:t>Tesla Annual Report (2023).</w:t>
      </w:r>
      <w:proofErr w:type="gramEnd"/>
      <w:r w:rsidRPr="00E0610F">
        <w:rPr>
          <w:rFonts w:cs="Arial"/>
          <w:lang w:val="en-GB"/>
        </w:rPr>
        <w:t xml:space="preserve"> </w:t>
      </w:r>
      <w:proofErr w:type="gramStart"/>
      <w:r w:rsidRPr="00E0610F">
        <w:rPr>
          <w:rFonts w:cs="Arial"/>
          <w:i/>
          <w:iCs/>
          <w:lang w:val="en-GB"/>
        </w:rPr>
        <w:t>Annual Report</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Available at: https://ir.tesla.com/_flysystem/s3/sec/000162828024002390/tsla-20231231-gen.pdf [Accessed 19 Apr. 2026].</w:t>
      </w:r>
    </w:p>
    <w:p w:rsidR="002D6EBF" w:rsidRPr="00E0610F" w:rsidRDefault="002D6EBF" w:rsidP="001B5F04">
      <w:pPr>
        <w:rPr>
          <w:rFonts w:cs="Arial"/>
          <w:lang w:val="en-GB"/>
        </w:rPr>
      </w:pPr>
      <w:proofErr w:type="gramStart"/>
      <w:r w:rsidRPr="00E0610F">
        <w:rPr>
          <w:rFonts w:cs="Arial"/>
          <w:lang w:val="en-GB"/>
        </w:rPr>
        <w:t>Tesla Annual Report (2024).</w:t>
      </w:r>
      <w:proofErr w:type="gramEnd"/>
      <w:r w:rsidRPr="00E0610F">
        <w:rPr>
          <w:rFonts w:cs="Arial"/>
          <w:lang w:val="en-GB"/>
        </w:rPr>
        <w:t xml:space="preserve"> </w:t>
      </w:r>
      <w:proofErr w:type="gramStart"/>
      <w:r w:rsidRPr="00E0610F">
        <w:rPr>
          <w:rFonts w:cs="Arial"/>
          <w:i/>
          <w:iCs/>
          <w:lang w:val="en-GB"/>
        </w:rPr>
        <w:t>UNITED STATES SECURITIES AND EXCHANGE COMMISSION</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xml:space="preserve">] Available at: </w:t>
      </w:r>
      <w:r w:rsidRPr="00E0610F">
        <w:rPr>
          <w:rFonts w:cs="Arial"/>
          <w:lang w:val="en-GB"/>
        </w:rPr>
        <w:lastRenderedPageBreak/>
        <w:t>https://ir.tesla.com/_flysystem/s3/sec/000162828025003063/tsla-20241231-gen.pdf [Accessed 19 Apr. 2026].</w:t>
      </w:r>
    </w:p>
    <w:p w:rsidR="002D6EBF" w:rsidRPr="00E0610F" w:rsidRDefault="002D6EBF" w:rsidP="001B5F04">
      <w:pPr>
        <w:rPr>
          <w:rFonts w:cs="Arial"/>
          <w:lang w:val="en-GB"/>
        </w:rPr>
      </w:pPr>
      <w:proofErr w:type="spellStart"/>
      <w:proofErr w:type="gramStart"/>
      <w:r w:rsidRPr="00E0610F">
        <w:rPr>
          <w:rFonts w:cs="Arial"/>
          <w:lang w:val="en-GB"/>
        </w:rPr>
        <w:t>Theodosopoulos</w:t>
      </w:r>
      <w:proofErr w:type="spellEnd"/>
      <w:r w:rsidRPr="00E0610F">
        <w:rPr>
          <w:rFonts w:cs="Arial"/>
          <w:lang w:val="en-GB"/>
        </w:rPr>
        <w:t xml:space="preserve">, G., </w:t>
      </w:r>
      <w:proofErr w:type="spellStart"/>
      <w:r w:rsidRPr="00E0610F">
        <w:rPr>
          <w:rFonts w:cs="Arial"/>
          <w:lang w:val="en-GB"/>
        </w:rPr>
        <w:t>Haslam</w:t>
      </w:r>
      <w:proofErr w:type="spellEnd"/>
      <w:r w:rsidRPr="00E0610F">
        <w:rPr>
          <w:rFonts w:cs="Arial"/>
          <w:lang w:val="en-GB"/>
        </w:rPr>
        <w:t>, C. and Riley, C. (2023).</w:t>
      </w:r>
      <w:proofErr w:type="gramEnd"/>
      <w:r w:rsidRPr="00E0610F">
        <w:rPr>
          <w:rFonts w:cs="Arial"/>
          <w:lang w:val="en-GB"/>
        </w:rPr>
        <w:t xml:space="preserve"> Teaching Accounting and Finance to non-specialists: revealing the students’ perspective on the learning experience. </w:t>
      </w:r>
      <w:proofErr w:type="gramStart"/>
      <w:r w:rsidRPr="00E0610F">
        <w:rPr>
          <w:rFonts w:cs="Arial"/>
          <w:i/>
          <w:iCs/>
          <w:lang w:val="en-GB"/>
        </w:rPr>
        <w:t>Brunel.ac.uk</w:t>
      </w:r>
      <w:r w:rsidRPr="00E0610F">
        <w:rPr>
          <w:rFonts w:cs="Arial"/>
          <w:lang w:val="en-GB"/>
        </w:rPr>
        <w:t>, [online] 35(34).</w:t>
      </w:r>
      <w:proofErr w:type="gramEnd"/>
      <w:r w:rsidRPr="00E0610F">
        <w:rPr>
          <w:rFonts w:cs="Arial"/>
          <w:lang w:val="en-GB"/>
        </w:rPr>
        <w:t xml:space="preserve"> </w:t>
      </w:r>
      <w:proofErr w:type="spellStart"/>
      <w:r w:rsidRPr="00E0610F">
        <w:rPr>
          <w:rFonts w:cs="Arial"/>
          <w:lang w:val="en-GB"/>
        </w:rPr>
        <w:t>doi:http</w:t>
      </w:r>
      <w:proofErr w:type="spellEnd"/>
      <w:r w:rsidRPr="00E0610F">
        <w:rPr>
          <w:rFonts w:cs="Arial"/>
          <w:lang w:val="en-GB"/>
        </w:rPr>
        <w:t>://bura.brunel.ac.uk/handle/2438/10370.</w:t>
      </w:r>
    </w:p>
    <w:p w:rsidR="002D6EBF" w:rsidRPr="00E0610F" w:rsidRDefault="002D6EBF" w:rsidP="001B5F04">
      <w:pPr>
        <w:rPr>
          <w:rFonts w:cs="Arial"/>
          <w:lang w:val="en-GB"/>
        </w:rPr>
      </w:pPr>
      <w:proofErr w:type="spellStart"/>
      <w:proofErr w:type="gramStart"/>
      <w:r w:rsidRPr="00E0610F">
        <w:rPr>
          <w:rFonts w:cs="Arial"/>
          <w:lang w:val="en-GB"/>
        </w:rPr>
        <w:t>Tricker</w:t>
      </w:r>
      <w:proofErr w:type="spellEnd"/>
      <w:r w:rsidRPr="00E0610F">
        <w:rPr>
          <w:rFonts w:cs="Arial"/>
          <w:lang w:val="en-GB"/>
        </w:rPr>
        <w:t>, R.I. (2015).</w:t>
      </w:r>
      <w:proofErr w:type="gramEnd"/>
      <w:r w:rsidRPr="00E0610F">
        <w:rPr>
          <w:rFonts w:cs="Arial"/>
          <w:lang w:val="en-GB"/>
        </w:rPr>
        <w:t> </w:t>
      </w:r>
      <w:r w:rsidRPr="00E0610F">
        <w:rPr>
          <w:rFonts w:cs="Arial"/>
          <w:i/>
          <w:iCs/>
          <w:lang w:val="en-GB"/>
        </w:rPr>
        <w:t>Corporate governance: Principles, policies, and practices</w:t>
      </w:r>
      <w:r w:rsidRPr="00E0610F">
        <w:rPr>
          <w:rFonts w:cs="Arial"/>
          <w:lang w:val="en-GB"/>
        </w:rPr>
        <w:t xml:space="preserve">. </w:t>
      </w:r>
      <w:proofErr w:type="gramStart"/>
      <w:r w:rsidRPr="00E0610F">
        <w:rPr>
          <w:rFonts w:cs="Arial"/>
          <w:lang w:val="en-GB"/>
        </w:rPr>
        <w:t>Oxford University Press.</w:t>
      </w:r>
      <w:proofErr w:type="gramEnd"/>
    </w:p>
    <w:p w:rsidR="002D6EBF" w:rsidRPr="00E0610F" w:rsidRDefault="002D6EBF" w:rsidP="001B5F04">
      <w:pPr>
        <w:rPr>
          <w:rFonts w:cs="Arial"/>
          <w:lang w:val="en-GB"/>
        </w:rPr>
      </w:pPr>
      <w:proofErr w:type="gramStart"/>
      <w:r w:rsidRPr="00E0610F">
        <w:rPr>
          <w:rFonts w:cs="Arial"/>
          <w:lang w:val="en-GB"/>
        </w:rPr>
        <w:t>UN (2024).</w:t>
      </w:r>
      <w:proofErr w:type="gramEnd"/>
      <w:r w:rsidRPr="00E0610F">
        <w:rPr>
          <w:rFonts w:cs="Arial"/>
          <w:lang w:val="en-GB"/>
        </w:rPr>
        <w:t xml:space="preserve"> </w:t>
      </w:r>
      <w:proofErr w:type="gramStart"/>
      <w:r w:rsidRPr="00E0610F">
        <w:rPr>
          <w:rFonts w:cs="Arial"/>
          <w:i/>
          <w:iCs/>
          <w:lang w:val="en-GB"/>
        </w:rPr>
        <w:t>UN Sustainable Development Report 2024</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xml:space="preserve">] </w:t>
      </w:r>
      <w:proofErr w:type="gramStart"/>
      <w:r w:rsidRPr="00E0610F">
        <w:rPr>
          <w:rFonts w:cs="Arial"/>
          <w:lang w:val="en-GB"/>
        </w:rPr>
        <w:t>Global Society News.</w:t>
      </w:r>
      <w:proofErr w:type="gramEnd"/>
      <w:r w:rsidRPr="00E0610F">
        <w:rPr>
          <w:rFonts w:cs="Arial"/>
          <w:lang w:val="en-GB"/>
        </w:rPr>
        <w:t xml:space="preserve"> Available at: https://www.globalsociety.earth/post/un-sustainable-development-report-2024?gad_source=1&amp;gad_campaignid=19232851914&amp;gbraid=0AAAAAo8c0P2NxqWQ8cNZTqW_Lq_c-Z0di&amp;gclid=Cj0KCQjw-pHPBhCdARIsAHXYWP-Qd66KZ_hrbChU0fFofigLb5Xb1g2S5OTKs2w5bXa5Ca5vWALXaGAaArI_EALw_wcB [Accessed 19 Apr. 2026].</w:t>
      </w:r>
    </w:p>
    <w:p w:rsidR="002D6EBF" w:rsidRPr="00E0610F" w:rsidRDefault="002D6EBF" w:rsidP="001B5F04">
      <w:pPr>
        <w:rPr>
          <w:rFonts w:cs="Arial"/>
          <w:lang w:val="en-GB"/>
        </w:rPr>
      </w:pPr>
      <w:proofErr w:type="spellStart"/>
      <w:r w:rsidRPr="00E0610F">
        <w:rPr>
          <w:rFonts w:cs="Arial"/>
          <w:lang w:val="en-GB"/>
        </w:rPr>
        <w:t>Valinurova</w:t>
      </w:r>
      <w:proofErr w:type="spellEnd"/>
      <w:r w:rsidRPr="00E0610F">
        <w:rPr>
          <w:rFonts w:cs="Arial"/>
          <w:lang w:val="en-GB"/>
        </w:rPr>
        <w:t xml:space="preserve">, L.S., </w:t>
      </w:r>
      <w:proofErr w:type="spellStart"/>
      <w:r w:rsidRPr="00E0610F">
        <w:rPr>
          <w:rFonts w:cs="Arial"/>
          <w:lang w:val="en-GB"/>
        </w:rPr>
        <w:t>Leibert</w:t>
      </w:r>
      <w:proofErr w:type="spellEnd"/>
      <w:r w:rsidRPr="00E0610F">
        <w:rPr>
          <w:rFonts w:cs="Arial"/>
          <w:lang w:val="en-GB"/>
        </w:rPr>
        <w:t xml:space="preserve">, T.B. and </w:t>
      </w:r>
      <w:proofErr w:type="spellStart"/>
      <w:r w:rsidRPr="00E0610F">
        <w:rPr>
          <w:rFonts w:cs="Arial"/>
          <w:lang w:val="en-GB"/>
        </w:rPr>
        <w:t>Khalikova</w:t>
      </w:r>
      <w:proofErr w:type="spellEnd"/>
      <w:r w:rsidRPr="00E0610F">
        <w:rPr>
          <w:rFonts w:cs="Arial"/>
          <w:lang w:val="en-GB"/>
        </w:rPr>
        <w:t xml:space="preserve">, E.A. (2019), May. Innovative approaches to corporate financial management in business systems. </w:t>
      </w:r>
      <w:proofErr w:type="gramStart"/>
      <w:r w:rsidRPr="00E0610F">
        <w:rPr>
          <w:rFonts w:cs="Arial"/>
          <w:lang w:val="en-GB"/>
        </w:rPr>
        <w:t>In </w:t>
      </w:r>
      <w:r w:rsidRPr="00E0610F">
        <w:rPr>
          <w:rFonts w:cs="Arial"/>
          <w:i/>
          <w:iCs/>
          <w:lang w:val="en-GB"/>
        </w:rPr>
        <w:t>Institute of Scientific Communications Conference</w:t>
      </w:r>
      <w:r w:rsidRPr="00E0610F">
        <w:rPr>
          <w:rFonts w:cs="Arial"/>
          <w:lang w:val="en-GB"/>
        </w:rPr>
        <w:t> (pp. 83-95).</w:t>
      </w:r>
      <w:proofErr w:type="gramEnd"/>
      <w:r w:rsidRPr="00E0610F">
        <w:rPr>
          <w:rFonts w:cs="Arial"/>
          <w:lang w:val="en-GB"/>
        </w:rPr>
        <w:t xml:space="preserve"> Cham: Springer International Publishing.</w:t>
      </w:r>
    </w:p>
    <w:p w:rsidR="002D6EBF" w:rsidRPr="00E0610F" w:rsidRDefault="002D6EBF" w:rsidP="003134E1">
      <w:pPr>
        <w:rPr>
          <w:rFonts w:cs="Arial"/>
          <w:lang w:val="en-GB"/>
        </w:rPr>
      </w:pPr>
      <w:proofErr w:type="gramStart"/>
      <w:r w:rsidRPr="00E0610F">
        <w:rPr>
          <w:rFonts w:cs="Arial"/>
          <w:lang w:val="en-GB"/>
        </w:rPr>
        <w:t>World Bank (2025).</w:t>
      </w:r>
      <w:proofErr w:type="gramEnd"/>
      <w:r w:rsidRPr="00E0610F">
        <w:rPr>
          <w:rFonts w:cs="Arial"/>
          <w:lang w:val="en-GB"/>
        </w:rPr>
        <w:t xml:space="preserve"> </w:t>
      </w:r>
      <w:proofErr w:type="gramStart"/>
      <w:r w:rsidRPr="00E0610F">
        <w:rPr>
          <w:rFonts w:cs="Arial"/>
          <w:i/>
          <w:iCs/>
          <w:lang w:val="en-GB"/>
        </w:rPr>
        <w:t>Global economic prospects</w:t>
      </w:r>
      <w:r w:rsidRPr="00E0610F">
        <w:rPr>
          <w:rFonts w:cs="Arial"/>
          <w:lang w:val="en-GB"/>
        </w:rPr>
        <w:t>.</w:t>
      </w:r>
      <w:proofErr w:type="gramEnd"/>
      <w:r w:rsidRPr="00E0610F">
        <w:rPr>
          <w:rFonts w:cs="Arial"/>
          <w:lang w:val="en-GB"/>
        </w:rPr>
        <w:t xml:space="preserve"> [</w:t>
      </w:r>
      <w:proofErr w:type="gramStart"/>
      <w:r w:rsidRPr="00E0610F">
        <w:rPr>
          <w:rFonts w:cs="Arial"/>
          <w:lang w:val="en-GB"/>
        </w:rPr>
        <w:t>online</w:t>
      </w:r>
      <w:proofErr w:type="gramEnd"/>
      <w:r w:rsidRPr="00E0610F">
        <w:rPr>
          <w:rFonts w:cs="Arial"/>
          <w:lang w:val="en-GB"/>
        </w:rPr>
        <w:t xml:space="preserve">] </w:t>
      </w:r>
      <w:proofErr w:type="gramStart"/>
      <w:r w:rsidRPr="00E0610F">
        <w:rPr>
          <w:rFonts w:cs="Arial"/>
          <w:lang w:val="en-GB"/>
        </w:rPr>
        <w:t>World Bank.</w:t>
      </w:r>
      <w:proofErr w:type="gramEnd"/>
      <w:r w:rsidRPr="00E0610F">
        <w:rPr>
          <w:rFonts w:cs="Arial"/>
          <w:lang w:val="en-GB"/>
        </w:rPr>
        <w:t xml:space="preserve"> Available at: https://www.worldbank.org/en/publication/global-economic-prospects [Accessed 19 Apr. 2026].</w:t>
      </w:r>
      <w:r w:rsidRPr="00E0610F">
        <w:rPr>
          <w:rFonts w:cs="Arial"/>
          <w:lang w:val="en-GB"/>
        </w:rPr>
        <w:br w:type="page"/>
      </w:r>
    </w:p>
    <w:p w:rsidR="003134E1" w:rsidRPr="00E0610F" w:rsidRDefault="006D2192" w:rsidP="001B5F04">
      <w:pPr>
        <w:pStyle w:val="Heading1"/>
        <w:rPr>
          <w:rFonts w:cs="Arial"/>
          <w:color w:val="auto"/>
          <w:lang w:val="en-GB"/>
        </w:rPr>
      </w:pPr>
      <w:bookmarkStart w:id="40" w:name="_Toc227762156"/>
      <w:r w:rsidRPr="00E0610F">
        <w:rPr>
          <w:rFonts w:cs="Arial"/>
          <w:color w:val="auto"/>
          <w:lang w:val="en-GB"/>
        </w:rPr>
        <w:lastRenderedPageBreak/>
        <w:t xml:space="preserve">9. </w:t>
      </w:r>
      <w:r w:rsidR="003134E1" w:rsidRPr="00E0610F">
        <w:rPr>
          <w:rFonts w:cs="Arial"/>
          <w:color w:val="auto"/>
          <w:lang w:val="en-GB"/>
        </w:rPr>
        <w:t>Appendices</w:t>
      </w:r>
      <w:bookmarkEnd w:id="40"/>
    </w:p>
    <w:p w:rsidR="003134E1" w:rsidRPr="00E0610F" w:rsidRDefault="003134E1" w:rsidP="001B5F04">
      <w:pPr>
        <w:pStyle w:val="Heading2"/>
        <w:rPr>
          <w:rFonts w:cs="Arial"/>
          <w:color w:val="auto"/>
          <w:lang w:val="en-GB"/>
        </w:rPr>
      </w:pPr>
      <w:bookmarkStart w:id="41" w:name="_Toc227762157"/>
      <w:r w:rsidRPr="00E0610F">
        <w:rPr>
          <w:rFonts w:cs="Arial"/>
          <w:color w:val="auto"/>
          <w:lang w:val="en-GB"/>
        </w:rPr>
        <w:t>Appendix A: Ratio Tables</w:t>
      </w:r>
      <w:bookmarkEnd w:id="41"/>
    </w:p>
    <w:p w:rsidR="001B5F04" w:rsidRPr="00E0610F" w:rsidRDefault="001B5F04" w:rsidP="001B5F04">
      <w:pPr>
        <w:rPr>
          <w:rFonts w:cs="Arial"/>
          <w:b/>
          <w:i/>
          <w:lang w:val="en-GB"/>
        </w:rPr>
      </w:pPr>
      <w:r w:rsidRPr="00E0610F">
        <w:rPr>
          <w:rFonts w:cs="Arial"/>
          <w:b/>
          <w:i/>
          <w:lang w:val="en-GB"/>
        </w:rPr>
        <w:t xml:space="preserve">All Data Sources: (Tesla Annual Reports, </w:t>
      </w:r>
      <w:r w:rsidR="001B10F9" w:rsidRPr="00E0610F">
        <w:rPr>
          <w:rFonts w:cs="Arial"/>
          <w:b/>
          <w:i/>
          <w:lang w:val="en-GB"/>
        </w:rPr>
        <w:t xml:space="preserve">2020, 2021- </w:t>
      </w:r>
      <w:r w:rsidRPr="00E0610F">
        <w:rPr>
          <w:rFonts w:cs="Arial"/>
          <w:b/>
          <w:i/>
          <w:lang w:val="en-GB"/>
        </w:rPr>
        <w:t>2022, 2023, 2024)</w:t>
      </w:r>
    </w:p>
    <w:p w:rsidR="003134E1" w:rsidRPr="00E0610F" w:rsidRDefault="003134E1" w:rsidP="001B5F04">
      <w:pPr>
        <w:pStyle w:val="Heading3"/>
        <w:rPr>
          <w:rFonts w:cs="Arial"/>
          <w:color w:val="auto"/>
          <w:lang w:val="en-GB"/>
        </w:rPr>
      </w:pPr>
      <w:bookmarkStart w:id="42" w:name="_Toc227762158"/>
      <w:proofErr w:type="gramStart"/>
      <w:r w:rsidRPr="00E0610F">
        <w:rPr>
          <w:rFonts w:cs="Arial"/>
          <w:color w:val="auto"/>
          <w:lang w:val="en-GB"/>
        </w:rPr>
        <w:t>Appendix A1.</w:t>
      </w:r>
      <w:proofErr w:type="gramEnd"/>
      <w:r w:rsidRPr="00E0610F">
        <w:rPr>
          <w:rFonts w:cs="Arial"/>
          <w:color w:val="auto"/>
          <w:lang w:val="en-GB"/>
        </w:rPr>
        <w:t xml:space="preserve"> Key Financial Statement Data Used for Ratio Analysis</w:t>
      </w:r>
      <w:bookmarkEnd w:id="42"/>
    </w:p>
    <w:p w:rsidR="003134E1" w:rsidRPr="00E0610F" w:rsidRDefault="003134E1" w:rsidP="003134E1">
      <w:pPr>
        <w:rPr>
          <w:rFonts w:cs="Arial"/>
          <w:i/>
          <w:lang w:val="en-GB"/>
        </w:rPr>
      </w:pPr>
      <w:r w:rsidRPr="00E0610F">
        <w:rPr>
          <w:rFonts w:cs="Arial"/>
          <w:i/>
          <w:lang w:val="en-GB"/>
        </w:rPr>
        <w:t>(Tesla, Inc.; US$ million)</w:t>
      </w:r>
    </w:p>
    <w:tbl>
      <w:tblPr>
        <w:tblStyle w:val="GridTable1Light"/>
        <w:tblW w:w="10087" w:type="dxa"/>
        <w:tblLook w:val="04A0" w:firstRow="1" w:lastRow="0" w:firstColumn="1" w:lastColumn="0" w:noHBand="0" w:noVBand="1"/>
      </w:tblPr>
      <w:tblGrid>
        <w:gridCol w:w="5346"/>
        <w:gridCol w:w="899"/>
        <w:gridCol w:w="899"/>
        <w:gridCol w:w="899"/>
        <w:gridCol w:w="1022"/>
        <w:gridCol w:w="1022"/>
      </w:tblGrid>
      <w:tr w:rsidR="00E819E1" w:rsidRPr="00E0610F" w:rsidTr="00E819E1">
        <w:trPr>
          <w:cnfStyle w:val="100000000000" w:firstRow="1" w:lastRow="0" w:firstColumn="0" w:lastColumn="0" w:oddVBand="0" w:evenVBand="0" w:oddHBand="0"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center"/>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Item</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2020</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2021</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2022</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2023</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2024</w:t>
            </w:r>
          </w:p>
        </w:tc>
      </w:tr>
      <w:tr w:rsidR="00E819E1" w:rsidRPr="00E0610F" w:rsidTr="00E819E1">
        <w:trPr>
          <w:trHeight w:val="513"/>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Revenue</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31,536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53,823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81,462</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96,773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97,690</w:t>
            </w:r>
          </w:p>
        </w:tc>
      </w:tr>
      <w:tr w:rsidR="00E819E1" w:rsidRPr="00E0610F" w:rsidTr="00E819E1">
        <w:trPr>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Gross profit</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6,630</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13,606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20,853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17,660</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17,450</w:t>
            </w:r>
          </w:p>
        </w:tc>
      </w:tr>
      <w:tr w:rsidR="00E819E1" w:rsidRPr="00E0610F" w:rsidTr="00E819E1">
        <w:trPr>
          <w:trHeight w:val="786"/>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income attributable to common stockholders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721</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5,519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12,556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14,997</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7,091</w:t>
            </w:r>
          </w:p>
        </w:tc>
      </w:tr>
      <w:tr w:rsidR="00E819E1" w:rsidRPr="00E0610F" w:rsidTr="00E819E1">
        <w:trPr>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Total assets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52,148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62,131</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82,338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106,618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122,070</w:t>
            </w:r>
          </w:p>
        </w:tc>
      </w:tr>
      <w:tr w:rsidR="00E819E1" w:rsidRPr="00E0610F" w:rsidTr="00E819E1">
        <w:trPr>
          <w:trHeight w:val="513"/>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Total liabilities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28,418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30,548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36,440</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43,009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48,390</w:t>
            </w:r>
          </w:p>
        </w:tc>
      </w:tr>
      <w:tr w:rsidR="00E819E1" w:rsidRPr="00E0610F" w:rsidTr="00E819E1">
        <w:trPr>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Total stockholders’ equity</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22,225</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30,189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44,704</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62,634</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72,913</w:t>
            </w:r>
          </w:p>
        </w:tc>
      </w:tr>
      <w:tr w:rsidR="00E819E1" w:rsidRPr="00E0610F" w:rsidTr="00E819E1">
        <w:trPr>
          <w:trHeight w:val="513"/>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Current assets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26,717</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27,100</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40,917</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49,616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58,360</w:t>
            </w:r>
          </w:p>
        </w:tc>
      </w:tr>
      <w:tr w:rsidR="00E819E1" w:rsidRPr="00E0610F" w:rsidTr="00E819E1">
        <w:trPr>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Current liabilities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14,248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19,705</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26,709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28,748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28,821</w:t>
            </w:r>
          </w:p>
        </w:tc>
      </w:tr>
      <w:tr w:rsidR="00E819E1" w:rsidRPr="00E0610F" w:rsidTr="00E819E1">
        <w:trPr>
          <w:trHeight w:val="513"/>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Inventory</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4,101</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5,757</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12,839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13,626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12,017</w:t>
            </w:r>
          </w:p>
        </w:tc>
      </w:tr>
      <w:tr w:rsidR="00E819E1" w:rsidRPr="00E0610F" w:rsidTr="00E819E1">
        <w:trPr>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cash provided by operating activities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5,943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11,497</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14,724</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13,256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14,923</w:t>
            </w:r>
          </w:p>
        </w:tc>
      </w:tr>
      <w:tr w:rsidR="00E819E1" w:rsidRPr="00E0610F" w:rsidTr="00E819E1">
        <w:trPr>
          <w:trHeight w:val="50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Basic weighted average shares (millions)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933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2,959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3,130</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3,174</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3,197</w:t>
            </w:r>
          </w:p>
        </w:tc>
      </w:tr>
    </w:tbl>
    <w:p w:rsidR="003134E1" w:rsidRPr="00E0610F" w:rsidRDefault="003134E1" w:rsidP="003134E1">
      <w:pPr>
        <w:rPr>
          <w:rFonts w:cs="Arial"/>
          <w:lang w:val="en-GB"/>
        </w:rPr>
      </w:pPr>
    </w:p>
    <w:p w:rsidR="003134E1" w:rsidRPr="00E0610F" w:rsidRDefault="003134E1" w:rsidP="001B5F04">
      <w:pPr>
        <w:pStyle w:val="Heading3"/>
        <w:rPr>
          <w:rFonts w:cs="Arial"/>
          <w:color w:val="auto"/>
          <w:lang w:val="en-GB"/>
        </w:rPr>
      </w:pPr>
      <w:bookmarkStart w:id="43" w:name="_Toc227762159"/>
      <w:proofErr w:type="gramStart"/>
      <w:r w:rsidRPr="00E0610F">
        <w:rPr>
          <w:rFonts w:cs="Arial"/>
          <w:color w:val="auto"/>
          <w:lang w:val="en-GB"/>
        </w:rPr>
        <w:t>Appendix A2.</w:t>
      </w:r>
      <w:proofErr w:type="gramEnd"/>
      <w:r w:rsidRPr="00E0610F">
        <w:rPr>
          <w:rFonts w:cs="Arial"/>
          <w:color w:val="auto"/>
          <w:lang w:val="en-GB"/>
        </w:rPr>
        <w:t xml:space="preserve"> Profitability, Investment and Cash Flow Ratios</w:t>
      </w:r>
      <w:bookmarkEnd w:id="43"/>
    </w:p>
    <w:tbl>
      <w:tblPr>
        <w:tblStyle w:val="GridTable4Accent6"/>
        <w:tblW w:w="9788" w:type="dxa"/>
        <w:tblLook w:val="04A0" w:firstRow="1" w:lastRow="0" w:firstColumn="1" w:lastColumn="0" w:noHBand="0" w:noVBand="1"/>
      </w:tblPr>
      <w:tblGrid>
        <w:gridCol w:w="2389"/>
        <w:gridCol w:w="3219"/>
        <w:gridCol w:w="836"/>
        <w:gridCol w:w="836"/>
        <w:gridCol w:w="836"/>
        <w:gridCol w:w="836"/>
        <w:gridCol w:w="836"/>
      </w:tblGrid>
      <w:tr w:rsidR="00E819E1" w:rsidRPr="00E0610F" w:rsidTr="00E819E1">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center"/>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Ratio</w:t>
            </w:r>
          </w:p>
        </w:tc>
        <w:tc>
          <w:tcPr>
            <w:tcW w:w="0" w:type="auto"/>
            <w:hideMark/>
          </w:tcPr>
          <w:p w:rsidR="00E819E1" w:rsidRPr="00E0610F" w:rsidRDefault="00E819E1" w:rsidP="00E819E1">
            <w:pPr>
              <w:spacing w:after="12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Formula</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2020</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2021</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2022</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2023</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2024</w:t>
            </w:r>
          </w:p>
        </w:tc>
      </w:tr>
      <w:tr w:rsidR="00E819E1" w:rsidRPr="00E0610F" w:rsidTr="00E819E1">
        <w:trPr>
          <w:cnfStyle w:val="000000100000" w:firstRow="0" w:lastRow="0" w:firstColumn="0" w:lastColumn="0" w:oddVBand="0" w:evenVBand="0" w:oddHBand="1" w:evenHBand="0" w:firstRowFirstColumn="0" w:firstRowLastColumn="0" w:lastRowFirstColumn="0" w:lastRowLastColumn="0"/>
          <w:trHeight w:val="801"/>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Gross profit margin</w:t>
            </w:r>
          </w:p>
        </w:tc>
        <w:tc>
          <w:tcPr>
            <w:tcW w:w="0" w:type="auto"/>
            <w:hideMark/>
          </w:tcPr>
          <w:p w:rsidR="00E819E1" w:rsidRPr="00E0610F" w:rsidRDefault="00E819E1" w:rsidP="00E819E1">
            <w:pPr>
              <w:spacing w:after="12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Gross profit / Revenue</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21.0%</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25.3%</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25.6%</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18.2%</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17.9%</w:t>
            </w:r>
          </w:p>
        </w:tc>
      </w:tr>
      <w:tr w:rsidR="00E819E1" w:rsidRPr="00E0610F" w:rsidTr="00E819E1">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profit margin</w:t>
            </w:r>
          </w:p>
        </w:tc>
        <w:tc>
          <w:tcPr>
            <w:tcW w:w="0" w:type="auto"/>
            <w:hideMark/>
          </w:tcPr>
          <w:p w:rsidR="00E819E1" w:rsidRPr="00E0610F" w:rsidRDefault="00E819E1" w:rsidP="00E819E1">
            <w:pPr>
              <w:spacing w:after="12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income / Revenue</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10.3%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15.4%</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15.5%</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7.3%</w:t>
            </w:r>
          </w:p>
        </w:tc>
      </w:tr>
      <w:tr w:rsidR="00E819E1" w:rsidRPr="00E0610F" w:rsidTr="00E819E1">
        <w:trPr>
          <w:cnfStyle w:val="000000100000" w:firstRow="0" w:lastRow="0" w:firstColumn="0" w:lastColumn="0" w:oddVBand="0" w:evenVBand="0" w:oddHBand="1" w:evenHBand="0" w:firstRowFirstColumn="0" w:firstRowLastColumn="0" w:lastRowFirstColumn="0" w:lastRowLastColumn="0"/>
          <w:trHeight w:val="788"/>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Return on assets (ROA)</w:t>
            </w:r>
          </w:p>
        </w:tc>
        <w:tc>
          <w:tcPr>
            <w:tcW w:w="0" w:type="auto"/>
            <w:hideMark/>
          </w:tcPr>
          <w:p w:rsidR="00E819E1" w:rsidRPr="00E0610F" w:rsidRDefault="00E819E1" w:rsidP="00E819E1">
            <w:pPr>
              <w:spacing w:after="12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income / Total assets</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1.4%</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8.9%</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15.2%</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14.1%</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5.8%</w:t>
            </w:r>
          </w:p>
        </w:tc>
      </w:tr>
      <w:tr w:rsidR="00E819E1" w:rsidRPr="00E0610F" w:rsidTr="00E819E1">
        <w:trPr>
          <w:trHeight w:val="801"/>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lastRenderedPageBreak/>
              <w:t>Return on equity (ROE)</w:t>
            </w:r>
          </w:p>
        </w:tc>
        <w:tc>
          <w:tcPr>
            <w:tcW w:w="0" w:type="auto"/>
            <w:hideMark/>
          </w:tcPr>
          <w:p w:rsidR="00E819E1" w:rsidRPr="00E0610F" w:rsidRDefault="00E819E1" w:rsidP="00E819E1">
            <w:pPr>
              <w:spacing w:after="12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income / Equity</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3.2%</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18.3%</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28.1%</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23.9%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9.7%</w:t>
            </w:r>
          </w:p>
        </w:tc>
      </w:tr>
      <w:tr w:rsidR="00E819E1" w:rsidRPr="00E0610F" w:rsidTr="00E819E1">
        <w:trPr>
          <w:cnfStyle w:val="000000100000" w:firstRow="0" w:lastRow="0" w:firstColumn="0" w:lastColumn="0" w:oddVBand="0" w:evenVBand="0" w:oddHBand="1" w:evenHBand="0" w:firstRowFirstColumn="0" w:firstRowLastColumn="0" w:lastRowFirstColumn="0" w:lastRowLastColumn="0"/>
          <w:trHeight w:val="788"/>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Basic EPS (US$)</w:t>
            </w:r>
          </w:p>
        </w:tc>
        <w:tc>
          <w:tcPr>
            <w:tcW w:w="0" w:type="auto"/>
            <w:hideMark/>
          </w:tcPr>
          <w:p w:rsidR="00E819E1" w:rsidRPr="00E0610F" w:rsidRDefault="00E819E1" w:rsidP="00E819E1">
            <w:pPr>
              <w:spacing w:after="12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Net income / Basic weighted shares</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0.74</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1.87</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4.02</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4.73</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2.22</w:t>
            </w:r>
          </w:p>
        </w:tc>
      </w:tr>
      <w:tr w:rsidR="00E819E1" w:rsidRPr="00E0610F" w:rsidTr="00E819E1">
        <w:trPr>
          <w:trHeight w:val="788"/>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Operating cash flow ratio</w:t>
            </w:r>
          </w:p>
        </w:tc>
        <w:tc>
          <w:tcPr>
            <w:tcW w:w="0" w:type="auto"/>
            <w:hideMark/>
          </w:tcPr>
          <w:p w:rsidR="00E819E1" w:rsidRPr="00E0610F" w:rsidRDefault="00E819E1" w:rsidP="00E819E1">
            <w:pPr>
              <w:spacing w:after="12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Operating cash flow / Current liabilities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0.42</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0.58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0.55</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0.46</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0.52</w:t>
            </w:r>
          </w:p>
        </w:tc>
      </w:tr>
    </w:tbl>
    <w:p w:rsidR="003134E1" w:rsidRPr="00E0610F" w:rsidRDefault="003134E1" w:rsidP="003134E1">
      <w:pPr>
        <w:rPr>
          <w:rFonts w:cs="Arial"/>
          <w:lang w:val="en-GB"/>
        </w:rPr>
      </w:pPr>
    </w:p>
    <w:p w:rsidR="003134E1" w:rsidRPr="00E0610F" w:rsidRDefault="003134E1" w:rsidP="003134E1">
      <w:pPr>
        <w:pStyle w:val="Heading3"/>
        <w:rPr>
          <w:rFonts w:cs="Arial"/>
          <w:color w:val="auto"/>
          <w:lang w:val="en-GB"/>
        </w:rPr>
      </w:pPr>
      <w:bookmarkStart w:id="44" w:name="_Toc227762160"/>
      <w:proofErr w:type="gramStart"/>
      <w:r w:rsidRPr="00E0610F">
        <w:rPr>
          <w:rFonts w:cs="Arial"/>
          <w:color w:val="auto"/>
          <w:lang w:val="en-GB"/>
        </w:rPr>
        <w:t>Appendix A3.</w:t>
      </w:r>
      <w:proofErr w:type="gramEnd"/>
      <w:r w:rsidRPr="00E0610F">
        <w:rPr>
          <w:rFonts w:cs="Arial"/>
          <w:color w:val="auto"/>
          <w:lang w:val="en-GB"/>
        </w:rPr>
        <w:t xml:space="preserve"> Liquidity, Efficiency and Gearing Ratios</w:t>
      </w:r>
      <w:bookmarkEnd w:id="44"/>
    </w:p>
    <w:tbl>
      <w:tblPr>
        <w:tblStyle w:val="GridTable4Accent5"/>
        <w:tblW w:w="9778" w:type="dxa"/>
        <w:tblLook w:val="04A0" w:firstRow="1" w:lastRow="0" w:firstColumn="1" w:lastColumn="0" w:noHBand="0" w:noVBand="1"/>
      </w:tblPr>
      <w:tblGrid>
        <w:gridCol w:w="1910"/>
        <w:gridCol w:w="3688"/>
        <w:gridCol w:w="836"/>
        <w:gridCol w:w="836"/>
        <w:gridCol w:w="836"/>
        <w:gridCol w:w="836"/>
        <w:gridCol w:w="836"/>
      </w:tblGrid>
      <w:tr w:rsidR="00E819E1" w:rsidRPr="00E0610F" w:rsidTr="00E819E1">
        <w:trPr>
          <w:cnfStyle w:val="100000000000" w:firstRow="1" w:lastRow="0" w:firstColumn="0" w:lastColumn="0" w:oddVBand="0" w:evenVBand="0" w:oddHBand="0"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center"/>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Ratio</w:t>
            </w:r>
          </w:p>
        </w:tc>
        <w:tc>
          <w:tcPr>
            <w:tcW w:w="0" w:type="auto"/>
            <w:hideMark/>
          </w:tcPr>
          <w:p w:rsidR="00E819E1" w:rsidRPr="00E0610F" w:rsidRDefault="00E819E1" w:rsidP="00E819E1">
            <w:pPr>
              <w:spacing w:after="12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Formula</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2020</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2021</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2022</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2023</w:t>
            </w:r>
          </w:p>
        </w:tc>
        <w:tc>
          <w:tcPr>
            <w:tcW w:w="0" w:type="auto"/>
            <w:hideMark/>
          </w:tcPr>
          <w:p w:rsidR="00E819E1" w:rsidRPr="00E0610F" w:rsidRDefault="00E819E1" w:rsidP="00E819E1">
            <w:pPr>
              <w:spacing w:after="12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lang w:val="en-GB"/>
              </w:rPr>
            </w:pPr>
            <w:r w:rsidRPr="00E0610F">
              <w:rPr>
                <w:rFonts w:ascii="Times New Roman" w:eastAsia="Times New Roman" w:hAnsi="Times New Roman" w:cs="Times New Roman"/>
                <w:color w:val="auto"/>
                <w:szCs w:val="24"/>
                <w:lang w:val="en-GB"/>
              </w:rPr>
              <w:t>2024</w:t>
            </w:r>
          </w:p>
        </w:tc>
      </w:tr>
      <w:tr w:rsidR="00E819E1" w:rsidRPr="00E0610F" w:rsidTr="00E819E1">
        <w:trPr>
          <w:cnfStyle w:val="000000100000" w:firstRow="0" w:lastRow="0" w:firstColumn="0" w:lastColumn="0" w:oddVBand="0" w:evenVBand="0" w:oddHBand="1" w:evenHBand="0" w:firstRowFirstColumn="0" w:firstRowLastColumn="0" w:lastRowFirstColumn="0" w:lastRowLastColumn="0"/>
          <w:trHeight w:val="817"/>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Current ratio</w:t>
            </w:r>
          </w:p>
        </w:tc>
        <w:tc>
          <w:tcPr>
            <w:tcW w:w="0" w:type="auto"/>
            <w:hideMark/>
          </w:tcPr>
          <w:p w:rsidR="00E819E1" w:rsidRPr="00E0610F" w:rsidRDefault="00E819E1" w:rsidP="00E819E1">
            <w:pPr>
              <w:spacing w:after="12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Current assets / Current liabilities</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1.88</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1.38</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1.53</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1.73</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2.03</w:t>
            </w:r>
          </w:p>
        </w:tc>
      </w:tr>
      <w:tr w:rsidR="00E819E1" w:rsidRPr="00E0610F" w:rsidTr="00E819E1">
        <w:trPr>
          <w:trHeight w:val="805"/>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Quick ratio</w:t>
            </w:r>
          </w:p>
        </w:tc>
        <w:tc>
          <w:tcPr>
            <w:tcW w:w="0" w:type="auto"/>
            <w:hideMark/>
          </w:tcPr>
          <w:p w:rsidR="00E819E1" w:rsidRPr="00E0610F" w:rsidRDefault="00E819E1" w:rsidP="00E819E1">
            <w:pPr>
              <w:spacing w:after="12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(Current assets − Inventory) / Current liabilities</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1.59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1.08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1.05</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1.25</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1.61</w:t>
            </w:r>
          </w:p>
        </w:tc>
      </w:tr>
      <w:tr w:rsidR="00E819E1" w:rsidRPr="00E0610F" w:rsidTr="00E819E1">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Asset turnover</w:t>
            </w:r>
          </w:p>
        </w:tc>
        <w:tc>
          <w:tcPr>
            <w:tcW w:w="0" w:type="auto"/>
            <w:hideMark/>
          </w:tcPr>
          <w:p w:rsidR="00E819E1" w:rsidRPr="00E0610F" w:rsidRDefault="00E819E1" w:rsidP="00E819E1">
            <w:pPr>
              <w:spacing w:after="12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Revenue / Total assets</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0.60</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0.87</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0.99</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0.91</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0.80</w:t>
            </w:r>
          </w:p>
        </w:tc>
      </w:tr>
      <w:tr w:rsidR="00E819E1" w:rsidRPr="00E0610F" w:rsidTr="00E819E1">
        <w:trPr>
          <w:trHeight w:val="805"/>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Debt-to-equity ratio</w:t>
            </w:r>
          </w:p>
        </w:tc>
        <w:tc>
          <w:tcPr>
            <w:tcW w:w="0" w:type="auto"/>
            <w:hideMark/>
          </w:tcPr>
          <w:p w:rsidR="00E819E1" w:rsidRPr="00E0610F" w:rsidRDefault="00E819E1" w:rsidP="00E819E1">
            <w:pPr>
              <w:spacing w:after="12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Total liabilities / Equity</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1.28</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1.01</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0.82</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0.69</w:t>
            </w:r>
          </w:p>
        </w:tc>
        <w:tc>
          <w:tcPr>
            <w:tcW w:w="0" w:type="auto"/>
            <w:hideMark/>
          </w:tcPr>
          <w:p w:rsidR="00E819E1" w:rsidRPr="00E0610F" w:rsidRDefault="00E819E1" w:rsidP="00E819E1">
            <w:pPr>
              <w:spacing w:after="12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0.66</w:t>
            </w:r>
          </w:p>
        </w:tc>
      </w:tr>
      <w:tr w:rsidR="00E819E1" w:rsidRPr="00E0610F" w:rsidTr="00E819E1">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rsidR="00E819E1" w:rsidRPr="00E0610F" w:rsidRDefault="00E819E1" w:rsidP="00E819E1">
            <w:pPr>
              <w:spacing w:after="120"/>
              <w:jc w:val="left"/>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Debt ratio</w:t>
            </w:r>
          </w:p>
        </w:tc>
        <w:tc>
          <w:tcPr>
            <w:tcW w:w="0" w:type="auto"/>
            <w:hideMark/>
          </w:tcPr>
          <w:p w:rsidR="00E819E1" w:rsidRPr="00E0610F" w:rsidRDefault="00E819E1" w:rsidP="00E819E1">
            <w:pPr>
              <w:spacing w:after="12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Total liabilities / Total assets</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54.5%</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49.2%</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44.3%</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40.3%</w:t>
            </w:r>
          </w:p>
        </w:tc>
        <w:tc>
          <w:tcPr>
            <w:tcW w:w="0" w:type="auto"/>
            <w:hideMark/>
          </w:tcPr>
          <w:p w:rsidR="00E819E1" w:rsidRPr="00E0610F" w:rsidRDefault="00E819E1" w:rsidP="00E819E1">
            <w:pPr>
              <w:spacing w:after="12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val="en-GB"/>
              </w:rPr>
            </w:pPr>
            <w:r w:rsidRPr="00E0610F">
              <w:rPr>
                <w:rFonts w:ascii="Times New Roman" w:eastAsia="Times New Roman" w:hAnsi="Times New Roman" w:cs="Times New Roman"/>
                <w:szCs w:val="24"/>
                <w:lang w:val="en-GB"/>
              </w:rPr>
              <w:t>39.6%</w:t>
            </w:r>
          </w:p>
        </w:tc>
      </w:tr>
    </w:tbl>
    <w:p w:rsidR="00510B27" w:rsidRPr="00E0610F" w:rsidRDefault="00510B27" w:rsidP="003134E1">
      <w:pPr>
        <w:rPr>
          <w:rFonts w:cs="Arial"/>
          <w:lang w:val="en-GB"/>
        </w:rPr>
      </w:pPr>
    </w:p>
    <w:p w:rsidR="00510B27" w:rsidRPr="00E0610F" w:rsidRDefault="00510B27">
      <w:pPr>
        <w:rPr>
          <w:rFonts w:cs="Arial"/>
          <w:lang w:val="en-GB"/>
        </w:rPr>
      </w:pPr>
      <w:r w:rsidRPr="00E0610F">
        <w:rPr>
          <w:rFonts w:cs="Arial"/>
          <w:lang w:val="en-GB"/>
        </w:rPr>
        <w:br w:type="page"/>
      </w:r>
    </w:p>
    <w:p w:rsidR="003134E1" w:rsidRPr="00E0610F" w:rsidRDefault="00D64931" w:rsidP="00D64931">
      <w:pPr>
        <w:pStyle w:val="Heading2"/>
        <w:rPr>
          <w:color w:val="auto"/>
          <w:lang w:val="en-GB"/>
        </w:rPr>
      </w:pPr>
      <w:bookmarkStart w:id="45" w:name="_Toc227762161"/>
      <w:r w:rsidRPr="00E0610F">
        <w:rPr>
          <w:color w:val="auto"/>
          <w:lang w:val="en-GB"/>
        </w:rPr>
        <w:lastRenderedPageBreak/>
        <w:t>Appendix B: Graphs</w:t>
      </w:r>
      <w:bookmarkEnd w:id="45"/>
    </w:p>
    <w:p w:rsidR="00D64931" w:rsidRPr="00E0610F" w:rsidRDefault="00D64931" w:rsidP="00D64931">
      <w:pPr>
        <w:pStyle w:val="Heading3"/>
        <w:rPr>
          <w:color w:val="auto"/>
          <w:lang w:val="en-GB"/>
        </w:rPr>
      </w:pPr>
      <w:bookmarkStart w:id="46" w:name="_Hlk227553949"/>
      <w:bookmarkStart w:id="47" w:name="_Toc227762162"/>
      <w:r w:rsidRPr="00E0610F">
        <w:rPr>
          <w:color w:val="auto"/>
          <w:lang w:val="en-GB"/>
        </w:rPr>
        <w:t>Figure B1. Profit Margin Trend, 202</w:t>
      </w:r>
      <w:bookmarkEnd w:id="46"/>
      <w:r w:rsidR="00D87BDA" w:rsidRPr="00E0610F">
        <w:rPr>
          <w:color w:val="auto"/>
          <w:lang w:val="en-GB"/>
        </w:rPr>
        <w:t>0-2024</w:t>
      </w:r>
      <w:bookmarkEnd w:id="47"/>
    </w:p>
    <w:p w:rsidR="00510B27" w:rsidRPr="00E0610F" w:rsidRDefault="009012C6" w:rsidP="009012C6">
      <w:pPr>
        <w:jc w:val="center"/>
        <w:rPr>
          <w:rFonts w:cs="Arial"/>
          <w:lang w:val="en-GB"/>
        </w:rPr>
      </w:pPr>
      <w:r w:rsidRPr="00E0610F">
        <w:rPr>
          <w:rFonts w:cs="Arial"/>
          <w:noProof/>
          <w:lang w:val="en-GB" w:eastAsia="en-GB"/>
        </w:rPr>
        <w:drawing>
          <wp:inline distT="0" distB="0" distL="0" distR="0" wp14:anchorId="0569B89B" wp14:editId="43DBC556">
            <wp:extent cx="5085471" cy="3108479"/>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3199" cy="3113202"/>
                    </a:xfrm>
                    <a:prstGeom prst="rect">
                      <a:avLst/>
                    </a:prstGeom>
                    <a:noFill/>
                  </pic:spPr>
                </pic:pic>
              </a:graphicData>
            </a:graphic>
          </wp:inline>
        </w:drawing>
      </w:r>
    </w:p>
    <w:p w:rsidR="005B56FB" w:rsidRPr="00E0610F" w:rsidRDefault="00D64931" w:rsidP="00D64931">
      <w:pPr>
        <w:pStyle w:val="Heading3"/>
        <w:rPr>
          <w:color w:val="auto"/>
          <w:lang w:val="en-GB"/>
        </w:rPr>
      </w:pPr>
      <w:bookmarkStart w:id="48" w:name="_Toc227762163"/>
      <w:r w:rsidRPr="00E0610F">
        <w:rPr>
          <w:color w:val="auto"/>
          <w:lang w:val="en-GB"/>
        </w:rPr>
        <w:t xml:space="preserve">Figure B2. Return on Assets and Equity Trend, </w:t>
      </w:r>
      <w:r w:rsidR="00D87BDA" w:rsidRPr="00E0610F">
        <w:rPr>
          <w:color w:val="auto"/>
          <w:lang w:val="en-GB"/>
        </w:rPr>
        <w:t>2020-2024</w:t>
      </w:r>
      <w:bookmarkEnd w:id="48"/>
    </w:p>
    <w:p w:rsidR="00EE006D" w:rsidRPr="00E0610F" w:rsidRDefault="009012C6" w:rsidP="00D64931">
      <w:pPr>
        <w:jc w:val="center"/>
        <w:rPr>
          <w:rFonts w:cs="Arial"/>
          <w:lang w:val="en-GB"/>
        </w:rPr>
      </w:pPr>
      <w:r w:rsidRPr="00E0610F">
        <w:rPr>
          <w:rFonts w:cs="Arial"/>
          <w:noProof/>
          <w:lang w:val="en-GB" w:eastAsia="en-GB"/>
        </w:rPr>
        <w:drawing>
          <wp:inline distT="0" distB="0" distL="0" distR="0" wp14:anchorId="612E4277" wp14:editId="46B8C159">
            <wp:extent cx="4971186" cy="3038622"/>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0719" cy="3050561"/>
                    </a:xfrm>
                    <a:prstGeom prst="rect">
                      <a:avLst/>
                    </a:prstGeom>
                    <a:noFill/>
                  </pic:spPr>
                </pic:pic>
              </a:graphicData>
            </a:graphic>
          </wp:inline>
        </w:drawing>
      </w:r>
    </w:p>
    <w:p w:rsidR="00D64931" w:rsidRPr="00E0610F" w:rsidRDefault="00D64931" w:rsidP="00964A7B">
      <w:pPr>
        <w:pStyle w:val="Heading3"/>
        <w:rPr>
          <w:color w:val="auto"/>
          <w:lang w:val="en-GB"/>
        </w:rPr>
      </w:pPr>
      <w:bookmarkStart w:id="49" w:name="_Toc227762164"/>
      <w:r w:rsidRPr="00E0610F">
        <w:rPr>
          <w:color w:val="auto"/>
          <w:lang w:val="en-GB"/>
        </w:rPr>
        <w:lastRenderedPageBreak/>
        <w:t>Figure B</w:t>
      </w:r>
      <w:r w:rsidR="00964A7B" w:rsidRPr="00E0610F">
        <w:rPr>
          <w:color w:val="auto"/>
          <w:lang w:val="en-GB"/>
        </w:rPr>
        <w:t>3</w:t>
      </w:r>
      <w:r w:rsidRPr="00E0610F">
        <w:rPr>
          <w:color w:val="auto"/>
          <w:lang w:val="en-GB"/>
        </w:rPr>
        <w:t xml:space="preserve">. </w:t>
      </w:r>
      <w:r w:rsidR="00964A7B" w:rsidRPr="00E0610F">
        <w:rPr>
          <w:color w:val="auto"/>
          <w:lang w:val="en-GB"/>
        </w:rPr>
        <w:t>Basic EPS</w:t>
      </w:r>
      <w:r w:rsidRPr="00E0610F">
        <w:rPr>
          <w:color w:val="auto"/>
          <w:lang w:val="en-GB"/>
        </w:rPr>
        <w:t xml:space="preserve"> Trend, </w:t>
      </w:r>
      <w:r w:rsidR="00D87BDA" w:rsidRPr="00E0610F">
        <w:rPr>
          <w:color w:val="auto"/>
          <w:lang w:val="en-GB"/>
        </w:rPr>
        <w:t>2020-2024</w:t>
      </w:r>
      <w:bookmarkEnd w:id="49"/>
    </w:p>
    <w:p w:rsidR="00EE006D" w:rsidRPr="00E0610F" w:rsidRDefault="009012C6" w:rsidP="00EE006D">
      <w:pPr>
        <w:jc w:val="center"/>
        <w:rPr>
          <w:rFonts w:cs="Arial"/>
          <w:lang w:val="en-GB"/>
        </w:rPr>
      </w:pPr>
      <w:r w:rsidRPr="00E0610F">
        <w:rPr>
          <w:rFonts w:cs="Arial"/>
          <w:noProof/>
          <w:lang w:val="en-GB" w:eastAsia="en-GB"/>
        </w:rPr>
        <w:drawing>
          <wp:inline distT="0" distB="0" distL="0" distR="0" wp14:anchorId="38DE3F4F" wp14:editId="412F9A95">
            <wp:extent cx="5367460" cy="3286093"/>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82572" cy="3295345"/>
                    </a:xfrm>
                    <a:prstGeom prst="rect">
                      <a:avLst/>
                    </a:prstGeom>
                    <a:noFill/>
                  </pic:spPr>
                </pic:pic>
              </a:graphicData>
            </a:graphic>
          </wp:inline>
        </w:drawing>
      </w:r>
    </w:p>
    <w:p w:rsidR="00EE006D" w:rsidRPr="00E0610F" w:rsidRDefault="00964A7B" w:rsidP="00964A7B">
      <w:pPr>
        <w:pStyle w:val="Heading3"/>
        <w:rPr>
          <w:color w:val="auto"/>
          <w:lang w:val="en-GB"/>
        </w:rPr>
      </w:pPr>
      <w:bookmarkStart w:id="50" w:name="_Toc227762165"/>
      <w:r w:rsidRPr="00E0610F">
        <w:rPr>
          <w:color w:val="auto"/>
          <w:lang w:val="en-GB"/>
        </w:rPr>
        <w:t xml:space="preserve">Figure B4. Operating Cash Flow Trend, </w:t>
      </w:r>
      <w:r w:rsidR="00D87BDA" w:rsidRPr="00E0610F">
        <w:rPr>
          <w:color w:val="auto"/>
          <w:lang w:val="en-GB"/>
        </w:rPr>
        <w:t>2020-2024</w:t>
      </w:r>
      <w:bookmarkEnd w:id="50"/>
    </w:p>
    <w:p w:rsidR="00964A7B" w:rsidRPr="00E0610F" w:rsidRDefault="009012C6" w:rsidP="00964A7B">
      <w:pPr>
        <w:jc w:val="center"/>
        <w:rPr>
          <w:rFonts w:cs="Arial"/>
          <w:lang w:val="en-GB"/>
        </w:rPr>
      </w:pPr>
      <w:r w:rsidRPr="00E0610F">
        <w:rPr>
          <w:rFonts w:cs="Arial"/>
          <w:noProof/>
          <w:lang w:val="en-GB" w:eastAsia="en-GB"/>
        </w:rPr>
        <w:drawing>
          <wp:inline distT="0" distB="0" distL="0" distR="0" wp14:anchorId="5A4A1AA6" wp14:editId="67ED27F2">
            <wp:extent cx="5304899" cy="324260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0436" cy="3245987"/>
                    </a:xfrm>
                    <a:prstGeom prst="rect">
                      <a:avLst/>
                    </a:prstGeom>
                    <a:noFill/>
                  </pic:spPr>
                </pic:pic>
              </a:graphicData>
            </a:graphic>
          </wp:inline>
        </w:drawing>
      </w:r>
    </w:p>
    <w:p w:rsidR="00964A7B" w:rsidRPr="00E0610F" w:rsidRDefault="00964A7B">
      <w:pPr>
        <w:rPr>
          <w:rFonts w:cs="Arial"/>
          <w:lang w:val="en-GB"/>
        </w:rPr>
      </w:pPr>
      <w:r w:rsidRPr="00E0610F">
        <w:rPr>
          <w:rFonts w:cs="Arial"/>
          <w:lang w:val="en-GB"/>
        </w:rPr>
        <w:br w:type="page"/>
      </w:r>
    </w:p>
    <w:p w:rsidR="00EE006D" w:rsidRPr="00E0610F" w:rsidRDefault="00964A7B" w:rsidP="00964A7B">
      <w:pPr>
        <w:pStyle w:val="Heading3"/>
        <w:rPr>
          <w:color w:val="auto"/>
          <w:lang w:val="en-GB"/>
        </w:rPr>
      </w:pPr>
      <w:bookmarkStart w:id="51" w:name="_Toc227762166"/>
      <w:r w:rsidRPr="00E0610F">
        <w:rPr>
          <w:color w:val="auto"/>
          <w:lang w:val="en-GB"/>
        </w:rPr>
        <w:lastRenderedPageBreak/>
        <w:t xml:space="preserve">Figure B5. Liquidity Trend, </w:t>
      </w:r>
      <w:r w:rsidR="00D87BDA" w:rsidRPr="00E0610F">
        <w:rPr>
          <w:color w:val="auto"/>
          <w:lang w:val="en-GB"/>
        </w:rPr>
        <w:t>2020-2024</w:t>
      </w:r>
      <w:bookmarkEnd w:id="51"/>
    </w:p>
    <w:p w:rsidR="00EE006D" w:rsidRPr="00E0610F" w:rsidRDefault="004C6FAB" w:rsidP="00EE006D">
      <w:pPr>
        <w:jc w:val="center"/>
        <w:rPr>
          <w:rFonts w:cs="Arial"/>
          <w:lang w:val="en-GB"/>
        </w:rPr>
      </w:pPr>
      <w:r w:rsidRPr="00E0610F">
        <w:rPr>
          <w:noProof/>
          <w:lang w:val="en-GB" w:eastAsia="en-GB"/>
        </w:rPr>
        <w:drawing>
          <wp:inline distT="0" distB="0" distL="0" distR="0" wp14:anchorId="1022605C" wp14:editId="11D75D0D">
            <wp:extent cx="5155809" cy="2978053"/>
            <wp:effectExtent l="0" t="0" r="6985" b="13335"/>
            <wp:docPr id="18" name="Chart 1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0000000-0008-0000-04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E006D" w:rsidRPr="00E0610F" w:rsidRDefault="00964A7B" w:rsidP="00964A7B">
      <w:pPr>
        <w:pStyle w:val="Heading3"/>
        <w:rPr>
          <w:color w:val="auto"/>
          <w:lang w:val="en-GB"/>
        </w:rPr>
      </w:pPr>
      <w:bookmarkStart w:id="52" w:name="_Toc227762167"/>
      <w:r w:rsidRPr="00E0610F">
        <w:rPr>
          <w:color w:val="auto"/>
          <w:lang w:val="en-GB"/>
        </w:rPr>
        <w:t xml:space="preserve">Figure B6. Asset Turnover Trend, </w:t>
      </w:r>
      <w:r w:rsidR="00D87BDA" w:rsidRPr="00E0610F">
        <w:rPr>
          <w:color w:val="auto"/>
          <w:lang w:val="en-GB"/>
        </w:rPr>
        <w:t>2020-2024</w:t>
      </w:r>
      <w:bookmarkEnd w:id="52"/>
    </w:p>
    <w:p w:rsidR="00964A7B" w:rsidRPr="00E0610F" w:rsidRDefault="004C6FAB" w:rsidP="00964A7B">
      <w:pPr>
        <w:jc w:val="center"/>
        <w:rPr>
          <w:rFonts w:cs="Arial"/>
          <w:lang w:val="en-GB"/>
        </w:rPr>
      </w:pPr>
      <w:r w:rsidRPr="00E0610F">
        <w:rPr>
          <w:rFonts w:cs="Arial"/>
          <w:noProof/>
          <w:lang w:val="en-GB" w:eastAsia="en-GB"/>
        </w:rPr>
        <w:drawing>
          <wp:inline distT="0" distB="0" distL="0" distR="0" wp14:anchorId="0E1974F9" wp14:editId="01A91F3F">
            <wp:extent cx="5468759" cy="3348111"/>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79492" cy="3354682"/>
                    </a:xfrm>
                    <a:prstGeom prst="rect">
                      <a:avLst/>
                    </a:prstGeom>
                    <a:noFill/>
                  </pic:spPr>
                </pic:pic>
              </a:graphicData>
            </a:graphic>
          </wp:inline>
        </w:drawing>
      </w:r>
    </w:p>
    <w:p w:rsidR="00964A7B" w:rsidRPr="00E0610F" w:rsidRDefault="00964A7B">
      <w:pPr>
        <w:rPr>
          <w:rFonts w:cs="Arial"/>
          <w:lang w:val="en-GB"/>
        </w:rPr>
      </w:pPr>
      <w:r w:rsidRPr="00E0610F">
        <w:rPr>
          <w:rFonts w:cs="Arial"/>
          <w:lang w:val="en-GB"/>
        </w:rPr>
        <w:br w:type="page"/>
      </w:r>
    </w:p>
    <w:p w:rsidR="00D64931" w:rsidRPr="00E0610F" w:rsidRDefault="00964A7B" w:rsidP="00964A7B">
      <w:pPr>
        <w:pStyle w:val="Heading3"/>
        <w:rPr>
          <w:color w:val="auto"/>
          <w:lang w:val="en-GB"/>
        </w:rPr>
      </w:pPr>
      <w:bookmarkStart w:id="53" w:name="_Toc227762168"/>
      <w:r w:rsidRPr="00E0610F">
        <w:rPr>
          <w:color w:val="auto"/>
          <w:lang w:val="en-GB"/>
        </w:rPr>
        <w:lastRenderedPageBreak/>
        <w:t xml:space="preserve">Figure B7. Gearing Ratio Trend, </w:t>
      </w:r>
      <w:r w:rsidR="00D87BDA" w:rsidRPr="00E0610F">
        <w:rPr>
          <w:color w:val="auto"/>
          <w:lang w:val="en-GB"/>
        </w:rPr>
        <w:t>2020-2024</w:t>
      </w:r>
      <w:bookmarkEnd w:id="53"/>
    </w:p>
    <w:p w:rsidR="003134E1" w:rsidRPr="00E0610F" w:rsidRDefault="004C6FAB" w:rsidP="00EE006D">
      <w:pPr>
        <w:jc w:val="center"/>
        <w:rPr>
          <w:rFonts w:cs="Arial"/>
          <w:lang w:val="en-GB"/>
        </w:rPr>
      </w:pPr>
      <w:r w:rsidRPr="00E0610F">
        <w:rPr>
          <w:rFonts w:cs="Arial"/>
          <w:noProof/>
          <w:lang w:val="en-GB" w:eastAsia="en-GB"/>
        </w:rPr>
        <w:drawing>
          <wp:inline distT="0" distB="0" distL="0" distR="0" wp14:anchorId="50205C7F" wp14:editId="04895F37">
            <wp:extent cx="5431480" cy="33199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8314" cy="3330265"/>
                    </a:xfrm>
                    <a:prstGeom prst="rect">
                      <a:avLst/>
                    </a:prstGeom>
                    <a:noFill/>
                  </pic:spPr>
                </pic:pic>
              </a:graphicData>
            </a:graphic>
          </wp:inline>
        </w:drawing>
      </w:r>
      <w:r w:rsidR="003134E1" w:rsidRPr="00E0610F">
        <w:rPr>
          <w:rFonts w:cs="Arial"/>
          <w:lang w:val="en-GB"/>
        </w:rPr>
        <w:br w:type="page"/>
      </w:r>
    </w:p>
    <w:p w:rsidR="003134E1" w:rsidRPr="00E0610F" w:rsidRDefault="003134E1" w:rsidP="001B5F04">
      <w:pPr>
        <w:pStyle w:val="Heading2"/>
        <w:rPr>
          <w:rFonts w:cs="Arial"/>
          <w:color w:val="auto"/>
          <w:lang w:val="en-GB"/>
        </w:rPr>
      </w:pPr>
      <w:bookmarkStart w:id="54" w:name="_Toc227762169"/>
      <w:r w:rsidRPr="00E0610F">
        <w:rPr>
          <w:rFonts w:cs="Arial"/>
          <w:color w:val="auto"/>
          <w:lang w:val="en-GB"/>
        </w:rPr>
        <w:lastRenderedPageBreak/>
        <w:t xml:space="preserve">Appendix </w:t>
      </w:r>
      <w:r w:rsidR="00964A7B" w:rsidRPr="00E0610F">
        <w:rPr>
          <w:rFonts w:cs="Arial"/>
          <w:color w:val="auto"/>
          <w:lang w:val="en-GB"/>
        </w:rPr>
        <w:t>C</w:t>
      </w:r>
      <w:r w:rsidRPr="00E0610F">
        <w:rPr>
          <w:rFonts w:cs="Arial"/>
          <w:color w:val="auto"/>
          <w:lang w:val="en-GB"/>
        </w:rPr>
        <w:t>: Investment Appraisal Calculations</w:t>
      </w:r>
      <w:bookmarkEnd w:id="54"/>
    </w:p>
    <w:p w:rsidR="003134E1" w:rsidRPr="00E0610F" w:rsidRDefault="003134E1" w:rsidP="001B5F04">
      <w:pPr>
        <w:pStyle w:val="Heading3"/>
        <w:rPr>
          <w:rFonts w:cs="Arial"/>
          <w:color w:val="auto"/>
          <w:lang w:val="en-GB"/>
        </w:rPr>
      </w:pPr>
      <w:bookmarkStart w:id="55" w:name="_Toc227762170"/>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1.</w:t>
      </w:r>
      <w:proofErr w:type="gramEnd"/>
      <w:r w:rsidRPr="00E0610F">
        <w:rPr>
          <w:rFonts w:cs="Arial"/>
          <w:color w:val="auto"/>
          <w:lang w:val="en-GB"/>
        </w:rPr>
        <w:t xml:space="preserve"> Project Data</w:t>
      </w:r>
      <w:bookmarkEnd w:id="55"/>
    </w:p>
    <w:tbl>
      <w:tblPr>
        <w:tblStyle w:val="TableGrid"/>
        <w:tblW w:w="9608" w:type="dxa"/>
        <w:tblLook w:val="04A0" w:firstRow="1" w:lastRow="0" w:firstColumn="1" w:lastColumn="0" w:noHBand="0" w:noVBand="1"/>
      </w:tblPr>
      <w:tblGrid>
        <w:gridCol w:w="1168"/>
        <w:gridCol w:w="3120"/>
        <w:gridCol w:w="1064"/>
        <w:gridCol w:w="1064"/>
        <w:gridCol w:w="1064"/>
        <w:gridCol w:w="1064"/>
        <w:gridCol w:w="1064"/>
      </w:tblGrid>
      <w:tr w:rsidR="003134E1" w:rsidRPr="00E0610F" w:rsidTr="003134E1">
        <w:trPr>
          <w:trHeight w:val="452"/>
        </w:trPr>
        <w:tc>
          <w:tcPr>
            <w:tcW w:w="0" w:type="auto"/>
            <w:hideMark/>
          </w:tcPr>
          <w:p w:rsidR="003134E1" w:rsidRPr="00E0610F" w:rsidRDefault="003134E1" w:rsidP="003134E1">
            <w:pPr>
              <w:spacing w:before="120" w:after="120"/>
              <w:jc w:val="center"/>
              <w:rPr>
                <w:rFonts w:eastAsia="Times New Roman" w:cs="Arial"/>
                <w:b/>
                <w:bCs/>
                <w:szCs w:val="24"/>
                <w:lang w:val="en-GB"/>
              </w:rPr>
            </w:pPr>
            <w:r w:rsidRPr="00E0610F">
              <w:rPr>
                <w:rFonts w:eastAsia="Times New Roman" w:cs="Arial"/>
                <w:b/>
                <w:bCs/>
                <w:szCs w:val="24"/>
                <w:lang w:val="en-GB"/>
              </w:rPr>
              <w:t>Project</w:t>
            </w:r>
          </w:p>
        </w:tc>
        <w:tc>
          <w:tcPr>
            <w:tcW w:w="0" w:type="auto"/>
            <w:hideMark/>
          </w:tcPr>
          <w:p w:rsidR="003134E1" w:rsidRPr="00E0610F" w:rsidRDefault="003134E1" w:rsidP="003134E1">
            <w:pPr>
              <w:spacing w:before="120" w:after="120"/>
              <w:jc w:val="right"/>
              <w:rPr>
                <w:rFonts w:eastAsia="Times New Roman" w:cs="Arial"/>
                <w:b/>
                <w:bCs/>
                <w:szCs w:val="24"/>
                <w:lang w:val="en-GB"/>
              </w:rPr>
            </w:pPr>
            <w:r w:rsidRPr="00E0610F">
              <w:rPr>
                <w:rFonts w:eastAsia="Times New Roman" w:cs="Arial"/>
                <w:b/>
                <w:bCs/>
                <w:szCs w:val="24"/>
                <w:lang w:val="en-GB"/>
              </w:rPr>
              <w:t>Initial Investment (£m)</w:t>
            </w:r>
          </w:p>
        </w:tc>
        <w:tc>
          <w:tcPr>
            <w:tcW w:w="0" w:type="auto"/>
            <w:hideMark/>
          </w:tcPr>
          <w:p w:rsidR="003134E1" w:rsidRPr="00E0610F" w:rsidRDefault="003134E1" w:rsidP="003134E1">
            <w:pPr>
              <w:spacing w:before="120" w:after="120"/>
              <w:jc w:val="right"/>
              <w:rPr>
                <w:rFonts w:eastAsia="Times New Roman" w:cs="Arial"/>
                <w:b/>
                <w:bCs/>
                <w:szCs w:val="24"/>
                <w:lang w:val="en-GB"/>
              </w:rPr>
            </w:pPr>
            <w:r w:rsidRPr="00E0610F">
              <w:rPr>
                <w:rFonts w:eastAsia="Times New Roman" w:cs="Arial"/>
                <w:b/>
                <w:bCs/>
                <w:szCs w:val="24"/>
                <w:lang w:val="en-GB"/>
              </w:rPr>
              <w:t>Year 1</w:t>
            </w:r>
          </w:p>
        </w:tc>
        <w:tc>
          <w:tcPr>
            <w:tcW w:w="0" w:type="auto"/>
            <w:hideMark/>
          </w:tcPr>
          <w:p w:rsidR="003134E1" w:rsidRPr="00E0610F" w:rsidRDefault="003134E1" w:rsidP="003134E1">
            <w:pPr>
              <w:spacing w:before="120" w:after="120"/>
              <w:jc w:val="right"/>
              <w:rPr>
                <w:rFonts w:eastAsia="Times New Roman" w:cs="Arial"/>
                <w:b/>
                <w:bCs/>
                <w:szCs w:val="24"/>
                <w:lang w:val="en-GB"/>
              </w:rPr>
            </w:pPr>
            <w:r w:rsidRPr="00E0610F">
              <w:rPr>
                <w:rFonts w:eastAsia="Times New Roman" w:cs="Arial"/>
                <w:b/>
                <w:bCs/>
                <w:szCs w:val="24"/>
                <w:lang w:val="en-GB"/>
              </w:rPr>
              <w:t>Year 2</w:t>
            </w:r>
          </w:p>
        </w:tc>
        <w:tc>
          <w:tcPr>
            <w:tcW w:w="0" w:type="auto"/>
            <w:hideMark/>
          </w:tcPr>
          <w:p w:rsidR="003134E1" w:rsidRPr="00E0610F" w:rsidRDefault="003134E1" w:rsidP="003134E1">
            <w:pPr>
              <w:spacing w:before="120" w:after="120"/>
              <w:jc w:val="right"/>
              <w:rPr>
                <w:rFonts w:eastAsia="Times New Roman" w:cs="Arial"/>
                <w:b/>
                <w:bCs/>
                <w:szCs w:val="24"/>
                <w:lang w:val="en-GB"/>
              </w:rPr>
            </w:pPr>
            <w:r w:rsidRPr="00E0610F">
              <w:rPr>
                <w:rFonts w:eastAsia="Times New Roman" w:cs="Arial"/>
                <w:b/>
                <w:bCs/>
                <w:szCs w:val="24"/>
                <w:lang w:val="en-GB"/>
              </w:rPr>
              <w:t>Year 3</w:t>
            </w:r>
          </w:p>
        </w:tc>
        <w:tc>
          <w:tcPr>
            <w:tcW w:w="0" w:type="auto"/>
            <w:hideMark/>
          </w:tcPr>
          <w:p w:rsidR="003134E1" w:rsidRPr="00E0610F" w:rsidRDefault="003134E1" w:rsidP="003134E1">
            <w:pPr>
              <w:spacing w:before="120" w:after="120"/>
              <w:jc w:val="right"/>
              <w:rPr>
                <w:rFonts w:eastAsia="Times New Roman" w:cs="Arial"/>
                <w:b/>
                <w:bCs/>
                <w:szCs w:val="24"/>
                <w:lang w:val="en-GB"/>
              </w:rPr>
            </w:pPr>
            <w:r w:rsidRPr="00E0610F">
              <w:rPr>
                <w:rFonts w:eastAsia="Times New Roman" w:cs="Arial"/>
                <w:b/>
                <w:bCs/>
                <w:szCs w:val="24"/>
                <w:lang w:val="en-GB"/>
              </w:rPr>
              <w:t>Year 4</w:t>
            </w:r>
          </w:p>
        </w:tc>
        <w:tc>
          <w:tcPr>
            <w:tcW w:w="0" w:type="auto"/>
            <w:hideMark/>
          </w:tcPr>
          <w:p w:rsidR="003134E1" w:rsidRPr="00E0610F" w:rsidRDefault="003134E1" w:rsidP="003134E1">
            <w:pPr>
              <w:spacing w:before="120" w:after="120"/>
              <w:jc w:val="right"/>
              <w:rPr>
                <w:rFonts w:eastAsia="Times New Roman" w:cs="Arial"/>
                <w:b/>
                <w:bCs/>
                <w:szCs w:val="24"/>
                <w:lang w:val="en-GB"/>
              </w:rPr>
            </w:pPr>
            <w:r w:rsidRPr="00E0610F">
              <w:rPr>
                <w:rFonts w:eastAsia="Times New Roman" w:cs="Arial"/>
                <w:b/>
                <w:bCs/>
                <w:szCs w:val="24"/>
                <w:lang w:val="en-GB"/>
              </w:rPr>
              <w:t>Year 5</w:t>
            </w:r>
          </w:p>
        </w:tc>
      </w:tr>
      <w:tr w:rsidR="003134E1" w:rsidRPr="00E0610F" w:rsidTr="003134E1">
        <w:trPr>
          <w:trHeight w:val="436"/>
        </w:trPr>
        <w:tc>
          <w:tcPr>
            <w:tcW w:w="0" w:type="auto"/>
            <w:hideMark/>
          </w:tcPr>
          <w:p w:rsidR="003134E1" w:rsidRPr="00E0610F" w:rsidRDefault="003134E1" w:rsidP="003134E1">
            <w:pPr>
              <w:spacing w:before="120" w:after="120"/>
              <w:jc w:val="left"/>
              <w:rPr>
                <w:rFonts w:eastAsia="Times New Roman" w:cs="Arial"/>
                <w:szCs w:val="24"/>
                <w:lang w:val="en-GB"/>
              </w:rPr>
            </w:pPr>
            <w:r w:rsidRPr="00E0610F">
              <w:rPr>
                <w:rFonts w:eastAsia="Times New Roman" w:cs="Arial"/>
                <w:szCs w:val="24"/>
                <w:lang w:val="en-GB"/>
              </w:rPr>
              <w:t>A</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12</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14</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8</w:t>
            </w:r>
          </w:p>
        </w:tc>
      </w:tr>
      <w:tr w:rsidR="003134E1" w:rsidRPr="00E0610F" w:rsidTr="003134E1">
        <w:trPr>
          <w:trHeight w:val="452"/>
        </w:trPr>
        <w:tc>
          <w:tcPr>
            <w:tcW w:w="0" w:type="auto"/>
            <w:hideMark/>
          </w:tcPr>
          <w:p w:rsidR="003134E1" w:rsidRPr="00E0610F" w:rsidRDefault="003134E1" w:rsidP="003134E1">
            <w:pPr>
              <w:spacing w:before="120" w:after="120"/>
              <w:jc w:val="left"/>
              <w:rPr>
                <w:rFonts w:eastAsia="Times New Roman" w:cs="Arial"/>
                <w:szCs w:val="24"/>
                <w:lang w:val="en-GB"/>
              </w:rPr>
            </w:pPr>
            <w:r w:rsidRPr="00E0610F">
              <w:rPr>
                <w:rFonts w:eastAsia="Times New Roman" w:cs="Arial"/>
                <w:szCs w:val="24"/>
                <w:lang w:val="en-GB"/>
              </w:rPr>
              <w:t>B</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11</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11</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11</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11</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11</w:t>
            </w:r>
          </w:p>
        </w:tc>
      </w:tr>
      <w:tr w:rsidR="003134E1" w:rsidRPr="00E0610F" w:rsidTr="003134E1">
        <w:trPr>
          <w:trHeight w:val="436"/>
        </w:trPr>
        <w:tc>
          <w:tcPr>
            <w:tcW w:w="0" w:type="auto"/>
            <w:hideMark/>
          </w:tcPr>
          <w:p w:rsidR="003134E1" w:rsidRPr="00E0610F" w:rsidRDefault="003134E1" w:rsidP="003134E1">
            <w:pPr>
              <w:spacing w:before="120" w:after="120"/>
              <w:jc w:val="left"/>
              <w:rPr>
                <w:rFonts w:eastAsia="Times New Roman" w:cs="Arial"/>
                <w:szCs w:val="24"/>
                <w:lang w:val="en-GB"/>
              </w:rPr>
            </w:pPr>
            <w:r w:rsidRPr="00E0610F">
              <w:rPr>
                <w:rFonts w:eastAsia="Times New Roman" w:cs="Arial"/>
                <w:szCs w:val="24"/>
                <w:lang w:val="en-GB"/>
              </w:rPr>
              <w:t>C</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5</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10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20</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25</w:t>
            </w:r>
          </w:p>
        </w:tc>
        <w:tc>
          <w:tcPr>
            <w:tcW w:w="0" w:type="auto"/>
            <w:hideMark/>
          </w:tcPr>
          <w:p w:rsidR="003134E1" w:rsidRPr="00E0610F" w:rsidRDefault="003134E1" w:rsidP="003134E1">
            <w:pPr>
              <w:spacing w:before="120" w:after="120"/>
              <w:jc w:val="right"/>
              <w:rPr>
                <w:rFonts w:eastAsia="Times New Roman" w:cs="Arial"/>
                <w:szCs w:val="24"/>
                <w:lang w:val="en-GB"/>
              </w:rPr>
            </w:pPr>
            <w:r w:rsidRPr="00E0610F">
              <w:rPr>
                <w:rFonts w:eastAsia="Times New Roman" w:cs="Arial"/>
                <w:szCs w:val="24"/>
                <w:lang w:val="en-GB"/>
              </w:rPr>
              <w:t>5</w:t>
            </w:r>
          </w:p>
        </w:tc>
      </w:tr>
    </w:tbl>
    <w:p w:rsidR="003134E1" w:rsidRPr="00E0610F" w:rsidRDefault="003134E1" w:rsidP="003134E1">
      <w:pPr>
        <w:spacing w:line="240" w:lineRule="auto"/>
        <w:jc w:val="left"/>
        <w:rPr>
          <w:rFonts w:eastAsia="Times New Roman" w:cs="Arial"/>
          <w:b/>
          <w:szCs w:val="24"/>
          <w:lang w:val="en-GB"/>
        </w:rPr>
      </w:pPr>
      <w:r w:rsidRPr="00E0610F">
        <w:rPr>
          <w:rFonts w:eastAsia="Times New Roman" w:cs="Arial"/>
          <w:b/>
          <w:szCs w:val="24"/>
          <w:lang w:val="en-GB"/>
        </w:rPr>
        <w:t>Annual depreciation for each project:</w:t>
      </w:r>
    </w:p>
    <w:p w:rsidR="003134E1" w:rsidRPr="00E0610F" w:rsidRDefault="003134E1" w:rsidP="003134E1">
      <w:pPr>
        <w:numPr>
          <w:ilvl w:val="0"/>
          <w:numId w:val="9"/>
        </w:numPr>
        <w:contextualSpacing/>
        <w:rPr>
          <w:rFonts w:cs="Arial"/>
          <w:lang w:val="en-GB"/>
        </w:rPr>
      </w:pPr>
      <w:r w:rsidRPr="00E0610F">
        <w:rPr>
          <w:rFonts w:cs="Arial"/>
          <w:lang w:val="en-GB"/>
        </w:rPr>
        <w:t>Depreciation = £50m / 5 years = £10m per year.</w:t>
      </w:r>
    </w:p>
    <w:p w:rsidR="001B5F04" w:rsidRPr="00E0610F" w:rsidRDefault="001B5F04" w:rsidP="001B5F04">
      <w:pPr>
        <w:rPr>
          <w:rFonts w:cs="Arial"/>
          <w:lang w:val="en-GB"/>
        </w:rPr>
      </w:pPr>
    </w:p>
    <w:p w:rsidR="003134E1" w:rsidRPr="00E0610F" w:rsidRDefault="003134E1" w:rsidP="001B5F04">
      <w:pPr>
        <w:pStyle w:val="Heading3"/>
        <w:rPr>
          <w:rFonts w:cs="Arial"/>
          <w:color w:val="auto"/>
          <w:lang w:val="en-GB"/>
        </w:rPr>
      </w:pPr>
      <w:bookmarkStart w:id="56" w:name="_Toc227762171"/>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2.</w:t>
      </w:r>
      <w:proofErr w:type="gramEnd"/>
      <w:r w:rsidRPr="00E0610F">
        <w:rPr>
          <w:rFonts w:cs="Arial"/>
          <w:color w:val="auto"/>
          <w:lang w:val="en-GB"/>
        </w:rPr>
        <w:t xml:space="preserve"> Discount Factors at 10%</w:t>
      </w:r>
      <w:bookmarkEnd w:id="56"/>
    </w:p>
    <w:tbl>
      <w:tblPr>
        <w:tblStyle w:val="TableGrid"/>
        <w:tblW w:w="9075" w:type="dxa"/>
        <w:tblLook w:val="04A0" w:firstRow="1" w:lastRow="0" w:firstColumn="1" w:lastColumn="0" w:noHBand="0" w:noVBand="1"/>
      </w:tblPr>
      <w:tblGrid>
        <w:gridCol w:w="2406"/>
        <w:gridCol w:w="6669"/>
      </w:tblGrid>
      <w:tr w:rsidR="003134E1" w:rsidRPr="00E0610F" w:rsidTr="001B5F04">
        <w:trPr>
          <w:trHeight w:val="303"/>
        </w:trPr>
        <w:tc>
          <w:tcPr>
            <w:tcW w:w="0" w:type="auto"/>
            <w:hideMark/>
          </w:tcPr>
          <w:p w:rsidR="003134E1" w:rsidRPr="00E0610F" w:rsidRDefault="003134E1" w:rsidP="003134E1">
            <w:pPr>
              <w:spacing w:before="120" w:after="120"/>
              <w:jc w:val="center"/>
              <w:rPr>
                <w:rFonts w:eastAsia="Times New Roman" w:cs="Arial"/>
                <w:b/>
                <w:bCs/>
                <w:szCs w:val="24"/>
                <w:lang w:val="en-GB"/>
              </w:rPr>
            </w:pPr>
            <w:r w:rsidRPr="00E0610F">
              <w:rPr>
                <w:rFonts w:eastAsia="Times New Roman" w:cs="Arial"/>
                <w:b/>
                <w:bCs/>
                <w:szCs w:val="24"/>
                <w:lang w:val="en-GB"/>
              </w:rPr>
              <w:t>Year</w:t>
            </w:r>
          </w:p>
        </w:tc>
        <w:tc>
          <w:tcPr>
            <w:tcW w:w="0" w:type="auto"/>
            <w:hideMark/>
          </w:tcPr>
          <w:p w:rsidR="003134E1" w:rsidRPr="00E0610F" w:rsidRDefault="003134E1" w:rsidP="003134E1">
            <w:pPr>
              <w:spacing w:before="120" w:after="120"/>
              <w:jc w:val="center"/>
              <w:rPr>
                <w:rFonts w:eastAsia="Times New Roman" w:cs="Arial"/>
                <w:b/>
                <w:bCs/>
                <w:szCs w:val="24"/>
                <w:lang w:val="en-GB"/>
              </w:rPr>
            </w:pPr>
            <w:r w:rsidRPr="00E0610F">
              <w:rPr>
                <w:rFonts w:eastAsia="Times New Roman" w:cs="Arial"/>
                <w:b/>
                <w:bCs/>
                <w:szCs w:val="24"/>
                <w:lang w:val="en-GB"/>
              </w:rPr>
              <w:t>Discount Factor</w:t>
            </w:r>
          </w:p>
        </w:tc>
      </w:tr>
      <w:tr w:rsidR="003134E1" w:rsidRPr="00E0610F" w:rsidTr="001B5F04">
        <w:trPr>
          <w:trHeight w:val="293"/>
        </w:trPr>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1</w:t>
            </w:r>
          </w:p>
        </w:tc>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0.9091</w:t>
            </w:r>
          </w:p>
        </w:tc>
      </w:tr>
      <w:tr w:rsidR="003134E1" w:rsidRPr="00E0610F" w:rsidTr="001B5F04">
        <w:trPr>
          <w:trHeight w:val="303"/>
        </w:trPr>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2</w:t>
            </w:r>
          </w:p>
        </w:tc>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0.8264</w:t>
            </w:r>
          </w:p>
        </w:tc>
      </w:tr>
      <w:tr w:rsidR="003134E1" w:rsidRPr="00E0610F" w:rsidTr="001B5F04">
        <w:trPr>
          <w:trHeight w:val="293"/>
        </w:trPr>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3</w:t>
            </w:r>
          </w:p>
        </w:tc>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0.7513</w:t>
            </w:r>
          </w:p>
        </w:tc>
      </w:tr>
      <w:tr w:rsidR="003134E1" w:rsidRPr="00E0610F" w:rsidTr="001B5F04">
        <w:trPr>
          <w:trHeight w:val="303"/>
        </w:trPr>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4</w:t>
            </w:r>
          </w:p>
        </w:tc>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0.6830</w:t>
            </w:r>
          </w:p>
        </w:tc>
      </w:tr>
      <w:tr w:rsidR="003134E1" w:rsidRPr="00E0610F" w:rsidTr="001B5F04">
        <w:trPr>
          <w:trHeight w:val="303"/>
        </w:trPr>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5</w:t>
            </w:r>
          </w:p>
        </w:tc>
        <w:tc>
          <w:tcPr>
            <w:tcW w:w="0" w:type="auto"/>
            <w:hideMark/>
          </w:tcPr>
          <w:p w:rsidR="003134E1" w:rsidRPr="00E0610F" w:rsidRDefault="003134E1" w:rsidP="003134E1">
            <w:pPr>
              <w:spacing w:before="120" w:after="120"/>
              <w:jc w:val="center"/>
              <w:rPr>
                <w:rFonts w:eastAsia="Times New Roman" w:cs="Arial"/>
                <w:szCs w:val="24"/>
                <w:lang w:val="en-GB"/>
              </w:rPr>
            </w:pPr>
            <w:r w:rsidRPr="00E0610F">
              <w:rPr>
                <w:rFonts w:eastAsia="Times New Roman" w:cs="Arial"/>
                <w:szCs w:val="24"/>
                <w:lang w:val="en-GB"/>
              </w:rPr>
              <w:t>0.6209</w:t>
            </w:r>
          </w:p>
        </w:tc>
      </w:tr>
    </w:tbl>
    <w:p w:rsidR="001B5F04" w:rsidRPr="00E0610F" w:rsidRDefault="001B5F04" w:rsidP="001B5F04">
      <w:pPr>
        <w:rPr>
          <w:rFonts w:cs="Arial"/>
          <w:lang w:val="en-GB"/>
        </w:rPr>
      </w:pPr>
    </w:p>
    <w:p w:rsidR="003134E1" w:rsidRPr="00E0610F" w:rsidRDefault="003134E1" w:rsidP="001B5F04">
      <w:pPr>
        <w:pStyle w:val="Heading3"/>
        <w:rPr>
          <w:rFonts w:cs="Arial"/>
          <w:color w:val="auto"/>
          <w:lang w:val="en-GB"/>
        </w:rPr>
      </w:pPr>
      <w:bookmarkStart w:id="57" w:name="_Toc227762172"/>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3.</w:t>
      </w:r>
      <w:proofErr w:type="gramEnd"/>
      <w:r w:rsidRPr="00E0610F">
        <w:rPr>
          <w:rFonts w:cs="Arial"/>
          <w:color w:val="auto"/>
          <w:lang w:val="en-GB"/>
        </w:rPr>
        <w:t xml:space="preserve"> NPV Workings</w:t>
      </w:r>
      <w:bookmarkEnd w:id="57"/>
    </w:p>
    <w:p w:rsidR="003134E1" w:rsidRPr="00E0610F" w:rsidRDefault="003134E1" w:rsidP="003134E1">
      <w:pPr>
        <w:rPr>
          <w:rFonts w:cs="Arial"/>
          <w:b/>
          <w:lang w:val="en-GB"/>
        </w:rPr>
      </w:pPr>
      <w:r w:rsidRPr="00E0610F">
        <w:rPr>
          <w:rFonts w:cs="Arial"/>
          <w:b/>
          <w:lang w:val="en-GB"/>
        </w:rPr>
        <w:t>Project A</w:t>
      </w:r>
    </w:p>
    <w:tbl>
      <w:tblPr>
        <w:tblStyle w:val="GridTable4Accent6"/>
        <w:tblW w:w="9368" w:type="dxa"/>
        <w:tblLook w:val="04A0" w:firstRow="1" w:lastRow="0" w:firstColumn="1" w:lastColumn="0" w:noHBand="0" w:noVBand="1"/>
      </w:tblPr>
      <w:tblGrid>
        <w:gridCol w:w="924"/>
        <w:gridCol w:w="2497"/>
        <w:gridCol w:w="2965"/>
        <w:gridCol w:w="2982"/>
      </w:tblGrid>
      <w:tr w:rsidR="003134E1" w:rsidRPr="00E0610F" w:rsidTr="001B5F04">
        <w:trPr>
          <w:cnfStyle w:val="100000000000" w:firstRow="1" w:lastRow="0" w:firstColumn="0" w:lastColumn="0" w:oddVBand="0" w:evenVBand="0" w:oddHBand="0"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Year</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Cash Flow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Discount Factor</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Present Value (£m)</w:t>
            </w:r>
          </w:p>
        </w:tc>
      </w:tr>
      <w:tr w:rsidR="003134E1" w:rsidRPr="00E0610F" w:rsidTr="001B5F04">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-50.000</w:t>
            </w:r>
          </w:p>
        </w:tc>
      </w:tr>
      <w:tr w:rsidR="003134E1" w:rsidRPr="00E0610F" w:rsidTr="001B5F04">
        <w:trPr>
          <w:trHeight w:val="306"/>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1</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0.9091</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9.091</w:t>
            </w:r>
          </w:p>
        </w:tc>
      </w:tr>
      <w:tr w:rsidR="003134E1" w:rsidRPr="00E0610F" w:rsidTr="001B5F04">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2</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12.00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0.8264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9.917</w:t>
            </w:r>
          </w:p>
        </w:tc>
      </w:tr>
      <w:tr w:rsidR="003134E1" w:rsidRPr="00E0610F" w:rsidTr="001B5F04">
        <w:trPr>
          <w:trHeight w:val="306"/>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3</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14.00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0.7513</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10.518</w:t>
            </w:r>
          </w:p>
        </w:tc>
      </w:tr>
      <w:tr w:rsidR="003134E1" w:rsidRPr="00E0610F" w:rsidTr="001B5F04">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0.6830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6.830</w:t>
            </w:r>
          </w:p>
        </w:tc>
      </w:tr>
      <w:tr w:rsidR="003134E1" w:rsidRPr="00E0610F" w:rsidTr="001B5F04">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5</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0.6209</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4.967</w:t>
            </w:r>
          </w:p>
        </w:tc>
      </w:tr>
      <w:tr w:rsidR="003134E1" w:rsidRPr="00E0610F" w:rsidTr="001B5F04">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right"/>
              <w:rPr>
                <w:rFonts w:eastAsia="Times New Roman" w:cs="Arial"/>
                <w:szCs w:val="24"/>
                <w:lang w:val="en-GB"/>
              </w:rPr>
            </w:pPr>
          </w:p>
        </w:tc>
        <w:tc>
          <w:tcPr>
            <w:tcW w:w="0" w:type="auto"/>
            <w:hideMark/>
          </w:tcPr>
          <w:p w:rsidR="003134E1" w:rsidRPr="00E0610F" w:rsidRDefault="003134E1" w:rsidP="003134E1">
            <w:pPr>
              <w:spacing w:after="120"/>
              <w:jc w:val="lef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GB"/>
              </w:rPr>
            </w:pP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b/>
                <w:bCs/>
                <w:szCs w:val="24"/>
                <w:lang w:val="en-GB"/>
              </w:rPr>
              <w:t>Total PV of inflows</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b/>
                <w:bCs/>
                <w:szCs w:val="24"/>
                <w:lang w:val="en-GB"/>
              </w:rPr>
              <w:t>41.324</w:t>
            </w:r>
          </w:p>
        </w:tc>
      </w:tr>
    </w:tbl>
    <w:p w:rsidR="003134E1" w:rsidRPr="00E0610F" w:rsidRDefault="003134E1" w:rsidP="003134E1">
      <w:pPr>
        <w:numPr>
          <w:ilvl w:val="0"/>
          <w:numId w:val="10"/>
        </w:numPr>
        <w:contextualSpacing/>
        <w:rPr>
          <w:rFonts w:cs="Arial"/>
          <w:b/>
          <w:lang w:val="en-GB"/>
        </w:rPr>
      </w:pPr>
      <w:r w:rsidRPr="00E0610F">
        <w:rPr>
          <w:rFonts w:cs="Arial"/>
          <w:b/>
          <w:lang w:val="en-GB"/>
        </w:rPr>
        <w:t>NPV(A) ​= 41.324−50 = −8.676 million</w:t>
      </w:r>
    </w:p>
    <w:p w:rsidR="003134E1" w:rsidRPr="00E0610F" w:rsidRDefault="003134E1" w:rsidP="003134E1">
      <w:pPr>
        <w:rPr>
          <w:rFonts w:cs="Arial"/>
          <w:lang w:val="en-GB"/>
        </w:rPr>
      </w:pPr>
    </w:p>
    <w:p w:rsidR="003134E1" w:rsidRPr="00E0610F" w:rsidRDefault="003134E1" w:rsidP="003134E1">
      <w:pPr>
        <w:rPr>
          <w:rFonts w:cs="Arial"/>
          <w:b/>
          <w:lang w:val="en-GB"/>
        </w:rPr>
      </w:pPr>
      <w:r w:rsidRPr="00E0610F">
        <w:rPr>
          <w:rFonts w:cs="Arial"/>
          <w:b/>
          <w:lang w:val="en-GB"/>
        </w:rPr>
        <w:t>Project B</w:t>
      </w:r>
    </w:p>
    <w:tbl>
      <w:tblPr>
        <w:tblStyle w:val="GridTable4Accent5"/>
        <w:tblW w:w="9300" w:type="dxa"/>
        <w:tblLook w:val="04A0" w:firstRow="1" w:lastRow="0" w:firstColumn="1" w:lastColumn="0" w:noHBand="0" w:noVBand="1"/>
      </w:tblPr>
      <w:tblGrid>
        <w:gridCol w:w="917"/>
        <w:gridCol w:w="2479"/>
        <w:gridCol w:w="2943"/>
        <w:gridCol w:w="2961"/>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Year</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Cash Flow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Discount Factor</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Present Value (£m)</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-50.000</w:t>
            </w:r>
          </w:p>
        </w:tc>
      </w:tr>
      <w:tr w:rsidR="003134E1" w:rsidRPr="00E0610F" w:rsidTr="003134E1">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1</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11.00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0.9091</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10.000</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2</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11.00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0.8264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9.091</w:t>
            </w:r>
          </w:p>
        </w:tc>
      </w:tr>
      <w:tr w:rsidR="003134E1" w:rsidRPr="00E0610F" w:rsidTr="003134E1">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3</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11.00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0.7513</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8.264</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11.00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0.6830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7.513</w:t>
            </w:r>
          </w:p>
        </w:tc>
      </w:tr>
      <w:tr w:rsidR="003134E1" w:rsidRPr="00E0610F" w:rsidTr="003134E1">
        <w:trPr>
          <w:trHeight w:val="264"/>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5</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11.00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0.6209</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6.830</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right"/>
              <w:rPr>
                <w:rFonts w:eastAsia="Times New Roman" w:cs="Arial"/>
                <w:szCs w:val="24"/>
                <w:lang w:val="en-GB"/>
              </w:rPr>
            </w:pPr>
          </w:p>
        </w:tc>
        <w:tc>
          <w:tcPr>
            <w:tcW w:w="0" w:type="auto"/>
            <w:hideMark/>
          </w:tcPr>
          <w:p w:rsidR="003134E1" w:rsidRPr="00E0610F" w:rsidRDefault="003134E1" w:rsidP="003134E1">
            <w:pPr>
              <w:spacing w:after="120"/>
              <w:jc w:val="lef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GB"/>
              </w:rPr>
            </w:pP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b/>
                <w:bCs/>
                <w:szCs w:val="24"/>
                <w:lang w:val="en-GB"/>
              </w:rPr>
              <w:t>Total PV of inflows</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b/>
                <w:bCs/>
                <w:szCs w:val="24"/>
                <w:lang w:val="en-GB"/>
              </w:rPr>
              <w:t>41.699</w:t>
            </w:r>
          </w:p>
        </w:tc>
      </w:tr>
    </w:tbl>
    <w:p w:rsidR="003134E1" w:rsidRPr="00E0610F" w:rsidRDefault="003134E1" w:rsidP="003134E1">
      <w:pPr>
        <w:numPr>
          <w:ilvl w:val="0"/>
          <w:numId w:val="11"/>
        </w:numPr>
        <w:contextualSpacing/>
        <w:rPr>
          <w:rFonts w:cs="Arial"/>
          <w:b/>
          <w:lang w:val="en-GB"/>
        </w:rPr>
      </w:pPr>
      <w:r w:rsidRPr="00E0610F">
        <w:rPr>
          <w:rFonts w:cs="Arial"/>
          <w:b/>
          <w:lang w:val="en-GB"/>
        </w:rPr>
        <w:t>NPV(B​) = 41.699−50= −8.301 million</w:t>
      </w:r>
    </w:p>
    <w:p w:rsidR="001B5F04" w:rsidRPr="00E0610F" w:rsidRDefault="001B5F04" w:rsidP="003134E1">
      <w:pPr>
        <w:rPr>
          <w:rFonts w:cs="Arial"/>
          <w:b/>
          <w:lang w:val="en-GB"/>
        </w:rPr>
      </w:pPr>
    </w:p>
    <w:p w:rsidR="003134E1" w:rsidRPr="00E0610F" w:rsidRDefault="003134E1" w:rsidP="003134E1">
      <w:pPr>
        <w:rPr>
          <w:rFonts w:cs="Arial"/>
          <w:b/>
          <w:lang w:val="en-GB"/>
        </w:rPr>
      </w:pPr>
      <w:r w:rsidRPr="00E0610F">
        <w:rPr>
          <w:rFonts w:cs="Arial"/>
          <w:b/>
          <w:lang w:val="en-GB"/>
        </w:rPr>
        <w:t>Project C</w:t>
      </w:r>
    </w:p>
    <w:tbl>
      <w:tblPr>
        <w:tblStyle w:val="GridTable4Accent4"/>
        <w:tblW w:w="9428" w:type="dxa"/>
        <w:tblLook w:val="04A0" w:firstRow="1" w:lastRow="0" w:firstColumn="1" w:lastColumn="0" w:noHBand="0" w:noVBand="1"/>
      </w:tblPr>
      <w:tblGrid>
        <w:gridCol w:w="930"/>
        <w:gridCol w:w="2513"/>
        <w:gridCol w:w="2984"/>
        <w:gridCol w:w="3001"/>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Year</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Cash Flow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Discount Factor</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Present Value (£m)</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-50.000</w:t>
            </w:r>
          </w:p>
        </w:tc>
      </w:tr>
      <w:tr w:rsidR="003134E1" w:rsidRPr="00E0610F" w:rsidTr="003134E1">
        <w:trPr>
          <w:trHeight w:val="28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1</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0.9091</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4.545</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2</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0.8264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8.264</w:t>
            </w:r>
          </w:p>
        </w:tc>
      </w:tr>
      <w:tr w:rsidR="003134E1" w:rsidRPr="00E0610F" w:rsidTr="003134E1">
        <w:trPr>
          <w:trHeight w:val="28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3</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20.00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0.7513</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15.026</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25.00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0.6830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17.075</w:t>
            </w:r>
          </w:p>
        </w:tc>
      </w:tr>
      <w:tr w:rsidR="003134E1" w:rsidRPr="00E0610F" w:rsidTr="003134E1">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5</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0.6209</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3.105</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line="360" w:lineRule="auto"/>
              <w:jc w:val="right"/>
              <w:rPr>
                <w:rFonts w:eastAsia="Times New Roman" w:cs="Arial"/>
                <w:szCs w:val="24"/>
                <w:lang w:val="en-GB"/>
              </w:rPr>
            </w:pPr>
          </w:p>
        </w:tc>
        <w:tc>
          <w:tcPr>
            <w:tcW w:w="0" w:type="auto"/>
            <w:hideMark/>
          </w:tcPr>
          <w:p w:rsidR="003134E1" w:rsidRPr="00E0610F" w:rsidRDefault="003134E1" w:rsidP="003134E1">
            <w:pPr>
              <w:spacing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val="en-GB"/>
              </w:rPr>
            </w:pPr>
          </w:p>
        </w:tc>
        <w:tc>
          <w:tcPr>
            <w:tcW w:w="0" w:type="auto"/>
            <w:hideMark/>
          </w:tcPr>
          <w:p w:rsidR="003134E1" w:rsidRPr="00E0610F" w:rsidRDefault="003134E1" w:rsidP="003134E1">
            <w:pPr>
              <w:spacing w:after="12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b/>
                <w:bCs/>
                <w:szCs w:val="24"/>
                <w:lang w:val="en-GB"/>
              </w:rPr>
              <w:t>Total PV of inflows</w:t>
            </w:r>
          </w:p>
        </w:tc>
        <w:tc>
          <w:tcPr>
            <w:tcW w:w="0" w:type="auto"/>
            <w:hideMark/>
          </w:tcPr>
          <w:p w:rsidR="003134E1" w:rsidRPr="00E0610F" w:rsidRDefault="003134E1" w:rsidP="003134E1">
            <w:pPr>
              <w:spacing w:after="120"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b/>
                <w:bCs/>
                <w:szCs w:val="24"/>
                <w:lang w:val="en-GB"/>
              </w:rPr>
              <w:t>48.016</w:t>
            </w:r>
          </w:p>
        </w:tc>
      </w:tr>
    </w:tbl>
    <w:p w:rsidR="003134E1" w:rsidRPr="00E0610F" w:rsidRDefault="003134E1" w:rsidP="003134E1">
      <w:pPr>
        <w:numPr>
          <w:ilvl w:val="0"/>
          <w:numId w:val="12"/>
        </w:numPr>
        <w:contextualSpacing/>
        <w:rPr>
          <w:rFonts w:cs="Arial"/>
          <w:b/>
          <w:lang w:val="en-GB"/>
        </w:rPr>
      </w:pPr>
      <w:r w:rsidRPr="00E0610F">
        <w:rPr>
          <w:rFonts w:cs="Arial"/>
          <w:b/>
          <w:lang w:val="en-GB"/>
        </w:rPr>
        <w:t>NPV(C) ​= 48.016−50 = −1.984 million</w:t>
      </w:r>
    </w:p>
    <w:p w:rsidR="003134E1" w:rsidRPr="00E0610F" w:rsidRDefault="003134E1" w:rsidP="003134E1">
      <w:pPr>
        <w:rPr>
          <w:rFonts w:cs="Arial"/>
          <w:lang w:val="en-GB"/>
        </w:rPr>
      </w:pPr>
    </w:p>
    <w:p w:rsidR="003134E1" w:rsidRPr="00E0610F" w:rsidRDefault="003134E1" w:rsidP="001B5F04">
      <w:pPr>
        <w:pStyle w:val="Heading3"/>
        <w:rPr>
          <w:rFonts w:cs="Arial"/>
          <w:color w:val="auto"/>
          <w:lang w:val="en-GB"/>
        </w:rPr>
      </w:pPr>
      <w:bookmarkStart w:id="58" w:name="_Toc227762173"/>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4.</w:t>
      </w:r>
      <w:proofErr w:type="gramEnd"/>
      <w:r w:rsidRPr="00E0610F">
        <w:rPr>
          <w:rFonts w:cs="Arial"/>
          <w:color w:val="auto"/>
          <w:lang w:val="en-GB"/>
        </w:rPr>
        <w:t xml:space="preserve"> Payback Period</w:t>
      </w:r>
      <w:bookmarkEnd w:id="58"/>
    </w:p>
    <w:p w:rsidR="003134E1" w:rsidRPr="00E0610F" w:rsidRDefault="003134E1" w:rsidP="003134E1">
      <w:pPr>
        <w:rPr>
          <w:rFonts w:cs="Arial"/>
          <w:b/>
          <w:bCs/>
          <w:lang w:val="en-GB"/>
        </w:rPr>
      </w:pPr>
      <w:r w:rsidRPr="00E0610F">
        <w:rPr>
          <w:rFonts w:cs="Arial"/>
          <w:b/>
          <w:bCs/>
          <w:lang w:val="en-GB"/>
        </w:rPr>
        <w:t>Project A</w:t>
      </w:r>
    </w:p>
    <w:p w:rsidR="003134E1" w:rsidRPr="00E0610F" w:rsidRDefault="003134E1" w:rsidP="003134E1">
      <w:pPr>
        <w:rPr>
          <w:rFonts w:cs="Arial"/>
          <w:lang w:val="en-GB"/>
        </w:rPr>
      </w:pPr>
      <w:r w:rsidRPr="00E0610F">
        <w:rPr>
          <w:rFonts w:cs="Arial"/>
          <w:lang w:val="en-GB"/>
        </w:rPr>
        <w:lastRenderedPageBreak/>
        <w:t>Cumulative cash inflows: 10, 22, 36, 46, 54</w:t>
      </w:r>
    </w:p>
    <w:p w:rsidR="003134E1" w:rsidRPr="00E0610F" w:rsidRDefault="003134E1" w:rsidP="003134E1">
      <w:pPr>
        <w:rPr>
          <w:rFonts w:cs="Arial"/>
          <w:lang w:val="en-GB"/>
        </w:rPr>
      </w:pPr>
      <w:r w:rsidRPr="00E0610F">
        <w:rPr>
          <w:rFonts w:cs="Arial"/>
          <w:lang w:val="en-GB"/>
        </w:rPr>
        <w:t>Payback occurs during Year 5:</w:t>
      </w:r>
    </w:p>
    <w:p w:rsidR="003134E1" w:rsidRPr="00E0610F" w:rsidRDefault="003134E1" w:rsidP="003134E1">
      <w:pPr>
        <w:jc w:val="center"/>
        <w:rPr>
          <w:rFonts w:eastAsiaTheme="minorEastAsia" w:cs="Arial"/>
          <w:lang w:val="en-GB"/>
        </w:rPr>
      </w:pPr>
      <m:oMath>
        <m:r>
          <w:rPr>
            <w:rFonts w:ascii="Cambria Math" w:hAnsi="Cambria Math" w:cs="Arial"/>
            <w:lang w:val="en-GB"/>
          </w:rPr>
          <m:t>4+</m:t>
        </m:r>
        <m:f>
          <m:fPr>
            <m:ctrlPr>
              <w:rPr>
                <w:rFonts w:ascii="Cambria Math" w:hAnsi="Cambria Math" w:cs="Arial"/>
                <w:i/>
                <w:lang w:val="en-GB"/>
              </w:rPr>
            </m:ctrlPr>
          </m:fPr>
          <m:num>
            <m:r>
              <w:rPr>
                <w:rFonts w:ascii="Cambria Math" w:hAnsi="Cambria Math" w:cs="Arial"/>
                <w:lang w:val="en-GB"/>
              </w:rPr>
              <m:t>50-46</m:t>
            </m:r>
          </m:num>
          <m:den>
            <m:r>
              <w:rPr>
                <w:rFonts w:ascii="Cambria Math" w:hAnsi="Cambria Math" w:cs="Arial"/>
                <w:lang w:val="en-GB"/>
              </w:rPr>
              <m:t>8</m:t>
            </m:r>
          </m:den>
        </m:f>
        <m:r>
          <w:rPr>
            <w:rFonts w:ascii="Cambria Math" w:hAnsi="Cambria Math" w:cs="Arial"/>
            <w:lang w:val="en-GB"/>
          </w:rPr>
          <m:t>=4.50</m:t>
        </m:r>
      </m:oMath>
      <w:r w:rsidRPr="00E0610F">
        <w:rPr>
          <w:rFonts w:eastAsiaTheme="minorEastAsia" w:cs="Arial"/>
          <w:lang w:val="en-GB"/>
        </w:rPr>
        <w:t xml:space="preserve">  </w:t>
      </w:r>
    </w:p>
    <w:p w:rsidR="003134E1" w:rsidRPr="00E0610F" w:rsidRDefault="003134E1" w:rsidP="003134E1">
      <w:pPr>
        <w:jc w:val="center"/>
        <w:rPr>
          <w:rFonts w:cs="Arial"/>
          <w:lang w:val="en-GB"/>
        </w:rPr>
      </w:pPr>
      <w:r w:rsidRPr="00E0610F">
        <w:rPr>
          <w:rFonts w:eastAsiaTheme="minorEastAsia" w:cs="Arial"/>
          <w:lang w:val="en-GB"/>
        </w:rPr>
        <w:t>4.50 Years</w:t>
      </w:r>
    </w:p>
    <w:p w:rsidR="003134E1" w:rsidRPr="00E0610F" w:rsidRDefault="003134E1" w:rsidP="003134E1">
      <w:pPr>
        <w:rPr>
          <w:rFonts w:cs="Arial"/>
          <w:b/>
          <w:bCs/>
          <w:lang w:val="en-GB"/>
        </w:rPr>
      </w:pPr>
      <w:r w:rsidRPr="00E0610F">
        <w:rPr>
          <w:rFonts w:cs="Arial"/>
          <w:b/>
          <w:bCs/>
          <w:lang w:val="en-GB"/>
        </w:rPr>
        <w:t>Project B</w:t>
      </w:r>
    </w:p>
    <w:p w:rsidR="003134E1" w:rsidRPr="00E0610F" w:rsidRDefault="003134E1" w:rsidP="003134E1">
      <w:pPr>
        <w:rPr>
          <w:rFonts w:cs="Arial"/>
          <w:lang w:val="en-GB"/>
        </w:rPr>
      </w:pPr>
      <w:r w:rsidRPr="00E0610F">
        <w:rPr>
          <w:rFonts w:cs="Arial"/>
          <w:lang w:val="en-GB"/>
        </w:rPr>
        <w:t>Cumulative cash inflows: 11, 22, 33, 44, 55</w:t>
      </w:r>
    </w:p>
    <w:p w:rsidR="003134E1" w:rsidRPr="00E0610F" w:rsidRDefault="003134E1" w:rsidP="003134E1">
      <w:pPr>
        <w:rPr>
          <w:rFonts w:cs="Arial"/>
          <w:lang w:val="en-GB"/>
        </w:rPr>
      </w:pPr>
      <w:r w:rsidRPr="00E0610F">
        <w:rPr>
          <w:rFonts w:cs="Arial"/>
          <w:lang w:val="en-GB"/>
        </w:rPr>
        <w:t>Payback occurs during Year 5:</w:t>
      </w:r>
    </w:p>
    <w:p w:rsidR="003134E1" w:rsidRPr="00E0610F" w:rsidRDefault="003134E1" w:rsidP="003134E1">
      <w:pPr>
        <w:jc w:val="center"/>
        <w:rPr>
          <w:rFonts w:eastAsiaTheme="minorEastAsia" w:cs="Arial"/>
          <w:lang w:val="en-GB"/>
        </w:rPr>
      </w:pPr>
      <m:oMath>
        <m:r>
          <w:rPr>
            <w:rFonts w:ascii="Cambria Math" w:hAnsi="Cambria Math" w:cs="Arial"/>
            <w:lang w:val="en-GB"/>
          </w:rPr>
          <m:t>4+</m:t>
        </m:r>
        <m:f>
          <m:fPr>
            <m:ctrlPr>
              <w:rPr>
                <w:rFonts w:ascii="Cambria Math" w:hAnsi="Cambria Math" w:cs="Arial"/>
                <w:i/>
                <w:lang w:val="en-GB"/>
              </w:rPr>
            </m:ctrlPr>
          </m:fPr>
          <m:num>
            <m:r>
              <w:rPr>
                <w:rFonts w:ascii="Cambria Math" w:hAnsi="Cambria Math" w:cs="Arial"/>
                <w:lang w:val="en-GB"/>
              </w:rPr>
              <m:t>50-46</m:t>
            </m:r>
          </m:num>
          <m:den>
            <m:r>
              <w:rPr>
                <w:rFonts w:ascii="Cambria Math" w:hAnsi="Cambria Math" w:cs="Arial"/>
                <w:lang w:val="en-GB"/>
              </w:rPr>
              <m:t>11</m:t>
            </m:r>
          </m:den>
        </m:f>
        <m:r>
          <w:rPr>
            <w:rFonts w:ascii="Cambria Math" w:hAnsi="Cambria Math" w:cs="Arial"/>
            <w:lang w:val="en-GB"/>
          </w:rPr>
          <m:t>=4.55</m:t>
        </m:r>
      </m:oMath>
      <w:r w:rsidRPr="00E0610F">
        <w:rPr>
          <w:rFonts w:eastAsiaTheme="minorEastAsia" w:cs="Arial"/>
          <w:lang w:val="en-GB"/>
        </w:rPr>
        <w:t xml:space="preserve"> Years</w:t>
      </w:r>
    </w:p>
    <w:p w:rsidR="003134E1" w:rsidRPr="00E0610F" w:rsidRDefault="003134E1" w:rsidP="003134E1">
      <w:pPr>
        <w:jc w:val="center"/>
        <w:rPr>
          <w:rFonts w:cs="Arial"/>
          <w:lang w:val="en-GB"/>
        </w:rPr>
      </w:pPr>
      <w:r w:rsidRPr="00E0610F">
        <w:rPr>
          <w:rFonts w:cs="Arial"/>
          <w:lang w:val="en-GB"/>
        </w:rPr>
        <w:t>4.55 Years</w:t>
      </w:r>
    </w:p>
    <w:p w:rsidR="003134E1" w:rsidRPr="00E0610F" w:rsidRDefault="003134E1" w:rsidP="003134E1">
      <w:pPr>
        <w:rPr>
          <w:rFonts w:cs="Arial"/>
          <w:b/>
          <w:bCs/>
          <w:lang w:val="en-GB"/>
        </w:rPr>
      </w:pPr>
      <w:r w:rsidRPr="00E0610F">
        <w:rPr>
          <w:rFonts w:cs="Arial"/>
          <w:b/>
          <w:bCs/>
          <w:lang w:val="en-GB"/>
        </w:rPr>
        <w:t>Project C</w:t>
      </w:r>
    </w:p>
    <w:p w:rsidR="003134E1" w:rsidRPr="00E0610F" w:rsidRDefault="003134E1" w:rsidP="003134E1">
      <w:pPr>
        <w:rPr>
          <w:rFonts w:cs="Arial"/>
          <w:lang w:val="en-GB"/>
        </w:rPr>
      </w:pPr>
      <w:r w:rsidRPr="00E0610F">
        <w:rPr>
          <w:rFonts w:cs="Arial"/>
          <w:lang w:val="en-GB"/>
        </w:rPr>
        <w:t>Cumulative cash inflows: 5, 15, 35, 60</w:t>
      </w:r>
    </w:p>
    <w:p w:rsidR="003134E1" w:rsidRPr="00E0610F" w:rsidRDefault="003134E1" w:rsidP="003134E1">
      <w:pPr>
        <w:rPr>
          <w:rFonts w:cs="Arial"/>
          <w:lang w:val="en-GB"/>
        </w:rPr>
      </w:pPr>
      <w:r w:rsidRPr="00E0610F">
        <w:rPr>
          <w:rFonts w:cs="Arial"/>
          <w:lang w:val="en-GB"/>
        </w:rPr>
        <w:t>Payback occurs during Year 4:</w:t>
      </w:r>
    </w:p>
    <w:p w:rsidR="003134E1" w:rsidRPr="00E0610F" w:rsidRDefault="003134E1" w:rsidP="003134E1">
      <w:pPr>
        <w:jc w:val="center"/>
        <w:rPr>
          <w:rFonts w:eastAsiaTheme="minorEastAsia" w:cs="Arial"/>
          <w:lang w:val="en-GB"/>
        </w:rPr>
      </w:pPr>
      <m:oMath>
        <m:r>
          <w:rPr>
            <w:rFonts w:ascii="Cambria Math" w:hAnsi="Cambria Math" w:cs="Arial"/>
            <w:lang w:val="en-GB"/>
          </w:rPr>
          <m:t>3+</m:t>
        </m:r>
        <m:f>
          <m:fPr>
            <m:ctrlPr>
              <w:rPr>
                <w:rFonts w:ascii="Cambria Math" w:hAnsi="Cambria Math" w:cs="Arial"/>
                <w:i/>
                <w:lang w:val="en-GB"/>
              </w:rPr>
            </m:ctrlPr>
          </m:fPr>
          <m:num>
            <m:r>
              <w:rPr>
                <w:rFonts w:ascii="Cambria Math" w:hAnsi="Cambria Math" w:cs="Arial"/>
                <w:lang w:val="en-GB"/>
              </w:rPr>
              <m:t>50-35</m:t>
            </m:r>
          </m:num>
          <m:den>
            <m:r>
              <w:rPr>
                <w:rFonts w:ascii="Cambria Math" w:hAnsi="Cambria Math" w:cs="Arial"/>
                <w:lang w:val="en-GB"/>
              </w:rPr>
              <m:t>25</m:t>
            </m:r>
          </m:den>
        </m:f>
        <m:r>
          <w:rPr>
            <w:rFonts w:ascii="Cambria Math" w:hAnsi="Cambria Math" w:cs="Arial"/>
            <w:lang w:val="en-GB"/>
          </w:rPr>
          <m:t>=3.60</m:t>
        </m:r>
      </m:oMath>
      <w:r w:rsidRPr="00E0610F">
        <w:rPr>
          <w:rFonts w:eastAsiaTheme="minorEastAsia" w:cs="Arial"/>
          <w:lang w:val="en-GB"/>
        </w:rPr>
        <w:t xml:space="preserve"> Years</w:t>
      </w:r>
    </w:p>
    <w:p w:rsidR="003134E1" w:rsidRPr="00E0610F" w:rsidRDefault="003134E1" w:rsidP="003134E1">
      <w:pPr>
        <w:jc w:val="center"/>
        <w:rPr>
          <w:rFonts w:cs="Arial"/>
          <w:lang w:val="en-GB"/>
        </w:rPr>
      </w:pPr>
      <w:r w:rsidRPr="00E0610F">
        <w:rPr>
          <w:rFonts w:cs="Arial"/>
          <w:lang w:val="en-GB"/>
        </w:rPr>
        <w:t>3.60 Years</w:t>
      </w:r>
    </w:p>
    <w:p w:rsidR="003134E1" w:rsidRPr="00E0610F" w:rsidRDefault="003134E1" w:rsidP="001B5F04">
      <w:pPr>
        <w:pStyle w:val="Heading3"/>
        <w:rPr>
          <w:rFonts w:cs="Arial"/>
          <w:color w:val="auto"/>
          <w:lang w:val="en-GB"/>
        </w:rPr>
      </w:pPr>
      <w:bookmarkStart w:id="59" w:name="_Toc227762174"/>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5.</w:t>
      </w:r>
      <w:proofErr w:type="gramEnd"/>
      <w:r w:rsidRPr="00E0610F">
        <w:rPr>
          <w:rFonts w:cs="Arial"/>
          <w:color w:val="auto"/>
          <w:lang w:val="en-GB"/>
        </w:rPr>
        <w:t xml:space="preserve"> Accounting Rate of Return (ARR)</w:t>
      </w:r>
      <w:bookmarkEnd w:id="59"/>
    </w:p>
    <w:p w:rsidR="003134E1" w:rsidRPr="00E0610F" w:rsidRDefault="003134E1" w:rsidP="003134E1">
      <w:pPr>
        <w:rPr>
          <w:rFonts w:cs="Arial"/>
          <w:lang w:val="en-GB"/>
        </w:rPr>
      </w:pPr>
      <w:r w:rsidRPr="00E0610F">
        <w:rPr>
          <w:rFonts w:cs="Arial"/>
          <w:b/>
          <w:bCs/>
          <w:lang w:val="en-GB"/>
        </w:rPr>
        <w:t>Formula:</w:t>
      </w:r>
    </w:p>
    <w:p w:rsidR="003134E1" w:rsidRPr="00E0610F" w:rsidRDefault="003134E1" w:rsidP="003134E1">
      <w:pPr>
        <w:rPr>
          <w:rFonts w:cs="Arial"/>
          <w:i/>
          <w:lang w:val="en-GB"/>
        </w:rPr>
      </w:pPr>
      <w:r w:rsidRPr="00E0610F">
        <w:rPr>
          <w:rFonts w:cs="Arial"/>
          <w:i/>
          <w:lang w:val="en-GB"/>
        </w:rPr>
        <w:t>ARR (based on initial investment) = Average Annual Profit / Initial Investment × 100</w:t>
      </w:r>
    </w:p>
    <w:p w:rsidR="003134E1" w:rsidRPr="00E0610F" w:rsidRDefault="003134E1" w:rsidP="003134E1">
      <w:pPr>
        <w:rPr>
          <w:rFonts w:cs="Arial"/>
          <w:i/>
          <w:lang w:val="en-GB"/>
        </w:rPr>
      </w:pPr>
      <w:r w:rsidRPr="00E0610F">
        <w:rPr>
          <w:rFonts w:cs="Arial"/>
          <w:i/>
          <w:lang w:val="en-GB"/>
        </w:rPr>
        <w:t>ARR (based on average investment) = Average Annual Profit / Average Investment × 100</w:t>
      </w:r>
    </w:p>
    <w:p w:rsidR="003134E1" w:rsidRPr="00E0610F" w:rsidRDefault="003134E1" w:rsidP="003134E1">
      <w:pPr>
        <w:rPr>
          <w:rFonts w:cs="Arial"/>
          <w:i/>
          <w:lang w:val="en-GB"/>
        </w:rPr>
      </w:pPr>
      <w:r w:rsidRPr="00E0610F">
        <w:rPr>
          <w:rFonts w:cs="Arial"/>
          <w:i/>
          <w:lang w:val="en-GB"/>
        </w:rPr>
        <w:t>Average Investment = (Initial Investment + Scrap Value) / 2 = (50 + 0) / 2 = £25 million</w:t>
      </w:r>
    </w:p>
    <w:tbl>
      <w:tblPr>
        <w:tblStyle w:val="GridTable4Accent6"/>
        <w:tblW w:w="10116" w:type="dxa"/>
        <w:tblLook w:val="04A0" w:firstRow="1" w:lastRow="0" w:firstColumn="1" w:lastColumn="0" w:noHBand="0" w:noVBand="1"/>
      </w:tblPr>
      <w:tblGrid>
        <w:gridCol w:w="1030"/>
        <w:gridCol w:w="1043"/>
        <w:gridCol w:w="843"/>
        <w:gridCol w:w="1164"/>
        <w:gridCol w:w="1484"/>
        <w:gridCol w:w="1484"/>
        <w:gridCol w:w="1563"/>
        <w:gridCol w:w="1563"/>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1435"/>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Project</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Total Cash Inflows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Total Profit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Average Annual Profit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Initial Investment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Average Investment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ARR (Initial Investment)</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ARR (Average Investment)</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A</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25</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1.6%</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3.2%</w:t>
            </w:r>
          </w:p>
        </w:tc>
      </w:tr>
      <w:tr w:rsidR="003134E1" w:rsidRPr="00E0610F" w:rsidTr="003134E1">
        <w:trPr>
          <w:trHeight w:val="280"/>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B</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55</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25</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4.0%</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lastRenderedPageBreak/>
              <w:t>C</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65</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15</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3.0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25</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6.0%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12.0%</w:t>
            </w:r>
          </w:p>
        </w:tc>
      </w:tr>
    </w:tbl>
    <w:p w:rsidR="003134E1" w:rsidRPr="00E0610F" w:rsidRDefault="003134E1" w:rsidP="003134E1">
      <w:pPr>
        <w:rPr>
          <w:rFonts w:cs="Arial"/>
          <w:lang w:val="en-GB"/>
        </w:rPr>
      </w:pPr>
    </w:p>
    <w:p w:rsidR="003134E1" w:rsidRPr="00E0610F" w:rsidRDefault="003134E1" w:rsidP="001B5F04">
      <w:pPr>
        <w:pStyle w:val="Heading3"/>
        <w:rPr>
          <w:rFonts w:cs="Arial"/>
          <w:color w:val="auto"/>
          <w:lang w:val="en-GB"/>
        </w:rPr>
      </w:pPr>
      <w:bookmarkStart w:id="60" w:name="_Toc227762175"/>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6.</w:t>
      </w:r>
      <w:proofErr w:type="gramEnd"/>
      <w:r w:rsidRPr="00E0610F">
        <w:rPr>
          <w:rFonts w:cs="Arial"/>
          <w:color w:val="auto"/>
          <w:lang w:val="en-GB"/>
        </w:rPr>
        <w:t xml:space="preserve"> Profitability Index (PI)</w:t>
      </w:r>
      <w:bookmarkEnd w:id="60"/>
    </w:p>
    <w:p w:rsidR="003134E1" w:rsidRPr="00E0610F" w:rsidRDefault="003134E1" w:rsidP="003134E1">
      <w:pPr>
        <w:jc w:val="center"/>
        <w:rPr>
          <w:rFonts w:eastAsiaTheme="minorEastAsia" w:cs="Arial"/>
          <w:lang w:val="en-GB"/>
        </w:rPr>
      </w:pPr>
      <m:oMathPara>
        <m:oMath>
          <m:r>
            <w:rPr>
              <w:rFonts w:ascii="Cambria Math" w:hAnsi="Cambria Math" w:cs="Arial"/>
              <w:lang w:val="en-GB"/>
            </w:rPr>
            <m:t>PI=</m:t>
          </m:r>
          <m:f>
            <m:fPr>
              <m:ctrlPr>
                <w:rPr>
                  <w:rFonts w:ascii="Cambria Math" w:hAnsi="Cambria Math" w:cs="Arial"/>
                  <w:i/>
                  <w:lang w:val="en-GB"/>
                </w:rPr>
              </m:ctrlPr>
            </m:fPr>
            <m:num>
              <m:r>
                <w:rPr>
                  <w:rFonts w:ascii="Cambria Math" w:hAnsi="Cambria Math" w:cs="Arial"/>
                  <w:lang w:val="en-GB"/>
                </w:rPr>
                <m:t>PV of future cash inflows​</m:t>
              </m:r>
            </m:num>
            <m:den>
              <m:r>
                <w:rPr>
                  <w:rFonts w:ascii="Cambria Math" w:hAnsi="Cambria Math" w:cs="Arial"/>
                  <w:lang w:val="en-GB"/>
                </w:rPr>
                <m:t>Initial investment</m:t>
              </m:r>
            </m:den>
          </m:f>
        </m:oMath>
      </m:oMathPara>
    </w:p>
    <w:tbl>
      <w:tblPr>
        <w:tblStyle w:val="GridTable4Accent1"/>
        <w:tblW w:w="9716" w:type="dxa"/>
        <w:tblLook w:val="04A0" w:firstRow="1" w:lastRow="0" w:firstColumn="1" w:lastColumn="0" w:noHBand="0" w:noVBand="1"/>
      </w:tblPr>
      <w:tblGrid>
        <w:gridCol w:w="1571"/>
        <w:gridCol w:w="3501"/>
        <w:gridCol w:w="3399"/>
        <w:gridCol w:w="1245"/>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Project</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PV of Inflows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Initial Outlay (£m)</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PI</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A</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41.324</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0.826</w:t>
            </w:r>
          </w:p>
        </w:tc>
      </w:tr>
      <w:tr w:rsidR="003134E1" w:rsidRPr="00E0610F" w:rsidTr="003134E1">
        <w:trPr>
          <w:trHeight w:val="49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B</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41.699</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0.834</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C</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48.016</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50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0.960</w:t>
            </w:r>
          </w:p>
        </w:tc>
      </w:tr>
    </w:tbl>
    <w:p w:rsidR="003134E1" w:rsidRPr="00E0610F" w:rsidRDefault="003134E1" w:rsidP="003134E1">
      <w:pPr>
        <w:rPr>
          <w:rFonts w:cs="Arial"/>
          <w:lang w:val="en-GB"/>
        </w:rPr>
      </w:pPr>
    </w:p>
    <w:p w:rsidR="003134E1" w:rsidRPr="00E0610F" w:rsidRDefault="003134E1" w:rsidP="001B5F04">
      <w:pPr>
        <w:pStyle w:val="Heading3"/>
        <w:rPr>
          <w:rFonts w:cs="Arial"/>
          <w:color w:val="auto"/>
          <w:lang w:val="en-GB"/>
        </w:rPr>
      </w:pPr>
      <w:bookmarkStart w:id="61" w:name="_Toc227762176"/>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7.</w:t>
      </w:r>
      <w:proofErr w:type="gramEnd"/>
      <w:r w:rsidRPr="00E0610F">
        <w:rPr>
          <w:rFonts w:cs="Arial"/>
          <w:color w:val="auto"/>
          <w:lang w:val="en-GB"/>
        </w:rPr>
        <w:t xml:space="preserve"> Internal Rate of Return (IRR)</w:t>
      </w:r>
      <w:bookmarkEnd w:id="61"/>
    </w:p>
    <w:p w:rsidR="003134E1" w:rsidRPr="00E0610F" w:rsidRDefault="003134E1" w:rsidP="003134E1">
      <w:pPr>
        <w:rPr>
          <w:rFonts w:cs="Arial"/>
          <w:lang w:val="en-GB"/>
        </w:rPr>
      </w:pPr>
      <w:r w:rsidRPr="00E0610F">
        <w:rPr>
          <w:rFonts w:cs="Arial"/>
          <w:b/>
          <w:bCs/>
          <w:lang w:val="en-GB"/>
        </w:rPr>
        <w:t>Formula</w:t>
      </w:r>
      <w:proofErr w:type="gramStart"/>
      <w:r w:rsidRPr="00E0610F">
        <w:rPr>
          <w:rFonts w:cs="Arial"/>
          <w:b/>
          <w:bCs/>
          <w:lang w:val="en-GB"/>
        </w:rPr>
        <w:t>:</w:t>
      </w:r>
      <w:proofErr w:type="gramEnd"/>
      <w:r w:rsidRPr="00E0610F">
        <w:rPr>
          <w:rFonts w:cs="Arial"/>
          <w:lang w:val="en-GB"/>
        </w:rPr>
        <w:br/>
        <w:t>IRR is the discount rate at which:</w:t>
      </w:r>
    </w:p>
    <w:p w:rsidR="003134E1" w:rsidRPr="00E0610F" w:rsidRDefault="003134E1" w:rsidP="003134E1">
      <w:pPr>
        <w:rPr>
          <w:rFonts w:cs="Arial"/>
          <w:lang w:val="en-GB"/>
        </w:rPr>
      </w:pPr>
      <w:r w:rsidRPr="00E0610F">
        <w:rPr>
          <w:rFonts w:cs="Arial"/>
          <w:lang w:val="en-GB"/>
        </w:rPr>
        <w:t>NPV = 0</w:t>
      </w:r>
    </w:p>
    <w:p w:rsidR="003134E1" w:rsidRPr="00E0610F" w:rsidRDefault="003134E1" w:rsidP="003134E1">
      <w:pPr>
        <w:rPr>
          <w:rFonts w:cs="Arial"/>
          <w:lang w:val="en-GB"/>
        </w:rPr>
      </w:pPr>
      <w:r w:rsidRPr="00E0610F">
        <w:rPr>
          <w:rFonts w:cs="Arial"/>
          <w:lang w:val="en-GB"/>
        </w:rPr>
        <w:t>NPV = (CF</w:t>
      </w:r>
      <w:r w:rsidRPr="00E0610F">
        <w:rPr>
          <w:rFonts w:ascii="Cambria Math" w:hAnsi="Cambria Math" w:cs="Cambria Math"/>
          <w:lang w:val="en-GB"/>
        </w:rPr>
        <w:t>₁</w:t>
      </w:r>
      <w:r w:rsidRPr="00E0610F">
        <w:rPr>
          <w:rFonts w:cs="Arial"/>
          <w:lang w:val="en-GB"/>
        </w:rPr>
        <w:t xml:space="preserve"> / (1 + r</w:t>
      </w:r>
      <w:proofErr w:type="gramStart"/>
      <w:r w:rsidRPr="00E0610F">
        <w:rPr>
          <w:rFonts w:cs="Arial"/>
          <w:lang w:val="en-GB"/>
        </w:rPr>
        <w:t>)¹</w:t>
      </w:r>
      <w:proofErr w:type="gramEnd"/>
      <w:r w:rsidRPr="00E0610F">
        <w:rPr>
          <w:rFonts w:cs="Arial"/>
          <w:lang w:val="en-GB"/>
        </w:rPr>
        <w:t>) + (CF</w:t>
      </w:r>
      <w:r w:rsidRPr="00E0610F">
        <w:rPr>
          <w:rFonts w:ascii="Cambria Math" w:hAnsi="Cambria Math" w:cs="Cambria Math"/>
          <w:lang w:val="en-GB"/>
        </w:rPr>
        <w:t>₂</w:t>
      </w:r>
      <w:r w:rsidRPr="00E0610F">
        <w:rPr>
          <w:rFonts w:cs="Arial"/>
          <w:lang w:val="en-GB"/>
        </w:rPr>
        <w:t xml:space="preserve"> / (1 + r)²) + (CF</w:t>
      </w:r>
      <w:r w:rsidRPr="00E0610F">
        <w:rPr>
          <w:rFonts w:ascii="Cambria Math" w:hAnsi="Cambria Math" w:cs="Cambria Math"/>
          <w:lang w:val="en-GB"/>
        </w:rPr>
        <w:t>₃</w:t>
      </w:r>
      <w:r w:rsidRPr="00E0610F">
        <w:rPr>
          <w:rFonts w:cs="Arial"/>
          <w:lang w:val="en-GB"/>
        </w:rPr>
        <w:t xml:space="preserve"> / (1 + r)³) + (CF</w:t>
      </w:r>
      <w:r w:rsidRPr="00E0610F">
        <w:rPr>
          <w:rFonts w:ascii="Cambria Math" w:hAnsi="Cambria Math" w:cs="Cambria Math"/>
          <w:lang w:val="en-GB"/>
        </w:rPr>
        <w:t>₄</w:t>
      </w:r>
      <w:r w:rsidRPr="00E0610F">
        <w:rPr>
          <w:rFonts w:cs="Arial"/>
          <w:lang w:val="en-GB"/>
        </w:rPr>
        <w:t xml:space="preserve"> / (1 + r)⁴) + (CF</w:t>
      </w:r>
      <w:r w:rsidRPr="00E0610F">
        <w:rPr>
          <w:rFonts w:ascii="Cambria Math" w:hAnsi="Cambria Math" w:cs="Cambria Math"/>
          <w:lang w:val="en-GB"/>
        </w:rPr>
        <w:t>₅</w:t>
      </w:r>
      <w:r w:rsidRPr="00E0610F">
        <w:rPr>
          <w:rFonts w:cs="Arial"/>
          <w:lang w:val="en-GB"/>
        </w:rPr>
        <w:t xml:space="preserve"> / (1 + r)⁵) − Initial Investment</w:t>
      </w:r>
    </w:p>
    <w:tbl>
      <w:tblPr>
        <w:tblStyle w:val="GridTable4Accent6"/>
        <w:tblW w:w="9492" w:type="dxa"/>
        <w:tblLook w:val="04A0" w:firstRow="1" w:lastRow="0" w:firstColumn="1" w:lastColumn="0" w:noHBand="0" w:noVBand="1"/>
      </w:tblPr>
      <w:tblGrid>
        <w:gridCol w:w="5074"/>
        <w:gridCol w:w="4418"/>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Project</w:t>
            </w:r>
          </w:p>
        </w:tc>
        <w:tc>
          <w:tcPr>
            <w:tcW w:w="0" w:type="auto"/>
            <w:hideMark/>
          </w:tcPr>
          <w:p w:rsidR="003134E1" w:rsidRPr="00E0610F" w:rsidRDefault="003134E1" w:rsidP="003134E1">
            <w:pPr>
              <w:spacing w:after="12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IRR</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szCs w:val="24"/>
                <w:lang w:val="en-GB"/>
              </w:rPr>
            </w:pPr>
            <w:r w:rsidRPr="00E0610F">
              <w:rPr>
                <w:rFonts w:eastAsia="Times New Roman" w:cs="Arial"/>
                <w:szCs w:val="24"/>
                <w:lang w:val="en-GB"/>
              </w:rPr>
              <w:t>A</w:t>
            </w:r>
          </w:p>
        </w:tc>
        <w:tc>
          <w:tcPr>
            <w:tcW w:w="0" w:type="auto"/>
            <w:hideMark/>
          </w:tcPr>
          <w:p w:rsidR="003134E1" w:rsidRPr="00E0610F" w:rsidRDefault="003134E1" w:rsidP="003134E1">
            <w:pPr>
              <w:spacing w:after="120"/>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2.72%</w:t>
            </w:r>
          </w:p>
        </w:tc>
      </w:tr>
      <w:tr w:rsidR="003134E1" w:rsidRPr="00E0610F" w:rsidTr="003134E1">
        <w:trPr>
          <w:trHeight w:val="527"/>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szCs w:val="24"/>
                <w:lang w:val="en-GB"/>
              </w:rPr>
            </w:pPr>
            <w:r w:rsidRPr="00E0610F">
              <w:rPr>
                <w:rFonts w:eastAsia="Times New Roman" w:cs="Arial"/>
                <w:szCs w:val="24"/>
                <w:lang w:val="en-GB"/>
              </w:rPr>
              <w:t>B</w:t>
            </w:r>
          </w:p>
        </w:tc>
        <w:tc>
          <w:tcPr>
            <w:tcW w:w="0" w:type="auto"/>
            <w:hideMark/>
          </w:tcPr>
          <w:p w:rsidR="003134E1" w:rsidRPr="00E0610F" w:rsidRDefault="003134E1" w:rsidP="003134E1">
            <w:pPr>
              <w:spacing w:after="120"/>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3.26%</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szCs w:val="24"/>
                <w:lang w:val="en-GB"/>
              </w:rPr>
            </w:pPr>
            <w:r w:rsidRPr="00E0610F">
              <w:rPr>
                <w:rFonts w:eastAsia="Times New Roman" w:cs="Arial"/>
                <w:szCs w:val="24"/>
                <w:lang w:val="en-GB"/>
              </w:rPr>
              <w:t>C</w:t>
            </w:r>
          </w:p>
        </w:tc>
        <w:tc>
          <w:tcPr>
            <w:tcW w:w="0" w:type="auto"/>
            <w:hideMark/>
          </w:tcPr>
          <w:p w:rsidR="003134E1" w:rsidRPr="00E0610F" w:rsidRDefault="003134E1" w:rsidP="003134E1">
            <w:pPr>
              <w:spacing w:after="120"/>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8.59%</w:t>
            </w:r>
          </w:p>
        </w:tc>
      </w:tr>
    </w:tbl>
    <w:p w:rsidR="003134E1" w:rsidRPr="00E0610F" w:rsidRDefault="003134E1" w:rsidP="003134E1">
      <w:pPr>
        <w:rPr>
          <w:rFonts w:cs="Arial"/>
          <w:lang w:val="en-GB"/>
        </w:rPr>
      </w:pPr>
    </w:p>
    <w:p w:rsidR="003134E1" w:rsidRPr="00E0610F" w:rsidRDefault="003134E1" w:rsidP="001B5F04">
      <w:pPr>
        <w:pStyle w:val="Heading3"/>
        <w:rPr>
          <w:rFonts w:cs="Arial"/>
          <w:color w:val="auto"/>
          <w:lang w:val="en-GB"/>
        </w:rPr>
      </w:pPr>
      <w:bookmarkStart w:id="62" w:name="_Toc227762177"/>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8.</w:t>
      </w:r>
      <w:proofErr w:type="gramEnd"/>
      <w:r w:rsidRPr="00E0610F">
        <w:rPr>
          <w:rFonts w:cs="Arial"/>
          <w:color w:val="auto"/>
          <w:lang w:val="en-GB"/>
        </w:rPr>
        <w:t xml:space="preserve"> Investment Appraisal Summary Table</w:t>
      </w:r>
      <w:bookmarkEnd w:id="62"/>
    </w:p>
    <w:tbl>
      <w:tblPr>
        <w:tblStyle w:val="GridTable4Accent4"/>
        <w:tblW w:w="9382" w:type="dxa"/>
        <w:tblLook w:val="04A0" w:firstRow="1" w:lastRow="0" w:firstColumn="1" w:lastColumn="0" w:noHBand="0" w:noVBand="1"/>
      </w:tblPr>
      <w:tblGrid>
        <w:gridCol w:w="3621"/>
        <w:gridCol w:w="1609"/>
        <w:gridCol w:w="1609"/>
        <w:gridCol w:w="1609"/>
        <w:gridCol w:w="934"/>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Criterion</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Project A</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Project B</w:t>
            </w:r>
          </w:p>
        </w:tc>
        <w:tc>
          <w:tcPr>
            <w:tcW w:w="0" w:type="auto"/>
            <w:hideMark/>
          </w:tcPr>
          <w:p w:rsidR="003134E1" w:rsidRPr="00E0610F" w:rsidRDefault="003134E1" w:rsidP="003134E1">
            <w:pPr>
              <w:spacing w:after="120"/>
              <w:jc w:val="right"/>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Project C</w:t>
            </w:r>
          </w:p>
        </w:tc>
        <w:tc>
          <w:tcPr>
            <w:tcW w:w="0" w:type="auto"/>
            <w:hideMark/>
          </w:tcPr>
          <w:p w:rsidR="003134E1" w:rsidRPr="00E0610F" w:rsidRDefault="003134E1" w:rsidP="003134E1">
            <w:pPr>
              <w:spacing w:after="12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Best</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Payback Period (years)</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4.50</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4.55</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3.60</w:t>
            </w:r>
          </w:p>
        </w:tc>
        <w:tc>
          <w:tcPr>
            <w:tcW w:w="0" w:type="auto"/>
            <w:hideMark/>
          </w:tcPr>
          <w:p w:rsidR="003134E1" w:rsidRPr="00E0610F" w:rsidRDefault="003134E1" w:rsidP="003134E1">
            <w:pPr>
              <w:spacing w:after="120"/>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C</w:t>
            </w:r>
          </w:p>
        </w:tc>
      </w:tr>
      <w:tr w:rsidR="003134E1" w:rsidRPr="00E0610F" w:rsidTr="003134E1">
        <w:trPr>
          <w:trHeight w:val="35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ARR</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1.6%</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2.0%</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6.0%</w:t>
            </w:r>
          </w:p>
        </w:tc>
        <w:tc>
          <w:tcPr>
            <w:tcW w:w="0" w:type="auto"/>
            <w:hideMark/>
          </w:tcPr>
          <w:p w:rsidR="003134E1" w:rsidRPr="00E0610F" w:rsidRDefault="003134E1" w:rsidP="003134E1">
            <w:pPr>
              <w:spacing w:after="120"/>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C</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NPV (£m)</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-8.676</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-8.301</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-1.984</w:t>
            </w:r>
          </w:p>
        </w:tc>
        <w:tc>
          <w:tcPr>
            <w:tcW w:w="0" w:type="auto"/>
            <w:hideMark/>
          </w:tcPr>
          <w:p w:rsidR="003134E1" w:rsidRPr="00E0610F" w:rsidRDefault="003134E1" w:rsidP="003134E1">
            <w:pPr>
              <w:spacing w:after="120"/>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C</w:t>
            </w:r>
          </w:p>
        </w:tc>
      </w:tr>
      <w:tr w:rsidR="003134E1" w:rsidRPr="00E0610F" w:rsidTr="003134E1">
        <w:trPr>
          <w:trHeight w:val="35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lastRenderedPageBreak/>
              <w:t>PI</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0.826</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0.834</w:t>
            </w:r>
          </w:p>
        </w:tc>
        <w:tc>
          <w:tcPr>
            <w:tcW w:w="0" w:type="auto"/>
            <w:hideMark/>
          </w:tcPr>
          <w:p w:rsidR="003134E1" w:rsidRPr="00E0610F" w:rsidRDefault="003134E1" w:rsidP="003134E1">
            <w:pPr>
              <w:spacing w:after="120"/>
              <w:jc w:val="righ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0.960</w:t>
            </w:r>
          </w:p>
        </w:tc>
        <w:tc>
          <w:tcPr>
            <w:tcW w:w="0" w:type="auto"/>
            <w:hideMark/>
          </w:tcPr>
          <w:p w:rsidR="003134E1" w:rsidRPr="00E0610F" w:rsidRDefault="003134E1" w:rsidP="003134E1">
            <w:pPr>
              <w:spacing w:after="120"/>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C</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left"/>
              <w:rPr>
                <w:rFonts w:eastAsia="Times New Roman" w:cs="Arial"/>
                <w:szCs w:val="24"/>
                <w:lang w:val="en-GB"/>
              </w:rPr>
            </w:pPr>
            <w:r w:rsidRPr="00E0610F">
              <w:rPr>
                <w:rFonts w:eastAsia="Times New Roman" w:cs="Arial"/>
                <w:szCs w:val="24"/>
                <w:lang w:val="en-GB"/>
              </w:rPr>
              <w:t>IRR</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2.72%</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3.26%</w:t>
            </w:r>
          </w:p>
        </w:tc>
        <w:tc>
          <w:tcPr>
            <w:tcW w:w="0" w:type="auto"/>
            <w:hideMark/>
          </w:tcPr>
          <w:p w:rsidR="003134E1" w:rsidRPr="00E0610F" w:rsidRDefault="003134E1" w:rsidP="003134E1">
            <w:pPr>
              <w:spacing w:after="120"/>
              <w:jc w:val="righ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8.59%</w:t>
            </w:r>
          </w:p>
        </w:tc>
        <w:tc>
          <w:tcPr>
            <w:tcW w:w="0" w:type="auto"/>
            <w:hideMark/>
          </w:tcPr>
          <w:p w:rsidR="003134E1" w:rsidRPr="00E0610F" w:rsidRDefault="003134E1" w:rsidP="003134E1">
            <w:pPr>
              <w:spacing w:after="120"/>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C</w:t>
            </w:r>
          </w:p>
        </w:tc>
      </w:tr>
    </w:tbl>
    <w:p w:rsidR="001B5F04" w:rsidRPr="00E0610F" w:rsidRDefault="001B5F04" w:rsidP="001B5F04">
      <w:pPr>
        <w:rPr>
          <w:rFonts w:cs="Arial"/>
          <w:lang w:val="en-GB"/>
        </w:rPr>
      </w:pPr>
    </w:p>
    <w:p w:rsidR="003134E1" w:rsidRPr="00E0610F" w:rsidRDefault="003134E1" w:rsidP="001B5F04">
      <w:pPr>
        <w:pStyle w:val="Heading3"/>
        <w:rPr>
          <w:rFonts w:cs="Arial"/>
          <w:color w:val="auto"/>
          <w:lang w:val="en-GB"/>
        </w:rPr>
      </w:pPr>
      <w:bookmarkStart w:id="63" w:name="_Toc227762178"/>
      <w:proofErr w:type="gramStart"/>
      <w:r w:rsidRPr="00E0610F">
        <w:rPr>
          <w:rFonts w:cs="Arial"/>
          <w:color w:val="auto"/>
          <w:lang w:val="en-GB"/>
        </w:rPr>
        <w:t xml:space="preserve">Appendix </w:t>
      </w:r>
      <w:r w:rsidR="00964A7B" w:rsidRPr="00E0610F">
        <w:rPr>
          <w:rFonts w:cs="Arial"/>
          <w:color w:val="auto"/>
          <w:lang w:val="en-GB"/>
        </w:rPr>
        <w:t>C</w:t>
      </w:r>
      <w:r w:rsidRPr="00E0610F">
        <w:rPr>
          <w:rFonts w:cs="Arial"/>
          <w:color w:val="auto"/>
          <w:lang w:val="en-GB"/>
        </w:rPr>
        <w:t>9.</w:t>
      </w:r>
      <w:proofErr w:type="gramEnd"/>
      <w:r w:rsidRPr="00E0610F">
        <w:rPr>
          <w:rFonts w:cs="Arial"/>
          <w:color w:val="auto"/>
          <w:lang w:val="en-GB"/>
        </w:rPr>
        <w:t xml:space="preserve"> Capital Rationing (Maximum Budget = £100m)</w:t>
      </w:r>
      <w:bookmarkEnd w:id="63"/>
    </w:p>
    <w:p w:rsidR="003134E1" w:rsidRPr="00E0610F" w:rsidRDefault="009C078F" w:rsidP="003134E1">
      <w:pPr>
        <w:rPr>
          <w:rFonts w:cs="Arial"/>
          <w:lang w:val="en-GB"/>
        </w:rPr>
      </w:pPr>
      <w:r w:rsidRPr="00E0610F">
        <w:rPr>
          <w:rFonts w:cs="Arial"/>
          <w:lang w:val="en-GB"/>
        </w:rPr>
        <w:t>There are only two projects which can be chosen because each project would cost £50m.</w:t>
      </w:r>
    </w:p>
    <w:tbl>
      <w:tblPr>
        <w:tblStyle w:val="GridTable4Accent5"/>
        <w:tblW w:w="9541" w:type="dxa"/>
        <w:tblLook w:val="04A0" w:firstRow="1" w:lastRow="0" w:firstColumn="1" w:lastColumn="0" w:noHBand="0" w:noVBand="1"/>
      </w:tblPr>
      <w:tblGrid>
        <w:gridCol w:w="2326"/>
        <w:gridCol w:w="3728"/>
        <w:gridCol w:w="3487"/>
      </w:tblGrid>
      <w:tr w:rsidR="003134E1" w:rsidRPr="00E0610F" w:rsidTr="003134E1">
        <w:trPr>
          <w:cnfStyle w:val="100000000000" w:firstRow="1" w:lastRow="0" w:firstColumn="0" w:lastColumn="0" w:oddVBand="0" w:evenVBand="0" w:oddHBand="0" w:evenHBand="0"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color w:val="auto"/>
                <w:szCs w:val="24"/>
                <w:lang w:val="en-GB"/>
              </w:rPr>
            </w:pPr>
            <w:r w:rsidRPr="00E0610F">
              <w:rPr>
                <w:rFonts w:eastAsia="Times New Roman" w:cs="Arial"/>
                <w:color w:val="auto"/>
                <w:szCs w:val="24"/>
                <w:lang w:val="en-GB"/>
              </w:rPr>
              <w:t>Combination</w:t>
            </w:r>
          </w:p>
        </w:tc>
        <w:tc>
          <w:tcPr>
            <w:tcW w:w="0" w:type="auto"/>
            <w:hideMark/>
          </w:tcPr>
          <w:p w:rsidR="003134E1" w:rsidRPr="00E0610F" w:rsidRDefault="003134E1" w:rsidP="003134E1">
            <w:pPr>
              <w:spacing w:after="12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Total Investment (£m)</w:t>
            </w:r>
          </w:p>
        </w:tc>
        <w:tc>
          <w:tcPr>
            <w:tcW w:w="0" w:type="auto"/>
            <w:hideMark/>
          </w:tcPr>
          <w:p w:rsidR="003134E1" w:rsidRPr="00E0610F" w:rsidRDefault="003134E1" w:rsidP="003134E1">
            <w:pPr>
              <w:spacing w:after="12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auto"/>
                <w:szCs w:val="24"/>
                <w:lang w:val="en-GB"/>
              </w:rPr>
            </w:pPr>
            <w:r w:rsidRPr="00E0610F">
              <w:rPr>
                <w:rFonts w:eastAsia="Times New Roman" w:cs="Arial"/>
                <w:color w:val="auto"/>
                <w:szCs w:val="24"/>
                <w:lang w:val="en-GB"/>
              </w:rPr>
              <w:t>Combined NPV (£m)</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szCs w:val="24"/>
                <w:lang w:val="en-GB"/>
              </w:rPr>
            </w:pPr>
            <w:r w:rsidRPr="00E0610F">
              <w:rPr>
                <w:rFonts w:eastAsia="Times New Roman" w:cs="Arial"/>
                <w:szCs w:val="24"/>
                <w:lang w:val="en-GB"/>
              </w:rPr>
              <w:t>A + B</w:t>
            </w:r>
          </w:p>
        </w:tc>
        <w:tc>
          <w:tcPr>
            <w:tcW w:w="0" w:type="auto"/>
            <w:hideMark/>
          </w:tcPr>
          <w:p w:rsidR="003134E1" w:rsidRPr="00E0610F" w:rsidRDefault="003134E1" w:rsidP="003134E1">
            <w:pPr>
              <w:spacing w:after="120"/>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w:t>
            </w:r>
          </w:p>
        </w:tc>
        <w:tc>
          <w:tcPr>
            <w:tcW w:w="0" w:type="auto"/>
            <w:hideMark/>
          </w:tcPr>
          <w:p w:rsidR="003134E1" w:rsidRPr="00E0610F" w:rsidRDefault="003134E1" w:rsidP="003134E1">
            <w:pPr>
              <w:spacing w:after="120"/>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-16.977</w:t>
            </w:r>
          </w:p>
        </w:tc>
      </w:tr>
      <w:tr w:rsidR="003134E1" w:rsidRPr="00E0610F" w:rsidTr="003134E1">
        <w:trPr>
          <w:trHeight w:val="321"/>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szCs w:val="24"/>
                <w:lang w:val="en-GB"/>
              </w:rPr>
            </w:pPr>
            <w:r w:rsidRPr="00E0610F">
              <w:rPr>
                <w:rFonts w:eastAsia="Times New Roman" w:cs="Arial"/>
                <w:szCs w:val="24"/>
                <w:lang w:val="en-GB"/>
              </w:rPr>
              <w:t>A + C</w:t>
            </w:r>
          </w:p>
        </w:tc>
        <w:tc>
          <w:tcPr>
            <w:tcW w:w="0" w:type="auto"/>
            <w:hideMark/>
          </w:tcPr>
          <w:p w:rsidR="003134E1" w:rsidRPr="00E0610F" w:rsidRDefault="003134E1" w:rsidP="003134E1">
            <w:pPr>
              <w:spacing w:after="120"/>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w:t>
            </w:r>
          </w:p>
        </w:tc>
        <w:tc>
          <w:tcPr>
            <w:tcW w:w="0" w:type="auto"/>
            <w:hideMark/>
          </w:tcPr>
          <w:p w:rsidR="003134E1" w:rsidRPr="00E0610F" w:rsidRDefault="003134E1" w:rsidP="003134E1">
            <w:pPr>
              <w:spacing w:after="120"/>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-10.660</w:t>
            </w:r>
          </w:p>
        </w:tc>
      </w:tr>
      <w:tr w:rsidR="003134E1" w:rsidRPr="00E0610F" w:rsidTr="003134E1">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0" w:type="auto"/>
            <w:hideMark/>
          </w:tcPr>
          <w:p w:rsidR="003134E1" w:rsidRPr="00E0610F" w:rsidRDefault="003134E1" w:rsidP="003134E1">
            <w:pPr>
              <w:spacing w:after="120"/>
              <w:jc w:val="center"/>
              <w:rPr>
                <w:rFonts w:eastAsia="Times New Roman" w:cs="Arial"/>
                <w:szCs w:val="24"/>
                <w:lang w:val="en-GB"/>
              </w:rPr>
            </w:pPr>
            <w:r w:rsidRPr="00E0610F">
              <w:rPr>
                <w:rFonts w:eastAsia="Times New Roman" w:cs="Arial"/>
                <w:szCs w:val="24"/>
                <w:lang w:val="en-GB"/>
              </w:rPr>
              <w:t>B + C</w:t>
            </w:r>
          </w:p>
        </w:tc>
        <w:tc>
          <w:tcPr>
            <w:tcW w:w="0" w:type="auto"/>
            <w:hideMark/>
          </w:tcPr>
          <w:p w:rsidR="003134E1" w:rsidRPr="00E0610F" w:rsidRDefault="003134E1" w:rsidP="003134E1">
            <w:pPr>
              <w:spacing w:after="120"/>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100</w:t>
            </w:r>
          </w:p>
        </w:tc>
        <w:tc>
          <w:tcPr>
            <w:tcW w:w="0" w:type="auto"/>
            <w:hideMark/>
          </w:tcPr>
          <w:p w:rsidR="003134E1" w:rsidRPr="00E0610F" w:rsidRDefault="003134E1" w:rsidP="003134E1">
            <w:pPr>
              <w:spacing w:after="120"/>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val="en-GB"/>
              </w:rPr>
            </w:pPr>
            <w:r w:rsidRPr="00E0610F">
              <w:rPr>
                <w:rFonts w:eastAsia="Times New Roman" w:cs="Arial"/>
                <w:szCs w:val="24"/>
                <w:lang w:val="en-GB"/>
              </w:rPr>
              <w:t>-10.285</w:t>
            </w:r>
          </w:p>
        </w:tc>
      </w:tr>
    </w:tbl>
    <w:p w:rsidR="00E62E33" w:rsidRPr="00E0610F" w:rsidRDefault="003134E1" w:rsidP="009C078F">
      <w:pPr>
        <w:rPr>
          <w:rFonts w:cs="Arial"/>
          <w:lang w:val="en-GB"/>
        </w:rPr>
      </w:pPr>
      <w:r w:rsidRPr="00E0610F">
        <w:rPr>
          <w:rFonts w:cs="Arial"/>
          <w:b/>
          <w:lang w:val="en-GB"/>
        </w:rPr>
        <w:t>Best combination under capital rationing:</w:t>
      </w:r>
      <w:r w:rsidR="009C078F" w:rsidRPr="00E0610F">
        <w:rPr>
          <w:rFonts w:cs="Arial"/>
          <w:b/>
          <w:lang w:val="en-GB"/>
        </w:rPr>
        <w:t xml:space="preserve"> </w:t>
      </w:r>
      <w:r w:rsidR="009C078F" w:rsidRPr="00E0610F">
        <w:rPr>
          <w:rFonts w:cs="Arial"/>
          <w:lang w:val="en-GB"/>
        </w:rPr>
        <w:t>Project B + Project C, since this combination maximises the overall NPV (that is, the least negative value).</w:t>
      </w:r>
    </w:p>
    <w:p w:rsidR="003134E1" w:rsidRPr="00E0610F" w:rsidRDefault="003134E1" w:rsidP="003134E1">
      <w:pPr>
        <w:rPr>
          <w:rFonts w:cs="Arial"/>
          <w:lang w:val="en-GB"/>
        </w:rPr>
      </w:pPr>
    </w:p>
    <w:p w:rsidR="001A7306" w:rsidRPr="00E0610F" w:rsidRDefault="001A7306" w:rsidP="003134E1">
      <w:pPr>
        <w:rPr>
          <w:rFonts w:cs="Arial"/>
          <w:lang w:val="en-GB"/>
        </w:rPr>
      </w:pPr>
    </w:p>
    <w:sectPr w:rsidR="001A7306" w:rsidRPr="00E0610F" w:rsidSect="006D2192">
      <w:headerReference w:type="even" r:id="rId17"/>
      <w:headerReference w:type="default" r:id="rId18"/>
      <w:footerReference w:type="even" r:id="rId19"/>
      <w:footerReference w:type="default" r:id="rId20"/>
      <w:headerReference w:type="first" r:id="rId21"/>
      <w:footerReference w:type="first" r:id="rId2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4F09" w:rsidRDefault="00F64F09" w:rsidP="00E33CBE">
      <w:pPr>
        <w:spacing w:before="0" w:after="0" w:line="240" w:lineRule="auto"/>
      </w:pPr>
      <w:r>
        <w:separator/>
      </w:r>
    </w:p>
  </w:endnote>
  <w:endnote w:type="continuationSeparator" w:id="0">
    <w:p w:rsidR="00F64F09" w:rsidRDefault="00F64F09" w:rsidP="00E33C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6EBF" w:rsidRDefault="002D6EB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5219021"/>
      <w:docPartObj>
        <w:docPartGallery w:val="Page Numbers (Bottom of Page)"/>
        <w:docPartUnique/>
      </w:docPartObj>
    </w:sdtPr>
    <w:sdtEndPr>
      <w:rPr>
        <w:noProof/>
      </w:rPr>
    </w:sdtEndPr>
    <w:sdtContent>
      <w:p w:rsidR="002D6EBF" w:rsidRDefault="002D6EBF">
        <w:pPr>
          <w:pStyle w:val="Footer"/>
          <w:jc w:val="right"/>
        </w:pPr>
        <w:r>
          <w:fldChar w:fldCharType="begin"/>
        </w:r>
        <w:r>
          <w:instrText xml:space="preserve"> PAGE   \* MERGEFORMAT </w:instrText>
        </w:r>
        <w:r>
          <w:fldChar w:fldCharType="separate"/>
        </w:r>
        <w:r w:rsidR="008D14F2">
          <w:rPr>
            <w:noProof/>
          </w:rPr>
          <w:t>1</w:t>
        </w:r>
        <w:r>
          <w:rPr>
            <w:noProof/>
          </w:rPr>
          <w:fldChar w:fldCharType="end"/>
        </w:r>
      </w:p>
    </w:sdtContent>
  </w:sdt>
  <w:p w:rsidR="002D6EBF" w:rsidRDefault="002D6EB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6EBF" w:rsidRDefault="002D6E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4F09" w:rsidRDefault="00F64F09" w:rsidP="00E33CBE">
      <w:pPr>
        <w:spacing w:before="0" w:after="0" w:line="240" w:lineRule="auto"/>
      </w:pPr>
      <w:r>
        <w:separator/>
      </w:r>
    </w:p>
  </w:footnote>
  <w:footnote w:type="continuationSeparator" w:id="0">
    <w:p w:rsidR="00F64F09" w:rsidRDefault="00F64F09" w:rsidP="00E33CBE">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6EBF" w:rsidRDefault="002D6EB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6EBF" w:rsidRDefault="002D6EB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6EBF" w:rsidRDefault="002D6EB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90FA8"/>
    <w:multiLevelType w:val="hybridMultilevel"/>
    <w:tmpl w:val="CB2AAC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FC49AB"/>
    <w:multiLevelType w:val="hybridMultilevel"/>
    <w:tmpl w:val="C9404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FB241C"/>
    <w:multiLevelType w:val="multilevel"/>
    <w:tmpl w:val="1ABA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830426E"/>
    <w:multiLevelType w:val="hybridMultilevel"/>
    <w:tmpl w:val="73783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F1B1DAE"/>
    <w:multiLevelType w:val="hybridMultilevel"/>
    <w:tmpl w:val="BCCA1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16248B"/>
    <w:multiLevelType w:val="hybridMultilevel"/>
    <w:tmpl w:val="2CB81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A27026D"/>
    <w:multiLevelType w:val="hybridMultilevel"/>
    <w:tmpl w:val="9BAA5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B2811DA"/>
    <w:multiLevelType w:val="hybridMultilevel"/>
    <w:tmpl w:val="1F3CB8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CDF588B"/>
    <w:multiLevelType w:val="hybridMultilevel"/>
    <w:tmpl w:val="116C9E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2F25AA9"/>
    <w:multiLevelType w:val="hybridMultilevel"/>
    <w:tmpl w:val="A14A37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40459AD"/>
    <w:multiLevelType w:val="hybridMultilevel"/>
    <w:tmpl w:val="0B5E7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48A09EA"/>
    <w:multiLevelType w:val="hybridMultilevel"/>
    <w:tmpl w:val="013813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7CE1985"/>
    <w:multiLevelType w:val="multilevel"/>
    <w:tmpl w:val="769EE82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4"/>
  </w:num>
  <w:num w:numId="4">
    <w:abstractNumId w:val="10"/>
  </w:num>
  <w:num w:numId="5">
    <w:abstractNumId w:val="5"/>
  </w:num>
  <w:num w:numId="6">
    <w:abstractNumId w:val="12"/>
  </w:num>
  <w:num w:numId="7">
    <w:abstractNumId w:val="2"/>
  </w:num>
  <w:num w:numId="8">
    <w:abstractNumId w:val="3"/>
  </w:num>
  <w:num w:numId="9">
    <w:abstractNumId w:val="8"/>
  </w:num>
  <w:num w:numId="10">
    <w:abstractNumId w:val="0"/>
  </w:num>
  <w:num w:numId="11">
    <w:abstractNumId w:val="7"/>
  </w:num>
  <w:num w:numId="12">
    <w:abstractNumId w:val="1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3CBE"/>
    <w:rsid w:val="00043016"/>
    <w:rsid w:val="0017742D"/>
    <w:rsid w:val="001A7306"/>
    <w:rsid w:val="001B10F9"/>
    <w:rsid w:val="001B5F04"/>
    <w:rsid w:val="00214B50"/>
    <w:rsid w:val="00220915"/>
    <w:rsid w:val="0023396C"/>
    <w:rsid w:val="00244231"/>
    <w:rsid w:val="002820D8"/>
    <w:rsid w:val="0028764A"/>
    <w:rsid w:val="002D6EBF"/>
    <w:rsid w:val="002E3337"/>
    <w:rsid w:val="002E67E7"/>
    <w:rsid w:val="003134E1"/>
    <w:rsid w:val="00334FEF"/>
    <w:rsid w:val="00375F40"/>
    <w:rsid w:val="003A0871"/>
    <w:rsid w:val="003F6309"/>
    <w:rsid w:val="00404F39"/>
    <w:rsid w:val="0041792B"/>
    <w:rsid w:val="00436622"/>
    <w:rsid w:val="004548B0"/>
    <w:rsid w:val="0047576A"/>
    <w:rsid w:val="0047775B"/>
    <w:rsid w:val="0049775B"/>
    <w:rsid w:val="004A5BAF"/>
    <w:rsid w:val="004C2B21"/>
    <w:rsid w:val="004C6FAB"/>
    <w:rsid w:val="00510B27"/>
    <w:rsid w:val="00573F4E"/>
    <w:rsid w:val="005B56FB"/>
    <w:rsid w:val="00605C86"/>
    <w:rsid w:val="006072FD"/>
    <w:rsid w:val="006D2192"/>
    <w:rsid w:val="006F4FC7"/>
    <w:rsid w:val="007C5E91"/>
    <w:rsid w:val="00870986"/>
    <w:rsid w:val="008934AD"/>
    <w:rsid w:val="008B76DD"/>
    <w:rsid w:val="008D14F2"/>
    <w:rsid w:val="008E41BB"/>
    <w:rsid w:val="009012C6"/>
    <w:rsid w:val="00964A7B"/>
    <w:rsid w:val="0097509A"/>
    <w:rsid w:val="00996F2D"/>
    <w:rsid w:val="009C078F"/>
    <w:rsid w:val="009D485E"/>
    <w:rsid w:val="00A62FA5"/>
    <w:rsid w:val="00A8413A"/>
    <w:rsid w:val="00A96B67"/>
    <w:rsid w:val="00AC09CB"/>
    <w:rsid w:val="00B039E2"/>
    <w:rsid w:val="00B03C9A"/>
    <w:rsid w:val="00B5021F"/>
    <w:rsid w:val="00B844EE"/>
    <w:rsid w:val="00BA140A"/>
    <w:rsid w:val="00BA4093"/>
    <w:rsid w:val="00BE21BD"/>
    <w:rsid w:val="00C5286D"/>
    <w:rsid w:val="00C754D0"/>
    <w:rsid w:val="00CE6252"/>
    <w:rsid w:val="00D051DA"/>
    <w:rsid w:val="00D06ED0"/>
    <w:rsid w:val="00D10FE0"/>
    <w:rsid w:val="00D64931"/>
    <w:rsid w:val="00D735F1"/>
    <w:rsid w:val="00D87BDA"/>
    <w:rsid w:val="00DC0D1C"/>
    <w:rsid w:val="00E0610F"/>
    <w:rsid w:val="00E169D2"/>
    <w:rsid w:val="00E33CBE"/>
    <w:rsid w:val="00E35CFB"/>
    <w:rsid w:val="00E62E33"/>
    <w:rsid w:val="00E819E1"/>
    <w:rsid w:val="00EB4FD0"/>
    <w:rsid w:val="00EC6FEA"/>
    <w:rsid w:val="00EE006D"/>
    <w:rsid w:val="00F64F09"/>
    <w:rsid w:val="00F72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3CBE"/>
    <w:rPr>
      <w:rFonts w:ascii="Arial" w:hAnsi="Arial"/>
      <w:sz w:val="24"/>
    </w:rPr>
  </w:style>
  <w:style w:type="paragraph" w:styleId="Heading1">
    <w:name w:val="heading 1"/>
    <w:basedOn w:val="Normal"/>
    <w:next w:val="Normal"/>
    <w:link w:val="Heading1Char"/>
    <w:uiPriority w:val="9"/>
    <w:qFormat/>
    <w:rsid w:val="00E33CB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33CB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1B5F04"/>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CBE"/>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E33CBE"/>
    <w:rPr>
      <w:rFonts w:ascii="Arial" w:eastAsiaTheme="majorEastAsia" w:hAnsi="Arial" w:cstheme="majorBidi"/>
      <w:b/>
      <w:color w:val="2F5496" w:themeColor="accent1" w:themeShade="BF"/>
      <w:sz w:val="28"/>
      <w:szCs w:val="26"/>
    </w:rPr>
  </w:style>
  <w:style w:type="paragraph" w:styleId="Header">
    <w:name w:val="header"/>
    <w:basedOn w:val="Normal"/>
    <w:link w:val="HeaderChar"/>
    <w:uiPriority w:val="99"/>
    <w:unhideWhenUsed/>
    <w:rsid w:val="00E33CB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33CBE"/>
    <w:rPr>
      <w:rFonts w:ascii="Arial" w:hAnsi="Arial"/>
      <w:sz w:val="24"/>
    </w:rPr>
  </w:style>
  <w:style w:type="paragraph" w:styleId="Footer">
    <w:name w:val="footer"/>
    <w:basedOn w:val="Normal"/>
    <w:link w:val="FooterChar"/>
    <w:uiPriority w:val="99"/>
    <w:unhideWhenUsed/>
    <w:rsid w:val="00E33CB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33CBE"/>
    <w:rPr>
      <w:rFonts w:ascii="Arial" w:hAnsi="Arial"/>
      <w:sz w:val="24"/>
    </w:rPr>
  </w:style>
  <w:style w:type="paragraph" w:styleId="ListParagraph">
    <w:name w:val="List Paragraph"/>
    <w:basedOn w:val="Normal"/>
    <w:uiPriority w:val="34"/>
    <w:qFormat/>
    <w:rsid w:val="008934AD"/>
    <w:pPr>
      <w:ind w:left="720"/>
      <w:contextualSpacing/>
    </w:pPr>
  </w:style>
  <w:style w:type="character" w:customStyle="1" w:styleId="Heading3Char">
    <w:name w:val="Heading 3 Char"/>
    <w:basedOn w:val="DefaultParagraphFont"/>
    <w:link w:val="Heading3"/>
    <w:uiPriority w:val="9"/>
    <w:rsid w:val="001B5F04"/>
    <w:rPr>
      <w:rFonts w:ascii="Arial" w:eastAsiaTheme="majorEastAsia" w:hAnsi="Arial" w:cstheme="majorBidi"/>
      <w:b/>
      <w:color w:val="1F3763" w:themeColor="accent1" w:themeShade="7F"/>
      <w:sz w:val="24"/>
      <w:szCs w:val="24"/>
    </w:rPr>
  </w:style>
  <w:style w:type="character" w:styleId="Strong">
    <w:name w:val="Strong"/>
    <w:basedOn w:val="DefaultParagraphFont"/>
    <w:uiPriority w:val="22"/>
    <w:qFormat/>
    <w:rsid w:val="00B03C9A"/>
    <w:rPr>
      <w:b/>
      <w:bCs/>
    </w:rPr>
  </w:style>
  <w:style w:type="table" w:customStyle="1" w:styleId="GridTable1Light">
    <w:name w:val="Grid Table 1 Light"/>
    <w:basedOn w:val="TableNormal"/>
    <w:uiPriority w:val="46"/>
    <w:rsid w:val="003134E1"/>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4Accent6">
    <w:name w:val="Grid Table 4 Accent 6"/>
    <w:basedOn w:val="TableNormal"/>
    <w:uiPriority w:val="49"/>
    <w:rsid w:val="003134E1"/>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5">
    <w:name w:val="Grid Table 4 Accent 5"/>
    <w:basedOn w:val="TableNormal"/>
    <w:uiPriority w:val="49"/>
    <w:rsid w:val="003134E1"/>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39"/>
    <w:rsid w:val="003134E1"/>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4">
    <w:name w:val="Grid Table 4 Accent 4"/>
    <w:basedOn w:val="TableNormal"/>
    <w:uiPriority w:val="49"/>
    <w:rsid w:val="003134E1"/>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4Accent1">
    <w:name w:val="Grid Table 4 Accent 1"/>
    <w:basedOn w:val="TableNormal"/>
    <w:uiPriority w:val="49"/>
    <w:rsid w:val="003134E1"/>
    <w:pPr>
      <w:spacing w:after="0" w:line="240" w:lineRule="auto"/>
    </w:p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1B5F0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B5F04"/>
    <w:pPr>
      <w:spacing w:after="100"/>
    </w:pPr>
  </w:style>
  <w:style w:type="paragraph" w:styleId="TOC2">
    <w:name w:val="toc 2"/>
    <w:basedOn w:val="Normal"/>
    <w:next w:val="Normal"/>
    <w:autoRedefine/>
    <w:uiPriority w:val="39"/>
    <w:unhideWhenUsed/>
    <w:rsid w:val="001B5F04"/>
    <w:pPr>
      <w:spacing w:after="100"/>
      <w:ind w:left="240"/>
    </w:pPr>
  </w:style>
  <w:style w:type="paragraph" w:styleId="TOC3">
    <w:name w:val="toc 3"/>
    <w:basedOn w:val="Normal"/>
    <w:next w:val="Normal"/>
    <w:autoRedefine/>
    <w:uiPriority w:val="39"/>
    <w:unhideWhenUsed/>
    <w:rsid w:val="001B5F04"/>
    <w:pPr>
      <w:spacing w:after="100"/>
      <w:ind w:left="480"/>
    </w:pPr>
  </w:style>
  <w:style w:type="character" w:styleId="Hyperlink">
    <w:name w:val="Hyperlink"/>
    <w:basedOn w:val="DefaultParagraphFont"/>
    <w:uiPriority w:val="99"/>
    <w:unhideWhenUsed/>
    <w:rsid w:val="001B5F04"/>
    <w:rPr>
      <w:color w:val="0563C1" w:themeColor="hyperlink"/>
      <w:u w:val="single"/>
    </w:rPr>
  </w:style>
  <w:style w:type="paragraph" w:styleId="Caption">
    <w:name w:val="caption"/>
    <w:basedOn w:val="Normal"/>
    <w:next w:val="Normal"/>
    <w:uiPriority w:val="35"/>
    <w:unhideWhenUsed/>
    <w:qFormat/>
    <w:rsid w:val="00964A7B"/>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D485E"/>
    <w:pPr>
      <w:spacing w:after="0"/>
    </w:pPr>
  </w:style>
  <w:style w:type="character" w:customStyle="1" w:styleId="UnresolvedMention">
    <w:name w:val="Unresolved Mention"/>
    <w:basedOn w:val="DefaultParagraphFont"/>
    <w:uiPriority w:val="99"/>
    <w:semiHidden/>
    <w:unhideWhenUsed/>
    <w:rsid w:val="009D485E"/>
    <w:rPr>
      <w:color w:val="605E5C"/>
      <w:shd w:val="clear" w:color="auto" w:fill="E1DFDD"/>
    </w:rPr>
  </w:style>
  <w:style w:type="paragraph" w:styleId="BalloonText">
    <w:name w:val="Balloon Text"/>
    <w:basedOn w:val="Normal"/>
    <w:link w:val="BalloonTextChar"/>
    <w:uiPriority w:val="99"/>
    <w:semiHidden/>
    <w:unhideWhenUsed/>
    <w:rsid w:val="006F4F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FC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3CBE"/>
    <w:rPr>
      <w:rFonts w:ascii="Arial" w:hAnsi="Arial"/>
      <w:sz w:val="24"/>
    </w:rPr>
  </w:style>
  <w:style w:type="paragraph" w:styleId="Heading1">
    <w:name w:val="heading 1"/>
    <w:basedOn w:val="Normal"/>
    <w:next w:val="Normal"/>
    <w:link w:val="Heading1Char"/>
    <w:uiPriority w:val="9"/>
    <w:qFormat/>
    <w:rsid w:val="00E33CB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33CB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1B5F04"/>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CBE"/>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E33CBE"/>
    <w:rPr>
      <w:rFonts w:ascii="Arial" w:eastAsiaTheme="majorEastAsia" w:hAnsi="Arial" w:cstheme="majorBidi"/>
      <w:b/>
      <w:color w:val="2F5496" w:themeColor="accent1" w:themeShade="BF"/>
      <w:sz w:val="28"/>
      <w:szCs w:val="26"/>
    </w:rPr>
  </w:style>
  <w:style w:type="paragraph" w:styleId="Header">
    <w:name w:val="header"/>
    <w:basedOn w:val="Normal"/>
    <w:link w:val="HeaderChar"/>
    <w:uiPriority w:val="99"/>
    <w:unhideWhenUsed/>
    <w:rsid w:val="00E33CB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33CBE"/>
    <w:rPr>
      <w:rFonts w:ascii="Arial" w:hAnsi="Arial"/>
      <w:sz w:val="24"/>
    </w:rPr>
  </w:style>
  <w:style w:type="paragraph" w:styleId="Footer">
    <w:name w:val="footer"/>
    <w:basedOn w:val="Normal"/>
    <w:link w:val="FooterChar"/>
    <w:uiPriority w:val="99"/>
    <w:unhideWhenUsed/>
    <w:rsid w:val="00E33CB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33CBE"/>
    <w:rPr>
      <w:rFonts w:ascii="Arial" w:hAnsi="Arial"/>
      <w:sz w:val="24"/>
    </w:rPr>
  </w:style>
  <w:style w:type="paragraph" w:styleId="ListParagraph">
    <w:name w:val="List Paragraph"/>
    <w:basedOn w:val="Normal"/>
    <w:uiPriority w:val="34"/>
    <w:qFormat/>
    <w:rsid w:val="008934AD"/>
    <w:pPr>
      <w:ind w:left="720"/>
      <w:contextualSpacing/>
    </w:pPr>
  </w:style>
  <w:style w:type="character" w:customStyle="1" w:styleId="Heading3Char">
    <w:name w:val="Heading 3 Char"/>
    <w:basedOn w:val="DefaultParagraphFont"/>
    <w:link w:val="Heading3"/>
    <w:uiPriority w:val="9"/>
    <w:rsid w:val="001B5F04"/>
    <w:rPr>
      <w:rFonts w:ascii="Arial" w:eastAsiaTheme="majorEastAsia" w:hAnsi="Arial" w:cstheme="majorBidi"/>
      <w:b/>
      <w:color w:val="1F3763" w:themeColor="accent1" w:themeShade="7F"/>
      <w:sz w:val="24"/>
      <w:szCs w:val="24"/>
    </w:rPr>
  </w:style>
  <w:style w:type="character" w:styleId="Strong">
    <w:name w:val="Strong"/>
    <w:basedOn w:val="DefaultParagraphFont"/>
    <w:uiPriority w:val="22"/>
    <w:qFormat/>
    <w:rsid w:val="00B03C9A"/>
    <w:rPr>
      <w:b/>
      <w:bCs/>
    </w:rPr>
  </w:style>
  <w:style w:type="table" w:customStyle="1" w:styleId="GridTable1Light">
    <w:name w:val="Grid Table 1 Light"/>
    <w:basedOn w:val="TableNormal"/>
    <w:uiPriority w:val="46"/>
    <w:rsid w:val="003134E1"/>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4Accent6">
    <w:name w:val="Grid Table 4 Accent 6"/>
    <w:basedOn w:val="TableNormal"/>
    <w:uiPriority w:val="49"/>
    <w:rsid w:val="003134E1"/>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5">
    <w:name w:val="Grid Table 4 Accent 5"/>
    <w:basedOn w:val="TableNormal"/>
    <w:uiPriority w:val="49"/>
    <w:rsid w:val="003134E1"/>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39"/>
    <w:rsid w:val="003134E1"/>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4">
    <w:name w:val="Grid Table 4 Accent 4"/>
    <w:basedOn w:val="TableNormal"/>
    <w:uiPriority w:val="49"/>
    <w:rsid w:val="003134E1"/>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4Accent1">
    <w:name w:val="Grid Table 4 Accent 1"/>
    <w:basedOn w:val="TableNormal"/>
    <w:uiPriority w:val="49"/>
    <w:rsid w:val="003134E1"/>
    <w:pPr>
      <w:spacing w:after="0" w:line="240" w:lineRule="auto"/>
    </w:p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1B5F0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B5F04"/>
    <w:pPr>
      <w:spacing w:after="100"/>
    </w:pPr>
  </w:style>
  <w:style w:type="paragraph" w:styleId="TOC2">
    <w:name w:val="toc 2"/>
    <w:basedOn w:val="Normal"/>
    <w:next w:val="Normal"/>
    <w:autoRedefine/>
    <w:uiPriority w:val="39"/>
    <w:unhideWhenUsed/>
    <w:rsid w:val="001B5F04"/>
    <w:pPr>
      <w:spacing w:after="100"/>
      <w:ind w:left="240"/>
    </w:pPr>
  </w:style>
  <w:style w:type="paragraph" w:styleId="TOC3">
    <w:name w:val="toc 3"/>
    <w:basedOn w:val="Normal"/>
    <w:next w:val="Normal"/>
    <w:autoRedefine/>
    <w:uiPriority w:val="39"/>
    <w:unhideWhenUsed/>
    <w:rsid w:val="001B5F04"/>
    <w:pPr>
      <w:spacing w:after="100"/>
      <w:ind w:left="480"/>
    </w:pPr>
  </w:style>
  <w:style w:type="character" w:styleId="Hyperlink">
    <w:name w:val="Hyperlink"/>
    <w:basedOn w:val="DefaultParagraphFont"/>
    <w:uiPriority w:val="99"/>
    <w:unhideWhenUsed/>
    <w:rsid w:val="001B5F04"/>
    <w:rPr>
      <w:color w:val="0563C1" w:themeColor="hyperlink"/>
      <w:u w:val="single"/>
    </w:rPr>
  </w:style>
  <w:style w:type="paragraph" w:styleId="Caption">
    <w:name w:val="caption"/>
    <w:basedOn w:val="Normal"/>
    <w:next w:val="Normal"/>
    <w:uiPriority w:val="35"/>
    <w:unhideWhenUsed/>
    <w:qFormat/>
    <w:rsid w:val="00964A7B"/>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D485E"/>
    <w:pPr>
      <w:spacing w:after="0"/>
    </w:pPr>
  </w:style>
  <w:style w:type="character" w:customStyle="1" w:styleId="UnresolvedMention">
    <w:name w:val="Unresolved Mention"/>
    <w:basedOn w:val="DefaultParagraphFont"/>
    <w:uiPriority w:val="99"/>
    <w:semiHidden/>
    <w:unhideWhenUsed/>
    <w:rsid w:val="009D485E"/>
    <w:rPr>
      <w:color w:val="605E5C"/>
      <w:shd w:val="clear" w:color="auto" w:fill="E1DFDD"/>
    </w:rPr>
  </w:style>
  <w:style w:type="paragraph" w:styleId="BalloonText">
    <w:name w:val="Balloon Text"/>
    <w:basedOn w:val="Normal"/>
    <w:link w:val="BalloonTextChar"/>
    <w:uiPriority w:val="99"/>
    <w:semiHidden/>
    <w:unhideWhenUsed/>
    <w:rsid w:val="006F4F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F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98708">
      <w:bodyDiv w:val="1"/>
      <w:marLeft w:val="0"/>
      <w:marRight w:val="0"/>
      <w:marTop w:val="0"/>
      <w:marBottom w:val="0"/>
      <w:divBdr>
        <w:top w:val="none" w:sz="0" w:space="0" w:color="auto"/>
        <w:left w:val="none" w:sz="0" w:space="0" w:color="auto"/>
        <w:bottom w:val="none" w:sz="0" w:space="0" w:color="auto"/>
        <w:right w:val="none" w:sz="0" w:space="0" w:color="auto"/>
      </w:divBdr>
    </w:div>
    <w:div w:id="45835260">
      <w:bodyDiv w:val="1"/>
      <w:marLeft w:val="0"/>
      <w:marRight w:val="0"/>
      <w:marTop w:val="0"/>
      <w:marBottom w:val="0"/>
      <w:divBdr>
        <w:top w:val="none" w:sz="0" w:space="0" w:color="auto"/>
        <w:left w:val="none" w:sz="0" w:space="0" w:color="auto"/>
        <w:bottom w:val="none" w:sz="0" w:space="0" w:color="auto"/>
        <w:right w:val="none" w:sz="0" w:space="0" w:color="auto"/>
      </w:divBdr>
    </w:div>
    <w:div w:id="71784557">
      <w:bodyDiv w:val="1"/>
      <w:marLeft w:val="0"/>
      <w:marRight w:val="0"/>
      <w:marTop w:val="0"/>
      <w:marBottom w:val="0"/>
      <w:divBdr>
        <w:top w:val="none" w:sz="0" w:space="0" w:color="auto"/>
        <w:left w:val="none" w:sz="0" w:space="0" w:color="auto"/>
        <w:bottom w:val="none" w:sz="0" w:space="0" w:color="auto"/>
        <w:right w:val="none" w:sz="0" w:space="0" w:color="auto"/>
      </w:divBdr>
    </w:div>
    <w:div w:id="86847563">
      <w:bodyDiv w:val="1"/>
      <w:marLeft w:val="0"/>
      <w:marRight w:val="0"/>
      <w:marTop w:val="0"/>
      <w:marBottom w:val="0"/>
      <w:divBdr>
        <w:top w:val="none" w:sz="0" w:space="0" w:color="auto"/>
        <w:left w:val="none" w:sz="0" w:space="0" w:color="auto"/>
        <w:bottom w:val="none" w:sz="0" w:space="0" w:color="auto"/>
        <w:right w:val="none" w:sz="0" w:space="0" w:color="auto"/>
      </w:divBdr>
    </w:div>
    <w:div w:id="176505173">
      <w:bodyDiv w:val="1"/>
      <w:marLeft w:val="0"/>
      <w:marRight w:val="0"/>
      <w:marTop w:val="0"/>
      <w:marBottom w:val="0"/>
      <w:divBdr>
        <w:top w:val="none" w:sz="0" w:space="0" w:color="auto"/>
        <w:left w:val="none" w:sz="0" w:space="0" w:color="auto"/>
        <w:bottom w:val="none" w:sz="0" w:space="0" w:color="auto"/>
        <w:right w:val="none" w:sz="0" w:space="0" w:color="auto"/>
      </w:divBdr>
    </w:div>
    <w:div w:id="380180087">
      <w:bodyDiv w:val="1"/>
      <w:marLeft w:val="0"/>
      <w:marRight w:val="0"/>
      <w:marTop w:val="0"/>
      <w:marBottom w:val="0"/>
      <w:divBdr>
        <w:top w:val="none" w:sz="0" w:space="0" w:color="auto"/>
        <w:left w:val="none" w:sz="0" w:space="0" w:color="auto"/>
        <w:bottom w:val="none" w:sz="0" w:space="0" w:color="auto"/>
        <w:right w:val="none" w:sz="0" w:space="0" w:color="auto"/>
      </w:divBdr>
    </w:div>
    <w:div w:id="442502469">
      <w:bodyDiv w:val="1"/>
      <w:marLeft w:val="0"/>
      <w:marRight w:val="0"/>
      <w:marTop w:val="0"/>
      <w:marBottom w:val="0"/>
      <w:divBdr>
        <w:top w:val="none" w:sz="0" w:space="0" w:color="auto"/>
        <w:left w:val="none" w:sz="0" w:space="0" w:color="auto"/>
        <w:bottom w:val="none" w:sz="0" w:space="0" w:color="auto"/>
        <w:right w:val="none" w:sz="0" w:space="0" w:color="auto"/>
      </w:divBdr>
    </w:div>
    <w:div w:id="467549429">
      <w:bodyDiv w:val="1"/>
      <w:marLeft w:val="0"/>
      <w:marRight w:val="0"/>
      <w:marTop w:val="0"/>
      <w:marBottom w:val="0"/>
      <w:divBdr>
        <w:top w:val="none" w:sz="0" w:space="0" w:color="auto"/>
        <w:left w:val="none" w:sz="0" w:space="0" w:color="auto"/>
        <w:bottom w:val="none" w:sz="0" w:space="0" w:color="auto"/>
        <w:right w:val="none" w:sz="0" w:space="0" w:color="auto"/>
      </w:divBdr>
      <w:divsChild>
        <w:div w:id="296301319">
          <w:marLeft w:val="0"/>
          <w:marRight w:val="0"/>
          <w:marTop w:val="0"/>
          <w:marBottom w:val="0"/>
          <w:divBdr>
            <w:top w:val="none" w:sz="0" w:space="0" w:color="auto"/>
            <w:left w:val="none" w:sz="0" w:space="0" w:color="auto"/>
            <w:bottom w:val="none" w:sz="0" w:space="0" w:color="auto"/>
            <w:right w:val="none" w:sz="0" w:space="0" w:color="auto"/>
          </w:divBdr>
        </w:div>
      </w:divsChild>
    </w:div>
    <w:div w:id="523860057">
      <w:bodyDiv w:val="1"/>
      <w:marLeft w:val="0"/>
      <w:marRight w:val="0"/>
      <w:marTop w:val="0"/>
      <w:marBottom w:val="0"/>
      <w:divBdr>
        <w:top w:val="none" w:sz="0" w:space="0" w:color="auto"/>
        <w:left w:val="none" w:sz="0" w:space="0" w:color="auto"/>
        <w:bottom w:val="none" w:sz="0" w:space="0" w:color="auto"/>
        <w:right w:val="none" w:sz="0" w:space="0" w:color="auto"/>
      </w:divBdr>
    </w:div>
    <w:div w:id="602343861">
      <w:bodyDiv w:val="1"/>
      <w:marLeft w:val="0"/>
      <w:marRight w:val="0"/>
      <w:marTop w:val="0"/>
      <w:marBottom w:val="0"/>
      <w:divBdr>
        <w:top w:val="none" w:sz="0" w:space="0" w:color="auto"/>
        <w:left w:val="none" w:sz="0" w:space="0" w:color="auto"/>
        <w:bottom w:val="none" w:sz="0" w:space="0" w:color="auto"/>
        <w:right w:val="none" w:sz="0" w:space="0" w:color="auto"/>
      </w:divBdr>
    </w:div>
    <w:div w:id="699279523">
      <w:bodyDiv w:val="1"/>
      <w:marLeft w:val="0"/>
      <w:marRight w:val="0"/>
      <w:marTop w:val="0"/>
      <w:marBottom w:val="0"/>
      <w:divBdr>
        <w:top w:val="none" w:sz="0" w:space="0" w:color="auto"/>
        <w:left w:val="none" w:sz="0" w:space="0" w:color="auto"/>
        <w:bottom w:val="none" w:sz="0" w:space="0" w:color="auto"/>
        <w:right w:val="none" w:sz="0" w:space="0" w:color="auto"/>
      </w:divBdr>
    </w:div>
    <w:div w:id="717553973">
      <w:bodyDiv w:val="1"/>
      <w:marLeft w:val="0"/>
      <w:marRight w:val="0"/>
      <w:marTop w:val="0"/>
      <w:marBottom w:val="0"/>
      <w:divBdr>
        <w:top w:val="none" w:sz="0" w:space="0" w:color="auto"/>
        <w:left w:val="none" w:sz="0" w:space="0" w:color="auto"/>
        <w:bottom w:val="none" w:sz="0" w:space="0" w:color="auto"/>
        <w:right w:val="none" w:sz="0" w:space="0" w:color="auto"/>
      </w:divBdr>
    </w:div>
    <w:div w:id="743604133">
      <w:bodyDiv w:val="1"/>
      <w:marLeft w:val="0"/>
      <w:marRight w:val="0"/>
      <w:marTop w:val="0"/>
      <w:marBottom w:val="0"/>
      <w:divBdr>
        <w:top w:val="none" w:sz="0" w:space="0" w:color="auto"/>
        <w:left w:val="none" w:sz="0" w:space="0" w:color="auto"/>
        <w:bottom w:val="none" w:sz="0" w:space="0" w:color="auto"/>
        <w:right w:val="none" w:sz="0" w:space="0" w:color="auto"/>
      </w:divBdr>
    </w:div>
    <w:div w:id="855116170">
      <w:bodyDiv w:val="1"/>
      <w:marLeft w:val="0"/>
      <w:marRight w:val="0"/>
      <w:marTop w:val="0"/>
      <w:marBottom w:val="0"/>
      <w:divBdr>
        <w:top w:val="none" w:sz="0" w:space="0" w:color="auto"/>
        <w:left w:val="none" w:sz="0" w:space="0" w:color="auto"/>
        <w:bottom w:val="none" w:sz="0" w:space="0" w:color="auto"/>
        <w:right w:val="none" w:sz="0" w:space="0" w:color="auto"/>
      </w:divBdr>
    </w:div>
    <w:div w:id="860509901">
      <w:bodyDiv w:val="1"/>
      <w:marLeft w:val="0"/>
      <w:marRight w:val="0"/>
      <w:marTop w:val="0"/>
      <w:marBottom w:val="0"/>
      <w:divBdr>
        <w:top w:val="none" w:sz="0" w:space="0" w:color="auto"/>
        <w:left w:val="none" w:sz="0" w:space="0" w:color="auto"/>
        <w:bottom w:val="none" w:sz="0" w:space="0" w:color="auto"/>
        <w:right w:val="none" w:sz="0" w:space="0" w:color="auto"/>
      </w:divBdr>
    </w:div>
    <w:div w:id="891691421">
      <w:bodyDiv w:val="1"/>
      <w:marLeft w:val="0"/>
      <w:marRight w:val="0"/>
      <w:marTop w:val="0"/>
      <w:marBottom w:val="0"/>
      <w:divBdr>
        <w:top w:val="none" w:sz="0" w:space="0" w:color="auto"/>
        <w:left w:val="none" w:sz="0" w:space="0" w:color="auto"/>
        <w:bottom w:val="none" w:sz="0" w:space="0" w:color="auto"/>
        <w:right w:val="none" w:sz="0" w:space="0" w:color="auto"/>
      </w:divBdr>
    </w:div>
    <w:div w:id="910701628">
      <w:bodyDiv w:val="1"/>
      <w:marLeft w:val="0"/>
      <w:marRight w:val="0"/>
      <w:marTop w:val="0"/>
      <w:marBottom w:val="0"/>
      <w:divBdr>
        <w:top w:val="none" w:sz="0" w:space="0" w:color="auto"/>
        <w:left w:val="none" w:sz="0" w:space="0" w:color="auto"/>
        <w:bottom w:val="none" w:sz="0" w:space="0" w:color="auto"/>
        <w:right w:val="none" w:sz="0" w:space="0" w:color="auto"/>
      </w:divBdr>
    </w:div>
    <w:div w:id="913664081">
      <w:bodyDiv w:val="1"/>
      <w:marLeft w:val="0"/>
      <w:marRight w:val="0"/>
      <w:marTop w:val="0"/>
      <w:marBottom w:val="0"/>
      <w:divBdr>
        <w:top w:val="none" w:sz="0" w:space="0" w:color="auto"/>
        <w:left w:val="none" w:sz="0" w:space="0" w:color="auto"/>
        <w:bottom w:val="none" w:sz="0" w:space="0" w:color="auto"/>
        <w:right w:val="none" w:sz="0" w:space="0" w:color="auto"/>
      </w:divBdr>
    </w:div>
    <w:div w:id="918902635">
      <w:bodyDiv w:val="1"/>
      <w:marLeft w:val="0"/>
      <w:marRight w:val="0"/>
      <w:marTop w:val="0"/>
      <w:marBottom w:val="0"/>
      <w:divBdr>
        <w:top w:val="none" w:sz="0" w:space="0" w:color="auto"/>
        <w:left w:val="none" w:sz="0" w:space="0" w:color="auto"/>
        <w:bottom w:val="none" w:sz="0" w:space="0" w:color="auto"/>
        <w:right w:val="none" w:sz="0" w:space="0" w:color="auto"/>
      </w:divBdr>
    </w:div>
    <w:div w:id="931276771">
      <w:bodyDiv w:val="1"/>
      <w:marLeft w:val="0"/>
      <w:marRight w:val="0"/>
      <w:marTop w:val="0"/>
      <w:marBottom w:val="0"/>
      <w:divBdr>
        <w:top w:val="none" w:sz="0" w:space="0" w:color="auto"/>
        <w:left w:val="none" w:sz="0" w:space="0" w:color="auto"/>
        <w:bottom w:val="none" w:sz="0" w:space="0" w:color="auto"/>
        <w:right w:val="none" w:sz="0" w:space="0" w:color="auto"/>
      </w:divBdr>
    </w:div>
    <w:div w:id="999775399">
      <w:bodyDiv w:val="1"/>
      <w:marLeft w:val="0"/>
      <w:marRight w:val="0"/>
      <w:marTop w:val="0"/>
      <w:marBottom w:val="0"/>
      <w:divBdr>
        <w:top w:val="none" w:sz="0" w:space="0" w:color="auto"/>
        <w:left w:val="none" w:sz="0" w:space="0" w:color="auto"/>
        <w:bottom w:val="none" w:sz="0" w:space="0" w:color="auto"/>
        <w:right w:val="none" w:sz="0" w:space="0" w:color="auto"/>
      </w:divBdr>
      <w:divsChild>
        <w:div w:id="1473793988">
          <w:marLeft w:val="0"/>
          <w:marRight w:val="0"/>
          <w:marTop w:val="0"/>
          <w:marBottom w:val="0"/>
          <w:divBdr>
            <w:top w:val="none" w:sz="0" w:space="0" w:color="auto"/>
            <w:left w:val="none" w:sz="0" w:space="0" w:color="auto"/>
            <w:bottom w:val="none" w:sz="0" w:space="0" w:color="auto"/>
            <w:right w:val="none" w:sz="0" w:space="0" w:color="auto"/>
          </w:divBdr>
          <w:divsChild>
            <w:div w:id="783689022">
              <w:marLeft w:val="0"/>
              <w:marRight w:val="0"/>
              <w:marTop w:val="0"/>
              <w:marBottom w:val="0"/>
              <w:divBdr>
                <w:top w:val="none" w:sz="0" w:space="0" w:color="auto"/>
                <w:left w:val="none" w:sz="0" w:space="0" w:color="auto"/>
                <w:bottom w:val="none" w:sz="0" w:space="0" w:color="auto"/>
                <w:right w:val="none" w:sz="0" w:space="0" w:color="auto"/>
              </w:divBdr>
              <w:divsChild>
                <w:div w:id="63337158">
                  <w:marLeft w:val="0"/>
                  <w:marRight w:val="0"/>
                  <w:marTop w:val="0"/>
                  <w:marBottom w:val="0"/>
                  <w:divBdr>
                    <w:top w:val="none" w:sz="0" w:space="0" w:color="auto"/>
                    <w:left w:val="none" w:sz="0" w:space="0" w:color="auto"/>
                    <w:bottom w:val="none" w:sz="0" w:space="0" w:color="auto"/>
                    <w:right w:val="none" w:sz="0" w:space="0" w:color="auto"/>
                  </w:divBdr>
                  <w:divsChild>
                    <w:div w:id="1957180533">
                      <w:marLeft w:val="0"/>
                      <w:marRight w:val="0"/>
                      <w:marTop w:val="0"/>
                      <w:marBottom w:val="0"/>
                      <w:divBdr>
                        <w:top w:val="none" w:sz="0" w:space="0" w:color="auto"/>
                        <w:left w:val="none" w:sz="0" w:space="0" w:color="auto"/>
                        <w:bottom w:val="none" w:sz="0" w:space="0" w:color="auto"/>
                        <w:right w:val="none" w:sz="0" w:space="0" w:color="auto"/>
                      </w:divBdr>
                      <w:divsChild>
                        <w:div w:id="1253272947">
                          <w:marLeft w:val="0"/>
                          <w:marRight w:val="0"/>
                          <w:marTop w:val="0"/>
                          <w:marBottom w:val="0"/>
                          <w:divBdr>
                            <w:top w:val="none" w:sz="0" w:space="0" w:color="auto"/>
                            <w:left w:val="none" w:sz="0" w:space="0" w:color="auto"/>
                            <w:bottom w:val="none" w:sz="0" w:space="0" w:color="auto"/>
                            <w:right w:val="none" w:sz="0" w:space="0" w:color="auto"/>
                          </w:divBdr>
                          <w:divsChild>
                            <w:div w:id="83060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6707588">
      <w:bodyDiv w:val="1"/>
      <w:marLeft w:val="0"/>
      <w:marRight w:val="0"/>
      <w:marTop w:val="0"/>
      <w:marBottom w:val="0"/>
      <w:divBdr>
        <w:top w:val="none" w:sz="0" w:space="0" w:color="auto"/>
        <w:left w:val="none" w:sz="0" w:space="0" w:color="auto"/>
        <w:bottom w:val="none" w:sz="0" w:space="0" w:color="auto"/>
        <w:right w:val="none" w:sz="0" w:space="0" w:color="auto"/>
      </w:divBdr>
    </w:div>
    <w:div w:id="1051078656">
      <w:bodyDiv w:val="1"/>
      <w:marLeft w:val="0"/>
      <w:marRight w:val="0"/>
      <w:marTop w:val="0"/>
      <w:marBottom w:val="0"/>
      <w:divBdr>
        <w:top w:val="none" w:sz="0" w:space="0" w:color="auto"/>
        <w:left w:val="none" w:sz="0" w:space="0" w:color="auto"/>
        <w:bottom w:val="none" w:sz="0" w:space="0" w:color="auto"/>
        <w:right w:val="none" w:sz="0" w:space="0" w:color="auto"/>
      </w:divBdr>
    </w:div>
    <w:div w:id="1125393309">
      <w:bodyDiv w:val="1"/>
      <w:marLeft w:val="0"/>
      <w:marRight w:val="0"/>
      <w:marTop w:val="0"/>
      <w:marBottom w:val="0"/>
      <w:divBdr>
        <w:top w:val="none" w:sz="0" w:space="0" w:color="auto"/>
        <w:left w:val="none" w:sz="0" w:space="0" w:color="auto"/>
        <w:bottom w:val="none" w:sz="0" w:space="0" w:color="auto"/>
        <w:right w:val="none" w:sz="0" w:space="0" w:color="auto"/>
      </w:divBdr>
    </w:div>
    <w:div w:id="1173185305">
      <w:bodyDiv w:val="1"/>
      <w:marLeft w:val="0"/>
      <w:marRight w:val="0"/>
      <w:marTop w:val="0"/>
      <w:marBottom w:val="0"/>
      <w:divBdr>
        <w:top w:val="none" w:sz="0" w:space="0" w:color="auto"/>
        <w:left w:val="none" w:sz="0" w:space="0" w:color="auto"/>
        <w:bottom w:val="none" w:sz="0" w:space="0" w:color="auto"/>
        <w:right w:val="none" w:sz="0" w:space="0" w:color="auto"/>
      </w:divBdr>
    </w:div>
    <w:div w:id="1203908398">
      <w:bodyDiv w:val="1"/>
      <w:marLeft w:val="0"/>
      <w:marRight w:val="0"/>
      <w:marTop w:val="0"/>
      <w:marBottom w:val="0"/>
      <w:divBdr>
        <w:top w:val="none" w:sz="0" w:space="0" w:color="auto"/>
        <w:left w:val="none" w:sz="0" w:space="0" w:color="auto"/>
        <w:bottom w:val="none" w:sz="0" w:space="0" w:color="auto"/>
        <w:right w:val="none" w:sz="0" w:space="0" w:color="auto"/>
      </w:divBdr>
    </w:div>
    <w:div w:id="1273514305">
      <w:bodyDiv w:val="1"/>
      <w:marLeft w:val="0"/>
      <w:marRight w:val="0"/>
      <w:marTop w:val="0"/>
      <w:marBottom w:val="0"/>
      <w:divBdr>
        <w:top w:val="none" w:sz="0" w:space="0" w:color="auto"/>
        <w:left w:val="none" w:sz="0" w:space="0" w:color="auto"/>
        <w:bottom w:val="none" w:sz="0" w:space="0" w:color="auto"/>
        <w:right w:val="none" w:sz="0" w:space="0" w:color="auto"/>
      </w:divBdr>
    </w:div>
    <w:div w:id="1383137925">
      <w:bodyDiv w:val="1"/>
      <w:marLeft w:val="0"/>
      <w:marRight w:val="0"/>
      <w:marTop w:val="0"/>
      <w:marBottom w:val="0"/>
      <w:divBdr>
        <w:top w:val="none" w:sz="0" w:space="0" w:color="auto"/>
        <w:left w:val="none" w:sz="0" w:space="0" w:color="auto"/>
        <w:bottom w:val="none" w:sz="0" w:space="0" w:color="auto"/>
        <w:right w:val="none" w:sz="0" w:space="0" w:color="auto"/>
      </w:divBdr>
    </w:div>
    <w:div w:id="1421020915">
      <w:bodyDiv w:val="1"/>
      <w:marLeft w:val="0"/>
      <w:marRight w:val="0"/>
      <w:marTop w:val="0"/>
      <w:marBottom w:val="0"/>
      <w:divBdr>
        <w:top w:val="none" w:sz="0" w:space="0" w:color="auto"/>
        <w:left w:val="none" w:sz="0" w:space="0" w:color="auto"/>
        <w:bottom w:val="none" w:sz="0" w:space="0" w:color="auto"/>
        <w:right w:val="none" w:sz="0" w:space="0" w:color="auto"/>
      </w:divBdr>
    </w:div>
    <w:div w:id="1429500303">
      <w:bodyDiv w:val="1"/>
      <w:marLeft w:val="0"/>
      <w:marRight w:val="0"/>
      <w:marTop w:val="0"/>
      <w:marBottom w:val="0"/>
      <w:divBdr>
        <w:top w:val="none" w:sz="0" w:space="0" w:color="auto"/>
        <w:left w:val="none" w:sz="0" w:space="0" w:color="auto"/>
        <w:bottom w:val="none" w:sz="0" w:space="0" w:color="auto"/>
        <w:right w:val="none" w:sz="0" w:space="0" w:color="auto"/>
      </w:divBdr>
    </w:div>
    <w:div w:id="1431659191">
      <w:bodyDiv w:val="1"/>
      <w:marLeft w:val="0"/>
      <w:marRight w:val="0"/>
      <w:marTop w:val="0"/>
      <w:marBottom w:val="0"/>
      <w:divBdr>
        <w:top w:val="none" w:sz="0" w:space="0" w:color="auto"/>
        <w:left w:val="none" w:sz="0" w:space="0" w:color="auto"/>
        <w:bottom w:val="none" w:sz="0" w:space="0" w:color="auto"/>
        <w:right w:val="none" w:sz="0" w:space="0" w:color="auto"/>
      </w:divBdr>
    </w:div>
    <w:div w:id="1452092088">
      <w:bodyDiv w:val="1"/>
      <w:marLeft w:val="0"/>
      <w:marRight w:val="0"/>
      <w:marTop w:val="0"/>
      <w:marBottom w:val="0"/>
      <w:divBdr>
        <w:top w:val="none" w:sz="0" w:space="0" w:color="auto"/>
        <w:left w:val="none" w:sz="0" w:space="0" w:color="auto"/>
        <w:bottom w:val="none" w:sz="0" w:space="0" w:color="auto"/>
        <w:right w:val="none" w:sz="0" w:space="0" w:color="auto"/>
      </w:divBdr>
    </w:div>
    <w:div w:id="1537695486">
      <w:bodyDiv w:val="1"/>
      <w:marLeft w:val="0"/>
      <w:marRight w:val="0"/>
      <w:marTop w:val="0"/>
      <w:marBottom w:val="0"/>
      <w:divBdr>
        <w:top w:val="none" w:sz="0" w:space="0" w:color="auto"/>
        <w:left w:val="none" w:sz="0" w:space="0" w:color="auto"/>
        <w:bottom w:val="none" w:sz="0" w:space="0" w:color="auto"/>
        <w:right w:val="none" w:sz="0" w:space="0" w:color="auto"/>
      </w:divBdr>
    </w:div>
    <w:div w:id="1545021691">
      <w:bodyDiv w:val="1"/>
      <w:marLeft w:val="0"/>
      <w:marRight w:val="0"/>
      <w:marTop w:val="0"/>
      <w:marBottom w:val="0"/>
      <w:divBdr>
        <w:top w:val="none" w:sz="0" w:space="0" w:color="auto"/>
        <w:left w:val="none" w:sz="0" w:space="0" w:color="auto"/>
        <w:bottom w:val="none" w:sz="0" w:space="0" w:color="auto"/>
        <w:right w:val="none" w:sz="0" w:space="0" w:color="auto"/>
      </w:divBdr>
    </w:div>
    <w:div w:id="1558738917">
      <w:bodyDiv w:val="1"/>
      <w:marLeft w:val="0"/>
      <w:marRight w:val="0"/>
      <w:marTop w:val="0"/>
      <w:marBottom w:val="0"/>
      <w:divBdr>
        <w:top w:val="none" w:sz="0" w:space="0" w:color="auto"/>
        <w:left w:val="none" w:sz="0" w:space="0" w:color="auto"/>
        <w:bottom w:val="none" w:sz="0" w:space="0" w:color="auto"/>
        <w:right w:val="none" w:sz="0" w:space="0" w:color="auto"/>
      </w:divBdr>
    </w:div>
    <w:div w:id="1574971609">
      <w:bodyDiv w:val="1"/>
      <w:marLeft w:val="0"/>
      <w:marRight w:val="0"/>
      <w:marTop w:val="0"/>
      <w:marBottom w:val="0"/>
      <w:divBdr>
        <w:top w:val="none" w:sz="0" w:space="0" w:color="auto"/>
        <w:left w:val="none" w:sz="0" w:space="0" w:color="auto"/>
        <w:bottom w:val="none" w:sz="0" w:space="0" w:color="auto"/>
        <w:right w:val="none" w:sz="0" w:space="0" w:color="auto"/>
      </w:divBdr>
    </w:div>
    <w:div w:id="1678849538">
      <w:bodyDiv w:val="1"/>
      <w:marLeft w:val="0"/>
      <w:marRight w:val="0"/>
      <w:marTop w:val="0"/>
      <w:marBottom w:val="0"/>
      <w:divBdr>
        <w:top w:val="none" w:sz="0" w:space="0" w:color="auto"/>
        <w:left w:val="none" w:sz="0" w:space="0" w:color="auto"/>
        <w:bottom w:val="none" w:sz="0" w:space="0" w:color="auto"/>
        <w:right w:val="none" w:sz="0" w:space="0" w:color="auto"/>
      </w:divBdr>
    </w:div>
    <w:div w:id="1683822285">
      <w:bodyDiv w:val="1"/>
      <w:marLeft w:val="0"/>
      <w:marRight w:val="0"/>
      <w:marTop w:val="0"/>
      <w:marBottom w:val="0"/>
      <w:divBdr>
        <w:top w:val="none" w:sz="0" w:space="0" w:color="auto"/>
        <w:left w:val="none" w:sz="0" w:space="0" w:color="auto"/>
        <w:bottom w:val="none" w:sz="0" w:space="0" w:color="auto"/>
        <w:right w:val="none" w:sz="0" w:space="0" w:color="auto"/>
      </w:divBdr>
    </w:div>
    <w:div w:id="1705981613">
      <w:bodyDiv w:val="1"/>
      <w:marLeft w:val="0"/>
      <w:marRight w:val="0"/>
      <w:marTop w:val="0"/>
      <w:marBottom w:val="0"/>
      <w:divBdr>
        <w:top w:val="none" w:sz="0" w:space="0" w:color="auto"/>
        <w:left w:val="none" w:sz="0" w:space="0" w:color="auto"/>
        <w:bottom w:val="none" w:sz="0" w:space="0" w:color="auto"/>
        <w:right w:val="none" w:sz="0" w:space="0" w:color="auto"/>
      </w:divBdr>
      <w:divsChild>
        <w:div w:id="1807966444">
          <w:marLeft w:val="0"/>
          <w:marRight w:val="0"/>
          <w:marTop w:val="0"/>
          <w:marBottom w:val="0"/>
          <w:divBdr>
            <w:top w:val="none" w:sz="0" w:space="0" w:color="auto"/>
            <w:left w:val="none" w:sz="0" w:space="0" w:color="auto"/>
            <w:bottom w:val="none" w:sz="0" w:space="0" w:color="auto"/>
            <w:right w:val="none" w:sz="0" w:space="0" w:color="auto"/>
          </w:divBdr>
        </w:div>
      </w:divsChild>
    </w:div>
    <w:div w:id="1745179865">
      <w:bodyDiv w:val="1"/>
      <w:marLeft w:val="0"/>
      <w:marRight w:val="0"/>
      <w:marTop w:val="0"/>
      <w:marBottom w:val="0"/>
      <w:divBdr>
        <w:top w:val="none" w:sz="0" w:space="0" w:color="auto"/>
        <w:left w:val="none" w:sz="0" w:space="0" w:color="auto"/>
        <w:bottom w:val="none" w:sz="0" w:space="0" w:color="auto"/>
        <w:right w:val="none" w:sz="0" w:space="0" w:color="auto"/>
      </w:divBdr>
      <w:divsChild>
        <w:div w:id="143594587">
          <w:marLeft w:val="0"/>
          <w:marRight w:val="0"/>
          <w:marTop w:val="0"/>
          <w:marBottom w:val="0"/>
          <w:divBdr>
            <w:top w:val="none" w:sz="0" w:space="0" w:color="auto"/>
            <w:left w:val="none" w:sz="0" w:space="0" w:color="auto"/>
            <w:bottom w:val="none" w:sz="0" w:space="0" w:color="auto"/>
            <w:right w:val="none" w:sz="0" w:space="0" w:color="auto"/>
          </w:divBdr>
        </w:div>
      </w:divsChild>
    </w:div>
    <w:div w:id="1857884197">
      <w:bodyDiv w:val="1"/>
      <w:marLeft w:val="0"/>
      <w:marRight w:val="0"/>
      <w:marTop w:val="0"/>
      <w:marBottom w:val="0"/>
      <w:divBdr>
        <w:top w:val="none" w:sz="0" w:space="0" w:color="auto"/>
        <w:left w:val="none" w:sz="0" w:space="0" w:color="auto"/>
        <w:bottom w:val="none" w:sz="0" w:space="0" w:color="auto"/>
        <w:right w:val="none" w:sz="0" w:space="0" w:color="auto"/>
      </w:divBdr>
    </w:div>
    <w:div w:id="1888029484">
      <w:bodyDiv w:val="1"/>
      <w:marLeft w:val="0"/>
      <w:marRight w:val="0"/>
      <w:marTop w:val="0"/>
      <w:marBottom w:val="0"/>
      <w:divBdr>
        <w:top w:val="none" w:sz="0" w:space="0" w:color="auto"/>
        <w:left w:val="none" w:sz="0" w:space="0" w:color="auto"/>
        <w:bottom w:val="none" w:sz="0" w:space="0" w:color="auto"/>
        <w:right w:val="none" w:sz="0" w:space="0" w:color="auto"/>
      </w:divBdr>
      <w:divsChild>
        <w:div w:id="1787507018">
          <w:marLeft w:val="0"/>
          <w:marRight w:val="0"/>
          <w:marTop w:val="0"/>
          <w:marBottom w:val="0"/>
          <w:divBdr>
            <w:top w:val="none" w:sz="0" w:space="0" w:color="auto"/>
            <w:left w:val="none" w:sz="0" w:space="0" w:color="auto"/>
            <w:bottom w:val="none" w:sz="0" w:space="0" w:color="auto"/>
            <w:right w:val="none" w:sz="0" w:space="0" w:color="auto"/>
          </w:divBdr>
        </w:div>
      </w:divsChild>
    </w:div>
    <w:div w:id="1906060728">
      <w:bodyDiv w:val="1"/>
      <w:marLeft w:val="0"/>
      <w:marRight w:val="0"/>
      <w:marTop w:val="0"/>
      <w:marBottom w:val="0"/>
      <w:divBdr>
        <w:top w:val="none" w:sz="0" w:space="0" w:color="auto"/>
        <w:left w:val="none" w:sz="0" w:space="0" w:color="auto"/>
        <w:bottom w:val="none" w:sz="0" w:space="0" w:color="auto"/>
        <w:right w:val="none" w:sz="0" w:space="0" w:color="auto"/>
      </w:divBdr>
    </w:div>
    <w:div w:id="1977954522">
      <w:bodyDiv w:val="1"/>
      <w:marLeft w:val="0"/>
      <w:marRight w:val="0"/>
      <w:marTop w:val="0"/>
      <w:marBottom w:val="0"/>
      <w:divBdr>
        <w:top w:val="none" w:sz="0" w:space="0" w:color="auto"/>
        <w:left w:val="none" w:sz="0" w:space="0" w:color="auto"/>
        <w:bottom w:val="none" w:sz="0" w:space="0" w:color="auto"/>
        <w:right w:val="none" w:sz="0" w:space="0" w:color="auto"/>
      </w:divBdr>
    </w:div>
    <w:div w:id="1993244311">
      <w:bodyDiv w:val="1"/>
      <w:marLeft w:val="0"/>
      <w:marRight w:val="0"/>
      <w:marTop w:val="0"/>
      <w:marBottom w:val="0"/>
      <w:divBdr>
        <w:top w:val="none" w:sz="0" w:space="0" w:color="auto"/>
        <w:left w:val="none" w:sz="0" w:space="0" w:color="auto"/>
        <w:bottom w:val="none" w:sz="0" w:space="0" w:color="auto"/>
        <w:right w:val="none" w:sz="0" w:space="0" w:color="auto"/>
      </w:divBdr>
    </w:div>
    <w:div w:id="2031056915">
      <w:bodyDiv w:val="1"/>
      <w:marLeft w:val="0"/>
      <w:marRight w:val="0"/>
      <w:marTop w:val="0"/>
      <w:marBottom w:val="0"/>
      <w:divBdr>
        <w:top w:val="none" w:sz="0" w:space="0" w:color="auto"/>
        <w:left w:val="none" w:sz="0" w:space="0" w:color="auto"/>
        <w:bottom w:val="none" w:sz="0" w:space="0" w:color="auto"/>
        <w:right w:val="none" w:sz="0" w:space="0" w:color="auto"/>
      </w:divBdr>
    </w:div>
    <w:div w:id="2068918012">
      <w:bodyDiv w:val="1"/>
      <w:marLeft w:val="0"/>
      <w:marRight w:val="0"/>
      <w:marTop w:val="0"/>
      <w:marBottom w:val="0"/>
      <w:divBdr>
        <w:top w:val="none" w:sz="0" w:space="0" w:color="auto"/>
        <w:left w:val="none" w:sz="0" w:space="0" w:color="auto"/>
        <w:bottom w:val="none" w:sz="0" w:space="0" w:color="auto"/>
        <w:right w:val="none" w:sz="0" w:space="0" w:color="auto"/>
      </w:divBdr>
    </w:div>
    <w:div w:id="2075660289">
      <w:bodyDiv w:val="1"/>
      <w:marLeft w:val="0"/>
      <w:marRight w:val="0"/>
      <w:marTop w:val="0"/>
      <w:marBottom w:val="0"/>
      <w:divBdr>
        <w:top w:val="none" w:sz="0" w:space="0" w:color="auto"/>
        <w:left w:val="none" w:sz="0" w:space="0" w:color="auto"/>
        <w:bottom w:val="none" w:sz="0" w:space="0" w:color="auto"/>
        <w:right w:val="none" w:sz="0" w:space="0" w:color="auto"/>
      </w:divBdr>
    </w:div>
    <w:div w:id="2094544890">
      <w:bodyDiv w:val="1"/>
      <w:marLeft w:val="0"/>
      <w:marRight w:val="0"/>
      <w:marTop w:val="0"/>
      <w:marBottom w:val="0"/>
      <w:divBdr>
        <w:top w:val="none" w:sz="0" w:space="0" w:color="auto"/>
        <w:left w:val="none" w:sz="0" w:space="0" w:color="auto"/>
        <w:bottom w:val="none" w:sz="0" w:space="0" w:color="auto"/>
        <w:right w:val="none" w:sz="0" w:space="0" w:color="auto"/>
      </w:divBdr>
    </w:div>
    <w:div w:id="2120712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microsoft.com/office/2007/relationships/stylesWithEffects" Target="stylesWithEffect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ENOVO\Downloads\Tesla_Financial_Management__Final%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US" sz="1400"/>
              <a:t>Liquidity Ratios (2020–2024)</a:t>
            </a:r>
          </a:p>
        </c:rich>
      </c:tx>
      <c:layout>
        <c:manualLayout>
          <c:xMode val="edge"/>
          <c:yMode val="edge"/>
          <c:x val="0.36669891975308638"/>
          <c:y val="4.4898989898989897E-2"/>
        </c:manualLayout>
      </c:layout>
      <c:overlay val="1"/>
    </c:title>
    <c:autoTitleDeleted val="0"/>
    <c:plotArea>
      <c:layout/>
      <c:lineChart>
        <c:grouping val="standard"/>
        <c:varyColors val="1"/>
        <c:ser>
          <c:idx val="0"/>
          <c:order val="0"/>
          <c:tx>
            <c:v>Current Ratio</c:v>
          </c:tx>
          <c:spPr>
            <a:ln w="25000">
              <a:solidFill>
                <a:srgbClr val="1F3864"/>
              </a:solidFill>
              <a:prstDash val="solid"/>
            </a:ln>
          </c:spPr>
          <c:marker>
            <c:symbol val="circle"/>
            <c:size val="6"/>
            <c:spPr>
              <a:solidFill>
                <a:srgbClr val="1F3864"/>
              </a:solidFill>
              <a:ln>
                <a:solidFill>
                  <a:srgbClr val="1F3864"/>
                </a:solidFill>
                <a:prstDash val="solid"/>
              </a:ln>
            </c:spPr>
          </c:marker>
          <c:dLbls>
            <c:spPr>
              <a:noFill/>
              <a:ln>
                <a:noFill/>
                <a:prstDash val="solid"/>
              </a:ln>
            </c:spPr>
            <c:txPr>
              <a:bodyPr wrap="square" anchor="ctr" anchorCtr="1"/>
              <a:lstStyle/>
              <a:p>
                <a:pPr>
                  <a:defRPr lang="en-US" sz="750" b="0">
                    <a:latin typeface="Arial"/>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Charts!$B$14:$F$14</c:f>
              <c:strCache>
                <c:ptCount val="5"/>
                <c:pt idx="0">
                  <c:v>2020</c:v>
                </c:pt>
                <c:pt idx="1">
                  <c:v>2021</c:v>
                </c:pt>
                <c:pt idx="2">
                  <c:v>2022</c:v>
                </c:pt>
                <c:pt idx="3">
                  <c:v>2023</c:v>
                </c:pt>
                <c:pt idx="4">
                  <c:v>2024</c:v>
                </c:pt>
              </c:strCache>
            </c:strRef>
          </c:cat>
          <c:val>
            <c:numRef>
              <c:f>Charts!$B$15:$F$15</c:f>
              <c:numCache>
                <c:formatCode>0.00</c:formatCode>
                <c:ptCount val="5"/>
                <c:pt idx="0">
                  <c:v>1.88</c:v>
                </c:pt>
                <c:pt idx="1">
                  <c:v>1.38</c:v>
                </c:pt>
                <c:pt idx="2">
                  <c:v>1.53</c:v>
                </c:pt>
                <c:pt idx="3">
                  <c:v>1.73</c:v>
                </c:pt>
                <c:pt idx="4">
                  <c:v>2.0299999999999998</c:v>
                </c:pt>
              </c:numCache>
            </c:numRef>
          </c:val>
          <c:smooth val="1"/>
          <c:extLst xmlns:c16r2="http://schemas.microsoft.com/office/drawing/2015/06/chart">
            <c:ext xmlns:c16="http://schemas.microsoft.com/office/drawing/2014/chart" uri="{C3380CC4-5D6E-409C-BE32-E72D297353CC}">
              <c16:uniqueId val="{00000000-1062-4346-8602-080AF80738C3}"/>
            </c:ext>
          </c:extLst>
        </c:ser>
        <c:ser>
          <c:idx val="1"/>
          <c:order val="1"/>
          <c:tx>
            <c:v>Quick Ratio</c:v>
          </c:tx>
          <c:spPr>
            <a:ln w="25000">
              <a:solidFill>
                <a:srgbClr val="C0392B"/>
              </a:solidFill>
              <a:prstDash val="solid"/>
            </a:ln>
          </c:spPr>
          <c:marker>
            <c:symbol val="circle"/>
            <c:size val="6"/>
            <c:spPr>
              <a:solidFill>
                <a:srgbClr val="C0392B"/>
              </a:solidFill>
              <a:ln>
                <a:solidFill>
                  <a:srgbClr val="C0392B"/>
                </a:solidFill>
                <a:prstDash val="solid"/>
              </a:ln>
            </c:spPr>
          </c:marker>
          <c:dLbls>
            <c:spPr>
              <a:noFill/>
              <a:ln>
                <a:noFill/>
                <a:prstDash val="solid"/>
              </a:ln>
            </c:spPr>
            <c:txPr>
              <a:bodyPr wrap="square" anchor="ctr" anchorCtr="1"/>
              <a:lstStyle/>
              <a:p>
                <a:pPr>
                  <a:defRPr lang="en-US" sz="750" b="0">
                    <a:latin typeface="Arial"/>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Charts!$B$14:$F$14</c:f>
              <c:strCache>
                <c:ptCount val="5"/>
                <c:pt idx="0">
                  <c:v>2020</c:v>
                </c:pt>
                <c:pt idx="1">
                  <c:v>2021</c:v>
                </c:pt>
                <c:pt idx="2">
                  <c:v>2022</c:v>
                </c:pt>
                <c:pt idx="3">
                  <c:v>2023</c:v>
                </c:pt>
                <c:pt idx="4">
                  <c:v>2024</c:v>
                </c:pt>
              </c:strCache>
            </c:strRef>
          </c:cat>
          <c:val>
            <c:numRef>
              <c:f>Charts!$B$16:$F$16</c:f>
              <c:numCache>
                <c:formatCode>0.00</c:formatCode>
                <c:ptCount val="5"/>
                <c:pt idx="0">
                  <c:v>1.59</c:v>
                </c:pt>
                <c:pt idx="1">
                  <c:v>1.08</c:v>
                </c:pt>
                <c:pt idx="2">
                  <c:v>1.05</c:v>
                </c:pt>
                <c:pt idx="3">
                  <c:v>1.25</c:v>
                </c:pt>
                <c:pt idx="4">
                  <c:v>1.61</c:v>
                </c:pt>
              </c:numCache>
            </c:numRef>
          </c:val>
          <c:smooth val="1"/>
          <c:extLst xmlns:c16r2="http://schemas.microsoft.com/office/drawing/2015/06/chart">
            <c:ext xmlns:c16="http://schemas.microsoft.com/office/drawing/2014/chart" uri="{C3380CC4-5D6E-409C-BE32-E72D297353CC}">
              <c16:uniqueId val="{00000001-1062-4346-8602-080AF80738C3}"/>
            </c:ext>
          </c:extLst>
        </c:ser>
        <c:dLbls>
          <c:showLegendKey val="0"/>
          <c:showVal val="0"/>
          <c:showCatName val="0"/>
          <c:showSerName val="0"/>
          <c:showPercent val="0"/>
          <c:showBubbleSize val="0"/>
        </c:dLbls>
        <c:marker val="1"/>
        <c:smooth val="0"/>
        <c:axId val="146935808"/>
        <c:axId val="159990528"/>
      </c:lineChart>
      <c:catAx>
        <c:axId val="146935808"/>
        <c:scaling>
          <c:orientation val="minMax"/>
        </c:scaling>
        <c:delete val="1"/>
        <c:axPos val="b"/>
        <c:title>
          <c:tx>
            <c:rich>
              <a:bodyPr/>
              <a:lstStyle/>
              <a:p>
                <a:pPr>
                  <a:defRPr/>
                </a:pPr>
                <a:r>
                  <a:rPr lang="en-US"/>
                  <a:t>Year</a:t>
                </a:r>
              </a:p>
            </c:rich>
          </c:tx>
          <c:layout>
            <c:manualLayout>
              <c:xMode val="edge"/>
              <c:yMode val="edge"/>
              <c:x val="0.47969567901234561"/>
              <c:y val="0.89671616161616163"/>
            </c:manualLayout>
          </c:layout>
          <c:overlay val="1"/>
        </c:title>
        <c:numFmt formatCode="General" sourceLinked="1"/>
        <c:majorTickMark val="none"/>
        <c:minorTickMark val="none"/>
        <c:tickLblPos val="nextTo"/>
        <c:crossAx val="159990528"/>
        <c:crosses val="autoZero"/>
        <c:auto val="1"/>
        <c:lblAlgn val="ctr"/>
        <c:lblOffset val="100"/>
        <c:noMultiLvlLbl val="1"/>
      </c:catAx>
      <c:valAx>
        <c:axId val="159990528"/>
        <c:scaling>
          <c:orientation val="minMax"/>
        </c:scaling>
        <c:delete val="1"/>
        <c:axPos val="l"/>
        <c:majorGridlines/>
        <c:title>
          <c:tx>
            <c:rich>
              <a:bodyPr/>
              <a:lstStyle/>
              <a:p>
                <a:pPr>
                  <a:defRPr/>
                </a:pPr>
                <a:r>
                  <a:rPr lang="en-US"/>
                  <a:t>Ratio (x)</a:t>
                </a:r>
              </a:p>
            </c:rich>
          </c:tx>
          <c:overlay val="1"/>
        </c:title>
        <c:numFmt formatCode="0.00" sourceLinked="0"/>
        <c:majorTickMark val="none"/>
        <c:minorTickMark val="none"/>
        <c:tickLblPos val="nextTo"/>
        <c:crossAx val="146935808"/>
        <c:crosses val="autoZero"/>
        <c:crossBetween val="between"/>
      </c:valAx>
    </c:plotArea>
    <c:legend>
      <c:legendPos val="b"/>
      <c:layout>
        <c:manualLayout>
          <c:xMode val="edge"/>
          <c:yMode val="edge"/>
          <c:x val="1.317793209876543E-2"/>
          <c:y val="0.83938055555555546"/>
          <c:w val="0.35040339506172841"/>
          <c:h val="5.7993181818181819E-2"/>
        </c:manualLayout>
      </c:layout>
      <c:overlay val="1"/>
    </c:legend>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39</Pages>
  <Words>8235</Words>
  <Characters>44225</Characters>
  <Application>Microsoft Office Word</Application>
  <DocSecurity>0</DocSecurity>
  <Lines>1579</Lines>
  <Paragraphs>1008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Mehedi Kobir</dc:creator>
  <cp:lastModifiedBy>Mehedi Kobir</cp:lastModifiedBy>
  <cp:revision>2</cp:revision>
  <dcterms:created xsi:type="dcterms:W3CDTF">2026-04-22T12:39:00Z</dcterms:created>
  <dcterms:modified xsi:type="dcterms:W3CDTF">2026-04-22T12:39:00Z</dcterms:modified>
</cp:coreProperties>
</file>