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2E6410" w14:textId="77777777" w:rsidR="002E7D66" w:rsidRPr="002E7D66" w:rsidRDefault="002E7D66" w:rsidP="002E7D66">
      <w:pPr>
        <w:spacing w:line="480" w:lineRule="auto"/>
        <w:jc w:val="both"/>
        <w:rPr>
          <w:rFonts w:cstheme="minorHAnsi"/>
          <w:bCs/>
        </w:rPr>
      </w:pPr>
      <w:r w:rsidRPr="002E7D66">
        <w:rPr>
          <w:rFonts w:cstheme="minorHAnsi"/>
          <w:bCs/>
        </w:rPr>
        <w:t xml:space="preserve">Occupiers liability is an area of tort law that deals with the duty of care that occupiers have over premises for those who come on to those premises either as visitors or potentially as trespassers. This area of tort law has been codified into statute which will be looked at below and has been applied in the courts depending on the individual facts as they arise. The purpose of this paper is to consider the legislation and to determine to what extent occupies are protected when they brought claims which would be potentially viewed as unfair against them from individuals coming on to their premises. The indication at this stage is that the focus will be on those who come on to the premises an invited; however, they will also potentially be situations where an unfair claim could arise from a visitor. </w:t>
      </w:r>
    </w:p>
    <w:p w14:paraId="2AC19274" w14:textId="77777777" w:rsidR="002E7D66" w:rsidRPr="002E7D66" w:rsidRDefault="002E7D66" w:rsidP="002E7D66">
      <w:pPr>
        <w:spacing w:line="480" w:lineRule="auto"/>
        <w:jc w:val="both"/>
        <w:rPr>
          <w:rFonts w:cstheme="minorHAnsi"/>
          <w:bCs/>
        </w:rPr>
      </w:pPr>
      <w:r w:rsidRPr="002E7D66">
        <w:rPr>
          <w:rFonts w:cstheme="minorHAnsi"/>
          <w:bCs/>
        </w:rPr>
        <w:t>To consider this situation and to look at when it may be unfair claims, the paper will be split into two broad areas.</w:t>
      </w:r>
    </w:p>
    <w:p w14:paraId="5F1C4168" w14:textId="77777777" w:rsidR="002E7D66" w:rsidRPr="002E7D66" w:rsidRDefault="002E7D66" w:rsidP="002E7D66">
      <w:pPr>
        <w:spacing w:line="480" w:lineRule="auto"/>
        <w:jc w:val="both"/>
        <w:rPr>
          <w:rFonts w:cstheme="minorHAnsi"/>
          <w:bCs/>
        </w:rPr>
      </w:pPr>
      <w:r w:rsidRPr="002E7D66">
        <w:rPr>
          <w:rFonts w:cstheme="minorHAnsi"/>
          <w:bCs/>
        </w:rPr>
        <w:t xml:space="preserve">Firstly, the paper will look at the stash rules relating to occupier’s liability identifying the core principles under both the Occupier's Liability Act 1957 and the Occupier's Liability Act 1984. there is a distinction between the two statutory provisions with the former primarily dealing with visitors and the latter recognising that there are also situations where duty may be owed to trespassers. Consideration will be given to the core terms of these statutory provisions, including what is meant by a visitor of a premises and the level of duty that is expected. From this position of understanding the second part of the paper will seek to consider situations where there could be unfair claims under the heading of occupiers’ liability by looking specifically at key cases in this area (Jones, 1984).  These two aspects will be drawn together to provide an analysis and conclusion based on the statement made at the outset. </w:t>
      </w:r>
    </w:p>
    <w:p w14:paraId="5A0627BE" w14:textId="77777777" w:rsidR="002E7D66" w:rsidRPr="002E7D66" w:rsidRDefault="002E7D66" w:rsidP="002E7D66">
      <w:pPr>
        <w:spacing w:line="480" w:lineRule="auto"/>
        <w:jc w:val="both"/>
        <w:rPr>
          <w:rFonts w:cstheme="minorHAnsi"/>
          <w:bCs/>
          <w:i/>
          <w:iCs/>
          <w:u w:val="single"/>
        </w:rPr>
      </w:pPr>
    </w:p>
    <w:p w14:paraId="71189522" w14:textId="77777777" w:rsidR="002E7D66" w:rsidRPr="002E7D66" w:rsidRDefault="002E7D66" w:rsidP="002E7D66">
      <w:pPr>
        <w:spacing w:line="480" w:lineRule="auto"/>
        <w:jc w:val="both"/>
        <w:rPr>
          <w:rFonts w:cstheme="minorHAnsi"/>
          <w:bCs/>
        </w:rPr>
      </w:pPr>
      <w:r w:rsidRPr="002E7D66">
        <w:rPr>
          <w:rFonts w:cstheme="minorHAnsi"/>
          <w:bCs/>
        </w:rPr>
        <w:t xml:space="preserve">Occupiers liability Is a specific area of the tort of negligence which requires the same criteria to be met for a successful claim namely a duty of care, a breach of that duty and damages to </w:t>
      </w:r>
      <w:r w:rsidRPr="002E7D66">
        <w:rPr>
          <w:rFonts w:cstheme="minorHAnsi"/>
          <w:bCs/>
        </w:rPr>
        <w:lastRenderedPageBreak/>
        <w:t>have occurred with rules such as remoteness and causation also playing a role. Historically occupies liabilities been dealt with through common law, but this is more recently codified in the 1957 and 84 statutes. Although both statutory provisions deal with the concept of occupier’s liability, they are distinct in their operation with the 1957 act placing an obligation on occupiers when it comes to those would be considered to be lawful visitors and the 1984 act looking at those Who would not be considered to be visitors. It seems logical therefore the outset to note that the level of protection that would be afforded to the lawful visitor would be higher than the level of care that is expected to be shown to a trespasser or a non-visitor. However, this proposition will be explored in more detail than looking at the way in which the case law has applied the rules.</w:t>
      </w:r>
    </w:p>
    <w:p w14:paraId="571E1C1B" w14:textId="77777777" w:rsidR="002E7D66" w:rsidRPr="002E7D66" w:rsidRDefault="002E7D66" w:rsidP="002E7D66">
      <w:pPr>
        <w:spacing w:line="480" w:lineRule="auto"/>
        <w:jc w:val="both"/>
        <w:rPr>
          <w:rFonts w:cstheme="minorHAnsi"/>
          <w:bCs/>
        </w:rPr>
      </w:pPr>
      <w:r w:rsidRPr="002E7D66">
        <w:rPr>
          <w:rFonts w:cstheme="minorHAnsi"/>
          <w:bCs/>
        </w:rPr>
        <w:t>Several of the key terms within the legislation warrant much more detailed analysis when it comes to determining whether or not individuals are protected from unfair claims under these provisions. The first and obvious factor that must be considered as who is considered to be an occupier. It is noted from the outset that the concept of the occupier is in itself potentially misleading and that it conjures up images of an individual who is present on the land, this is not necessarily the case when looking at the provisions and the case law associated. The test is applied when it comes to determining who the occupier should be, is to look at who has occupational control. By applying this test, it could be the case that there is more than one occupier linked to the same premises.</w:t>
      </w:r>
    </w:p>
    <w:p w14:paraId="3929213C" w14:textId="77777777" w:rsidR="002E7D66" w:rsidRPr="002E7D66" w:rsidRDefault="002E7D66" w:rsidP="002E7D66">
      <w:pPr>
        <w:spacing w:line="480" w:lineRule="auto"/>
        <w:jc w:val="both"/>
        <w:rPr>
          <w:rFonts w:cstheme="minorHAnsi"/>
          <w:bCs/>
        </w:rPr>
      </w:pPr>
      <w:r w:rsidRPr="002E7D66">
        <w:rPr>
          <w:rFonts w:cstheme="minorHAnsi"/>
          <w:bCs/>
        </w:rPr>
        <w:t xml:space="preserve">The implication of this can be seen in the leading case of Wheat (1966). In this case the claimant was staying with her family at a public house as visitors. During the visit, her husband fell down the stairs and hit his head and died. It was found that those days were particularly steep and narrow and that the handrail fell short of the bottom two steps as well as there was no light bulb in the light to offer illumination for the stairs. An action was brought under </w:t>
      </w:r>
      <w:r w:rsidRPr="002E7D66">
        <w:rPr>
          <w:rFonts w:cstheme="minorHAnsi"/>
          <w:bCs/>
        </w:rPr>
        <w:lastRenderedPageBreak/>
        <w:t xml:space="preserve">the 1957 occupiers liability act; the action was brought against both the brewing company that owned the freehold of the property as well as the managers of the pub who were the licensees at the time. </w:t>
      </w:r>
    </w:p>
    <w:p w14:paraId="79ECC413" w14:textId="77777777" w:rsidR="002E7D66" w:rsidRPr="002E7D66" w:rsidRDefault="002E7D66" w:rsidP="002E7D66">
      <w:pPr>
        <w:spacing w:line="480" w:lineRule="auto"/>
        <w:jc w:val="both"/>
        <w:rPr>
          <w:rFonts w:cstheme="minorHAnsi"/>
          <w:bCs/>
        </w:rPr>
      </w:pPr>
      <w:r w:rsidRPr="002E7D66">
        <w:rPr>
          <w:rFonts w:cstheme="minorHAnsi"/>
          <w:bCs/>
        </w:rPr>
        <w:t>It was held in this case it both the freehold owner and the licensee were occupiers when considering the provisions of the 1957 act and they both owed a duty of care to the family who was staying at the premises. Some of the relevant elements in making this decision included the fact that the landlord had only granted a licence to the licensee. Therefore, the landlord still had a sufficient degree of physical control over the property to create that duty of care. Despite this, it was held that the landlord did not have a duty to provide light bulbs as this was a role for the licensee. It was noted in the judgement by Lord Denning:</w:t>
      </w:r>
    </w:p>
    <w:p w14:paraId="0B2AFF79" w14:textId="77777777" w:rsidR="002E7D66" w:rsidRPr="002E7D66" w:rsidRDefault="002E7D66" w:rsidP="002E7D66">
      <w:pPr>
        <w:spacing w:line="480" w:lineRule="auto"/>
        <w:ind w:left="720"/>
        <w:jc w:val="both"/>
        <w:rPr>
          <w:rFonts w:cstheme="minorHAnsi"/>
          <w:bCs/>
        </w:rPr>
      </w:pPr>
      <w:r w:rsidRPr="002E7D66">
        <w:rPr>
          <w:rFonts w:cstheme="minorHAnsi"/>
          <w:bCs/>
        </w:rPr>
        <w:t>“wherever a person has a sufficient degree of control over premises that he ought to realise that any failure on his part to use care may result in injury to a person coming lawfully there, then he is an " occupier</w:t>
      </w:r>
      <w:r w:rsidRPr="002E7D66">
        <w:rPr>
          <w:rFonts w:cstheme="minorHAnsi"/>
        </w:rPr>
        <w:t>."</w:t>
      </w:r>
    </w:p>
    <w:p w14:paraId="0B976E19" w14:textId="77777777" w:rsidR="002E7D66" w:rsidRPr="002E7D66" w:rsidRDefault="002E7D66" w:rsidP="002E7D66">
      <w:pPr>
        <w:spacing w:line="480" w:lineRule="auto"/>
        <w:jc w:val="both"/>
        <w:rPr>
          <w:rFonts w:cstheme="minorHAnsi"/>
          <w:bCs/>
        </w:rPr>
      </w:pPr>
      <w:r w:rsidRPr="002E7D66">
        <w:rPr>
          <w:rFonts w:cstheme="minorHAnsi"/>
          <w:bCs/>
        </w:rPr>
        <w:t>While this case provided useful information for determining who should be an actual party to an action under the occupier's liability act, the definition here actually resulted in the sense of injustice for the claimant because the licences have not become a party to the appeal and therefore the claimant's action failed based on the above analysis that it was not the landlord's requirement to deal with the light bulbs. The effective result of this was that the claimant went without recourse even though there had been a clear injustice and his death had been as a result of negligence. The failure to ascertain the individual who should be responsible accurately resulted in nobody being responsible and no financial compensation.</w:t>
      </w:r>
    </w:p>
    <w:p w14:paraId="4B675DD8" w14:textId="77777777" w:rsidR="002E7D66" w:rsidRPr="002E7D66" w:rsidRDefault="002E7D66" w:rsidP="002E7D66">
      <w:pPr>
        <w:spacing w:line="480" w:lineRule="auto"/>
        <w:jc w:val="both"/>
        <w:rPr>
          <w:rFonts w:cstheme="minorHAnsi"/>
          <w:bCs/>
        </w:rPr>
      </w:pPr>
      <w:r w:rsidRPr="002E7D66">
        <w:rPr>
          <w:rFonts w:cstheme="minorHAnsi"/>
          <w:bCs/>
        </w:rPr>
        <w:t xml:space="preserve">A further aspect of determining who the occupier is that could create difficulties when it comes to obtaining compensation and injustice arising is that physical occupation is not a requirement under the occupier's liability act (Harris, 1976). With complexities associated </w:t>
      </w:r>
      <w:r w:rsidRPr="002E7D66">
        <w:rPr>
          <w:rFonts w:cstheme="minorHAnsi"/>
          <w:bCs/>
        </w:rPr>
        <w:lastRenderedPageBreak/>
        <w:t>with determining who the occupier is, there may be instances where the claimant failed to ascertain the correct individual and therefore goes without compensation essentially on a technicality (Deakin and Markesinis, 2019).</w:t>
      </w:r>
    </w:p>
    <w:p w14:paraId="5787FA1D" w14:textId="77777777" w:rsidR="002E7D66" w:rsidRPr="002E7D66" w:rsidRDefault="002E7D66" w:rsidP="002E7D66">
      <w:pPr>
        <w:spacing w:line="480" w:lineRule="auto"/>
        <w:jc w:val="both"/>
        <w:rPr>
          <w:rFonts w:cstheme="minorHAnsi"/>
          <w:bCs/>
        </w:rPr>
      </w:pPr>
      <w:r w:rsidRPr="002E7D66">
        <w:rPr>
          <w:rFonts w:cstheme="minorHAnsi"/>
          <w:bCs/>
        </w:rPr>
        <w:t>Aside from the issues of determining who the occupier is, there are aspects of both of the acts which create further potential for injustice to occur (</w:t>
      </w:r>
      <w:r w:rsidRPr="002E7D66">
        <w:rPr>
          <w:rFonts w:cstheme="minorHAnsi"/>
          <w:color w:val="222222"/>
          <w:shd w:val="clear" w:color="auto" w:fill="FFFFFF"/>
        </w:rPr>
        <w:t>Steele, 2010)</w:t>
      </w:r>
      <w:r w:rsidRPr="002E7D66">
        <w:rPr>
          <w:rFonts w:cstheme="minorHAnsi"/>
          <w:bCs/>
        </w:rPr>
        <w:t>. The occupier's liability act 1957 places a common duty of care on occupiers to their lawful visitors as contained within section 1. The definition of lawful visitor also becomes a potential area of debate with the statute noting that invitees are you those with express permission to be on the premises are deemed to be lawful visitors as are licensees with those who would have implied permission to be present. Furthermore, those who enter as a result of an underlying contract for example where somebody has purchased a hotel room for the evening or where those are entering in order to exercise a right that they have under the law, for example, to read a gas metre would all be deemed to be lawful visitors. This seems logical and would capture those that would expect to have some form of protection from negligence from the occupier (</w:t>
      </w:r>
      <w:r w:rsidRPr="002E7D66">
        <w:rPr>
          <w:rFonts w:cstheme="minorHAnsi"/>
          <w:color w:val="222222"/>
          <w:shd w:val="clear" w:color="auto" w:fill="FFFFFF"/>
        </w:rPr>
        <w:t>Pawlowski, 2019).</w:t>
      </w:r>
    </w:p>
    <w:p w14:paraId="169311CA" w14:textId="77777777" w:rsidR="002E7D66" w:rsidRPr="002E7D66" w:rsidRDefault="002E7D66" w:rsidP="002E7D66">
      <w:pPr>
        <w:spacing w:line="480" w:lineRule="auto"/>
        <w:jc w:val="both"/>
        <w:rPr>
          <w:rFonts w:cstheme="minorHAnsi"/>
          <w:bCs/>
        </w:rPr>
      </w:pPr>
      <w:r w:rsidRPr="002E7D66">
        <w:rPr>
          <w:rFonts w:cstheme="minorHAnsi"/>
          <w:bCs/>
        </w:rPr>
        <w:t xml:space="preserve">It is less obvious situation arises where there has been an implied licence at common law for example where an individual has repeatedly trespassed on a property, or there is a known regular trespass occurring the occupier has made no effort to prevent the individual and therefore any dangers arising would still fall within the duty of care contained in the 1957 act despite the fact that the individual harmed is a trespasser in law. This proposition was considered in more detail in the case of Lowery (1911). In Lowery, an Individual was injured by a loose horse in a field that they regularly crossed as a trespasser. The landowner knew that there was a shortcut through his field and made no effort to prevent damage from occurring despite the fact that he knew that the horse in the field was potentially dangerous. </w:t>
      </w:r>
      <w:r w:rsidRPr="002E7D66">
        <w:rPr>
          <w:rFonts w:cstheme="minorHAnsi"/>
          <w:bCs/>
        </w:rPr>
        <w:lastRenderedPageBreak/>
        <w:t>In this case the defendant was deemed to be liable. While again this may seem logical in the context of this case, it does create an additional burden on the occupier where somebody who has no permission to be on the property but still successfully bring a claim against them. As noted above, there is a need for ensuring that those who are unfairly injured are compensated, but it is argued here that the case of the known trespasser has potentially shifted this balance too far in favour of the claimant and could result in unjust cases against landowners who did not invite and did not want an individual on their land yet they remain liable for any damage that occurs to them (</w:t>
      </w:r>
      <w:r w:rsidRPr="002E7D66">
        <w:rPr>
          <w:rFonts w:cstheme="minorHAnsi"/>
          <w:color w:val="222222"/>
          <w:shd w:val="clear" w:color="auto" w:fill="FFFFFF"/>
        </w:rPr>
        <w:t>Peel and Goudkamp, 2014)</w:t>
      </w:r>
      <w:r w:rsidRPr="002E7D66">
        <w:rPr>
          <w:rFonts w:cstheme="minorHAnsi"/>
          <w:bCs/>
        </w:rPr>
        <w:t>.</w:t>
      </w:r>
    </w:p>
    <w:p w14:paraId="231E3166" w14:textId="77777777" w:rsidR="002E7D66" w:rsidRPr="002E7D66" w:rsidRDefault="002E7D66" w:rsidP="002E7D66">
      <w:pPr>
        <w:spacing w:line="480" w:lineRule="auto"/>
        <w:jc w:val="both"/>
        <w:rPr>
          <w:rFonts w:cstheme="minorHAnsi"/>
          <w:bCs/>
        </w:rPr>
      </w:pPr>
      <w:r w:rsidRPr="002E7D66">
        <w:rPr>
          <w:rFonts w:cstheme="minorHAnsi"/>
          <w:bCs/>
        </w:rPr>
        <w:t>Given the potential controversy of this position, it is unsurprising that there have been several cases looking to gain greater clarity here for occupiers. In the case of Taylor in 1922 it was held that where the land has a particular allurement attached to it and the property is seen as being particularly attractive then it is more likely that high burden will be placed upon the occupier. It is however noted that since the introduction of the provisions within the occupier's liability act 1984 and the recognition of the duty of care towards trespassers but caught to be much more reluctant to imply a licence and to offer protection under the earlier act to non-invited visitors (Tomlinson, 2003).</w:t>
      </w:r>
    </w:p>
    <w:p w14:paraId="5859E6AD" w14:textId="77777777" w:rsidR="002E7D66" w:rsidRPr="002E7D66" w:rsidRDefault="002E7D66" w:rsidP="002E7D66">
      <w:pPr>
        <w:spacing w:line="480" w:lineRule="auto"/>
        <w:jc w:val="both"/>
        <w:rPr>
          <w:rFonts w:cstheme="minorHAnsi"/>
          <w:bCs/>
        </w:rPr>
      </w:pPr>
      <w:r w:rsidRPr="002E7D66">
        <w:rPr>
          <w:rFonts w:cstheme="minorHAnsi"/>
          <w:bCs/>
        </w:rPr>
        <w:t xml:space="preserve">Crucially the concept of the lawful visitor does not extend to those who are unknown trespassers, those who have been invited but have exceeded their permission or those who are on the land through a public right of way. </w:t>
      </w:r>
    </w:p>
    <w:p w14:paraId="0BF365C6" w14:textId="77777777" w:rsidR="002E7D66" w:rsidRPr="002E7D66" w:rsidRDefault="002E7D66" w:rsidP="002E7D66">
      <w:pPr>
        <w:spacing w:line="480" w:lineRule="auto"/>
        <w:jc w:val="both"/>
        <w:rPr>
          <w:rFonts w:cstheme="minorHAnsi"/>
          <w:bCs/>
        </w:rPr>
      </w:pPr>
      <w:r w:rsidRPr="002E7D66">
        <w:rPr>
          <w:rFonts w:cstheme="minorHAnsi"/>
          <w:bCs/>
        </w:rPr>
        <w:t xml:space="preserve">A further aspect of the provisions here that may present an unfair position on the occupier is the willingness of the court to take into account matters such as the nature of the injured individual. For example, where there is a child involved, and the scope of the duty that is owed to trespassers will depend upon the circumstances with children be expected have a lesser understanding of the potential risks they are facing. This places the occupier a position where </w:t>
      </w:r>
      <w:r w:rsidRPr="002E7D66">
        <w:rPr>
          <w:rFonts w:cstheme="minorHAnsi"/>
          <w:bCs/>
        </w:rPr>
        <w:lastRenderedPageBreak/>
        <w:t xml:space="preserve">the level of duty of care that they are required to show would depend upon the nature of the claimant and changing burden which they will need to try and comply with (Titchener, 1983). </w:t>
      </w:r>
    </w:p>
    <w:p w14:paraId="13941820" w14:textId="77777777" w:rsidR="002E7D66" w:rsidRPr="002E7D66" w:rsidRDefault="002E7D66" w:rsidP="002E7D66">
      <w:pPr>
        <w:spacing w:line="480" w:lineRule="auto"/>
        <w:jc w:val="both"/>
        <w:rPr>
          <w:rFonts w:cstheme="minorHAnsi"/>
          <w:bCs/>
        </w:rPr>
      </w:pPr>
      <w:r w:rsidRPr="002E7D66">
        <w:rPr>
          <w:rFonts w:cstheme="minorHAnsi"/>
          <w:bCs/>
        </w:rPr>
        <w:t xml:space="preserve">On the face of it, therefore, the burden is quite extensive on the occupier however there have been some cases which have provided some comfort for occupiers have attempted to prevent trespasses or lawful visitors from being able to bring a legitimate claim against them for injuries on their property. For example, in the case of Roles (1963), it was held that where an occupier has placed adequate warning signs over potential danger, they have discharged their duty. It is however noted that in accordance with Section 2 (4) of the occupier's liability act 1957 warning must be one that is capable of being acted upon by the visitor if it is to discharge the duty. Essentially there is no point putting a warning notice up if the visitor can do nothing about the danger (White, 1972). </w:t>
      </w:r>
    </w:p>
    <w:p w14:paraId="336E4A22" w14:textId="77777777" w:rsidR="002E7D66" w:rsidRPr="002E7D66" w:rsidRDefault="002E7D66" w:rsidP="002E7D66">
      <w:pPr>
        <w:spacing w:line="480" w:lineRule="auto"/>
        <w:jc w:val="both"/>
        <w:rPr>
          <w:rFonts w:cstheme="minorHAnsi"/>
          <w:bCs/>
        </w:rPr>
      </w:pPr>
      <w:r w:rsidRPr="002E7D66">
        <w:rPr>
          <w:rFonts w:cstheme="minorHAnsi"/>
          <w:bCs/>
        </w:rPr>
        <w:t xml:space="preserve">Some defences may offer support for the occupier, such as whether the visitor had willingly accepted the danger or where there was contributory negligence from the visitor. </w:t>
      </w:r>
    </w:p>
    <w:p w14:paraId="291ED145" w14:textId="77777777" w:rsidR="002E7D66" w:rsidRPr="002E7D66" w:rsidRDefault="002E7D66" w:rsidP="002E7D66">
      <w:pPr>
        <w:spacing w:line="480" w:lineRule="auto"/>
        <w:jc w:val="both"/>
        <w:rPr>
          <w:rFonts w:cstheme="minorHAnsi"/>
          <w:bCs/>
        </w:rPr>
      </w:pPr>
      <w:r w:rsidRPr="002E7D66">
        <w:rPr>
          <w:rFonts w:cstheme="minorHAnsi"/>
          <w:bCs/>
        </w:rPr>
        <w:t xml:space="preserve">As noted above, the 1984 act openly recognises the duty that an occupier has towards those who are considered to eh "other than his visitors" in accordance with section 1(1). Under the 1984 act, it is noted to be the case that an occupier could even be liable for damage to a criminal who has broken into the property with the intent to commit a crime (Revill 1996). It is argued here that this Is seemingly harsh on an occupier who has been the subject of a break-in yet is liable for any accident that the criminal has on their premises. On the other hand, it could be argued that this is merely an extension of the situation at common law which has already been established for example in relation to child trespassers when the occupier was fully aware of the danger but had done nothing to either prevent the trespass or to mitigate the danger (British Railways, 1972). </w:t>
      </w:r>
    </w:p>
    <w:p w14:paraId="1E4F1285" w14:textId="77777777" w:rsidR="002E7D66" w:rsidRPr="002E7D66" w:rsidRDefault="002E7D66" w:rsidP="002E7D66">
      <w:pPr>
        <w:spacing w:line="480" w:lineRule="auto"/>
        <w:jc w:val="both"/>
        <w:rPr>
          <w:rFonts w:cstheme="minorHAnsi"/>
          <w:bCs/>
        </w:rPr>
      </w:pPr>
      <w:r w:rsidRPr="002E7D66">
        <w:rPr>
          <w:rFonts w:cstheme="minorHAnsi"/>
          <w:bCs/>
        </w:rPr>
        <w:lastRenderedPageBreak/>
        <w:t xml:space="preserve">In accordance with the 1984 act, section 1 a liability will only arise where the occupier is aware of the danger and is aware or has a reasonable belief that an individual would enter onto the property and it was reasonable in just in all circumstances to expect the occupier to have done something about the danger. This latter point offers some flexibility for the courts to consider issues such as public policy and based on this it is likely that those committing crimes are going to find it particularly difficult to show that the burden of a duty of care was on the occupier and this will only occur in most extreme of cases. Even where a claim is successful, it is likely that this will be reduced by virtue of contributory negligence (Ratcliff, 1997). </w:t>
      </w:r>
    </w:p>
    <w:p w14:paraId="53EA40E9" w14:textId="77777777" w:rsidR="00276F94" w:rsidRDefault="00276F94" w:rsidP="002E7D66">
      <w:pPr>
        <w:spacing w:line="480" w:lineRule="auto"/>
        <w:jc w:val="both"/>
        <w:rPr>
          <w:rFonts w:cstheme="minorHAnsi"/>
          <w:i/>
          <w:iCs/>
          <w:u w:val="single"/>
        </w:rPr>
      </w:pPr>
    </w:p>
    <w:p w14:paraId="4DFE724F" w14:textId="5D0996C7" w:rsidR="002E7D66" w:rsidRPr="002E7D66" w:rsidRDefault="002E7D66" w:rsidP="002E7D66">
      <w:pPr>
        <w:spacing w:line="480" w:lineRule="auto"/>
        <w:jc w:val="both"/>
        <w:rPr>
          <w:rFonts w:cstheme="minorHAnsi"/>
        </w:rPr>
      </w:pPr>
      <w:r w:rsidRPr="002E7D66">
        <w:rPr>
          <w:rFonts w:cstheme="minorHAnsi"/>
        </w:rPr>
        <w:t xml:space="preserve">The question here considered whether or not occupiers who could be landowners or those legally entitled to occupy the premises could find themselves facing unfair claims against them based on occupies liability. Based on the analysis here, it is concluded that occupiers could find themselves in an unfair position, particularly in the area of trespassers and non-visitor as codified in the 1984 act. Although on the face of it the 1984 act extended the duty to a point where it is seemingly unfair, in reality, it provided additional guidance to an already existing situation where trespassers were given the ability to claim for losses under common law. </w:t>
      </w:r>
    </w:p>
    <w:p w14:paraId="35743105" w14:textId="77777777" w:rsidR="002E7D66" w:rsidRPr="002E7D66" w:rsidRDefault="002E7D66" w:rsidP="002E7D66">
      <w:pPr>
        <w:spacing w:line="480" w:lineRule="auto"/>
        <w:jc w:val="both"/>
        <w:rPr>
          <w:rFonts w:cstheme="minorHAnsi"/>
        </w:rPr>
      </w:pPr>
      <w:r w:rsidRPr="002E7D66">
        <w:rPr>
          <w:rFonts w:cstheme="minorHAnsi"/>
        </w:rPr>
        <w:t xml:space="preserve">Although the courts have attempted to provide for balance, most notably through the consideration of warnings given and the defences of contributory negligence, it is concluded here that the burden placed on occupiers is excessive and can result in unjust findings of liability, particularly in the case of those trespassing onto property. </w:t>
      </w:r>
    </w:p>
    <w:p w14:paraId="45894B02" w14:textId="77777777" w:rsidR="002E7D66" w:rsidRPr="002E7D66" w:rsidRDefault="002E7D66" w:rsidP="002E7D66">
      <w:pPr>
        <w:spacing w:line="480" w:lineRule="auto"/>
        <w:jc w:val="both"/>
        <w:rPr>
          <w:rFonts w:cstheme="minorHAnsi"/>
        </w:rPr>
      </w:pPr>
    </w:p>
    <w:p w14:paraId="46115B6E" w14:textId="77777777" w:rsidR="002E7D66" w:rsidRPr="002E7D66" w:rsidRDefault="002E7D66" w:rsidP="002E7D66">
      <w:pPr>
        <w:spacing w:line="480" w:lineRule="auto"/>
        <w:jc w:val="both"/>
        <w:rPr>
          <w:rFonts w:cstheme="minorHAnsi"/>
        </w:rPr>
      </w:pPr>
    </w:p>
    <w:p w14:paraId="543F2BED" w14:textId="77777777" w:rsidR="002E7D66" w:rsidRPr="002E7D66" w:rsidRDefault="002E7D66" w:rsidP="002E7D66">
      <w:pPr>
        <w:spacing w:line="480" w:lineRule="auto"/>
        <w:jc w:val="both"/>
        <w:rPr>
          <w:rFonts w:cstheme="minorHAnsi"/>
          <w:i/>
          <w:iCs/>
          <w:u w:val="single"/>
        </w:rPr>
      </w:pPr>
    </w:p>
    <w:p w14:paraId="1685099A" w14:textId="0666937D" w:rsidR="002E7D66" w:rsidRPr="002E7D66" w:rsidRDefault="002E7D66" w:rsidP="002E7D66">
      <w:pPr>
        <w:spacing w:line="480" w:lineRule="auto"/>
        <w:jc w:val="both"/>
        <w:rPr>
          <w:rStyle w:val="Emphasis"/>
          <w:rFonts w:cstheme="minorHAnsi"/>
          <w:i w:val="0"/>
          <w:iCs w:val="0"/>
          <w:u w:val="single"/>
          <w:shd w:val="clear" w:color="auto" w:fill="FFFFFF"/>
        </w:rPr>
      </w:pPr>
      <w:r w:rsidRPr="002E7D66">
        <w:rPr>
          <w:rStyle w:val="Emphasis"/>
          <w:rFonts w:cstheme="minorHAnsi"/>
          <w:i w:val="0"/>
          <w:iCs w:val="0"/>
          <w:u w:val="single"/>
          <w:shd w:val="clear" w:color="auto" w:fill="FFFFFF"/>
        </w:rPr>
        <w:lastRenderedPageBreak/>
        <w:t>Reference</w:t>
      </w:r>
      <w:r w:rsidRPr="002E7D66">
        <w:rPr>
          <w:rStyle w:val="Emphasis"/>
          <w:rFonts w:cstheme="minorHAnsi"/>
          <w:i w:val="0"/>
          <w:iCs w:val="0"/>
          <w:u w:val="single"/>
          <w:shd w:val="clear" w:color="auto" w:fill="FFFFFF"/>
        </w:rPr>
        <w:t>s</w:t>
      </w:r>
    </w:p>
    <w:p w14:paraId="08CE1F02" w14:textId="77777777" w:rsidR="002E7D66" w:rsidRPr="002E7D66" w:rsidRDefault="002E7D66" w:rsidP="002E7D66">
      <w:pPr>
        <w:spacing w:line="480" w:lineRule="auto"/>
        <w:jc w:val="both"/>
        <w:rPr>
          <w:rStyle w:val="Emphasis"/>
          <w:rFonts w:cstheme="minorHAnsi"/>
          <w:i w:val="0"/>
          <w:iCs w:val="0"/>
          <w:u w:val="single"/>
          <w:shd w:val="clear" w:color="auto" w:fill="FFFFFF"/>
        </w:rPr>
      </w:pPr>
    </w:p>
    <w:p w14:paraId="66883CD5" w14:textId="77777777" w:rsidR="002E7D66" w:rsidRPr="002E7D66" w:rsidRDefault="002E7D66" w:rsidP="002E7D66">
      <w:pPr>
        <w:spacing w:line="480" w:lineRule="auto"/>
        <w:jc w:val="both"/>
        <w:rPr>
          <w:rStyle w:val="Emphasis"/>
          <w:rFonts w:cstheme="minorHAnsi"/>
          <w:shd w:val="clear" w:color="auto" w:fill="FFFFFF"/>
        </w:rPr>
      </w:pPr>
      <w:r w:rsidRPr="002E7D66">
        <w:rPr>
          <w:rStyle w:val="Emphasis"/>
          <w:rFonts w:cstheme="minorHAnsi"/>
          <w:shd w:val="clear" w:color="auto" w:fill="FFFFFF"/>
        </w:rPr>
        <w:t xml:space="preserve">British Railways Board v Herrington </w:t>
      </w:r>
      <w:r w:rsidRPr="002E7D66">
        <w:rPr>
          <w:rStyle w:val="Emphasis"/>
          <w:rFonts w:cstheme="minorHAnsi"/>
          <w:i w:val="0"/>
          <w:iCs w:val="0"/>
          <w:shd w:val="clear" w:color="auto" w:fill="FFFFFF"/>
        </w:rPr>
        <w:t>[1972] AC 877</w:t>
      </w:r>
    </w:p>
    <w:p w14:paraId="13929E8F" w14:textId="77777777" w:rsidR="002E7D66" w:rsidRPr="002E7D66" w:rsidRDefault="002E7D66" w:rsidP="002E7D66">
      <w:pPr>
        <w:spacing w:line="480" w:lineRule="auto"/>
        <w:jc w:val="both"/>
        <w:rPr>
          <w:rFonts w:cstheme="minorHAnsi"/>
        </w:rPr>
      </w:pPr>
      <w:r w:rsidRPr="002E7D66">
        <w:rPr>
          <w:rFonts w:cstheme="minorHAnsi"/>
          <w:color w:val="222222"/>
          <w:shd w:val="clear" w:color="auto" w:fill="FFFFFF"/>
        </w:rPr>
        <w:t>Deakin, S., &amp; Markesinis, B. (2019). </w:t>
      </w:r>
      <w:r w:rsidRPr="002E7D66">
        <w:rPr>
          <w:rFonts w:cstheme="minorHAnsi"/>
          <w:i/>
          <w:iCs/>
          <w:color w:val="222222"/>
          <w:shd w:val="clear" w:color="auto" w:fill="FFFFFF"/>
        </w:rPr>
        <w:t>Markesinis and Deakin's tort law</w:t>
      </w:r>
      <w:r w:rsidRPr="002E7D66">
        <w:rPr>
          <w:rFonts w:cstheme="minorHAnsi"/>
          <w:color w:val="222222"/>
          <w:shd w:val="clear" w:color="auto" w:fill="FFFFFF"/>
        </w:rPr>
        <w:t>. Oxford University Press, USA.</w:t>
      </w:r>
    </w:p>
    <w:p w14:paraId="7AD98BFE" w14:textId="77777777" w:rsidR="002E7D66" w:rsidRPr="002E7D66" w:rsidRDefault="002E7D66" w:rsidP="002E7D66">
      <w:pPr>
        <w:spacing w:line="480" w:lineRule="auto"/>
        <w:jc w:val="both"/>
        <w:rPr>
          <w:rStyle w:val="Emphasis"/>
          <w:rFonts w:cstheme="minorHAnsi"/>
          <w:shd w:val="clear" w:color="auto" w:fill="FFFFFF"/>
        </w:rPr>
      </w:pPr>
      <w:r w:rsidRPr="002E7D66">
        <w:rPr>
          <w:rStyle w:val="Emphasis"/>
          <w:rFonts w:cstheme="minorHAnsi"/>
          <w:shd w:val="clear" w:color="auto" w:fill="FFFFFF"/>
        </w:rPr>
        <w:t xml:space="preserve">Harris v Birkenhead </w:t>
      </w:r>
      <w:r w:rsidRPr="002E7D66">
        <w:rPr>
          <w:rStyle w:val="Emphasis"/>
          <w:rFonts w:cstheme="minorHAnsi"/>
          <w:i w:val="0"/>
          <w:iCs w:val="0"/>
          <w:shd w:val="clear" w:color="auto" w:fill="FFFFFF"/>
        </w:rPr>
        <w:t>[1976] 1 WLR 27</w:t>
      </w:r>
    </w:p>
    <w:p w14:paraId="06DC8A62" w14:textId="77777777" w:rsidR="002E7D66" w:rsidRPr="002E7D66" w:rsidRDefault="002E7D66" w:rsidP="002E7D66">
      <w:pPr>
        <w:spacing w:line="480" w:lineRule="auto"/>
        <w:jc w:val="both"/>
        <w:rPr>
          <w:rFonts w:cstheme="minorHAnsi"/>
          <w:color w:val="222222"/>
          <w:shd w:val="clear" w:color="auto" w:fill="FFFFFF"/>
        </w:rPr>
      </w:pPr>
      <w:r w:rsidRPr="002E7D66">
        <w:rPr>
          <w:rFonts w:cstheme="minorHAnsi"/>
          <w:color w:val="222222"/>
          <w:shd w:val="clear" w:color="auto" w:fill="FFFFFF"/>
        </w:rPr>
        <w:t>Jones, M. A. (1984). The Occupiers' Liability Act 1984. </w:t>
      </w:r>
      <w:r w:rsidRPr="002E7D66">
        <w:rPr>
          <w:rFonts w:cstheme="minorHAnsi"/>
          <w:i/>
          <w:iCs/>
          <w:color w:val="222222"/>
          <w:shd w:val="clear" w:color="auto" w:fill="FFFFFF"/>
        </w:rPr>
        <w:t>The Modern Law Review</w:t>
      </w:r>
      <w:r w:rsidRPr="002E7D66">
        <w:rPr>
          <w:rFonts w:cstheme="minorHAnsi"/>
          <w:color w:val="222222"/>
          <w:shd w:val="clear" w:color="auto" w:fill="FFFFFF"/>
        </w:rPr>
        <w:t>, </w:t>
      </w:r>
      <w:r w:rsidRPr="002E7D66">
        <w:rPr>
          <w:rFonts w:cstheme="minorHAnsi"/>
          <w:i/>
          <w:iCs/>
          <w:color w:val="222222"/>
          <w:shd w:val="clear" w:color="auto" w:fill="FFFFFF"/>
        </w:rPr>
        <w:t>47</w:t>
      </w:r>
      <w:r w:rsidRPr="002E7D66">
        <w:rPr>
          <w:rFonts w:cstheme="minorHAnsi"/>
          <w:color w:val="222222"/>
          <w:shd w:val="clear" w:color="auto" w:fill="FFFFFF"/>
        </w:rPr>
        <w:t>(6), 713-726.</w:t>
      </w:r>
    </w:p>
    <w:p w14:paraId="55B595DC" w14:textId="77777777" w:rsidR="002E7D66" w:rsidRPr="002E7D66" w:rsidRDefault="002E7D66" w:rsidP="002E7D66">
      <w:pPr>
        <w:spacing w:line="480" w:lineRule="auto"/>
        <w:jc w:val="both"/>
        <w:rPr>
          <w:rFonts w:cstheme="minorHAnsi"/>
          <w:color w:val="000000"/>
          <w:shd w:val="clear" w:color="auto" w:fill="FFFFFF"/>
        </w:rPr>
      </w:pPr>
      <w:r w:rsidRPr="002E7D66">
        <w:rPr>
          <w:rFonts w:cstheme="minorHAnsi"/>
          <w:color w:val="000000"/>
          <w:shd w:val="clear" w:color="auto" w:fill="FFFFFF"/>
        </w:rPr>
        <w:t>Law Reform (Contributory Negligence) Act 1945 </w:t>
      </w:r>
    </w:p>
    <w:p w14:paraId="324304F8" w14:textId="77777777" w:rsidR="002E7D66" w:rsidRPr="002E7D66" w:rsidRDefault="002E7D66" w:rsidP="002E7D66">
      <w:pPr>
        <w:spacing w:line="480" w:lineRule="auto"/>
        <w:jc w:val="both"/>
        <w:rPr>
          <w:rStyle w:val="Emphasis"/>
          <w:rFonts w:cstheme="minorHAnsi"/>
          <w:shd w:val="clear" w:color="auto" w:fill="FFFFFF"/>
        </w:rPr>
      </w:pPr>
      <w:r w:rsidRPr="002E7D66">
        <w:rPr>
          <w:rStyle w:val="Emphasis"/>
          <w:rFonts w:cstheme="minorHAnsi"/>
          <w:shd w:val="clear" w:color="auto" w:fill="FFFFFF"/>
        </w:rPr>
        <w:t xml:space="preserve">Lowery v Walker </w:t>
      </w:r>
      <w:r w:rsidRPr="002E7D66">
        <w:rPr>
          <w:rStyle w:val="Emphasis"/>
          <w:rFonts w:cstheme="minorHAnsi"/>
          <w:i w:val="0"/>
          <w:iCs w:val="0"/>
          <w:shd w:val="clear" w:color="auto" w:fill="FFFFFF"/>
        </w:rPr>
        <w:t>[1911] AC 10</w:t>
      </w:r>
    </w:p>
    <w:p w14:paraId="50227516" w14:textId="77777777" w:rsidR="002E7D66" w:rsidRPr="002E7D66" w:rsidRDefault="002E7D66" w:rsidP="002E7D66">
      <w:pPr>
        <w:spacing w:line="480" w:lineRule="auto"/>
        <w:jc w:val="both"/>
        <w:rPr>
          <w:rFonts w:cstheme="minorHAnsi"/>
          <w:color w:val="000000"/>
          <w:shd w:val="clear" w:color="auto" w:fill="FFFFFF"/>
        </w:rPr>
      </w:pPr>
      <w:r w:rsidRPr="002E7D66">
        <w:rPr>
          <w:rFonts w:cstheme="minorHAnsi"/>
          <w:color w:val="000000"/>
          <w:shd w:val="clear" w:color="auto" w:fill="FFFFFF"/>
        </w:rPr>
        <w:t>Occupier Liability Act 1957</w:t>
      </w:r>
    </w:p>
    <w:p w14:paraId="54F2A269" w14:textId="77777777" w:rsidR="002E7D66" w:rsidRPr="002E7D66" w:rsidRDefault="002E7D66" w:rsidP="002E7D66">
      <w:pPr>
        <w:spacing w:line="480" w:lineRule="auto"/>
        <w:jc w:val="both"/>
        <w:rPr>
          <w:rFonts w:cstheme="minorHAnsi"/>
          <w:color w:val="000000"/>
          <w:shd w:val="clear" w:color="auto" w:fill="FFFFFF"/>
        </w:rPr>
      </w:pPr>
      <w:r w:rsidRPr="002E7D66">
        <w:rPr>
          <w:rFonts w:cstheme="minorHAnsi"/>
          <w:color w:val="000000"/>
          <w:shd w:val="clear" w:color="auto" w:fill="FFFFFF"/>
        </w:rPr>
        <w:t>Occupiers Liability Act 1984</w:t>
      </w:r>
    </w:p>
    <w:p w14:paraId="7B4D72AD" w14:textId="77777777" w:rsidR="002E7D66" w:rsidRPr="002E7D66" w:rsidRDefault="002E7D66" w:rsidP="002E7D66">
      <w:pPr>
        <w:spacing w:line="480" w:lineRule="auto"/>
        <w:jc w:val="both"/>
        <w:rPr>
          <w:rFonts w:cstheme="minorHAnsi"/>
          <w:color w:val="222222"/>
          <w:shd w:val="clear" w:color="auto" w:fill="FFFFFF"/>
        </w:rPr>
      </w:pPr>
      <w:r w:rsidRPr="002E7D66">
        <w:rPr>
          <w:rFonts w:cstheme="minorHAnsi"/>
          <w:color w:val="222222"/>
          <w:shd w:val="clear" w:color="auto" w:fill="FFFFFF"/>
        </w:rPr>
        <w:t>Pawlowski, M. (2019). Landlord's liability as occupier to trespassers. </w:t>
      </w:r>
      <w:r w:rsidRPr="002E7D66">
        <w:rPr>
          <w:rFonts w:cstheme="minorHAnsi"/>
          <w:i/>
          <w:iCs/>
          <w:color w:val="222222"/>
          <w:shd w:val="clear" w:color="auto" w:fill="FFFFFF"/>
        </w:rPr>
        <w:t>Landlord and Tenant Review</w:t>
      </w:r>
      <w:r w:rsidRPr="002E7D66">
        <w:rPr>
          <w:rFonts w:cstheme="minorHAnsi"/>
          <w:color w:val="222222"/>
          <w:shd w:val="clear" w:color="auto" w:fill="FFFFFF"/>
        </w:rPr>
        <w:t>, </w:t>
      </w:r>
      <w:r w:rsidRPr="002E7D66">
        <w:rPr>
          <w:rFonts w:cstheme="minorHAnsi"/>
          <w:i/>
          <w:iCs/>
          <w:color w:val="222222"/>
          <w:shd w:val="clear" w:color="auto" w:fill="FFFFFF"/>
        </w:rPr>
        <w:t>23</w:t>
      </w:r>
      <w:r w:rsidRPr="002E7D66">
        <w:rPr>
          <w:rFonts w:cstheme="minorHAnsi"/>
          <w:color w:val="222222"/>
          <w:shd w:val="clear" w:color="auto" w:fill="FFFFFF"/>
        </w:rPr>
        <w:t>(5), 174-178.</w:t>
      </w:r>
    </w:p>
    <w:p w14:paraId="65356390" w14:textId="77777777" w:rsidR="002E7D66" w:rsidRPr="002E7D66" w:rsidRDefault="002E7D66" w:rsidP="002E7D66">
      <w:pPr>
        <w:spacing w:line="480" w:lineRule="auto"/>
        <w:jc w:val="both"/>
        <w:rPr>
          <w:rFonts w:cstheme="minorHAnsi"/>
          <w:color w:val="222222"/>
          <w:shd w:val="clear" w:color="auto" w:fill="FFFFFF"/>
        </w:rPr>
      </w:pPr>
      <w:r w:rsidRPr="002E7D66">
        <w:rPr>
          <w:rFonts w:cstheme="minorHAnsi"/>
          <w:color w:val="222222"/>
          <w:shd w:val="clear" w:color="auto" w:fill="FFFFFF"/>
        </w:rPr>
        <w:t>Peel, E., &amp; Goudkamp, J. (2014). </w:t>
      </w:r>
      <w:r w:rsidRPr="002E7D66">
        <w:rPr>
          <w:rFonts w:cstheme="minorHAnsi"/>
          <w:i/>
          <w:iCs/>
          <w:color w:val="222222"/>
          <w:shd w:val="clear" w:color="auto" w:fill="FFFFFF"/>
        </w:rPr>
        <w:t>Winfield &amp; Jolowicz on Tort</w:t>
      </w:r>
      <w:r w:rsidRPr="002E7D66">
        <w:rPr>
          <w:rFonts w:cstheme="minorHAnsi"/>
          <w:color w:val="222222"/>
          <w:shd w:val="clear" w:color="auto" w:fill="FFFFFF"/>
        </w:rPr>
        <w:t>. Thomson Reuters.</w:t>
      </w:r>
    </w:p>
    <w:p w14:paraId="4C3969F2" w14:textId="77777777" w:rsidR="002E7D66" w:rsidRPr="002E7D66" w:rsidRDefault="002E7D66" w:rsidP="002E7D66">
      <w:pPr>
        <w:spacing w:line="480" w:lineRule="auto"/>
        <w:jc w:val="both"/>
        <w:rPr>
          <w:rFonts w:cstheme="minorHAnsi"/>
        </w:rPr>
      </w:pPr>
      <w:r w:rsidRPr="002E7D66">
        <w:rPr>
          <w:rFonts w:cstheme="minorHAnsi"/>
          <w:i/>
          <w:iCs/>
        </w:rPr>
        <w:t>Ratcliff v McConnell and Harper Adams College</w:t>
      </w:r>
      <w:r w:rsidRPr="002E7D66">
        <w:rPr>
          <w:rFonts w:cstheme="minorHAnsi"/>
        </w:rPr>
        <w:t xml:space="preserve"> [1997] EWCA Civ 2679</w:t>
      </w:r>
    </w:p>
    <w:p w14:paraId="51A25290" w14:textId="77777777" w:rsidR="002E7D66" w:rsidRPr="002E7D66" w:rsidRDefault="002E7D66" w:rsidP="002E7D66">
      <w:pPr>
        <w:spacing w:line="480" w:lineRule="auto"/>
        <w:jc w:val="both"/>
        <w:rPr>
          <w:rFonts w:cstheme="minorHAnsi"/>
        </w:rPr>
      </w:pPr>
      <w:r w:rsidRPr="002E7D66">
        <w:rPr>
          <w:rFonts w:cstheme="minorHAnsi"/>
          <w:i/>
          <w:iCs/>
        </w:rPr>
        <w:t>Revill v Newbery</w:t>
      </w:r>
      <w:r w:rsidRPr="002E7D66">
        <w:rPr>
          <w:rFonts w:cstheme="minorHAnsi"/>
        </w:rPr>
        <w:t xml:space="preserve"> [1996] 2 WLR 239</w:t>
      </w:r>
    </w:p>
    <w:p w14:paraId="5B463C7F" w14:textId="77777777" w:rsidR="002E7D66" w:rsidRPr="002E7D66" w:rsidRDefault="002E7D66" w:rsidP="002E7D66">
      <w:pPr>
        <w:spacing w:line="480" w:lineRule="auto"/>
        <w:jc w:val="both"/>
        <w:rPr>
          <w:rFonts w:cstheme="minorHAnsi"/>
        </w:rPr>
      </w:pPr>
      <w:r w:rsidRPr="002E7D66">
        <w:rPr>
          <w:rFonts w:cstheme="minorHAnsi"/>
          <w:i/>
          <w:iCs/>
        </w:rPr>
        <w:t xml:space="preserve">Roles v Nathan </w:t>
      </w:r>
      <w:r w:rsidRPr="002E7D66">
        <w:rPr>
          <w:rFonts w:cstheme="minorHAnsi"/>
        </w:rPr>
        <w:t>[1963] 1 WLR 1117</w:t>
      </w:r>
    </w:p>
    <w:p w14:paraId="308BBA57" w14:textId="77777777" w:rsidR="002E7D66" w:rsidRPr="002E7D66" w:rsidRDefault="002E7D66" w:rsidP="002E7D66">
      <w:pPr>
        <w:spacing w:line="480" w:lineRule="auto"/>
        <w:jc w:val="both"/>
        <w:rPr>
          <w:rFonts w:cstheme="minorHAnsi"/>
          <w:color w:val="222222"/>
          <w:shd w:val="clear" w:color="auto" w:fill="FFFFFF"/>
        </w:rPr>
      </w:pPr>
      <w:r w:rsidRPr="002E7D66">
        <w:rPr>
          <w:rFonts w:cstheme="minorHAnsi"/>
          <w:color w:val="222222"/>
          <w:shd w:val="clear" w:color="auto" w:fill="FFFFFF"/>
        </w:rPr>
        <w:t>Steele, J. (2010). </w:t>
      </w:r>
      <w:r w:rsidRPr="002E7D66">
        <w:rPr>
          <w:rFonts w:cstheme="minorHAnsi"/>
          <w:i/>
          <w:iCs/>
          <w:color w:val="222222"/>
          <w:shd w:val="clear" w:color="auto" w:fill="FFFFFF"/>
        </w:rPr>
        <w:t>Tort Law: Text, cases, and materials</w:t>
      </w:r>
      <w:r w:rsidRPr="002E7D66">
        <w:rPr>
          <w:rFonts w:cstheme="minorHAnsi"/>
          <w:color w:val="222222"/>
          <w:shd w:val="clear" w:color="auto" w:fill="FFFFFF"/>
        </w:rPr>
        <w:t>. Oxford University Press.</w:t>
      </w:r>
    </w:p>
    <w:p w14:paraId="7B786C26" w14:textId="77777777" w:rsidR="002E7D66" w:rsidRPr="002E7D66" w:rsidRDefault="002E7D66" w:rsidP="002E7D66">
      <w:pPr>
        <w:spacing w:line="480" w:lineRule="auto"/>
        <w:jc w:val="both"/>
        <w:rPr>
          <w:rStyle w:val="Emphasis"/>
          <w:rFonts w:cstheme="minorHAnsi"/>
          <w:i w:val="0"/>
          <w:iCs w:val="0"/>
          <w:shd w:val="clear" w:color="auto" w:fill="FFFFFF"/>
        </w:rPr>
      </w:pPr>
      <w:r w:rsidRPr="002E7D66">
        <w:rPr>
          <w:rStyle w:val="Emphasis"/>
          <w:rFonts w:cstheme="minorHAnsi"/>
          <w:shd w:val="clear" w:color="auto" w:fill="FFFFFF"/>
        </w:rPr>
        <w:t xml:space="preserve">Taylor v Glasgow City Council </w:t>
      </w:r>
      <w:r w:rsidRPr="002E7D66">
        <w:rPr>
          <w:rStyle w:val="Emphasis"/>
          <w:rFonts w:cstheme="minorHAnsi"/>
          <w:i w:val="0"/>
          <w:iCs w:val="0"/>
          <w:shd w:val="clear" w:color="auto" w:fill="FFFFFF"/>
        </w:rPr>
        <w:t>[1922] 1 AC 44</w:t>
      </w:r>
    </w:p>
    <w:p w14:paraId="55D9F81F" w14:textId="77777777" w:rsidR="002E7D66" w:rsidRPr="002E7D66" w:rsidRDefault="002E7D66" w:rsidP="002E7D66">
      <w:pPr>
        <w:spacing w:line="480" w:lineRule="auto"/>
        <w:jc w:val="both"/>
        <w:rPr>
          <w:rFonts w:cstheme="minorHAnsi"/>
        </w:rPr>
      </w:pPr>
      <w:r w:rsidRPr="002E7D66">
        <w:rPr>
          <w:rFonts w:cstheme="minorHAnsi"/>
          <w:i/>
          <w:iCs/>
        </w:rPr>
        <w:t>Titchener v British Railways Board</w:t>
      </w:r>
      <w:r w:rsidRPr="002E7D66">
        <w:rPr>
          <w:rFonts w:cstheme="minorHAnsi"/>
        </w:rPr>
        <w:t xml:space="preserve"> [1983] 1 WLR 1427</w:t>
      </w:r>
    </w:p>
    <w:p w14:paraId="2610A317" w14:textId="77777777" w:rsidR="002E7D66" w:rsidRPr="002E7D66" w:rsidRDefault="002E7D66" w:rsidP="002E7D66">
      <w:pPr>
        <w:spacing w:line="480" w:lineRule="auto"/>
        <w:jc w:val="both"/>
        <w:rPr>
          <w:rStyle w:val="Emphasis"/>
          <w:rFonts w:cstheme="minorHAnsi"/>
          <w:shd w:val="clear" w:color="auto" w:fill="FFFFFF"/>
        </w:rPr>
      </w:pPr>
      <w:r w:rsidRPr="002E7D66">
        <w:rPr>
          <w:rStyle w:val="Emphasis"/>
          <w:rFonts w:cstheme="minorHAnsi"/>
          <w:shd w:val="clear" w:color="auto" w:fill="FFFFFF"/>
        </w:rPr>
        <w:t xml:space="preserve">Tomlinson v Congleton </w:t>
      </w:r>
      <w:r w:rsidRPr="002E7D66">
        <w:rPr>
          <w:rStyle w:val="Emphasis"/>
          <w:rFonts w:cstheme="minorHAnsi"/>
          <w:i w:val="0"/>
          <w:iCs w:val="0"/>
          <w:shd w:val="clear" w:color="auto" w:fill="FFFFFF"/>
        </w:rPr>
        <w:t>[2003] 3 WLR 705</w:t>
      </w:r>
    </w:p>
    <w:p w14:paraId="674D7D6C" w14:textId="77777777" w:rsidR="002E7D66" w:rsidRPr="002E7D66" w:rsidRDefault="002E7D66" w:rsidP="002E7D66">
      <w:pPr>
        <w:spacing w:line="480" w:lineRule="auto"/>
        <w:jc w:val="both"/>
        <w:rPr>
          <w:rFonts w:cstheme="minorHAnsi"/>
          <w:shd w:val="clear" w:color="auto" w:fill="FFFFFF"/>
        </w:rPr>
      </w:pPr>
      <w:r w:rsidRPr="002E7D66">
        <w:rPr>
          <w:rStyle w:val="Emphasis"/>
          <w:rFonts w:cstheme="minorHAnsi"/>
          <w:shd w:val="clear" w:color="auto" w:fill="FFFFFF"/>
        </w:rPr>
        <w:t>Wheat v E Lacon &amp; Co Ltd</w:t>
      </w:r>
      <w:r w:rsidRPr="002E7D66">
        <w:rPr>
          <w:rFonts w:cstheme="minorHAnsi"/>
          <w:shd w:val="clear" w:color="auto" w:fill="FFFFFF"/>
        </w:rPr>
        <w:t> [1966] AC 552</w:t>
      </w:r>
    </w:p>
    <w:p w14:paraId="22D190CC" w14:textId="77777777" w:rsidR="002E7D66" w:rsidRPr="002E7D66" w:rsidRDefault="002E7D66" w:rsidP="002E7D66">
      <w:pPr>
        <w:spacing w:line="480" w:lineRule="auto"/>
        <w:jc w:val="both"/>
        <w:rPr>
          <w:rFonts w:cstheme="minorHAnsi"/>
        </w:rPr>
      </w:pPr>
      <w:r w:rsidRPr="002E7D66">
        <w:rPr>
          <w:rFonts w:cstheme="minorHAnsi"/>
          <w:i/>
          <w:iCs/>
        </w:rPr>
        <w:t>White v Blackmore</w:t>
      </w:r>
      <w:r w:rsidRPr="002E7D66">
        <w:rPr>
          <w:rFonts w:cstheme="minorHAnsi"/>
        </w:rPr>
        <w:t xml:space="preserve"> [1972] 3 WLR 296</w:t>
      </w:r>
    </w:p>
    <w:p w14:paraId="7496B5DA" w14:textId="77777777" w:rsidR="002E7D66" w:rsidRPr="002E7D66" w:rsidRDefault="002E7D66" w:rsidP="002E7D66">
      <w:pPr>
        <w:spacing w:line="480" w:lineRule="auto"/>
        <w:rPr>
          <w:rFonts w:cstheme="minorHAnsi"/>
        </w:rPr>
      </w:pPr>
    </w:p>
    <w:sectPr w:rsidR="002E7D66" w:rsidRPr="002E7D66" w:rsidSect="007A5E7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7D66"/>
    <w:rsid w:val="00276F94"/>
    <w:rsid w:val="002E7D66"/>
    <w:rsid w:val="00505269"/>
    <w:rsid w:val="007A5E7E"/>
    <w:rsid w:val="00A044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06BC15"/>
  <w15:chartTrackingRefBased/>
  <w15:docId w15:val="{B0F29765-7DB5-9547-91F9-E0907CDC4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2E7D6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9</Pages>
  <Words>2279</Words>
  <Characters>12993</Characters>
  <Application>Microsoft Office Word</Application>
  <DocSecurity>0</DocSecurity>
  <Lines>108</Lines>
  <Paragraphs>30</Paragraphs>
  <ScaleCrop>false</ScaleCrop>
  <Company/>
  <LinksUpToDate>false</LinksUpToDate>
  <CharactersWithSpaces>15242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Naima Tasnim</dc:creator>
  <cp:keywords/>
  <dc:description/>
  <cp:lastModifiedBy>Naima Tasnim</cp:lastModifiedBy>
  <cp:revision>3</cp:revision>
  <dcterms:created xsi:type="dcterms:W3CDTF">2021-01-05T18:12:00Z</dcterms:created>
  <dcterms:modified xsi:type="dcterms:W3CDTF">2021-01-05T18:34:00Z</dcterms:modified>
</cp:coreProperties>
</file>