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A06E9" w14:textId="77777777" w:rsidR="00367A4B" w:rsidRDefault="00367A4B" w:rsidP="00367A4B">
      <w:pPr>
        <w:spacing w:after="0" w:line="360" w:lineRule="auto"/>
        <w:ind w:firstLine="720"/>
        <w:jc w:val="center"/>
        <w:rPr>
          <w:rFonts w:ascii="Arial" w:eastAsia="Calibri" w:hAnsi="Arial" w:cs="Arial"/>
          <w:b/>
          <w:bCs/>
          <w:kern w:val="0"/>
          <w:lang w:val="en-CA"/>
          <w14:ligatures w14:val="none"/>
        </w:rPr>
      </w:pPr>
      <w:r>
        <w:rPr>
          <w:rFonts w:ascii="Arial" w:eastAsia="Calibri" w:hAnsi="Arial" w:cs="Arial"/>
          <w:b/>
          <w:noProof/>
          <w:kern w:val="0"/>
          <w:lang w:val="en-CA"/>
        </w:rPr>
        <w:drawing>
          <wp:inline distT="0" distB="0" distL="0" distR="0" wp14:anchorId="5B481DA7" wp14:editId="78A6818E">
            <wp:extent cx="1882140" cy="838200"/>
            <wp:effectExtent l="0" t="0" r="3810" b="0"/>
            <wp:docPr id="51473712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3A07E705" w14:textId="77777777" w:rsidR="00367A4B" w:rsidRDefault="00367A4B" w:rsidP="00367A4B">
      <w:pPr>
        <w:spacing w:after="0" w:line="360" w:lineRule="auto"/>
        <w:ind w:firstLine="720"/>
        <w:jc w:val="center"/>
        <w:rPr>
          <w:rFonts w:ascii="Arial" w:eastAsia="Calibri" w:hAnsi="Arial" w:cs="Arial"/>
          <w:b/>
          <w:bCs/>
          <w:kern w:val="0"/>
          <w:lang w:val="en-CA"/>
          <w14:ligatures w14:val="none"/>
        </w:rPr>
      </w:pPr>
    </w:p>
    <w:p w14:paraId="5C368481" w14:textId="77777777" w:rsidR="00367A4B" w:rsidRDefault="00367A4B" w:rsidP="00367A4B">
      <w:pPr>
        <w:spacing w:after="0" w:line="256" w:lineRule="auto"/>
        <w:ind w:left="10" w:right="238" w:hanging="10"/>
        <w:jc w:val="center"/>
        <w:rPr>
          <w:rFonts w:ascii="Calibri" w:eastAsia="Calibri" w:hAnsi="Calibri" w:cs="Calibri"/>
          <w:color w:val="000000"/>
          <w:sz w:val="32"/>
          <w:szCs w:val="32"/>
          <w:lang w:eastAsia="zh-CN"/>
        </w:rPr>
      </w:pPr>
      <w:r>
        <w:rPr>
          <w:rFonts w:ascii="Arial" w:eastAsia="Arial" w:hAnsi="Arial" w:cs="Arial"/>
          <w:b/>
          <w:color w:val="000000"/>
          <w:sz w:val="32"/>
          <w:szCs w:val="32"/>
          <w:lang w:eastAsia="zh-CN"/>
        </w:rPr>
        <w:t xml:space="preserve">        BA Leadership and Management</w:t>
      </w:r>
    </w:p>
    <w:p w14:paraId="328632F6" w14:textId="74ED44DB" w:rsidR="00367A4B" w:rsidRDefault="00012245" w:rsidP="00367A4B">
      <w:pPr>
        <w:spacing w:after="0" w:line="256" w:lineRule="auto"/>
        <w:ind w:left="10" w:right="126" w:hanging="10"/>
        <w:jc w:val="center"/>
        <w:rPr>
          <w:rFonts w:ascii="Arial" w:eastAsia="Arial" w:hAnsi="Arial" w:cs="Arial"/>
          <w:b/>
          <w:color w:val="000000"/>
          <w:sz w:val="32"/>
          <w:szCs w:val="32"/>
          <w:lang w:eastAsia="zh-CN"/>
        </w:rPr>
      </w:pPr>
      <w:r>
        <w:rPr>
          <w:rFonts w:ascii="Arial" w:eastAsia="Arial" w:hAnsi="Arial" w:cs="Arial"/>
          <w:b/>
          <w:color w:val="000000"/>
          <w:sz w:val="32"/>
          <w:szCs w:val="32"/>
          <w:lang w:eastAsia="zh-CN"/>
        </w:rPr>
        <w:t xml:space="preserve">    </w:t>
      </w:r>
      <w:r w:rsidR="00367A4B">
        <w:rPr>
          <w:rFonts w:ascii="Arial" w:eastAsia="Arial" w:hAnsi="Arial" w:cs="Arial"/>
          <w:b/>
          <w:color w:val="000000"/>
          <w:sz w:val="32"/>
          <w:szCs w:val="32"/>
          <w:lang w:eastAsia="zh-CN"/>
        </w:rPr>
        <w:t>LEVEL 5</w:t>
      </w:r>
    </w:p>
    <w:p w14:paraId="6AC07279" w14:textId="7DF92A2B" w:rsidR="00367A4B" w:rsidRDefault="00367A4B" w:rsidP="00367A4B">
      <w:pPr>
        <w:spacing w:after="0" w:line="256" w:lineRule="auto"/>
        <w:rPr>
          <w:rFonts w:ascii="Arial" w:eastAsia="Calibri" w:hAnsi="Arial" w:cs="Arial"/>
          <w:b/>
          <w:bCs/>
          <w:color w:val="000000"/>
          <w:sz w:val="32"/>
          <w:szCs w:val="32"/>
          <w:lang w:eastAsia="zh-CN"/>
        </w:rPr>
      </w:pPr>
    </w:p>
    <w:p w14:paraId="73F4851D" w14:textId="77777777" w:rsidR="00367A4B" w:rsidRDefault="00367A4B" w:rsidP="00367A4B">
      <w:pPr>
        <w:spacing w:after="0" w:line="360" w:lineRule="auto"/>
        <w:ind w:firstLine="720"/>
        <w:jc w:val="center"/>
        <w:rPr>
          <w:rFonts w:ascii="Arial" w:eastAsia="Calibri" w:hAnsi="Arial" w:cs="Arial"/>
          <w:b/>
          <w:bCs/>
          <w:kern w:val="0"/>
          <w:sz w:val="32"/>
          <w:szCs w:val="32"/>
          <w14:ligatures w14:val="none"/>
        </w:rPr>
      </w:pPr>
      <w:bookmarkStart w:id="0" w:name="_Hlk223435451"/>
    </w:p>
    <w:bookmarkEnd w:id="0"/>
    <w:p w14:paraId="703E215C" w14:textId="2112E24F" w:rsidR="00367A4B" w:rsidRDefault="00012245" w:rsidP="00012245">
      <w:pPr>
        <w:spacing w:after="0" w:line="360" w:lineRule="auto"/>
        <w:ind w:firstLine="720"/>
        <w:jc w:val="center"/>
        <w:rPr>
          <w:rFonts w:ascii="Arial" w:eastAsia="Calibri" w:hAnsi="Arial" w:cs="Arial"/>
          <w:b/>
          <w:bCs/>
          <w:kern w:val="0"/>
          <w:sz w:val="32"/>
          <w:szCs w:val="32"/>
          <w:lang w:val="en-CA"/>
          <w14:ligatures w14:val="none"/>
        </w:rPr>
      </w:pPr>
      <w:r>
        <w:rPr>
          <w:rFonts w:ascii="Arial" w:eastAsia="Calibri" w:hAnsi="Arial" w:cs="Arial"/>
          <w:b/>
          <w:bCs/>
          <w:kern w:val="0"/>
          <w:sz w:val="32"/>
          <w:szCs w:val="32"/>
          <w14:ligatures w14:val="none"/>
        </w:rPr>
        <w:t>Managing Projects in the</w:t>
      </w:r>
      <w:r>
        <w:rPr>
          <w:rFonts w:ascii="Arial" w:eastAsia="Calibri" w:hAnsi="Arial" w:cs="Arial"/>
          <w:b/>
          <w:bCs/>
          <w:kern w:val="0"/>
          <w:sz w:val="32"/>
          <w:szCs w:val="32"/>
          <w:lang w:val="en-CA"/>
          <w14:ligatures w14:val="none"/>
        </w:rPr>
        <w:t xml:space="preserve"> Organisation</w:t>
      </w:r>
    </w:p>
    <w:p w14:paraId="0C8B047D" w14:textId="7CAF926F" w:rsidR="00012245" w:rsidRDefault="00012245" w:rsidP="00012245">
      <w:pPr>
        <w:spacing w:after="0" w:line="360" w:lineRule="auto"/>
        <w:ind w:firstLine="720"/>
        <w:jc w:val="center"/>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(BMSW 5009)</w:t>
      </w:r>
    </w:p>
    <w:p w14:paraId="69828E7A" w14:textId="5927EA09" w:rsidR="00A64A2D" w:rsidRPr="00012245" w:rsidRDefault="00A64A2D" w:rsidP="00012245">
      <w:pPr>
        <w:spacing w:after="0" w:line="360" w:lineRule="auto"/>
        <w:ind w:firstLine="720"/>
        <w:jc w:val="center"/>
        <w:rPr>
          <w:rFonts w:ascii="Arial" w:eastAsia="Calibri" w:hAnsi="Arial" w:cs="Arial"/>
          <w:b/>
          <w:bCs/>
          <w:kern w:val="0"/>
          <w:sz w:val="32"/>
          <w:szCs w:val="32"/>
          <w14:ligatures w14:val="none"/>
        </w:rPr>
      </w:pPr>
      <w:r>
        <w:rPr>
          <w:rFonts w:ascii="Arial" w:eastAsia="Calibri" w:hAnsi="Arial" w:cs="Arial"/>
          <w:b/>
          <w:bCs/>
          <w:kern w:val="0"/>
          <w:sz w:val="32"/>
          <w:szCs w:val="32"/>
          <w:lang w:val="en-CA"/>
          <w14:ligatures w14:val="none"/>
        </w:rPr>
        <w:t>Project Title: Support</w:t>
      </w:r>
      <w:r w:rsidR="000B616C">
        <w:rPr>
          <w:rFonts w:ascii="Arial" w:eastAsia="Calibri" w:hAnsi="Arial" w:cs="Arial"/>
          <w:b/>
          <w:bCs/>
          <w:kern w:val="0"/>
          <w:sz w:val="32"/>
          <w:szCs w:val="32"/>
          <w:lang w:val="en-CA"/>
          <w14:ligatures w14:val="none"/>
        </w:rPr>
        <w:t xml:space="preserve">ing local vendors </w:t>
      </w:r>
      <w:r>
        <w:rPr>
          <w:rFonts w:ascii="Arial" w:eastAsia="Calibri" w:hAnsi="Arial" w:cs="Arial"/>
          <w:b/>
          <w:bCs/>
          <w:kern w:val="0"/>
          <w:sz w:val="32"/>
          <w:szCs w:val="32"/>
          <w:lang w:val="en-CA"/>
          <w14:ligatures w14:val="none"/>
        </w:rPr>
        <w:t xml:space="preserve">with mobile kitchens </w:t>
      </w:r>
    </w:p>
    <w:p w14:paraId="1A92C7C0" w14:textId="1059B480" w:rsidR="00367A4B" w:rsidRDefault="00367A4B" w:rsidP="00367A4B">
      <w:pPr>
        <w:spacing w:after="0" w:line="256" w:lineRule="auto"/>
        <w:ind w:left="10" w:right="134" w:hanging="10"/>
        <w:jc w:val="center"/>
        <w:rPr>
          <w:rFonts w:ascii="Arial" w:eastAsia="Arial" w:hAnsi="Arial" w:cs="Arial"/>
          <w:b/>
          <w:color w:val="000000"/>
          <w:sz w:val="32"/>
          <w:szCs w:val="32"/>
          <w:lang w:eastAsia="zh-CN"/>
        </w:rPr>
      </w:pPr>
      <w:r>
        <w:rPr>
          <w:rFonts w:ascii="Arial" w:eastAsia="Arial" w:hAnsi="Arial" w:cs="Arial"/>
          <w:b/>
          <w:color w:val="000000"/>
          <w:sz w:val="32"/>
          <w:szCs w:val="32"/>
          <w:lang w:eastAsia="zh-CN"/>
        </w:rPr>
        <w:t xml:space="preserve">     Module Lead:  </w:t>
      </w:r>
      <w:r w:rsidR="00012245">
        <w:rPr>
          <w:rFonts w:ascii="Arial" w:eastAsia="Arial" w:hAnsi="Arial" w:cs="Arial"/>
          <w:b/>
          <w:color w:val="000000"/>
          <w:sz w:val="32"/>
          <w:szCs w:val="32"/>
          <w:lang w:eastAsia="zh-CN"/>
        </w:rPr>
        <w:t>Lan Zhang</w:t>
      </w:r>
    </w:p>
    <w:p w14:paraId="0C05D803" w14:textId="77777777" w:rsidR="00367A4B" w:rsidRDefault="00367A4B" w:rsidP="00367A4B">
      <w:pPr>
        <w:spacing w:after="0" w:line="256" w:lineRule="auto"/>
        <w:ind w:left="10" w:right="134" w:hanging="10"/>
        <w:jc w:val="center"/>
        <w:rPr>
          <w:rFonts w:ascii="Arial" w:eastAsia="Calibri" w:hAnsi="Arial" w:cs="Arial"/>
          <w:b/>
          <w:bCs/>
          <w:kern w:val="0"/>
          <w:sz w:val="32"/>
          <w:szCs w:val="32"/>
          <w:lang w:val="en-CA"/>
          <w14:ligatures w14:val="none"/>
        </w:rPr>
      </w:pPr>
    </w:p>
    <w:p w14:paraId="573C9499" w14:textId="77777777" w:rsidR="00367A4B" w:rsidRDefault="00367A4B" w:rsidP="00367A4B">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Name: Constantin Tanasa</w:t>
      </w:r>
    </w:p>
    <w:p w14:paraId="4A1DA38C" w14:textId="77777777" w:rsidR="00367A4B" w:rsidRDefault="00367A4B" w:rsidP="00367A4B">
      <w:pPr>
        <w:spacing w:after="0" w:line="360" w:lineRule="auto"/>
        <w:ind w:firstLine="720"/>
        <w:jc w:val="center"/>
        <w:rPr>
          <w:rFonts w:ascii="Arial" w:eastAsia="Calibri" w:hAnsi="Arial" w:cs="Arial"/>
          <w:b/>
          <w:bCs/>
          <w:kern w:val="0"/>
          <w:sz w:val="32"/>
          <w:szCs w:val="32"/>
          <w:lang w:val="en-CA"/>
          <w14:ligatures w14:val="none"/>
        </w:rPr>
      </w:pPr>
    </w:p>
    <w:p w14:paraId="6E181643" w14:textId="77777777" w:rsidR="00367A4B" w:rsidRPr="00717B1F" w:rsidRDefault="00367A4B" w:rsidP="00367A4B">
      <w:pPr>
        <w:spacing w:after="0" w:line="360" w:lineRule="auto"/>
        <w:ind w:firstLine="720"/>
        <w:rPr>
          <w:rFonts w:ascii="Arial" w:eastAsia="Calibri" w:hAnsi="Arial" w:cs="Arial"/>
          <w:b/>
          <w:bCs/>
          <w:kern w:val="0"/>
          <w:sz w:val="32"/>
          <w:szCs w:val="32"/>
          <w:lang w:val="en-CA"/>
          <w14:ligatures w14:val="none"/>
        </w:rPr>
      </w:pPr>
      <w:r>
        <w:rPr>
          <w:rFonts w:ascii="Arial" w:eastAsia="Calibri" w:hAnsi="Arial" w:cs="Arial"/>
          <w:b/>
          <w:bCs/>
          <w:kern w:val="0"/>
          <w:sz w:val="32"/>
          <w:szCs w:val="32"/>
          <w:lang w:val="en-CA"/>
          <w14:ligatures w14:val="none"/>
        </w:rPr>
        <w:t xml:space="preserve">                        Student Number:2332158</w:t>
      </w:r>
    </w:p>
    <w:p w14:paraId="2D1AF177" w14:textId="77777777" w:rsidR="00367A4B" w:rsidRDefault="00367A4B" w:rsidP="00367A4B">
      <w:pPr>
        <w:spacing w:after="0" w:line="360" w:lineRule="auto"/>
        <w:rPr>
          <w:rFonts w:ascii="Arial" w:eastAsia="Calibri" w:hAnsi="Arial" w:cs="Arial"/>
          <w:b/>
          <w:bCs/>
          <w:kern w:val="0"/>
          <w:lang w:val="en-CA"/>
          <w14:ligatures w14:val="none"/>
        </w:rPr>
      </w:pPr>
    </w:p>
    <w:p w14:paraId="7DAE3612" w14:textId="78CA1544" w:rsidR="00367A4B" w:rsidRDefault="00367A4B" w:rsidP="00367A4B">
      <w:pPr>
        <w:spacing w:after="0" w:line="360" w:lineRule="auto"/>
        <w:rPr>
          <w:rFonts w:ascii="Arial" w:eastAsia="Calibri" w:hAnsi="Arial" w:cs="Arial"/>
          <w:b/>
          <w:bCs/>
          <w:kern w:val="0"/>
          <w:sz w:val="28"/>
          <w:szCs w:val="28"/>
          <w:lang w:val="en-CA"/>
          <w14:ligatures w14:val="none"/>
        </w:rPr>
      </w:pPr>
      <w:r>
        <w:rPr>
          <w:rFonts w:ascii="Arial" w:eastAsia="Calibri" w:hAnsi="Arial" w:cs="Arial"/>
          <w:b/>
          <w:bCs/>
          <w:kern w:val="0"/>
          <w:sz w:val="28"/>
          <w:szCs w:val="28"/>
          <w:lang w:val="en-CA"/>
          <w14:ligatures w14:val="none"/>
        </w:rPr>
        <w:t xml:space="preserve">       Total word </w:t>
      </w:r>
      <w:r w:rsidR="00A64A2D">
        <w:rPr>
          <w:rFonts w:ascii="Arial" w:eastAsia="Calibri" w:hAnsi="Arial" w:cs="Arial"/>
          <w:b/>
          <w:bCs/>
          <w:kern w:val="0"/>
          <w:sz w:val="28"/>
          <w:szCs w:val="28"/>
          <w:lang w:val="en-CA"/>
          <w14:ligatures w14:val="none"/>
        </w:rPr>
        <w:t>count :</w:t>
      </w:r>
      <w:r w:rsidR="00B949BE">
        <w:rPr>
          <w:rFonts w:ascii="Arial" w:eastAsia="Calibri" w:hAnsi="Arial" w:cs="Arial"/>
          <w:b/>
          <w:bCs/>
          <w:kern w:val="0"/>
          <w:sz w:val="28"/>
          <w:szCs w:val="28"/>
          <w:lang w:val="en-CA"/>
          <w14:ligatures w14:val="none"/>
        </w:rPr>
        <w:t>21</w:t>
      </w:r>
      <w:r w:rsidR="008C3445">
        <w:rPr>
          <w:rFonts w:ascii="Arial" w:eastAsia="Calibri" w:hAnsi="Arial" w:cs="Arial"/>
          <w:b/>
          <w:bCs/>
          <w:kern w:val="0"/>
          <w:sz w:val="28"/>
          <w:szCs w:val="28"/>
          <w:lang w:val="en-CA"/>
          <w14:ligatures w14:val="none"/>
        </w:rPr>
        <w:t>55</w:t>
      </w:r>
      <w:r w:rsidR="00012245">
        <w:rPr>
          <w:rFonts w:ascii="Arial" w:eastAsia="Calibri" w:hAnsi="Arial" w:cs="Arial"/>
          <w:b/>
          <w:bCs/>
          <w:kern w:val="0"/>
          <w:sz w:val="28"/>
          <w:szCs w:val="28"/>
          <w:lang w:val="en-CA"/>
          <w14:ligatures w14:val="none"/>
        </w:rPr>
        <w:t xml:space="preserve">         </w:t>
      </w:r>
      <w:r>
        <w:rPr>
          <w:rFonts w:ascii="Arial" w:eastAsia="Calibri" w:hAnsi="Arial" w:cs="Arial"/>
          <w:b/>
          <w:bCs/>
          <w:kern w:val="0"/>
          <w:sz w:val="28"/>
          <w:szCs w:val="28"/>
          <w:lang w:val="en-CA"/>
          <w14:ligatures w14:val="none"/>
        </w:rPr>
        <w:t>Submission Deadline:</w:t>
      </w:r>
      <w:r w:rsidR="00A64A2D">
        <w:rPr>
          <w:rFonts w:ascii="Arial" w:eastAsia="Calibri" w:hAnsi="Arial" w:cs="Arial"/>
          <w:b/>
          <w:bCs/>
          <w:kern w:val="0"/>
          <w:sz w:val="28"/>
          <w:szCs w:val="28"/>
          <w:lang w:val="en-CA"/>
          <w14:ligatures w14:val="none"/>
        </w:rPr>
        <w:t>08 July 2026</w:t>
      </w:r>
    </w:p>
    <w:p w14:paraId="1F5D5A8F" w14:textId="77777777" w:rsidR="00367A4B" w:rsidRPr="00A64A2D" w:rsidRDefault="00367A4B" w:rsidP="00367A4B">
      <w:pPr>
        <w:spacing w:after="0" w:line="360" w:lineRule="auto"/>
        <w:rPr>
          <w:rFonts w:ascii="Arial" w:eastAsia="Calibri" w:hAnsi="Arial" w:cs="Arial"/>
          <w:b/>
          <w:bCs/>
          <w:kern w:val="0"/>
          <w:sz w:val="28"/>
          <w:szCs w:val="28"/>
          <w:lang w:val="en-CA"/>
          <w14:ligatures w14:val="none"/>
        </w:rPr>
      </w:pPr>
    </w:p>
    <w:p w14:paraId="0BFB173F" w14:textId="6EF953E7" w:rsidR="00A64A2D" w:rsidRDefault="00367A4B" w:rsidP="004333D5">
      <w:pPr>
        <w:rPr>
          <w:rFonts w:ascii="Arial" w:hAnsi="Arial" w:cs="Arial"/>
          <w:b/>
          <w:bCs/>
        </w:rPr>
      </w:pPr>
      <w:r w:rsidRPr="00A64A2D">
        <w:rPr>
          <w:rFonts w:ascii="Arial" w:hAnsi="Arial" w:cs="Arial"/>
          <w:b/>
          <w:bCs/>
        </w:rPr>
        <w:t xml:space="preserve">                                          </w:t>
      </w:r>
      <w:r w:rsidR="00A64A2D" w:rsidRPr="00A64A2D">
        <w:rPr>
          <w:rFonts w:ascii="Arial" w:hAnsi="Arial" w:cs="Arial"/>
          <w:b/>
          <w:bCs/>
        </w:rPr>
        <w:t xml:space="preserve"> </w:t>
      </w:r>
      <w:r w:rsidRPr="00A64A2D">
        <w:rPr>
          <w:rFonts w:ascii="Arial" w:hAnsi="Arial" w:cs="Arial"/>
          <w:b/>
          <w:bCs/>
        </w:rPr>
        <w:t xml:space="preserve"> </w:t>
      </w:r>
      <w:r w:rsidR="00A64A2D" w:rsidRPr="00A64A2D">
        <w:rPr>
          <w:rFonts w:ascii="Arial" w:hAnsi="Arial" w:cs="Arial"/>
          <w:b/>
          <w:bCs/>
        </w:rPr>
        <w:t>AI Statemen</w:t>
      </w:r>
      <w:r w:rsidR="00A64A2D">
        <w:rPr>
          <w:rFonts w:ascii="Arial" w:hAnsi="Arial" w:cs="Arial"/>
          <w:b/>
          <w:bCs/>
        </w:rPr>
        <w:t>t: Acknowledgement</w:t>
      </w:r>
    </w:p>
    <w:p w14:paraId="1EF07474" w14:textId="559473AF" w:rsidR="0036167B" w:rsidRPr="00A64A2D" w:rsidRDefault="00A64A2D" w:rsidP="004333D5">
      <w:pPr>
        <w:rPr>
          <w:rFonts w:ascii="Arial" w:hAnsi="Arial" w:cs="Arial"/>
          <w:b/>
          <w:bCs/>
          <w:sz w:val="22"/>
          <w:szCs w:val="22"/>
        </w:rPr>
      </w:pPr>
      <w:r>
        <w:rPr>
          <w:rFonts w:ascii="Arial" w:hAnsi="Arial" w:cs="Arial"/>
          <w:b/>
          <w:bCs/>
          <w:sz w:val="22"/>
          <w:szCs w:val="22"/>
        </w:rPr>
        <w:t xml:space="preserve">    </w:t>
      </w:r>
      <w:r w:rsidRPr="00A64A2D">
        <w:rPr>
          <w:rFonts w:ascii="Arial" w:hAnsi="Arial" w:cs="Arial"/>
          <w:b/>
          <w:bCs/>
          <w:sz w:val="22"/>
          <w:szCs w:val="22"/>
        </w:rPr>
        <w:t xml:space="preserve">   I confirm</w:t>
      </w:r>
      <w:r w:rsidR="00367A4B" w:rsidRPr="00A64A2D">
        <w:rPr>
          <w:rFonts w:ascii="Arial" w:hAnsi="Arial" w:cs="Arial"/>
          <w:b/>
          <w:bCs/>
          <w:sz w:val="22"/>
          <w:szCs w:val="22"/>
        </w:rPr>
        <w:t xml:space="preserve"> </w:t>
      </w:r>
      <w:r w:rsidRPr="00A64A2D">
        <w:rPr>
          <w:rFonts w:ascii="Arial" w:hAnsi="Arial" w:cs="Arial"/>
          <w:b/>
          <w:bCs/>
          <w:sz w:val="22"/>
          <w:szCs w:val="22"/>
        </w:rPr>
        <w:t>that</w:t>
      </w:r>
      <w:r w:rsidR="00367A4B" w:rsidRPr="00A64A2D">
        <w:rPr>
          <w:rFonts w:ascii="Arial" w:hAnsi="Arial" w:cs="Arial"/>
          <w:b/>
          <w:bCs/>
          <w:sz w:val="22"/>
          <w:szCs w:val="22"/>
        </w:rPr>
        <w:t xml:space="preserve"> </w:t>
      </w:r>
      <w:r w:rsidRPr="00A64A2D">
        <w:rPr>
          <w:rFonts w:ascii="Arial" w:hAnsi="Arial" w:cs="Arial"/>
          <w:b/>
          <w:bCs/>
          <w:sz w:val="22"/>
          <w:szCs w:val="22"/>
        </w:rPr>
        <w:t>I have</w:t>
      </w:r>
      <w:r w:rsidR="00367A4B" w:rsidRPr="00A64A2D">
        <w:rPr>
          <w:rFonts w:ascii="Arial" w:hAnsi="Arial" w:cs="Arial"/>
          <w:b/>
          <w:bCs/>
          <w:sz w:val="22"/>
          <w:szCs w:val="22"/>
        </w:rPr>
        <w:t xml:space="preserve"> </w:t>
      </w:r>
      <w:r w:rsidRPr="00A64A2D">
        <w:rPr>
          <w:rFonts w:ascii="Arial" w:hAnsi="Arial" w:cs="Arial"/>
          <w:b/>
          <w:bCs/>
          <w:sz w:val="22"/>
          <w:szCs w:val="22"/>
        </w:rPr>
        <w:t>not presented any AI-generated materials as my own work</w:t>
      </w:r>
      <w:r w:rsidR="00367A4B" w:rsidRPr="00A64A2D">
        <w:rPr>
          <w:rFonts w:ascii="Arial" w:hAnsi="Arial" w:cs="Arial"/>
          <w:b/>
          <w:bCs/>
          <w:sz w:val="22"/>
          <w:szCs w:val="22"/>
        </w:rPr>
        <w:t xml:space="preserve">           </w:t>
      </w:r>
    </w:p>
    <w:p w14:paraId="486E5645" w14:textId="77777777" w:rsidR="0036167B" w:rsidRPr="00A64A2D" w:rsidRDefault="0036167B" w:rsidP="00367A4B">
      <w:pPr>
        <w:rPr>
          <w:rFonts w:ascii="Arial" w:hAnsi="Arial" w:cs="Arial"/>
          <w:b/>
          <w:bCs/>
        </w:rPr>
      </w:pPr>
    </w:p>
    <w:p w14:paraId="60CA783D" w14:textId="77777777" w:rsidR="0036167B" w:rsidRDefault="0036167B" w:rsidP="00367A4B">
      <w:pPr>
        <w:rPr>
          <w:b/>
          <w:bCs/>
        </w:rPr>
      </w:pPr>
    </w:p>
    <w:p w14:paraId="386AE2DF" w14:textId="77777777" w:rsidR="0036167B" w:rsidRDefault="0036167B" w:rsidP="00367A4B">
      <w:pPr>
        <w:rPr>
          <w:b/>
          <w:bCs/>
        </w:rPr>
      </w:pPr>
    </w:p>
    <w:p w14:paraId="28222DAD" w14:textId="77777777" w:rsidR="0036167B" w:rsidRDefault="0036167B" w:rsidP="00367A4B">
      <w:pPr>
        <w:rPr>
          <w:b/>
          <w:bCs/>
        </w:rPr>
      </w:pPr>
    </w:p>
    <w:p w14:paraId="0814929E" w14:textId="77777777" w:rsidR="0036167B" w:rsidRDefault="0036167B" w:rsidP="00367A4B">
      <w:pPr>
        <w:rPr>
          <w:b/>
          <w:bCs/>
        </w:rPr>
      </w:pPr>
    </w:p>
    <w:p w14:paraId="45B060AF" w14:textId="77777777" w:rsidR="0036167B" w:rsidRPr="00A64A2D" w:rsidRDefault="0036167B" w:rsidP="00367A4B">
      <w:pPr>
        <w:rPr>
          <w:rFonts w:ascii="Arial" w:hAnsi="Arial" w:cs="Arial"/>
          <w:b/>
          <w:bCs/>
        </w:rPr>
      </w:pPr>
    </w:p>
    <w:p w14:paraId="75BA95A9" w14:textId="77777777" w:rsidR="000E57E5" w:rsidRDefault="000E57E5" w:rsidP="00367A4B">
      <w:pPr>
        <w:rPr>
          <w:b/>
          <w:bCs/>
        </w:rPr>
      </w:pPr>
    </w:p>
    <w:p w14:paraId="14485921" w14:textId="77777777" w:rsidR="009B1278" w:rsidRDefault="009B1278" w:rsidP="00367A4B">
      <w:pPr>
        <w:rPr>
          <w:b/>
          <w:bCs/>
        </w:rPr>
      </w:pPr>
    </w:p>
    <w:p w14:paraId="71258DF0" w14:textId="48B3758A" w:rsidR="00EA1C01" w:rsidRPr="000D0473" w:rsidRDefault="00745039" w:rsidP="000D0473">
      <w:pPr>
        <w:pStyle w:val="Heading1"/>
      </w:pPr>
      <w:r w:rsidRPr="000D0473">
        <w:t xml:space="preserve">                             </w:t>
      </w:r>
      <w:r w:rsidR="00A64A2D" w:rsidRPr="000D0473">
        <w:t xml:space="preserve">  </w:t>
      </w:r>
      <w:r w:rsidRPr="000D0473">
        <w:t xml:space="preserve">  </w:t>
      </w:r>
      <w:bookmarkStart w:id="1" w:name="_Toc234426679"/>
      <w:r w:rsidR="00EA1C01" w:rsidRPr="000D0473">
        <w:t>Executive Summary</w:t>
      </w:r>
      <w:bookmarkEnd w:id="1"/>
    </w:p>
    <w:p w14:paraId="48C3254D" w14:textId="70A212A5"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This report critically reviews the project management tools and techniques used to plan a one-year mobile cooking trailer conversion project for local food vendors and traders. The project is designed to give small food traders access to mobile kitchen units, offering a realistic route into trading without the cost of buying a new catering trailer outright.</w:t>
      </w:r>
    </w:p>
    <w:p w14:paraId="017AD138" w14:textId="43A978D7"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b/>
          <w:bCs/>
          <w:kern w:val="0"/>
          <w:lang w:eastAsia="en-GB"/>
          <w14:ligatures w14:val="none"/>
        </w:rPr>
        <w:t xml:space="preserve">Aim: </w:t>
      </w:r>
      <w:r w:rsidRPr="000B616C">
        <w:rPr>
          <w:rFonts w:ascii="Arial" w:eastAsia="Times New Roman" w:hAnsi="Arial" w:cs="Arial"/>
          <w:kern w:val="0"/>
          <w:lang w:eastAsia="en-GB"/>
          <w14:ligatures w14:val="none"/>
        </w:rPr>
        <w:t xml:space="preserve">To convert six second-hand horse trailers into safe, </w:t>
      </w:r>
      <w:r w:rsidR="000B616C" w:rsidRPr="000B616C">
        <w:rPr>
          <w:rFonts w:ascii="Arial" w:eastAsia="Times New Roman" w:hAnsi="Arial" w:cs="Arial"/>
          <w:kern w:val="0"/>
          <w:lang w:eastAsia="en-GB"/>
          <w14:ligatures w14:val="none"/>
        </w:rPr>
        <w:t xml:space="preserve">and </w:t>
      </w:r>
      <w:r w:rsidRPr="000B616C">
        <w:rPr>
          <w:rFonts w:ascii="Arial" w:eastAsia="Times New Roman" w:hAnsi="Arial" w:cs="Arial"/>
          <w:kern w:val="0"/>
          <w:lang w:eastAsia="en-GB"/>
          <w14:ligatures w14:val="none"/>
        </w:rPr>
        <w:t>practical mobile kitchen units for local food vendors, within an estimated budget of £18,000–£20,000, recovering the original investment while supporting small local businesses and contributing to local job creation.</w:t>
      </w:r>
    </w:p>
    <w:p w14:paraId="740F4C7B" w14:textId="5A3887C1" w:rsidR="009B6FDC"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The report critically discusses the project's aim and objectives, scope, work breakdown structure (WBS), Gantt chart, stakeholder analysis, risk analysis, communication planning, team roles, budget control and the Iron Triangle, and considers how these tools were used together to plan the project.</w:t>
      </w:r>
    </w:p>
    <w:p w14:paraId="107143EB" w14:textId="77777777" w:rsidR="00B86827"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Each tool added value, but each also had clear limits: </w:t>
      </w:r>
    </w:p>
    <w:p w14:paraId="3E979968" w14:textId="77777777" w:rsidR="00B86827" w:rsidRPr="000B616C" w:rsidRDefault="00EA1C01" w:rsidP="000B616C">
      <w:pPr>
        <w:pStyle w:val="ListParagraph"/>
        <w:numPr>
          <w:ilvl w:val="0"/>
          <w:numId w:val="4"/>
        </w:num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WBS clarified the work packages but said nothing about timing</w:t>
      </w:r>
    </w:p>
    <w:p w14:paraId="29D27E43" w14:textId="0B4288EA" w:rsidR="00B86827" w:rsidRPr="000B616C" w:rsidRDefault="00EA1C01" w:rsidP="000B616C">
      <w:pPr>
        <w:pStyle w:val="ListParagraph"/>
        <w:numPr>
          <w:ilvl w:val="0"/>
          <w:numId w:val="4"/>
        </w:num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Gantt chart supported scheduling but depended on estimates that could not fully account for the unknown condition of second-hand trailers</w:t>
      </w:r>
    </w:p>
    <w:p w14:paraId="5FB90771" w14:textId="56FD6478" w:rsidR="00EA1C01" w:rsidRPr="000B616C" w:rsidRDefault="00B86827" w:rsidP="000B616C">
      <w:pPr>
        <w:pStyle w:val="ListParagraph"/>
        <w:numPr>
          <w:ilvl w:val="0"/>
          <w:numId w:val="4"/>
        </w:num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R</w:t>
      </w:r>
      <w:r w:rsidR="00EA1C01" w:rsidRPr="000B616C">
        <w:rPr>
          <w:rFonts w:ascii="Arial" w:eastAsia="Times New Roman" w:hAnsi="Arial" w:cs="Arial"/>
          <w:kern w:val="0"/>
          <w:lang w:eastAsia="en-GB"/>
          <w14:ligatures w14:val="none"/>
        </w:rPr>
        <w:t>isk matrix helped prioritise threats but needed firmer evidence rather than opinion; and the budget required an explicit contingency, since hidden defects in used trailers are a realistic possibility rather than an edge case.</w:t>
      </w:r>
    </w:p>
    <w:p w14:paraId="585F596F" w14:textId="7B95FE8A" w:rsidR="00EA1C01" w:rsidRPr="000B616C" w:rsidRDefault="00B86827"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he tools were most effective when used together rather than individually. The project would be strengthened further by more structured stakeholder feedback, more frequent risk review, clearer acceptance criteria for each trailer, and firmer evidence behind the cost estimates.</w:t>
      </w:r>
    </w:p>
    <w:p w14:paraId="5CF6E564" w14:textId="77777777" w:rsidR="00EA1C01" w:rsidRPr="000B616C" w:rsidRDefault="00EA1C01" w:rsidP="000B616C">
      <w:pPr>
        <w:spacing w:after="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br w:type="page"/>
      </w:r>
    </w:p>
    <w:sdt>
      <w:sdtPr>
        <w:rPr>
          <w:rFonts w:ascii="Arial" w:eastAsia="Aptos" w:hAnsi="Arial" w:cs="Arial"/>
          <w:color w:val="auto"/>
          <w:kern w:val="2"/>
          <w:sz w:val="24"/>
          <w:szCs w:val="24"/>
          <w:lang w:eastAsia="en-US"/>
          <w14:ligatures w14:val="standardContextual"/>
        </w:rPr>
        <w:id w:val="-2117743704"/>
        <w:docPartObj>
          <w:docPartGallery w:val="Table of Contents"/>
          <w:docPartUnique/>
        </w:docPartObj>
      </w:sdtPr>
      <w:sdtEndPr>
        <w:rPr>
          <w:b/>
          <w:bCs/>
        </w:rPr>
      </w:sdtEndPr>
      <w:sdtContent>
        <w:p w14:paraId="6555DB8F" w14:textId="04604511" w:rsidR="007501D0" w:rsidRPr="00A64A2D" w:rsidRDefault="007501D0" w:rsidP="00A64A2D">
          <w:pPr>
            <w:pStyle w:val="TOCHeading"/>
            <w:spacing w:line="360" w:lineRule="auto"/>
            <w:jc w:val="both"/>
            <w:rPr>
              <w:rStyle w:val="Heading1Char"/>
            </w:rPr>
          </w:pPr>
          <w:r w:rsidRPr="00A64A2D">
            <w:rPr>
              <w:rStyle w:val="Heading1Char"/>
            </w:rPr>
            <w:t>Contents</w:t>
          </w:r>
        </w:p>
        <w:p w14:paraId="256E02B1" w14:textId="3B89A69D" w:rsidR="009704F0" w:rsidRPr="009704F0" w:rsidRDefault="007501D0">
          <w:pPr>
            <w:pStyle w:val="TOC1"/>
            <w:rPr>
              <w:rFonts w:ascii="Arial" w:eastAsiaTheme="minorEastAsia" w:hAnsi="Arial" w:cs="Arial"/>
              <w:noProof/>
              <w:lang w:eastAsia="en-GB"/>
            </w:rPr>
          </w:pPr>
          <w:r w:rsidRPr="000D0473">
            <w:rPr>
              <w:rFonts w:ascii="Arial" w:hAnsi="Arial" w:cs="Arial"/>
            </w:rPr>
            <w:fldChar w:fldCharType="begin"/>
          </w:r>
          <w:r w:rsidRPr="000D0473">
            <w:rPr>
              <w:rFonts w:ascii="Arial" w:hAnsi="Arial" w:cs="Arial"/>
            </w:rPr>
            <w:instrText xml:space="preserve"> TOC \o "1-3" \h \z \u </w:instrText>
          </w:r>
          <w:r w:rsidRPr="000D0473">
            <w:rPr>
              <w:rFonts w:ascii="Arial" w:hAnsi="Arial" w:cs="Arial"/>
            </w:rPr>
            <w:fldChar w:fldCharType="separate"/>
          </w:r>
          <w:hyperlink w:anchor="_Toc234426679" w:history="1">
            <w:r w:rsidR="009704F0" w:rsidRPr="009704F0">
              <w:rPr>
                <w:rStyle w:val="Hyperlink"/>
                <w:rFonts w:ascii="Arial" w:hAnsi="Arial" w:cs="Arial"/>
                <w:noProof/>
              </w:rPr>
              <w:t>Executive Summary</w:t>
            </w:r>
            <w:r w:rsidR="009704F0" w:rsidRPr="009704F0">
              <w:rPr>
                <w:rFonts w:ascii="Arial" w:hAnsi="Arial" w:cs="Arial"/>
                <w:noProof/>
                <w:webHidden/>
              </w:rPr>
              <w:tab/>
            </w:r>
            <w:r w:rsidR="009704F0" w:rsidRPr="009704F0">
              <w:rPr>
                <w:rFonts w:ascii="Arial" w:hAnsi="Arial" w:cs="Arial"/>
                <w:noProof/>
                <w:webHidden/>
              </w:rPr>
              <w:fldChar w:fldCharType="begin"/>
            </w:r>
            <w:r w:rsidR="009704F0" w:rsidRPr="009704F0">
              <w:rPr>
                <w:rFonts w:ascii="Arial" w:hAnsi="Arial" w:cs="Arial"/>
                <w:noProof/>
                <w:webHidden/>
              </w:rPr>
              <w:instrText xml:space="preserve"> PAGEREF _Toc234426679 \h </w:instrText>
            </w:r>
            <w:r w:rsidR="009704F0" w:rsidRPr="009704F0">
              <w:rPr>
                <w:rFonts w:ascii="Arial" w:hAnsi="Arial" w:cs="Arial"/>
                <w:noProof/>
                <w:webHidden/>
              </w:rPr>
            </w:r>
            <w:r w:rsidR="009704F0" w:rsidRPr="009704F0">
              <w:rPr>
                <w:rFonts w:ascii="Arial" w:hAnsi="Arial" w:cs="Arial"/>
                <w:noProof/>
                <w:webHidden/>
              </w:rPr>
              <w:fldChar w:fldCharType="separate"/>
            </w:r>
            <w:r w:rsidR="00715E77">
              <w:rPr>
                <w:rFonts w:ascii="Arial" w:hAnsi="Arial" w:cs="Arial"/>
                <w:noProof/>
                <w:webHidden/>
              </w:rPr>
              <w:t>2</w:t>
            </w:r>
            <w:r w:rsidR="009704F0" w:rsidRPr="009704F0">
              <w:rPr>
                <w:rFonts w:ascii="Arial" w:hAnsi="Arial" w:cs="Arial"/>
                <w:noProof/>
                <w:webHidden/>
              </w:rPr>
              <w:fldChar w:fldCharType="end"/>
            </w:r>
          </w:hyperlink>
        </w:p>
        <w:p w14:paraId="086A0C5B" w14:textId="183DB96C" w:rsidR="009704F0" w:rsidRPr="009704F0" w:rsidRDefault="009704F0">
          <w:pPr>
            <w:pStyle w:val="TOC1"/>
            <w:rPr>
              <w:rFonts w:ascii="Arial" w:eastAsiaTheme="minorEastAsia" w:hAnsi="Arial" w:cs="Arial"/>
              <w:noProof/>
              <w:lang w:eastAsia="en-GB"/>
            </w:rPr>
          </w:pPr>
          <w:hyperlink w:anchor="_Toc234426680" w:history="1">
            <w:r w:rsidRPr="009704F0">
              <w:rPr>
                <w:rStyle w:val="Hyperlink"/>
                <w:rFonts w:ascii="Arial" w:hAnsi="Arial" w:cs="Arial"/>
                <w:noProof/>
              </w:rPr>
              <w:t>1.Introduction</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_Toc234426680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4</w:t>
            </w:r>
            <w:r w:rsidRPr="009704F0">
              <w:rPr>
                <w:rFonts w:ascii="Arial" w:hAnsi="Arial" w:cs="Arial"/>
                <w:noProof/>
                <w:webHidden/>
              </w:rPr>
              <w:fldChar w:fldCharType="end"/>
            </w:r>
          </w:hyperlink>
        </w:p>
        <w:p w14:paraId="6768C08B" w14:textId="5EF875E4" w:rsidR="009704F0" w:rsidRPr="009704F0" w:rsidRDefault="009704F0">
          <w:pPr>
            <w:pStyle w:val="TOC1"/>
            <w:rPr>
              <w:rFonts w:ascii="Arial" w:eastAsiaTheme="minorEastAsia" w:hAnsi="Arial" w:cs="Arial"/>
              <w:noProof/>
              <w:lang w:eastAsia="en-GB"/>
            </w:rPr>
          </w:pPr>
          <w:hyperlink w:anchor="_Toc234426681" w:history="1">
            <w:r w:rsidRPr="009704F0">
              <w:rPr>
                <w:rStyle w:val="Hyperlink"/>
                <w:rFonts w:ascii="Arial" w:hAnsi="Arial" w:cs="Arial"/>
                <w:noProof/>
              </w:rPr>
              <w:t>2. Findings</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_Toc234426681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5</w:t>
            </w:r>
            <w:r w:rsidRPr="009704F0">
              <w:rPr>
                <w:rFonts w:ascii="Arial" w:hAnsi="Arial" w:cs="Arial"/>
                <w:noProof/>
                <w:webHidden/>
              </w:rPr>
              <w:fldChar w:fldCharType="end"/>
            </w:r>
          </w:hyperlink>
        </w:p>
        <w:p w14:paraId="38AF8B42" w14:textId="43895D4A" w:rsidR="009704F0" w:rsidRPr="009704F0" w:rsidRDefault="009704F0">
          <w:pPr>
            <w:pStyle w:val="TOC2"/>
            <w:tabs>
              <w:tab w:val="right" w:leader="dot" w:pos="9016"/>
            </w:tabs>
            <w:rPr>
              <w:rFonts w:ascii="Arial" w:eastAsiaTheme="minorEastAsia" w:hAnsi="Arial" w:cs="Arial"/>
              <w:noProof/>
              <w:lang w:eastAsia="en-GB"/>
            </w:rPr>
          </w:pPr>
          <w:hyperlink w:anchor="_Toc234426682" w:history="1">
            <w:r w:rsidRPr="009704F0">
              <w:rPr>
                <w:rStyle w:val="Hyperlink"/>
                <w:rFonts w:ascii="Arial" w:hAnsi="Arial" w:cs="Arial"/>
                <w:noProof/>
              </w:rPr>
              <w:t>2.1 Critical Discussion of Project Management Tools and Techniques in General</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_Toc234426682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5</w:t>
            </w:r>
            <w:r w:rsidRPr="009704F0">
              <w:rPr>
                <w:rFonts w:ascii="Arial" w:hAnsi="Arial" w:cs="Arial"/>
                <w:noProof/>
                <w:webHidden/>
              </w:rPr>
              <w:fldChar w:fldCharType="end"/>
            </w:r>
          </w:hyperlink>
        </w:p>
        <w:p w14:paraId="417E38FF" w14:textId="530C4ABE" w:rsidR="009704F0" w:rsidRPr="009704F0" w:rsidRDefault="009704F0">
          <w:pPr>
            <w:pStyle w:val="TOC2"/>
            <w:tabs>
              <w:tab w:val="right" w:leader="dot" w:pos="9016"/>
            </w:tabs>
            <w:rPr>
              <w:rFonts w:ascii="Arial" w:eastAsiaTheme="minorEastAsia" w:hAnsi="Arial" w:cs="Arial"/>
              <w:noProof/>
              <w:lang w:eastAsia="en-GB"/>
            </w:rPr>
          </w:pPr>
          <w:hyperlink w:anchor="_Toc234426683" w:history="1">
            <w:r w:rsidRPr="009704F0">
              <w:rPr>
                <w:rStyle w:val="Hyperlink"/>
                <w:rFonts w:ascii="Arial" w:hAnsi="Arial" w:cs="Arial"/>
                <w:noProof/>
              </w:rPr>
              <w:t>2.2 Critical Discussion of How the Tools Were Used in the Project</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_Toc234426683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8</w:t>
            </w:r>
            <w:r w:rsidRPr="009704F0">
              <w:rPr>
                <w:rFonts w:ascii="Arial" w:hAnsi="Arial" w:cs="Arial"/>
                <w:noProof/>
                <w:webHidden/>
              </w:rPr>
              <w:fldChar w:fldCharType="end"/>
            </w:r>
          </w:hyperlink>
        </w:p>
        <w:p w14:paraId="225D5632" w14:textId="18B6132F" w:rsidR="009704F0" w:rsidRPr="009704F0" w:rsidRDefault="009704F0">
          <w:pPr>
            <w:pStyle w:val="TOC2"/>
            <w:tabs>
              <w:tab w:val="right" w:leader="dot" w:pos="9016"/>
            </w:tabs>
            <w:rPr>
              <w:rFonts w:ascii="Arial" w:eastAsiaTheme="minorEastAsia" w:hAnsi="Arial" w:cs="Arial"/>
              <w:noProof/>
              <w:lang w:eastAsia="en-GB"/>
            </w:rPr>
          </w:pPr>
          <w:hyperlink w:anchor="_Toc234426684" w:history="1">
            <w:r w:rsidRPr="009704F0">
              <w:rPr>
                <w:rStyle w:val="Hyperlink"/>
                <w:rFonts w:ascii="Arial" w:hAnsi="Arial" w:cs="Arial"/>
                <w:noProof/>
              </w:rPr>
              <w:t>2.3 Communication and Stakeholders</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_Toc234426684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10</w:t>
            </w:r>
            <w:r w:rsidRPr="009704F0">
              <w:rPr>
                <w:rFonts w:ascii="Arial" w:hAnsi="Arial" w:cs="Arial"/>
                <w:noProof/>
                <w:webHidden/>
              </w:rPr>
              <w:fldChar w:fldCharType="end"/>
            </w:r>
          </w:hyperlink>
        </w:p>
        <w:p w14:paraId="71C0818C" w14:textId="6177CD22" w:rsidR="009704F0" w:rsidRPr="009704F0" w:rsidRDefault="009704F0">
          <w:pPr>
            <w:pStyle w:val="TOC1"/>
            <w:rPr>
              <w:rFonts w:ascii="Arial" w:eastAsiaTheme="minorEastAsia" w:hAnsi="Arial" w:cs="Arial"/>
              <w:noProof/>
              <w:lang w:eastAsia="en-GB"/>
            </w:rPr>
          </w:pPr>
          <w:hyperlink w:anchor="_Toc234426685" w:history="1">
            <w:r w:rsidRPr="009704F0">
              <w:rPr>
                <w:rStyle w:val="Hyperlink"/>
                <w:rFonts w:ascii="Arial" w:hAnsi="Arial" w:cs="Arial"/>
                <w:noProof/>
              </w:rPr>
              <w:t>3. Conclusion</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_Toc234426685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14</w:t>
            </w:r>
            <w:r w:rsidRPr="009704F0">
              <w:rPr>
                <w:rFonts w:ascii="Arial" w:hAnsi="Arial" w:cs="Arial"/>
                <w:noProof/>
                <w:webHidden/>
              </w:rPr>
              <w:fldChar w:fldCharType="end"/>
            </w:r>
          </w:hyperlink>
        </w:p>
        <w:p w14:paraId="0136B958" w14:textId="0766C30B" w:rsidR="009704F0" w:rsidRPr="009704F0" w:rsidRDefault="009704F0">
          <w:pPr>
            <w:pStyle w:val="TOC1"/>
            <w:rPr>
              <w:rFonts w:ascii="Arial" w:eastAsiaTheme="minorEastAsia" w:hAnsi="Arial" w:cs="Arial"/>
              <w:noProof/>
              <w:lang w:eastAsia="en-GB"/>
            </w:rPr>
          </w:pPr>
          <w:hyperlink w:anchor="_Toc234426686" w:history="1">
            <w:r w:rsidRPr="009704F0">
              <w:rPr>
                <w:rStyle w:val="Hyperlink"/>
                <w:rFonts w:ascii="Arial" w:hAnsi="Arial" w:cs="Arial"/>
                <w:noProof/>
              </w:rPr>
              <w:t>4. Future Improvement</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_Toc234426686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15</w:t>
            </w:r>
            <w:r w:rsidRPr="009704F0">
              <w:rPr>
                <w:rFonts w:ascii="Arial" w:hAnsi="Arial" w:cs="Arial"/>
                <w:noProof/>
                <w:webHidden/>
              </w:rPr>
              <w:fldChar w:fldCharType="end"/>
            </w:r>
          </w:hyperlink>
        </w:p>
        <w:p w14:paraId="2B712496" w14:textId="3DEEC413" w:rsidR="009704F0" w:rsidRPr="009704F0" w:rsidRDefault="009704F0">
          <w:pPr>
            <w:pStyle w:val="TOC1"/>
            <w:rPr>
              <w:rFonts w:ascii="Arial" w:eastAsiaTheme="minorEastAsia" w:hAnsi="Arial" w:cs="Arial"/>
              <w:noProof/>
              <w:lang w:eastAsia="en-GB"/>
            </w:rPr>
          </w:pPr>
          <w:hyperlink w:anchor="_Toc234426687" w:history="1">
            <w:r w:rsidRPr="009704F0">
              <w:rPr>
                <w:rStyle w:val="Hyperlink"/>
                <w:rFonts w:ascii="Arial" w:eastAsia="Times New Roman" w:hAnsi="Arial" w:cs="Arial"/>
                <w:noProof/>
                <w:lang w:eastAsia="en-GB"/>
              </w:rPr>
              <w:t>References</w:t>
            </w:r>
            <w:r w:rsidRPr="009704F0">
              <w:rPr>
                <w:rFonts w:ascii="Arial" w:hAnsi="Arial" w:cs="Arial"/>
                <w:noProof/>
                <w:webHidden/>
              </w:rPr>
              <w:tab/>
            </w:r>
            <w:r w:rsidRPr="009704F0">
              <w:rPr>
                <w:rFonts w:ascii="Arial" w:hAnsi="Arial" w:cs="Arial"/>
                <w:noProof/>
                <w:webHidden/>
              </w:rPr>
              <w:fldChar w:fldCharType="begin"/>
            </w:r>
            <w:r w:rsidRPr="009704F0">
              <w:rPr>
                <w:rFonts w:ascii="Arial" w:hAnsi="Arial" w:cs="Arial"/>
                <w:noProof/>
                <w:webHidden/>
              </w:rPr>
              <w:instrText xml:space="preserve"> PAGEREF _Toc234426687 \h </w:instrText>
            </w:r>
            <w:r w:rsidRPr="009704F0">
              <w:rPr>
                <w:rFonts w:ascii="Arial" w:hAnsi="Arial" w:cs="Arial"/>
                <w:noProof/>
                <w:webHidden/>
              </w:rPr>
            </w:r>
            <w:r w:rsidRPr="009704F0">
              <w:rPr>
                <w:rFonts w:ascii="Arial" w:hAnsi="Arial" w:cs="Arial"/>
                <w:noProof/>
                <w:webHidden/>
              </w:rPr>
              <w:fldChar w:fldCharType="separate"/>
            </w:r>
            <w:r w:rsidR="00715E77">
              <w:rPr>
                <w:rFonts w:ascii="Arial" w:hAnsi="Arial" w:cs="Arial"/>
                <w:noProof/>
                <w:webHidden/>
              </w:rPr>
              <w:t>16</w:t>
            </w:r>
            <w:r w:rsidRPr="009704F0">
              <w:rPr>
                <w:rFonts w:ascii="Arial" w:hAnsi="Arial" w:cs="Arial"/>
                <w:noProof/>
                <w:webHidden/>
              </w:rPr>
              <w:fldChar w:fldCharType="end"/>
            </w:r>
          </w:hyperlink>
        </w:p>
        <w:p w14:paraId="29D4F62F" w14:textId="2E954A23" w:rsidR="007501D0" w:rsidRPr="000D0473" w:rsidRDefault="007501D0" w:rsidP="00A64A2D">
          <w:pPr>
            <w:spacing w:line="360" w:lineRule="auto"/>
            <w:jc w:val="both"/>
            <w:rPr>
              <w:rFonts w:ascii="Arial" w:hAnsi="Arial" w:cs="Arial"/>
            </w:rPr>
          </w:pPr>
          <w:r w:rsidRPr="000D0473">
            <w:rPr>
              <w:rFonts w:ascii="Arial" w:hAnsi="Arial" w:cs="Arial"/>
              <w:b/>
              <w:bCs/>
            </w:rPr>
            <w:fldChar w:fldCharType="end"/>
          </w:r>
        </w:p>
      </w:sdtContent>
    </w:sdt>
    <w:p w14:paraId="5581D2B8" w14:textId="6DF100AF" w:rsidR="00EA1C01" w:rsidRPr="00A64A2D" w:rsidRDefault="00EA1C01" w:rsidP="00A64A2D">
      <w:pPr>
        <w:spacing w:after="140" w:line="360" w:lineRule="auto"/>
        <w:jc w:val="both"/>
        <w:rPr>
          <w:rFonts w:ascii="Arial" w:eastAsia="Times New Roman" w:hAnsi="Arial" w:cs="Arial"/>
          <w:kern w:val="0"/>
          <w:lang w:eastAsia="en-GB"/>
          <w14:ligatures w14:val="none"/>
        </w:rPr>
      </w:pPr>
    </w:p>
    <w:p w14:paraId="707DD015" w14:textId="77777777" w:rsidR="00EA1C01" w:rsidRPr="00A64A2D" w:rsidRDefault="00EA1C01" w:rsidP="00A64A2D">
      <w:pPr>
        <w:spacing w:after="0" w:line="360" w:lineRule="auto"/>
        <w:jc w:val="both"/>
        <w:rPr>
          <w:rFonts w:ascii="Arial" w:eastAsia="Times New Roman" w:hAnsi="Arial" w:cs="Arial"/>
          <w:kern w:val="0"/>
          <w:lang w:eastAsia="en-GB"/>
          <w14:ligatures w14:val="none"/>
        </w:rPr>
      </w:pPr>
      <w:r w:rsidRPr="00A64A2D">
        <w:rPr>
          <w:rFonts w:ascii="Arial" w:eastAsia="Times New Roman" w:hAnsi="Arial" w:cs="Arial"/>
          <w:kern w:val="0"/>
          <w:lang w:eastAsia="en-GB"/>
          <w14:ligatures w14:val="none"/>
        </w:rPr>
        <w:br w:type="page"/>
      </w:r>
    </w:p>
    <w:p w14:paraId="7773ABE2" w14:textId="5134C417" w:rsidR="007501D0" w:rsidRPr="000B616C" w:rsidRDefault="00745039" w:rsidP="000B616C">
      <w:pPr>
        <w:pStyle w:val="Heading1"/>
      </w:pPr>
      <w:r w:rsidRPr="000B616C">
        <w:lastRenderedPageBreak/>
        <w:t xml:space="preserve">    </w:t>
      </w:r>
      <w:bookmarkStart w:id="2" w:name="_Toc234426680"/>
      <w:r w:rsidR="009704F0">
        <w:t xml:space="preserve">                                       </w:t>
      </w:r>
      <w:r w:rsidRPr="000B616C">
        <w:t>1.</w:t>
      </w:r>
      <w:r w:rsidR="00EA1C01" w:rsidRPr="000B616C">
        <w:t>Introductio</w:t>
      </w:r>
      <w:r w:rsidR="007501D0" w:rsidRPr="000B616C">
        <w:t>n</w:t>
      </w:r>
      <w:bookmarkEnd w:id="2"/>
    </w:p>
    <w:p w14:paraId="34B60490" w14:textId="77777777" w:rsidR="007501D0" w:rsidRPr="000B616C" w:rsidRDefault="007501D0" w:rsidP="000B616C">
      <w:pPr>
        <w:spacing w:after="200" w:line="360" w:lineRule="auto"/>
        <w:jc w:val="both"/>
        <w:rPr>
          <w:rFonts w:ascii="Arial" w:eastAsia="Times New Roman" w:hAnsi="Arial" w:cs="Arial"/>
          <w:b/>
          <w:bCs/>
          <w:kern w:val="0"/>
          <w:lang w:eastAsia="en-GB"/>
          <w14:ligatures w14:val="none"/>
        </w:rPr>
      </w:pPr>
    </w:p>
    <w:p w14:paraId="520AEC3F" w14:textId="6707A1EC" w:rsidR="007501D0" w:rsidRPr="000B616C" w:rsidRDefault="007501D0" w:rsidP="000B616C">
      <w:pPr>
        <w:spacing w:line="360" w:lineRule="auto"/>
        <w:jc w:val="both"/>
        <w:rPr>
          <w:rFonts w:ascii="Arial" w:eastAsiaTheme="minorHAnsi" w:hAnsi="Arial" w:cs="Arial"/>
        </w:rPr>
      </w:pPr>
      <w:bookmarkStart w:id="3" w:name="_Toc234337829"/>
      <w:r w:rsidRPr="000B616C">
        <w:rPr>
          <w:rFonts w:ascii="Arial" w:eastAsiaTheme="minorHAnsi" w:hAnsi="Arial" w:cs="Arial"/>
        </w:rPr>
        <w:t>This project sets out to convert six second-hand horse trailers into functional, safe and hygienic mobile kitchen units over a twelve-month period, giving small food vendors and traders an affordable route into trading without the upfront cost of a new catering trailer. It</w:t>
      </w:r>
      <w:r w:rsidR="009B6FDC" w:rsidRPr="000B616C">
        <w:rPr>
          <w:rFonts w:ascii="Arial" w:eastAsiaTheme="minorHAnsi" w:hAnsi="Arial" w:cs="Arial"/>
        </w:rPr>
        <w:t xml:space="preserve"> </w:t>
      </w:r>
      <w:r w:rsidRPr="000B616C">
        <w:rPr>
          <w:rFonts w:ascii="Arial" w:eastAsiaTheme="minorHAnsi" w:hAnsi="Arial" w:cs="Arial"/>
        </w:rPr>
        <w:t>is planned as a small, independent, cost-recovery initiative run by the project team on behalf of the local food-vendor community, rather than as an initiative within an established company.</w:t>
      </w:r>
      <w:bookmarkEnd w:id="3"/>
    </w:p>
    <w:p w14:paraId="63A899A0" w14:textId="34B48D37"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b/>
          <w:bCs/>
          <w:kern w:val="0"/>
          <w:lang w:eastAsia="en-GB"/>
          <w14:ligatures w14:val="none"/>
        </w:rPr>
        <w:t xml:space="preserve">Aim: </w:t>
      </w:r>
      <w:r w:rsidR="009B6FDC" w:rsidRPr="000B616C">
        <w:rPr>
          <w:rFonts w:ascii="Arial" w:eastAsia="Times New Roman" w:hAnsi="Arial" w:cs="Arial"/>
          <w:kern w:val="0"/>
          <w:lang w:eastAsia="en-GB"/>
          <w14:ligatures w14:val="none"/>
        </w:rPr>
        <w:t xml:space="preserve">To convert six second-hand horse trailers into mobile kitchens for local food vendors </w:t>
      </w:r>
      <w:r w:rsidRPr="000B616C">
        <w:rPr>
          <w:rFonts w:ascii="Arial" w:eastAsia="Times New Roman" w:hAnsi="Arial" w:cs="Arial"/>
          <w:kern w:val="0"/>
          <w:lang w:eastAsia="en-GB"/>
          <w14:ligatures w14:val="none"/>
        </w:rPr>
        <w:t>and contributing to local job creation.</w:t>
      </w:r>
    </w:p>
    <w:p w14:paraId="561A788C" w14:textId="77777777" w:rsidR="00EA1C01" w:rsidRPr="000B616C" w:rsidRDefault="00EA1C01" w:rsidP="000B616C">
      <w:p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b/>
          <w:bCs/>
          <w:kern w:val="0"/>
          <w:lang w:eastAsia="en-GB"/>
          <w14:ligatures w14:val="none"/>
        </w:rPr>
        <w:t>Objectives:</w:t>
      </w:r>
    </w:p>
    <w:p w14:paraId="508F8280" w14:textId="77777777"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Identify and inspect six second-hand horse trailers against agreed structural and safety criteria within the first two months of the project.</w:t>
      </w:r>
    </w:p>
    <w:p w14:paraId="2C8E5B11" w14:textId="46C558A1"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Design a standard mobile kitchen layout</w:t>
      </w:r>
      <w:r w:rsidR="009B6FDC" w:rsidRPr="000B616C">
        <w:rPr>
          <w:rFonts w:ascii="Arial" w:eastAsia="Times New Roman" w:hAnsi="Arial" w:cs="Arial"/>
          <w:kern w:val="0"/>
          <w:lang w:eastAsia="en-GB"/>
          <w14:ligatures w14:val="none"/>
        </w:rPr>
        <w:t>.</w:t>
      </w:r>
    </w:p>
    <w:p w14:paraId="6C486A99" w14:textId="77777777"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Complete the conversion of all six trailers, including structural, electrical, water and hygiene work, within the twelve-month project timeframe, phased through the Gantt schedule.</w:t>
      </w:r>
    </w:p>
    <w:p w14:paraId="312E5E1A" w14:textId="77777777"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Keep total project spend within the £18,000–£20,000 budget, including a contingency allowance of at least 10% for unforeseen repairs.</w:t>
      </w:r>
    </w:p>
    <w:p w14:paraId="5ADCE249" w14:textId="77777777"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Maintain and review a risk register at monthly intervals throughout the project.</w:t>
      </w:r>
    </w:p>
    <w:p w14:paraId="66E1F85D" w14:textId="57E4D42C" w:rsidR="00EA1C01" w:rsidRPr="000B616C"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Establish and follow a documented communication plan </w:t>
      </w:r>
      <w:r w:rsidR="009B6FDC" w:rsidRPr="000B616C">
        <w:rPr>
          <w:rFonts w:ascii="Arial" w:eastAsia="Times New Roman" w:hAnsi="Arial" w:cs="Arial"/>
          <w:kern w:val="0"/>
          <w:lang w:eastAsia="en-GB"/>
          <w14:ligatures w14:val="none"/>
        </w:rPr>
        <w:t>with stakeholders.</w:t>
      </w:r>
    </w:p>
    <w:p w14:paraId="0601EC91" w14:textId="1CC5B8CA" w:rsidR="00EA1C01" w:rsidRDefault="00EA1C01" w:rsidP="000B616C">
      <w:pPr>
        <w:numPr>
          <w:ilvl w:val="0"/>
          <w:numId w:val="1"/>
        </w:numPr>
        <w:spacing w:after="12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Evaluate each completed trailer against defined acceptance criteria for safety, hygiene, before handover.</w:t>
      </w:r>
    </w:p>
    <w:p w14:paraId="0F5D7975" w14:textId="77777777" w:rsidR="000B616C" w:rsidRPr="000B616C" w:rsidRDefault="000B616C" w:rsidP="000B616C">
      <w:pPr>
        <w:spacing w:after="120" w:line="360" w:lineRule="auto"/>
        <w:ind w:left="360"/>
        <w:jc w:val="both"/>
        <w:rPr>
          <w:rFonts w:ascii="Arial" w:eastAsia="Times New Roman" w:hAnsi="Arial" w:cs="Arial"/>
          <w:kern w:val="0"/>
          <w:lang w:eastAsia="en-GB"/>
          <w14:ligatures w14:val="none"/>
        </w:rPr>
      </w:pPr>
    </w:p>
    <w:p w14:paraId="4B6A3789" w14:textId="61227CF1" w:rsidR="00EA1C01" w:rsidRPr="000B616C" w:rsidRDefault="009704F0" w:rsidP="000B616C">
      <w:pPr>
        <w:pStyle w:val="Heading1"/>
        <w:rPr>
          <w:rStyle w:val="Heading1Char"/>
        </w:rPr>
      </w:pPr>
      <w:bookmarkStart w:id="4" w:name="_Toc234426681"/>
      <w:r>
        <w:lastRenderedPageBreak/>
        <w:t xml:space="preserve">                                         </w:t>
      </w:r>
      <w:r w:rsidR="00745039" w:rsidRPr="000B616C">
        <w:t>2.</w:t>
      </w:r>
      <w:r w:rsidR="00EA1C01" w:rsidRPr="000B616C">
        <w:t xml:space="preserve"> </w:t>
      </w:r>
      <w:r w:rsidR="00EA1C01" w:rsidRPr="000B616C">
        <w:rPr>
          <w:rStyle w:val="Heading1Char"/>
        </w:rPr>
        <w:t>Findings</w:t>
      </w:r>
      <w:bookmarkEnd w:id="4"/>
    </w:p>
    <w:p w14:paraId="155FB633" w14:textId="77777777" w:rsidR="00EA1C01" w:rsidRPr="000B616C" w:rsidRDefault="00EA1C01" w:rsidP="000B616C">
      <w:pPr>
        <w:pStyle w:val="Heading2"/>
      </w:pPr>
      <w:bookmarkStart w:id="5" w:name="_Toc234426682"/>
      <w:r w:rsidRPr="000B616C">
        <w:t>2.1 Critical Discussion of Project Management Tools and Techniques in General</w:t>
      </w:r>
      <w:bookmarkEnd w:id="5"/>
    </w:p>
    <w:p w14:paraId="13DD7E79" w14:textId="684EF0C7"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Project management tools help a team organise tasks, allocate resources and make decisions, but depends on judgement, since projects involve people, uncertainty, resources and change (Meredith, Shafer and Mantel, 2018; Larson and Gray, 2021).</w:t>
      </w:r>
    </w:p>
    <w:p w14:paraId="4CF2D939" w14:textId="27B36DAE" w:rsidR="00543B86" w:rsidRPr="000B616C" w:rsidRDefault="00543B86"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Clear aims and objectives are vital, since they translate a broad idea into measurable action: the aim describes the overall value the project is intended to deliver, while the objectives set out the specific, time-bound targets used to judge whether that aim has been met (Bjerke and Renger, 2017; Maylor, 2010). </w:t>
      </w:r>
      <w:r w:rsidR="00D63651" w:rsidRPr="000B616C">
        <w:rPr>
          <w:rFonts w:ascii="Arial" w:eastAsia="Times New Roman" w:hAnsi="Arial" w:cs="Arial"/>
          <w:kern w:val="0"/>
          <w:lang w:eastAsia="en-GB"/>
          <w14:ligatures w14:val="none"/>
        </w:rPr>
        <w:t>T</w:t>
      </w:r>
      <w:r w:rsidRPr="000B616C">
        <w:rPr>
          <w:rFonts w:ascii="Arial" w:eastAsia="Times New Roman" w:hAnsi="Arial" w:cs="Arial"/>
          <w:kern w:val="0"/>
          <w:lang w:eastAsia="en-GB"/>
          <w14:ligatures w14:val="none"/>
        </w:rPr>
        <w:t>hese objectives depend on factors that cannot be fully known in advance, such as the true condition of the trailers, so they should be treated as a working plan to be reviewed rather than a fixed commitment.</w:t>
      </w:r>
    </w:p>
    <w:p w14:paraId="7160CEA7" w14:textId="77777777" w:rsidR="00543B86"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Scope and deliverables define what a project will and will not cover, and what it must produce. An unclear scope tends to increase cost and uncertainty, whereas explicit deliverables make outputs easier to check (Burke, 2013; Kerzner, 2022). </w:t>
      </w:r>
    </w:p>
    <w:p w14:paraId="6936F922" w14:textId="77777777" w:rsidR="00E13FD6"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A Work Breakdown Structure (WBS) divides a project into smaller work packages, helping a team understand and allocate the work (Project Management Institute, 2011). </w:t>
      </w:r>
    </w:p>
    <w:p w14:paraId="0025F7A7" w14:textId="77777777" w:rsidR="00FA69B2" w:rsidRPr="000B616C" w:rsidRDefault="00FA69B2" w:rsidP="000B616C">
      <w:pPr>
        <w:spacing w:after="200" w:line="360" w:lineRule="auto"/>
        <w:jc w:val="both"/>
        <w:rPr>
          <w:rFonts w:ascii="Arial" w:eastAsia="Times New Roman" w:hAnsi="Arial" w:cs="Arial"/>
          <w:kern w:val="0"/>
          <w:lang w:eastAsia="en-GB"/>
          <w14:ligatures w14:val="none"/>
        </w:rPr>
      </w:pPr>
    </w:p>
    <w:p w14:paraId="4CF71D61" w14:textId="77777777" w:rsidR="00543B86" w:rsidRPr="000B616C" w:rsidRDefault="00543B86" w:rsidP="000B616C">
      <w:pPr>
        <w:spacing w:after="200" w:line="360" w:lineRule="auto"/>
        <w:jc w:val="both"/>
        <w:rPr>
          <w:rFonts w:ascii="Arial" w:eastAsia="Times New Roman" w:hAnsi="Arial" w:cs="Arial"/>
          <w:kern w:val="0"/>
          <w:lang w:eastAsia="en-GB"/>
          <w14:ligatures w14:val="none"/>
        </w:rPr>
      </w:pPr>
    </w:p>
    <w:p w14:paraId="7CBE3E71" w14:textId="1485452A" w:rsidR="00FA69B2" w:rsidRPr="000B616C" w:rsidRDefault="00FA69B2" w:rsidP="000B616C">
      <w:pPr>
        <w:spacing w:after="200" w:line="360" w:lineRule="auto"/>
        <w:jc w:val="both"/>
        <w:rPr>
          <w:rFonts w:ascii="Arial" w:eastAsia="Times New Roman" w:hAnsi="Arial" w:cs="Arial"/>
          <w:b/>
          <w:bCs/>
          <w:kern w:val="0"/>
          <w:lang w:eastAsia="en-GB"/>
          <w14:ligatures w14:val="none"/>
        </w:rPr>
      </w:pPr>
      <w:r w:rsidRPr="000B616C">
        <w:rPr>
          <w:rFonts w:ascii="Arial" w:eastAsia="Times New Roman" w:hAnsi="Arial" w:cs="Arial"/>
          <w:b/>
          <w:bCs/>
          <w:kern w:val="0"/>
          <w:lang w:eastAsia="en-GB"/>
          <w14:ligatures w14:val="none"/>
        </w:rPr>
        <w:t xml:space="preserve">                                               WBS</w:t>
      </w:r>
    </w:p>
    <w:p w14:paraId="79563E3A" w14:textId="3004FD9D" w:rsidR="00E13FD6" w:rsidRPr="000B616C" w:rsidRDefault="00E13FD6"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noProof/>
          <w:kern w:val="0"/>
          <w:lang w:eastAsia="en-GB"/>
          <w14:ligatures w14:val="none"/>
        </w:rPr>
        <w:drawing>
          <wp:inline distT="0" distB="0" distL="0" distR="0" wp14:anchorId="4A8234F8" wp14:editId="0036EC22">
            <wp:extent cx="4397121" cy="1463167"/>
            <wp:effectExtent l="0" t="0" r="3810" b="3810"/>
            <wp:docPr id="376901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01958" name=""/>
                    <pic:cNvPicPr/>
                  </pic:nvPicPr>
                  <pic:blipFill>
                    <a:blip r:embed="rId8"/>
                    <a:stretch>
                      <a:fillRect/>
                    </a:stretch>
                  </pic:blipFill>
                  <pic:spPr>
                    <a:xfrm>
                      <a:off x="0" y="0"/>
                      <a:ext cx="4397121" cy="1463167"/>
                    </a:xfrm>
                    <a:prstGeom prst="rect">
                      <a:avLst/>
                    </a:prstGeom>
                  </pic:spPr>
                </pic:pic>
              </a:graphicData>
            </a:graphic>
          </wp:inline>
        </w:drawing>
      </w:r>
    </w:p>
    <w:p w14:paraId="1934F2E8" w14:textId="77777777" w:rsidR="00E13FD6" w:rsidRPr="000B616C" w:rsidRDefault="00E13FD6" w:rsidP="000B616C">
      <w:pPr>
        <w:spacing w:after="200" w:line="360" w:lineRule="auto"/>
        <w:jc w:val="both"/>
        <w:rPr>
          <w:rFonts w:ascii="Arial" w:eastAsia="Times New Roman" w:hAnsi="Arial" w:cs="Arial"/>
          <w:kern w:val="0"/>
          <w:lang w:eastAsia="en-GB"/>
          <w14:ligatures w14:val="none"/>
        </w:rPr>
      </w:pPr>
    </w:p>
    <w:p w14:paraId="0D2DA3EE" w14:textId="77777777"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lastRenderedPageBreak/>
        <w:t>A WBS says nothing about timing or dependencies, however, so it must be paired with a scheduling tool such as a Gantt chart (Burke, 2013)</w:t>
      </w:r>
      <w:r w:rsidR="00D63651" w:rsidRPr="000B616C">
        <w:rPr>
          <w:rFonts w:ascii="Arial" w:eastAsia="Times New Roman" w:hAnsi="Arial" w:cs="Arial"/>
          <w:kern w:val="0"/>
          <w:lang w:eastAsia="en-GB"/>
          <w14:ligatures w14:val="none"/>
        </w:rPr>
        <w:t>.</w:t>
      </w:r>
    </w:p>
    <w:p w14:paraId="2BA8AE4E" w14:textId="515AA5BF"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A Gantt chart makes it possible to plan tasks against a timeline, but it can mislead planning if task durations are not realistic or are not updated regularly (Lock, 2020; Kerzner, 2022); and each has limited analytical value in isolation from the other.</w:t>
      </w:r>
    </w:p>
    <w:p w14:paraId="088EDF72" w14:textId="77777777"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Risk analysis identifies events that could affect time, cost, quality or safety, which is especially important in practical, hands-on projects where unforeseen complications are common. </w:t>
      </w:r>
    </w:p>
    <w:p w14:paraId="0133B889" w14:textId="1D956D4D"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Risk assessment can become subjective if it rests on opinion alone, so risks should be supported by evidence and reviewed continually rather than assessed once (Aven, 2015; Hillson, 2024).</w:t>
      </w:r>
    </w:p>
    <w:p w14:paraId="383B1D36" w14:textId="77777777"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Stakeholder analysis identifies the people or groups who can affect, or be affected by, a project, and helps a team assess their interests, influence and communication needs (Freeman, 2010; Bourne and Walker, 2005). Because stakeholder relationships change over time, stakeholder management should be treated as an ongoing activity rather than a single exercise carried out at the start (Eskerod and Lund Jepsen, 2016).</w:t>
      </w:r>
    </w:p>
    <w:p w14:paraId="02779802" w14:textId="662D2770"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Communication planning sets out who needs which information, in what level of detail, and through what channel. Without a communication plan, decisions may not reach the people who need them, and stakeholders with different levels of interest and influence may be given the same generic updates regardless of what they </w:t>
      </w:r>
      <w:r w:rsidR="00715E77" w:rsidRPr="000B616C">
        <w:rPr>
          <w:rFonts w:ascii="Arial" w:eastAsia="Times New Roman" w:hAnsi="Arial" w:cs="Arial"/>
          <w:kern w:val="0"/>
          <w:lang w:eastAsia="en-GB"/>
          <w14:ligatures w14:val="none"/>
        </w:rPr>
        <w:t>need</w:t>
      </w:r>
      <w:r w:rsidRPr="000B616C">
        <w:rPr>
          <w:rFonts w:ascii="Arial" w:eastAsia="Times New Roman" w:hAnsi="Arial" w:cs="Arial"/>
          <w:kern w:val="0"/>
          <w:lang w:eastAsia="en-GB"/>
          <w14:ligatures w14:val="none"/>
        </w:rPr>
        <w:t xml:space="preserve"> (Kerzner, 2022; </w:t>
      </w:r>
      <w:proofErr w:type="spellStart"/>
      <w:r w:rsidRPr="000B616C">
        <w:rPr>
          <w:rFonts w:ascii="Arial" w:eastAsia="Times New Roman" w:hAnsi="Arial" w:cs="Arial"/>
          <w:kern w:val="0"/>
          <w:lang w:eastAsia="en-GB"/>
          <w14:ligatures w14:val="none"/>
        </w:rPr>
        <w:t>Anantatmula</w:t>
      </w:r>
      <w:proofErr w:type="spellEnd"/>
      <w:r w:rsidRPr="000B616C">
        <w:rPr>
          <w:rFonts w:ascii="Arial" w:eastAsia="Times New Roman" w:hAnsi="Arial" w:cs="Arial"/>
          <w:kern w:val="0"/>
          <w:lang w:eastAsia="en-GB"/>
          <w14:ligatures w14:val="none"/>
        </w:rPr>
        <w:t>, 2010).</w:t>
      </w:r>
    </w:p>
    <w:p w14:paraId="7B023B42" w14:textId="00817BD0"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Belbin's model argues that teams work more effectively when members contribute different strengths rather than all performing the same function (Belbin, 2010), while Tuckman's model shows that teams develop through stages and need active communication to become effective (Tuckman, 1965). Leadership matters here because a team's effectiveness depends on direction, coordination and clear responsibility, not only on individual roles (</w:t>
      </w:r>
      <w:proofErr w:type="spellStart"/>
      <w:r w:rsidRPr="000B616C">
        <w:rPr>
          <w:rFonts w:ascii="Arial" w:eastAsia="Times New Roman" w:hAnsi="Arial" w:cs="Arial"/>
          <w:kern w:val="0"/>
          <w:lang w:eastAsia="en-GB"/>
          <w14:ligatures w14:val="none"/>
        </w:rPr>
        <w:t>Anantatmula</w:t>
      </w:r>
      <w:proofErr w:type="spellEnd"/>
      <w:r w:rsidRPr="000B616C">
        <w:rPr>
          <w:rFonts w:ascii="Arial" w:eastAsia="Times New Roman" w:hAnsi="Arial" w:cs="Arial"/>
          <w:kern w:val="0"/>
          <w:lang w:eastAsia="en-GB"/>
          <w14:ligatures w14:val="none"/>
        </w:rPr>
        <w:t>, 2010).</w:t>
      </w:r>
    </w:p>
    <w:p w14:paraId="00DB0639" w14:textId="77777777" w:rsidR="009704F0" w:rsidRDefault="009704F0" w:rsidP="000B616C">
      <w:pPr>
        <w:spacing w:after="200" w:line="360" w:lineRule="auto"/>
        <w:jc w:val="both"/>
        <w:rPr>
          <w:rFonts w:ascii="Arial" w:eastAsia="Times New Roman" w:hAnsi="Arial" w:cs="Arial"/>
          <w:kern w:val="0"/>
          <w:lang w:eastAsia="en-GB"/>
          <w14:ligatures w14:val="none"/>
        </w:rPr>
      </w:pPr>
    </w:p>
    <w:p w14:paraId="74D213CE" w14:textId="77777777" w:rsidR="009704F0" w:rsidRDefault="009704F0" w:rsidP="000B616C">
      <w:pPr>
        <w:spacing w:after="200" w:line="360" w:lineRule="auto"/>
        <w:jc w:val="both"/>
        <w:rPr>
          <w:rFonts w:ascii="Arial" w:eastAsia="Times New Roman" w:hAnsi="Arial" w:cs="Arial"/>
          <w:kern w:val="0"/>
          <w:lang w:eastAsia="en-GB"/>
          <w14:ligatures w14:val="none"/>
        </w:rPr>
      </w:pPr>
    </w:p>
    <w:p w14:paraId="1EFA5FFD" w14:textId="207A1AED" w:rsidR="009704F0"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lastRenderedPageBreak/>
        <w:t xml:space="preserve">The Iron Triangle is a useful way to compare time, cost and quality, but project success should not be judged on these three criteria alone. Wider measures of success include stakeholder satisfaction, value and long-term use (Atkinson, 1999; </w:t>
      </w:r>
      <w:proofErr w:type="spellStart"/>
      <w:r w:rsidRPr="000B616C">
        <w:rPr>
          <w:rFonts w:ascii="Arial" w:eastAsia="Times New Roman" w:hAnsi="Arial" w:cs="Arial"/>
          <w:kern w:val="0"/>
          <w:lang w:eastAsia="en-GB"/>
          <w14:ligatures w14:val="none"/>
        </w:rPr>
        <w:t>Shenhar</w:t>
      </w:r>
      <w:proofErr w:type="spellEnd"/>
      <w:r w:rsidRPr="000B616C">
        <w:rPr>
          <w:rFonts w:ascii="Arial" w:eastAsia="Times New Roman" w:hAnsi="Arial" w:cs="Arial"/>
          <w:kern w:val="0"/>
          <w:lang w:eastAsia="en-GB"/>
          <w14:ligatures w14:val="none"/>
        </w:rPr>
        <w:t xml:space="preserve"> et al., </w:t>
      </w:r>
      <w:r w:rsidR="009704F0">
        <w:rPr>
          <w:rFonts w:ascii="Arial" w:eastAsia="Times New Roman" w:hAnsi="Arial" w:cs="Arial"/>
          <w:kern w:val="0"/>
          <w:lang w:eastAsia="en-GB"/>
          <w14:ligatures w14:val="none"/>
        </w:rPr>
        <w:t>2001).</w:t>
      </w:r>
    </w:p>
    <w:p w14:paraId="0CD49882" w14:textId="77777777" w:rsidR="009704F0" w:rsidRDefault="009704F0" w:rsidP="000B616C">
      <w:pPr>
        <w:spacing w:after="200" w:line="360" w:lineRule="auto"/>
        <w:jc w:val="both"/>
        <w:rPr>
          <w:rFonts w:ascii="Arial" w:eastAsia="Times New Roman" w:hAnsi="Arial" w:cs="Arial"/>
          <w:kern w:val="0"/>
          <w:lang w:eastAsia="en-GB"/>
          <w14:ligatures w14:val="none"/>
        </w:rPr>
      </w:pPr>
    </w:p>
    <w:p w14:paraId="5B98B72F" w14:textId="06412928" w:rsidR="00FA69B2" w:rsidRPr="000B616C" w:rsidRDefault="00FA69B2"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noProof/>
          <w:kern w:val="0"/>
          <w:lang w:eastAsia="en-GB"/>
          <w14:ligatures w14:val="none"/>
        </w:rPr>
        <w:drawing>
          <wp:inline distT="0" distB="0" distL="0" distR="0" wp14:anchorId="7FBF0643" wp14:editId="1B87CEC8">
            <wp:extent cx="5075555" cy="4580255"/>
            <wp:effectExtent l="0" t="0" r="0" b="0"/>
            <wp:docPr id="662894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5555" cy="4580255"/>
                    </a:xfrm>
                    <a:prstGeom prst="rect">
                      <a:avLst/>
                    </a:prstGeom>
                    <a:noFill/>
                  </pic:spPr>
                </pic:pic>
              </a:graphicData>
            </a:graphic>
          </wp:inline>
        </w:drawing>
      </w:r>
      <w:r w:rsidR="00EA1C01" w:rsidRPr="000B616C">
        <w:rPr>
          <w:rFonts w:ascii="Arial" w:eastAsia="Times New Roman" w:hAnsi="Arial" w:cs="Arial"/>
          <w:kern w:val="0"/>
          <w:lang w:eastAsia="en-GB"/>
          <w14:ligatures w14:val="none"/>
        </w:rPr>
        <w:t xml:space="preserve"> </w:t>
      </w:r>
    </w:p>
    <w:p w14:paraId="1BB85155" w14:textId="77777777" w:rsidR="00FA69B2" w:rsidRPr="000B616C" w:rsidRDefault="00FA69B2" w:rsidP="000B616C">
      <w:pPr>
        <w:spacing w:after="200" w:line="360" w:lineRule="auto"/>
        <w:jc w:val="both"/>
        <w:rPr>
          <w:rFonts w:ascii="Arial" w:eastAsia="Times New Roman" w:hAnsi="Arial" w:cs="Arial"/>
          <w:kern w:val="0"/>
          <w:lang w:eastAsia="en-GB"/>
          <w14:ligatures w14:val="none"/>
        </w:rPr>
      </w:pPr>
    </w:p>
    <w:p w14:paraId="1C26F8EF" w14:textId="77777777" w:rsidR="00FA69B2" w:rsidRPr="000B616C" w:rsidRDefault="00FA69B2" w:rsidP="000B616C">
      <w:pPr>
        <w:spacing w:after="200" w:line="360" w:lineRule="auto"/>
        <w:jc w:val="both"/>
        <w:rPr>
          <w:rFonts w:ascii="Arial" w:eastAsia="Times New Roman" w:hAnsi="Arial" w:cs="Arial"/>
          <w:kern w:val="0"/>
          <w:lang w:eastAsia="en-GB"/>
          <w14:ligatures w14:val="none"/>
        </w:rPr>
      </w:pPr>
    </w:p>
    <w:p w14:paraId="1FA84B04" w14:textId="0CB879D8"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Hard measures such as schedules and budgets therefore need to be weighed against softer factors such as communication, stakeholder expectations and usability (Crawford and Pollack, 2004), alongside other recognised success factors such as planning, communication and control (Pinto and Slevin, 1987).</w:t>
      </w:r>
    </w:p>
    <w:p w14:paraId="16528BA2" w14:textId="77777777" w:rsidR="00EA1C01" w:rsidRPr="000B616C" w:rsidRDefault="00EA1C01" w:rsidP="000B616C">
      <w:pPr>
        <w:pStyle w:val="Heading2"/>
        <w:spacing w:line="360" w:lineRule="auto"/>
        <w:jc w:val="both"/>
        <w:rPr>
          <w:rFonts w:ascii="Arial" w:hAnsi="Arial" w:cs="Arial"/>
          <w:sz w:val="24"/>
          <w:szCs w:val="24"/>
        </w:rPr>
      </w:pPr>
      <w:bookmarkStart w:id="6" w:name="_Toc234426683"/>
      <w:r w:rsidRPr="000B616C">
        <w:rPr>
          <w:rFonts w:ascii="Arial" w:hAnsi="Arial" w:cs="Arial"/>
          <w:sz w:val="24"/>
          <w:szCs w:val="24"/>
        </w:rPr>
        <w:lastRenderedPageBreak/>
        <w:t>2.2 Critical Discussion of How the Tools Were Used in the Project</w:t>
      </w:r>
      <w:bookmarkEnd w:id="6"/>
    </w:p>
    <w:p w14:paraId="0C17A1F3" w14:textId="77777777"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The value of this section lies in showing how the tools would be used to design, plan and evaluate the work, and in being honest about where the plan still depends on assumptions that have not yet been tested.</w:t>
      </w:r>
    </w:p>
    <w:p w14:paraId="77C37BA6" w14:textId="7F9B83AE"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The project set the team a clear target: to convert six second-hand horse trailers into mobile kitchen units within twelve months and within an estimated budget of £18,000–£20,000.</w:t>
      </w:r>
    </w:p>
    <w:p w14:paraId="57409E32" w14:textId="77777777"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Scope and deliverables: the intended scope covers sourcing six second-hand horse trailers, designing kitchen layouts, planning the conversion work, controlling costs, identifying risks, communicating with stakeholders, and evaluating the finished units against agreed criteria. Running food businesses on behalf of vendors, or maintaining the units after handover, sits outside this scope. </w:t>
      </w:r>
    </w:p>
    <w:p w14:paraId="67B935CD" w14:textId="77777777" w:rsidR="00D6365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Defining scope this way was useful because it kept the plan realistic and prevented the project from expanding into ongoing trader support the team could not resource.</w:t>
      </w:r>
    </w:p>
    <w:p w14:paraId="03E58F91" w14:textId="677B74E2" w:rsidR="00E13FD6" w:rsidRPr="000B616C" w:rsidRDefault="00D6365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he WBS split the project into initiation, trailer sourcing, layout design, material planning, conversion work, safety checks, stakeholder communication and close-out, which made the scale of the work easier to grasp and allocate</w:t>
      </w:r>
      <w:r w:rsidRPr="000B616C">
        <w:rPr>
          <w:rFonts w:ascii="Arial" w:eastAsia="Times New Roman" w:hAnsi="Arial" w:cs="Arial"/>
          <w:kern w:val="0"/>
          <w:lang w:eastAsia="en-GB"/>
          <w14:ligatures w14:val="none"/>
        </w:rPr>
        <w:t>.</w:t>
      </w:r>
    </w:p>
    <w:p w14:paraId="2DB221E0" w14:textId="3F4F81B0" w:rsidR="00FA69B2" w:rsidRPr="000B616C" w:rsidRDefault="00FA69B2"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noProof/>
          <w:kern w:val="0"/>
          <w:lang w:eastAsia="en-GB"/>
          <w14:ligatures w14:val="none"/>
        </w:rPr>
        <w:lastRenderedPageBreak/>
        <w:drawing>
          <wp:inline distT="0" distB="0" distL="0" distR="0" wp14:anchorId="3307E2C2" wp14:editId="54A7AAC7">
            <wp:extent cx="6111875" cy="4534535"/>
            <wp:effectExtent l="0" t="0" r="3175" b="0"/>
            <wp:docPr id="277108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875" cy="4534535"/>
                    </a:xfrm>
                    <a:prstGeom prst="rect">
                      <a:avLst/>
                    </a:prstGeom>
                    <a:noFill/>
                  </pic:spPr>
                </pic:pic>
              </a:graphicData>
            </a:graphic>
          </wp:inline>
        </w:drawing>
      </w:r>
    </w:p>
    <w:p w14:paraId="10C04F42" w14:textId="77777777" w:rsidR="00E13FD6" w:rsidRPr="000B616C" w:rsidRDefault="00E13FD6" w:rsidP="000B616C">
      <w:pPr>
        <w:spacing w:after="200" w:line="360" w:lineRule="auto"/>
        <w:jc w:val="both"/>
        <w:rPr>
          <w:rFonts w:ascii="Arial" w:eastAsia="Times New Roman" w:hAnsi="Arial" w:cs="Arial"/>
          <w:kern w:val="0"/>
          <w:lang w:eastAsia="en-GB"/>
          <w14:ligatures w14:val="none"/>
        </w:rPr>
      </w:pPr>
    </w:p>
    <w:p w14:paraId="3314A683" w14:textId="386D751B" w:rsidR="00EA1C01" w:rsidRPr="000B616C" w:rsidRDefault="00B86827"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 xml:space="preserve">he Gantt chart arguably added more value in this specific project, because the main planning risk was timing – used trailers arriving in unknown condition – rather than simply understanding what work was needed. </w:t>
      </w:r>
      <w:r w:rsidR="00D63651"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 xml:space="preserve">he Gantt chart is only as reliable as the duration estimates behind it, and those estimates cannot fully account for a trailer that turns out to need more extensive repair than expected. </w:t>
      </w:r>
    </w:p>
    <w:p w14:paraId="1E6E1853" w14:textId="77777777" w:rsidR="00D63651" w:rsidRPr="000B616C" w:rsidRDefault="00D6365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 xml:space="preserve">he estimated £18,000–£20,000 budget, roughly £3,000 per trailer, is intended to cover trailer purchase, structural and electrical conversion work, hygienic surfaces and fittings, water and waste systems, safety certification, and a contingency allowance. Estimating cost per trailer in this way makes the overall figure easier to justify and communicate to stakeholders such as funders. </w:t>
      </w:r>
    </w:p>
    <w:p w14:paraId="2FF81188" w14:textId="77777777" w:rsidR="009704F0"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At the same time</w:t>
      </w:r>
      <w:r w:rsidR="00543B86" w:rsidRPr="000B616C">
        <w:rPr>
          <w:rFonts w:ascii="Arial" w:eastAsia="Times New Roman" w:hAnsi="Arial" w:cs="Arial"/>
          <w:kern w:val="0"/>
          <w:lang w:eastAsia="en-GB"/>
          <w14:ligatures w14:val="none"/>
        </w:rPr>
        <w:t xml:space="preserve"> </w:t>
      </w:r>
      <w:r w:rsidRPr="000B616C">
        <w:rPr>
          <w:rFonts w:ascii="Arial" w:eastAsia="Times New Roman" w:hAnsi="Arial" w:cs="Arial"/>
          <w:kern w:val="0"/>
          <w:lang w:eastAsia="en-GB"/>
          <w14:ligatures w14:val="none"/>
        </w:rPr>
        <w:t xml:space="preserve">because the trailers are second-hand, hidden structural or electrical faults could realistically push individual conversions above £3,000, and the budget as it stands does not yet include an explicit contingency line. </w:t>
      </w:r>
    </w:p>
    <w:p w14:paraId="3A44D066" w14:textId="0767B0D8"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lastRenderedPageBreak/>
        <w:t>A more convincing budget would set aside a specific contingency, for example 10–15% of the total, and would be backed by indicative supplier quotes rather than a single estimated figure, since stakeholders are more likely to trust a budget whose logic they can follow than one that simply states a total.</w:t>
      </w:r>
    </w:p>
    <w:p w14:paraId="372FD5A7" w14:textId="099E8457" w:rsidR="00E13FD6" w:rsidRPr="000B616C" w:rsidRDefault="00543B86"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w:t>
      </w:r>
      <w:r w:rsidR="00EA1C01" w:rsidRPr="000B616C">
        <w:rPr>
          <w:rFonts w:ascii="Arial" w:eastAsia="Times New Roman" w:hAnsi="Arial" w:cs="Arial"/>
          <w:kern w:val="0"/>
          <w:lang w:eastAsia="en-GB"/>
          <w14:ligatures w14:val="none"/>
        </w:rPr>
        <w:t xml:space="preserve">he risk matrix identified hidden structural damage, budget escalation, material delays, electrical faults, compliance issues, poor communication and limited stakeholder input as key risks, which helped the team prioritise the threats most likely to affect delivery. </w:t>
      </w:r>
    </w:p>
    <w:p w14:paraId="7CFBA69A" w14:textId="463F1784"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Risk scoring is only as good as the evidence behind it, though, and without physical trailer inspections or written supplier quotes, several of these scores currently rest on assumption rather than evidence (Aven, 2015; Hillson, 2024</w:t>
      </w:r>
      <w:r w:rsidR="00D63651" w:rsidRPr="000B616C">
        <w:rPr>
          <w:rFonts w:ascii="Arial" w:eastAsia="Times New Roman" w:hAnsi="Arial" w:cs="Arial"/>
          <w:kern w:val="0"/>
          <w:lang w:eastAsia="en-GB"/>
          <w14:ligatures w14:val="none"/>
        </w:rPr>
        <w:t>.</w:t>
      </w:r>
      <w:r w:rsidRPr="000B616C">
        <w:rPr>
          <w:rFonts w:ascii="Arial" w:eastAsia="Times New Roman" w:hAnsi="Arial" w:cs="Arial"/>
          <w:kern w:val="0"/>
          <w:lang w:eastAsia="en-GB"/>
          <w14:ligatures w14:val="none"/>
        </w:rPr>
        <w:t xml:space="preserve"> Treating these three tools as connected, rather than reviewing each in isolation, would give the team an earlier warning of problems than checking each tool separately.</w:t>
      </w:r>
    </w:p>
    <w:p w14:paraId="5D336212" w14:textId="5F32D612" w:rsidR="00EA1C01" w:rsidRPr="000B616C" w:rsidRDefault="00B86827"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W</w:t>
      </w:r>
      <w:r w:rsidR="00EA1C01" w:rsidRPr="000B616C">
        <w:rPr>
          <w:rFonts w:ascii="Arial" w:eastAsia="Times New Roman" w:hAnsi="Arial" w:cs="Arial"/>
          <w:kern w:val="0"/>
          <w:lang w:eastAsia="en-GB"/>
          <w14:ligatures w14:val="none"/>
        </w:rPr>
        <w:t xml:space="preserve">ithin the project team, </w:t>
      </w:r>
      <w:r w:rsidR="00506AB9" w:rsidRPr="000B616C">
        <w:rPr>
          <w:rFonts w:ascii="Arial" w:eastAsia="Times New Roman" w:hAnsi="Arial" w:cs="Arial"/>
          <w:kern w:val="0"/>
          <w:lang w:eastAsia="en-GB"/>
          <w14:ligatures w14:val="none"/>
        </w:rPr>
        <w:t xml:space="preserve">Constantin Tanasa </w:t>
      </w:r>
      <w:r w:rsidR="00EA1C01" w:rsidRPr="000B616C">
        <w:rPr>
          <w:rFonts w:ascii="Arial" w:eastAsia="Times New Roman" w:hAnsi="Arial" w:cs="Arial"/>
          <w:kern w:val="0"/>
          <w:lang w:eastAsia="en-GB"/>
          <w14:ligatures w14:val="none"/>
        </w:rPr>
        <w:t xml:space="preserve">contribution </w:t>
      </w:r>
      <w:r w:rsidR="00745039" w:rsidRPr="000B616C">
        <w:rPr>
          <w:rFonts w:ascii="Arial" w:eastAsia="Times New Roman" w:hAnsi="Arial" w:cs="Arial"/>
          <w:kern w:val="0"/>
          <w:lang w:eastAsia="en-GB"/>
          <w14:ligatures w14:val="none"/>
        </w:rPr>
        <w:t>– (</w:t>
      </w:r>
      <w:r w:rsidR="00506AB9" w:rsidRPr="000B616C">
        <w:rPr>
          <w:rFonts w:ascii="Arial" w:eastAsia="Times New Roman" w:hAnsi="Arial" w:cs="Arial"/>
          <w:kern w:val="0"/>
          <w:lang w:eastAsia="en-GB"/>
          <w14:ligatures w14:val="none"/>
        </w:rPr>
        <w:t>project leader)</w:t>
      </w:r>
      <w:r w:rsidR="00EA1C01" w:rsidRPr="000B616C">
        <w:rPr>
          <w:rFonts w:ascii="Arial" w:eastAsia="Times New Roman" w:hAnsi="Arial" w:cs="Arial"/>
          <w:kern w:val="0"/>
          <w:lang w:eastAsia="en-GB"/>
          <w14:ligatures w14:val="none"/>
        </w:rPr>
        <w:t xml:space="preserve"> generating practical, low-cost ideas for converting used trailers into kitchen units – reflects Belbin's Plant role. This was valuable given the project's need for an inventive, low-cost solution, but a Plant-type contribution needs pairing with stronger coordination and monitoring roles to turn ideas into realistic schedules, budgets and deliverables</w:t>
      </w:r>
      <w:r w:rsidR="00D63651" w:rsidRPr="000B616C">
        <w:rPr>
          <w:rFonts w:ascii="Arial" w:eastAsia="Times New Roman" w:hAnsi="Arial" w:cs="Arial"/>
          <w:kern w:val="0"/>
          <w:lang w:eastAsia="en-GB"/>
          <w14:ligatures w14:val="none"/>
        </w:rPr>
        <w:t>.</w:t>
      </w:r>
    </w:p>
    <w:p w14:paraId="17463DC2" w14:textId="107544CB"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The single most significant vulnerability in the current plan is that all four rely on assumptions about trailer condition that will not be confirmed until sourcing begins; this is also where the planning tools are least able to help on their own, since no scheduling or budgeting technique can substitute for physically inspecting the trailers.</w:t>
      </w:r>
    </w:p>
    <w:p w14:paraId="4DED3965" w14:textId="3EC881A8" w:rsidR="009704F0" w:rsidRDefault="009704F0" w:rsidP="000B616C">
      <w:pPr>
        <w:pStyle w:val="Heading2"/>
      </w:pPr>
      <w:bookmarkStart w:id="7" w:name="_Toc234426684"/>
    </w:p>
    <w:p w14:paraId="7543FD7D" w14:textId="77777777" w:rsidR="009704F0" w:rsidRDefault="009704F0" w:rsidP="000B616C">
      <w:pPr>
        <w:pStyle w:val="Heading2"/>
      </w:pPr>
    </w:p>
    <w:p w14:paraId="3DE6D3EE" w14:textId="77777777" w:rsidR="009704F0" w:rsidRDefault="009704F0" w:rsidP="000B616C">
      <w:pPr>
        <w:pStyle w:val="Heading2"/>
      </w:pPr>
    </w:p>
    <w:bookmarkEnd w:id="7"/>
    <w:p w14:paraId="214D0F65" w14:textId="77777777" w:rsidR="009704F0" w:rsidRDefault="009704F0" w:rsidP="009704F0"/>
    <w:p w14:paraId="53D992FE" w14:textId="77777777" w:rsidR="009704F0" w:rsidRPr="009704F0" w:rsidRDefault="009704F0" w:rsidP="009704F0"/>
    <w:p w14:paraId="717C3C19" w14:textId="77777777" w:rsidR="009704F0" w:rsidRDefault="009704F0" w:rsidP="000B616C">
      <w:pPr>
        <w:spacing w:after="200" w:line="360" w:lineRule="auto"/>
        <w:jc w:val="both"/>
        <w:rPr>
          <w:rFonts w:ascii="Arial" w:eastAsia="Times New Roman" w:hAnsi="Arial" w:cs="Arial"/>
          <w:kern w:val="0"/>
          <w:lang w:eastAsia="en-GB"/>
          <w14:ligatures w14:val="none"/>
        </w:rPr>
      </w:pPr>
    </w:p>
    <w:p w14:paraId="5E861A4C" w14:textId="77777777" w:rsidR="009704F0" w:rsidRDefault="009704F0" w:rsidP="000B616C">
      <w:pPr>
        <w:spacing w:after="200" w:line="360" w:lineRule="auto"/>
        <w:jc w:val="both"/>
        <w:rPr>
          <w:rFonts w:ascii="Arial" w:eastAsia="Times New Roman" w:hAnsi="Arial" w:cs="Arial"/>
          <w:kern w:val="0"/>
          <w:lang w:eastAsia="en-GB"/>
          <w14:ligatures w14:val="none"/>
        </w:rPr>
      </w:pPr>
    </w:p>
    <w:p w14:paraId="26570D1D" w14:textId="0130657C" w:rsidR="009704F0" w:rsidRPr="009704F0" w:rsidRDefault="009704F0" w:rsidP="009704F0">
      <w:pPr>
        <w:keepNext/>
        <w:keepLines/>
        <w:spacing w:before="160" w:after="80" w:line="278" w:lineRule="auto"/>
        <w:outlineLvl w:val="1"/>
        <w:rPr>
          <w:rFonts w:asciiTheme="majorHAnsi" w:eastAsiaTheme="majorEastAsia" w:hAnsiTheme="majorHAnsi" w:cstheme="majorBidi"/>
          <w:color w:val="0F4761" w:themeColor="accent1" w:themeShade="BF"/>
          <w:sz w:val="32"/>
          <w:szCs w:val="32"/>
        </w:rPr>
      </w:pPr>
      <w:r w:rsidRPr="009704F0">
        <w:rPr>
          <w:rFonts w:asciiTheme="majorHAnsi" w:eastAsiaTheme="majorEastAsia" w:hAnsiTheme="majorHAnsi" w:cstheme="majorBidi"/>
          <w:color w:val="0F4761" w:themeColor="accent1" w:themeShade="BF"/>
          <w:sz w:val="32"/>
          <w:szCs w:val="32"/>
        </w:rPr>
        <w:lastRenderedPageBreak/>
        <w:t>2.3 Communication and Stakeholders</w:t>
      </w:r>
    </w:p>
    <w:p w14:paraId="536E59EC" w14:textId="475839FC" w:rsidR="00EA1C01"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Stakeholder theory is useful here because a project of this kind affects a wide range</w:t>
      </w:r>
      <w:r w:rsidR="009704F0">
        <w:rPr>
          <w:rFonts w:ascii="Arial" w:eastAsia="Times New Roman" w:hAnsi="Arial" w:cs="Arial"/>
          <w:kern w:val="0"/>
          <w:lang w:eastAsia="en-GB"/>
          <w14:ligatures w14:val="none"/>
        </w:rPr>
        <w:t xml:space="preserve">                                </w:t>
      </w:r>
      <w:r w:rsidRPr="000B616C">
        <w:rPr>
          <w:rFonts w:ascii="Arial" w:eastAsia="Times New Roman" w:hAnsi="Arial" w:cs="Arial"/>
          <w:kern w:val="0"/>
          <w:lang w:eastAsia="en-GB"/>
          <w14:ligatures w14:val="none"/>
        </w:rPr>
        <w:t>of groups in different ways, with different levels of interest in, and influence over, its success (Freeman, 2010; Bourne and Walker, 2005). It would be easy to treat everyone</w:t>
      </w:r>
      <w:r w:rsidR="00906E08" w:rsidRPr="000B616C">
        <w:rPr>
          <w:rFonts w:ascii="Arial" w:eastAsia="Times New Roman" w:hAnsi="Arial" w:cs="Arial"/>
          <w:kern w:val="0"/>
          <w:lang w:eastAsia="en-GB"/>
          <w14:ligatures w14:val="none"/>
        </w:rPr>
        <w:t xml:space="preserve"> that</w:t>
      </w:r>
      <w:r w:rsidRPr="000B616C">
        <w:rPr>
          <w:rFonts w:ascii="Arial" w:eastAsia="Times New Roman" w:hAnsi="Arial" w:cs="Arial"/>
          <w:kern w:val="0"/>
          <w:lang w:eastAsia="en-GB"/>
          <w14:ligatures w14:val="none"/>
        </w:rPr>
        <w:t xml:space="preserve"> the project depends on as an internal stakeholder, but that is not how the distinction works: internal stakeholders are the people who are part of the organisation actually delivering the project – here, the project team itself – while everyone</w:t>
      </w:r>
      <w:r w:rsidR="003E61C3" w:rsidRPr="000B616C">
        <w:rPr>
          <w:rFonts w:ascii="Arial" w:eastAsia="Times New Roman" w:hAnsi="Arial" w:cs="Arial"/>
          <w:kern w:val="0"/>
          <w:lang w:eastAsia="en-GB"/>
          <w14:ligatures w14:val="none"/>
        </w:rPr>
        <w:t xml:space="preserve"> that</w:t>
      </w:r>
      <w:r w:rsidRPr="000B616C">
        <w:rPr>
          <w:rFonts w:ascii="Arial" w:eastAsia="Times New Roman" w:hAnsi="Arial" w:cs="Arial"/>
          <w:kern w:val="0"/>
          <w:lang w:eastAsia="en-GB"/>
          <w14:ligatures w14:val="none"/>
        </w:rPr>
        <w:t xml:space="preserve"> the project depends on or serves</w:t>
      </w:r>
      <w:r w:rsidR="003E61C3" w:rsidRPr="000B616C">
        <w:rPr>
          <w:rFonts w:ascii="Arial" w:eastAsia="Times New Roman" w:hAnsi="Arial" w:cs="Arial"/>
          <w:kern w:val="0"/>
          <w:lang w:eastAsia="en-GB"/>
          <w14:ligatures w14:val="none"/>
        </w:rPr>
        <w:t>, who is</w:t>
      </w:r>
      <w:r w:rsidRPr="000B616C">
        <w:rPr>
          <w:rFonts w:ascii="Arial" w:eastAsia="Times New Roman" w:hAnsi="Arial" w:cs="Arial"/>
          <w:kern w:val="0"/>
          <w:lang w:eastAsia="en-GB"/>
          <w14:ligatures w14:val="none"/>
        </w:rPr>
        <w:t xml:space="preserve"> from outside that team, however important their input, is external. </w:t>
      </w:r>
    </w:p>
    <w:p w14:paraId="2CBEF64B" w14:textId="77777777" w:rsidR="00715E77" w:rsidRDefault="00715E77" w:rsidP="000B616C">
      <w:pPr>
        <w:spacing w:after="200" w:line="360" w:lineRule="auto"/>
        <w:jc w:val="both"/>
        <w:rPr>
          <w:rFonts w:ascii="Arial" w:eastAsia="Times New Roman" w:hAnsi="Arial" w:cs="Arial"/>
          <w:kern w:val="0"/>
          <w:lang w:eastAsia="en-GB"/>
          <w14:ligatures w14:val="none"/>
        </w:rPr>
      </w:pPr>
    </w:p>
    <w:p w14:paraId="4C20FB0D" w14:textId="5A922242" w:rsidR="00715E77" w:rsidRDefault="00715E77" w:rsidP="000B616C">
      <w:pPr>
        <w:spacing w:after="200" w:line="360" w:lineRule="auto"/>
        <w:jc w:val="both"/>
        <w:rPr>
          <w:rFonts w:ascii="Arial" w:eastAsia="Times New Roman" w:hAnsi="Arial" w:cs="Arial"/>
          <w:kern w:val="0"/>
          <w:lang w:eastAsia="en-GB"/>
          <w14:ligatures w14:val="none"/>
        </w:rPr>
      </w:pPr>
      <w:r w:rsidRPr="00715E77">
        <w:rPr>
          <w:rFonts w:ascii="Arial" w:eastAsia="Times New Roman" w:hAnsi="Arial" w:cs="Arial"/>
          <w:noProof/>
          <w:kern w:val="0"/>
          <w:lang w:eastAsia="en-GB"/>
          <w14:ligatures w14:val="none"/>
        </w:rPr>
        <w:drawing>
          <wp:inline distT="0" distB="0" distL="0" distR="0" wp14:anchorId="333932F1" wp14:editId="1CC4AB4C">
            <wp:extent cx="5030244" cy="5417820"/>
            <wp:effectExtent l="0" t="0" r="0" b="0"/>
            <wp:docPr id="105908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88098" name=""/>
                    <pic:cNvPicPr/>
                  </pic:nvPicPr>
                  <pic:blipFill>
                    <a:blip r:embed="rId11"/>
                    <a:stretch>
                      <a:fillRect/>
                    </a:stretch>
                  </pic:blipFill>
                  <pic:spPr>
                    <a:xfrm>
                      <a:off x="0" y="0"/>
                      <a:ext cx="5047040" cy="5435911"/>
                    </a:xfrm>
                    <a:prstGeom prst="rect">
                      <a:avLst/>
                    </a:prstGeom>
                  </pic:spPr>
                </pic:pic>
              </a:graphicData>
            </a:graphic>
          </wp:inline>
        </w:drawing>
      </w:r>
    </w:p>
    <w:p w14:paraId="5CDF1E6D" w14:textId="52A77B19" w:rsidR="00EA1C01" w:rsidRPr="000B616C" w:rsidRDefault="00EA1C01" w:rsidP="000B616C">
      <w:pPr>
        <w:spacing w:line="360" w:lineRule="auto"/>
        <w:jc w:val="both"/>
        <w:rPr>
          <w:rFonts w:ascii="Arial" w:eastAsia="Times New Roman" w:hAnsi="Arial" w:cs="Arial"/>
          <w:kern w:val="0"/>
          <w:lang w:eastAsia="en-GB"/>
          <w14:ligatures w14:val="none"/>
        </w:rPr>
      </w:pPr>
    </w:p>
    <w:p w14:paraId="22E073C1" w14:textId="04887633" w:rsidR="00B949BE"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lastRenderedPageBreak/>
        <w:t xml:space="preserve"> Vendors and traders are </w:t>
      </w:r>
      <w:r w:rsidR="00715E77" w:rsidRPr="000B616C">
        <w:rPr>
          <w:rFonts w:ascii="Arial" w:eastAsia="Times New Roman" w:hAnsi="Arial" w:cs="Arial"/>
          <w:kern w:val="0"/>
          <w:lang w:eastAsia="en-GB"/>
          <w14:ligatures w14:val="none"/>
        </w:rPr>
        <w:t>high interest</w:t>
      </w:r>
      <w:r w:rsidRPr="000B616C">
        <w:rPr>
          <w:rFonts w:ascii="Arial" w:eastAsia="Times New Roman" w:hAnsi="Arial" w:cs="Arial"/>
          <w:kern w:val="0"/>
          <w:lang w:eastAsia="en-GB"/>
          <w14:ligatures w14:val="none"/>
        </w:rPr>
        <w:t>, since they are the direct users, so they need to be consulted on layout and usability throughout, not only informed once units are ready.</w:t>
      </w:r>
    </w:p>
    <w:p w14:paraId="0D6A6499" w14:textId="77777777" w:rsidR="00B949BE"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Council and licensing bodies have lower day-to-day interest but high influence, since they can delay trading altogether if requirements are not met, so they need early, formal engagement rather than late notification.</w:t>
      </w:r>
    </w:p>
    <w:p w14:paraId="769F2A44" w14:textId="26AD32FA"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Funders sit in the high-interest, high-influence group and need the clearest evidence of all, since the credibility of the whole project depends on convincing them the budget and plan are </w:t>
      </w:r>
      <w:r w:rsidR="00715E77" w:rsidRPr="000B616C">
        <w:rPr>
          <w:rFonts w:ascii="Arial" w:eastAsia="Times New Roman" w:hAnsi="Arial" w:cs="Arial"/>
          <w:kern w:val="0"/>
          <w:lang w:eastAsia="en-GB"/>
          <w14:ligatures w14:val="none"/>
        </w:rPr>
        <w:t>realistic. This</w:t>
      </w:r>
      <w:r w:rsidRPr="000B616C">
        <w:rPr>
          <w:rFonts w:ascii="Arial" w:eastAsia="Times New Roman" w:hAnsi="Arial" w:cs="Arial"/>
          <w:kern w:val="0"/>
          <w:lang w:eastAsia="en-GB"/>
          <w14:ligatures w14:val="none"/>
        </w:rPr>
        <w:t xml:space="preserve"> mapping should also be reviewed as the project unfolds, since interest and influence can shift once trading begins (Eskerod and Lund Jepsen, 2016).</w:t>
      </w:r>
    </w:p>
    <w:p w14:paraId="25B26DCB" w14:textId="77777777" w:rsidR="00506AB9" w:rsidRPr="000B616C" w:rsidRDefault="00506AB9" w:rsidP="000B616C">
      <w:pPr>
        <w:spacing w:before="100" w:after="120" w:line="360" w:lineRule="auto"/>
        <w:jc w:val="both"/>
        <w:rPr>
          <w:rFonts w:ascii="Arial" w:eastAsia="Times New Roman" w:hAnsi="Arial" w:cs="Arial"/>
          <w:b/>
          <w:bCs/>
          <w:i/>
          <w:iCs/>
          <w:kern w:val="0"/>
          <w:lang w:eastAsia="en-GB"/>
          <w14:ligatures w14:val="none"/>
        </w:rPr>
      </w:pPr>
    </w:p>
    <w:p w14:paraId="53255768" w14:textId="5F39ADC3" w:rsidR="00EA1C01" w:rsidRPr="000B616C" w:rsidRDefault="00EA1C01" w:rsidP="000B616C">
      <w:pPr>
        <w:spacing w:line="360" w:lineRule="auto"/>
        <w:jc w:val="both"/>
        <w:rPr>
          <w:rFonts w:ascii="Arial" w:hAnsi="Arial" w:cs="Arial"/>
          <w:b/>
          <w:bCs/>
          <w:lang w:eastAsia="en-GB"/>
        </w:rPr>
      </w:pPr>
      <w:r w:rsidRPr="000B616C">
        <w:rPr>
          <w:rFonts w:ascii="Arial" w:hAnsi="Arial" w:cs="Arial"/>
          <w:b/>
          <w:bCs/>
          <w:lang w:eastAsia="en-GB"/>
        </w:rPr>
        <w:t>Communication plan</w:t>
      </w:r>
    </w:p>
    <w:p w14:paraId="0F042C26" w14:textId="7ED9C0BE" w:rsidR="00EA1C01" w:rsidRPr="000B616C" w:rsidRDefault="00715E77" w:rsidP="000B616C">
      <w:pPr>
        <w:spacing w:after="200" w:line="36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drawing>
          <wp:inline distT="0" distB="0" distL="0" distR="0" wp14:anchorId="57ACA805" wp14:editId="3D5B9E6E">
            <wp:extent cx="5730875" cy="4877435"/>
            <wp:effectExtent l="0" t="0" r="3175" b="0"/>
            <wp:docPr id="19707215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877435"/>
                    </a:xfrm>
                    <a:prstGeom prst="rect">
                      <a:avLst/>
                    </a:prstGeom>
                    <a:noFill/>
                  </pic:spPr>
                </pic:pic>
              </a:graphicData>
            </a:graphic>
          </wp:inline>
        </w:drawing>
      </w:r>
    </w:p>
    <w:p w14:paraId="2E1E57B2" w14:textId="7D6F5D27"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lastRenderedPageBreak/>
        <w:t xml:space="preserve">This communication plan goes beyond naming a channel for each stakeholder: for each group, </w:t>
      </w:r>
      <w:r w:rsidR="00597BA9" w:rsidRPr="000B616C">
        <w:rPr>
          <w:rFonts w:ascii="Arial" w:eastAsia="Times New Roman" w:hAnsi="Arial" w:cs="Arial"/>
          <w:kern w:val="0"/>
          <w:lang w:eastAsia="en-GB"/>
          <w14:ligatures w14:val="none"/>
        </w:rPr>
        <w:t>the method reflects how much formal evidence each relationship needs</w:t>
      </w:r>
      <w:r w:rsidRPr="000B616C">
        <w:rPr>
          <w:rFonts w:ascii="Arial" w:eastAsia="Times New Roman" w:hAnsi="Arial" w:cs="Arial"/>
          <w:kern w:val="0"/>
          <w:lang w:eastAsia="en-GB"/>
          <w14:ligatures w14:val="none"/>
        </w:rPr>
        <w:t xml:space="preserve">– licensing bodies and insurers need a paper trail because of their authority and liability, while the project team can rely on faster informal contact because decisions there can be revisited quickly – and the frequency reflects how far each stakeholder's needs are likely to change over the project, with vendors needing input at two defined points and funders needing reassurance at regular intervals throughout. The main limitation is the same one affecting the wider plan: the communication plan currently rests on reasonable assumptions about what each group will need, rather than on confirmed feedback, and should be adjusted once initial contact is made (Kerzner, 2022; </w:t>
      </w:r>
      <w:proofErr w:type="spellStart"/>
      <w:r w:rsidRPr="000B616C">
        <w:rPr>
          <w:rFonts w:ascii="Arial" w:eastAsia="Times New Roman" w:hAnsi="Arial" w:cs="Arial"/>
          <w:kern w:val="0"/>
          <w:lang w:eastAsia="en-GB"/>
          <w14:ligatures w14:val="none"/>
        </w:rPr>
        <w:t>Anantatmula</w:t>
      </w:r>
      <w:proofErr w:type="spellEnd"/>
      <w:r w:rsidRPr="000B616C">
        <w:rPr>
          <w:rFonts w:ascii="Arial" w:eastAsia="Times New Roman" w:hAnsi="Arial" w:cs="Arial"/>
          <w:kern w:val="0"/>
          <w:lang w:eastAsia="en-GB"/>
          <w14:ligatures w14:val="none"/>
        </w:rPr>
        <w:t>, 2010).</w:t>
      </w:r>
    </w:p>
    <w:p w14:paraId="5C190FB0"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4F65F483"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36A29BDF"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59C40198"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4DAC4860"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21854D9C"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6122FBE5"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337E78ED"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0F14CA2C"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7CA00317"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758DEF57"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6B5A47A0"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6756C78A"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4338CF4A"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02E20539"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7A2BD32F"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5D170062" w14:textId="77777777" w:rsidR="00EA1C01" w:rsidRPr="000B616C" w:rsidRDefault="00EA1C01" w:rsidP="000B616C">
      <w:pPr>
        <w:pStyle w:val="Heading1"/>
      </w:pPr>
      <w:bookmarkStart w:id="8" w:name="_Toc234426685"/>
      <w:r w:rsidRPr="000B616C">
        <w:t>3. Conclusion</w:t>
      </w:r>
      <w:bookmarkEnd w:id="8"/>
    </w:p>
    <w:p w14:paraId="6B35CFA4" w14:textId="77777777" w:rsidR="00B949BE"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This report has shown that the WBS needed the Gantt chart to add a timeline, the Gantt chart needed the risk matrix to flag what could disrupt it, and the budget needed both to be credible.</w:t>
      </w:r>
    </w:p>
    <w:p w14:paraId="56769CB2" w14:textId="0C105FBF"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 xml:space="preserve"> Used </w:t>
      </w:r>
      <w:r w:rsidR="00FA69B2" w:rsidRPr="000B616C">
        <w:rPr>
          <w:rFonts w:ascii="Arial" w:eastAsia="Times New Roman" w:hAnsi="Arial" w:cs="Arial"/>
          <w:kern w:val="0"/>
          <w:lang w:eastAsia="en-GB"/>
          <w14:ligatures w14:val="none"/>
        </w:rPr>
        <w:t>together and</w:t>
      </w:r>
      <w:r w:rsidRPr="000B616C">
        <w:rPr>
          <w:rFonts w:ascii="Arial" w:eastAsia="Times New Roman" w:hAnsi="Arial" w:cs="Arial"/>
          <w:kern w:val="0"/>
          <w:lang w:eastAsia="en-GB"/>
          <w14:ligatures w14:val="none"/>
        </w:rPr>
        <w:t xml:space="preserve"> read against real evidence such as trailer inspections and supplier quotes rather than estimates alone, these tools gave the project a workable and realistic structure for a twelve-month, £18,000–£20,000 conversion of six trailers.</w:t>
      </w:r>
    </w:p>
    <w:p w14:paraId="1F66447D" w14:textId="45A1ECD1" w:rsidR="00EA1C01" w:rsidRPr="000B616C" w:rsidRDefault="00EA1C01" w:rsidP="000B616C">
      <w:p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The aim and objectives, WBS, Gantt chart, risk matrix and stakeholder map all followed recognised project management logic, but several of the figures and risk scores behind them – trailer condition, per-unit cost, communication needs – are still assumptions rather than confirmed facts. On balance, the tools used were the right ones for a project of this size and type, and they were applied with reasonable consistency; what the project still needs is not different tools, but stronger evidence feeding into the tools it already has.</w:t>
      </w:r>
    </w:p>
    <w:p w14:paraId="4507834A"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3EE90096"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5C1F3024"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449FC471"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0C682906"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04D9ECC9"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57AE3D5A"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6473B6EE"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6D8C59A6"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3948B43E"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77FA29CB" w14:textId="77777777" w:rsidR="00D6763C" w:rsidRPr="000B616C" w:rsidRDefault="00D6763C" w:rsidP="000B616C">
      <w:pPr>
        <w:spacing w:after="200" w:line="360" w:lineRule="auto"/>
        <w:jc w:val="both"/>
        <w:rPr>
          <w:rFonts w:ascii="Arial" w:eastAsia="Times New Roman" w:hAnsi="Arial" w:cs="Arial"/>
          <w:kern w:val="0"/>
          <w:lang w:eastAsia="en-GB"/>
          <w14:ligatures w14:val="none"/>
        </w:rPr>
      </w:pPr>
    </w:p>
    <w:p w14:paraId="315E3180" w14:textId="77777777" w:rsidR="00EA1C01" w:rsidRPr="000B616C" w:rsidRDefault="00EA1C01" w:rsidP="000B616C">
      <w:pPr>
        <w:pStyle w:val="Heading1"/>
      </w:pPr>
      <w:bookmarkStart w:id="9" w:name="_Toc234426686"/>
      <w:r w:rsidRPr="000B616C">
        <w:lastRenderedPageBreak/>
        <w:t>4. Future Improvement</w:t>
      </w:r>
      <w:bookmarkEnd w:id="9"/>
    </w:p>
    <w:p w14:paraId="1F841DF5" w14:textId="77777777" w:rsidR="00FF7F39" w:rsidRPr="008C3445" w:rsidRDefault="00EA1C01" w:rsidP="008C3445">
      <w:pPr>
        <w:spacing w:after="200" w:line="360" w:lineRule="auto"/>
        <w:jc w:val="both"/>
        <w:rPr>
          <w:rFonts w:ascii="Arial" w:eastAsia="Times New Roman" w:hAnsi="Arial" w:cs="Arial"/>
          <w:kern w:val="0"/>
          <w:lang w:eastAsia="en-GB"/>
          <w14:ligatures w14:val="none"/>
        </w:rPr>
      </w:pPr>
      <w:r w:rsidRPr="008C3445">
        <w:rPr>
          <w:rFonts w:ascii="Arial" w:eastAsia="Times New Roman" w:hAnsi="Arial" w:cs="Arial"/>
          <w:kern w:val="0"/>
          <w:lang w:eastAsia="en-GB"/>
          <w14:ligatures w14:val="none"/>
        </w:rPr>
        <w:t>Four project management lessons stand out for future delivery</w:t>
      </w:r>
    </w:p>
    <w:p w14:paraId="6A00416A" w14:textId="0360F2BA" w:rsidR="00FF7F39" w:rsidRPr="00715E77" w:rsidRDefault="008C3445" w:rsidP="00715E77">
      <w:pPr>
        <w:pStyle w:val="ListParagraph"/>
        <w:numPr>
          <w:ilvl w:val="0"/>
          <w:numId w:val="7"/>
        </w:numPr>
        <w:spacing w:after="200" w:line="360" w:lineRule="auto"/>
        <w:jc w:val="both"/>
        <w:rPr>
          <w:rFonts w:ascii="Arial" w:eastAsia="Times New Roman" w:hAnsi="Arial" w:cs="Arial"/>
          <w:kern w:val="0"/>
          <w:lang w:eastAsia="en-GB"/>
          <w14:ligatures w14:val="none"/>
        </w:rPr>
      </w:pPr>
      <w:r w:rsidRPr="008C3445">
        <w:rPr>
          <w:rFonts w:ascii="Arial" w:eastAsia="Times New Roman" w:hAnsi="Arial" w:cs="Arial"/>
          <w:kern w:val="0"/>
          <w:lang w:eastAsia="en-GB"/>
          <w14:ligatures w14:val="none"/>
        </w:rPr>
        <w:t>S</w:t>
      </w:r>
      <w:r w:rsidR="00EA1C01" w:rsidRPr="008C3445">
        <w:rPr>
          <w:rFonts w:ascii="Arial" w:eastAsia="Times New Roman" w:hAnsi="Arial" w:cs="Arial"/>
          <w:kern w:val="0"/>
          <w:lang w:eastAsia="en-GB"/>
          <w14:ligatures w14:val="none"/>
        </w:rPr>
        <w:t>cope and objectives should be tested against vendor feedback before the design is finalised, rather than confirmed internally and presented to vendors afterwards; this would reduce the risk of building units that meet the team's assumptions but not vendors' actual trading needs.</w:t>
      </w:r>
    </w:p>
    <w:p w14:paraId="0E7F30C9" w14:textId="250877B8" w:rsidR="00EA1C01" w:rsidRPr="000B616C" w:rsidRDefault="008C3445" w:rsidP="000B616C">
      <w:pPr>
        <w:pStyle w:val="ListParagraph"/>
        <w:numPr>
          <w:ilvl w:val="0"/>
          <w:numId w:val="2"/>
        </w:num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B</w:t>
      </w:r>
      <w:r w:rsidR="00EA1C01" w:rsidRPr="000B616C">
        <w:rPr>
          <w:rFonts w:ascii="Arial" w:eastAsia="Times New Roman" w:hAnsi="Arial" w:cs="Arial"/>
          <w:kern w:val="0"/>
          <w:lang w:eastAsia="en-GB"/>
          <w14:ligatures w14:val="none"/>
        </w:rPr>
        <w:t xml:space="preserve">udgeting should build in an explicit contingency, at least 10–15% of total </w:t>
      </w:r>
      <w:r w:rsidR="007501D0" w:rsidRPr="000B616C">
        <w:rPr>
          <w:rFonts w:ascii="Arial" w:eastAsia="Times New Roman" w:hAnsi="Arial" w:cs="Arial"/>
          <w:kern w:val="0"/>
          <w:lang w:eastAsia="en-GB"/>
          <w14:ligatures w14:val="none"/>
        </w:rPr>
        <w:t>spends</w:t>
      </w:r>
      <w:r w:rsidR="00EA1C01" w:rsidRPr="000B616C">
        <w:rPr>
          <w:rFonts w:ascii="Arial" w:eastAsia="Times New Roman" w:hAnsi="Arial" w:cs="Arial"/>
          <w:kern w:val="0"/>
          <w:lang w:eastAsia="en-GB"/>
          <w14:ligatures w14:val="none"/>
        </w:rPr>
        <w:t>, from the outset, backed by written supplier quotes rather than a single estimated figure per trailer, since hidden maintenance costs on second-hand trailers are a realistic and foreseeable risk rather than an edge case.</w:t>
      </w:r>
    </w:p>
    <w:p w14:paraId="407F5993" w14:textId="19CC1F73" w:rsidR="00EA1C01" w:rsidRPr="000B616C" w:rsidRDefault="00EA1C01" w:rsidP="000B616C">
      <w:pPr>
        <w:pStyle w:val="ListParagraph"/>
        <w:numPr>
          <w:ilvl w:val="0"/>
          <w:numId w:val="2"/>
        </w:numPr>
        <w:spacing w:after="200" w:line="360" w:lineRule="auto"/>
        <w:jc w:val="both"/>
        <w:rPr>
          <w:rFonts w:ascii="Arial" w:eastAsia="Times New Roman" w:hAnsi="Arial" w:cs="Arial"/>
          <w:kern w:val="0"/>
          <w:lang w:eastAsia="en-GB"/>
          <w14:ligatures w14:val="none"/>
        </w:rPr>
      </w:pPr>
      <w:r w:rsidRPr="000B616C">
        <w:rPr>
          <w:rFonts w:ascii="Arial" w:eastAsia="Times New Roman" w:hAnsi="Arial" w:cs="Arial"/>
          <w:kern w:val="0"/>
          <w:lang w:eastAsia="en-GB"/>
          <w14:ligatures w14:val="none"/>
        </w:rPr>
        <w:t>Gantt chart and risk matrix should be reviewed on a fixed monthly cycle rather than treated as fixed at the planning stage, so schedule slippage or a newly identified risk, such as a trailer failing inspection, can be reflected quickly rather than discovered late.</w:t>
      </w:r>
    </w:p>
    <w:p w14:paraId="734A4F03" w14:textId="77777777" w:rsidR="00715E77" w:rsidRDefault="008C3445" w:rsidP="000B616C">
      <w:pPr>
        <w:pStyle w:val="ListParagraph"/>
        <w:numPr>
          <w:ilvl w:val="0"/>
          <w:numId w:val="2"/>
        </w:numPr>
        <w:spacing w:after="20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w:t>
      </w:r>
      <w:r w:rsidR="00EA1C01" w:rsidRPr="000B616C">
        <w:rPr>
          <w:rFonts w:ascii="Arial" w:eastAsia="Times New Roman" w:hAnsi="Arial" w:cs="Arial"/>
          <w:kern w:val="0"/>
          <w:lang w:eastAsia="en-GB"/>
          <w14:ligatures w14:val="none"/>
        </w:rPr>
        <w:t>efined acceptance criteria – covering safety, hygiene, usability and cost – should be agreed for each trailer before conversion begins, so that “complete” has a clear, checkable meaning rather than being judged informally at handover.</w:t>
      </w:r>
    </w:p>
    <w:p w14:paraId="6AF9EFFA" w14:textId="77777777" w:rsidR="00715E77" w:rsidRDefault="00715E77" w:rsidP="00715E77">
      <w:pPr>
        <w:pStyle w:val="ListParagraph"/>
        <w:spacing w:after="200" w:line="360" w:lineRule="auto"/>
        <w:jc w:val="both"/>
        <w:rPr>
          <w:rFonts w:ascii="Arial" w:eastAsia="Times New Roman" w:hAnsi="Arial" w:cs="Arial"/>
          <w:kern w:val="0"/>
          <w:lang w:eastAsia="en-GB"/>
          <w14:ligatures w14:val="none"/>
        </w:rPr>
      </w:pPr>
    </w:p>
    <w:p w14:paraId="324FEBEA" w14:textId="570B63A1" w:rsidR="00EA1C01" w:rsidRPr="00715E77" w:rsidRDefault="00826431" w:rsidP="00715E77">
      <w:pPr>
        <w:pStyle w:val="ListParagraph"/>
        <w:spacing w:after="200" w:line="360" w:lineRule="auto"/>
        <w:jc w:val="both"/>
        <w:rPr>
          <w:rFonts w:ascii="Arial" w:eastAsia="Times New Roman" w:hAnsi="Arial" w:cs="Arial"/>
          <w:kern w:val="0"/>
          <w:lang w:eastAsia="en-GB"/>
          <w14:ligatures w14:val="none"/>
        </w:rPr>
      </w:pPr>
      <w:r w:rsidRPr="00715E77">
        <w:rPr>
          <w:rFonts w:ascii="Arial" w:eastAsia="Times New Roman" w:hAnsi="Arial" w:cs="Arial"/>
          <w:kern w:val="0"/>
          <w:lang w:eastAsia="en-GB"/>
          <w14:ligatures w14:val="none"/>
        </w:rPr>
        <w:t>S</w:t>
      </w:r>
      <w:r w:rsidR="00EA1C01" w:rsidRPr="00715E77">
        <w:rPr>
          <w:rFonts w:ascii="Arial" w:eastAsia="Times New Roman" w:hAnsi="Arial" w:cs="Arial"/>
          <w:kern w:val="0"/>
          <w:lang w:eastAsia="en-GB"/>
          <w14:ligatures w14:val="none"/>
        </w:rPr>
        <w:t xml:space="preserve">tronger stakeholder communication is the improvement most likely to strengthen every other part of the plan: earlier, more structured contact with vendors, licensing bodies and funders would supply the evidence the current plan still lacks, turning reasonable assumptions about cost, timing and usability into confirmed </w:t>
      </w:r>
      <w:r w:rsidR="00715E77" w:rsidRPr="00715E77">
        <w:rPr>
          <w:rFonts w:ascii="Arial" w:eastAsia="Times New Roman" w:hAnsi="Arial" w:cs="Arial"/>
          <w:kern w:val="0"/>
          <w:lang w:eastAsia="en-GB"/>
          <w14:ligatures w14:val="none"/>
        </w:rPr>
        <w:t>facts. These</w:t>
      </w:r>
      <w:r w:rsidR="00597BA9" w:rsidRPr="00715E77">
        <w:rPr>
          <w:rFonts w:ascii="Arial" w:eastAsia="Times New Roman" w:hAnsi="Arial" w:cs="Arial"/>
          <w:kern w:val="0"/>
          <w:lang w:eastAsia="en-GB"/>
          <w14:ligatures w14:val="none"/>
        </w:rPr>
        <w:t xml:space="preserve"> changes would not require different project management tools</w:t>
      </w:r>
      <w:r w:rsidR="00EA1C01" w:rsidRPr="00715E77">
        <w:rPr>
          <w:rFonts w:ascii="Arial" w:eastAsia="Times New Roman" w:hAnsi="Arial" w:cs="Arial"/>
          <w:kern w:val="0"/>
          <w:lang w:eastAsia="en-GB"/>
          <w14:ligatures w14:val="none"/>
        </w:rPr>
        <w:t>, but a more disciplined and evidence-led use of the tools already selected.</w:t>
      </w:r>
    </w:p>
    <w:p w14:paraId="310E870E" w14:textId="77777777" w:rsidR="007E4414" w:rsidRPr="000B616C" w:rsidRDefault="007E4414" w:rsidP="000B616C">
      <w:pPr>
        <w:spacing w:before="320" w:line="360" w:lineRule="auto"/>
        <w:jc w:val="both"/>
        <w:outlineLvl w:val="0"/>
        <w:rPr>
          <w:rFonts w:ascii="Arial" w:eastAsia="Times New Roman" w:hAnsi="Arial" w:cs="Arial"/>
          <w:b/>
          <w:bCs/>
          <w:kern w:val="0"/>
          <w:lang w:eastAsia="en-GB"/>
          <w14:ligatures w14:val="none"/>
        </w:rPr>
      </w:pPr>
    </w:p>
    <w:p w14:paraId="1FA2D301" w14:textId="77777777" w:rsidR="007E4414" w:rsidRPr="000B616C" w:rsidRDefault="007E4414" w:rsidP="000B616C">
      <w:pPr>
        <w:spacing w:before="320" w:line="360" w:lineRule="auto"/>
        <w:jc w:val="both"/>
        <w:outlineLvl w:val="0"/>
        <w:rPr>
          <w:rFonts w:ascii="Arial" w:eastAsia="Times New Roman" w:hAnsi="Arial" w:cs="Arial"/>
          <w:b/>
          <w:bCs/>
          <w:kern w:val="0"/>
          <w:lang w:eastAsia="en-GB"/>
          <w14:ligatures w14:val="none"/>
        </w:rPr>
      </w:pPr>
    </w:p>
    <w:p w14:paraId="085483BD" w14:textId="77777777" w:rsidR="00745039" w:rsidRDefault="00745039" w:rsidP="001948EA">
      <w:pPr>
        <w:spacing w:before="320" w:line="240" w:lineRule="auto"/>
        <w:outlineLvl w:val="0"/>
        <w:rPr>
          <w:rFonts w:ascii="Times New Roman" w:eastAsia="Times New Roman" w:hAnsi="Times New Roman"/>
          <w:b/>
          <w:bCs/>
          <w:kern w:val="0"/>
          <w:sz w:val="30"/>
          <w:szCs w:val="30"/>
          <w:lang w:eastAsia="en-GB"/>
          <w14:ligatures w14:val="none"/>
        </w:rPr>
      </w:pPr>
    </w:p>
    <w:p w14:paraId="3973D5F8" w14:textId="77777777" w:rsidR="00745039" w:rsidRDefault="00745039" w:rsidP="001948EA">
      <w:pPr>
        <w:spacing w:before="320" w:line="240" w:lineRule="auto"/>
        <w:outlineLvl w:val="0"/>
        <w:rPr>
          <w:rFonts w:ascii="Times New Roman" w:eastAsia="Times New Roman" w:hAnsi="Times New Roman"/>
          <w:b/>
          <w:bCs/>
          <w:kern w:val="0"/>
          <w:sz w:val="30"/>
          <w:szCs w:val="30"/>
          <w:lang w:eastAsia="en-GB"/>
          <w14:ligatures w14:val="none"/>
        </w:rPr>
      </w:pPr>
    </w:p>
    <w:p w14:paraId="73B2C1AC" w14:textId="1C3A8C57" w:rsidR="001948EA" w:rsidRPr="001948EA" w:rsidRDefault="00745039" w:rsidP="007501D0">
      <w:pPr>
        <w:pStyle w:val="Heading1"/>
        <w:rPr>
          <w:rFonts w:eastAsia="Times New Roman"/>
          <w:lang w:eastAsia="en-GB"/>
        </w:rPr>
      </w:pPr>
      <w:r>
        <w:rPr>
          <w:rFonts w:eastAsia="Times New Roman"/>
          <w:lang w:eastAsia="en-GB"/>
        </w:rPr>
        <w:t xml:space="preserve">                                           </w:t>
      </w:r>
      <w:bookmarkStart w:id="10" w:name="_Toc234426687"/>
      <w:r w:rsidR="001948EA" w:rsidRPr="001948EA">
        <w:rPr>
          <w:rFonts w:eastAsia="Times New Roman"/>
          <w:lang w:eastAsia="en-GB"/>
        </w:rPr>
        <w:t>References</w:t>
      </w:r>
      <w:bookmarkEnd w:id="10"/>
    </w:p>
    <w:p w14:paraId="2BBCD66D" w14:textId="77777777" w:rsidR="001948EA" w:rsidRDefault="001948EA" w:rsidP="001948EA">
      <w:pPr>
        <w:spacing w:after="0" w:line="240" w:lineRule="auto"/>
        <w:rPr>
          <w:rFonts w:ascii="Times New Roman" w:eastAsia="Times New Roman" w:hAnsi="Times New Roman"/>
          <w:kern w:val="0"/>
          <w:lang w:eastAsia="en-GB"/>
          <w14:ligatures w14:val="none"/>
        </w:rPr>
      </w:pPr>
      <w:proofErr w:type="spellStart"/>
      <w:r w:rsidRPr="001948EA">
        <w:rPr>
          <w:rFonts w:ascii="Times New Roman" w:eastAsia="Times New Roman" w:hAnsi="Times New Roman"/>
          <w:kern w:val="0"/>
          <w:lang w:eastAsia="en-GB"/>
          <w14:ligatures w14:val="none"/>
        </w:rPr>
        <w:t>Anantatmula</w:t>
      </w:r>
      <w:proofErr w:type="spellEnd"/>
      <w:r w:rsidRPr="001948EA">
        <w:rPr>
          <w:rFonts w:ascii="Times New Roman" w:eastAsia="Times New Roman" w:hAnsi="Times New Roman"/>
          <w:kern w:val="0"/>
          <w:lang w:eastAsia="en-GB"/>
          <w14:ligatures w14:val="none"/>
        </w:rPr>
        <w:t xml:space="preserve">, V.S. (2010) ‘Project Manager Leadership Role in Improving Project Performance’, </w:t>
      </w:r>
      <w:r w:rsidRPr="001948EA">
        <w:rPr>
          <w:rFonts w:ascii="Times New Roman" w:eastAsia="Times New Roman" w:hAnsi="Times New Roman"/>
          <w:i/>
          <w:iCs/>
          <w:kern w:val="0"/>
          <w:lang w:eastAsia="en-GB"/>
          <w14:ligatures w14:val="none"/>
        </w:rPr>
        <w:t>Engineering Management Journal</w:t>
      </w:r>
      <w:r w:rsidRPr="001948EA">
        <w:rPr>
          <w:rFonts w:ascii="Times New Roman" w:eastAsia="Times New Roman" w:hAnsi="Times New Roman"/>
          <w:kern w:val="0"/>
          <w:lang w:eastAsia="en-GB"/>
          <w14:ligatures w14:val="none"/>
        </w:rPr>
        <w:t xml:space="preserve">, 22(1), pp. 13–22. Available at: </w:t>
      </w:r>
      <w:hyperlink r:id="rId13" w:history="1">
        <w:r w:rsidRPr="001948EA">
          <w:rPr>
            <w:rFonts w:ascii="Times New Roman" w:eastAsia="Times New Roman" w:hAnsi="Times New Roman"/>
            <w:color w:val="0000FF"/>
            <w:kern w:val="0"/>
            <w:u w:val="single"/>
            <w:lang w:eastAsia="en-GB"/>
            <w14:ligatures w14:val="none"/>
          </w:rPr>
          <w:t>https://doi.org/10.1080/10429247.2010.11431849</w:t>
        </w:r>
      </w:hyperlink>
      <w:r w:rsidRPr="001948EA">
        <w:rPr>
          <w:rFonts w:ascii="Times New Roman" w:eastAsia="Times New Roman" w:hAnsi="Times New Roman"/>
          <w:kern w:val="0"/>
          <w:lang w:eastAsia="en-GB"/>
          <w14:ligatures w14:val="none"/>
        </w:rPr>
        <w:t>. (Accessed on: 25 June 2026).</w:t>
      </w:r>
    </w:p>
    <w:p w14:paraId="1F40F96B" w14:textId="77777777" w:rsidR="00826431" w:rsidRPr="001948EA" w:rsidRDefault="00826431" w:rsidP="001948EA">
      <w:pPr>
        <w:spacing w:after="0" w:line="240" w:lineRule="auto"/>
        <w:rPr>
          <w:rFonts w:ascii="Times New Roman" w:eastAsia="Times New Roman" w:hAnsi="Times New Roman"/>
          <w:kern w:val="0"/>
          <w:lang w:eastAsia="en-GB"/>
          <w14:ligatures w14:val="none"/>
        </w:rPr>
      </w:pPr>
    </w:p>
    <w:p w14:paraId="067ADFA7"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Atkinson, R. (1999) ‘Project management: cost, time and quality, two best guesses and a phenomenon, </w:t>
      </w:r>
      <w:proofErr w:type="spellStart"/>
      <w:r w:rsidRPr="001948EA">
        <w:rPr>
          <w:rFonts w:ascii="Times New Roman" w:eastAsia="Times New Roman" w:hAnsi="Times New Roman"/>
          <w:kern w:val="0"/>
          <w:lang w:eastAsia="en-GB"/>
          <w14:ligatures w14:val="none"/>
        </w:rPr>
        <w:t>its</w:t>
      </w:r>
      <w:proofErr w:type="spellEnd"/>
      <w:r w:rsidRPr="001948EA">
        <w:rPr>
          <w:rFonts w:ascii="Times New Roman" w:eastAsia="Times New Roman" w:hAnsi="Times New Roman"/>
          <w:kern w:val="0"/>
          <w:lang w:eastAsia="en-GB"/>
          <w14:ligatures w14:val="none"/>
        </w:rPr>
        <w:t xml:space="preserve"> time to accept other success criteria’, </w:t>
      </w:r>
      <w:r w:rsidRPr="001948EA">
        <w:rPr>
          <w:rFonts w:ascii="Times New Roman" w:eastAsia="Times New Roman" w:hAnsi="Times New Roman"/>
          <w:i/>
          <w:iCs/>
          <w:kern w:val="0"/>
          <w:lang w:eastAsia="en-GB"/>
          <w14:ligatures w14:val="none"/>
        </w:rPr>
        <w:t>International Journal of Project Management</w:t>
      </w:r>
      <w:r w:rsidRPr="001948EA">
        <w:rPr>
          <w:rFonts w:ascii="Times New Roman" w:eastAsia="Times New Roman" w:hAnsi="Times New Roman"/>
          <w:kern w:val="0"/>
          <w:lang w:eastAsia="en-GB"/>
          <w14:ligatures w14:val="none"/>
        </w:rPr>
        <w:t xml:space="preserve">, 17(6), pp. 337–342. Available at: </w:t>
      </w:r>
      <w:hyperlink r:id="rId14" w:history="1">
        <w:r w:rsidRPr="001948EA">
          <w:rPr>
            <w:rFonts w:ascii="Times New Roman" w:eastAsia="Times New Roman" w:hAnsi="Times New Roman"/>
            <w:color w:val="0000FF"/>
            <w:kern w:val="0"/>
            <w:u w:val="single"/>
            <w:lang w:eastAsia="en-GB"/>
            <w14:ligatures w14:val="none"/>
          </w:rPr>
          <w:t>https://doi.org/10.1016/S0263-7863(98)00069-6</w:t>
        </w:r>
      </w:hyperlink>
      <w:r w:rsidRPr="001948EA">
        <w:rPr>
          <w:rFonts w:ascii="Times New Roman" w:eastAsia="Times New Roman" w:hAnsi="Times New Roman"/>
          <w:kern w:val="0"/>
          <w:lang w:eastAsia="en-GB"/>
          <w14:ligatures w14:val="none"/>
        </w:rPr>
        <w:t>. (Accessed on: 29 June 2026).</w:t>
      </w:r>
    </w:p>
    <w:p w14:paraId="03927AC1" w14:textId="77777777" w:rsidR="00826431" w:rsidRPr="001948EA" w:rsidRDefault="00826431" w:rsidP="001948EA">
      <w:pPr>
        <w:spacing w:after="0" w:line="240" w:lineRule="auto"/>
        <w:rPr>
          <w:rFonts w:ascii="Times New Roman" w:eastAsia="Times New Roman" w:hAnsi="Times New Roman"/>
          <w:kern w:val="0"/>
          <w:lang w:eastAsia="en-GB"/>
          <w14:ligatures w14:val="none"/>
        </w:rPr>
      </w:pPr>
    </w:p>
    <w:p w14:paraId="32E2CB28"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Aven, T. (2015) </w:t>
      </w:r>
      <w:r w:rsidRPr="001948EA">
        <w:rPr>
          <w:rFonts w:ascii="Times New Roman" w:eastAsia="Times New Roman" w:hAnsi="Times New Roman"/>
          <w:i/>
          <w:iCs/>
          <w:kern w:val="0"/>
          <w:lang w:eastAsia="en-GB"/>
          <w14:ligatures w14:val="none"/>
        </w:rPr>
        <w:t>Risk Analysis</w:t>
      </w:r>
      <w:r w:rsidRPr="001948EA">
        <w:rPr>
          <w:rFonts w:ascii="Times New Roman" w:eastAsia="Times New Roman" w:hAnsi="Times New Roman"/>
          <w:kern w:val="0"/>
          <w:lang w:eastAsia="en-GB"/>
          <w14:ligatures w14:val="none"/>
        </w:rPr>
        <w:t xml:space="preserve">. 1st </w:t>
      </w:r>
      <w:proofErr w:type="spellStart"/>
      <w:r w:rsidRPr="001948EA">
        <w:rPr>
          <w:rFonts w:ascii="Times New Roman" w:eastAsia="Times New Roman" w:hAnsi="Times New Roman"/>
          <w:kern w:val="0"/>
          <w:lang w:eastAsia="en-GB"/>
          <w14:ligatures w14:val="none"/>
        </w:rPr>
        <w:t>edn</w:t>
      </w:r>
      <w:proofErr w:type="spellEnd"/>
      <w:r w:rsidRPr="001948EA">
        <w:rPr>
          <w:rFonts w:ascii="Times New Roman" w:eastAsia="Times New Roman" w:hAnsi="Times New Roman"/>
          <w:kern w:val="0"/>
          <w:lang w:eastAsia="en-GB"/>
          <w14:ligatures w14:val="none"/>
        </w:rPr>
        <w:t xml:space="preserve">. Wiley. Available at: </w:t>
      </w:r>
      <w:hyperlink r:id="rId15" w:history="1">
        <w:r w:rsidRPr="001948EA">
          <w:rPr>
            <w:rFonts w:ascii="Times New Roman" w:eastAsia="Times New Roman" w:hAnsi="Times New Roman"/>
            <w:color w:val="0000FF"/>
            <w:kern w:val="0"/>
            <w:u w:val="single"/>
            <w:lang w:eastAsia="en-GB"/>
            <w14:ligatures w14:val="none"/>
          </w:rPr>
          <w:t>https://doi.org/10.1002/9781119057819</w:t>
        </w:r>
      </w:hyperlink>
      <w:r w:rsidRPr="001948EA">
        <w:rPr>
          <w:rFonts w:ascii="Times New Roman" w:eastAsia="Times New Roman" w:hAnsi="Times New Roman"/>
          <w:kern w:val="0"/>
          <w:lang w:eastAsia="en-GB"/>
          <w14:ligatures w14:val="none"/>
        </w:rPr>
        <w:t>. (Accessed on: 27 June 2026).</w:t>
      </w:r>
    </w:p>
    <w:p w14:paraId="1FFB5381" w14:textId="77777777" w:rsidR="00826431" w:rsidRPr="001948EA" w:rsidRDefault="00826431" w:rsidP="001948EA">
      <w:pPr>
        <w:spacing w:after="0" w:line="240" w:lineRule="auto"/>
        <w:rPr>
          <w:rFonts w:ascii="Times New Roman" w:eastAsia="Times New Roman" w:hAnsi="Times New Roman"/>
          <w:kern w:val="0"/>
          <w:lang w:eastAsia="en-GB"/>
          <w14:ligatures w14:val="none"/>
        </w:rPr>
      </w:pPr>
    </w:p>
    <w:p w14:paraId="41988DEE"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Belbin, R.M. (2010) </w:t>
      </w:r>
      <w:r w:rsidRPr="001948EA">
        <w:rPr>
          <w:rFonts w:ascii="Times New Roman" w:eastAsia="Times New Roman" w:hAnsi="Times New Roman"/>
          <w:i/>
          <w:iCs/>
          <w:kern w:val="0"/>
          <w:lang w:eastAsia="en-GB"/>
          <w14:ligatures w14:val="none"/>
        </w:rPr>
        <w:t>Team roles at work</w:t>
      </w:r>
      <w:r w:rsidRPr="001948EA">
        <w:rPr>
          <w:rFonts w:ascii="Times New Roman" w:eastAsia="Times New Roman" w:hAnsi="Times New Roman"/>
          <w:kern w:val="0"/>
          <w:lang w:eastAsia="en-GB"/>
          <w14:ligatures w14:val="none"/>
        </w:rPr>
        <w:t>. 2nd ed. Oxford: Butterworth-Heinemann.</w:t>
      </w:r>
    </w:p>
    <w:p w14:paraId="5E3D8699"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1489B97B"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Bjerke, M.B. and Renger, R. (2017) ‘Being smart about writing SMART objectives’, </w:t>
      </w:r>
      <w:r w:rsidRPr="001948EA">
        <w:rPr>
          <w:rFonts w:ascii="Times New Roman" w:eastAsia="Times New Roman" w:hAnsi="Times New Roman"/>
          <w:i/>
          <w:iCs/>
          <w:kern w:val="0"/>
          <w:lang w:eastAsia="en-GB"/>
          <w14:ligatures w14:val="none"/>
        </w:rPr>
        <w:t>Evaluation and Program Planning</w:t>
      </w:r>
      <w:r w:rsidRPr="001948EA">
        <w:rPr>
          <w:rFonts w:ascii="Times New Roman" w:eastAsia="Times New Roman" w:hAnsi="Times New Roman"/>
          <w:kern w:val="0"/>
          <w:lang w:eastAsia="en-GB"/>
          <w14:ligatures w14:val="none"/>
        </w:rPr>
        <w:t xml:space="preserve">, 61, pp. 125–127. Available at: </w:t>
      </w:r>
      <w:hyperlink r:id="rId16" w:history="1">
        <w:r w:rsidRPr="001948EA">
          <w:rPr>
            <w:rFonts w:ascii="Times New Roman" w:eastAsia="Times New Roman" w:hAnsi="Times New Roman"/>
            <w:color w:val="0000FF"/>
            <w:kern w:val="0"/>
            <w:u w:val="single"/>
            <w:lang w:eastAsia="en-GB"/>
            <w14:ligatures w14:val="none"/>
          </w:rPr>
          <w:t>https://doi.org/10.1016/j.evalprogplan.2016.12.009</w:t>
        </w:r>
      </w:hyperlink>
      <w:r w:rsidRPr="001948EA">
        <w:rPr>
          <w:rFonts w:ascii="Times New Roman" w:eastAsia="Times New Roman" w:hAnsi="Times New Roman"/>
          <w:kern w:val="0"/>
          <w:lang w:eastAsia="en-GB"/>
          <w14:ligatures w14:val="none"/>
        </w:rPr>
        <w:t>. (Accessed on: 28 June 2026).</w:t>
      </w:r>
    </w:p>
    <w:p w14:paraId="2B8C1A47"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029D6B3F"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Bourne, L. and Walker, D.H.T. (2005) ‘Visualising and mapping stakeholder influence’, </w:t>
      </w:r>
      <w:r w:rsidRPr="001948EA">
        <w:rPr>
          <w:rFonts w:ascii="Times New Roman" w:eastAsia="Times New Roman" w:hAnsi="Times New Roman"/>
          <w:i/>
          <w:iCs/>
          <w:kern w:val="0"/>
          <w:lang w:eastAsia="en-GB"/>
          <w14:ligatures w14:val="none"/>
        </w:rPr>
        <w:t>Management Decision</w:t>
      </w:r>
      <w:r w:rsidRPr="001948EA">
        <w:rPr>
          <w:rFonts w:ascii="Times New Roman" w:eastAsia="Times New Roman" w:hAnsi="Times New Roman"/>
          <w:kern w:val="0"/>
          <w:lang w:eastAsia="en-GB"/>
          <w14:ligatures w14:val="none"/>
        </w:rPr>
        <w:t xml:space="preserve">, 43(5), pp. 649–660. Available at: </w:t>
      </w:r>
      <w:hyperlink r:id="rId17" w:history="1">
        <w:r w:rsidRPr="001948EA">
          <w:rPr>
            <w:rFonts w:ascii="Times New Roman" w:eastAsia="Times New Roman" w:hAnsi="Times New Roman"/>
            <w:color w:val="0000FF"/>
            <w:kern w:val="0"/>
            <w:u w:val="single"/>
            <w:lang w:eastAsia="en-GB"/>
            <w14:ligatures w14:val="none"/>
          </w:rPr>
          <w:t>https://doi.org/10.1108/00251740510597680</w:t>
        </w:r>
      </w:hyperlink>
      <w:r w:rsidRPr="001948EA">
        <w:rPr>
          <w:rFonts w:ascii="Times New Roman" w:eastAsia="Times New Roman" w:hAnsi="Times New Roman"/>
          <w:kern w:val="0"/>
          <w:lang w:eastAsia="en-GB"/>
          <w14:ligatures w14:val="none"/>
        </w:rPr>
        <w:t>.(Accessed on: 01 July 2026).</w:t>
      </w:r>
    </w:p>
    <w:p w14:paraId="6C27EEE8"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 </w:t>
      </w:r>
    </w:p>
    <w:p w14:paraId="53051BC4"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Burke, R. (2013) </w:t>
      </w:r>
      <w:r w:rsidRPr="001948EA">
        <w:rPr>
          <w:rFonts w:ascii="Times New Roman" w:eastAsia="Times New Roman" w:hAnsi="Times New Roman"/>
          <w:i/>
          <w:iCs/>
          <w:kern w:val="0"/>
          <w:lang w:eastAsia="en-GB"/>
          <w14:ligatures w14:val="none"/>
        </w:rPr>
        <w:t>Project management: planning and control techniques</w:t>
      </w:r>
      <w:r w:rsidRPr="001948EA">
        <w:rPr>
          <w:rFonts w:ascii="Times New Roman" w:eastAsia="Times New Roman" w:hAnsi="Times New Roman"/>
          <w:kern w:val="0"/>
          <w:lang w:eastAsia="en-GB"/>
          <w14:ligatures w14:val="none"/>
        </w:rPr>
        <w:t>. Fifth edition. Chichester, West Sussex, United Kingdom: Wiley.</w:t>
      </w:r>
    </w:p>
    <w:p w14:paraId="060704C0"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Crawford, L. and Pollack, J. (2004) ‘Hard and soft projects: a framework for analysis’, </w:t>
      </w:r>
      <w:r w:rsidRPr="001948EA">
        <w:rPr>
          <w:rFonts w:ascii="Times New Roman" w:eastAsia="Times New Roman" w:hAnsi="Times New Roman"/>
          <w:i/>
          <w:iCs/>
          <w:kern w:val="0"/>
          <w:lang w:eastAsia="en-GB"/>
          <w14:ligatures w14:val="none"/>
        </w:rPr>
        <w:t>International Journal of Project Management</w:t>
      </w:r>
      <w:r w:rsidRPr="001948EA">
        <w:rPr>
          <w:rFonts w:ascii="Times New Roman" w:eastAsia="Times New Roman" w:hAnsi="Times New Roman"/>
          <w:kern w:val="0"/>
          <w:lang w:eastAsia="en-GB"/>
          <w14:ligatures w14:val="none"/>
        </w:rPr>
        <w:t xml:space="preserve">, 22(8), pp. 645–653. Available at: </w:t>
      </w:r>
      <w:hyperlink r:id="rId18" w:history="1">
        <w:r w:rsidRPr="001948EA">
          <w:rPr>
            <w:rFonts w:ascii="Times New Roman" w:eastAsia="Times New Roman" w:hAnsi="Times New Roman"/>
            <w:color w:val="0000FF"/>
            <w:kern w:val="0"/>
            <w:u w:val="single"/>
            <w:lang w:eastAsia="en-GB"/>
            <w14:ligatures w14:val="none"/>
          </w:rPr>
          <w:t>https://doi.org/10.1016/j.ijproman.2004.04.004</w:t>
        </w:r>
      </w:hyperlink>
      <w:r w:rsidRPr="001948EA">
        <w:rPr>
          <w:rFonts w:ascii="Times New Roman" w:eastAsia="Times New Roman" w:hAnsi="Times New Roman"/>
          <w:kern w:val="0"/>
          <w:lang w:eastAsia="en-GB"/>
          <w14:ligatures w14:val="none"/>
        </w:rPr>
        <w:t>. (Accessed on: 03 July 2026).</w:t>
      </w:r>
    </w:p>
    <w:p w14:paraId="564DE55B"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0564C953"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Eskerod, P. and Lund Jepsen, A. (2016) </w:t>
      </w:r>
      <w:r w:rsidRPr="001948EA">
        <w:rPr>
          <w:rFonts w:ascii="Times New Roman" w:eastAsia="Times New Roman" w:hAnsi="Times New Roman"/>
          <w:i/>
          <w:iCs/>
          <w:kern w:val="0"/>
          <w:lang w:eastAsia="en-GB"/>
          <w14:ligatures w14:val="none"/>
        </w:rPr>
        <w:t>Project Stakeholder Management</w:t>
      </w:r>
      <w:r w:rsidRPr="001948EA">
        <w:rPr>
          <w:rFonts w:ascii="Times New Roman" w:eastAsia="Times New Roman" w:hAnsi="Times New Roman"/>
          <w:kern w:val="0"/>
          <w:lang w:eastAsia="en-GB"/>
          <w14:ligatures w14:val="none"/>
        </w:rPr>
        <w:t xml:space="preserve">. 0 </w:t>
      </w:r>
      <w:proofErr w:type="spellStart"/>
      <w:r w:rsidRPr="001948EA">
        <w:rPr>
          <w:rFonts w:ascii="Times New Roman" w:eastAsia="Times New Roman" w:hAnsi="Times New Roman"/>
          <w:kern w:val="0"/>
          <w:lang w:eastAsia="en-GB"/>
          <w14:ligatures w14:val="none"/>
        </w:rPr>
        <w:t>edn</w:t>
      </w:r>
      <w:proofErr w:type="spellEnd"/>
      <w:r w:rsidRPr="001948EA">
        <w:rPr>
          <w:rFonts w:ascii="Times New Roman" w:eastAsia="Times New Roman" w:hAnsi="Times New Roman"/>
          <w:kern w:val="0"/>
          <w:lang w:eastAsia="en-GB"/>
          <w14:ligatures w14:val="none"/>
        </w:rPr>
        <w:t xml:space="preserve">. Routledge. Available at: </w:t>
      </w:r>
      <w:hyperlink r:id="rId19" w:history="1">
        <w:r w:rsidRPr="001948EA">
          <w:rPr>
            <w:rFonts w:ascii="Times New Roman" w:eastAsia="Times New Roman" w:hAnsi="Times New Roman"/>
            <w:color w:val="0000FF"/>
            <w:kern w:val="0"/>
            <w:u w:val="single"/>
            <w:lang w:eastAsia="en-GB"/>
            <w14:ligatures w14:val="none"/>
          </w:rPr>
          <w:t>https://doi.org/10.4324/9781315245881</w:t>
        </w:r>
      </w:hyperlink>
      <w:r w:rsidRPr="001948EA">
        <w:rPr>
          <w:rFonts w:ascii="Times New Roman" w:eastAsia="Times New Roman" w:hAnsi="Times New Roman"/>
          <w:kern w:val="0"/>
          <w:lang w:eastAsia="en-GB"/>
          <w14:ligatures w14:val="none"/>
        </w:rPr>
        <w:t>. (Accessed on: 05 July 2026).</w:t>
      </w:r>
    </w:p>
    <w:p w14:paraId="068C32E6"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4B894871"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Freeman, R.E. (2010) </w:t>
      </w:r>
      <w:r w:rsidRPr="001948EA">
        <w:rPr>
          <w:rFonts w:ascii="Times New Roman" w:eastAsia="Times New Roman" w:hAnsi="Times New Roman"/>
          <w:i/>
          <w:iCs/>
          <w:kern w:val="0"/>
          <w:lang w:eastAsia="en-GB"/>
          <w14:ligatures w14:val="none"/>
        </w:rPr>
        <w:t>Strategic Management: A Stakeholder Approach</w:t>
      </w:r>
      <w:r w:rsidRPr="001948EA">
        <w:rPr>
          <w:rFonts w:ascii="Times New Roman" w:eastAsia="Times New Roman" w:hAnsi="Times New Roman"/>
          <w:kern w:val="0"/>
          <w:lang w:eastAsia="en-GB"/>
          <w14:ligatures w14:val="none"/>
        </w:rPr>
        <w:t xml:space="preserve">. 1st </w:t>
      </w:r>
      <w:proofErr w:type="spellStart"/>
      <w:r w:rsidRPr="001948EA">
        <w:rPr>
          <w:rFonts w:ascii="Times New Roman" w:eastAsia="Times New Roman" w:hAnsi="Times New Roman"/>
          <w:kern w:val="0"/>
          <w:lang w:eastAsia="en-GB"/>
          <w14:ligatures w14:val="none"/>
        </w:rPr>
        <w:t>edn</w:t>
      </w:r>
      <w:proofErr w:type="spellEnd"/>
      <w:r w:rsidRPr="001948EA">
        <w:rPr>
          <w:rFonts w:ascii="Times New Roman" w:eastAsia="Times New Roman" w:hAnsi="Times New Roman"/>
          <w:kern w:val="0"/>
          <w:lang w:eastAsia="en-GB"/>
          <w14:ligatures w14:val="none"/>
        </w:rPr>
        <w:t xml:space="preserve">. Cambridge University Press. Available at: </w:t>
      </w:r>
      <w:hyperlink r:id="rId20" w:history="1">
        <w:r w:rsidRPr="001948EA">
          <w:rPr>
            <w:rFonts w:ascii="Times New Roman" w:eastAsia="Times New Roman" w:hAnsi="Times New Roman"/>
            <w:color w:val="0000FF"/>
            <w:kern w:val="0"/>
            <w:u w:val="single"/>
            <w:lang w:eastAsia="en-GB"/>
            <w14:ligatures w14:val="none"/>
          </w:rPr>
          <w:t>https://doi.org/10.1017/CBO9781139192675</w:t>
        </w:r>
      </w:hyperlink>
      <w:r w:rsidRPr="001948EA">
        <w:rPr>
          <w:rFonts w:ascii="Times New Roman" w:eastAsia="Times New Roman" w:hAnsi="Times New Roman"/>
          <w:kern w:val="0"/>
          <w:lang w:eastAsia="en-GB"/>
          <w14:ligatures w14:val="none"/>
        </w:rPr>
        <w:t>.(Accessed on: 02 July 2026).</w:t>
      </w:r>
    </w:p>
    <w:p w14:paraId="6CACFB4D"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4331BA86"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 </w:t>
      </w:r>
    </w:p>
    <w:p w14:paraId="65CD82C4"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Hillson, D. (2024) </w:t>
      </w:r>
      <w:r w:rsidRPr="001948EA">
        <w:rPr>
          <w:rFonts w:ascii="Times New Roman" w:eastAsia="Times New Roman" w:hAnsi="Times New Roman"/>
          <w:i/>
          <w:iCs/>
          <w:kern w:val="0"/>
          <w:lang w:eastAsia="en-GB"/>
          <w14:ligatures w14:val="none"/>
        </w:rPr>
        <w:t>Managing Risk in Projects</w:t>
      </w:r>
      <w:r w:rsidRPr="001948EA">
        <w:rPr>
          <w:rFonts w:ascii="Times New Roman" w:eastAsia="Times New Roman" w:hAnsi="Times New Roman"/>
          <w:kern w:val="0"/>
          <w:lang w:eastAsia="en-GB"/>
          <w14:ligatures w14:val="none"/>
        </w:rPr>
        <w:t xml:space="preserve">. 2nd </w:t>
      </w:r>
      <w:proofErr w:type="spellStart"/>
      <w:r w:rsidRPr="001948EA">
        <w:rPr>
          <w:rFonts w:ascii="Times New Roman" w:eastAsia="Times New Roman" w:hAnsi="Times New Roman"/>
          <w:kern w:val="0"/>
          <w:lang w:eastAsia="en-GB"/>
          <w14:ligatures w14:val="none"/>
        </w:rPr>
        <w:t>edn</w:t>
      </w:r>
      <w:proofErr w:type="spellEnd"/>
      <w:r w:rsidRPr="001948EA">
        <w:rPr>
          <w:rFonts w:ascii="Times New Roman" w:eastAsia="Times New Roman" w:hAnsi="Times New Roman"/>
          <w:kern w:val="0"/>
          <w:lang w:eastAsia="en-GB"/>
          <w14:ligatures w14:val="none"/>
        </w:rPr>
        <w:t xml:space="preserve">. London: Routledge. Available at: </w:t>
      </w:r>
      <w:hyperlink r:id="rId21" w:history="1">
        <w:r w:rsidRPr="001948EA">
          <w:rPr>
            <w:rFonts w:ascii="Times New Roman" w:eastAsia="Times New Roman" w:hAnsi="Times New Roman"/>
            <w:color w:val="0000FF"/>
            <w:kern w:val="0"/>
            <w:u w:val="single"/>
            <w:lang w:eastAsia="en-GB"/>
            <w14:ligatures w14:val="none"/>
          </w:rPr>
          <w:t>https://doi.org/10.4324/9781003431954</w:t>
        </w:r>
      </w:hyperlink>
      <w:r w:rsidRPr="001948EA">
        <w:rPr>
          <w:rFonts w:ascii="Times New Roman" w:eastAsia="Times New Roman" w:hAnsi="Times New Roman"/>
          <w:kern w:val="0"/>
          <w:lang w:eastAsia="en-GB"/>
          <w14:ligatures w14:val="none"/>
        </w:rPr>
        <w:t>.(Accessed on: 02 July 2026).</w:t>
      </w:r>
    </w:p>
    <w:p w14:paraId="181E7C1C"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648C0F05"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6C290C47"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Kerzner, H. (2022) </w:t>
      </w:r>
      <w:r w:rsidRPr="001948EA">
        <w:rPr>
          <w:rFonts w:ascii="Times New Roman" w:eastAsia="Times New Roman" w:hAnsi="Times New Roman"/>
          <w:i/>
          <w:iCs/>
          <w:kern w:val="0"/>
          <w:lang w:eastAsia="en-GB"/>
          <w14:ligatures w14:val="none"/>
        </w:rPr>
        <w:t>Project management: a systems approach to planning, scheduling, and controlling</w:t>
      </w:r>
      <w:r w:rsidRPr="001948EA">
        <w:rPr>
          <w:rFonts w:ascii="Times New Roman" w:eastAsia="Times New Roman" w:hAnsi="Times New Roman"/>
          <w:kern w:val="0"/>
          <w:lang w:eastAsia="en-GB"/>
          <w14:ligatures w14:val="none"/>
        </w:rPr>
        <w:t>. Thirteenth edition. Hoboken, New Jersey: Wiley.</w:t>
      </w:r>
    </w:p>
    <w:p w14:paraId="7DC8FB59"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Larson, E.W. and Gray, C.F. (2021) </w:t>
      </w:r>
      <w:r w:rsidRPr="001948EA">
        <w:rPr>
          <w:rFonts w:ascii="Times New Roman" w:eastAsia="Times New Roman" w:hAnsi="Times New Roman"/>
          <w:i/>
          <w:iCs/>
          <w:kern w:val="0"/>
          <w:lang w:eastAsia="en-GB"/>
          <w14:ligatures w14:val="none"/>
        </w:rPr>
        <w:t>Project management: the managerial process</w:t>
      </w:r>
      <w:r w:rsidRPr="001948EA">
        <w:rPr>
          <w:rFonts w:ascii="Times New Roman" w:eastAsia="Times New Roman" w:hAnsi="Times New Roman"/>
          <w:kern w:val="0"/>
          <w:lang w:eastAsia="en-GB"/>
          <w14:ligatures w14:val="none"/>
        </w:rPr>
        <w:t>. Eighth edition. New York, NY: McGraw-Hill (The McGraw-Hill series Operations and Decision Sciences).</w:t>
      </w:r>
    </w:p>
    <w:p w14:paraId="225F7367"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lastRenderedPageBreak/>
        <w:t xml:space="preserve">Lock, D. (2020) </w:t>
      </w:r>
      <w:r w:rsidRPr="001948EA">
        <w:rPr>
          <w:rFonts w:ascii="Times New Roman" w:eastAsia="Times New Roman" w:hAnsi="Times New Roman"/>
          <w:i/>
          <w:iCs/>
          <w:kern w:val="0"/>
          <w:lang w:eastAsia="en-GB"/>
          <w14:ligatures w14:val="none"/>
        </w:rPr>
        <w:t>Project Management</w:t>
      </w:r>
      <w:r w:rsidRPr="001948EA">
        <w:rPr>
          <w:rFonts w:ascii="Times New Roman" w:eastAsia="Times New Roman" w:hAnsi="Times New Roman"/>
          <w:kern w:val="0"/>
          <w:lang w:eastAsia="en-GB"/>
          <w14:ligatures w14:val="none"/>
        </w:rPr>
        <w:t xml:space="preserve">. 10th </w:t>
      </w:r>
      <w:proofErr w:type="spellStart"/>
      <w:r w:rsidRPr="001948EA">
        <w:rPr>
          <w:rFonts w:ascii="Times New Roman" w:eastAsia="Times New Roman" w:hAnsi="Times New Roman"/>
          <w:kern w:val="0"/>
          <w:lang w:eastAsia="en-GB"/>
          <w14:ligatures w14:val="none"/>
        </w:rPr>
        <w:t>edn</w:t>
      </w:r>
      <w:proofErr w:type="spellEnd"/>
      <w:r w:rsidRPr="001948EA">
        <w:rPr>
          <w:rFonts w:ascii="Times New Roman" w:eastAsia="Times New Roman" w:hAnsi="Times New Roman"/>
          <w:kern w:val="0"/>
          <w:lang w:eastAsia="en-GB"/>
          <w14:ligatures w14:val="none"/>
        </w:rPr>
        <w:t xml:space="preserve">. Routledge. Available at: </w:t>
      </w:r>
      <w:hyperlink r:id="rId22" w:history="1">
        <w:r w:rsidRPr="001948EA">
          <w:rPr>
            <w:rFonts w:ascii="Times New Roman" w:eastAsia="Times New Roman" w:hAnsi="Times New Roman"/>
            <w:color w:val="0000FF"/>
            <w:kern w:val="0"/>
            <w:u w:val="single"/>
            <w:lang w:eastAsia="en-GB"/>
            <w14:ligatures w14:val="none"/>
          </w:rPr>
          <w:t>https://doi.org/10.4324/9781315245911</w:t>
        </w:r>
      </w:hyperlink>
      <w:r w:rsidRPr="001948EA">
        <w:rPr>
          <w:rFonts w:ascii="Times New Roman" w:eastAsia="Times New Roman" w:hAnsi="Times New Roman"/>
          <w:kern w:val="0"/>
          <w:lang w:eastAsia="en-GB"/>
          <w14:ligatures w14:val="none"/>
        </w:rPr>
        <w:t>.(Accessed on: 24 June 2026).</w:t>
      </w:r>
    </w:p>
    <w:p w14:paraId="42DB09D0"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681450C5"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Maylor, H. (2010) </w:t>
      </w:r>
      <w:r w:rsidRPr="001948EA">
        <w:rPr>
          <w:rFonts w:ascii="Times New Roman" w:eastAsia="Times New Roman" w:hAnsi="Times New Roman"/>
          <w:i/>
          <w:iCs/>
          <w:kern w:val="0"/>
          <w:lang w:eastAsia="en-GB"/>
          <w14:ligatures w14:val="none"/>
        </w:rPr>
        <w:t>Project management</w:t>
      </w:r>
      <w:r w:rsidRPr="001948EA">
        <w:rPr>
          <w:rFonts w:ascii="Times New Roman" w:eastAsia="Times New Roman" w:hAnsi="Times New Roman"/>
          <w:kern w:val="0"/>
          <w:lang w:eastAsia="en-GB"/>
          <w14:ligatures w14:val="none"/>
        </w:rPr>
        <w:t>. 4. ed. Harlow, Munich: Financial Times Prentice Hall.</w:t>
      </w:r>
    </w:p>
    <w:p w14:paraId="7C506B2D"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6E6B7818"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Meredith, J.R., Shafer, S.M. and Mantel, S.J. (2018) </w:t>
      </w:r>
      <w:r w:rsidRPr="001948EA">
        <w:rPr>
          <w:rFonts w:ascii="Times New Roman" w:eastAsia="Times New Roman" w:hAnsi="Times New Roman"/>
          <w:i/>
          <w:iCs/>
          <w:kern w:val="0"/>
          <w:lang w:eastAsia="en-GB"/>
          <w14:ligatures w14:val="none"/>
        </w:rPr>
        <w:t>Project management: a strategic managerial approach</w:t>
      </w:r>
      <w:r w:rsidRPr="001948EA">
        <w:rPr>
          <w:rFonts w:ascii="Times New Roman" w:eastAsia="Times New Roman" w:hAnsi="Times New Roman"/>
          <w:kern w:val="0"/>
          <w:lang w:eastAsia="en-GB"/>
          <w14:ligatures w14:val="none"/>
        </w:rPr>
        <w:t>. Tenth edition. Hoboken, NJ: Wiley.</w:t>
      </w:r>
    </w:p>
    <w:p w14:paraId="2D09EE64"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2BEB2B74"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Pinto, J.K. and Slevin, D.P. (1987) ‘Critical factors in successful project implementation’, </w:t>
      </w:r>
      <w:r w:rsidRPr="001948EA">
        <w:rPr>
          <w:rFonts w:ascii="Times New Roman" w:eastAsia="Times New Roman" w:hAnsi="Times New Roman"/>
          <w:i/>
          <w:iCs/>
          <w:kern w:val="0"/>
          <w:lang w:eastAsia="en-GB"/>
          <w14:ligatures w14:val="none"/>
        </w:rPr>
        <w:t>IEEE Transactions on Engineering Management</w:t>
      </w:r>
      <w:r w:rsidRPr="001948EA">
        <w:rPr>
          <w:rFonts w:ascii="Times New Roman" w:eastAsia="Times New Roman" w:hAnsi="Times New Roman"/>
          <w:kern w:val="0"/>
          <w:lang w:eastAsia="en-GB"/>
          <w14:ligatures w14:val="none"/>
        </w:rPr>
        <w:t xml:space="preserve">, EM-34(1), pp. 22–27. Available at: </w:t>
      </w:r>
      <w:hyperlink r:id="rId23" w:history="1">
        <w:r w:rsidRPr="001948EA">
          <w:rPr>
            <w:rFonts w:ascii="Times New Roman" w:eastAsia="Times New Roman" w:hAnsi="Times New Roman"/>
            <w:color w:val="0000FF"/>
            <w:kern w:val="0"/>
            <w:u w:val="single"/>
            <w:lang w:eastAsia="en-GB"/>
            <w14:ligatures w14:val="none"/>
          </w:rPr>
          <w:t>https://doi.org/10.1109/TEM.1987.6498856</w:t>
        </w:r>
      </w:hyperlink>
      <w:r w:rsidRPr="001948EA">
        <w:rPr>
          <w:rFonts w:ascii="Times New Roman" w:eastAsia="Times New Roman" w:hAnsi="Times New Roman"/>
          <w:kern w:val="0"/>
          <w:lang w:eastAsia="en-GB"/>
          <w14:ligatures w14:val="none"/>
        </w:rPr>
        <w:t>. (Accessed on: 25 June 2026).</w:t>
      </w:r>
    </w:p>
    <w:p w14:paraId="77EEC8FE"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1EA1BFE5"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p>
    <w:p w14:paraId="3E4B8557" w14:textId="77777777" w:rsid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Project Management Institute (ed.) (2011) </w:t>
      </w:r>
      <w:r w:rsidRPr="001948EA">
        <w:rPr>
          <w:rFonts w:ascii="Times New Roman" w:eastAsia="Times New Roman" w:hAnsi="Times New Roman"/>
          <w:i/>
          <w:iCs/>
          <w:kern w:val="0"/>
          <w:lang w:eastAsia="en-GB"/>
          <w14:ligatures w14:val="none"/>
        </w:rPr>
        <w:t>Practice standard for work breakdown structures</w:t>
      </w:r>
      <w:r w:rsidRPr="001948EA">
        <w:rPr>
          <w:rFonts w:ascii="Times New Roman" w:eastAsia="Times New Roman" w:hAnsi="Times New Roman"/>
          <w:kern w:val="0"/>
          <w:lang w:eastAsia="en-GB"/>
          <w14:ligatures w14:val="none"/>
        </w:rPr>
        <w:t>. 2. ed., reaffirmed. Newtown Square, Pa: Project Management Institute.</w:t>
      </w:r>
    </w:p>
    <w:p w14:paraId="55B8AA5C"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72472994" w14:textId="77777777" w:rsidR="001948EA" w:rsidRDefault="001948EA" w:rsidP="001948EA">
      <w:pPr>
        <w:spacing w:after="0" w:line="240" w:lineRule="auto"/>
        <w:rPr>
          <w:rFonts w:ascii="Times New Roman" w:eastAsia="Times New Roman" w:hAnsi="Times New Roman"/>
          <w:kern w:val="0"/>
          <w:lang w:eastAsia="en-GB"/>
          <w14:ligatures w14:val="none"/>
        </w:rPr>
      </w:pPr>
      <w:proofErr w:type="spellStart"/>
      <w:r w:rsidRPr="001948EA">
        <w:rPr>
          <w:rFonts w:ascii="Times New Roman" w:eastAsia="Times New Roman" w:hAnsi="Times New Roman"/>
          <w:kern w:val="0"/>
          <w:lang w:eastAsia="en-GB"/>
          <w14:ligatures w14:val="none"/>
        </w:rPr>
        <w:t>Shenhar</w:t>
      </w:r>
      <w:proofErr w:type="spellEnd"/>
      <w:r w:rsidRPr="001948EA">
        <w:rPr>
          <w:rFonts w:ascii="Times New Roman" w:eastAsia="Times New Roman" w:hAnsi="Times New Roman"/>
          <w:kern w:val="0"/>
          <w:lang w:eastAsia="en-GB"/>
          <w14:ligatures w14:val="none"/>
        </w:rPr>
        <w:t xml:space="preserve">, A.J. </w:t>
      </w:r>
      <w:r w:rsidRPr="001948EA">
        <w:rPr>
          <w:rFonts w:ascii="Times New Roman" w:eastAsia="Times New Roman" w:hAnsi="Times New Roman"/>
          <w:i/>
          <w:iCs/>
          <w:kern w:val="0"/>
          <w:lang w:eastAsia="en-GB"/>
          <w14:ligatures w14:val="none"/>
        </w:rPr>
        <w:t>et al.</w:t>
      </w:r>
      <w:r w:rsidRPr="001948EA">
        <w:rPr>
          <w:rFonts w:ascii="Times New Roman" w:eastAsia="Times New Roman" w:hAnsi="Times New Roman"/>
          <w:kern w:val="0"/>
          <w:lang w:eastAsia="en-GB"/>
          <w14:ligatures w14:val="none"/>
        </w:rPr>
        <w:t xml:space="preserve"> (2001) ‘Project Success: A Multidimensional Strategic Concept’, </w:t>
      </w:r>
      <w:r w:rsidRPr="001948EA">
        <w:rPr>
          <w:rFonts w:ascii="Times New Roman" w:eastAsia="Times New Roman" w:hAnsi="Times New Roman"/>
          <w:i/>
          <w:iCs/>
          <w:kern w:val="0"/>
          <w:lang w:eastAsia="en-GB"/>
          <w14:ligatures w14:val="none"/>
        </w:rPr>
        <w:t>Long Range Planning</w:t>
      </w:r>
      <w:r w:rsidRPr="001948EA">
        <w:rPr>
          <w:rFonts w:ascii="Times New Roman" w:eastAsia="Times New Roman" w:hAnsi="Times New Roman"/>
          <w:kern w:val="0"/>
          <w:lang w:eastAsia="en-GB"/>
          <w14:ligatures w14:val="none"/>
        </w:rPr>
        <w:t xml:space="preserve">, 34(6), pp. 699–725. Available at: </w:t>
      </w:r>
      <w:hyperlink r:id="rId24" w:history="1">
        <w:r w:rsidRPr="001948EA">
          <w:rPr>
            <w:rFonts w:ascii="Times New Roman" w:eastAsia="Times New Roman" w:hAnsi="Times New Roman"/>
            <w:color w:val="0000FF"/>
            <w:kern w:val="0"/>
            <w:u w:val="single"/>
            <w:lang w:eastAsia="en-GB"/>
            <w14:ligatures w14:val="none"/>
          </w:rPr>
          <w:t>https://doi.org/10.1016/S0024-6301(01)00097-8</w:t>
        </w:r>
      </w:hyperlink>
      <w:r w:rsidRPr="001948EA">
        <w:rPr>
          <w:rFonts w:ascii="Times New Roman" w:eastAsia="Times New Roman" w:hAnsi="Times New Roman"/>
          <w:kern w:val="0"/>
          <w:lang w:eastAsia="en-GB"/>
          <w14:ligatures w14:val="none"/>
        </w:rPr>
        <w:t xml:space="preserve">.(Accessed on: 27 June 2026). </w:t>
      </w:r>
    </w:p>
    <w:p w14:paraId="6016DCCA" w14:textId="77777777" w:rsidR="00F74ED6" w:rsidRPr="001948EA" w:rsidRDefault="00F74ED6" w:rsidP="001948EA">
      <w:pPr>
        <w:spacing w:after="0" w:line="240" w:lineRule="auto"/>
        <w:rPr>
          <w:rFonts w:ascii="Times New Roman" w:eastAsia="Times New Roman" w:hAnsi="Times New Roman"/>
          <w:kern w:val="0"/>
          <w:lang w:eastAsia="en-GB"/>
          <w14:ligatures w14:val="none"/>
        </w:rPr>
      </w:pPr>
    </w:p>
    <w:p w14:paraId="2F12FDD7" w14:textId="77777777" w:rsidR="001948EA" w:rsidRPr="001948EA" w:rsidRDefault="001948EA" w:rsidP="001948EA">
      <w:pPr>
        <w:spacing w:after="0" w:line="240" w:lineRule="auto"/>
        <w:rPr>
          <w:rFonts w:ascii="Times New Roman" w:eastAsia="Times New Roman" w:hAnsi="Times New Roman"/>
          <w:kern w:val="0"/>
          <w:lang w:eastAsia="en-GB"/>
          <w14:ligatures w14:val="none"/>
        </w:rPr>
      </w:pPr>
      <w:r w:rsidRPr="001948EA">
        <w:rPr>
          <w:rFonts w:ascii="Times New Roman" w:eastAsia="Times New Roman" w:hAnsi="Times New Roman"/>
          <w:kern w:val="0"/>
          <w:lang w:eastAsia="en-GB"/>
          <w14:ligatures w14:val="none"/>
        </w:rPr>
        <w:t xml:space="preserve">Tuckman, B.W. (1965) ‘Developmental sequence in small groups.’, </w:t>
      </w:r>
      <w:r w:rsidRPr="001948EA">
        <w:rPr>
          <w:rFonts w:ascii="Times New Roman" w:eastAsia="Times New Roman" w:hAnsi="Times New Roman"/>
          <w:i/>
          <w:iCs/>
          <w:kern w:val="0"/>
          <w:lang w:eastAsia="en-GB"/>
          <w14:ligatures w14:val="none"/>
        </w:rPr>
        <w:t>Psychological Bulletin</w:t>
      </w:r>
      <w:r w:rsidRPr="001948EA">
        <w:rPr>
          <w:rFonts w:ascii="Times New Roman" w:eastAsia="Times New Roman" w:hAnsi="Times New Roman"/>
          <w:kern w:val="0"/>
          <w:lang w:eastAsia="en-GB"/>
          <w14:ligatures w14:val="none"/>
        </w:rPr>
        <w:t xml:space="preserve">, 63(6), pp. 384–399. Available at: </w:t>
      </w:r>
      <w:hyperlink r:id="rId25" w:history="1">
        <w:r w:rsidRPr="001948EA">
          <w:rPr>
            <w:rFonts w:ascii="Times New Roman" w:eastAsia="Times New Roman" w:hAnsi="Times New Roman"/>
            <w:color w:val="0000FF"/>
            <w:kern w:val="0"/>
            <w:u w:val="single"/>
            <w:lang w:eastAsia="en-GB"/>
            <w14:ligatures w14:val="none"/>
          </w:rPr>
          <w:t>https://doi.org/10.1037/h0022100</w:t>
        </w:r>
      </w:hyperlink>
      <w:r w:rsidRPr="001948EA">
        <w:rPr>
          <w:rFonts w:ascii="Times New Roman" w:eastAsia="Times New Roman" w:hAnsi="Times New Roman"/>
          <w:kern w:val="0"/>
          <w:lang w:eastAsia="en-GB"/>
          <w14:ligatures w14:val="none"/>
        </w:rPr>
        <w:t xml:space="preserve">.(Accessed on: 29 June 2026). </w:t>
      </w:r>
    </w:p>
    <w:p w14:paraId="54417CB8" w14:textId="77777777" w:rsidR="007E4414" w:rsidRDefault="007E4414" w:rsidP="000266C9">
      <w:pPr>
        <w:spacing w:before="320" w:line="240" w:lineRule="auto"/>
        <w:outlineLvl w:val="0"/>
        <w:rPr>
          <w:rFonts w:ascii="Times New Roman" w:eastAsia="Times New Roman" w:hAnsi="Times New Roman"/>
          <w:b/>
          <w:bCs/>
          <w:kern w:val="0"/>
          <w:sz w:val="30"/>
          <w:szCs w:val="30"/>
          <w:lang w:eastAsia="en-GB"/>
          <w14:ligatures w14:val="none"/>
        </w:rPr>
      </w:pPr>
    </w:p>
    <w:p w14:paraId="5CA9A6F7" w14:textId="77777777" w:rsidR="000266C9" w:rsidRDefault="000266C9" w:rsidP="00EA1C01">
      <w:pPr>
        <w:spacing w:after="200"/>
        <w:jc w:val="both"/>
        <w:rPr>
          <w:rFonts w:ascii="Times New Roman" w:eastAsia="Times New Roman" w:hAnsi="Times New Roman"/>
          <w:kern w:val="0"/>
          <w:lang w:eastAsia="en-GB"/>
          <w14:ligatures w14:val="none"/>
        </w:rPr>
      </w:pPr>
    </w:p>
    <w:sectPr w:rsidR="000266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FDC6A" w14:textId="77777777" w:rsidR="005D5B8B" w:rsidRDefault="005D5B8B" w:rsidP="009704F0">
      <w:pPr>
        <w:spacing w:after="0" w:line="240" w:lineRule="auto"/>
      </w:pPr>
      <w:r>
        <w:separator/>
      </w:r>
    </w:p>
  </w:endnote>
  <w:endnote w:type="continuationSeparator" w:id="0">
    <w:p w14:paraId="2E7F4BE2" w14:textId="77777777" w:rsidR="005D5B8B" w:rsidRDefault="005D5B8B" w:rsidP="00970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190F" w14:textId="77777777" w:rsidR="005D5B8B" w:rsidRDefault="005D5B8B" w:rsidP="009704F0">
      <w:pPr>
        <w:spacing w:after="0" w:line="240" w:lineRule="auto"/>
      </w:pPr>
      <w:r>
        <w:separator/>
      </w:r>
    </w:p>
  </w:footnote>
  <w:footnote w:type="continuationSeparator" w:id="0">
    <w:p w14:paraId="79CFAD09" w14:textId="77777777" w:rsidR="005D5B8B" w:rsidRDefault="005D5B8B" w:rsidP="009704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A12FB"/>
    <w:multiLevelType w:val="hybridMultilevel"/>
    <w:tmpl w:val="5E5A06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C43421"/>
    <w:multiLevelType w:val="hybridMultilevel"/>
    <w:tmpl w:val="2DE0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54738B"/>
    <w:multiLevelType w:val="hybridMultilevel"/>
    <w:tmpl w:val="D2CA25C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3A3F4768"/>
    <w:multiLevelType w:val="hybridMultilevel"/>
    <w:tmpl w:val="5A167872"/>
    <w:lvl w:ilvl="0" w:tplc="39E21114">
      <w:start w:val="1"/>
      <w:numFmt w:val="bullet"/>
      <w:lvlText w:val="●"/>
      <w:lvlJc w:val="left"/>
      <w:pPr>
        <w:ind w:left="720" w:hanging="360"/>
      </w:pPr>
    </w:lvl>
    <w:lvl w:ilvl="1" w:tplc="9B58FBF6">
      <w:start w:val="1"/>
      <w:numFmt w:val="bullet"/>
      <w:lvlText w:val="○"/>
      <w:lvlJc w:val="left"/>
      <w:pPr>
        <w:ind w:left="1440" w:hanging="360"/>
      </w:pPr>
    </w:lvl>
    <w:lvl w:ilvl="2" w:tplc="C596B344">
      <w:start w:val="1"/>
      <w:numFmt w:val="bullet"/>
      <w:lvlText w:val="■"/>
      <w:lvlJc w:val="left"/>
      <w:pPr>
        <w:ind w:left="2160" w:hanging="360"/>
      </w:pPr>
    </w:lvl>
    <w:lvl w:ilvl="3" w:tplc="AB52EB62">
      <w:start w:val="1"/>
      <w:numFmt w:val="bullet"/>
      <w:lvlText w:val="●"/>
      <w:lvlJc w:val="left"/>
      <w:pPr>
        <w:ind w:left="2880" w:hanging="360"/>
      </w:pPr>
    </w:lvl>
    <w:lvl w:ilvl="4" w:tplc="93B64BF6">
      <w:start w:val="1"/>
      <w:numFmt w:val="bullet"/>
      <w:lvlText w:val="○"/>
      <w:lvlJc w:val="left"/>
      <w:pPr>
        <w:ind w:left="3600" w:hanging="360"/>
      </w:pPr>
    </w:lvl>
    <w:lvl w:ilvl="5" w:tplc="83A48DBE">
      <w:start w:val="1"/>
      <w:numFmt w:val="bullet"/>
      <w:lvlText w:val="■"/>
      <w:lvlJc w:val="left"/>
      <w:pPr>
        <w:ind w:left="4320" w:hanging="360"/>
      </w:pPr>
    </w:lvl>
    <w:lvl w:ilvl="6" w:tplc="4C969E0E">
      <w:start w:val="1"/>
      <w:numFmt w:val="bullet"/>
      <w:lvlText w:val="●"/>
      <w:lvlJc w:val="left"/>
      <w:pPr>
        <w:ind w:left="5040" w:hanging="360"/>
      </w:pPr>
    </w:lvl>
    <w:lvl w:ilvl="7" w:tplc="0828597C">
      <w:start w:val="1"/>
      <w:numFmt w:val="bullet"/>
      <w:lvlText w:val="●"/>
      <w:lvlJc w:val="left"/>
      <w:pPr>
        <w:ind w:left="5760" w:hanging="360"/>
      </w:pPr>
    </w:lvl>
    <w:lvl w:ilvl="8" w:tplc="5D6A3E36">
      <w:start w:val="1"/>
      <w:numFmt w:val="bullet"/>
      <w:lvlText w:val="●"/>
      <w:lvlJc w:val="left"/>
      <w:pPr>
        <w:ind w:left="6480" w:hanging="360"/>
      </w:pPr>
    </w:lvl>
  </w:abstractNum>
  <w:abstractNum w:abstractNumId="4" w15:restartNumberingAfterBreak="0">
    <w:nsid w:val="4349130C"/>
    <w:multiLevelType w:val="hybridMultilevel"/>
    <w:tmpl w:val="D11A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63234"/>
    <w:multiLevelType w:val="hybridMultilevel"/>
    <w:tmpl w:val="7610A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A383268"/>
    <w:multiLevelType w:val="hybridMultilevel"/>
    <w:tmpl w:val="667A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277524">
    <w:abstractNumId w:val="3"/>
  </w:num>
  <w:num w:numId="2" w16cid:durableId="490101264">
    <w:abstractNumId w:val="6"/>
  </w:num>
  <w:num w:numId="3" w16cid:durableId="2015526567">
    <w:abstractNumId w:val="0"/>
  </w:num>
  <w:num w:numId="4" w16cid:durableId="1409497402">
    <w:abstractNumId w:val="2"/>
  </w:num>
  <w:num w:numId="5" w16cid:durableId="1617250594">
    <w:abstractNumId w:val="5"/>
  </w:num>
  <w:num w:numId="6" w16cid:durableId="1959333018">
    <w:abstractNumId w:val="1"/>
  </w:num>
  <w:num w:numId="7" w16cid:durableId="204223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419"/>
    <w:rsid w:val="00000AAF"/>
    <w:rsid w:val="00012245"/>
    <w:rsid w:val="000266C9"/>
    <w:rsid w:val="000372AD"/>
    <w:rsid w:val="00040105"/>
    <w:rsid w:val="00060B92"/>
    <w:rsid w:val="00084AF6"/>
    <w:rsid w:val="000B616C"/>
    <w:rsid w:val="000D0473"/>
    <w:rsid w:val="000D34FC"/>
    <w:rsid w:val="000E57E5"/>
    <w:rsid w:val="000F1F1C"/>
    <w:rsid w:val="001044B1"/>
    <w:rsid w:val="001133EE"/>
    <w:rsid w:val="00154F7C"/>
    <w:rsid w:val="00164005"/>
    <w:rsid w:val="0016548C"/>
    <w:rsid w:val="001948E0"/>
    <w:rsid w:val="001948EA"/>
    <w:rsid w:val="001D5960"/>
    <w:rsid w:val="001F6495"/>
    <w:rsid w:val="00204276"/>
    <w:rsid w:val="0024328A"/>
    <w:rsid w:val="00255FE9"/>
    <w:rsid w:val="003562D7"/>
    <w:rsid w:val="0036167B"/>
    <w:rsid w:val="00367A4B"/>
    <w:rsid w:val="00375496"/>
    <w:rsid w:val="003E61C3"/>
    <w:rsid w:val="004333D5"/>
    <w:rsid w:val="004816F1"/>
    <w:rsid w:val="004B64A3"/>
    <w:rsid w:val="004D01F6"/>
    <w:rsid w:val="00506AB9"/>
    <w:rsid w:val="00515E3B"/>
    <w:rsid w:val="0052742C"/>
    <w:rsid w:val="00543B86"/>
    <w:rsid w:val="00597BA9"/>
    <w:rsid w:val="005C64ED"/>
    <w:rsid w:val="005D5B8B"/>
    <w:rsid w:val="006322EB"/>
    <w:rsid w:val="00674E1E"/>
    <w:rsid w:val="006E07D0"/>
    <w:rsid w:val="006E5DEE"/>
    <w:rsid w:val="007149FE"/>
    <w:rsid w:val="00715E77"/>
    <w:rsid w:val="00722A52"/>
    <w:rsid w:val="00735D7E"/>
    <w:rsid w:val="00745039"/>
    <w:rsid w:val="007501D0"/>
    <w:rsid w:val="00763A1E"/>
    <w:rsid w:val="00767305"/>
    <w:rsid w:val="007858B7"/>
    <w:rsid w:val="007D5688"/>
    <w:rsid w:val="007E4414"/>
    <w:rsid w:val="00807173"/>
    <w:rsid w:val="00826431"/>
    <w:rsid w:val="008B1065"/>
    <w:rsid w:val="008C3445"/>
    <w:rsid w:val="008D17C7"/>
    <w:rsid w:val="008E1926"/>
    <w:rsid w:val="00906E08"/>
    <w:rsid w:val="009704F0"/>
    <w:rsid w:val="009912A3"/>
    <w:rsid w:val="009970CE"/>
    <w:rsid w:val="009B1278"/>
    <w:rsid w:val="009B6FDC"/>
    <w:rsid w:val="00A62B41"/>
    <w:rsid w:val="00A64A2D"/>
    <w:rsid w:val="00B3131C"/>
    <w:rsid w:val="00B55949"/>
    <w:rsid w:val="00B86827"/>
    <w:rsid w:val="00B949BE"/>
    <w:rsid w:val="00B97556"/>
    <w:rsid w:val="00BD3F85"/>
    <w:rsid w:val="00C05F79"/>
    <w:rsid w:val="00CC1419"/>
    <w:rsid w:val="00D02F03"/>
    <w:rsid w:val="00D63651"/>
    <w:rsid w:val="00D6763C"/>
    <w:rsid w:val="00D8012B"/>
    <w:rsid w:val="00D80FB1"/>
    <w:rsid w:val="00D901C9"/>
    <w:rsid w:val="00E0722D"/>
    <w:rsid w:val="00E13FD6"/>
    <w:rsid w:val="00EA1C01"/>
    <w:rsid w:val="00EA35F3"/>
    <w:rsid w:val="00EA7E6F"/>
    <w:rsid w:val="00EE70BE"/>
    <w:rsid w:val="00F3512F"/>
    <w:rsid w:val="00F438F8"/>
    <w:rsid w:val="00F74ED6"/>
    <w:rsid w:val="00FA69B2"/>
    <w:rsid w:val="00FF7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1811A"/>
  <w15:chartTrackingRefBased/>
  <w15:docId w15:val="{B2FC2577-72D7-4A4A-B73E-78B3DB22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A4B"/>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CC1419"/>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1419"/>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419"/>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419"/>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C1419"/>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C1419"/>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C1419"/>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C1419"/>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C1419"/>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1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419"/>
    <w:rPr>
      <w:rFonts w:eastAsiaTheme="majorEastAsia" w:cstheme="majorBidi"/>
      <w:color w:val="272727" w:themeColor="text1" w:themeTint="D8"/>
    </w:rPr>
  </w:style>
  <w:style w:type="paragraph" w:styleId="Title">
    <w:name w:val="Title"/>
    <w:basedOn w:val="Normal"/>
    <w:next w:val="Normal"/>
    <w:link w:val="TitleChar"/>
    <w:uiPriority w:val="10"/>
    <w:qFormat/>
    <w:rsid w:val="00CC1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419"/>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419"/>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CC1419"/>
    <w:rPr>
      <w:i/>
      <w:iCs/>
      <w:color w:val="404040" w:themeColor="text1" w:themeTint="BF"/>
    </w:rPr>
  </w:style>
  <w:style w:type="paragraph" w:styleId="ListParagraph">
    <w:name w:val="List Paragraph"/>
    <w:basedOn w:val="Normal"/>
    <w:uiPriority w:val="34"/>
    <w:qFormat/>
    <w:rsid w:val="00CC1419"/>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CC1419"/>
    <w:rPr>
      <w:i/>
      <w:iCs/>
      <w:color w:val="0F4761" w:themeColor="accent1" w:themeShade="BF"/>
    </w:rPr>
  </w:style>
  <w:style w:type="paragraph" w:styleId="IntenseQuote">
    <w:name w:val="Intense Quote"/>
    <w:basedOn w:val="Normal"/>
    <w:next w:val="Normal"/>
    <w:link w:val="IntenseQuoteChar"/>
    <w:uiPriority w:val="30"/>
    <w:qFormat/>
    <w:rsid w:val="00CC141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CC1419"/>
    <w:rPr>
      <w:i/>
      <w:iCs/>
      <w:color w:val="0F4761" w:themeColor="accent1" w:themeShade="BF"/>
    </w:rPr>
  </w:style>
  <w:style w:type="character" w:styleId="IntenseReference">
    <w:name w:val="Intense Reference"/>
    <w:basedOn w:val="DefaultParagraphFont"/>
    <w:uiPriority w:val="32"/>
    <w:qFormat/>
    <w:rsid w:val="00CC1419"/>
    <w:rPr>
      <w:b/>
      <w:bCs/>
      <w:smallCaps/>
      <w:color w:val="0F4761" w:themeColor="accent1" w:themeShade="BF"/>
      <w:spacing w:val="5"/>
    </w:rPr>
  </w:style>
  <w:style w:type="character" w:styleId="Hyperlink">
    <w:name w:val="Hyperlink"/>
    <w:basedOn w:val="DefaultParagraphFont"/>
    <w:uiPriority w:val="99"/>
    <w:unhideWhenUsed/>
    <w:rsid w:val="00D901C9"/>
    <w:rPr>
      <w:color w:val="467886" w:themeColor="hyperlink"/>
      <w:u w:val="single"/>
    </w:rPr>
  </w:style>
  <w:style w:type="character" w:styleId="UnresolvedMention">
    <w:name w:val="Unresolved Mention"/>
    <w:basedOn w:val="DefaultParagraphFont"/>
    <w:uiPriority w:val="99"/>
    <w:semiHidden/>
    <w:unhideWhenUsed/>
    <w:rsid w:val="00D901C9"/>
    <w:rPr>
      <w:color w:val="605E5C"/>
      <w:shd w:val="clear" w:color="auto" w:fill="E1DFDD"/>
    </w:rPr>
  </w:style>
  <w:style w:type="character" w:styleId="FollowedHyperlink">
    <w:name w:val="FollowedHyperlink"/>
    <w:basedOn w:val="DefaultParagraphFont"/>
    <w:uiPriority w:val="99"/>
    <w:semiHidden/>
    <w:unhideWhenUsed/>
    <w:rsid w:val="00D901C9"/>
    <w:rPr>
      <w:color w:val="96607D" w:themeColor="followedHyperlink"/>
      <w:u w:val="single"/>
    </w:rPr>
  </w:style>
  <w:style w:type="paragraph" w:styleId="TOCHeading">
    <w:name w:val="TOC Heading"/>
    <w:basedOn w:val="Heading1"/>
    <w:next w:val="Normal"/>
    <w:uiPriority w:val="39"/>
    <w:unhideWhenUsed/>
    <w:qFormat/>
    <w:rsid w:val="007501D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86827"/>
    <w:pPr>
      <w:tabs>
        <w:tab w:val="right" w:leader="dot" w:pos="9016"/>
      </w:tabs>
      <w:spacing w:after="100"/>
    </w:pPr>
  </w:style>
  <w:style w:type="paragraph" w:styleId="TOC2">
    <w:name w:val="toc 2"/>
    <w:basedOn w:val="Normal"/>
    <w:next w:val="Normal"/>
    <w:autoRedefine/>
    <w:uiPriority w:val="39"/>
    <w:unhideWhenUsed/>
    <w:rsid w:val="00543B86"/>
    <w:pPr>
      <w:spacing w:after="100"/>
      <w:ind w:left="240"/>
    </w:pPr>
  </w:style>
  <w:style w:type="paragraph" w:styleId="Header">
    <w:name w:val="header"/>
    <w:basedOn w:val="Normal"/>
    <w:link w:val="HeaderChar"/>
    <w:uiPriority w:val="99"/>
    <w:unhideWhenUsed/>
    <w:rsid w:val="00970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4F0"/>
    <w:rPr>
      <w:rFonts w:ascii="Aptos" w:eastAsia="Aptos" w:hAnsi="Aptos" w:cs="Times New Roman"/>
    </w:rPr>
  </w:style>
  <w:style w:type="paragraph" w:styleId="Footer">
    <w:name w:val="footer"/>
    <w:basedOn w:val="Normal"/>
    <w:link w:val="FooterChar"/>
    <w:uiPriority w:val="99"/>
    <w:unhideWhenUsed/>
    <w:rsid w:val="00970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4F0"/>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0429247.2010.11431849" TargetMode="External"/><Relationship Id="rId18" Type="http://schemas.openxmlformats.org/officeDocument/2006/relationships/hyperlink" Target="https://doi.org/10.1016/j.ijproman.2004.04.00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4324/9781003431954"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108/00251740510597680" TargetMode="External"/><Relationship Id="rId25" Type="http://schemas.openxmlformats.org/officeDocument/2006/relationships/hyperlink" Target="https://doi.org/10.1037/h0022100" TargetMode="External"/><Relationship Id="rId2" Type="http://schemas.openxmlformats.org/officeDocument/2006/relationships/styles" Target="styles.xml"/><Relationship Id="rId16" Type="http://schemas.openxmlformats.org/officeDocument/2006/relationships/hyperlink" Target="https://doi.org/10.1016/j.evalprogplan.2016.12.009" TargetMode="External"/><Relationship Id="rId20" Type="http://schemas.openxmlformats.org/officeDocument/2006/relationships/hyperlink" Target="https://doi.org/10.1017/CBO978113919267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16/S0024-6301(01)00097-8" TargetMode="External"/><Relationship Id="rId5" Type="http://schemas.openxmlformats.org/officeDocument/2006/relationships/footnotes" Target="footnotes.xml"/><Relationship Id="rId15" Type="http://schemas.openxmlformats.org/officeDocument/2006/relationships/hyperlink" Target="https://doi.org/10.1002/9781119057819" TargetMode="External"/><Relationship Id="rId23" Type="http://schemas.openxmlformats.org/officeDocument/2006/relationships/hyperlink" Target="https://doi.org/10.1109/TEM.1987.6498856" TargetMode="External"/><Relationship Id="rId10" Type="http://schemas.openxmlformats.org/officeDocument/2006/relationships/image" Target="media/image4.png"/><Relationship Id="rId19" Type="http://schemas.openxmlformats.org/officeDocument/2006/relationships/hyperlink" Target="https://doi.org/10.4324/978131524588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S0263-7863(98)00069-6" TargetMode="External"/><Relationship Id="rId22" Type="http://schemas.openxmlformats.org/officeDocument/2006/relationships/hyperlink" Target="https://doi.org/10.4324/97813152459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738</TotalTime>
  <Pages>1</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Tanasa</dc:creator>
  <cp:keywords/>
  <dc:description/>
  <cp:lastModifiedBy>Constantin Tanasa</cp:lastModifiedBy>
  <cp:revision>42</cp:revision>
  <dcterms:created xsi:type="dcterms:W3CDTF">2026-07-04T08:08:00Z</dcterms:created>
  <dcterms:modified xsi:type="dcterms:W3CDTF">2026-07-08T17:29:00Z</dcterms:modified>
</cp:coreProperties>
</file>