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F5002" w14:textId="22BE782F" w:rsidR="00EA0B55" w:rsidRPr="00E838C8" w:rsidRDefault="00EA0B55" w:rsidP="00E838C8">
      <w:pPr>
        <w:pStyle w:val="Title"/>
        <w:rPr>
          <w:rFonts w:ascii="Arial" w:hAnsi="Arial" w:cs="Arial"/>
          <w:sz w:val="36"/>
          <w:szCs w:val="36"/>
        </w:rPr>
      </w:pPr>
      <w:r w:rsidRPr="00E838C8">
        <w:rPr>
          <w:rFonts w:ascii="Arial" w:hAnsi="Arial" w:cs="Arial"/>
          <w:sz w:val="36"/>
          <w:szCs w:val="36"/>
        </w:rPr>
        <w:t>The Role Of HR Strategy In Public Sector vs Private Sector</w:t>
      </w:r>
    </w:p>
    <w:p w14:paraId="570568B1" w14:textId="77777777" w:rsidR="00EA0B55" w:rsidRPr="00EA0B55" w:rsidRDefault="00EA0B55" w:rsidP="00EA0B55">
      <w:pPr>
        <w:rPr>
          <w:lang w:val="en-GB"/>
        </w:rPr>
      </w:pPr>
    </w:p>
    <w:p w14:paraId="4537A80B" w14:textId="5DB3C7A5" w:rsidR="00EA0B55" w:rsidRDefault="00EA0B55" w:rsidP="00EA0B55">
      <w:pPr>
        <w:pStyle w:val="Title"/>
        <w:jc w:val="center"/>
        <w:rPr>
          <w:sz w:val="40"/>
          <w:szCs w:val="40"/>
          <w:lang w:val="en-GB"/>
        </w:rPr>
      </w:pPr>
      <w:r w:rsidRPr="00EA0B55">
        <w:rPr>
          <w:sz w:val="40"/>
          <w:szCs w:val="40"/>
          <w:lang w:val="en-GB"/>
        </w:rPr>
        <w:t>ECC Case study</w:t>
      </w:r>
    </w:p>
    <w:p w14:paraId="7452971C" w14:textId="77777777" w:rsidR="00B60852" w:rsidRDefault="00B60852" w:rsidP="00B60852">
      <w:pPr>
        <w:rPr>
          <w:lang w:val="en-GB"/>
        </w:rPr>
      </w:pPr>
    </w:p>
    <w:p w14:paraId="70D2BEF8" w14:textId="77777777" w:rsidR="00B60852" w:rsidRDefault="00B60852" w:rsidP="00B60852">
      <w:pPr>
        <w:rPr>
          <w:lang w:val="en-GB"/>
        </w:rPr>
      </w:pPr>
    </w:p>
    <w:p w14:paraId="5825F527" w14:textId="77777777" w:rsidR="00B60852" w:rsidRDefault="00B60852" w:rsidP="00B60852">
      <w:pPr>
        <w:rPr>
          <w:lang w:val="en-GB"/>
        </w:rPr>
      </w:pPr>
    </w:p>
    <w:p w14:paraId="3DE3C60C" w14:textId="77777777" w:rsidR="00B60852" w:rsidRDefault="00B60852" w:rsidP="00B60852">
      <w:pPr>
        <w:rPr>
          <w:lang w:val="en-GB"/>
        </w:rPr>
      </w:pPr>
    </w:p>
    <w:p w14:paraId="1454B9A1" w14:textId="77777777" w:rsidR="00B60852" w:rsidRDefault="00B60852" w:rsidP="00B60852">
      <w:pPr>
        <w:rPr>
          <w:lang w:val="en-GB"/>
        </w:rPr>
      </w:pPr>
    </w:p>
    <w:p w14:paraId="7985D752" w14:textId="77777777" w:rsidR="00B60852" w:rsidRDefault="00B60852" w:rsidP="00B60852">
      <w:pPr>
        <w:rPr>
          <w:lang w:val="en-GB"/>
        </w:rPr>
      </w:pPr>
    </w:p>
    <w:p w14:paraId="56B019F4" w14:textId="77777777" w:rsidR="00B60852" w:rsidRDefault="00B60852" w:rsidP="00B60852">
      <w:pPr>
        <w:rPr>
          <w:lang w:val="en-GB"/>
        </w:rPr>
      </w:pPr>
    </w:p>
    <w:p w14:paraId="0D5BEE47" w14:textId="77777777" w:rsidR="00B60852" w:rsidRDefault="00B60852" w:rsidP="00B60852">
      <w:pPr>
        <w:rPr>
          <w:lang w:val="en-GB"/>
        </w:rPr>
      </w:pPr>
    </w:p>
    <w:p w14:paraId="5A1FE20D" w14:textId="77777777" w:rsidR="00B60852" w:rsidRDefault="00B60852" w:rsidP="00B60852">
      <w:pPr>
        <w:rPr>
          <w:lang w:val="en-GB"/>
        </w:rPr>
      </w:pPr>
    </w:p>
    <w:p w14:paraId="1086E7A1" w14:textId="77777777" w:rsidR="00B60852" w:rsidRDefault="00B60852" w:rsidP="00B60852">
      <w:pPr>
        <w:rPr>
          <w:lang w:val="en-GB"/>
        </w:rPr>
      </w:pPr>
    </w:p>
    <w:p w14:paraId="5B2CB1F6" w14:textId="77777777" w:rsidR="00B60852" w:rsidRDefault="00B60852" w:rsidP="00B60852">
      <w:pPr>
        <w:rPr>
          <w:lang w:val="en-GB"/>
        </w:rPr>
      </w:pPr>
    </w:p>
    <w:p w14:paraId="01E9CD3B" w14:textId="77777777" w:rsidR="00B60852" w:rsidRDefault="00B60852" w:rsidP="00B60852">
      <w:pPr>
        <w:rPr>
          <w:lang w:val="en-GB"/>
        </w:rPr>
      </w:pPr>
    </w:p>
    <w:p w14:paraId="340537D9" w14:textId="77777777" w:rsidR="00B60852" w:rsidRDefault="00B60852" w:rsidP="00B60852">
      <w:pPr>
        <w:rPr>
          <w:lang w:val="en-GB"/>
        </w:rPr>
      </w:pPr>
    </w:p>
    <w:p w14:paraId="6D889ED7" w14:textId="77777777" w:rsidR="00B60852" w:rsidRDefault="00B60852" w:rsidP="00B60852">
      <w:pPr>
        <w:rPr>
          <w:lang w:val="en-GB"/>
        </w:rPr>
      </w:pPr>
    </w:p>
    <w:p w14:paraId="6F83B13C" w14:textId="77777777" w:rsidR="00B60852" w:rsidRDefault="00B60852" w:rsidP="00B60852">
      <w:pPr>
        <w:rPr>
          <w:lang w:val="en-GB"/>
        </w:rPr>
      </w:pPr>
    </w:p>
    <w:p w14:paraId="0A8F4AD2" w14:textId="77777777" w:rsidR="00B60852" w:rsidRDefault="00B60852" w:rsidP="00B60852">
      <w:pPr>
        <w:rPr>
          <w:lang w:val="en-GB"/>
        </w:rPr>
      </w:pPr>
    </w:p>
    <w:p w14:paraId="52678DA0" w14:textId="77777777" w:rsidR="00B60852" w:rsidRDefault="00B60852" w:rsidP="00B60852">
      <w:pPr>
        <w:rPr>
          <w:lang w:val="en-GB"/>
        </w:rPr>
      </w:pPr>
    </w:p>
    <w:p w14:paraId="48E38A8C" w14:textId="77777777" w:rsidR="00B60852" w:rsidRDefault="00B60852" w:rsidP="00B60852">
      <w:pPr>
        <w:rPr>
          <w:lang w:val="en-GB"/>
        </w:rPr>
      </w:pPr>
    </w:p>
    <w:p w14:paraId="2B250F2C" w14:textId="77777777" w:rsidR="00B60852" w:rsidRDefault="00B60852" w:rsidP="00B60852">
      <w:pPr>
        <w:rPr>
          <w:lang w:val="en-GB"/>
        </w:rPr>
      </w:pPr>
    </w:p>
    <w:p w14:paraId="3FD833B7" w14:textId="77777777" w:rsidR="00B60852" w:rsidRDefault="00B60852" w:rsidP="00B60852">
      <w:pPr>
        <w:rPr>
          <w:lang w:val="en-GB"/>
        </w:rPr>
      </w:pPr>
    </w:p>
    <w:p w14:paraId="3D354398" w14:textId="77777777" w:rsidR="00B60852" w:rsidRDefault="00B60852" w:rsidP="00B60852">
      <w:pPr>
        <w:rPr>
          <w:lang w:val="en-GB"/>
        </w:rPr>
      </w:pPr>
    </w:p>
    <w:p w14:paraId="1CA2A67B" w14:textId="77777777" w:rsidR="00B60852" w:rsidRDefault="00B60852" w:rsidP="00B60852">
      <w:pPr>
        <w:rPr>
          <w:lang w:val="en-GB"/>
        </w:rPr>
      </w:pPr>
    </w:p>
    <w:p w14:paraId="00D5ADDF" w14:textId="77777777" w:rsidR="00B60852" w:rsidRDefault="00B60852" w:rsidP="00B60852">
      <w:pPr>
        <w:rPr>
          <w:lang w:val="en-GB"/>
        </w:rPr>
      </w:pPr>
    </w:p>
    <w:p w14:paraId="4BC74B21" w14:textId="77777777" w:rsidR="00B60852" w:rsidRDefault="00B60852" w:rsidP="00B60852">
      <w:pPr>
        <w:rPr>
          <w:lang w:val="en-GB"/>
        </w:rPr>
      </w:pPr>
    </w:p>
    <w:p w14:paraId="2DEA0E34" w14:textId="77777777" w:rsidR="00B60852" w:rsidRDefault="00B60852" w:rsidP="00B60852">
      <w:pPr>
        <w:rPr>
          <w:lang w:val="en-GB"/>
        </w:rPr>
      </w:pPr>
    </w:p>
    <w:p w14:paraId="2061E983" w14:textId="0381648C" w:rsidR="00B60852" w:rsidRDefault="00B60852" w:rsidP="00B60852">
      <w:pPr>
        <w:rPr>
          <w:lang w:val="en-GB"/>
        </w:rPr>
      </w:pPr>
      <w:r>
        <w:rPr>
          <w:lang w:val="en-GB"/>
        </w:rPr>
        <w:t>Human Resource Management LCMB7000</w:t>
      </w:r>
    </w:p>
    <w:p w14:paraId="585EFCE1" w14:textId="6DDA9718" w:rsidR="00B60852" w:rsidRDefault="00B60852" w:rsidP="00B60852">
      <w:pPr>
        <w:rPr>
          <w:lang w:val="en-GB"/>
        </w:rPr>
      </w:pPr>
      <w:r>
        <w:rPr>
          <w:lang w:val="en-GB"/>
        </w:rPr>
        <w:t>Florentina Adelina Mazilu</w:t>
      </w:r>
    </w:p>
    <w:p w14:paraId="4FB98C16" w14:textId="77777777" w:rsidR="0081642A" w:rsidRDefault="00B60852" w:rsidP="0081642A">
      <w:pPr>
        <w:rPr>
          <w:lang w:val="en-GB"/>
        </w:rPr>
      </w:pPr>
      <w:r>
        <w:rPr>
          <w:lang w:val="en-GB"/>
        </w:rPr>
        <w:t>2245649</w:t>
      </w:r>
    </w:p>
    <w:sdt>
      <w:sdtPr>
        <w:rPr>
          <w:rFonts w:asciiTheme="minorHAnsi" w:eastAsiaTheme="minorHAnsi" w:hAnsiTheme="minorHAnsi" w:cstheme="minorBidi"/>
          <w:color w:val="auto"/>
          <w:kern w:val="2"/>
          <w:sz w:val="22"/>
          <w:szCs w:val="22"/>
          <w:lang w:val="ro-RO"/>
          <w14:ligatures w14:val="standardContextual"/>
        </w:rPr>
        <w:id w:val="1670901227"/>
        <w:docPartObj>
          <w:docPartGallery w:val="Table of Contents"/>
          <w:docPartUnique/>
        </w:docPartObj>
      </w:sdtPr>
      <w:sdtEndPr>
        <w:rPr>
          <w:b/>
          <w:bCs/>
          <w:noProof/>
        </w:rPr>
      </w:sdtEndPr>
      <w:sdtContent>
        <w:p w14:paraId="17110435" w14:textId="23529286" w:rsidR="001D2C5E" w:rsidRDefault="001D2C5E">
          <w:pPr>
            <w:pStyle w:val="TOCHeading"/>
          </w:pPr>
          <w:r>
            <w:t>Contents</w:t>
          </w:r>
        </w:p>
        <w:p w14:paraId="547FE086" w14:textId="2444E81E" w:rsidR="001D2C5E" w:rsidRDefault="001D2C5E">
          <w:pPr>
            <w:pStyle w:val="TOC1"/>
            <w:tabs>
              <w:tab w:val="right" w:leader="dot" w:pos="9016"/>
            </w:tabs>
            <w:rPr>
              <w:rFonts w:eastAsiaTheme="minorEastAsia"/>
              <w:noProof/>
              <w:lang w:eastAsia="ro-RO"/>
            </w:rPr>
          </w:pPr>
          <w:r>
            <w:fldChar w:fldCharType="begin"/>
          </w:r>
          <w:r>
            <w:instrText xml:space="preserve"> TOC \o "1-3" \h \z \u </w:instrText>
          </w:r>
          <w:r>
            <w:fldChar w:fldCharType="separate"/>
          </w:r>
          <w:hyperlink w:anchor="_Toc138241003" w:history="1">
            <w:r w:rsidRPr="00F04F32">
              <w:rPr>
                <w:rStyle w:val="Hyperlink"/>
                <w:rFonts w:ascii="Arial" w:hAnsi="Arial" w:cs="Arial"/>
                <w:noProof/>
                <w:lang w:val="en-GB"/>
              </w:rPr>
              <w:t>1.Introduction</w:t>
            </w:r>
            <w:r>
              <w:rPr>
                <w:noProof/>
                <w:webHidden/>
              </w:rPr>
              <w:tab/>
            </w:r>
            <w:r>
              <w:rPr>
                <w:noProof/>
                <w:webHidden/>
              </w:rPr>
              <w:fldChar w:fldCharType="begin"/>
            </w:r>
            <w:r>
              <w:rPr>
                <w:noProof/>
                <w:webHidden/>
              </w:rPr>
              <w:instrText xml:space="preserve"> PAGEREF _Toc138241003 \h </w:instrText>
            </w:r>
            <w:r>
              <w:rPr>
                <w:noProof/>
                <w:webHidden/>
              </w:rPr>
            </w:r>
            <w:r>
              <w:rPr>
                <w:noProof/>
                <w:webHidden/>
              </w:rPr>
              <w:fldChar w:fldCharType="separate"/>
            </w:r>
            <w:r w:rsidR="00181D62">
              <w:rPr>
                <w:noProof/>
                <w:webHidden/>
              </w:rPr>
              <w:t>3</w:t>
            </w:r>
            <w:r>
              <w:rPr>
                <w:noProof/>
                <w:webHidden/>
              </w:rPr>
              <w:fldChar w:fldCharType="end"/>
            </w:r>
          </w:hyperlink>
        </w:p>
        <w:p w14:paraId="48D55629" w14:textId="0B731B0E" w:rsidR="001D2C5E" w:rsidRDefault="00000000">
          <w:pPr>
            <w:pStyle w:val="TOC1"/>
            <w:tabs>
              <w:tab w:val="right" w:leader="dot" w:pos="9016"/>
            </w:tabs>
            <w:rPr>
              <w:rFonts w:eastAsiaTheme="minorEastAsia"/>
              <w:noProof/>
              <w:lang w:eastAsia="ro-RO"/>
            </w:rPr>
          </w:pPr>
          <w:hyperlink w:anchor="_Toc138241004" w:history="1">
            <w:r w:rsidR="001D2C5E" w:rsidRPr="00F04F32">
              <w:rPr>
                <w:rStyle w:val="Hyperlink"/>
                <w:rFonts w:ascii="Arial" w:hAnsi="Arial" w:cs="Arial"/>
                <w:noProof/>
                <w:lang w:val="en-GB"/>
              </w:rPr>
              <w:t xml:space="preserve">2. </w:t>
            </w:r>
            <w:r w:rsidR="001D2C5E" w:rsidRPr="00F04F32">
              <w:rPr>
                <w:rStyle w:val="Hyperlink"/>
                <w:rFonts w:ascii="Arial" w:hAnsi="Arial" w:cs="Arial"/>
                <w:noProof/>
              </w:rPr>
              <w:t>HR practices in public and private sector</w:t>
            </w:r>
            <w:r w:rsidR="001D2C5E">
              <w:rPr>
                <w:noProof/>
                <w:webHidden/>
              </w:rPr>
              <w:tab/>
            </w:r>
            <w:r w:rsidR="001D2C5E">
              <w:rPr>
                <w:noProof/>
                <w:webHidden/>
              </w:rPr>
              <w:fldChar w:fldCharType="begin"/>
            </w:r>
            <w:r w:rsidR="001D2C5E">
              <w:rPr>
                <w:noProof/>
                <w:webHidden/>
              </w:rPr>
              <w:instrText xml:space="preserve"> PAGEREF _Toc138241004 \h </w:instrText>
            </w:r>
            <w:r w:rsidR="001D2C5E">
              <w:rPr>
                <w:noProof/>
                <w:webHidden/>
              </w:rPr>
            </w:r>
            <w:r w:rsidR="001D2C5E">
              <w:rPr>
                <w:noProof/>
                <w:webHidden/>
              </w:rPr>
              <w:fldChar w:fldCharType="separate"/>
            </w:r>
            <w:r w:rsidR="00181D62">
              <w:rPr>
                <w:noProof/>
                <w:webHidden/>
              </w:rPr>
              <w:t>3</w:t>
            </w:r>
            <w:r w:rsidR="001D2C5E">
              <w:rPr>
                <w:noProof/>
                <w:webHidden/>
              </w:rPr>
              <w:fldChar w:fldCharType="end"/>
            </w:r>
          </w:hyperlink>
        </w:p>
        <w:p w14:paraId="3B5748CC" w14:textId="6D3C276B" w:rsidR="001D2C5E" w:rsidRDefault="00000000">
          <w:pPr>
            <w:pStyle w:val="TOC2"/>
            <w:tabs>
              <w:tab w:val="right" w:leader="dot" w:pos="9016"/>
            </w:tabs>
            <w:rPr>
              <w:rFonts w:eastAsiaTheme="minorEastAsia"/>
              <w:noProof/>
              <w:lang w:eastAsia="ro-RO"/>
            </w:rPr>
          </w:pPr>
          <w:hyperlink w:anchor="_Toc138241005" w:history="1">
            <w:r w:rsidR="001D2C5E" w:rsidRPr="00F04F32">
              <w:rPr>
                <w:rStyle w:val="Hyperlink"/>
                <w:rFonts w:cs="Arial"/>
                <w:noProof/>
                <w:lang w:val="en-GB"/>
              </w:rPr>
              <w:t>2.1 Differences and similarities between public sector and private sector</w:t>
            </w:r>
            <w:r w:rsidR="001D2C5E">
              <w:rPr>
                <w:noProof/>
                <w:webHidden/>
              </w:rPr>
              <w:tab/>
            </w:r>
            <w:r w:rsidR="001D2C5E">
              <w:rPr>
                <w:noProof/>
                <w:webHidden/>
              </w:rPr>
              <w:fldChar w:fldCharType="begin"/>
            </w:r>
            <w:r w:rsidR="001D2C5E">
              <w:rPr>
                <w:noProof/>
                <w:webHidden/>
              </w:rPr>
              <w:instrText xml:space="preserve"> PAGEREF _Toc138241005 \h </w:instrText>
            </w:r>
            <w:r w:rsidR="001D2C5E">
              <w:rPr>
                <w:noProof/>
                <w:webHidden/>
              </w:rPr>
            </w:r>
            <w:r w:rsidR="001D2C5E">
              <w:rPr>
                <w:noProof/>
                <w:webHidden/>
              </w:rPr>
              <w:fldChar w:fldCharType="separate"/>
            </w:r>
            <w:r w:rsidR="00181D62">
              <w:rPr>
                <w:noProof/>
                <w:webHidden/>
              </w:rPr>
              <w:t>3</w:t>
            </w:r>
            <w:r w:rsidR="001D2C5E">
              <w:rPr>
                <w:noProof/>
                <w:webHidden/>
              </w:rPr>
              <w:fldChar w:fldCharType="end"/>
            </w:r>
          </w:hyperlink>
        </w:p>
        <w:p w14:paraId="1E909526" w14:textId="51C6984E" w:rsidR="001D2C5E" w:rsidRDefault="00000000">
          <w:pPr>
            <w:pStyle w:val="TOC1"/>
            <w:tabs>
              <w:tab w:val="right" w:leader="dot" w:pos="9016"/>
            </w:tabs>
            <w:rPr>
              <w:rFonts w:eastAsiaTheme="minorEastAsia"/>
              <w:noProof/>
              <w:lang w:eastAsia="ro-RO"/>
            </w:rPr>
          </w:pPr>
          <w:hyperlink w:anchor="_Toc138241006" w:history="1">
            <w:r w:rsidR="001D2C5E" w:rsidRPr="00F04F32">
              <w:rPr>
                <w:rStyle w:val="Hyperlink"/>
                <w:rFonts w:ascii="Arial" w:hAnsi="Arial" w:cs="Arial"/>
                <w:noProof/>
              </w:rPr>
              <w:t>3. The effectiveness of HR strategy - ownership, structure, culture  and agency theory</w:t>
            </w:r>
            <w:r w:rsidR="001D2C5E">
              <w:rPr>
                <w:noProof/>
                <w:webHidden/>
              </w:rPr>
              <w:tab/>
            </w:r>
            <w:r w:rsidR="001D2C5E">
              <w:rPr>
                <w:noProof/>
                <w:webHidden/>
              </w:rPr>
              <w:fldChar w:fldCharType="begin"/>
            </w:r>
            <w:r w:rsidR="001D2C5E">
              <w:rPr>
                <w:noProof/>
                <w:webHidden/>
              </w:rPr>
              <w:instrText xml:space="preserve"> PAGEREF _Toc138241006 \h </w:instrText>
            </w:r>
            <w:r w:rsidR="001D2C5E">
              <w:rPr>
                <w:noProof/>
                <w:webHidden/>
              </w:rPr>
            </w:r>
            <w:r w:rsidR="001D2C5E">
              <w:rPr>
                <w:noProof/>
                <w:webHidden/>
              </w:rPr>
              <w:fldChar w:fldCharType="separate"/>
            </w:r>
            <w:r w:rsidR="00181D62">
              <w:rPr>
                <w:noProof/>
                <w:webHidden/>
              </w:rPr>
              <w:t>4</w:t>
            </w:r>
            <w:r w:rsidR="001D2C5E">
              <w:rPr>
                <w:noProof/>
                <w:webHidden/>
              </w:rPr>
              <w:fldChar w:fldCharType="end"/>
            </w:r>
          </w:hyperlink>
        </w:p>
        <w:p w14:paraId="2BB6A0E2" w14:textId="1A7A5495" w:rsidR="001D2C5E" w:rsidRDefault="00000000">
          <w:pPr>
            <w:pStyle w:val="TOC2"/>
            <w:tabs>
              <w:tab w:val="right" w:leader="dot" w:pos="9016"/>
            </w:tabs>
            <w:rPr>
              <w:rFonts w:eastAsiaTheme="minorEastAsia"/>
              <w:noProof/>
              <w:lang w:eastAsia="ro-RO"/>
            </w:rPr>
          </w:pPr>
          <w:hyperlink w:anchor="_Toc138241007" w:history="1">
            <w:r w:rsidR="001D2C5E" w:rsidRPr="00F04F32">
              <w:rPr>
                <w:rStyle w:val="Hyperlink"/>
                <w:rFonts w:cs="Arial"/>
                <w:noProof/>
              </w:rPr>
              <w:t>3.1 Agency theory</w:t>
            </w:r>
            <w:r w:rsidR="001D2C5E">
              <w:rPr>
                <w:noProof/>
                <w:webHidden/>
              </w:rPr>
              <w:tab/>
            </w:r>
            <w:r w:rsidR="001D2C5E">
              <w:rPr>
                <w:noProof/>
                <w:webHidden/>
              </w:rPr>
              <w:fldChar w:fldCharType="begin"/>
            </w:r>
            <w:r w:rsidR="001D2C5E">
              <w:rPr>
                <w:noProof/>
                <w:webHidden/>
              </w:rPr>
              <w:instrText xml:space="preserve"> PAGEREF _Toc138241007 \h </w:instrText>
            </w:r>
            <w:r w:rsidR="001D2C5E">
              <w:rPr>
                <w:noProof/>
                <w:webHidden/>
              </w:rPr>
            </w:r>
            <w:r w:rsidR="001D2C5E">
              <w:rPr>
                <w:noProof/>
                <w:webHidden/>
              </w:rPr>
              <w:fldChar w:fldCharType="separate"/>
            </w:r>
            <w:r w:rsidR="00181D62">
              <w:rPr>
                <w:noProof/>
                <w:webHidden/>
              </w:rPr>
              <w:t>4</w:t>
            </w:r>
            <w:r w:rsidR="001D2C5E">
              <w:rPr>
                <w:noProof/>
                <w:webHidden/>
              </w:rPr>
              <w:fldChar w:fldCharType="end"/>
            </w:r>
          </w:hyperlink>
        </w:p>
        <w:p w14:paraId="6CA3FA97" w14:textId="3CE99EDE" w:rsidR="001D2C5E" w:rsidRDefault="00000000" w:rsidP="001D2C5E">
          <w:pPr>
            <w:pStyle w:val="TOC2"/>
            <w:tabs>
              <w:tab w:val="right" w:leader="dot" w:pos="9016"/>
            </w:tabs>
            <w:rPr>
              <w:rFonts w:eastAsiaTheme="minorEastAsia"/>
              <w:noProof/>
              <w:lang w:eastAsia="ro-RO"/>
            </w:rPr>
          </w:pPr>
          <w:hyperlink w:anchor="_Toc138241008" w:history="1">
            <w:r w:rsidR="001D2C5E" w:rsidRPr="00F04F32">
              <w:rPr>
                <w:rStyle w:val="Hyperlink"/>
                <w:noProof/>
              </w:rPr>
              <w:t>3.2 Structure</w:t>
            </w:r>
            <w:r w:rsidR="001D2C5E">
              <w:rPr>
                <w:noProof/>
                <w:webHidden/>
              </w:rPr>
              <w:tab/>
            </w:r>
            <w:r w:rsidR="001D2C5E">
              <w:rPr>
                <w:noProof/>
                <w:webHidden/>
              </w:rPr>
              <w:fldChar w:fldCharType="begin"/>
            </w:r>
            <w:r w:rsidR="001D2C5E">
              <w:rPr>
                <w:noProof/>
                <w:webHidden/>
              </w:rPr>
              <w:instrText xml:space="preserve"> PAGEREF _Toc138241008 \h </w:instrText>
            </w:r>
            <w:r w:rsidR="001D2C5E">
              <w:rPr>
                <w:noProof/>
                <w:webHidden/>
              </w:rPr>
            </w:r>
            <w:r w:rsidR="001D2C5E">
              <w:rPr>
                <w:noProof/>
                <w:webHidden/>
              </w:rPr>
              <w:fldChar w:fldCharType="separate"/>
            </w:r>
            <w:r w:rsidR="00181D62">
              <w:rPr>
                <w:noProof/>
                <w:webHidden/>
              </w:rPr>
              <w:t>4</w:t>
            </w:r>
            <w:r w:rsidR="001D2C5E">
              <w:rPr>
                <w:noProof/>
                <w:webHidden/>
              </w:rPr>
              <w:fldChar w:fldCharType="end"/>
            </w:r>
          </w:hyperlink>
        </w:p>
        <w:p w14:paraId="69D152FC" w14:textId="4160F92D" w:rsidR="001D2C5E" w:rsidRDefault="00000000">
          <w:pPr>
            <w:pStyle w:val="TOC2"/>
            <w:tabs>
              <w:tab w:val="right" w:leader="dot" w:pos="9016"/>
            </w:tabs>
            <w:rPr>
              <w:rFonts w:eastAsiaTheme="minorEastAsia"/>
              <w:noProof/>
              <w:lang w:eastAsia="ro-RO"/>
            </w:rPr>
          </w:pPr>
          <w:hyperlink w:anchor="_Toc138241010" w:history="1">
            <w:r w:rsidR="001D2C5E" w:rsidRPr="00F04F32">
              <w:rPr>
                <w:rStyle w:val="Hyperlink"/>
                <w:rFonts w:cs="Arial"/>
                <w:noProof/>
              </w:rPr>
              <w:t>3.3 Ownership</w:t>
            </w:r>
            <w:r w:rsidR="001D2C5E">
              <w:rPr>
                <w:noProof/>
                <w:webHidden/>
              </w:rPr>
              <w:tab/>
            </w:r>
            <w:r w:rsidR="001D2C5E">
              <w:rPr>
                <w:noProof/>
                <w:webHidden/>
              </w:rPr>
              <w:fldChar w:fldCharType="begin"/>
            </w:r>
            <w:r w:rsidR="001D2C5E">
              <w:rPr>
                <w:noProof/>
                <w:webHidden/>
              </w:rPr>
              <w:instrText xml:space="preserve"> PAGEREF _Toc138241010 \h </w:instrText>
            </w:r>
            <w:r w:rsidR="001D2C5E">
              <w:rPr>
                <w:noProof/>
                <w:webHidden/>
              </w:rPr>
            </w:r>
            <w:r w:rsidR="001D2C5E">
              <w:rPr>
                <w:noProof/>
                <w:webHidden/>
              </w:rPr>
              <w:fldChar w:fldCharType="separate"/>
            </w:r>
            <w:r w:rsidR="00181D62">
              <w:rPr>
                <w:noProof/>
                <w:webHidden/>
              </w:rPr>
              <w:t>5</w:t>
            </w:r>
            <w:r w:rsidR="001D2C5E">
              <w:rPr>
                <w:noProof/>
                <w:webHidden/>
              </w:rPr>
              <w:fldChar w:fldCharType="end"/>
            </w:r>
          </w:hyperlink>
        </w:p>
        <w:p w14:paraId="1E698F8D" w14:textId="441BD431" w:rsidR="001D2C5E" w:rsidRDefault="00000000">
          <w:pPr>
            <w:pStyle w:val="TOC2"/>
            <w:tabs>
              <w:tab w:val="right" w:leader="dot" w:pos="9016"/>
            </w:tabs>
            <w:rPr>
              <w:rFonts w:eastAsiaTheme="minorEastAsia"/>
              <w:noProof/>
              <w:lang w:eastAsia="ro-RO"/>
            </w:rPr>
          </w:pPr>
          <w:hyperlink w:anchor="_Toc138241011" w:history="1">
            <w:r w:rsidR="001D2C5E" w:rsidRPr="00F04F32">
              <w:rPr>
                <w:rStyle w:val="Hyperlink"/>
                <w:rFonts w:cs="Arial"/>
                <w:noProof/>
              </w:rPr>
              <w:t>3.4 Culture</w:t>
            </w:r>
            <w:r w:rsidR="001D2C5E">
              <w:rPr>
                <w:noProof/>
                <w:webHidden/>
              </w:rPr>
              <w:tab/>
            </w:r>
            <w:r w:rsidR="001D2C5E">
              <w:rPr>
                <w:noProof/>
                <w:webHidden/>
              </w:rPr>
              <w:fldChar w:fldCharType="begin"/>
            </w:r>
            <w:r w:rsidR="001D2C5E">
              <w:rPr>
                <w:noProof/>
                <w:webHidden/>
              </w:rPr>
              <w:instrText xml:space="preserve"> PAGEREF _Toc138241011 \h </w:instrText>
            </w:r>
            <w:r w:rsidR="001D2C5E">
              <w:rPr>
                <w:noProof/>
                <w:webHidden/>
              </w:rPr>
            </w:r>
            <w:r w:rsidR="001D2C5E">
              <w:rPr>
                <w:noProof/>
                <w:webHidden/>
              </w:rPr>
              <w:fldChar w:fldCharType="separate"/>
            </w:r>
            <w:r w:rsidR="00181D62">
              <w:rPr>
                <w:noProof/>
                <w:webHidden/>
              </w:rPr>
              <w:t>6</w:t>
            </w:r>
            <w:r w:rsidR="001D2C5E">
              <w:rPr>
                <w:noProof/>
                <w:webHidden/>
              </w:rPr>
              <w:fldChar w:fldCharType="end"/>
            </w:r>
          </w:hyperlink>
        </w:p>
        <w:p w14:paraId="52B4CD51" w14:textId="4441B2E6" w:rsidR="001D2C5E" w:rsidRDefault="00000000">
          <w:pPr>
            <w:pStyle w:val="TOC1"/>
            <w:tabs>
              <w:tab w:val="right" w:leader="dot" w:pos="9016"/>
            </w:tabs>
            <w:rPr>
              <w:rFonts w:eastAsiaTheme="minorEastAsia"/>
              <w:noProof/>
              <w:lang w:eastAsia="ro-RO"/>
            </w:rPr>
          </w:pPr>
          <w:hyperlink w:anchor="_Toc138241012" w:history="1">
            <w:r w:rsidR="001D2C5E" w:rsidRPr="00F04F32">
              <w:rPr>
                <w:rStyle w:val="Hyperlink"/>
                <w:rFonts w:ascii="Arial" w:hAnsi="Arial" w:cs="Arial"/>
                <w:noProof/>
              </w:rPr>
              <w:t>4.Resource based view theory in public sector- HR strategy</w:t>
            </w:r>
            <w:r w:rsidR="001D2C5E">
              <w:rPr>
                <w:noProof/>
                <w:webHidden/>
              </w:rPr>
              <w:tab/>
            </w:r>
            <w:r w:rsidR="001D2C5E">
              <w:rPr>
                <w:noProof/>
                <w:webHidden/>
              </w:rPr>
              <w:fldChar w:fldCharType="begin"/>
            </w:r>
            <w:r w:rsidR="001D2C5E">
              <w:rPr>
                <w:noProof/>
                <w:webHidden/>
              </w:rPr>
              <w:instrText xml:space="preserve"> PAGEREF _Toc138241012 \h </w:instrText>
            </w:r>
            <w:r w:rsidR="001D2C5E">
              <w:rPr>
                <w:noProof/>
                <w:webHidden/>
              </w:rPr>
            </w:r>
            <w:r w:rsidR="001D2C5E">
              <w:rPr>
                <w:noProof/>
                <w:webHidden/>
              </w:rPr>
              <w:fldChar w:fldCharType="separate"/>
            </w:r>
            <w:r w:rsidR="00181D62">
              <w:rPr>
                <w:noProof/>
                <w:webHidden/>
              </w:rPr>
              <w:t>6</w:t>
            </w:r>
            <w:r w:rsidR="001D2C5E">
              <w:rPr>
                <w:noProof/>
                <w:webHidden/>
              </w:rPr>
              <w:fldChar w:fldCharType="end"/>
            </w:r>
          </w:hyperlink>
        </w:p>
        <w:p w14:paraId="7D3585FF" w14:textId="6484895D" w:rsidR="001D2C5E" w:rsidRDefault="00000000">
          <w:pPr>
            <w:pStyle w:val="TOC2"/>
            <w:tabs>
              <w:tab w:val="right" w:leader="dot" w:pos="9016"/>
            </w:tabs>
            <w:rPr>
              <w:rFonts w:eastAsiaTheme="minorEastAsia"/>
              <w:noProof/>
              <w:lang w:eastAsia="ro-RO"/>
            </w:rPr>
          </w:pPr>
          <w:hyperlink w:anchor="_Toc138241013" w:history="1">
            <w:r w:rsidR="001D2C5E" w:rsidRPr="00F04F32">
              <w:rPr>
                <w:rStyle w:val="Hyperlink"/>
                <w:rFonts w:cs="Arial"/>
                <w:noProof/>
              </w:rPr>
              <w:t>4.1 Resource base view theory</w:t>
            </w:r>
            <w:r w:rsidR="001D2C5E">
              <w:rPr>
                <w:noProof/>
                <w:webHidden/>
              </w:rPr>
              <w:tab/>
            </w:r>
            <w:r w:rsidR="001D2C5E">
              <w:rPr>
                <w:noProof/>
                <w:webHidden/>
              </w:rPr>
              <w:fldChar w:fldCharType="begin"/>
            </w:r>
            <w:r w:rsidR="001D2C5E">
              <w:rPr>
                <w:noProof/>
                <w:webHidden/>
              </w:rPr>
              <w:instrText xml:space="preserve"> PAGEREF _Toc138241013 \h </w:instrText>
            </w:r>
            <w:r w:rsidR="001D2C5E">
              <w:rPr>
                <w:noProof/>
                <w:webHidden/>
              </w:rPr>
            </w:r>
            <w:r w:rsidR="001D2C5E">
              <w:rPr>
                <w:noProof/>
                <w:webHidden/>
              </w:rPr>
              <w:fldChar w:fldCharType="separate"/>
            </w:r>
            <w:r w:rsidR="00181D62">
              <w:rPr>
                <w:noProof/>
                <w:webHidden/>
              </w:rPr>
              <w:t>6</w:t>
            </w:r>
            <w:r w:rsidR="001D2C5E">
              <w:rPr>
                <w:noProof/>
                <w:webHidden/>
              </w:rPr>
              <w:fldChar w:fldCharType="end"/>
            </w:r>
          </w:hyperlink>
        </w:p>
        <w:p w14:paraId="09628538" w14:textId="6EA2E2D8" w:rsidR="001D2C5E" w:rsidRDefault="00000000">
          <w:pPr>
            <w:pStyle w:val="TOC2"/>
            <w:tabs>
              <w:tab w:val="right" w:leader="dot" w:pos="9016"/>
            </w:tabs>
            <w:rPr>
              <w:rFonts w:eastAsiaTheme="minorEastAsia"/>
              <w:noProof/>
              <w:lang w:eastAsia="ro-RO"/>
            </w:rPr>
          </w:pPr>
          <w:hyperlink w:anchor="_Toc138241014" w:history="1">
            <w:r w:rsidR="001D2C5E" w:rsidRPr="00F04F32">
              <w:rPr>
                <w:rStyle w:val="Hyperlink"/>
                <w:rFonts w:cs="Arial"/>
                <w:noProof/>
                <w:lang w:val="en-GB"/>
              </w:rPr>
              <w:t>4.2 Resource base view in public sector</w:t>
            </w:r>
            <w:r w:rsidR="001D2C5E">
              <w:rPr>
                <w:noProof/>
                <w:webHidden/>
              </w:rPr>
              <w:tab/>
            </w:r>
            <w:r w:rsidR="001D2C5E">
              <w:rPr>
                <w:noProof/>
                <w:webHidden/>
              </w:rPr>
              <w:fldChar w:fldCharType="begin"/>
            </w:r>
            <w:r w:rsidR="001D2C5E">
              <w:rPr>
                <w:noProof/>
                <w:webHidden/>
              </w:rPr>
              <w:instrText xml:space="preserve"> PAGEREF _Toc138241014 \h </w:instrText>
            </w:r>
            <w:r w:rsidR="001D2C5E">
              <w:rPr>
                <w:noProof/>
                <w:webHidden/>
              </w:rPr>
            </w:r>
            <w:r w:rsidR="001D2C5E">
              <w:rPr>
                <w:noProof/>
                <w:webHidden/>
              </w:rPr>
              <w:fldChar w:fldCharType="separate"/>
            </w:r>
            <w:r w:rsidR="00181D62">
              <w:rPr>
                <w:noProof/>
                <w:webHidden/>
              </w:rPr>
              <w:t>7</w:t>
            </w:r>
            <w:r w:rsidR="001D2C5E">
              <w:rPr>
                <w:noProof/>
                <w:webHidden/>
              </w:rPr>
              <w:fldChar w:fldCharType="end"/>
            </w:r>
          </w:hyperlink>
        </w:p>
        <w:p w14:paraId="239D794E" w14:textId="0F3A7E1A" w:rsidR="001D2C5E" w:rsidRDefault="00000000">
          <w:pPr>
            <w:pStyle w:val="TOC1"/>
            <w:tabs>
              <w:tab w:val="right" w:leader="dot" w:pos="9016"/>
            </w:tabs>
            <w:rPr>
              <w:rFonts w:eastAsiaTheme="minorEastAsia"/>
              <w:noProof/>
              <w:lang w:eastAsia="ro-RO"/>
            </w:rPr>
          </w:pPr>
          <w:hyperlink w:anchor="_Toc138241015" w:history="1">
            <w:r w:rsidR="001D2C5E" w:rsidRPr="00F04F32">
              <w:rPr>
                <w:rStyle w:val="Hyperlink"/>
                <w:rFonts w:ascii="Arial" w:hAnsi="Arial" w:cs="Arial"/>
                <w:noProof/>
                <w:lang w:val="en-GB"/>
              </w:rPr>
              <w:t>5. Organizational climate factors – Green Human resources and sustainability</w:t>
            </w:r>
            <w:r w:rsidR="001D2C5E">
              <w:rPr>
                <w:noProof/>
                <w:webHidden/>
              </w:rPr>
              <w:tab/>
            </w:r>
            <w:r w:rsidR="001D2C5E">
              <w:rPr>
                <w:noProof/>
                <w:webHidden/>
              </w:rPr>
              <w:fldChar w:fldCharType="begin"/>
            </w:r>
            <w:r w:rsidR="001D2C5E">
              <w:rPr>
                <w:noProof/>
                <w:webHidden/>
              </w:rPr>
              <w:instrText xml:space="preserve"> PAGEREF _Toc138241015 \h </w:instrText>
            </w:r>
            <w:r w:rsidR="001D2C5E">
              <w:rPr>
                <w:noProof/>
                <w:webHidden/>
              </w:rPr>
            </w:r>
            <w:r w:rsidR="001D2C5E">
              <w:rPr>
                <w:noProof/>
                <w:webHidden/>
              </w:rPr>
              <w:fldChar w:fldCharType="separate"/>
            </w:r>
            <w:r w:rsidR="00181D62">
              <w:rPr>
                <w:noProof/>
                <w:webHidden/>
              </w:rPr>
              <w:t>8</w:t>
            </w:r>
            <w:r w:rsidR="001D2C5E">
              <w:rPr>
                <w:noProof/>
                <w:webHidden/>
              </w:rPr>
              <w:fldChar w:fldCharType="end"/>
            </w:r>
          </w:hyperlink>
        </w:p>
        <w:p w14:paraId="6B437582" w14:textId="798E83F0" w:rsidR="001D2C5E" w:rsidRDefault="00000000">
          <w:pPr>
            <w:pStyle w:val="TOC2"/>
            <w:tabs>
              <w:tab w:val="right" w:leader="dot" w:pos="9016"/>
            </w:tabs>
            <w:rPr>
              <w:rFonts w:eastAsiaTheme="minorEastAsia"/>
              <w:noProof/>
              <w:lang w:eastAsia="ro-RO"/>
            </w:rPr>
          </w:pPr>
          <w:hyperlink w:anchor="_Toc138241016" w:history="1">
            <w:r w:rsidR="001D2C5E" w:rsidRPr="00F04F32">
              <w:rPr>
                <w:rStyle w:val="Hyperlink"/>
                <w:noProof/>
                <w:lang w:val="en-GB"/>
              </w:rPr>
              <w:t>5</w:t>
            </w:r>
            <w:r w:rsidR="001D2C5E" w:rsidRPr="00F04F32">
              <w:rPr>
                <w:rStyle w:val="Hyperlink"/>
                <w:rFonts w:cs="Arial"/>
                <w:noProof/>
              </w:rPr>
              <w:t>.1 Green human resource</w:t>
            </w:r>
            <w:r w:rsidR="001D2C5E">
              <w:rPr>
                <w:noProof/>
                <w:webHidden/>
              </w:rPr>
              <w:tab/>
            </w:r>
            <w:r w:rsidR="001D2C5E">
              <w:rPr>
                <w:noProof/>
                <w:webHidden/>
              </w:rPr>
              <w:fldChar w:fldCharType="begin"/>
            </w:r>
            <w:r w:rsidR="001D2C5E">
              <w:rPr>
                <w:noProof/>
                <w:webHidden/>
              </w:rPr>
              <w:instrText xml:space="preserve"> PAGEREF _Toc138241016 \h </w:instrText>
            </w:r>
            <w:r w:rsidR="001D2C5E">
              <w:rPr>
                <w:noProof/>
                <w:webHidden/>
              </w:rPr>
            </w:r>
            <w:r w:rsidR="001D2C5E">
              <w:rPr>
                <w:noProof/>
                <w:webHidden/>
              </w:rPr>
              <w:fldChar w:fldCharType="separate"/>
            </w:r>
            <w:r w:rsidR="00181D62">
              <w:rPr>
                <w:noProof/>
                <w:webHidden/>
              </w:rPr>
              <w:t>8</w:t>
            </w:r>
            <w:r w:rsidR="001D2C5E">
              <w:rPr>
                <w:noProof/>
                <w:webHidden/>
              </w:rPr>
              <w:fldChar w:fldCharType="end"/>
            </w:r>
          </w:hyperlink>
        </w:p>
        <w:p w14:paraId="15FFE3B5" w14:textId="7ECD5669" w:rsidR="001D2C5E" w:rsidRDefault="00000000">
          <w:pPr>
            <w:pStyle w:val="TOC2"/>
            <w:tabs>
              <w:tab w:val="right" w:leader="dot" w:pos="9016"/>
            </w:tabs>
            <w:rPr>
              <w:rFonts w:eastAsiaTheme="minorEastAsia"/>
              <w:noProof/>
              <w:lang w:eastAsia="ro-RO"/>
            </w:rPr>
          </w:pPr>
          <w:hyperlink w:anchor="_Toc138241017" w:history="1">
            <w:r w:rsidR="001D2C5E" w:rsidRPr="00F04F32">
              <w:rPr>
                <w:rStyle w:val="Hyperlink"/>
                <w:noProof/>
                <w:lang w:val="en-GB"/>
              </w:rPr>
              <w:t>5.</w:t>
            </w:r>
            <w:r w:rsidR="001D2C5E" w:rsidRPr="00F04F32">
              <w:rPr>
                <w:rStyle w:val="Hyperlink"/>
                <w:rFonts w:cs="Arial"/>
                <w:noProof/>
              </w:rPr>
              <w:t>2 Sustainability in Human Resource</w:t>
            </w:r>
            <w:r w:rsidR="001D2C5E">
              <w:rPr>
                <w:noProof/>
                <w:webHidden/>
              </w:rPr>
              <w:tab/>
            </w:r>
            <w:r w:rsidR="001D2C5E">
              <w:rPr>
                <w:noProof/>
                <w:webHidden/>
              </w:rPr>
              <w:fldChar w:fldCharType="begin"/>
            </w:r>
            <w:r w:rsidR="001D2C5E">
              <w:rPr>
                <w:noProof/>
                <w:webHidden/>
              </w:rPr>
              <w:instrText xml:space="preserve"> PAGEREF _Toc138241017 \h </w:instrText>
            </w:r>
            <w:r w:rsidR="001D2C5E">
              <w:rPr>
                <w:noProof/>
                <w:webHidden/>
              </w:rPr>
            </w:r>
            <w:r w:rsidR="001D2C5E">
              <w:rPr>
                <w:noProof/>
                <w:webHidden/>
              </w:rPr>
              <w:fldChar w:fldCharType="separate"/>
            </w:r>
            <w:r w:rsidR="00181D62">
              <w:rPr>
                <w:noProof/>
                <w:webHidden/>
              </w:rPr>
              <w:t>9</w:t>
            </w:r>
            <w:r w:rsidR="001D2C5E">
              <w:rPr>
                <w:noProof/>
                <w:webHidden/>
              </w:rPr>
              <w:fldChar w:fldCharType="end"/>
            </w:r>
          </w:hyperlink>
        </w:p>
        <w:p w14:paraId="14CF4463" w14:textId="4DE28DF2" w:rsidR="001D2C5E" w:rsidRDefault="00000000">
          <w:pPr>
            <w:pStyle w:val="TOC1"/>
            <w:tabs>
              <w:tab w:val="right" w:leader="dot" w:pos="9016"/>
            </w:tabs>
            <w:rPr>
              <w:rFonts w:eastAsiaTheme="minorEastAsia"/>
              <w:noProof/>
              <w:lang w:eastAsia="ro-RO"/>
            </w:rPr>
          </w:pPr>
          <w:hyperlink w:anchor="_Toc138241018" w:history="1">
            <w:r w:rsidR="001D2C5E" w:rsidRPr="00F04F32">
              <w:rPr>
                <w:rStyle w:val="Hyperlink"/>
                <w:rFonts w:ascii="Arial" w:hAnsi="Arial" w:cs="Arial"/>
                <w:noProof/>
                <w:lang w:val="en-GB"/>
              </w:rPr>
              <w:t>6.Conclusion</w:t>
            </w:r>
            <w:r w:rsidR="001D2C5E">
              <w:rPr>
                <w:noProof/>
                <w:webHidden/>
              </w:rPr>
              <w:tab/>
            </w:r>
            <w:r w:rsidR="001D2C5E">
              <w:rPr>
                <w:noProof/>
                <w:webHidden/>
              </w:rPr>
              <w:fldChar w:fldCharType="begin"/>
            </w:r>
            <w:r w:rsidR="001D2C5E">
              <w:rPr>
                <w:noProof/>
                <w:webHidden/>
              </w:rPr>
              <w:instrText xml:space="preserve"> PAGEREF _Toc138241018 \h </w:instrText>
            </w:r>
            <w:r w:rsidR="001D2C5E">
              <w:rPr>
                <w:noProof/>
                <w:webHidden/>
              </w:rPr>
            </w:r>
            <w:r w:rsidR="001D2C5E">
              <w:rPr>
                <w:noProof/>
                <w:webHidden/>
              </w:rPr>
              <w:fldChar w:fldCharType="separate"/>
            </w:r>
            <w:r w:rsidR="00181D62">
              <w:rPr>
                <w:noProof/>
                <w:webHidden/>
              </w:rPr>
              <w:t>9</w:t>
            </w:r>
            <w:r w:rsidR="001D2C5E">
              <w:rPr>
                <w:noProof/>
                <w:webHidden/>
              </w:rPr>
              <w:fldChar w:fldCharType="end"/>
            </w:r>
          </w:hyperlink>
        </w:p>
        <w:p w14:paraId="6E7F5531" w14:textId="3E57B572" w:rsidR="001D2C5E" w:rsidRDefault="00000000">
          <w:pPr>
            <w:pStyle w:val="TOC1"/>
            <w:tabs>
              <w:tab w:val="right" w:leader="dot" w:pos="9016"/>
            </w:tabs>
            <w:rPr>
              <w:rFonts w:eastAsiaTheme="minorEastAsia"/>
              <w:noProof/>
              <w:lang w:eastAsia="ro-RO"/>
            </w:rPr>
          </w:pPr>
          <w:hyperlink w:anchor="_Toc138241019" w:history="1">
            <w:r w:rsidR="001D2C5E" w:rsidRPr="00F04F32">
              <w:rPr>
                <w:rStyle w:val="Hyperlink"/>
                <w:rFonts w:ascii="Arial" w:hAnsi="Arial" w:cs="Arial"/>
                <w:noProof/>
                <w:lang w:val="en-GB"/>
              </w:rPr>
              <w:t>7. Reference list</w:t>
            </w:r>
            <w:r w:rsidR="001D2C5E">
              <w:rPr>
                <w:noProof/>
                <w:webHidden/>
              </w:rPr>
              <w:tab/>
            </w:r>
            <w:r w:rsidR="001D2C5E">
              <w:rPr>
                <w:noProof/>
                <w:webHidden/>
              </w:rPr>
              <w:fldChar w:fldCharType="begin"/>
            </w:r>
            <w:r w:rsidR="001D2C5E">
              <w:rPr>
                <w:noProof/>
                <w:webHidden/>
              </w:rPr>
              <w:instrText xml:space="preserve"> PAGEREF _Toc138241019 \h </w:instrText>
            </w:r>
            <w:r w:rsidR="001D2C5E">
              <w:rPr>
                <w:noProof/>
                <w:webHidden/>
              </w:rPr>
            </w:r>
            <w:r w:rsidR="001D2C5E">
              <w:rPr>
                <w:noProof/>
                <w:webHidden/>
              </w:rPr>
              <w:fldChar w:fldCharType="separate"/>
            </w:r>
            <w:r w:rsidR="00181D62">
              <w:rPr>
                <w:noProof/>
                <w:webHidden/>
              </w:rPr>
              <w:t>10</w:t>
            </w:r>
            <w:r w:rsidR="001D2C5E">
              <w:rPr>
                <w:noProof/>
                <w:webHidden/>
              </w:rPr>
              <w:fldChar w:fldCharType="end"/>
            </w:r>
          </w:hyperlink>
        </w:p>
        <w:p w14:paraId="02DB1CC8" w14:textId="25F420BA" w:rsidR="001D2C5E" w:rsidRDefault="001D2C5E">
          <w:r>
            <w:rPr>
              <w:b/>
              <w:bCs/>
              <w:noProof/>
            </w:rPr>
            <w:fldChar w:fldCharType="end"/>
          </w:r>
        </w:p>
      </w:sdtContent>
    </w:sdt>
    <w:p w14:paraId="3609F8D5" w14:textId="77777777" w:rsidR="006F0B06" w:rsidRDefault="006F0B06" w:rsidP="006F0B06">
      <w:pPr>
        <w:pStyle w:val="Heading1"/>
        <w:rPr>
          <w:rFonts w:ascii="Arial" w:hAnsi="Arial" w:cs="Arial"/>
          <w:b w:val="0"/>
          <w:bCs w:val="0"/>
          <w:sz w:val="22"/>
          <w:szCs w:val="22"/>
          <w:lang w:val="en-GB"/>
        </w:rPr>
      </w:pPr>
      <w:r>
        <w:rPr>
          <w:rFonts w:ascii="Arial" w:hAnsi="Arial" w:cs="Arial"/>
          <w:b w:val="0"/>
          <w:bCs w:val="0"/>
          <w:sz w:val="22"/>
          <w:szCs w:val="22"/>
          <w:lang w:val="en-GB"/>
        </w:rPr>
        <w:br w:type="page"/>
      </w:r>
    </w:p>
    <w:p w14:paraId="340A1DB3" w14:textId="6F84003C" w:rsidR="00707426" w:rsidRPr="00EB25B3" w:rsidRDefault="00EB25B3" w:rsidP="006F0B06">
      <w:pPr>
        <w:pStyle w:val="Heading1"/>
        <w:rPr>
          <w:rFonts w:ascii="Arial" w:hAnsi="Arial" w:cs="Arial"/>
          <w:b w:val="0"/>
          <w:bCs w:val="0"/>
          <w:sz w:val="22"/>
          <w:szCs w:val="22"/>
          <w:lang w:val="en-GB"/>
        </w:rPr>
      </w:pPr>
      <w:bookmarkStart w:id="0" w:name="_Toc138241003"/>
      <w:r>
        <w:rPr>
          <w:rFonts w:ascii="Arial" w:hAnsi="Arial" w:cs="Arial"/>
          <w:b w:val="0"/>
          <w:bCs w:val="0"/>
          <w:sz w:val="22"/>
          <w:szCs w:val="22"/>
          <w:lang w:val="en-GB"/>
        </w:rPr>
        <w:lastRenderedPageBreak/>
        <w:t>1.</w:t>
      </w:r>
      <w:r w:rsidR="00382467" w:rsidRPr="00EB25B3">
        <w:rPr>
          <w:rFonts w:ascii="Arial" w:hAnsi="Arial" w:cs="Arial"/>
          <w:b w:val="0"/>
          <w:bCs w:val="0"/>
          <w:sz w:val="22"/>
          <w:szCs w:val="22"/>
          <w:lang w:val="en-GB"/>
        </w:rPr>
        <w:t>Introduction</w:t>
      </w:r>
      <w:bookmarkEnd w:id="0"/>
    </w:p>
    <w:p w14:paraId="512370A3" w14:textId="1381E3BA" w:rsidR="00F027E9" w:rsidRPr="00EA30A4" w:rsidRDefault="00677092" w:rsidP="00EA30A4">
      <w:pPr>
        <w:spacing w:line="360" w:lineRule="auto"/>
        <w:ind w:firstLine="360"/>
        <w:rPr>
          <w:rFonts w:ascii="Arial" w:hAnsi="Arial" w:cs="Arial"/>
          <w:lang w:val="en-GB"/>
        </w:rPr>
      </w:pPr>
      <w:r w:rsidRPr="00EA30A4">
        <w:rPr>
          <w:rFonts w:ascii="Arial" w:hAnsi="Arial" w:cs="Arial"/>
          <w:lang w:val="en-GB"/>
        </w:rPr>
        <w:t>According to Harel and Tzafrir (2001) the public sector management deals with employee recruitment and grievance procedures as the sector face a</w:t>
      </w:r>
      <w:r w:rsidR="003A4BB1">
        <w:rPr>
          <w:rFonts w:ascii="Arial" w:hAnsi="Arial" w:cs="Arial"/>
          <w:lang w:val="en-GB"/>
        </w:rPr>
        <w:t>n</w:t>
      </w:r>
      <w:r w:rsidRPr="00EA30A4">
        <w:rPr>
          <w:rFonts w:ascii="Arial" w:hAnsi="Arial" w:cs="Arial"/>
          <w:lang w:val="en-GB"/>
        </w:rPr>
        <w:t xml:space="preserve"> </w:t>
      </w:r>
      <w:r w:rsidR="00FC29DD">
        <w:rPr>
          <w:rFonts w:ascii="Arial" w:hAnsi="Arial" w:cs="Arial"/>
          <w:lang w:val="en-GB"/>
        </w:rPr>
        <w:t>excessive</w:t>
      </w:r>
      <w:r w:rsidRPr="00EA30A4">
        <w:rPr>
          <w:rFonts w:ascii="Arial" w:hAnsi="Arial" w:cs="Arial"/>
          <w:lang w:val="en-GB"/>
        </w:rPr>
        <w:t xml:space="preserve"> level of unionization. On the contrary, private sector management deals with </w:t>
      </w:r>
      <w:r w:rsidR="00FC29DD">
        <w:rPr>
          <w:rFonts w:ascii="Arial" w:hAnsi="Arial" w:cs="Arial"/>
          <w:lang w:val="en-GB"/>
        </w:rPr>
        <w:t>worker</w:t>
      </w:r>
      <w:r w:rsidRPr="00EA30A4">
        <w:rPr>
          <w:rFonts w:ascii="Arial" w:hAnsi="Arial" w:cs="Arial"/>
          <w:lang w:val="en-GB"/>
        </w:rPr>
        <w:t xml:space="preserve"> development and reward </w:t>
      </w:r>
      <w:r w:rsidR="00FC29DD">
        <w:rPr>
          <w:rFonts w:ascii="Arial" w:hAnsi="Arial" w:cs="Arial"/>
          <w:lang w:val="en-GB"/>
        </w:rPr>
        <w:t>achievement</w:t>
      </w:r>
      <w:r w:rsidRPr="00EA30A4">
        <w:rPr>
          <w:rFonts w:ascii="Arial" w:hAnsi="Arial" w:cs="Arial"/>
          <w:lang w:val="en-GB"/>
        </w:rPr>
        <w:t xml:space="preserve"> as is orientated to generate profit. Moreover, there are information witch show that public sectors management tend to adopt practices used by private sector management.</w:t>
      </w:r>
    </w:p>
    <w:p w14:paraId="08EBB39D" w14:textId="7F2872CF" w:rsidR="009A6656" w:rsidRPr="00EA30A4" w:rsidRDefault="00707426" w:rsidP="00EA30A4">
      <w:pPr>
        <w:spacing w:line="360" w:lineRule="auto"/>
        <w:ind w:firstLine="360"/>
        <w:rPr>
          <w:rFonts w:ascii="Arial" w:hAnsi="Arial" w:cs="Arial"/>
          <w:lang w:val="en-GB"/>
        </w:rPr>
      </w:pPr>
      <w:r w:rsidRPr="00EA30A4">
        <w:rPr>
          <w:rFonts w:ascii="Arial" w:hAnsi="Arial" w:cs="Arial"/>
          <w:b/>
          <w:bCs/>
          <w:lang w:val="en-GB"/>
        </w:rPr>
        <w:t xml:space="preserve"> </w:t>
      </w:r>
      <w:r w:rsidR="00D01EC7" w:rsidRPr="00EA30A4">
        <w:rPr>
          <w:rFonts w:ascii="Arial" w:hAnsi="Arial" w:cs="Arial"/>
          <w:lang w:val="en-GB"/>
        </w:rPr>
        <w:t xml:space="preserve">The present work </w:t>
      </w:r>
      <w:r w:rsidR="002B0EB3" w:rsidRPr="00EA30A4">
        <w:rPr>
          <w:rFonts w:ascii="Arial" w:hAnsi="Arial" w:cs="Arial"/>
          <w:lang w:val="en-GB"/>
        </w:rPr>
        <w:t>is based on E</w:t>
      </w:r>
      <w:r w:rsidR="0086509A" w:rsidRPr="00EA30A4">
        <w:rPr>
          <w:rFonts w:ascii="Arial" w:hAnsi="Arial" w:cs="Arial"/>
          <w:lang w:val="en-GB"/>
        </w:rPr>
        <w:t>ast Coast County (ECC) case st</w:t>
      </w:r>
      <w:r w:rsidR="00163A7A" w:rsidRPr="00EA30A4">
        <w:rPr>
          <w:rFonts w:ascii="Arial" w:hAnsi="Arial" w:cs="Arial"/>
          <w:lang w:val="en-GB"/>
        </w:rPr>
        <w:t>ud</w:t>
      </w:r>
      <w:r w:rsidR="004854F7" w:rsidRPr="00EA30A4">
        <w:rPr>
          <w:rFonts w:ascii="Arial" w:hAnsi="Arial" w:cs="Arial"/>
          <w:lang w:val="en-GB"/>
        </w:rPr>
        <w:t>y</w:t>
      </w:r>
      <w:r w:rsidR="00372D79" w:rsidRPr="00EA30A4">
        <w:rPr>
          <w:rFonts w:ascii="Arial" w:hAnsi="Arial" w:cs="Arial"/>
          <w:lang w:val="en-GB"/>
        </w:rPr>
        <w:t xml:space="preserve"> and has the </w:t>
      </w:r>
      <w:r w:rsidR="007302D5" w:rsidRPr="00EA30A4">
        <w:rPr>
          <w:rFonts w:ascii="Arial" w:hAnsi="Arial" w:cs="Arial"/>
          <w:lang w:val="en-GB"/>
        </w:rPr>
        <w:t>p</w:t>
      </w:r>
      <w:r w:rsidR="003575FC" w:rsidRPr="00EA30A4">
        <w:rPr>
          <w:rFonts w:ascii="Arial" w:hAnsi="Arial" w:cs="Arial"/>
          <w:lang w:val="en-GB"/>
        </w:rPr>
        <w:t>urpose</w:t>
      </w:r>
      <w:r w:rsidR="00372D79" w:rsidRPr="00EA30A4">
        <w:rPr>
          <w:rFonts w:ascii="Arial" w:hAnsi="Arial" w:cs="Arial"/>
          <w:lang w:val="en-GB"/>
        </w:rPr>
        <w:t xml:space="preserve"> </w:t>
      </w:r>
      <w:r w:rsidR="00CF6DB9" w:rsidRPr="00EA30A4">
        <w:rPr>
          <w:rFonts w:ascii="Arial" w:hAnsi="Arial" w:cs="Arial"/>
          <w:lang w:val="en-GB"/>
        </w:rPr>
        <w:t>to identify</w:t>
      </w:r>
      <w:r w:rsidR="00F75D2D" w:rsidRPr="00EA30A4">
        <w:rPr>
          <w:rFonts w:ascii="Arial" w:hAnsi="Arial" w:cs="Arial"/>
          <w:lang w:val="en-GB"/>
        </w:rPr>
        <w:t xml:space="preserve"> </w:t>
      </w:r>
      <w:r w:rsidR="00271087" w:rsidRPr="00EA30A4">
        <w:rPr>
          <w:rFonts w:ascii="Arial" w:hAnsi="Arial" w:cs="Arial"/>
          <w:lang w:val="en-GB"/>
        </w:rPr>
        <w:t>the issues that company is facing</w:t>
      </w:r>
      <w:r w:rsidR="00426381" w:rsidRPr="00EA30A4">
        <w:rPr>
          <w:rFonts w:ascii="Arial" w:hAnsi="Arial" w:cs="Arial"/>
          <w:lang w:val="en-GB"/>
        </w:rPr>
        <w:t>.</w:t>
      </w:r>
      <w:r w:rsidR="00F027E9" w:rsidRPr="00EA30A4">
        <w:rPr>
          <w:rFonts w:ascii="Arial" w:hAnsi="Arial" w:cs="Arial"/>
          <w:lang w:val="en-GB"/>
        </w:rPr>
        <w:t xml:space="preserve"> </w:t>
      </w:r>
      <w:r w:rsidR="00A841B9" w:rsidRPr="00EA30A4">
        <w:rPr>
          <w:rFonts w:ascii="Arial" w:hAnsi="Arial" w:cs="Arial"/>
          <w:lang w:val="en-GB"/>
        </w:rPr>
        <w:t xml:space="preserve">According to case study </w:t>
      </w:r>
      <w:r w:rsidR="00E26395" w:rsidRPr="00EA30A4">
        <w:rPr>
          <w:rFonts w:ascii="Arial" w:hAnsi="Arial" w:cs="Arial"/>
          <w:lang w:val="en-GB"/>
        </w:rPr>
        <w:t xml:space="preserve">East Coast County </w:t>
      </w:r>
      <w:r w:rsidR="00EE3F31" w:rsidRPr="00EA30A4">
        <w:rPr>
          <w:rFonts w:ascii="Arial" w:hAnsi="Arial" w:cs="Arial"/>
          <w:lang w:val="en-GB"/>
        </w:rPr>
        <w:t xml:space="preserve">main activity is based on public </w:t>
      </w:r>
      <w:r w:rsidR="00CF6DB9" w:rsidRPr="00EA30A4">
        <w:rPr>
          <w:rFonts w:ascii="Arial" w:hAnsi="Arial" w:cs="Arial"/>
          <w:lang w:val="en-GB"/>
        </w:rPr>
        <w:t xml:space="preserve">sector </w:t>
      </w:r>
      <w:r w:rsidR="00C61D5F" w:rsidRPr="00EA30A4">
        <w:rPr>
          <w:rFonts w:ascii="Arial" w:hAnsi="Arial" w:cs="Arial"/>
          <w:lang w:val="en-GB"/>
        </w:rPr>
        <w:t xml:space="preserve">and offer </w:t>
      </w:r>
      <w:r w:rsidR="00556BC6" w:rsidRPr="00EA30A4">
        <w:rPr>
          <w:rFonts w:ascii="Arial" w:hAnsi="Arial" w:cs="Arial"/>
          <w:lang w:val="en-GB"/>
        </w:rPr>
        <w:t xml:space="preserve">HR </w:t>
      </w:r>
      <w:r w:rsidR="00A05284" w:rsidRPr="00EA30A4">
        <w:rPr>
          <w:rFonts w:ascii="Arial" w:hAnsi="Arial" w:cs="Arial"/>
          <w:lang w:val="en-GB"/>
        </w:rPr>
        <w:t xml:space="preserve">and organisational initiative </w:t>
      </w:r>
      <w:r w:rsidR="00A35245" w:rsidRPr="00EA30A4">
        <w:rPr>
          <w:rFonts w:ascii="Arial" w:hAnsi="Arial" w:cs="Arial"/>
          <w:lang w:val="en-GB"/>
        </w:rPr>
        <w:t xml:space="preserve">activities for its </w:t>
      </w:r>
      <w:r w:rsidR="00A00F03" w:rsidRPr="00EA30A4">
        <w:rPr>
          <w:rFonts w:ascii="Arial" w:hAnsi="Arial" w:cs="Arial"/>
          <w:lang w:val="en-GB"/>
        </w:rPr>
        <w:t>clients.</w:t>
      </w:r>
      <w:r w:rsidR="00B717DC" w:rsidRPr="00EA30A4">
        <w:rPr>
          <w:rFonts w:ascii="Arial" w:hAnsi="Arial" w:cs="Arial"/>
          <w:lang w:val="en-GB"/>
        </w:rPr>
        <w:t xml:space="preserve"> The </w:t>
      </w:r>
      <w:r w:rsidR="0031744C" w:rsidRPr="00EA30A4">
        <w:rPr>
          <w:rFonts w:ascii="Arial" w:hAnsi="Arial" w:cs="Arial"/>
          <w:lang w:val="en-GB"/>
        </w:rPr>
        <w:t xml:space="preserve">main </w:t>
      </w:r>
      <w:r w:rsidR="00E34079" w:rsidRPr="00EA30A4">
        <w:rPr>
          <w:rFonts w:ascii="Arial" w:hAnsi="Arial" w:cs="Arial"/>
          <w:lang w:val="en-GB"/>
        </w:rPr>
        <w:t>issues</w:t>
      </w:r>
      <w:r w:rsidR="0031744C" w:rsidRPr="00EA30A4">
        <w:rPr>
          <w:rFonts w:ascii="Arial" w:hAnsi="Arial" w:cs="Arial"/>
          <w:lang w:val="en-GB"/>
        </w:rPr>
        <w:t xml:space="preserve"> that ECC is facing are </w:t>
      </w:r>
      <w:r w:rsidR="007D5C0F" w:rsidRPr="00EA30A4">
        <w:rPr>
          <w:rFonts w:ascii="Arial" w:hAnsi="Arial" w:cs="Arial"/>
          <w:lang w:val="en-GB"/>
        </w:rPr>
        <w:t xml:space="preserve">lack of strategic HR </w:t>
      </w:r>
      <w:r w:rsidR="00E34079" w:rsidRPr="00EA30A4">
        <w:rPr>
          <w:rFonts w:ascii="Arial" w:hAnsi="Arial" w:cs="Arial"/>
          <w:lang w:val="en-GB"/>
        </w:rPr>
        <w:t>partnering</w:t>
      </w:r>
      <w:r w:rsidR="007D5C0F" w:rsidRPr="00EA30A4">
        <w:rPr>
          <w:rFonts w:ascii="Arial" w:hAnsi="Arial" w:cs="Arial"/>
          <w:lang w:val="en-GB"/>
        </w:rPr>
        <w:t xml:space="preserve">, shortage of candidates </w:t>
      </w:r>
      <w:r w:rsidR="00045AB3" w:rsidRPr="00EA30A4">
        <w:rPr>
          <w:rFonts w:ascii="Arial" w:hAnsi="Arial" w:cs="Arial"/>
          <w:lang w:val="en-GB"/>
        </w:rPr>
        <w:t xml:space="preserve">that have skills on business </w:t>
      </w:r>
      <w:r w:rsidR="00E34079" w:rsidRPr="00EA30A4">
        <w:rPr>
          <w:rFonts w:ascii="Arial" w:hAnsi="Arial" w:cs="Arial"/>
        </w:rPr>
        <w:t>partnering</w:t>
      </w:r>
      <w:r w:rsidR="00601144" w:rsidRPr="00EA30A4">
        <w:rPr>
          <w:rFonts w:ascii="Arial" w:hAnsi="Arial" w:cs="Arial"/>
        </w:rPr>
        <w:t xml:space="preserve">, also </w:t>
      </w:r>
      <w:r w:rsidR="00E34079" w:rsidRPr="00EA30A4">
        <w:rPr>
          <w:rFonts w:ascii="Arial" w:hAnsi="Arial" w:cs="Arial"/>
        </w:rPr>
        <w:t>vacancies of Head of HR level</w:t>
      </w:r>
      <w:r w:rsidR="003C67B5" w:rsidRPr="00EA30A4">
        <w:rPr>
          <w:rFonts w:ascii="Arial" w:hAnsi="Arial" w:cs="Arial"/>
        </w:rPr>
        <w:t>, according to</w:t>
      </w:r>
      <w:r w:rsidR="001B09B2" w:rsidRPr="00EA30A4">
        <w:rPr>
          <w:rFonts w:ascii="Arial" w:hAnsi="Arial" w:cs="Arial"/>
        </w:rPr>
        <w:t xml:space="preserve"> </w:t>
      </w:r>
      <w:r w:rsidR="00763729" w:rsidRPr="00EA30A4">
        <w:rPr>
          <w:rFonts w:ascii="Arial" w:hAnsi="Arial" w:cs="Arial"/>
        </w:rPr>
        <w:t>Jill Paters</w:t>
      </w:r>
      <w:r w:rsidR="0090745C" w:rsidRPr="00EA30A4">
        <w:rPr>
          <w:rFonts w:ascii="Arial" w:hAnsi="Arial" w:cs="Arial"/>
        </w:rPr>
        <w:t xml:space="preserve">on </w:t>
      </w:r>
      <w:r w:rsidR="00AD543A" w:rsidRPr="00EA30A4">
        <w:rPr>
          <w:rFonts w:ascii="Arial" w:hAnsi="Arial" w:cs="Arial"/>
        </w:rPr>
        <w:t>which</w:t>
      </w:r>
      <w:r w:rsidR="0090745C" w:rsidRPr="00EA30A4">
        <w:rPr>
          <w:rFonts w:ascii="Arial" w:hAnsi="Arial" w:cs="Arial"/>
        </w:rPr>
        <w:t xml:space="preserve"> is </w:t>
      </w:r>
      <w:r w:rsidR="005A2803" w:rsidRPr="00EA30A4">
        <w:rPr>
          <w:rFonts w:ascii="Arial" w:hAnsi="Arial" w:cs="Arial"/>
        </w:rPr>
        <w:t>Chief</w:t>
      </w:r>
      <w:r w:rsidR="005A2803" w:rsidRPr="00EA30A4">
        <w:rPr>
          <w:rFonts w:ascii="Arial" w:hAnsi="Arial" w:cs="Arial"/>
          <w:lang w:val="en-GB"/>
        </w:rPr>
        <w:t xml:space="preserve"> Executive </w:t>
      </w:r>
      <w:r w:rsidR="00827A33" w:rsidRPr="00EA30A4">
        <w:rPr>
          <w:rFonts w:ascii="Arial" w:hAnsi="Arial" w:cs="Arial"/>
          <w:lang w:val="en-GB"/>
        </w:rPr>
        <w:t xml:space="preserve">of ECC and is </w:t>
      </w:r>
      <w:r w:rsidR="00AD543A" w:rsidRPr="00EA30A4">
        <w:rPr>
          <w:rFonts w:ascii="Arial" w:hAnsi="Arial" w:cs="Arial"/>
          <w:lang w:val="en-GB"/>
        </w:rPr>
        <w:t>mentioned by</w:t>
      </w:r>
      <w:r w:rsidR="00863F37" w:rsidRPr="00EA30A4">
        <w:rPr>
          <w:rFonts w:ascii="Arial" w:hAnsi="Arial" w:cs="Arial"/>
          <w:lang w:val="en-GB"/>
        </w:rPr>
        <w:t xml:space="preserve"> the</w:t>
      </w:r>
      <w:r w:rsidR="003C67B5" w:rsidRPr="00EA30A4">
        <w:rPr>
          <w:rFonts w:ascii="Arial" w:hAnsi="Arial" w:cs="Arial"/>
          <w:lang w:val="en-GB"/>
        </w:rPr>
        <w:t xml:space="preserve"> case study.</w:t>
      </w:r>
      <w:r w:rsidR="00906A1C" w:rsidRPr="00EA30A4">
        <w:rPr>
          <w:rFonts w:ascii="Arial" w:hAnsi="Arial" w:cs="Arial"/>
          <w:lang w:val="en-GB"/>
        </w:rPr>
        <w:t xml:space="preserve"> </w:t>
      </w:r>
      <w:r w:rsidR="00E36D20" w:rsidRPr="00EA30A4">
        <w:rPr>
          <w:rFonts w:ascii="Arial" w:hAnsi="Arial" w:cs="Arial"/>
          <w:lang w:val="en-GB"/>
        </w:rPr>
        <w:t>However</w:t>
      </w:r>
      <w:r w:rsidR="00141019" w:rsidRPr="00EA30A4">
        <w:rPr>
          <w:rFonts w:ascii="Arial" w:hAnsi="Arial" w:cs="Arial"/>
          <w:lang w:val="en-GB"/>
        </w:rPr>
        <w:t>, t</w:t>
      </w:r>
      <w:r w:rsidR="00906A1C" w:rsidRPr="00EA30A4">
        <w:rPr>
          <w:rFonts w:ascii="Arial" w:hAnsi="Arial" w:cs="Arial"/>
          <w:lang w:val="en-GB"/>
        </w:rPr>
        <w:t xml:space="preserve">he impact </w:t>
      </w:r>
      <w:r w:rsidR="005C1003" w:rsidRPr="00EA30A4">
        <w:rPr>
          <w:rFonts w:ascii="Arial" w:hAnsi="Arial" w:cs="Arial"/>
          <w:lang w:val="en-GB"/>
        </w:rPr>
        <w:t xml:space="preserve">of the issues mentioned above </w:t>
      </w:r>
      <w:r w:rsidR="00ED0954" w:rsidRPr="00EA30A4">
        <w:rPr>
          <w:rFonts w:ascii="Arial" w:hAnsi="Arial" w:cs="Arial"/>
          <w:lang w:val="en-GB"/>
        </w:rPr>
        <w:t>is that HR struggle</w:t>
      </w:r>
      <w:r w:rsidR="00F06A87" w:rsidRPr="00EA30A4">
        <w:rPr>
          <w:rFonts w:ascii="Arial" w:hAnsi="Arial" w:cs="Arial"/>
          <w:lang w:val="en-GB"/>
        </w:rPr>
        <w:t xml:space="preserve"> the most with employability</w:t>
      </w:r>
      <w:r w:rsidR="00EA30A4">
        <w:rPr>
          <w:rFonts w:ascii="Arial" w:hAnsi="Arial" w:cs="Arial"/>
          <w:lang w:val="en-GB"/>
        </w:rPr>
        <w:t>.</w:t>
      </w:r>
    </w:p>
    <w:p w14:paraId="66285AFF" w14:textId="0085841E" w:rsidR="00EA30A4" w:rsidRPr="001D2C5E" w:rsidRDefault="0081642A" w:rsidP="001D2C5E">
      <w:pPr>
        <w:pStyle w:val="Heading1"/>
        <w:rPr>
          <w:rFonts w:ascii="Arial" w:hAnsi="Arial" w:cs="Arial"/>
          <w:b w:val="0"/>
          <w:bCs w:val="0"/>
          <w:sz w:val="22"/>
          <w:szCs w:val="22"/>
          <w:lang w:val="en-GB"/>
        </w:rPr>
      </w:pPr>
      <w:bookmarkStart w:id="1" w:name="_Toc138241004"/>
      <w:r w:rsidRPr="001D2C5E">
        <w:rPr>
          <w:rFonts w:ascii="Arial" w:hAnsi="Arial" w:cs="Arial"/>
          <w:b w:val="0"/>
          <w:bCs w:val="0"/>
          <w:sz w:val="22"/>
          <w:szCs w:val="22"/>
          <w:lang w:val="en-GB"/>
        </w:rPr>
        <w:t xml:space="preserve">2. </w:t>
      </w:r>
      <w:r w:rsidRPr="001D2C5E">
        <w:rPr>
          <w:rStyle w:val="Heading1Char"/>
          <w:rFonts w:ascii="Arial" w:hAnsi="Arial" w:cs="Arial"/>
          <w:sz w:val="22"/>
          <w:szCs w:val="22"/>
        </w:rPr>
        <w:t>HR practices in public and private sector</w:t>
      </w:r>
      <w:bookmarkEnd w:id="1"/>
    </w:p>
    <w:p w14:paraId="3F9DDB30" w14:textId="43D5174C" w:rsidR="00107DE7" w:rsidRPr="00EB25B3" w:rsidRDefault="00CF4746" w:rsidP="00181D62">
      <w:pPr>
        <w:pStyle w:val="Heading2"/>
        <w:spacing w:line="360" w:lineRule="auto"/>
        <w:rPr>
          <w:rFonts w:cs="Arial"/>
          <w:color w:val="auto"/>
          <w:szCs w:val="22"/>
          <w:lang w:val="en-GB"/>
        </w:rPr>
      </w:pPr>
      <w:bookmarkStart w:id="2" w:name="_Toc138241005"/>
      <w:r w:rsidRPr="00EB25B3">
        <w:rPr>
          <w:rFonts w:cs="Arial"/>
          <w:color w:val="auto"/>
          <w:szCs w:val="22"/>
          <w:lang w:val="en-GB"/>
        </w:rPr>
        <w:t xml:space="preserve">2.1 </w:t>
      </w:r>
      <w:r w:rsidR="003037C9" w:rsidRPr="00EB25B3">
        <w:rPr>
          <w:rFonts w:cs="Arial"/>
          <w:color w:val="auto"/>
          <w:szCs w:val="22"/>
          <w:lang w:val="en-GB"/>
        </w:rPr>
        <w:t>Differences</w:t>
      </w:r>
      <w:r w:rsidR="00D44A0D" w:rsidRPr="00EB25B3">
        <w:rPr>
          <w:rFonts w:cs="Arial"/>
          <w:color w:val="auto"/>
          <w:szCs w:val="22"/>
          <w:lang w:val="en-GB"/>
        </w:rPr>
        <w:t xml:space="preserve"> and similarities </w:t>
      </w:r>
      <w:r w:rsidR="003037C9" w:rsidRPr="00EB25B3">
        <w:rPr>
          <w:rFonts w:cs="Arial"/>
          <w:color w:val="auto"/>
          <w:szCs w:val="22"/>
          <w:lang w:val="en-GB"/>
        </w:rPr>
        <w:t>between public sector and pr</w:t>
      </w:r>
      <w:r w:rsidR="00133D9B" w:rsidRPr="00EB25B3">
        <w:rPr>
          <w:rFonts w:cs="Arial"/>
          <w:color w:val="auto"/>
          <w:szCs w:val="22"/>
          <w:lang w:val="en-GB"/>
        </w:rPr>
        <w:t>ivate sector</w:t>
      </w:r>
      <w:bookmarkEnd w:id="2"/>
    </w:p>
    <w:p w14:paraId="4F47F474" w14:textId="5CA10650" w:rsidR="00107DE7" w:rsidRPr="00EA30A4" w:rsidRDefault="00885585" w:rsidP="00181D62">
      <w:pPr>
        <w:spacing w:line="360" w:lineRule="auto"/>
        <w:ind w:firstLine="708"/>
        <w:jc w:val="both"/>
        <w:rPr>
          <w:rFonts w:ascii="Arial" w:hAnsi="Arial" w:cs="Arial"/>
        </w:rPr>
      </w:pPr>
      <w:r w:rsidRPr="00EA30A4">
        <w:rPr>
          <w:rFonts w:ascii="Arial" w:hAnsi="Arial" w:cs="Arial"/>
          <w:lang w:val="en-GB"/>
        </w:rPr>
        <w:t>The</w:t>
      </w:r>
      <w:r w:rsidR="00107DE7" w:rsidRPr="00EA30A4">
        <w:rPr>
          <w:rFonts w:ascii="Arial" w:hAnsi="Arial" w:cs="Arial"/>
          <w:lang w:val="en-GB"/>
        </w:rPr>
        <w:t xml:space="preserve"> distinctions</w:t>
      </w:r>
      <w:r w:rsidRPr="00EA30A4">
        <w:rPr>
          <w:rFonts w:ascii="Arial" w:hAnsi="Arial" w:cs="Arial"/>
          <w:lang w:val="en-GB"/>
        </w:rPr>
        <w:t xml:space="preserve"> </w:t>
      </w:r>
      <w:r w:rsidR="00107DE7" w:rsidRPr="00EA30A4">
        <w:rPr>
          <w:rFonts w:ascii="Arial" w:hAnsi="Arial" w:cs="Arial"/>
          <w:lang w:val="en-GB"/>
        </w:rPr>
        <w:t>between public and private sector organisations as they have</w:t>
      </w:r>
      <w:r w:rsidR="00471305" w:rsidRPr="00EA30A4">
        <w:rPr>
          <w:rFonts w:ascii="Arial" w:hAnsi="Arial" w:cs="Arial"/>
          <w:lang w:val="en-GB"/>
        </w:rPr>
        <w:t xml:space="preserve"> </w:t>
      </w:r>
      <w:r w:rsidR="00107DE7" w:rsidRPr="00EA30A4">
        <w:rPr>
          <w:rFonts w:ascii="Arial" w:hAnsi="Arial" w:cs="Arial"/>
          <w:lang w:val="en-GB"/>
        </w:rPr>
        <w:t xml:space="preserve">traditionally been theorised, focusing on the principles that underlie their respective HRM models and the variations in how HRM practises are adopted. </w:t>
      </w:r>
      <w:r w:rsidR="00DD5978" w:rsidRPr="00EA30A4">
        <w:rPr>
          <w:rFonts w:ascii="Arial" w:hAnsi="Arial" w:cs="Arial"/>
          <w:lang w:val="en-GB"/>
        </w:rPr>
        <w:t xml:space="preserve">Studies made by Raney </w:t>
      </w:r>
      <w:r w:rsidR="00DD5978" w:rsidRPr="00EA30A4">
        <w:rPr>
          <w:rFonts w:ascii="Arial" w:hAnsi="Arial" w:cs="Arial"/>
        </w:rPr>
        <w:t>(1979, 1983, 1991)</w:t>
      </w:r>
      <w:r w:rsidR="006D3614" w:rsidRPr="00EA30A4">
        <w:rPr>
          <w:rFonts w:ascii="Arial" w:hAnsi="Arial" w:cs="Arial"/>
        </w:rPr>
        <w:t xml:space="preserve"> cited by Harel and Tzafrir (2001)</w:t>
      </w:r>
      <w:r w:rsidR="00DD5978" w:rsidRPr="00EA30A4">
        <w:rPr>
          <w:rFonts w:ascii="Arial" w:hAnsi="Arial" w:cs="Arial"/>
        </w:rPr>
        <w:t xml:space="preserve"> indicate that private sector and public sector differ on three main aspects:</w:t>
      </w:r>
    </w:p>
    <w:p w14:paraId="622BC56E" w14:textId="77777777" w:rsidR="00DD5978" w:rsidRPr="00EA30A4" w:rsidRDefault="00DD5978" w:rsidP="00EA30A4">
      <w:pPr>
        <w:pStyle w:val="ListParagraph"/>
        <w:spacing w:line="360" w:lineRule="auto"/>
        <w:ind w:firstLine="696"/>
        <w:jc w:val="both"/>
        <w:rPr>
          <w:rFonts w:ascii="Arial" w:hAnsi="Arial" w:cs="Arial"/>
        </w:rPr>
      </w:pPr>
    </w:p>
    <w:p w14:paraId="38DB5D3A" w14:textId="5BBC5244" w:rsidR="00DD5978" w:rsidRPr="00EA30A4" w:rsidRDefault="00DD5978" w:rsidP="00EA30A4">
      <w:pPr>
        <w:pStyle w:val="ListParagraph"/>
        <w:numPr>
          <w:ilvl w:val="0"/>
          <w:numId w:val="3"/>
        </w:numPr>
        <w:spacing w:line="360" w:lineRule="auto"/>
        <w:jc w:val="both"/>
        <w:rPr>
          <w:rFonts w:ascii="Arial" w:hAnsi="Arial" w:cs="Arial"/>
          <w:lang w:val="en-GB"/>
        </w:rPr>
      </w:pPr>
      <w:r w:rsidRPr="00EA30A4">
        <w:rPr>
          <w:rFonts w:ascii="Arial" w:hAnsi="Arial" w:cs="Arial"/>
          <w:lang w:val="en-GB"/>
        </w:rPr>
        <w:t>Processes</w:t>
      </w:r>
    </w:p>
    <w:p w14:paraId="7CDCA006" w14:textId="4905733F" w:rsidR="00DD5978" w:rsidRPr="00EA30A4" w:rsidRDefault="00DD5978" w:rsidP="00EA30A4">
      <w:pPr>
        <w:pStyle w:val="ListParagraph"/>
        <w:numPr>
          <w:ilvl w:val="0"/>
          <w:numId w:val="3"/>
        </w:numPr>
        <w:spacing w:line="360" w:lineRule="auto"/>
        <w:jc w:val="both"/>
        <w:rPr>
          <w:rFonts w:ascii="Arial" w:hAnsi="Arial" w:cs="Arial"/>
          <w:lang w:val="en-GB"/>
        </w:rPr>
      </w:pPr>
      <w:r w:rsidRPr="00EA30A4">
        <w:rPr>
          <w:rFonts w:ascii="Arial" w:hAnsi="Arial" w:cs="Arial"/>
          <w:lang w:val="en-GB"/>
        </w:rPr>
        <w:t>Structure</w:t>
      </w:r>
    </w:p>
    <w:p w14:paraId="331DC82D" w14:textId="27ECAF0C" w:rsidR="00DD5978" w:rsidRDefault="00DD5978" w:rsidP="00EA30A4">
      <w:pPr>
        <w:pStyle w:val="ListParagraph"/>
        <w:numPr>
          <w:ilvl w:val="0"/>
          <w:numId w:val="3"/>
        </w:numPr>
        <w:spacing w:line="360" w:lineRule="auto"/>
        <w:jc w:val="both"/>
        <w:rPr>
          <w:rFonts w:ascii="Arial" w:hAnsi="Arial" w:cs="Arial"/>
          <w:lang w:val="en-GB"/>
        </w:rPr>
      </w:pPr>
      <w:r w:rsidRPr="00EA30A4">
        <w:rPr>
          <w:rFonts w:ascii="Arial" w:hAnsi="Arial" w:cs="Arial"/>
          <w:lang w:val="en-GB"/>
        </w:rPr>
        <w:t>Organizational roles.</w:t>
      </w:r>
    </w:p>
    <w:p w14:paraId="496B7774" w14:textId="77777777" w:rsidR="00347654" w:rsidRDefault="00347654" w:rsidP="003A4BB1">
      <w:pPr>
        <w:pStyle w:val="ListParagraph"/>
        <w:spacing w:line="360" w:lineRule="auto"/>
        <w:ind w:left="2136"/>
        <w:jc w:val="both"/>
        <w:rPr>
          <w:rFonts w:ascii="Arial" w:hAnsi="Arial" w:cs="Arial"/>
          <w:lang w:val="en-GB"/>
        </w:rPr>
      </w:pPr>
    </w:p>
    <w:p w14:paraId="0137E095" w14:textId="3D78461A" w:rsidR="00347654" w:rsidRPr="00347654" w:rsidRDefault="00347654" w:rsidP="003A4BB1">
      <w:pPr>
        <w:spacing w:line="360" w:lineRule="auto"/>
        <w:ind w:firstLine="708"/>
        <w:jc w:val="both"/>
        <w:rPr>
          <w:rFonts w:ascii="Arial" w:hAnsi="Arial" w:cs="Arial"/>
          <w:lang w:val="en-GB"/>
        </w:rPr>
      </w:pPr>
      <w:r w:rsidRPr="00347654">
        <w:rPr>
          <w:rFonts w:ascii="Arial" w:hAnsi="Arial" w:cs="Arial"/>
          <w:lang w:val="en-GB"/>
        </w:rPr>
        <w:t>The unique operational environment of public sector organisations, which differs from profit-oriented private sector entities, has resulted in sustained academic interest in the field of human resource management (HRM) within the public sector (Blom et al., 2020; Boselie et al., 2019).</w:t>
      </w:r>
    </w:p>
    <w:p w14:paraId="40A701FC" w14:textId="4600D2E3" w:rsidR="009F33C2" w:rsidRPr="00EA30A4" w:rsidRDefault="00427741" w:rsidP="00EA30A4">
      <w:pPr>
        <w:spacing w:line="360" w:lineRule="auto"/>
        <w:ind w:firstLine="708"/>
        <w:jc w:val="both"/>
        <w:rPr>
          <w:rFonts w:ascii="Arial" w:hAnsi="Arial" w:cs="Arial"/>
          <w:lang w:val="en-GB"/>
        </w:rPr>
      </w:pPr>
      <w:r w:rsidRPr="00EA30A4">
        <w:rPr>
          <w:rFonts w:ascii="Arial" w:hAnsi="Arial" w:cs="Arial"/>
          <w:lang w:val="en-GB"/>
        </w:rPr>
        <w:t xml:space="preserve">According to </w:t>
      </w:r>
      <w:r w:rsidR="00843E55" w:rsidRPr="00EA30A4">
        <w:rPr>
          <w:rFonts w:ascii="Arial" w:hAnsi="Arial" w:cs="Arial"/>
          <w:lang w:val="en-GB"/>
        </w:rPr>
        <w:t>Knies</w:t>
      </w:r>
      <w:r w:rsidR="00A852D5" w:rsidRPr="00EA30A4">
        <w:rPr>
          <w:rFonts w:ascii="Arial" w:hAnsi="Arial" w:cs="Arial"/>
          <w:lang w:val="en-GB"/>
        </w:rPr>
        <w:t xml:space="preserve"> et al (2022) </w:t>
      </w:r>
      <w:r w:rsidR="00996BB8" w:rsidRPr="00EA30A4">
        <w:rPr>
          <w:rFonts w:ascii="Arial" w:hAnsi="Arial" w:cs="Arial"/>
          <w:lang w:val="en-GB"/>
        </w:rPr>
        <w:t xml:space="preserve">usually </w:t>
      </w:r>
      <w:r w:rsidR="0075728F" w:rsidRPr="00EA30A4">
        <w:rPr>
          <w:rFonts w:ascii="Arial" w:hAnsi="Arial" w:cs="Arial"/>
          <w:lang w:val="en-GB"/>
        </w:rPr>
        <w:t>public resources management (HRM)</w:t>
      </w:r>
      <w:r w:rsidR="001E5C72" w:rsidRPr="00EA30A4">
        <w:rPr>
          <w:rFonts w:ascii="Arial" w:hAnsi="Arial" w:cs="Arial"/>
          <w:lang w:val="en-GB"/>
        </w:rPr>
        <w:t xml:space="preserve"> practices</w:t>
      </w:r>
      <w:r w:rsidR="00E60CC1" w:rsidRPr="00EA30A4">
        <w:rPr>
          <w:rFonts w:ascii="Arial" w:hAnsi="Arial" w:cs="Arial"/>
          <w:lang w:val="en-GB"/>
        </w:rPr>
        <w:t xml:space="preserve"> </w:t>
      </w:r>
      <w:r w:rsidR="000856AD" w:rsidRPr="00EA30A4">
        <w:rPr>
          <w:rFonts w:ascii="Arial" w:hAnsi="Arial" w:cs="Arial"/>
          <w:lang w:val="en-GB"/>
        </w:rPr>
        <w:t xml:space="preserve">are more orientated </w:t>
      </w:r>
      <w:r w:rsidR="00700520" w:rsidRPr="00EA30A4">
        <w:rPr>
          <w:rFonts w:ascii="Arial" w:hAnsi="Arial" w:cs="Arial"/>
          <w:lang w:val="en-GB"/>
        </w:rPr>
        <w:t xml:space="preserve">on </w:t>
      </w:r>
      <w:r w:rsidR="00696ECE" w:rsidRPr="00EA30A4">
        <w:rPr>
          <w:rFonts w:ascii="Arial" w:hAnsi="Arial" w:cs="Arial"/>
          <w:lang w:val="en-GB"/>
        </w:rPr>
        <w:t>employee’s</w:t>
      </w:r>
      <w:r w:rsidR="00700520" w:rsidRPr="00EA30A4">
        <w:rPr>
          <w:rFonts w:ascii="Arial" w:hAnsi="Arial" w:cs="Arial"/>
          <w:lang w:val="en-GB"/>
        </w:rPr>
        <w:t xml:space="preserve"> </w:t>
      </w:r>
      <w:r w:rsidR="00042DA5" w:rsidRPr="00EA30A4">
        <w:rPr>
          <w:rFonts w:ascii="Arial" w:hAnsi="Arial" w:cs="Arial"/>
          <w:lang w:val="en-GB"/>
        </w:rPr>
        <w:t>well-being</w:t>
      </w:r>
      <w:r w:rsidR="002B704D" w:rsidRPr="00EA30A4">
        <w:rPr>
          <w:rFonts w:ascii="Arial" w:hAnsi="Arial" w:cs="Arial"/>
          <w:lang w:val="en-GB"/>
        </w:rPr>
        <w:t xml:space="preserve">, called as soft HMR instead of </w:t>
      </w:r>
      <w:r w:rsidR="0094746B" w:rsidRPr="00EA30A4">
        <w:rPr>
          <w:rFonts w:ascii="Arial" w:hAnsi="Arial" w:cs="Arial"/>
          <w:lang w:val="en-GB"/>
        </w:rPr>
        <w:t xml:space="preserve">use a </w:t>
      </w:r>
      <w:r w:rsidR="00E947DB" w:rsidRPr="00EA30A4">
        <w:rPr>
          <w:rFonts w:ascii="Arial" w:hAnsi="Arial" w:cs="Arial"/>
          <w:lang w:val="en-GB"/>
        </w:rPr>
        <w:t xml:space="preserve">rational </w:t>
      </w:r>
      <w:r w:rsidR="008F67C2" w:rsidRPr="00EA30A4">
        <w:rPr>
          <w:rFonts w:ascii="Arial" w:hAnsi="Arial" w:cs="Arial"/>
          <w:lang w:val="en-GB"/>
        </w:rPr>
        <w:lastRenderedPageBreak/>
        <w:t>management</w:t>
      </w:r>
      <w:r w:rsidR="00E947DB" w:rsidRPr="00EA30A4">
        <w:rPr>
          <w:rFonts w:ascii="Arial" w:hAnsi="Arial" w:cs="Arial"/>
          <w:lang w:val="en-GB"/>
        </w:rPr>
        <w:t xml:space="preserve"> </w:t>
      </w:r>
      <w:r w:rsidR="00923440" w:rsidRPr="00EA30A4">
        <w:rPr>
          <w:rFonts w:ascii="Arial" w:hAnsi="Arial" w:cs="Arial"/>
          <w:lang w:val="en-GB"/>
        </w:rPr>
        <w:t xml:space="preserve">focused on improving </w:t>
      </w:r>
      <w:r w:rsidR="008F67C2" w:rsidRPr="00EA30A4">
        <w:rPr>
          <w:rFonts w:ascii="Arial" w:hAnsi="Arial" w:cs="Arial"/>
          <w:lang w:val="en-GB"/>
        </w:rPr>
        <w:t>organisational performance also called har</w:t>
      </w:r>
      <w:r w:rsidR="00696ECE" w:rsidRPr="00EA30A4">
        <w:rPr>
          <w:rFonts w:ascii="Arial" w:hAnsi="Arial" w:cs="Arial"/>
          <w:lang w:val="en-GB"/>
        </w:rPr>
        <w:t>d</w:t>
      </w:r>
      <w:r w:rsidR="008F67C2" w:rsidRPr="00EA30A4">
        <w:rPr>
          <w:rFonts w:ascii="Arial" w:hAnsi="Arial" w:cs="Arial"/>
          <w:lang w:val="en-GB"/>
        </w:rPr>
        <w:t xml:space="preserve"> HMR.</w:t>
      </w:r>
      <w:r w:rsidR="001C3718" w:rsidRPr="00EA30A4">
        <w:rPr>
          <w:rFonts w:ascii="Arial" w:hAnsi="Arial" w:cs="Arial"/>
          <w:lang w:val="en-GB"/>
        </w:rPr>
        <w:t xml:space="preserve"> However, </w:t>
      </w:r>
      <w:r w:rsidR="006D7E98" w:rsidRPr="00EA30A4">
        <w:rPr>
          <w:rFonts w:ascii="Arial" w:hAnsi="Arial" w:cs="Arial"/>
          <w:lang w:val="en-GB"/>
        </w:rPr>
        <w:t xml:space="preserve">public sector organisations </w:t>
      </w:r>
      <w:r w:rsidR="00B33EA7" w:rsidRPr="00EA30A4">
        <w:rPr>
          <w:rFonts w:ascii="Arial" w:hAnsi="Arial" w:cs="Arial"/>
          <w:lang w:val="en-GB"/>
        </w:rPr>
        <w:t xml:space="preserve">use more HMR </w:t>
      </w:r>
      <w:r w:rsidR="00174262" w:rsidRPr="00EA30A4">
        <w:rPr>
          <w:rFonts w:ascii="Arial" w:hAnsi="Arial" w:cs="Arial"/>
          <w:lang w:val="en-GB"/>
        </w:rPr>
        <w:t xml:space="preserve">practices </w:t>
      </w:r>
      <w:r w:rsidR="00900582" w:rsidRPr="00EA30A4">
        <w:rPr>
          <w:rFonts w:ascii="Arial" w:hAnsi="Arial" w:cs="Arial"/>
          <w:lang w:val="en-GB"/>
        </w:rPr>
        <w:t xml:space="preserve">aiming at </w:t>
      </w:r>
      <w:r w:rsidR="00DD0599" w:rsidRPr="00EA30A4">
        <w:rPr>
          <w:rFonts w:ascii="Arial" w:hAnsi="Arial" w:cs="Arial"/>
          <w:lang w:val="en-GB"/>
        </w:rPr>
        <w:t>equal opportunities and well-being management</w:t>
      </w:r>
      <w:r w:rsidR="006D3614" w:rsidRPr="00EA30A4">
        <w:rPr>
          <w:rFonts w:ascii="Arial" w:hAnsi="Arial" w:cs="Arial"/>
          <w:lang w:val="en-GB"/>
        </w:rPr>
        <w:t xml:space="preserve"> as well</w:t>
      </w:r>
      <w:r w:rsidR="000554DA" w:rsidRPr="00EA30A4">
        <w:rPr>
          <w:rFonts w:ascii="Arial" w:hAnsi="Arial" w:cs="Arial"/>
          <w:lang w:val="en-GB"/>
        </w:rPr>
        <w:t xml:space="preserve"> as </w:t>
      </w:r>
      <w:r w:rsidR="00F90A39" w:rsidRPr="00EA30A4">
        <w:rPr>
          <w:rFonts w:ascii="Arial" w:hAnsi="Arial" w:cs="Arial"/>
          <w:lang w:val="en-GB"/>
        </w:rPr>
        <w:t xml:space="preserve">development and career </w:t>
      </w:r>
      <w:r w:rsidR="001912C4" w:rsidRPr="00EA30A4">
        <w:rPr>
          <w:rFonts w:ascii="Arial" w:hAnsi="Arial" w:cs="Arial"/>
          <w:lang w:val="en-GB"/>
        </w:rPr>
        <w:t xml:space="preserve">management </w:t>
      </w:r>
      <w:r w:rsidR="00242891" w:rsidRPr="00EA30A4">
        <w:rPr>
          <w:rFonts w:ascii="Arial" w:hAnsi="Arial" w:cs="Arial"/>
          <w:lang w:val="en-GB"/>
        </w:rPr>
        <w:t xml:space="preserve">instead </w:t>
      </w:r>
      <w:r w:rsidR="00F8343A" w:rsidRPr="00EA30A4">
        <w:rPr>
          <w:rFonts w:ascii="Arial" w:hAnsi="Arial" w:cs="Arial"/>
          <w:lang w:val="en-GB"/>
        </w:rPr>
        <w:t xml:space="preserve">of using HRM </w:t>
      </w:r>
      <w:r w:rsidR="00405A3B" w:rsidRPr="00EA30A4">
        <w:rPr>
          <w:rFonts w:ascii="Arial" w:hAnsi="Arial" w:cs="Arial"/>
          <w:lang w:val="en-GB"/>
        </w:rPr>
        <w:t xml:space="preserve">practices aiming </w:t>
      </w:r>
      <w:r w:rsidR="00AD5827" w:rsidRPr="00EA30A4">
        <w:rPr>
          <w:rFonts w:ascii="Arial" w:hAnsi="Arial" w:cs="Arial"/>
          <w:lang w:val="en-GB"/>
        </w:rPr>
        <w:t xml:space="preserve">for </w:t>
      </w:r>
      <w:r w:rsidR="007C4E31" w:rsidRPr="00EA30A4">
        <w:rPr>
          <w:rFonts w:ascii="Arial" w:hAnsi="Arial" w:cs="Arial"/>
          <w:lang w:val="en-GB"/>
        </w:rPr>
        <w:t xml:space="preserve">performance and </w:t>
      </w:r>
      <w:r w:rsidR="000A1F63" w:rsidRPr="00EA30A4">
        <w:rPr>
          <w:rFonts w:ascii="Arial" w:hAnsi="Arial" w:cs="Arial"/>
          <w:lang w:val="en-GB"/>
        </w:rPr>
        <w:t xml:space="preserve">appraisal </w:t>
      </w:r>
      <w:r w:rsidR="0088577E" w:rsidRPr="00EA30A4">
        <w:rPr>
          <w:rFonts w:ascii="Arial" w:hAnsi="Arial" w:cs="Arial"/>
          <w:lang w:val="en-GB"/>
        </w:rPr>
        <w:t>additionally benefits</w:t>
      </w:r>
      <w:r w:rsidR="000A1F63" w:rsidRPr="00EA30A4">
        <w:rPr>
          <w:rFonts w:ascii="Arial" w:hAnsi="Arial" w:cs="Arial"/>
          <w:lang w:val="en-GB"/>
        </w:rPr>
        <w:t xml:space="preserve"> and compensation </w:t>
      </w:r>
      <w:r w:rsidR="00B820B5" w:rsidRPr="00EA30A4">
        <w:rPr>
          <w:rFonts w:ascii="Arial" w:hAnsi="Arial" w:cs="Arial"/>
          <w:lang w:val="en-GB"/>
        </w:rPr>
        <w:t>practices used more by the organisations in private sector.</w:t>
      </w:r>
    </w:p>
    <w:p w14:paraId="264446AD" w14:textId="63CA68C8" w:rsidR="00BE6E86" w:rsidRPr="00EA30A4" w:rsidRDefault="00020520" w:rsidP="00EA30A4">
      <w:pPr>
        <w:spacing w:line="360" w:lineRule="auto"/>
        <w:ind w:firstLine="708"/>
        <w:jc w:val="both"/>
        <w:rPr>
          <w:rFonts w:ascii="Arial" w:hAnsi="Arial" w:cs="Arial"/>
          <w:lang w:val="en-GB"/>
        </w:rPr>
      </w:pPr>
      <w:r w:rsidRPr="00EA30A4">
        <w:rPr>
          <w:rFonts w:ascii="Arial" w:hAnsi="Arial" w:cs="Arial"/>
          <w:lang w:val="en-GB"/>
        </w:rPr>
        <w:t xml:space="preserve">A "model employer" style of HRM, </w:t>
      </w:r>
      <w:r w:rsidR="00772D36" w:rsidRPr="00EA30A4">
        <w:rPr>
          <w:rFonts w:ascii="Arial" w:hAnsi="Arial" w:cs="Arial"/>
          <w:lang w:val="en-GB"/>
        </w:rPr>
        <w:t>like</w:t>
      </w:r>
      <w:r w:rsidRPr="00EA30A4">
        <w:rPr>
          <w:rFonts w:ascii="Arial" w:hAnsi="Arial" w:cs="Arial"/>
          <w:lang w:val="en-GB"/>
        </w:rPr>
        <w:t xml:space="preserve"> the welfare-focused public sector HRM, has evolved within private sector firms as a result of their increased social responsibility (Poole et al., 2006; Paauwe &amp; Farndale, 2017).</w:t>
      </w:r>
    </w:p>
    <w:p w14:paraId="1C5F77B3" w14:textId="3504F4AE" w:rsidR="00EA30A4" w:rsidRDefault="000C06DB" w:rsidP="003A4BB1">
      <w:pPr>
        <w:spacing w:line="360" w:lineRule="auto"/>
        <w:ind w:firstLine="708"/>
        <w:jc w:val="both"/>
        <w:rPr>
          <w:rFonts w:ascii="Arial" w:hAnsi="Arial" w:cs="Arial"/>
          <w:lang w:val="en-GB"/>
        </w:rPr>
      </w:pPr>
      <w:r w:rsidRPr="00EA30A4">
        <w:rPr>
          <w:rFonts w:ascii="Arial" w:hAnsi="Arial" w:cs="Arial"/>
          <w:lang w:val="en-GB"/>
        </w:rPr>
        <w:t xml:space="preserve">Historically, </w:t>
      </w:r>
      <w:r w:rsidR="00347654">
        <w:rPr>
          <w:rFonts w:ascii="Arial" w:hAnsi="Arial" w:cs="Arial"/>
          <w:lang w:val="en-GB"/>
        </w:rPr>
        <w:t>p</w:t>
      </w:r>
      <w:r w:rsidR="00347654" w:rsidRPr="00514B79">
        <w:rPr>
          <w:rFonts w:ascii="Arial" w:hAnsi="Arial" w:cs="Arial"/>
          <w:lang w:val="en-GB"/>
        </w:rPr>
        <w:t>ublic personnel policies have prioritised justice, employee well-being, and trade union relations (soft HRM) over rational management interest in boosting organisational performance (hard HRM) (Farnham &amp; Horton, 1996). Empirical data supports these public-private sector differences, showing that public sector organisations use some HRM practices—like performance-related pay—less and others—like participation in decision-making—more (Boyne et al., 1999; Kalleberg, 2006).</w:t>
      </w:r>
    </w:p>
    <w:p w14:paraId="7042ADC4" w14:textId="77777777" w:rsidR="00347654" w:rsidRDefault="00DD28C4" w:rsidP="003A4BB1">
      <w:pPr>
        <w:spacing w:line="360" w:lineRule="auto"/>
        <w:ind w:firstLine="708"/>
        <w:rPr>
          <w:rStyle w:val="auteur"/>
          <w:rFonts w:ascii="Arial" w:hAnsi="Arial" w:cs="Arial"/>
          <w:color w:val="000000" w:themeColor="text1"/>
        </w:rPr>
      </w:pPr>
      <w:r w:rsidRPr="00EA30A4">
        <w:rPr>
          <w:rFonts w:ascii="Arial" w:hAnsi="Arial" w:cs="Arial"/>
          <w:lang w:val="en-GB"/>
        </w:rPr>
        <w:t xml:space="preserve">While research indicates that public and private sector employees behave </w:t>
      </w:r>
      <w:r w:rsidR="009A0F53" w:rsidRPr="00EA30A4">
        <w:rPr>
          <w:rFonts w:ascii="Arial" w:hAnsi="Arial" w:cs="Arial"/>
          <w:lang w:val="en-GB"/>
        </w:rPr>
        <w:t xml:space="preserve">on a </w:t>
      </w:r>
      <w:r w:rsidRPr="00EA30A4">
        <w:rPr>
          <w:rFonts w:ascii="Arial" w:hAnsi="Arial" w:cs="Arial"/>
          <w:lang w:val="en-GB"/>
        </w:rPr>
        <w:t>different</w:t>
      </w:r>
      <w:r w:rsidR="009A0F53" w:rsidRPr="00EA30A4">
        <w:rPr>
          <w:rFonts w:ascii="Arial" w:hAnsi="Arial" w:cs="Arial"/>
          <w:lang w:val="en-GB"/>
        </w:rPr>
        <w:t xml:space="preserve"> way</w:t>
      </w:r>
      <w:r w:rsidRPr="00EA30A4">
        <w:rPr>
          <w:rFonts w:ascii="Arial" w:hAnsi="Arial" w:cs="Arial"/>
          <w:lang w:val="en-GB"/>
        </w:rPr>
        <w:t xml:space="preserve"> when not at work, th</w:t>
      </w:r>
      <w:r w:rsidR="009A0F53" w:rsidRPr="00EA30A4">
        <w:rPr>
          <w:rFonts w:ascii="Arial" w:hAnsi="Arial" w:cs="Arial"/>
          <w:lang w:val="en-GB"/>
        </w:rPr>
        <w:t xml:space="preserve">e </w:t>
      </w:r>
      <w:r w:rsidRPr="00EA30A4">
        <w:rPr>
          <w:rFonts w:ascii="Arial" w:hAnsi="Arial" w:cs="Arial"/>
          <w:lang w:val="en-GB"/>
        </w:rPr>
        <w:t xml:space="preserve">organisational change and computerisation survey focuses primarily on the convergence of the public and private sectors. In </w:t>
      </w:r>
      <w:r w:rsidR="00347654">
        <w:rPr>
          <w:rFonts w:ascii="Arial" w:hAnsi="Arial" w:cs="Arial"/>
          <w:lang w:val="en-GB"/>
        </w:rPr>
        <w:t>oppositions</w:t>
      </w:r>
      <w:r w:rsidRPr="00EA30A4">
        <w:rPr>
          <w:rFonts w:ascii="Arial" w:hAnsi="Arial" w:cs="Arial"/>
          <w:lang w:val="en-GB"/>
        </w:rPr>
        <w:t xml:space="preserve"> to the private sector, the civil service has a </w:t>
      </w:r>
      <w:r w:rsidR="00347654">
        <w:rPr>
          <w:rFonts w:ascii="Arial" w:hAnsi="Arial" w:cs="Arial"/>
          <w:lang w:val="en-GB"/>
        </w:rPr>
        <w:t xml:space="preserve">smaller </w:t>
      </w:r>
      <w:r w:rsidRPr="00EA30A4">
        <w:rPr>
          <w:rFonts w:ascii="Arial" w:hAnsi="Arial" w:cs="Arial"/>
          <w:lang w:val="en-GB"/>
        </w:rPr>
        <w:t xml:space="preserve"> level of oversight and less direct contact with the general public</w:t>
      </w:r>
      <w:r w:rsidR="00A008CD" w:rsidRPr="00EA30A4">
        <w:rPr>
          <w:rFonts w:ascii="Arial" w:hAnsi="Arial" w:cs="Arial"/>
          <w:lang w:val="en-GB"/>
        </w:rPr>
        <w:t xml:space="preserve"> </w:t>
      </w:r>
      <w:r w:rsidR="00413F72" w:rsidRPr="00EA30A4">
        <w:rPr>
          <w:rFonts w:ascii="Arial" w:hAnsi="Arial" w:cs="Arial"/>
          <w:lang w:val="en-GB"/>
        </w:rPr>
        <w:t>(</w:t>
      </w:r>
      <w:hyperlink r:id="rId9" w:history="1">
        <w:r w:rsidR="00413F72" w:rsidRPr="00EA30A4">
          <w:rPr>
            <w:rStyle w:val="Hyperlink"/>
            <w:rFonts w:ascii="Arial" w:hAnsi="Arial" w:cs="Arial"/>
            <w:color w:val="000000" w:themeColor="text1"/>
            <w:u w:val="none"/>
          </w:rPr>
          <w:t>Guillemot</w:t>
        </w:r>
      </w:hyperlink>
      <w:r w:rsidR="00413F72" w:rsidRPr="00EA30A4">
        <w:rPr>
          <w:rFonts w:ascii="Arial" w:hAnsi="Arial" w:cs="Arial"/>
          <w:color w:val="000000" w:themeColor="text1"/>
        </w:rPr>
        <w:t>,</w:t>
      </w:r>
      <w:r w:rsidR="009A0F53" w:rsidRPr="00EA30A4">
        <w:rPr>
          <w:rFonts w:ascii="Arial" w:hAnsi="Arial" w:cs="Arial"/>
          <w:color w:val="000000" w:themeColor="text1"/>
        </w:rPr>
        <w:t xml:space="preserve"> </w:t>
      </w:r>
      <w:hyperlink r:id="rId10" w:history="1">
        <w:r w:rsidR="00413F72" w:rsidRPr="00EA30A4">
          <w:rPr>
            <w:rStyle w:val="Hyperlink"/>
            <w:rFonts w:ascii="Arial" w:hAnsi="Arial" w:cs="Arial"/>
            <w:color w:val="000000" w:themeColor="text1"/>
            <w:u w:val="none"/>
          </w:rPr>
          <w:t xml:space="preserve"> Jeannot</w:t>
        </w:r>
      </w:hyperlink>
      <w:r w:rsidR="00413F72" w:rsidRPr="00EA30A4">
        <w:rPr>
          <w:rFonts w:ascii="Arial" w:hAnsi="Arial" w:cs="Arial"/>
          <w:color w:val="000000" w:themeColor="text1"/>
        </w:rPr>
        <w:t>, </w:t>
      </w:r>
      <w:hyperlink r:id="rId11" w:history="1">
        <w:r w:rsidR="00413F72" w:rsidRPr="00EA30A4">
          <w:rPr>
            <w:rStyle w:val="Hyperlink"/>
            <w:rFonts w:ascii="Arial" w:hAnsi="Arial" w:cs="Arial"/>
            <w:color w:val="000000" w:themeColor="text1"/>
            <w:u w:val="none"/>
          </w:rPr>
          <w:t xml:space="preserve"> Peyrin</w:t>
        </w:r>
      </w:hyperlink>
      <w:r w:rsidR="00A32702" w:rsidRPr="00EA30A4">
        <w:rPr>
          <w:rStyle w:val="auteur"/>
          <w:rFonts w:ascii="Arial" w:hAnsi="Arial" w:cs="Arial"/>
          <w:color w:val="000000" w:themeColor="text1"/>
        </w:rPr>
        <w:t>,</w:t>
      </w:r>
      <w:r w:rsidR="00AB5765" w:rsidRPr="00EA30A4">
        <w:rPr>
          <w:rStyle w:val="auteur"/>
          <w:rFonts w:ascii="Arial" w:hAnsi="Arial" w:cs="Arial"/>
          <w:color w:val="000000" w:themeColor="text1"/>
        </w:rPr>
        <w:t xml:space="preserve"> </w:t>
      </w:r>
      <w:r w:rsidR="00A32702" w:rsidRPr="00EA30A4">
        <w:rPr>
          <w:rStyle w:val="auteur"/>
          <w:rFonts w:ascii="Arial" w:hAnsi="Arial" w:cs="Arial"/>
          <w:color w:val="000000" w:themeColor="text1"/>
        </w:rPr>
        <w:t>2009)</w:t>
      </w:r>
      <w:r w:rsidR="0039255B" w:rsidRPr="00EA30A4">
        <w:rPr>
          <w:rStyle w:val="auteur"/>
          <w:rFonts w:ascii="Arial" w:hAnsi="Arial" w:cs="Arial"/>
          <w:color w:val="000000" w:themeColor="text1"/>
        </w:rPr>
        <w:t>.</w:t>
      </w:r>
      <w:r w:rsidR="00347654" w:rsidRPr="00347654">
        <w:rPr>
          <w:rStyle w:val="auteur"/>
          <w:rFonts w:ascii="Arial" w:hAnsi="Arial" w:cs="Arial"/>
          <w:color w:val="000000" w:themeColor="text1"/>
        </w:rPr>
        <w:t xml:space="preserve"> </w:t>
      </w:r>
    </w:p>
    <w:p w14:paraId="5BA187B1" w14:textId="54021DEB" w:rsidR="00347654" w:rsidRPr="006E2264" w:rsidRDefault="00347654" w:rsidP="003A4BB1">
      <w:pPr>
        <w:spacing w:line="360" w:lineRule="auto"/>
        <w:ind w:firstLine="708"/>
        <w:rPr>
          <w:rFonts w:ascii="Arial" w:hAnsi="Arial" w:cs="Arial"/>
          <w:color w:val="000000" w:themeColor="text1"/>
        </w:rPr>
      </w:pPr>
      <w:r w:rsidRPr="006E2264">
        <w:rPr>
          <w:rStyle w:val="auteur"/>
          <w:rFonts w:ascii="Arial" w:hAnsi="Arial" w:cs="Arial"/>
          <w:color w:val="000000" w:themeColor="text1"/>
        </w:rPr>
        <w:t xml:space="preserve">The proliferation of New Public Management and managerial technologies has given rise to a similarity tide. </w:t>
      </w:r>
      <w:r w:rsidRPr="00AB21AC">
        <w:rPr>
          <w:rStyle w:val="auteur"/>
          <w:rFonts w:ascii="Arial" w:hAnsi="Arial" w:cs="Arial"/>
        </w:rPr>
        <w:t>According to the proponents of this strategy, the parallels between the public sector and the private sector can be increased through the implementation of financial control, efficiency, decentralisation and downsizing, the pursuit of excellence, market principles, quality, and a focus on the client (Poor et al. 2009).</w:t>
      </w:r>
    </w:p>
    <w:p w14:paraId="341C3738" w14:textId="1BFEF884" w:rsidR="00011A1F" w:rsidRPr="00EB25B3" w:rsidRDefault="00E838C8" w:rsidP="00EB25B3">
      <w:pPr>
        <w:pStyle w:val="Heading1"/>
        <w:rPr>
          <w:rStyle w:val="auteur"/>
          <w:rFonts w:ascii="Arial" w:hAnsi="Arial" w:cs="Arial"/>
          <w:b w:val="0"/>
          <w:bCs w:val="0"/>
          <w:color w:val="000000" w:themeColor="text1"/>
          <w:sz w:val="22"/>
          <w:szCs w:val="22"/>
        </w:rPr>
      </w:pPr>
      <w:bookmarkStart w:id="3" w:name="_Toc138241006"/>
      <w:r w:rsidRPr="00EB25B3">
        <w:rPr>
          <w:rStyle w:val="auteur"/>
          <w:rFonts w:ascii="Arial" w:hAnsi="Arial" w:cs="Arial"/>
          <w:b w:val="0"/>
          <w:bCs w:val="0"/>
          <w:color w:val="000000" w:themeColor="text1"/>
          <w:sz w:val="22"/>
          <w:szCs w:val="22"/>
        </w:rPr>
        <w:t>3. The effectiveness of HR strategy - ownership, structure, culture  and agency theory</w:t>
      </w:r>
      <w:bookmarkEnd w:id="3"/>
    </w:p>
    <w:p w14:paraId="2F02DCED" w14:textId="2D7FE757" w:rsidR="00EA30A4" w:rsidRDefault="0081642A" w:rsidP="00EB25B3">
      <w:pPr>
        <w:pStyle w:val="Heading2"/>
        <w:rPr>
          <w:rStyle w:val="auteur"/>
          <w:rFonts w:cs="Arial"/>
          <w:szCs w:val="22"/>
        </w:rPr>
      </w:pPr>
      <w:bookmarkStart w:id="4" w:name="_Toc138241007"/>
      <w:r>
        <w:rPr>
          <w:rStyle w:val="auteur"/>
          <w:rFonts w:cs="Arial"/>
          <w:szCs w:val="22"/>
        </w:rPr>
        <w:t xml:space="preserve">3.1 </w:t>
      </w:r>
      <w:r w:rsidR="00011A1F" w:rsidRPr="00EA30A4">
        <w:rPr>
          <w:rStyle w:val="auteur"/>
          <w:rFonts w:cs="Arial"/>
          <w:szCs w:val="22"/>
        </w:rPr>
        <w:t>Agency theory</w:t>
      </w:r>
      <w:bookmarkEnd w:id="4"/>
      <w:r w:rsidR="00011A1F" w:rsidRPr="00EA30A4">
        <w:rPr>
          <w:rStyle w:val="auteur"/>
          <w:rFonts w:cs="Arial"/>
          <w:szCs w:val="22"/>
        </w:rPr>
        <w:t xml:space="preserve"> </w:t>
      </w:r>
    </w:p>
    <w:p w14:paraId="300D74D0" w14:textId="77777777" w:rsidR="00347654" w:rsidRPr="006E2264" w:rsidRDefault="00347654" w:rsidP="003A4BB1">
      <w:pPr>
        <w:pStyle w:val="meta"/>
        <w:shd w:val="clear" w:color="auto" w:fill="FFFFFF"/>
        <w:spacing w:after="0" w:afterAutospacing="0" w:line="360" w:lineRule="auto"/>
        <w:ind w:firstLine="708"/>
        <w:jc w:val="both"/>
        <w:rPr>
          <w:rStyle w:val="auteur"/>
          <w:rFonts w:ascii="Arial" w:hAnsi="Arial" w:cs="Arial"/>
          <w:color w:val="000000" w:themeColor="text1"/>
          <w:sz w:val="22"/>
          <w:szCs w:val="22"/>
        </w:rPr>
      </w:pPr>
      <w:bookmarkStart w:id="5" w:name="_Toc138240675"/>
      <w:bookmarkStart w:id="6" w:name="_Toc138241008"/>
      <w:r w:rsidRPr="00AB21AC">
        <w:rPr>
          <w:rStyle w:val="auteur"/>
          <w:rFonts w:ascii="Arial" w:hAnsi="Arial" w:cs="Arial"/>
          <w:color w:val="000000" w:themeColor="text1"/>
          <w:sz w:val="22"/>
          <w:szCs w:val="22"/>
        </w:rPr>
        <w:t xml:space="preserve">Agency theory is a concept that </w:t>
      </w:r>
      <w:r>
        <w:rPr>
          <w:rStyle w:val="auteur"/>
          <w:rFonts w:ascii="Arial" w:hAnsi="Arial" w:cs="Arial"/>
          <w:color w:val="000000" w:themeColor="text1"/>
          <w:sz w:val="22"/>
          <w:szCs w:val="22"/>
        </w:rPr>
        <w:t>describes</w:t>
      </w:r>
      <w:r w:rsidRPr="00AB21AC">
        <w:rPr>
          <w:rStyle w:val="auteur"/>
          <w:rFonts w:ascii="Arial" w:hAnsi="Arial" w:cs="Arial"/>
          <w:color w:val="000000" w:themeColor="text1"/>
          <w:sz w:val="22"/>
          <w:szCs w:val="22"/>
        </w:rPr>
        <w:t xml:space="preserve"> and resolves conflicts in the relationship between corporate owners and their agents. It achieves this by emphasising on the roles of principals and agents in the transaction process. Typically, this is the relationship between corporate shareholders, who act as principals, and company administrators, who act as agents. The objective of agency theory is to explain and resolve disagreements regarding the respective priorities of principals and their agents (Koop, 2021).</w:t>
      </w:r>
    </w:p>
    <w:p w14:paraId="37254645" w14:textId="2F6DA23D" w:rsidR="00EA30A4" w:rsidRPr="001D2C5E" w:rsidRDefault="006F0B06" w:rsidP="003A4BB1">
      <w:pPr>
        <w:pStyle w:val="Heading2"/>
        <w:spacing w:line="360" w:lineRule="auto"/>
        <w:rPr>
          <w:rStyle w:val="auteur"/>
        </w:rPr>
      </w:pPr>
      <w:r w:rsidRPr="001D2C5E">
        <w:rPr>
          <w:rStyle w:val="auteur"/>
        </w:rPr>
        <w:lastRenderedPageBreak/>
        <w:t xml:space="preserve">3.2 </w:t>
      </w:r>
      <w:r w:rsidR="00EF766F" w:rsidRPr="001D2C5E">
        <w:rPr>
          <w:rStyle w:val="auteur"/>
        </w:rPr>
        <w:t>Structure</w:t>
      </w:r>
      <w:bookmarkEnd w:id="5"/>
      <w:bookmarkEnd w:id="6"/>
    </w:p>
    <w:p w14:paraId="4555A4BF" w14:textId="3032692A" w:rsidR="00BB2F0A" w:rsidRPr="00EA30A4" w:rsidRDefault="001E02AF" w:rsidP="00EA30A4">
      <w:pPr>
        <w:pStyle w:val="meta"/>
        <w:shd w:val="clear" w:color="auto" w:fill="FFFFFF"/>
        <w:spacing w:after="0" w:afterAutospacing="0" w:line="360" w:lineRule="auto"/>
        <w:ind w:firstLine="708"/>
        <w:jc w:val="both"/>
        <w:rPr>
          <w:rFonts w:ascii="Arial" w:hAnsi="Arial" w:cs="Arial"/>
          <w:color w:val="000000" w:themeColor="text1"/>
          <w:sz w:val="22"/>
          <w:szCs w:val="22"/>
        </w:rPr>
      </w:pPr>
      <w:r w:rsidRPr="00EA30A4">
        <w:rPr>
          <w:rStyle w:val="auteur"/>
          <w:rFonts w:ascii="Arial" w:hAnsi="Arial" w:cs="Arial"/>
          <w:color w:val="000000" w:themeColor="text1"/>
          <w:sz w:val="22"/>
          <w:szCs w:val="22"/>
        </w:rPr>
        <w:t>In recent years, management concepts from the private sector have been implemented in previously unheard-of methods in the public sector and across all public policy domains, including health care, education, transportation, and security, as well as the central bureaucratic services. Alford and Hughes (2008) hypothesised that business-like practises would increase the efficacy and effectiveness of public organisations.</w:t>
      </w:r>
      <w:r w:rsidR="004572D9" w:rsidRPr="00EA30A4">
        <w:rPr>
          <w:rFonts w:ascii="Arial" w:hAnsi="Arial" w:cs="Arial"/>
          <w:sz w:val="22"/>
          <w:szCs w:val="22"/>
        </w:rPr>
        <w:t xml:space="preserve"> </w:t>
      </w:r>
      <w:r w:rsidR="004572D9" w:rsidRPr="00EA30A4">
        <w:rPr>
          <w:rStyle w:val="auteur"/>
          <w:rFonts w:ascii="Arial" w:hAnsi="Arial" w:cs="Arial"/>
          <w:color w:val="000000" w:themeColor="text1"/>
          <w:sz w:val="22"/>
          <w:szCs w:val="22"/>
        </w:rPr>
        <w:t xml:space="preserve">This premise takes on further significance in contexts where deficit and debt reduction through cuts in public spending are priorities, such as the 1980s or now for governments across the European Union. Although the notion of New Public Management may appear to have lost the early enthusiasm it experienced two decades ago (Osborne, Radnor, &amp; Nasi, 2013), New Public Management reforms, whether formally or tacitly, are still a </w:t>
      </w:r>
      <w:r w:rsidR="00347654">
        <w:rPr>
          <w:rStyle w:val="auteur"/>
          <w:rFonts w:ascii="Arial" w:hAnsi="Arial" w:cs="Arial"/>
          <w:color w:val="000000" w:themeColor="text1"/>
          <w:sz w:val="22"/>
          <w:szCs w:val="22"/>
        </w:rPr>
        <w:t>important</w:t>
      </w:r>
      <w:r w:rsidR="004572D9" w:rsidRPr="00EA30A4">
        <w:rPr>
          <w:rStyle w:val="auteur"/>
          <w:rFonts w:ascii="Arial" w:hAnsi="Arial" w:cs="Arial"/>
          <w:color w:val="000000" w:themeColor="text1"/>
          <w:sz w:val="22"/>
          <w:szCs w:val="22"/>
        </w:rPr>
        <w:t xml:space="preserve"> driver for change in most public administrations.</w:t>
      </w:r>
      <w:r w:rsidR="00BB2F0A" w:rsidRPr="00EA30A4">
        <w:rPr>
          <w:rFonts w:ascii="Arial" w:hAnsi="Arial" w:cs="Arial"/>
          <w:sz w:val="22"/>
          <w:szCs w:val="22"/>
        </w:rPr>
        <w:t xml:space="preserve"> </w:t>
      </w:r>
    </w:p>
    <w:p w14:paraId="4ADE5D5A" w14:textId="598636DB" w:rsidR="00EF766F" w:rsidRPr="00EA30A4" w:rsidRDefault="00BB2F0A" w:rsidP="00EA30A4">
      <w:pPr>
        <w:pStyle w:val="Heading1"/>
        <w:shd w:val="clear" w:color="auto" w:fill="FFFFFF"/>
        <w:spacing w:before="0" w:beforeAutospacing="0" w:after="0" w:afterAutospacing="0" w:line="360" w:lineRule="auto"/>
        <w:ind w:firstLine="708"/>
        <w:rPr>
          <w:rStyle w:val="auteur"/>
          <w:rFonts w:ascii="Arial" w:hAnsi="Arial" w:cs="Arial"/>
          <w:b w:val="0"/>
          <w:bCs w:val="0"/>
          <w:color w:val="000000" w:themeColor="text1"/>
          <w:sz w:val="22"/>
          <w:szCs w:val="22"/>
        </w:rPr>
      </w:pPr>
      <w:bookmarkStart w:id="7" w:name="_Toc138240676"/>
      <w:bookmarkStart w:id="8" w:name="_Toc138240920"/>
      <w:bookmarkStart w:id="9" w:name="_Toc138241009"/>
      <w:r w:rsidRPr="00EA30A4">
        <w:rPr>
          <w:rStyle w:val="auteur"/>
          <w:rFonts w:ascii="Arial" w:hAnsi="Arial" w:cs="Arial"/>
          <w:b w:val="0"/>
          <w:bCs w:val="0"/>
          <w:color w:val="000000" w:themeColor="text1"/>
          <w:sz w:val="22"/>
          <w:szCs w:val="22"/>
        </w:rPr>
        <w:t>There is not a single, official line of command or chain of authority like there is in the private sector. Instead, authority is decentralised throughout the public sector</w:t>
      </w:r>
      <w:r w:rsidR="0090696E" w:rsidRPr="00EA30A4">
        <w:rPr>
          <w:rStyle w:val="auteur"/>
          <w:rFonts w:ascii="Arial" w:hAnsi="Arial" w:cs="Arial"/>
          <w:b w:val="0"/>
          <w:bCs w:val="0"/>
          <w:sz w:val="22"/>
          <w:szCs w:val="22"/>
        </w:rPr>
        <w:t>(Moore</w:t>
      </w:r>
      <w:r w:rsidR="004D10EC" w:rsidRPr="00EA30A4">
        <w:rPr>
          <w:rStyle w:val="auteur"/>
          <w:rFonts w:ascii="Arial" w:hAnsi="Arial" w:cs="Arial"/>
          <w:b w:val="0"/>
          <w:bCs w:val="0"/>
          <w:sz w:val="22"/>
          <w:szCs w:val="22"/>
        </w:rPr>
        <w:t>,</w:t>
      </w:r>
      <w:r w:rsidR="0090696E" w:rsidRPr="00EA30A4">
        <w:rPr>
          <w:rStyle w:val="auteur"/>
          <w:rFonts w:ascii="Arial" w:hAnsi="Arial" w:cs="Arial"/>
          <w:b w:val="0"/>
          <w:bCs w:val="0"/>
          <w:sz w:val="22"/>
          <w:szCs w:val="22"/>
        </w:rPr>
        <w:t xml:space="preserve"> 1987).</w:t>
      </w:r>
      <w:r w:rsidR="00892E2F" w:rsidRPr="00EA30A4">
        <w:rPr>
          <w:rFonts w:ascii="Arial" w:hAnsi="Arial" w:cs="Arial"/>
          <w:b w:val="0"/>
          <w:bCs w:val="0"/>
          <w:sz w:val="22"/>
          <w:szCs w:val="22"/>
        </w:rPr>
        <w:t xml:space="preserve"> </w:t>
      </w:r>
      <w:r w:rsidR="003A4BB1">
        <w:rPr>
          <w:rStyle w:val="auteur"/>
          <w:rFonts w:ascii="Arial" w:hAnsi="Arial" w:cs="Arial"/>
          <w:b w:val="0"/>
          <w:bCs w:val="0"/>
          <w:color w:val="000000" w:themeColor="text1"/>
          <w:sz w:val="22"/>
          <w:szCs w:val="22"/>
        </w:rPr>
        <w:t>Personnel</w:t>
      </w:r>
      <w:r w:rsidR="00892E2F" w:rsidRPr="00EA30A4">
        <w:rPr>
          <w:rStyle w:val="auteur"/>
          <w:rFonts w:ascii="Arial" w:hAnsi="Arial" w:cs="Arial"/>
          <w:b w:val="0"/>
          <w:bCs w:val="0"/>
          <w:color w:val="000000" w:themeColor="text1"/>
          <w:sz w:val="22"/>
          <w:szCs w:val="22"/>
        </w:rPr>
        <w:t xml:space="preserve"> in the private sector generally believe they report to one boss, whereas those in the public sector often feel they must answer to both the executive and legislative branches of government.</w:t>
      </w:r>
      <w:r w:rsidR="0069364C" w:rsidRPr="00EA30A4">
        <w:rPr>
          <w:rFonts w:ascii="Arial" w:hAnsi="Arial" w:cs="Arial"/>
          <w:b w:val="0"/>
          <w:bCs w:val="0"/>
          <w:sz w:val="22"/>
          <w:szCs w:val="22"/>
        </w:rPr>
        <w:t xml:space="preserve"> </w:t>
      </w:r>
      <w:r w:rsidR="0069364C" w:rsidRPr="00EA30A4">
        <w:rPr>
          <w:rStyle w:val="auteur"/>
          <w:rFonts w:ascii="Arial" w:hAnsi="Arial" w:cs="Arial"/>
          <w:b w:val="0"/>
          <w:bCs w:val="0"/>
          <w:color w:val="000000" w:themeColor="text1"/>
          <w:sz w:val="22"/>
          <w:szCs w:val="22"/>
        </w:rPr>
        <w:t>Because of the spread of authority, public employees are concerned not just with the aims of their organisation but also with how they might promote other political agendas. This is in addition to the traditional focus on achieving the goals of their organisation.</w:t>
      </w:r>
      <w:bookmarkEnd w:id="7"/>
      <w:bookmarkEnd w:id="8"/>
      <w:bookmarkEnd w:id="9"/>
    </w:p>
    <w:p w14:paraId="1F86A3F0" w14:textId="77777777" w:rsidR="004F235F" w:rsidRPr="00EA30A4" w:rsidRDefault="004F235F" w:rsidP="00EA30A4">
      <w:pPr>
        <w:pStyle w:val="Heading1"/>
        <w:shd w:val="clear" w:color="auto" w:fill="FFFFFF"/>
        <w:spacing w:before="0" w:beforeAutospacing="0" w:after="0" w:afterAutospacing="0" w:line="360" w:lineRule="auto"/>
        <w:ind w:firstLine="708"/>
        <w:rPr>
          <w:rStyle w:val="auteur"/>
          <w:rFonts w:ascii="Arial" w:hAnsi="Arial" w:cs="Arial"/>
          <w:b w:val="0"/>
          <w:bCs w:val="0"/>
          <w:color w:val="000000" w:themeColor="text1"/>
          <w:sz w:val="22"/>
          <w:szCs w:val="22"/>
        </w:rPr>
      </w:pPr>
    </w:p>
    <w:p w14:paraId="72FF65C0" w14:textId="3CE2FDEC" w:rsidR="004F235F" w:rsidRPr="00EB25B3" w:rsidRDefault="00EB25B3" w:rsidP="00EB25B3">
      <w:pPr>
        <w:pStyle w:val="Heading2"/>
        <w:rPr>
          <w:rStyle w:val="auteur"/>
          <w:rFonts w:cs="Arial"/>
          <w:szCs w:val="22"/>
        </w:rPr>
      </w:pPr>
      <w:bookmarkStart w:id="10" w:name="_Toc138241010"/>
      <w:r>
        <w:rPr>
          <w:rStyle w:val="auteur"/>
          <w:rFonts w:cs="Arial"/>
          <w:szCs w:val="22"/>
        </w:rPr>
        <w:t>3.</w:t>
      </w:r>
      <w:r w:rsidR="006F0B06">
        <w:rPr>
          <w:rStyle w:val="auteur"/>
          <w:rFonts w:cs="Arial"/>
          <w:szCs w:val="22"/>
        </w:rPr>
        <w:t>3</w:t>
      </w:r>
      <w:r>
        <w:rPr>
          <w:rStyle w:val="auteur"/>
          <w:rFonts w:cs="Arial"/>
          <w:szCs w:val="22"/>
        </w:rPr>
        <w:t xml:space="preserve"> </w:t>
      </w:r>
      <w:r w:rsidR="0070420F" w:rsidRPr="00EB25B3">
        <w:rPr>
          <w:rStyle w:val="auteur"/>
          <w:rFonts w:cs="Arial"/>
          <w:szCs w:val="22"/>
        </w:rPr>
        <w:t>Ownership</w:t>
      </w:r>
      <w:bookmarkEnd w:id="10"/>
    </w:p>
    <w:p w14:paraId="6D5C13D3" w14:textId="77777777" w:rsidR="003A4BB1" w:rsidRDefault="003A4BB1" w:rsidP="003A4BB1">
      <w:pPr>
        <w:pStyle w:val="meta"/>
        <w:shd w:val="clear" w:color="auto" w:fill="FFFFFF"/>
        <w:spacing w:after="0" w:afterAutospacing="0" w:line="360" w:lineRule="auto"/>
        <w:ind w:firstLine="708"/>
        <w:jc w:val="both"/>
        <w:rPr>
          <w:rStyle w:val="auteur"/>
          <w:rFonts w:ascii="Arial" w:hAnsi="Arial" w:cs="Arial"/>
          <w:color w:val="000000" w:themeColor="text1"/>
          <w:sz w:val="22"/>
          <w:szCs w:val="22"/>
        </w:rPr>
      </w:pPr>
      <w:r w:rsidRPr="00A75D49">
        <w:rPr>
          <w:rStyle w:val="auteur"/>
          <w:rFonts w:ascii="Arial" w:hAnsi="Arial" w:cs="Arial"/>
          <w:color w:val="000000" w:themeColor="text1"/>
          <w:sz w:val="22"/>
          <w:szCs w:val="22"/>
        </w:rPr>
        <w:t xml:space="preserve">As per the findings of Poor et al. (2009), public institutions are administered and funded by political communities at </w:t>
      </w:r>
      <w:r>
        <w:rPr>
          <w:rStyle w:val="auteur"/>
          <w:rFonts w:ascii="Arial" w:hAnsi="Arial" w:cs="Arial"/>
          <w:color w:val="000000" w:themeColor="text1"/>
          <w:sz w:val="22"/>
          <w:szCs w:val="22"/>
        </w:rPr>
        <w:t>various</w:t>
      </w:r>
      <w:r w:rsidRPr="00A75D49">
        <w:rPr>
          <w:rStyle w:val="auteur"/>
          <w:rFonts w:ascii="Arial" w:hAnsi="Arial" w:cs="Arial"/>
          <w:color w:val="000000" w:themeColor="text1"/>
          <w:sz w:val="22"/>
          <w:szCs w:val="22"/>
        </w:rPr>
        <w:t xml:space="preserve"> tiers of governance, whereas privately owned enterprises are predominantly motivated by the interests of business proprietors or shareholders.</w:t>
      </w:r>
    </w:p>
    <w:p w14:paraId="7A8B4F0E" w14:textId="017889A8" w:rsidR="0088762D" w:rsidRPr="00EA30A4" w:rsidRDefault="009A56B7" w:rsidP="00EA30A4">
      <w:pPr>
        <w:pStyle w:val="meta"/>
        <w:shd w:val="clear" w:color="auto" w:fill="FFFFFF"/>
        <w:spacing w:after="0" w:afterAutospacing="0" w:line="360" w:lineRule="auto"/>
        <w:ind w:firstLine="708"/>
        <w:jc w:val="both"/>
        <w:rPr>
          <w:rFonts w:ascii="Arial" w:hAnsi="Arial" w:cs="Arial"/>
          <w:sz w:val="22"/>
          <w:szCs w:val="22"/>
        </w:rPr>
      </w:pPr>
      <w:r w:rsidRPr="00EA30A4">
        <w:rPr>
          <w:rStyle w:val="auteur"/>
          <w:rFonts w:ascii="Arial" w:hAnsi="Arial" w:cs="Arial"/>
          <w:color w:val="000000" w:themeColor="text1"/>
          <w:sz w:val="22"/>
          <w:szCs w:val="22"/>
        </w:rPr>
        <w:t>According to Poor</w:t>
      </w:r>
      <w:r w:rsidR="006E17A6" w:rsidRPr="00EA30A4">
        <w:rPr>
          <w:rStyle w:val="auteur"/>
          <w:rFonts w:ascii="Arial" w:hAnsi="Arial" w:cs="Arial"/>
          <w:color w:val="000000" w:themeColor="text1"/>
          <w:sz w:val="22"/>
          <w:szCs w:val="22"/>
        </w:rPr>
        <w:t xml:space="preserve"> et al. (2009)</w:t>
      </w:r>
      <w:r w:rsidRPr="00EA30A4">
        <w:rPr>
          <w:rStyle w:val="auteur"/>
          <w:rFonts w:ascii="Arial" w:hAnsi="Arial" w:cs="Arial"/>
          <w:color w:val="000000" w:themeColor="text1"/>
          <w:sz w:val="22"/>
          <w:szCs w:val="22"/>
        </w:rPr>
        <w:t xml:space="preserve"> </w:t>
      </w:r>
      <w:r w:rsidR="006E17A6" w:rsidRPr="00EA30A4">
        <w:rPr>
          <w:rStyle w:val="auteur"/>
          <w:rFonts w:ascii="Arial" w:hAnsi="Arial" w:cs="Arial"/>
          <w:color w:val="000000" w:themeColor="text1"/>
          <w:sz w:val="22"/>
          <w:szCs w:val="22"/>
        </w:rPr>
        <w:t>p</w:t>
      </w:r>
      <w:r w:rsidR="0088762D" w:rsidRPr="00EA30A4">
        <w:rPr>
          <w:rStyle w:val="auteur"/>
          <w:rFonts w:ascii="Arial" w:hAnsi="Arial" w:cs="Arial"/>
          <w:color w:val="000000" w:themeColor="text1"/>
          <w:sz w:val="22"/>
          <w:szCs w:val="22"/>
        </w:rPr>
        <w:t>rofitability and increasing shareholder value are the key focuses of organisations in the private sector. The HR practises that are used in this industry are in line with this purpose and place an emphasis on rewards based on performance, productivity, and efficiency. Programmes for the development and training of employees may have as their primary objective the improvement of individual and organisational performance.</w:t>
      </w:r>
      <w:r w:rsidR="0088762D" w:rsidRPr="00EA30A4">
        <w:rPr>
          <w:rFonts w:ascii="Arial" w:hAnsi="Arial" w:cs="Arial"/>
          <w:sz w:val="22"/>
          <w:szCs w:val="22"/>
        </w:rPr>
        <w:t xml:space="preserve"> </w:t>
      </w:r>
    </w:p>
    <w:p w14:paraId="5A3602C3" w14:textId="25171614" w:rsidR="0088762D" w:rsidRPr="00EA30A4" w:rsidRDefault="0088762D" w:rsidP="00EA30A4">
      <w:pPr>
        <w:pStyle w:val="meta"/>
        <w:shd w:val="clear" w:color="auto" w:fill="FFFFFF"/>
        <w:spacing w:after="0" w:afterAutospacing="0" w:line="360" w:lineRule="auto"/>
        <w:ind w:firstLine="708"/>
        <w:jc w:val="both"/>
        <w:rPr>
          <w:rStyle w:val="auteur"/>
          <w:rFonts w:ascii="Arial" w:hAnsi="Arial" w:cs="Arial"/>
          <w:color w:val="000000" w:themeColor="text1"/>
          <w:sz w:val="22"/>
          <w:szCs w:val="22"/>
        </w:rPr>
      </w:pPr>
      <w:r w:rsidRPr="00EA30A4">
        <w:rPr>
          <w:rStyle w:val="auteur"/>
          <w:rFonts w:ascii="Arial" w:hAnsi="Arial" w:cs="Arial"/>
          <w:color w:val="000000" w:themeColor="text1"/>
          <w:sz w:val="22"/>
          <w:szCs w:val="22"/>
        </w:rPr>
        <w:t xml:space="preserve">The public interest is the top priority of organisations in the public sector, which also strive to deliver services and fulfil social requirements. The emphasis placed on justice, equal opportunity, and social responsibility is a direct reflection of the focus of the HR practises. In </w:t>
      </w:r>
      <w:r w:rsidRPr="00EA30A4">
        <w:rPr>
          <w:rStyle w:val="auteur"/>
          <w:rFonts w:ascii="Arial" w:hAnsi="Arial" w:cs="Arial"/>
          <w:color w:val="000000" w:themeColor="text1"/>
          <w:sz w:val="22"/>
          <w:szCs w:val="22"/>
        </w:rPr>
        <w:lastRenderedPageBreak/>
        <w:t>order to promote meritocracy and assure justice, the selection procedure for open positions in the public sector may include both open competition and transparent selection criteria</w:t>
      </w:r>
      <w:r w:rsidR="00493BA1" w:rsidRPr="00EA30A4">
        <w:rPr>
          <w:rStyle w:val="auteur"/>
          <w:rFonts w:ascii="Arial" w:hAnsi="Arial" w:cs="Arial"/>
          <w:color w:val="000000" w:themeColor="text1"/>
          <w:sz w:val="22"/>
          <w:szCs w:val="22"/>
        </w:rPr>
        <w:t xml:space="preserve"> (Poor</w:t>
      </w:r>
      <w:r w:rsidR="00E34694" w:rsidRPr="00EA30A4">
        <w:rPr>
          <w:rStyle w:val="auteur"/>
          <w:rFonts w:ascii="Arial" w:hAnsi="Arial" w:cs="Arial"/>
          <w:color w:val="000000" w:themeColor="text1"/>
          <w:sz w:val="22"/>
          <w:szCs w:val="22"/>
        </w:rPr>
        <w:t xml:space="preserve"> </w:t>
      </w:r>
      <w:r w:rsidR="00493BA1" w:rsidRPr="00EA30A4">
        <w:rPr>
          <w:rStyle w:val="auteur"/>
          <w:rFonts w:ascii="Arial" w:hAnsi="Arial" w:cs="Arial"/>
          <w:color w:val="000000" w:themeColor="text1"/>
          <w:sz w:val="22"/>
          <w:szCs w:val="22"/>
        </w:rPr>
        <w:t>et al. 2009).</w:t>
      </w:r>
      <w:r w:rsidRPr="00EA30A4">
        <w:rPr>
          <w:rStyle w:val="auteur"/>
          <w:rFonts w:ascii="Arial" w:hAnsi="Arial" w:cs="Arial"/>
          <w:color w:val="000000" w:themeColor="text1"/>
          <w:sz w:val="22"/>
          <w:szCs w:val="22"/>
        </w:rPr>
        <w:t xml:space="preserve">  </w:t>
      </w:r>
    </w:p>
    <w:p w14:paraId="5202593B" w14:textId="464BE1AF" w:rsidR="007503A9" w:rsidRPr="00EA30A4" w:rsidRDefault="00EB25B3" w:rsidP="00EB25B3">
      <w:pPr>
        <w:pStyle w:val="Heading2"/>
        <w:rPr>
          <w:rStyle w:val="auteur"/>
          <w:rFonts w:cs="Arial"/>
          <w:szCs w:val="22"/>
        </w:rPr>
      </w:pPr>
      <w:bookmarkStart w:id="11" w:name="_Toc138241011"/>
      <w:r>
        <w:rPr>
          <w:rStyle w:val="auteur"/>
          <w:rFonts w:cs="Arial"/>
          <w:szCs w:val="22"/>
        </w:rPr>
        <w:t>3.</w:t>
      </w:r>
      <w:r w:rsidR="006F0B06">
        <w:rPr>
          <w:rStyle w:val="auteur"/>
          <w:rFonts w:cs="Arial"/>
          <w:szCs w:val="22"/>
        </w:rPr>
        <w:t>4</w:t>
      </w:r>
      <w:r>
        <w:rPr>
          <w:rStyle w:val="auteur"/>
          <w:rFonts w:cs="Arial"/>
          <w:szCs w:val="22"/>
        </w:rPr>
        <w:t xml:space="preserve"> </w:t>
      </w:r>
      <w:r w:rsidR="007503A9" w:rsidRPr="00EA30A4">
        <w:rPr>
          <w:rStyle w:val="auteur"/>
          <w:rFonts w:cs="Arial"/>
          <w:szCs w:val="22"/>
        </w:rPr>
        <w:t>Culture</w:t>
      </w:r>
      <w:bookmarkEnd w:id="11"/>
    </w:p>
    <w:p w14:paraId="6532051B" w14:textId="4E400AC4" w:rsidR="007503A9" w:rsidRPr="00EA30A4" w:rsidRDefault="00005259" w:rsidP="00EA30A4">
      <w:pPr>
        <w:pStyle w:val="meta"/>
        <w:shd w:val="clear" w:color="auto" w:fill="FFFFFF"/>
        <w:spacing w:after="0" w:afterAutospacing="0" w:line="360" w:lineRule="auto"/>
        <w:ind w:firstLine="708"/>
        <w:jc w:val="both"/>
        <w:rPr>
          <w:rStyle w:val="auteur"/>
          <w:rFonts w:ascii="Arial" w:hAnsi="Arial" w:cs="Arial"/>
          <w:color w:val="000000" w:themeColor="text1"/>
          <w:sz w:val="22"/>
          <w:szCs w:val="22"/>
        </w:rPr>
      </w:pPr>
      <w:r w:rsidRPr="00EA30A4">
        <w:rPr>
          <w:rStyle w:val="auteur"/>
          <w:rFonts w:ascii="Arial" w:hAnsi="Arial" w:cs="Arial"/>
          <w:color w:val="000000" w:themeColor="text1"/>
          <w:sz w:val="22"/>
          <w:szCs w:val="22"/>
        </w:rPr>
        <w:t>Accordin</w:t>
      </w:r>
      <w:r w:rsidR="007F1F72" w:rsidRPr="00EA30A4">
        <w:rPr>
          <w:rStyle w:val="auteur"/>
          <w:rFonts w:ascii="Arial" w:hAnsi="Arial" w:cs="Arial"/>
          <w:color w:val="000000" w:themeColor="text1"/>
          <w:sz w:val="22"/>
          <w:szCs w:val="22"/>
        </w:rPr>
        <w:t>g</w:t>
      </w:r>
      <w:r w:rsidRPr="00EA30A4">
        <w:rPr>
          <w:rStyle w:val="auteur"/>
          <w:rFonts w:ascii="Arial" w:hAnsi="Arial" w:cs="Arial"/>
          <w:color w:val="000000" w:themeColor="text1"/>
          <w:sz w:val="22"/>
          <w:szCs w:val="22"/>
        </w:rPr>
        <w:t xml:space="preserve"> to </w:t>
      </w:r>
      <w:r w:rsidR="00E322DA" w:rsidRPr="00EA30A4">
        <w:rPr>
          <w:rStyle w:val="auteur"/>
          <w:rFonts w:ascii="Arial" w:hAnsi="Arial" w:cs="Arial"/>
          <w:color w:val="000000" w:themeColor="text1"/>
          <w:sz w:val="22"/>
          <w:szCs w:val="22"/>
        </w:rPr>
        <w:t xml:space="preserve">Poor et al (2009) </w:t>
      </w:r>
      <w:r w:rsidR="00BA6013" w:rsidRPr="00EA30A4">
        <w:rPr>
          <w:rStyle w:val="auteur"/>
          <w:rFonts w:ascii="Arial" w:hAnsi="Arial" w:cs="Arial"/>
          <w:color w:val="000000" w:themeColor="text1"/>
          <w:sz w:val="22"/>
          <w:szCs w:val="22"/>
        </w:rPr>
        <w:t>there are three different culture stream:</w:t>
      </w:r>
    </w:p>
    <w:p w14:paraId="4D58844C" w14:textId="714B4AFB" w:rsidR="003E2675" w:rsidRPr="00EA30A4" w:rsidRDefault="003E2675" w:rsidP="00EA30A4">
      <w:pPr>
        <w:pStyle w:val="meta"/>
        <w:numPr>
          <w:ilvl w:val="0"/>
          <w:numId w:val="6"/>
        </w:numPr>
        <w:shd w:val="clear" w:color="auto" w:fill="FFFFFF"/>
        <w:spacing w:after="0" w:afterAutospacing="0" w:line="360" w:lineRule="auto"/>
        <w:jc w:val="both"/>
        <w:rPr>
          <w:rStyle w:val="auteur"/>
          <w:rFonts w:ascii="Arial" w:hAnsi="Arial" w:cs="Arial"/>
          <w:color w:val="000000" w:themeColor="text1"/>
          <w:sz w:val="22"/>
          <w:szCs w:val="22"/>
        </w:rPr>
      </w:pPr>
      <w:r w:rsidRPr="00EA30A4">
        <w:rPr>
          <w:rStyle w:val="auteur"/>
          <w:rFonts w:ascii="Arial" w:hAnsi="Arial" w:cs="Arial"/>
          <w:color w:val="000000" w:themeColor="text1"/>
          <w:sz w:val="22"/>
          <w:szCs w:val="22"/>
        </w:rPr>
        <w:t xml:space="preserve">Convergence </w:t>
      </w:r>
      <w:r w:rsidR="00F86E49" w:rsidRPr="00EA30A4">
        <w:rPr>
          <w:rStyle w:val="auteur"/>
          <w:rFonts w:ascii="Arial" w:hAnsi="Arial" w:cs="Arial"/>
          <w:color w:val="000000" w:themeColor="text1"/>
          <w:sz w:val="22"/>
          <w:szCs w:val="22"/>
        </w:rPr>
        <w:t xml:space="preserve">– universalist </w:t>
      </w:r>
    </w:p>
    <w:p w14:paraId="61C703F2" w14:textId="4EDC346B" w:rsidR="003E2675" w:rsidRPr="00EA30A4" w:rsidRDefault="003E2675" w:rsidP="00EA30A4">
      <w:pPr>
        <w:pStyle w:val="meta"/>
        <w:numPr>
          <w:ilvl w:val="0"/>
          <w:numId w:val="6"/>
        </w:numPr>
        <w:shd w:val="clear" w:color="auto" w:fill="FFFFFF"/>
        <w:spacing w:after="0" w:afterAutospacing="0" w:line="360" w:lineRule="auto"/>
        <w:jc w:val="both"/>
        <w:rPr>
          <w:rStyle w:val="auteur"/>
          <w:rFonts w:ascii="Arial" w:hAnsi="Arial" w:cs="Arial"/>
          <w:color w:val="000000" w:themeColor="text1"/>
          <w:sz w:val="22"/>
          <w:szCs w:val="22"/>
        </w:rPr>
      </w:pPr>
      <w:r w:rsidRPr="00EA30A4">
        <w:rPr>
          <w:rStyle w:val="auteur"/>
          <w:rFonts w:ascii="Arial" w:hAnsi="Arial" w:cs="Arial"/>
          <w:color w:val="000000" w:themeColor="text1"/>
          <w:sz w:val="22"/>
          <w:szCs w:val="22"/>
        </w:rPr>
        <w:t xml:space="preserve">Divergent </w:t>
      </w:r>
      <w:r w:rsidR="00F86E49" w:rsidRPr="00EA30A4">
        <w:rPr>
          <w:rStyle w:val="auteur"/>
          <w:rFonts w:ascii="Arial" w:hAnsi="Arial" w:cs="Arial"/>
          <w:color w:val="000000" w:themeColor="text1"/>
          <w:sz w:val="22"/>
          <w:szCs w:val="22"/>
        </w:rPr>
        <w:t xml:space="preserve">– contextual </w:t>
      </w:r>
    </w:p>
    <w:p w14:paraId="7857B923" w14:textId="586D66D7" w:rsidR="003E2675" w:rsidRPr="00EA30A4" w:rsidRDefault="0095617B" w:rsidP="00EA30A4">
      <w:pPr>
        <w:pStyle w:val="meta"/>
        <w:numPr>
          <w:ilvl w:val="0"/>
          <w:numId w:val="6"/>
        </w:numPr>
        <w:shd w:val="clear" w:color="auto" w:fill="FFFFFF"/>
        <w:spacing w:after="0" w:afterAutospacing="0" w:line="360" w:lineRule="auto"/>
        <w:jc w:val="both"/>
        <w:rPr>
          <w:rStyle w:val="auteur"/>
          <w:rFonts w:ascii="Arial" w:hAnsi="Arial" w:cs="Arial"/>
          <w:color w:val="000000" w:themeColor="text1"/>
          <w:sz w:val="22"/>
          <w:szCs w:val="22"/>
        </w:rPr>
      </w:pPr>
      <w:r w:rsidRPr="00EA30A4">
        <w:rPr>
          <w:rStyle w:val="auteur"/>
          <w:rFonts w:ascii="Arial" w:hAnsi="Arial" w:cs="Arial"/>
          <w:color w:val="000000" w:themeColor="text1"/>
          <w:sz w:val="22"/>
          <w:szCs w:val="22"/>
        </w:rPr>
        <w:t>Middle of the road ’ cross – verge’</w:t>
      </w:r>
    </w:p>
    <w:p w14:paraId="7828A7AD" w14:textId="3E2D16E2" w:rsidR="007503A9" w:rsidRPr="00EA30A4" w:rsidRDefault="004834B7" w:rsidP="00D1265E">
      <w:pPr>
        <w:pStyle w:val="meta"/>
        <w:shd w:val="clear" w:color="auto" w:fill="FFFFFF"/>
        <w:spacing w:after="0" w:afterAutospacing="0" w:line="360" w:lineRule="auto"/>
        <w:ind w:firstLine="708"/>
        <w:jc w:val="both"/>
        <w:rPr>
          <w:rStyle w:val="auteur"/>
          <w:rFonts w:ascii="Arial" w:hAnsi="Arial" w:cs="Arial"/>
          <w:color w:val="000000" w:themeColor="text1"/>
          <w:sz w:val="22"/>
          <w:szCs w:val="22"/>
        </w:rPr>
      </w:pPr>
      <w:r w:rsidRPr="00EA30A4">
        <w:rPr>
          <w:rStyle w:val="auteur"/>
          <w:rFonts w:ascii="Arial" w:hAnsi="Arial" w:cs="Arial"/>
          <w:color w:val="000000" w:themeColor="text1"/>
          <w:sz w:val="22"/>
          <w:szCs w:val="22"/>
        </w:rPr>
        <w:t xml:space="preserve">Proponents of the universalist perspective (Kerr et al. 1960; Hickson et al. 1974), technological advancements serve to mitigate cultural disparities and promote convergence across nations and </w:t>
      </w:r>
      <w:r w:rsidR="00255B37" w:rsidRPr="00EA30A4">
        <w:rPr>
          <w:rStyle w:val="auteur"/>
          <w:rFonts w:ascii="Arial" w:hAnsi="Arial" w:cs="Arial"/>
          <w:color w:val="000000" w:themeColor="text1"/>
          <w:sz w:val="22"/>
          <w:szCs w:val="22"/>
        </w:rPr>
        <w:t>sectors</w:t>
      </w:r>
      <w:r w:rsidRPr="00EA30A4">
        <w:rPr>
          <w:rStyle w:val="auteur"/>
          <w:rFonts w:ascii="Arial" w:hAnsi="Arial" w:cs="Arial"/>
          <w:color w:val="000000" w:themeColor="text1"/>
          <w:sz w:val="22"/>
          <w:szCs w:val="22"/>
        </w:rPr>
        <w:t>.</w:t>
      </w:r>
      <w:r w:rsidR="00DA7480" w:rsidRPr="00EA30A4">
        <w:rPr>
          <w:rFonts w:ascii="Arial" w:hAnsi="Arial" w:cs="Arial"/>
          <w:sz w:val="22"/>
          <w:szCs w:val="22"/>
        </w:rPr>
        <w:t xml:space="preserve"> </w:t>
      </w:r>
      <w:r w:rsidR="00DA7480" w:rsidRPr="00EA30A4">
        <w:rPr>
          <w:rStyle w:val="auteur"/>
          <w:rFonts w:ascii="Arial" w:hAnsi="Arial" w:cs="Arial"/>
          <w:color w:val="000000" w:themeColor="text1"/>
          <w:sz w:val="22"/>
          <w:szCs w:val="22"/>
        </w:rPr>
        <w:t>H</w:t>
      </w:r>
      <w:r w:rsidR="00FE009D" w:rsidRPr="00EA30A4">
        <w:rPr>
          <w:rStyle w:val="auteur"/>
          <w:rFonts w:ascii="Arial" w:hAnsi="Arial" w:cs="Arial"/>
          <w:color w:val="000000" w:themeColor="text1"/>
          <w:sz w:val="22"/>
          <w:szCs w:val="22"/>
        </w:rPr>
        <w:t>owever,</w:t>
      </w:r>
      <w:r w:rsidR="00DD15B4" w:rsidRPr="00EA30A4">
        <w:rPr>
          <w:rStyle w:val="auteur"/>
          <w:rFonts w:ascii="Arial" w:hAnsi="Arial" w:cs="Arial"/>
          <w:color w:val="000000" w:themeColor="text1"/>
          <w:sz w:val="22"/>
          <w:szCs w:val="22"/>
        </w:rPr>
        <w:t>this</w:t>
      </w:r>
      <w:r w:rsidR="00DA7480" w:rsidRPr="00EA30A4">
        <w:rPr>
          <w:rStyle w:val="auteur"/>
          <w:rFonts w:ascii="Arial" w:hAnsi="Arial" w:cs="Arial"/>
          <w:color w:val="000000" w:themeColor="text1"/>
          <w:sz w:val="22"/>
          <w:szCs w:val="22"/>
        </w:rPr>
        <w:t xml:space="preserve"> theory has gained w</w:t>
      </w:r>
      <w:r w:rsidR="00543FCC" w:rsidRPr="00EA30A4">
        <w:rPr>
          <w:rStyle w:val="auteur"/>
          <w:rFonts w:ascii="Arial" w:hAnsi="Arial" w:cs="Arial"/>
          <w:color w:val="000000" w:themeColor="text1"/>
          <w:sz w:val="22"/>
          <w:szCs w:val="22"/>
        </w:rPr>
        <w:t xml:space="preserve">orldwide </w:t>
      </w:r>
      <w:r w:rsidR="00DA7480" w:rsidRPr="00EA30A4">
        <w:rPr>
          <w:rStyle w:val="auteur"/>
          <w:rFonts w:ascii="Arial" w:hAnsi="Arial" w:cs="Arial"/>
          <w:color w:val="000000" w:themeColor="text1"/>
          <w:sz w:val="22"/>
          <w:szCs w:val="22"/>
        </w:rPr>
        <w:t>acceptance in the HR field due to the expansion of globalisation, as evidenced by the works of Sparrow et al. (1994) and Kelley et al. (1995).</w:t>
      </w:r>
      <w:r w:rsidR="002C0972" w:rsidRPr="00EA30A4">
        <w:rPr>
          <w:rStyle w:val="auteur"/>
          <w:rFonts w:ascii="Arial" w:hAnsi="Arial" w:cs="Arial"/>
          <w:color w:val="000000" w:themeColor="text1"/>
          <w:sz w:val="22"/>
          <w:szCs w:val="22"/>
        </w:rPr>
        <w:t xml:space="preserve"> On the other hand, </w:t>
      </w:r>
      <w:r w:rsidR="00594B61" w:rsidRPr="00EA30A4">
        <w:rPr>
          <w:rStyle w:val="auteur"/>
          <w:rFonts w:ascii="Arial" w:hAnsi="Arial" w:cs="Arial"/>
          <w:color w:val="000000" w:themeColor="text1"/>
          <w:sz w:val="22"/>
          <w:szCs w:val="22"/>
        </w:rPr>
        <w:t>the divergent perspective, in its contextual sense, emphasises variances in national, cultural, and sectoral aspects.</w:t>
      </w:r>
      <w:r w:rsidR="00602751" w:rsidRPr="00EA30A4">
        <w:rPr>
          <w:rFonts w:ascii="Arial" w:hAnsi="Arial" w:cs="Arial"/>
          <w:sz w:val="22"/>
          <w:szCs w:val="22"/>
        </w:rPr>
        <w:t xml:space="preserve"> </w:t>
      </w:r>
      <w:r w:rsidR="00D1265E" w:rsidRPr="00A75D49">
        <w:rPr>
          <w:rStyle w:val="auteur"/>
          <w:rFonts w:ascii="Arial" w:hAnsi="Arial" w:cs="Arial"/>
          <w:color w:val="000000" w:themeColor="text1"/>
          <w:sz w:val="22"/>
          <w:szCs w:val="22"/>
        </w:rPr>
        <w:t>This specific area of study places considerable emphasis on the integration of management strategies that consider regional culture, organisational dynamics, institutional structures, and labour market circumstances. The above declarations is corroborated by the scholarly contributions of Hofstede (1980), Rone-Shenkar (1985), Due et al. (1991), Whittle (1999), Brewster (2004), and Morley (2004).</w:t>
      </w:r>
      <w:r w:rsidR="00D1265E" w:rsidRPr="006E2264">
        <w:rPr>
          <w:rFonts w:ascii="Arial" w:hAnsi="Arial" w:cs="Arial"/>
          <w:sz w:val="22"/>
          <w:szCs w:val="22"/>
        </w:rPr>
        <w:t xml:space="preserve"> </w:t>
      </w:r>
      <w:r w:rsidR="00C42369" w:rsidRPr="00EA30A4">
        <w:rPr>
          <w:rStyle w:val="auteur"/>
          <w:rFonts w:ascii="Arial" w:hAnsi="Arial" w:cs="Arial"/>
          <w:color w:val="000000" w:themeColor="text1"/>
          <w:sz w:val="22"/>
          <w:szCs w:val="22"/>
        </w:rPr>
        <w:t>Moreover</w:t>
      </w:r>
      <w:r w:rsidR="00D4546C" w:rsidRPr="00EA30A4">
        <w:rPr>
          <w:rStyle w:val="auteur"/>
          <w:rFonts w:ascii="Arial" w:hAnsi="Arial" w:cs="Arial"/>
          <w:color w:val="000000" w:themeColor="text1"/>
          <w:sz w:val="22"/>
          <w:szCs w:val="22"/>
        </w:rPr>
        <w:t xml:space="preserve"> the 'cross-vergence' approach suggests that convergence and divergence are concurrently present, as per Adler's (1983) middle-of-the-road perspective. Extensive research has demonstrated the i</w:t>
      </w:r>
      <w:r w:rsidR="00D1265E">
        <w:rPr>
          <w:rStyle w:val="auteur"/>
          <w:rFonts w:ascii="Arial" w:hAnsi="Arial" w:cs="Arial"/>
          <w:color w:val="000000" w:themeColor="text1"/>
          <w:sz w:val="22"/>
          <w:szCs w:val="22"/>
        </w:rPr>
        <w:t>nfluence</w:t>
      </w:r>
      <w:r w:rsidR="00D4546C" w:rsidRPr="00EA30A4">
        <w:rPr>
          <w:rStyle w:val="auteur"/>
          <w:rFonts w:ascii="Arial" w:hAnsi="Arial" w:cs="Arial"/>
          <w:color w:val="000000" w:themeColor="text1"/>
          <w:sz w:val="22"/>
          <w:szCs w:val="22"/>
        </w:rPr>
        <w:t xml:space="preserve"> of ownership on human resource management (HRM) policies and practises. The HR frameworks and systems of multinational corporations are emphasised and promoted by their local subsidiaries, with a focus on globalised, regionalized, or localised approaches</w:t>
      </w:r>
      <w:r w:rsidR="00EA30A4">
        <w:rPr>
          <w:rStyle w:val="auteur"/>
          <w:rFonts w:ascii="Arial" w:hAnsi="Arial" w:cs="Arial"/>
          <w:color w:val="000000" w:themeColor="text1"/>
          <w:sz w:val="22"/>
          <w:szCs w:val="22"/>
        </w:rPr>
        <w:t>.</w:t>
      </w:r>
    </w:p>
    <w:p w14:paraId="13A7F296" w14:textId="2D1230FF" w:rsidR="00EB25B3" w:rsidRPr="00EB25B3" w:rsidRDefault="00E838C8" w:rsidP="00EB25B3">
      <w:pPr>
        <w:pStyle w:val="Heading1"/>
        <w:rPr>
          <w:rStyle w:val="auteur"/>
          <w:rFonts w:ascii="Arial" w:hAnsi="Arial" w:cs="Arial"/>
          <w:color w:val="000000" w:themeColor="text1"/>
          <w:sz w:val="22"/>
          <w:szCs w:val="22"/>
        </w:rPr>
      </w:pPr>
      <w:bookmarkStart w:id="12" w:name="_Toc138241012"/>
      <w:r w:rsidRPr="00EB25B3">
        <w:rPr>
          <w:rStyle w:val="auteur"/>
          <w:rFonts w:ascii="Arial" w:hAnsi="Arial" w:cs="Arial"/>
          <w:color w:val="000000" w:themeColor="text1"/>
          <w:sz w:val="22"/>
          <w:szCs w:val="22"/>
        </w:rPr>
        <w:t>4</w:t>
      </w:r>
      <w:r w:rsidRPr="00EB25B3">
        <w:rPr>
          <w:rStyle w:val="Heading1Char"/>
          <w:rFonts w:ascii="Arial" w:hAnsi="Arial" w:cs="Arial"/>
          <w:sz w:val="22"/>
          <w:szCs w:val="22"/>
        </w:rPr>
        <w:t>.Resource based view theory in public sector- HR strategy</w:t>
      </w:r>
      <w:bookmarkEnd w:id="12"/>
      <w:r w:rsidRPr="00EB25B3">
        <w:rPr>
          <w:rStyle w:val="auteur"/>
          <w:rFonts w:ascii="Arial" w:hAnsi="Arial" w:cs="Arial"/>
          <w:color w:val="000000" w:themeColor="text1"/>
          <w:sz w:val="22"/>
          <w:szCs w:val="22"/>
        </w:rPr>
        <w:t xml:space="preserve"> </w:t>
      </w:r>
    </w:p>
    <w:p w14:paraId="6A3BF605" w14:textId="39AFD580" w:rsidR="00DD0AAD" w:rsidRPr="00EA30A4" w:rsidRDefault="00EB25B3" w:rsidP="00EB25B3">
      <w:pPr>
        <w:pStyle w:val="Heading2"/>
        <w:rPr>
          <w:rStyle w:val="auteur"/>
          <w:rFonts w:cs="Arial"/>
          <w:color w:val="323232"/>
          <w:szCs w:val="22"/>
        </w:rPr>
      </w:pPr>
      <w:bookmarkStart w:id="13" w:name="_Toc138241013"/>
      <w:r>
        <w:rPr>
          <w:rStyle w:val="auteur"/>
          <w:rFonts w:cs="Arial"/>
          <w:szCs w:val="22"/>
        </w:rPr>
        <w:t xml:space="preserve">4.1 </w:t>
      </w:r>
      <w:r w:rsidR="00DD0AAD" w:rsidRPr="00EA30A4">
        <w:rPr>
          <w:rStyle w:val="auteur"/>
          <w:rFonts w:cs="Arial"/>
          <w:szCs w:val="22"/>
        </w:rPr>
        <w:t>Resource base view theory</w:t>
      </w:r>
      <w:bookmarkEnd w:id="13"/>
    </w:p>
    <w:p w14:paraId="450DB199" w14:textId="12EF4E33" w:rsidR="00C0060B" w:rsidRPr="00EA30A4" w:rsidRDefault="00486B53" w:rsidP="00EA30A4">
      <w:pPr>
        <w:pStyle w:val="meta"/>
        <w:shd w:val="clear" w:color="auto" w:fill="FFFFFF"/>
        <w:spacing w:after="0" w:afterAutospacing="0" w:line="360" w:lineRule="auto"/>
        <w:ind w:firstLine="708"/>
        <w:jc w:val="both"/>
        <w:rPr>
          <w:rStyle w:val="auteur"/>
          <w:rFonts w:ascii="Arial" w:hAnsi="Arial" w:cs="Arial"/>
          <w:color w:val="323232"/>
          <w:sz w:val="22"/>
          <w:szCs w:val="22"/>
        </w:rPr>
      </w:pPr>
      <w:r w:rsidRPr="00EA30A4">
        <w:rPr>
          <w:rStyle w:val="auteur"/>
          <w:rFonts w:ascii="Arial" w:hAnsi="Arial" w:cs="Arial"/>
          <w:color w:val="323232"/>
          <w:sz w:val="22"/>
          <w:szCs w:val="22"/>
        </w:rPr>
        <w:t>According to the resource-based perspective hypothesis, the various resources that are available inside an organisation, such as its human resources, are what give it its distinctive personality and contribute to the creation of a competitive advantage.</w:t>
      </w:r>
      <w:r w:rsidR="00745B71" w:rsidRPr="00EA30A4">
        <w:rPr>
          <w:rFonts w:ascii="Arial" w:hAnsi="Arial" w:cs="Arial"/>
          <w:sz w:val="22"/>
          <w:szCs w:val="22"/>
        </w:rPr>
        <w:t xml:space="preserve"> </w:t>
      </w:r>
      <w:r w:rsidR="00745B71" w:rsidRPr="00EA30A4">
        <w:rPr>
          <w:rStyle w:val="auteur"/>
          <w:rFonts w:ascii="Arial" w:hAnsi="Arial" w:cs="Arial"/>
          <w:color w:val="323232"/>
          <w:sz w:val="22"/>
          <w:szCs w:val="22"/>
        </w:rPr>
        <w:t xml:space="preserve">The resource-based perspective has had a significant impact on human resource management thought. It provides justification for giving importance to resourcing activities, particularly talent management-related ones. It can also be used to increase the contribution of human </w:t>
      </w:r>
      <w:r w:rsidR="00745B71" w:rsidRPr="00EA30A4">
        <w:rPr>
          <w:rStyle w:val="auteur"/>
          <w:rFonts w:ascii="Arial" w:hAnsi="Arial" w:cs="Arial"/>
          <w:color w:val="323232"/>
          <w:sz w:val="22"/>
          <w:szCs w:val="22"/>
        </w:rPr>
        <w:lastRenderedPageBreak/>
        <w:t>resources to competitive advantage</w:t>
      </w:r>
      <w:r w:rsidR="005B07A0" w:rsidRPr="00EA30A4">
        <w:rPr>
          <w:rStyle w:val="auteur"/>
          <w:rFonts w:ascii="Arial" w:hAnsi="Arial" w:cs="Arial"/>
          <w:color w:val="323232"/>
          <w:sz w:val="22"/>
          <w:szCs w:val="22"/>
        </w:rPr>
        <w:t xml:space="preserve"> (A</w:t>
      </w:r>
      <w:r w:rsidR="00337768" w:rsidRPr="00EA30A4">
        <w:rPr>
          <w:rStyle w:val="auteur"/>
          <w:rFonts w:ascii="Arial" w:hAnsi="Arial" w:cs="Arial"/>
          <w:color w:val="323232"/>
          <w:sz w:val="22"/>
          <w:szCs w:val="22"/>
        </w:rPr>
        <w:t>r</w:t>
      </w:r>
      <w:r w:rsidR="005B07A0" w:rsidRPr="00EA30A4">
        <w:rPr>
          <w:rStyle w:val="auteur"/>
          <w:rFonts w:ascii="Arial" w:hAnsi="Arial" w:cs="Arial"/>
          <w:color w:val="323232"/>
          <w:sz w:val="22"/>
          <w:szCs w:val="22"/>
        </w:rPr>
        <w:t>mstrong</w:t>
      </w:r>
      <w:r w:rsidR="00337768" w:rsidRPr="00EA30A4">
        <w:rPr>
          <w:rStyle w:val="auteur"/>
          <w:rFonts w:ascii="Arial" w:hAnsi="Arial" w:cs="Arial"/>
          <w:color w:val="323232"/>
          <w:sz w:val="22"/>
          <w:szCs w:val="22"/>
        </w:rPr>
        <w:t xml:space="preserve">, 2023). </w:t>
      </w:r>
      <w:r w:rsidR="00242CB3" w:rsidRPr="00EA30A4">
        <w:rPr>
          <w:rStyle w:val="auteur"/>
          <w:rFonts w:ascii="Arial" w:hAnsi="Arial" w:cs="Arial"/>
          <w:color w:val="323232"/>
          <w:sz w:val="22"/>
          <w:szCs w:val="22"/>
        </w:rPr>
        <w:t>However, it suffers from the following restraint:</w:t>
      </w:r>
    </w:p>
    <w:p w14:paraId="2AE01A5C" w14:textId="7BEF573E" w:rsidR="00C0060B" w:rsidRPr="00EA30A4" w:rsidRDefault="00242CB3" w:rsidP="00EA30A4">
      <w:pPr>
        <w:pStyle w:val="meta"/>
        <w:shd w:val="clear" w:color="auto" w:fill="FFFFFF"/>
        <w:spacing w:after="0" w:afterAutospacing="0" w:line="360" w:lineRule="auto"/>
        <w:ind w:firstLine="708"/>
        <w:jc w:val="both"/>
        <w:rPr>
          <w:rStyle w:val="auteur"/>
          <w:rFonts w:ascii="Arial" w:hAnsi="Arial" w:cs="Arial"/>
          <w:color w:val="323232"/>
          <w:sz w:val="22"/>
          <w:szCs w:val="22"/>
        </w:rPr>
      </w:pPr>
      <w:r w:rsidRPr="00EA30A4">
        <w:rPr>
          <w:rStyle w:val="auteur"/>
          <w:rFonts w:ascii="Arial" w:hAnsi="Arial" w:cs="Arial"/>
          <w:color w:val="323232"/>
          <w:sz w:val="22"/>
          <w:szCs w:val="22"/>
        </w:rPr>
        <w:t xml:space="preserve"> a</w:t>
      </w:r>
      <w:r w:rsidR="00C0060B" w:rsidRPr="00EA30A4">
        <w:rPr>
          <w:rStyle w:val="auteur"/>
          <w:rFonts w:ascii="Arial" w:hAnsi="Arial" w:cs="Arial"/>
          <w:color w:val="323232"/>
          <w:sz w:val="22"/>
          <w:szCs w:val="22"/>
        </w:rPr>
        <w:t>)</w:t>
      </w:r>
      <w:r w:rsidR="00D1265E" w:rsidRPr="00D1265E">
        <w:rPr>
          <w:rStyle w:val="auteur"/>
          <w:rFonts w:ascii="Arial" w:hAnsi="Arial" w:cs="Arial"/>
          <w:color w:val="323232"/>
          <w:sz w:val="22"/>
          <w:szCs w:val="22"/>
        </w:rPr>
        <w:t xml:space="preserve"> </w:t>
      </w:r>
      <w:r w:rsidR="00D1265E" w:rsidRPr="00A75D49">
        <w:rPr>
          <w:rStyle w:val="auteur"/>
          <w:rFonts w:ascii="Arial" w:hAnsi="Arial" w:cs="Arial"/>
          <w:color w:val="323232"/>
          <w:sz w:val="22"/>
          <w:szCs w:val="22"/>
        </w:rPr>
        <w:t xml:space="preserve">Locating resources that meet all the specified </w:t>
      </w:r>
      <w:r w:rsidR="00D1265E">
        <w:rPr>
          <w:rStyle w:val="auteur"/>
          <w:rFonts w:ascii="Arial" w:hAnsi="Arial" w:cs="Arial"/>
          <w:color w:val="323232"/>
          <w:sz w:val="22"/>
          <w:szCs w:val="22"/>
        </w:rPr>
        <w:t>norm</w:t>
      </w:r>
      <w:r w:rsidR="00D1265E" w:rsidRPr="00A75D49">
        <w:rPr>
          <w:rStyle w:val="auteur"/>
          <w:rFonts w:ascii="Arial" w:hAnsi="Arial" w:cs="Arial"/>
          <w:color w:val="323232"/>
          <w:sz w:val="22"/>
          <w:szCs w:val="22"/>
        </w:rPr>
        <w:t xml:space="preserve"> could pose a challenge.</w:t>
      </w:r>
    </w:p>
    <w:p w14:paraId="6A3C4719" w14:textId="5D7CFD36" w:rsidR="00C0060B" w:rsidRPr="00EA30A4" w:rsidRDefault="00242CB3" w:rsidP="00EA30A4">
      <w:pPr>
        <w:pStyle w:val="meta"/>
        <w:shd w:val="clear" w:color="auto" w:fill="FFFFFF"/>
        <w:spacing w:after="0" w:afterAutospacing="0" w:line="360" w:lineRule="auto"/>
        <w:ind w:firstLine="708"/>
        <w:jc w:val="both"/>
        <w:rPr>
          <w:rStyle w:val="auteur"/>
          <w:rFonts w:ascii="Arial" w:hAnsi="Arial" w:cs="Arial"/>
          <w:color w:val="323232"/>
          <w:sz w:val="22"/>
          <w:szCs w:val="22"/>
        </w:rPr>
      </w:pPr>
      <w:r w:rsidRPr="00EA30A4">
        <w:rPr>
          <w:rStyle w:val="auteur"/>
          <w:rFonts w:ascii="Arial" w:hAnsi="Arial" w:cs="Arial"/>
          <w:color w:val="323232"/>
          <w:sz w:val="22"/>
          <w:szCs w:val="22"/>
        </w:rPr>
        <w:t xml:space="preserve"> b) </w:t>
      </w:r>
      <w:r w:rsidR="00D1265E" w:rsidRPr="00A75D49">
        <w:rPr>
          <w:rStyle w:val="auteur"/>
          <w:rFonts w:ascii="Arial" w:hAnsi="Arial" w:cs="Arial"/>
          <w:color w:val="323232"/>
          <w:sz w:val="22"/>
          <w:szCs w:val="22"/>
        </w:rPr>
        <w:t>External factors, such as the pressures exerted by the product market, are disregarded.</w:t>
      </w:r>
    </w:p>
    <w:p w14:paraId="4BA28E18" w14:textId="70A0CA1B" w:rsidR="00C0060B" w:rsidRPr="00EA30A4" w:rsidRDefault="00242CB3" w:rsidP="00EA30A4">
      <w:pPr>
        <w:pStyle w:val="meta"/>
        <w:shd w:val="clear" w:color="auto" w:fill="FFFFFF"/>
        <w:spacing w:after="0" w:afterAutospacing="0" w:line="360" w:lineRule="auto"/>
        <w:ind w:firstLine="708"/>
        <w:jc w:val="both"/>
        <w:rPr>
          <w:rStyle w:val="auteur"/>
          <w:rFonts w:ascii="Arial" w:hAnsi="Arial" w:cs="Arial"/>
          <w:color w:val="323232"/>
          <w:sz w:val="22"/>
          <w:szCs w:val="22"/>
        </w:rPr>
      </w:pPr>
      <w:r w:rsidRPr="00EA30A4">
        <w:rPr>
          <w:rStyle w:val="auteur"/>
          <w:rFonts w:ascii="Arial" w:hAnsi="Arial" w:cs="Arial"/>
          <w:color w:val="323232"/>
          <w:sz w:val="22"/>
          <w:szCs w:val="22"/>
        </w:rPr>
        <w:t xml:space="preserve"> c) </w:t>
      </w:r>
      <w:r w:rsidR="00D1265E" w:rsidRPr="001F6453">
        <w:rPr>
          <w:rStyle w:val="auteur"/>
          <w:rFonts w:ascii="Arial" w:hAnsi="Arial" w:cs="Arial"/>
          <w:color w:val="323232"/>
          <w:sz w:val="22"/>
          <w:szCs w:val="22"/>
        </w:rPr>
        <w:t>The provided guidance is of a generalised nature and relates to the appropriateness of resources</w:t>
      </w:r>
      <w:r w:rsidR="00D1265E">
        <w:rPr>
          <w:rStyle w:val="auteur"/>
          <w:rFonts w:ascii="Arial" w:hAnsi="Arial" w:cs="Arial"/>
          <w:color w:val="323232"/>
          <w:sz w:val="22"/>
          <w:szCs w:val="22"/>
        </w:rPr>
        <w:t>.</w:t>
      </w:r>
    </w:p>
    <w:p w14:paraId="374E7555" w14:textId="0344231B" w:rsidR="00C0060B" w:rsidRPr="00EA30A4" w:rsidRDefault="00242CB3" w:rsidP="00D1265E">
      <w:pPr>
        <w:pStyle w:val="meta"/>
        <w:shd w:val="clear" w:color="auto" w:fill="FFFFFF"/>
        <w:spacing w:after="0" w:afterAutospacing="0" w:line="276" w:lineRule="auto"/>
        <w:ind w:firstLine="708"/>
        <w:jc w:val="both"/>
        <w:rPr>
          <w:rStyle w:val="auteur"/>
          <w:rFonts w:ascii="Arial" w:hAnsi="Arial" w:cs="Arial"/>
          <w:color w:val="323232"/>
          <w:sz w:val="22"/>
          <w:szCs w:val="22"/>
        </w:rPr>
      </w:pPr>
      <w:r w:rsidRPr="00EA30A4">
        <w:rPr>
          <w:rStyle w:val="auteur"/>
          <w:rFonts w:ascii="Arial" w:hAnsi="Arial" w:cs="Arial"/>
          <w:color w:val="323232"/>
          <w:sz w:val="22"/>
          <w:szCs w:val="22"/>
        </w:rPr>
        <w:t xml:space="preserve"> d) </w:t>
      </w:r>
      <w:r w:rsidR="00D1265E" w:rsidRPr="001F6453">
        <w:rPr>
          <w:rStyle w:val="auteur"/>
          <w:rFonts w:ascii="Arial" w:hAnsi="Arial" w:cs="Arial"/>
          <w:color w:val="323232"/>
          <w:sz w:val="22"/>
          <w:szCs w:val="22"/>
        </w:rPr>
        <w:t>Various resource configurations have the potential to offer equivalent value to firms.</w:t>
      </w:r>
    </w:p>
    <w:p w14:paraId="47291D69" w14:textId="24D0D580" w:rsidR="00EA30A4" w:rsidRDefault="00242CB3" w:rsidP="00EA30A4">
      <w:pPr>
        <w:pStyle w:val="meta"/>
        <w:shd w:val="clear" w:color="auto" w:fill="FFFFFF"/>
        <w:spacing w:after="0" w:afterAutospacing="0" w:line="360" w:lineRule="auto"/>
        <w:ind w:firstLine="708"/>
        <w:jc w:val="both"/>
        <w:rPr>
          <w:rStyle w:val="auteur"/>
          <w:rFonts w:ascii="Arial" w:hAnsi="Arial" w:cs="Arial"/>
          <w:sz w:val="22"/>
          <w:szCs w:val="22"/>
        </w:rPr>
      </w:pPr>
      <w:r w:rsidRPr="00EA30A4">
        <w:rPr>
          <w:rStyle w:val="auteur"/>
          <w:rFonts w:ascii="Arial" w:hAnsi="Arial" w:cs="Arial"/>
          <w:color w:val="323232"/>
          <w:sz w:val="22"/>
          <w:szCs w:val="22"/>
        </w:rPr>
        <w:t xml:space="preserve">e) </w:t>
      </w:r>
      <w:r w:rsidR="00D1265E" w:rsidRPr="001F6453">
        <w:rPr>
          <w:rStyle w:val="auteur"/>
          <w:rFonts w:ascii="Arial" w:hAnsi="Arial" w:cs="Arial"/>
          <w:color w:val="323232"/>
          <w:sz w:val="22"/>
          <w:szCs w:val="22"/>
        </w:rPr>
        <w:t>Priem and Butler (2001) noted that the theory displays tautology, as the definitions of valuable resources and competitive advantage are essentially the same.</w:t>
      </w:r>
    </w:p>
    <w:p w14:paraId="0FF74440" w14:textId="5C1FB329" w:rsidR="00E67644" w:rsidRPr="00EA30A4" w:rsidRDefault="00E67644" w:rsidP="00EA30A4">
      <w:pPr>
        <w:pStyle w:val="meta"/>
        <w:shd w:val="clear" w:color="auto" w:fill="FFFFFF"/>
        <w:spacing w:after="0" w:afterAutospacing="0" w:line="360" w:lineRule="auto"/>
        <w:ind w:firstLine="708"/>
        <w:jc w:val="both"/>
        <w:rPr>
          <w:rStyle w:val="auteur"/>
          <w:rFonts w:ascii="Arial" w:hAnsi="Arial" w:cs="Arial"/>
          <w:sz w:val="22"/>
          <w:szCs w:val="22"/>
        </w:rPr>
      </w:pPr>
      <w:r w:rsidRPr="00EA30A4">
        <w:rPr>
          <w:rStyle w:val="auteur"/>
          <w:rFonts w:ascii="Arial" w:hAnsi="Arial" w:cs="Arial"/>
          <w:color w:val="323232"/>
          <w:sz w:val="22"/>
          <w:szCs w:val="22"/>
        </w:rPr>
        <w:t xml:space="preserve">Consistent with the previously mentioned theoretical framework, there exists compelling empirical support for the proposition that human resource (HR) strategies emphasising substantial investment in employees through HR policies are significantly and positively associated with enhanced firm performance, primarily due to their impact on employee-based </w:t>
      </w:r>
      <w:r w:rsidRPr="00EA30A4">
        <w:rPr>
          <w:rStyle w:val="auteur"/>
          <w:rFonts w:ascii="Arial" w:hAnsi="Arial" w:cs="Arial"/>
          <w:sz w:val="22"/>
          <w:szCs w:val="22"/>
        </w:rPr>
        <w:t>resources</w:t>
      </w:r>
      <w:r w:rsidRPr="00EA30A4">
        <w:rPr>
          <w:rStyle w:val="auteur"/>
          <w:rFonts w:ascii="Arial" w:hAnsi="Arial" w:cs="Arial"/>
          <w:color w:val="FF0000"/>
          <w:sz w:val="22"/>
          <w:szCs w:val="22"/>
        </w:rPr>
        <w:t xml:space="preserve"> </w:t>
      </w:r>
      <w:r w:rsidRPr="00EA30A4">
        <w:rPr>
          <w:rStyle w:val="auteur"/>
          <w:rFonts w:ascii="Arial" w:hAnsi="Arial" w:cs="Arial"/>
          <w:sz w:val="22"/>
          <w:szCs w:val="22"/>
        </w:rPr>
        <w:t>(Jackson</w:t>
      </w:r>
      <w:r w:rsidR="00211543" w:rsidRPr="00EA30A4">
        <w:rPr>
          <w:rStyle w:val="auteur"/>
          <w:rFonts w:ascii="Arial" w:hAnsi="Arial" w:cs="Arial"/>
          <w:sz w:val="22"/>
          <w:szCs w:val="22"/>
        </w:rPr>
        <w:t xml:space="preserve"> </w:t>
      </w:r>
      <w:r w:rsidR="001F6054" w:rsidRPr="00EA30A4">
        <w:rPr>
          <w:rStyle w:val="auteur"/>
          <w:rFonts w:ascii="Arial" w:hAnsi="Arial" w:cs="Arial"/>
          <w:sz w:val="22"/>
          <w:szCs w:val="22"/>
        </w:rPr>
        <w:t xml:space="preserve">et al., 2014). </w:t>
      </w:r>
    </w:p>
    <w:p w14:paraId="6F1FF3B8" w14:textId="19893107" w:rsidR="00E67644" w:rsidRPr="00EA30A4" w:rsidRDefault="00E67644" w:rsidP="00EA30A4">
      <w:pPr>
        <w:pStyle w:val="meta"/>
        <w:shd w:val="clear" w:color="auto" w:fill="FFFFFF"/>
        <w:spacing w:after="0" w:afterAutospacing="0" w:line="360" w:lineRule="auto"/>
        <w:ind w:firstLine="708"/>
        <w:jc w:val="both"/>
        <w:rPr>
          <w:rStyle w:val="auteur"/>
          <w:rFonts w:ascii="Arial" w:hAnsi="Arial" w:cs="Arial"/>
          <w:color w:val="FF0000"/>
          <w:sz w:val="22"/>
          <w:szCs w:val="22"/>
        </w:rPr>
      </w:pPr>
      <w:r w:rsidRPr="00EA30A4">
        <w:rPr>
          <w:rStyle w:val="auteur"/>
          <w:rFonts w:ascii="Arial" w:hAnsi="Arial" w:cs="Arial"/>
          <w:color w:val="323232"/>
          <w:sz w:val="22"/>
          <w:szCs w:val="22"/>
        </w:rPr>
        <w:t xml:space="preserve">The HR policies that form the </w:t>
      </w:r>
      <w:r w:rsidR="00711F56">
        <w:rPr>
          <w:rStyle w:val="auteur"/>
          <w:rFonts w:ascii="Arial" w:hAnsi="Arial" w:cs="Arial"/>
          <w:color w:val="323232"/>
          <w:sz w:val="22"/>
          <w:szCs w:val="22"/>
        </w:rPr>
        <w:t>beginning</w:t>
      </w:r>
      <w:r w:rsidRPr="00EA30A4">
        <w:rPr>
          <w:rStyle w:val="auteur"/>
          <w:rFonts w:ascii="Arial" w:hAnsi="Arial" w:cs="Arial"/>
          <w:color w:val="323232"/>
          <w:sz w:val="22"/>
          <w:szCs w:val="22"/>
        </w:rPr>
        <w:t xml:space="preserve"> of an HR strategy collaborate to establish a distinctive atmosphere that influences and steers employees towards cultivating specific competencies and aptitudes or channelling their endeavours towards particular conduct (Bowen &amp; Ostroff, 2004). Consequently, diverse HR strategies that involve significant investment should result in the </w:t>
      </w:r>
      <w:r w:rsidR="00D1265E">
        <w:rPr>
          <w:rStyle w:val="auteur"/>
          <w:rFonts w:ascii="Arial" w:hAnsi="Arial" w:cs="Arial"/>
          <w:color w:val="323232"/>
          <w:sz w:val="22"/>
          <w:szCs w:val="22"/>
        </w:rPr>
        <w:t>evolution</w:t>
      </w:r>
      <w:r w:rsidRPr="00EA30A4">
        <w:rPr>
          <w:rStyle w:val="auteur"/>
          <w:rFonts w:ascii="Arial" w:hAnsi="Arial" w:cs="Arial"/>
          <w:color w:val="323232"/>
          <w:sz w:val="22"/>
          <w:szCs w:val="22"/>
        </w:rPr>
        <w:t xml:space="preserve"> of distinct human resources </w:t>
      </w:r>
      <w:r w:rsidRPr="00EA30A4">
        <w:rPr>
          <w:rStyle w:val="auteur"/>
          <w:rFonts w:ascii="Arial" w:hAnsi="Arial" w:cs="Arial"/>
          <w:sz w:val="22"/>
          <w:szCs w:val="22"/>
        </w:rPr>
        <w:t>(Kehoe &amp; Collins, 2017</w:t>
      </w:r>
      <w:r w:rsidR="008C44AE" w:rsidRPr="00EA30A4">
        <w:rPr>
          <w:rStyle w:val="auteur"/>
          <w:rFonts w:ascii="Arial" w:hAnsi="Arial" w:cs="Arial"/>
          <w:sz w:val="22"/>
          <w:szCs w:val="22"/>
        </w:rPr>
        <w:t>)</w:t>
      </w:r>
      <w:r w:rsidR="00EA30A4">
        <w:rPr>
          <w:rStyle w:val="auteur"/>
          <w:rFonts w:ascii="Arial" w:hAnsi="Arial" w:cs="Arial"/>
          <w:sz w:val="22"/>
          <w:szCs w:val="22"/>
        </w:rPr>
        <w:t>.</w:t>
      </w:r>
    </w:p>
    <w:p w14:paraId="6F296626" w14:textId="52CED035" w:rsidR="00DD0AAD" w:rsidRPr="00EA30A4" w:rsidRDefault="00F027E9" w:rsidP="00EA30A4">
      <w:pPr>
        <w:pStyle w:val="meta"/>
        <w:shd w:val="clear" w:color="auto" w:fill="FFFFFF"/>
        <w:spacing w:after="0" w:afterAutospacing="0" w:line="360" w:lineRule="auto"/>
        <w:ind w:firstLine="708"/>
        <w:jc w:val="both"/>
        <w:rPr>
          <w:rFonts w:ascii="Arial" w:hAnsi="Arial" w:cs="Arial"/>
          <w:color w:val="323232"/>
          <w:sz w:val="22"/>
          <w:szCs w:val="22"/>
        </w:rPr>
      </w:pPr>
      <w:r w:rsidRPr="00EA30A4">
        <w:rPr>
          <w:rFonts w:ascii="Arial" w:hAnsi="Arial" w:cs="Arial"/>
          <w:color w:val="323232"/>
          <w:sz w:val="22"/>
          <w:szCs w:val="22"/>
        </w:rPr>
        <w:t>The resource-based view has gained significant traction and recognition in the realm of strategic management within private enterprises. Despite being acknowledged in the literature as a potential solution to environmental turbulences faced by public organisations, it is not widely embraced in the field of public management</w:t>
      </w:r>
      <w:r w:rsidRPr="00EA30A4">
        <w:rPr>
          <w:rFonts w:ascii="Arial" w:hAnsi="Arial" w:cs="Arial"/>
          <w:color w:val="FF0000"/>
          <w:sz w:val="22"/>
          <w:szCs w:val="22"/>
        </w:rPr>
        <w:t xml:space="preserve"> </w:t>
      </w:r>
      <w:r w:rsidR="00FD1B91" w:rsidRPr="00EA30A4">
        <w:rPr>
          <w:rFonts w:ascii="Arial" w:hAnsi="Arial" w:cs="Arial"/>
          <w:sz w:val="22"/>
          <w:szCs w:val="22"/>
        </w:rPr>
        <w:t>(</w:t>
      </w:r>
      <w:r w:rsidRPr="00EA30A4">
        <w:rPr>
          <w:rFonts w:ascii="Arial" w:hAnsi="Arial" w:cs="Arial"/>
          <w:sz w:val="22"/>
          <w:szCs w:val="22"/>
        </w:rPr>
        <w:t>S</w:t>
      </w:r>
      <w:r w:rsidR="00503276" w:rsidRPr="00EA30A4">
        <w:rPr>
          <w:rFonts w:ascii="Arial" w:hAnsi="Arial" w:cs="Arial"/>
          <w:sz w:val="22"/>
          <w:szCs w:val="22"/>
        </w:rPr>
        <w:t>zymaniec</w:t>
      </w:r>
      <w:r w:rsidRPr="00EA30A4">
        <w:rPr>
          <w:rFonts w:ascii="Arial" w:hAnsi="Arial" w:cs="Arial"/>
          <w:sz w:val="22"/>
          <w:szCs w:val="22"/>
        </w:rPr>
        <w:t>-M</w:t>
      </w:r>
      <w:r w:rsidR="00503276" w:rsidRPr="00EA30A4">
        <w:rPr>
          <w:rFonts w:ascii="Arial" w:hAnsi="Arial" w:cs="Arial"/>
          <w:sz w:val="22"/>
          <w:szCs w:val="22"/>
        </w:rPr>
        <w:t>licka</w:t>
      </w:r>
      <w:r w:rsidR="00FD1B91" w:rsidRPr="00EA30A4">
        <w:rPr>
          <w:rFonts w:ascii="Arial" w:hAnsi="Arial" w:cs="Arial"/>
          <w:sz w:val="22"/>
          <w:szCs w:val="22"/>
        </w:rPr>
        <w:t>,</w:t>
      </w:r>
      <w:r w:rsidRPr="00EA30A4">
        <w:rPr>
          <w:rFonts w:ascii="Arial" w:hAnsi="Arial" w:cs="Arial"/>
          <w:sz w:val="22"/>
          <w:szCs w:val="22"/>
        </w:rPr>
        <w:t xml:space="preserve"> 2014</w:t>
      </w:r>
      <w:r w:rsidR="00FD1B91" w:rsidRPr="00EA30A4">
        <w:rPr>
          <w:rFonts w:ascii="Arial" w:hAnsi="Arial" w:cs="Arial"/>
          <w:sz w:val="22"/>
          <w:szCs w:val="22"/>
        </w:rPr>
        <w:t>).</w:t>
      </w:r>
    </w:p>
    <w:p w14:paraId="681DF26C" w14:textId="46733F82" w:rsidR="00DD28C4" w:rsidRPr="00EA30A4" w:rsidRDefault="00DD28C4" w:rsidP="00EA30A4">
      <w:pPr>
        <w:pStyle w:val="ListParagraph"/>
        <w:spacing w:line="360" w:lineRule="auto"/>
        <w:ind w:firstLine="696"/>
        <w:rPr>
          <w:rFonts w:ascii="Arial" w:hAnsi="Arial" w:cs="Arial"/>
          <w:lang w:val="en-GB"/>
        </w:rPr>
      </w:pPr>
    </w:p>
    <w:p w14:paraId="67D0B59A" w14:textId="4CD3CF9A" w:rsidR="001D2C5E" w:rsidRPr="001D2C5E" w:rsidRDefault="00EB25B3" w:rsidP="00181D62">
      <w:pPr>
        <w:pStyle w:val="Heading2"/>
        <w:spacing w:line="360" w:lineRule="auto"/>
        <w:rPr>
          <w:rFonts w:cs="Arial"/>
          <w:color w:val="auto"/>
          <w:szCs w:val="22"/>
          <w:lang w:val="en-GB"/>
        </w:rPr>
      </w:pPr>
      <w:bookmarkStart w:id="14" w:name="_Toc138241014"/>
      <w:r>
        <w:rPr>
          <w:rFonts w:cs="Arial"/>
          <w:color w:val="auto"/>
          <w:szCs w:val="22"/>
          <w:lang w:val="en-GB"/>
        </w:rPr>
        <w:t xml:space="preserve">4.2 </w:t>
      </w:r>
      <w:r w:rsidR="00F027E9" w:rsidRPr="00EB25B3">
        <w:rPr>
          <w:rFonts w:cs="Arial"/>
          <w:color w:val="auto"/>
          <w:szCs w:val="22"/>
          <w:lang w:val="en-GB"/>
        </w:rPr>
        <w:t>Resource base view in public sector</w:t>
      </w:r>
      <w:bookmarkEnd w:id="14"/>
      <w:r w:rsidR="00F027E9" w:rsidRPr="00EB25B3">
        <w:rPr>
          <w:rFonts w:cs="Arial"/>
          <w:color w:val="auto"/>
          <w:szCs w:val="22"/>
          <w:lang w:val="en-GB"/>
        </w:rPr>
        <w:t xml:space="preserve"> </w:t>
      </w:r>
    </w:p>
    <w:p w14:paraId="5A2686BE" w14:textId="19793691" w:rsidR="00F027E9" w:rsidRPr="00EA30A4" w:rsidRDefault="00F027E9" w:rsidP="00181D62">
      <w:pPr>
        <w:spacing w:line="360" w:lineRule="auto"/>
        <w:ind w:firstLine="708"/>
        <w:rPr>
          <w:rFonts w:ascii="Arial" w:hAnsi="Arial" w:cs="Arial"/>
          <w:color w:val="FF0000"/>
        </w:rPr>
      </w:pPr>
      <w:r w:rsidRPr="00EA30A4">
        <w:rPr>
          <w:rFonts w:ascii="Arial" w:hAnsi="Arial" w:cs="Arial"/>
          <w:lang w:val="en-GB"/>
        </w:rPr>
        <w:t xml:space="preserve">Public organisations that function as open systems operate in coordination with their surrounding </w:t>
      </w:r>
      <w:r w:rsidR="00711F56">
        <w:rPr>
          <w:rFonts w:ascii="Arial" w:hAnsi="Arial" w:cs="Arial"/>
          <w:lang w:val="en-GB"/>
        </w:rPr>
        <w:t>domain</w:t>
      </w:r>
      <w:r w:rsidRPr="00EA30A4">
        <w:rPr>
          <w:rFonts w:ascii="Arial" w:hAnsi="Arial" w:cs="Arial"/>
          <w:lang w:val="en-GB"/>
        </w:rPr>
        <w:t>.</w:t>
      </w:r>
      <w:r w:rsidR="00711F56" w:rsidRPr="00711F56">
        <w:t xml:space="preserve"> </w:t>
      </w:r>
      <w:r w:rsidR="00711F56" w:rsidRPr="00711F56">
        <w:rPr>
          <w:rFonts w:ascii="Arial" w:hAnsi="Arial" w:cs="Arial"/>
          <w:lang w:val="en-GB"/>
        </w:rPr>
        <w:t>The notion of interaction between a business and its surroundings is widely acknowledged, with the prevailing assumption being that the environment exerts a more significant influence on the organisation than the reverse.</w:t>
      </w:r>
      <w:r w:rsidRPr="00EA30A4">
        <w:rPr>
          <w:rFonts w:ascii="Arial" w:hAnsi="Arial" w:cs="Arial"/>
        </w:rPr>
        <w:t xml:space="preserve"> </w:t>
      </w:r>
      <w:r w:rsidRPr="00EA30A4">
        <w:rPr>
          <w:rFonts w:ascii="Arial" w:hAnsi="Arial" w:cs="Arial"/>
          <w:lang w:val="en-GB"/>
        </w:rPr>
        <w:t xml:space="preserve">The importance of conducting a thorough analysis of the environment is widely recognised in both the </w:t>
      </w:r>
      <w:r w:rsidRPr="00EA30A4">
        <w:rPr>
          <w:rFonts w:ascii="Arial" w:hAnsi="Arial" w:cs="Arial"/>
          <w:lang w:val="en-GB"/>
        </w:rPr>
        <w:lastRenderedPageBreak/>
        <w:t xml:space="preserve">theoretical and practical aspects of management. This analysis is considered a crucial component in the development of an </w:t>
      </w:r>
      <w:r w:rsidR="00711F56">
        <w:rPr>
          <w:rFonts w:ascii="Arial" w:hAnsi="Arial" w:cs="Arial"/>
          <w:lang w:val="en-GB"/>
        </w:rPr>
        <w:t>company</w:t>
      </w:r>
      <w:r w:rsidRPr="00EA30A4">
        <w:rPr>
          <w:rFonts w:ascii="Arial" w:hAnsi="Arial" w:cs="Arial"/>
          <w:lang w:val="en-GB"/>
        </w:rPr>
        <w:t>'s strategy. However, there are varying approaches to defining and categorising the components of the environment, as noted by Szymaniec-Mlicka (2014).</w:t>
      </w:r>
      <w:r w:rsidRPr="00EA30A4">
        <w:rPr>
          <w:rFonts w:ascii="Arial" w:hAnsi="Arial" w:cs="Arial"/>
        </w:rPr>
        <w:t xml:space="preserve"> </w:t>
      </w:r>
    </w:p>
    <w:p w14:paraId="08271DC6" w14:textId="7DCEDFF5" w:rsidR="00F027E9" w:rsidRPr="00EA30A4" w:rsidRDefault="00F027E9" w:rsidP="00EA30A4">
      <w:pPr>
        <w:spacing w:line="360" w:lineRule="auto"/>
        <w:ind w:firstLine="708"/>
        <w:rPr>
          <w:rFonts w:ascii="Arial" w:hAnsi="Arial" w:cs="Arial"/>
          <w:color w:val="FF0000"/>
          <w:lang w:val="en-GB"/>
        </w:rPr>
      </w:pPr>
      <w:r w:rsidRPr="00EA30A4">
        <w:rPr>
          <w:rFonts w:ascii="Arial" w:hAnsi="Arial" w:cs="Arial"/>
          <w:lang w:val="en-GB"/>
        </w:rPr>
        <w:t>Public organisations operate in a turbulent environment, leading to their politicisation and subsequent unpredictability of impending changes. Additionally, these organisations are complex due to the presence of numerous stakeholders with conflicting expectations that must be met (Frączkiewicz-Wronka &amp; Szymaniec, 2014).</w:t>
      </w:r>
    </w:p>
    <w:p w14:paraId="766E7EF7" w14:textId="20BB6904" w:rsidR="005F0725" w:rsidRPr="00EA30A4" w:rsidRDefault="00E25DCB" w:rsidP="00EA30A4">
      <w:pPr>
        <w:spacing w:line="360" w:lineRule="auto"/>
        <w:ind w:firstLine="708"/>
        <w:rPr>
          <w:rFonts w:ascii="Arial" w:hAnsi="Arial" w:cs="Arial"/>
          <w:color w:val="FF0000"/>
        </w:rPr>
      </w:pPr>
      <w:r>
        <w:rPr>
          <w:rFonts w:ascii="Arial" w:hAnsi="Arial" w:cs="Arial"/>
          <w:lang w:val="en-GB"/>
        </w:rPr>
        <w:t>The management</w:t>
      </w:r>
      <w:r w:rsidR="005F0725" w:rsidRPr="00EA30A4">
        <w:rPr>
          <w:rFonts w:ascii="Arial" w:hAnsi="Arial" w:cs="Arial"/>
          <w:lang w:val="en-GB"/>
        </w:rPr>
        <w:t xml:space="preserve"> in the field of management identifies the resource approach - Resource Based View - as one of the possible remedies for increasing </w:t>
      </w:r>
      <w:r>
        <w:rPr>
          <w:rFonts w:ascii="Arial" w:hAnsi="Arial" w:cs="Arial"/>
          <w:lang w:val="en-GB"/>
        </w:rPr>
        <w:t>surrounding</w:t>
      </w:r>
      <w:r w:rsidR="005F0725" w:rsidRPr="00EA30A4">
        <w:rPr>
          <w:rFonts w:ascii="Arial" w:hAnsi="Arial" w:cs="Arial"/>
          <w:lang w:val="en-GB"/>
        </w:rPr>
        <w:t xml:space="preserve"> </w:t>
      </w:r>
      <w:r>
        <w:rPr>
          <w:rFonts w:ascii="Arial" w:hAnsi="Arial" w:cs="Arial"/>
          <w:lang w:val="en-GB"/>
        </w:rPr>
        <w:t>agitation</w:t>
      </w:r>
      <w:r w:rsidR="005F0725" w:rsidRPr="00EA30A4">
        <w:rPr>
          <w:rFonts w:ascii="Arial" w:hAnsi="Arial" w:cs="Arial"/>
          <w:lang w:val="en-GB"/>
        </w:rPr>
        <w:t xml:space="preserve">. </w:t>
      </w:r>
      <w:r w:rsidRPr="00E25DCB">
        <w:rPr>
          <w:rFonts w:ascii="Arial" w:hAnsi="Arial" w:cs="Arial"/>
          <w:lang w:val="en-GB"/>
        </w:rPr>
        <w:t xml:space="preserve">The </w:t>
      </w:r>
      <w:r>
        <w:rPr>
          <w:rFonts w:ascii="Arial" w:hAnsi="Arial" w:cs="Arial"/>
          <w:lang w:val="en-GB"/>
        </w:rPr>
        <w:t>preceding</w:t>
      </w:r>
      <w:r w:rsidRPr="00E25DCB">
        <w:rPr>
          <w:rFonts w:ascii="Arial" w:hAnsi="Arial" w:cs="Arial"/>
          <w:lang w:val="en-GB"/>
        </w:rPr>
        <w:t xml:space="preserve"> perspective posits that the prosperity of an entity is contingent upon its internal workings, specifically its invaluable, intangible, and non-duplicable assets that facilitate the attainment of an enduring competitive edge (Barney &amp; Clark, 2007).</w:t>
      </w:r>
    </w:p>
    <w:p w14:paraId="675673DE" w14:textId="0B33B13F" w:rsidR="005F0725" w:rsidRPr="00EA30A4" w:rsidRDefault="005F0725" w:rsidP="00EA30A4">
      <w:pPr>
        <w:spacing w:line="360" w:lineRule="auto"/>
        <w:ind w:firstLine="708"/>
        <w:rPr>
          <w:rFonts w:ascii="Arial" w:hAnsi="Arial" w:cs="Arial"/>
          <w:lang w:val="en-GB"/>
        </w:rPr>
      </w:pPr>
      <w:r w:rsidRPr="00EA30A4">
        <w:rPr>
          <w:rFonts w:ascii="Arial" w:hAnsi="Arial" w:cs="Arial"/>
          <w:lang w:val="en-GB"/>
        </w:rPr>
        <w:t>The resource approach has a well-established place in the theory of strategic management, but it does not devote much space to the strategic management of public organisations.</w:t>
      </w:r>
      <w:r w:rsidRPr="00EA30A4">
        <w:rPr>
          <w:rFonts w:ascii="Arial" w:hAnsi="Arial" w:cs="Arial"/>
        </w:rPr>
        <w:t xml:space="preserve"> </w:t>
      </w:r>
      <w:r w:rsidRPr="00EA30A4">
        <w:rPr>
          <w:rFonts w:ascii="Arial" w:hAnsi="Arial" w:cs="Arial"/>
          <w:lang w:val="en-GB"/>
        </w:rPr>
        <w:t>This phenomenon can be attributed to the system's exclusive emphasis on resources that sustain it, which operates similarly in public and private entities. Conversely, the domain of public management places significant emphasis on the outcomes that an organisation attains, which diverges significantly from the private sector's approach (Klein</w:t>
      </w:r>
      <w:r w:rsidR="00211543" w:rsidRPr="00EA30A4">
        <w:rPr>
          <w:rFonts w:ascii="Arial" w:hAnsi="Arial" w:cs="Arial"/>
          <w:lang w:val="en-GB"/>
        </w:rPr>
        <w:t xml:space="preserve"> </w:t>
      </w:r>
      <w:r w:rsidR="00EB71A2" w:rsidRPr="00EA30A4">
        <w:rPr>
          <w:rFonts w:ascii="Arial" w:hAnsi="Arial" w:cs="Arial"/>
          <w:lang w:val="en-GB"/>
        </w:rPr>
        <w:t>et al.</w:t>
      </w:r>
      <w:r w:rsidR="00211543" w:rsidRPr="00EA30A4">
        <w:rPr>
          <w:rFonts w:ascii="Arial" w:hAnsi="Arial" w:cs="Arial"/>
          <w:lang w:val="en-GB"/>
        </w:rPr>
        <w:t>,</w:t>
      </w:r>
      <w:r w:rsidRPr="00EA30A4">
        <w:rPr>
          <w:rFonts w:ascii="Arial" w:hAnsi="Arial" w:cs="Arial"/>
          <w:lang w:val="en-GB"/>
        </w:rPr>
        <w:t xml:space="preserve"> 2011). </w:t>
      </w:r>
    </w:p>
    <w:p w14:paraId="2F99F68A" w14:textId="2F5C4A85" w:rsidR="00E838C8" w:rsidRPr="00EB25B3" w:rsidRDefault="00E838C8" w:rsidP="00EB25B3">
      <w:pPr>
        <w:pStyle w:val="Heading1"/>
        <w:rPr>
          <w:rFonts w:ascii="Arial" w:hAnsi="Arial" w:cs="Arial"/>
          <w:b w:val="0"/>
          <w:bCs w:val="0"/>
          <w:sz w:val="22"/>
          <w:szCs w:val="22"/>
          <w:lang w:val="en-GB"/>
        </w:rPr>
      </w:pPr>
      <w:bookmarkStart w:id="15" w:name="_Toc138241015"/>
      <w:r w:rsidRPr="00EB25B3">
        <w:rPr>
          <w:rFonts w:ascii="Arial" w:hAnsi="Arial" w:cs="Arial"/>
          <w:b w:val="0"/>
          <w:bCs w:val="0"/>
          <w:sz w:val="22"/>
          <w:szCs w:val="22"/>
          <w:lang w:val="en-GB"/>
        </w:rPr>
        <w:t>5. Organizational climate factors – Green Human resources and sustainability</w:t>
      </w:r>
      <w:bookmarkEnd w:id="15"/>
      <w:r w:rsidRPr="00EB25B3">
        <w:rPr>
          <w:rFonts w:ascii="Arial" w:hAnsi="Arial" w:cs="Arial"/>
          <w:b w:val="0"/>
          <w:bCs w:val="0"/>
          <w:sz w:val="22"/>
          <w:szCs w:val="22"/>
          <w:lang w:val="en-GB"/>
        </w:rPr>
        <w:t xml:space="preserve"> </w:t>
      </w:r>
    </w:p>
    <w:p w14:paraId="28AEA866" w14:textId="0F6BA4B2" w:rsidR="006E2CCF" w:rsidRPr="00EB25B3" w:rsidRDefault="0081642A" w:rsidP="00181D62">
      <w:pPr>
        <w:pStyle w:val="Heading2"/>
        <w:spacing w:line="360" w:lineRule="auto"/>
        <w:rPr>
          <w:rStyle w:val="Heading2Char"/>
          <w:rFonts w:cs="Arial"/>
          <w:color w:val="auto"/>
          <w:szCs w:val="22"/>
        </w:rPr>
      </w:pPr>
      <w:bookmarkStart w:id="16" w:name="_Toc138241016"/>
      <w:r w:rsidRPr="001D2C5E">
        <w:rPr>
          <w:color w:val="auto"/>
          <w:lang w:val="en-GB"/>
        </w:rPr>
        <w:t>5</w:t>
      </w:r>
      <w:r w:rsidR="003C5A4F" w:rsidRPr="00EB25B3">
        <w:rPr>
          <w:rStyle w:val="Heading2Char"/>
          <w:rFonts w:cs="Arial"/>
          <w:color w:val="auto"/>
          <w:szCs w:val="22"/>
        </w:rPr>
        <w:t>.</w:t>
      </w:r>
      <w:r w:rsidR="003C5A4F" w:rsidRPr="001D2C5E">
        <w:rPr>
          <w:rStyle w:val="Heading2Char"/>
          <w:rFonts w:cs="Arial"/>
          <w:color w:val="auto"/>
          <w:szCs w:val="22"/>
        </w:rPr>
        <w:t>1</w:t>
      </w:r>
      <w:r w:rsidR="00734C21" w:rsidRPr="001D2C5E">
        <w:rPr>
          <w:rStyle w:val="Heading2Char"/>
          <w:rFonts w:cs="Arial"/>
          <w:color w:val="auto"/>
          <w:szCs w:val="22"/>
        </w:rPr>
        <w:t xml:space="preserve"> </w:t>
      </w:r>
      <w:r w:rsidR="003C5A4F" w:rsidRPr="001D2C5E">
        <w:rPr>
          <w:rStyle w:val="Heading2Char"/>
          <w:rFonts w:cs="Arial"/>
          <w:color w:val="auto"/>
          <w:szCs w:val="22"/>
        </w:rPr>
        <w:t>Green human resource</w:t>
      </w:r>
      <w:bookmarkEnd w:id="16"/>
      <w:r w:rsidR="003C5A4F" w:rsidRPr="001D2C5E">
        <w:rPr>
          <w:rStyle w:val="Heading2Char"/>
          <w:rFonts w:cs="Arial"/>
          <w:color w:val="auto"/>
          <w:szCs w:val="22"/>
        </w:rPr>
        <w:t xml:space="preserve"> </w:t>
      </w:r>
    </w:p>
    <w:p w14:paraId="7D313A1C" w14:textId="62578A43" w:rsidR="006E2CCF" w:rsidRPr="00EA30A4" w:rsidRDefault="007747E0" w:rsidP="00181D62">
      <w:pPr>
        <w:spacing w:line="360" w:lineRule="auto"/>
        <w:ind w:firstLine="708"/>
        <w:rPr>
          <w:rFonts w:ascii="Arial" w:hAnsi="Arial" w:cs="Arial"/>
          <w:lang w:val="en-GB"/>
        </w:rPr>
      </w:pPr>
      <w:r w:rsidRPr="00EA30A4">
        <w:rPr>
          <w:rFonts w:ascii="Arial" w:hAnsi="Arial" w:cs="Arial"/>
          <w:lang w:val="en-GB"/>
        </w:rPr>
        <w:t xml:space="preserve">The concept of Green Human Resource Management (GHRM) has gained significant traction among </w:t>
      </w:r>
      <w:r w:rsidR="00E25DCB">
        <w:rPr>
          <w:rFonts w:ascii="Arial" w:hAnsi="Arial" w:cs="Arial"/>
          <w:lang w:val="en-GB"/>
        </w:rPr>
        <w:t>investigators</w:t>
      </w:r>
      <w:r w:rsidRPr="00EA30A4">
        <w:rPr>
          <w:rFonts w:ascii="Arial" w:hAnsi="Arial" w:cs="Arial"/>
          <w:lang w:val="en-GB"/>
        </w:rPr>
        <w:t xml:space="preserve"> who seek to explore the efficacy of environmental sustainability practises within organisational contexts. This is because the successful implementation of green initiatives is contingent upon the integration of human resource practises that are dedicated to environmental concerns (Jabbour and de Sousa Jabbour, 2016).</w:t>
      </w:r>
    </w:p>
    <w:p w14:paraId="7705B5C7" w14:textId="39DE06EE" w:rsidR="0039255B" w:rsidRPr="00EA30A4" w:rsidRDefault="00613C48" w:rsidP="00E25DCB">
      <w:pPr>
        <w:spacing w:line="360" w:lineRule="auto"/>
        <w:rPr>
          <w:rFonts w:ascii="Arial" w:hAnsi="Arial" w:cs="Arial"/>
          <w:lang w:val="en-GB"/>
        </w:rPr>
      </w:pPr>
      <w:r w:rsidRPr="00EA30A4">
        <w:rPr>
          <w:rFonts w:ascii="Arial" w:hAnsi="Arial" w:cs="Arial"/>
          <w:lang w:val="en-GB"/>
        </w:rPr>
        <w:tab/>
      </w:r>
      <w:r w:rsidR="00E25DCB" w:rsidRPr="00E25DCB">
        <w:rPr>
          <w:rFonts w:ascii="Arial" w:hAnsi="Arial" w:cs="Arial"/>
          <w:lang w:val="en-GB"/>
        </w:rPr>
        <w:t>The convergence of strategic human resource management and environmental sustainability provides novel prospects to discover mutually beneficial management strategies that generate advantages for shareholders, employees, customers, communities, and other stakeholders of an organisation (Jackson et al., 2011).</w:t>
      </w:r>
    </w:p>
    <w:p w14:paraId="73B9F138" w14:textId="459C6A56" w:rsidR="0039255B" w:rsidRPr="00EA30A4" w:rsidRDefault="008037D0" w:rsidP="00EA30A4">
      <w:pPr>
        <w:spacing w:line="360" w:lineRule="auto"/>
        <w:rPr>
          <w:rFonts w:ascii="Arial" w:hAnsi="Arial" w:cs="Arial"/>
          <w:lang w:val="en-GB"/>
        </w:rPr>
      </w:pPr>
      <w:r w:rsidRPr="00EA30A4">
        <w:rPr>
          <w:rFonts w:ascii="Arial" w:hAnsi="Arial" w:cs="Arial"/>
          <w:lang w:val="en-GB"/>
        </w:rPr>
        <w:tab/>
        <w:t xml:space="preserve">According to Bansal and Roth's (2000) research, the implementation of GHRM training appears to improve employees' comprehension of the environmental consequences </w:t>
      </w:r>
      <w:r w:rsidRPr="00EA30A4">
        <w:rPr>
          <w:rFonts w:ascii="Arial" w:hAnsi="Arial" w:cs="Arial"/>
          <w:lang w:val="en-GB"/>
        </w:rPr>
        <w:lastRenderedPageBreak/>
        <w:t>of organisational green initiatives. Additionally, this training equips staff with the ability to collect waste data and elevates their level of environmental literacy.</w:t>
      </w:r>
    </w:p>
    <w:p w14:paraId="05C23904" w14:textId="2663E4CD" w:rsidR="0039255B" w:rsidRPr="001D2C5E" w:rsidRDefault="0081642A" w:rsidP="00181D62">
      <w:pPr>
        <w:pStyle w:val="Heading2"/>
        <w:spacing w:line="360" w:lineRule="auto"/>
        <w:rPr>
          <w:color w:val="auto"/>
          <w:lang w:val="en-GB"/>
        </w:rPr>
      </w:pPr>
      <w:bookmarkStart w:id="17" w:name="_Toc138241017"/>
      <w:r w:rsidRPr="001D2C5E">
        <w:rPr>
          <w:color w:val="auto"/>
          <w:lang w:val="en-GB"/>
        </w:rPr>
        <w:t>5</w:t>
      </w:r>
      <w:r w:rsidR="008037D0" w:rsidRPr="001D2C5E">
        <w:rPr>
          <w:color w:val="auto"/>
          <w:lang w:val="en-GB"/>
        </w:rPr>
        <w:t>.</w:t>
      </w:r>
      <w:r w:rsidR="008037D0" w:rsidRPr="001D2C5E">
        <w:rPr>
          <w:rStyle w:val="Heading2Char"/>
          <w:rFonts w:cs="Arial"/>
          <w:color w:val="auto"/>
          <w:szCs w:val="22"/>
        </w:rPr>
        <w:t>2 Sustainability in Human Resource</w:t>
      </w:r>
      <w:bookmarkEnd w:id="17"/>
      <w:r w:rsidR="008037D0" w:rsidRPr="001D2C5E">
        <w:rPr>
          <w:rStyle w:val="Heading2Char"/>
          <w:rFonts w:cs="Arial"/>
          <w:color w:val="auto"/>
          <w:szCs w:val="22"/>
        </w:rPr>
        <w:t xml:space="preserve"> </w:t>
      </w:r>
    </w:p>
    <w:p w14:paraId="3AFD6DD5" w14:textId="52CAFE33" w:rsidR="009A6656" w:rsidRPr="00EA30A4" w:rsidRDefault="009E7B2D" w:rsidP="00181D62">
      <w:pPr>
        <w:spacing w:line="360" w:lineRule="auto"/>
        <w:rPr>
          <w:rFonts w:ascii="Arial" w:hAnsi="Arial" w:cs="Arial"/>
          <w:lang w:val="en-GB"/>
        </w:rPr>
      </w:pPr>
      <w:r w:rsidRPr="00EA30A4">
        <w:rPr>
          <w:rFonts w:ascii="Arial" w:hAnsi="Arial" w:cs="Arial"/>
          <w:lang w:val="en-GB"/>
        </w:rPr>
        <w:tab/>
      </w:r>
      <w:r w:rsidR="007B62C3" w:rsidRPr="00EA30A4">
        <w:rPr>
          <w:rFonts w:ascii="Arial" w:hAnsi="Arial" w:cs="Arial"/>
          <w:lang w:val="en-GB"/>
        </w:rPr>
        <w:t xml:space="preserve">The notion of a sustainable </w:t>
      </w:r>
      <w:r w:rsidR="00E25DCB">
        <w:rPr>
          <w:rFonts w:ascii="Arial" w:hAnsi="Arial" w:cs="Arial"/>
          <w:lang w:val="en-GB"/>
        </w:rPr>
        <w:t>labouring</w:t>
      </w:r>
      <w:r w:rsidR="007B62C3" w:rsidRPr="00EA30A4">
        <w:rPr>
          <w:rFonts w:ascii="Arial" w:hAnsi="Arial" w:cs="Arial"/>
          <w:lang w:val="en-GB"/>
        </w:rPr>
        <w:t xml:space="preserve"> is rooted in the Brundtland commission's sustainability </w:t>
      </w:r>
      <w:r w:rsidR="00916C2C">
        <w:rPr>
          <w:rFonts w:ascii="Arial" w:hAnsi="Arial" w:cs="Arial"/>
          <w:lang w:val="en-GB"/>
        </w:rPr>
        <w:t>meaning</w:t>
      </w:r>
      <w:r w:rsidR="007B62C3" w:rsidRPr="00EA30A4">
        <w:rPr>
          <w:rFonts w:ascii="Arial" w:hAnsi="Arial" w:cs="Arial"/>
          <w:lang w:val="en-GB"/>
        </w:rPr>
        <w:t>, and as such, the advancement of sustainable employability is commonly regarded as a corporate social responsibility (Mazur, 2014; Schuler &amp; Jackson, 2005).</w:t>
      </w:r>
    </w:p>
    <w:p w14:paraId="0CB30800" w14:textId="1815A76D" w:rsidR="001E0D3F" w:rsidRPr="00EA30A4" w:rsidRDefault="001E0D3F" w:rsidP="00EA30A4">
      <w:pPr>
        <w:spacing w:line="360" w:lineRule="auto"/>
        <w:rPr>
          <w:rFonts w:ascii="Arial" w:hAnsi="Arial" w:cs="Arial"/>
          <w:lang w:val="en-GB"/>
        </w:rPr>
      </w:pPr>
      <w:r w:rsidRPr="00EA30A4">
        <w:rPr>
          <w:rFonts w:ascii="Arial" w:hAnsi="Arial" w:cs="Arial"/>
          <w:lang w:val="en-GB"/>
        </w:rPr>
        <w:t>Over the last ten years, there has been a</w:t>
      </w:r>
      <w:r w:rsidR="00E25DCB">
        <w:rPr>
          <w:rFonts w:ascii="Arial" w:hAnsi="Arial" w:cs="Arial"/>
          <w:lang w:val="en-GB"/>
        </w:rPr>
        <w:t>n</w:t>
      </w:r>
      <w:r w:rsidRPr="00EA30A4">
        <w:rPr>
          <w:rFonts w:ascii="Arial" w:hAnsi="Arial" w:cs="Arial"/>
          <w:lang w:val="en-GB"/>
        </w:rPr>
        <w:t xml:space="preserve"> </w:t>
      </w:r>
      <w:r w:rsidR="00E25DCB">
        <w:rPr>
          <w:rFonts w:ascii="Arial" w:hAnsi="Arial" w:cs="Arial"/>
          <w:lang w:val="en-GB"/>
        </w:rPr>
        <w:t>increasing</w:t>
      </w:r>
      <w:r w:rsidRPr="00EA30A4">
        <w:rPr>
          <w:rFonts w:ascii="Arial" w:hAnsi="Arial" w:cs="Arial"/>
          <w:lang w:val="en-GB"/>
        </w:rPr>
        <w:t xml:space="preserve"> </w:t>
      </w:r>
      <w:r w:rsidR="00E25DCB">
        <w:rPr>
          <w:rFonts w:ascii="Arial" w:hAnsi="Arial" w:cs="Arial"/>
          <w:lang w:val="en-GB"/>
        </w:rPr>
        <w:t>acceptance</w:t>
      </w:r>
      <w:r w:rsidRPr="00EA30A4">
        <w:rPr>
          <w:rFonts w:ascii="Arial" w:hAnsi="Arial" w:cs="Arial"/>
          <w:lang w:val="en-GB"/>
        </w:rPr>
        <w:t xml:space="preserve"> a</w:t>
      </w:r>
      <w:r w:rsidR="00E25DCB">
        <w:rPr>
          <w:rFonts w:ascii="Arial" w:hAnsi="Arial" w:cs="Arial"/>
          <w:lang w:val="en-GB"/>
        </w:rPr>
        <w:t>l</w:t>
      </w:r>
      <w:r w:rsidRPr="00EA30A4">
        <w:rPr>
          <w:rFonts w:ascii="Arial" w:hAnsi="Arial" w:cs="Arial"/>
          <w:lang w:val="en-GB"/>
        </w:rPr>
        <w:t>ong institutions and decision-makers that sustainable employability is a pertinent issue for all workers, rather than solely for the elderly demographic.</w:t>
      </w:r>
      <w:r w:rsidRPr="00EA30A4">
        <w:rPr>
          <w:rFonts w:ascii="Arial" w:hAnsi="Arial" w:cs="Arial"/>
        </w:rPr>
        <w:t xml:space="preserve"> </w:t>
      </w:r>
      <w:r w:rsidRPr="00EA30A4">
        <w:rPr>
          <w:rFonts w:ascii="Arial" w:hAnsi="Arial" w:cs="Arial"/>
          <w:lang w:val="en-GB"/>
        </w:rPr>
        <w:t>Employees must be competent, motivated, and healthy to continue in the workforce and become older workers. Organisations should adopt evidence-based HR practises to promote their workers' sustainable employability.</w:t>
      </w:r>
      <w:r w:rsidRPr="00EA30A4">
        <w:rPr>
          <w:rFonts w:ascii="Arial" w:hAnsi="Arial" w:cs="Arial"/>
        </w:rPr>
        <w:t xml:space="preserve"> </w:t>
      </w:r>
      <w:r w:rsidRPr="00EA30A4">
        <w:rPr>
          <w:rFonts w:ascii="Arial" w:hAnsi="Arial" w:cs="Arial"/>
          <w:lang w:val="en-GB"/>
        </w:rPr>
        <w:t>There is a lack of research on the correlation between human resources practises and the sustainable employability of individuals in the workplace. The primary focus of HR practises research pertains to the influence of such practises on employee and organisational performance, as evidenced by studies conducted by Guest and Conway (2011).</w:t>
      </w:r>
    </w:p>
    <w:p w14:paraId="5CAB8048" w14:textId="349B0591" w:rsidR="009A6656" w:rsidRPr="00181D62" w:rsidRDefault="001E0D3F" w:rsidP="00181D62">
      <w:pPr>
        <w:spacing w:line="360" w:lineRule="auto"/>
        <w:rPr>
          <w:rFonts w:ascii="Arial" w:hAnsi="Arial" w:cs="Arial"/>
          <w:lang w:val="en-GB"/>
        </w:rPr>
      </w:pPr>
      <w:r w:rsidRPr="00EA30A4">
        <w:rPr>
          <w:rFonts w:ascii="Arial" w:hAnsi="Arial" w:cs="Arial"/>
          <w:lang w:val="en-GB"/>
        </w:rPr>
        <w:tab/>
        <w:t>Sustainable employability HR practises may differ in focus, if not content, from strategic target-based HR practises.HR practises for sustainable employability aim to help employees build long-term careers inside and outside the organisation.</w:t>
      </w:r>
    </w:p>
    <w:p w14:paraId="3C4AF85C" w14:textId="79C6A01C" w:rsidR="00EA30A4" w:rsidRPr="00EB25B3" w:rsidRDefault="00EB25B3" w:rsidP="00EB25B3">
      <w:pPr>
        <w:pStyle w:val="Heading1"/>
        <w:rPr>
          <w:rFonts w:ascii="Arial" w:hAnsi="Arial" w:cs="Arial"/>
          <w:b w:val="0"/>
          <w:bCs w:val="0"/>
          <w:sz w:val="22"/>
          <w:szCs w:val="22"/>
          <w:lang w:val="en-GB"/>
        </w:rPr>
      </w:pPr>
      <w:bookmarkStart w:id="18" w:name="_Toc138241018"/>
      <w:r>
        <w:rPr>
          <w:rFonts w:ascii="Arial" w:hAnsi="Arial" w:cs="Arial"/>
          <w:b w:val="0"/>
          <w:bCs w:val="0"/>
          <w:sz w:val="22"/>
          <w:szCs w:val="22"/>
          <w:lang w:val="en-GB"/>
        </w:rPr>
        <w:t>6.</w:t>
      </w:r>
      <w:r w:rsidR="008A6F71" w:rsidRPr="00EB25B3">
        <w:rPr>
          <w:rFonts w:ascii="Arial" w:hAnsi="Arial" w:cs="Arial"/>
          <w:b w:val="0"/>
          <w:bCs w:val="0"/>
          <w:sz w:val="22"/>
          <w:szCs w:val="22"/>
          <w:lang w:val="en-GB"/>
        </w:rPr>
        <w:t>Conclusion</w:t>
      </w:r>
      <w:bookmarkEnd w:id="18"/>
    </w:p>
    <w:p w14:paraId="3A481131" w14:textId="210813B7" w:rsidR="0015525C" w:rsidRDefault="00EA30A4" w:rsidP="00EA30A4">
      <w:pPr>
        <w:spacing w:line="360" w:lineRule="auto"/>
        <w:ind w:firstLine="360"/>
        <w:rPr>
          <w:rFonts w:ascii="Arial" w:hAnsi="Arial" w:cs="Arial"/>
          <w:lang w:val="en-GB"/>
        </w:rPr>
      </w:pPr>
      <w:r w:rsidRPr="00EA30A4">
        <w:rPr>
          <w:rFonts w:ascii="Arial" w:hAnsi="Arial" w:cs="Arial"/>
          <w:lang w:val="en-GB"/>
        </w:rPr>
        <w:t xml:space="preserve">The objective </w:t>
      </w:r>
      <w:r w:rsidR="00916C2C" w:rsidRPr="00916C2C">
        <w:rPr>
          <w:rFonts w:ascii="Arial" w:hAnsi="Arial" w:cs="Arial"/>
          <w:lang w:val="en-GB"/>
        </w:rPr>
        <w:t>of the study was to perform an equivalent evaluation of the practises of human resource management in the public and private domains. The categorization of respondents into "public," "not-for-profit," or "private" was based on their organization's classification and primary industry.</w:t>
      </w:r>
    </w:p>
    <w:p w14:paraId="2071CB49" w14:textId="26BDFA29" w:rsidR="00C24F7F" w:rsidRDefault="00C24F7F" w:rsidP="00EA30A4">
      <w:pPr>
        <w:spacing w:line="360" w:lineRule="auto"/>
        <w:ind w:firstLine="360"/>
        <w:rPr>
          <w:rFonts w:ascii="Arial" w:hAnsi="Arial" w:cs="Arial"/>
          <w:lang w:val="en-GB"/>
        </w:rPr>
      </w:pPr>
      <w:r w:rsidRPr="00C24F7F">
        <w:rPr>
          <w:rFonts w:ascii="Arial" w:hAnsi="Arial" w:cs="Arial"/>
          <w:lang w:val="en-GB"/>
        </w:rPr>
        <w:t>The primary objectives of private sector organisations are centred on enhancing shareholder value and achieving profitability. The human resource practises employed within this industry are aligned with its objectives, and prioritise remuneration based on performance, productivity, and efficiency. This stands in contrast to the public sector, which also endeavours to provide services and meet societal obligations. The HR practises' focus is directly reflected in the emphasis placed on justice, equal opportunity, and social responsibility.</w:t>
      </w:r>
    </w:p>
    <w:p w14:paraId="5C913890" w14:textId="62644434" w:rsidR="00C24F7F" w:rsidRDefault="00C24F7F" w:rsidP="00EA30A4">
      <w:pPr>
        <w:spacing w:line="360" w:lineRule="auto"/>
        <w:ind w:firstLine="360"/>
        <w:rPr>
          <w:rFonts w:ascii="Arial" w:hAnsi="Arial" w:cs="Arial"/>
          <w:lang w:val="en-GB"/>
        </w:rPr>
      </w:pPr>
      <w:r w:rsidRPr="00C24F7F">
        <w:rPr>
          <w:rFonts w:ascii="Arial" w:hAnsi="Arial" w:cs="Arial"/>
          <w:lang w:val="en-GB"/>
        </w:rPr>
        <w:t xml:space="preserve">The Resource-Based View model of strategic human resources presents a distinctive outlook that can assist researchers of strategic human resources in looking more </w:t>
      </w:r>
      <w:r w:rsidRPr="00C24F7F">
        <w:rPr>
          <w:rFonts w:ascii="Arial" w:hAnsi="Arial" w:cs="Arial"/>
          <w:lang w:val="en-GB"/>
        </w:rPr>
        <w:lastRenderedPageBreak/>
        <w:t>comprehensively into the influence of leaders, organisational factors, and resources on the efficacy of human resource strategies.</w:t>
      </w:r>
    </w:p>
    <w:p w14:paraId="000C3904" w14:textId="77777777" w:rsidR="00C24F7F" w:rsidRPr="00C24F7F" w:rsidRDefault="00C24F7F" w:rsidP="00C24F7F">
      <w:pPr>
        <w:spacing w:line="360" w:lineRule="auto"/>
        <w:ind w:firstLine="360"/>
        <w:rPr>
          <w:rFonts w:ascii="Arial" w:hAnsi="Arial" w:cs="Arial"/>
          <w:lang w:val="en-GB"/>
        </w:rPr>
      </w:pPr>
      <w:r w:rsidRPr="00C24F7F">
        <w:rPr>
          <w:rFonts w:ascii="Arial" w:hAnsi="Arial" w:cs="Arial"/>
          <w:lang w:val="en-GB"/>
        </w:rPr>
        <w:t>The implementation of HR practises has the potential to enhance the physical and mental well-being, work motivation, and competencies of employees. This, in turn, can lead to increased employability and heightened productivity.</w:t>
      </w:r>
    </w:p>
    <w:p w14:paraId="5C6A4AB3" w14:textId="58F568B0" w:rsidR="00E838C8" w:rsidRDefault="00E838C8" w:rsidP="000E4B50">
      <w:pPr>
        <w:spacing w:line="360" w:lineRule="auto"/>
        <w:ind w:firstLine="360"/>
        <w:rPr>
          <w:rFonts w:ascii="Arial" w:hAnsi="Arial" w:cs="Arial"/>
          <w:lang w:val="en-GB"/>
        </w:rPr>
      </w:pPr>
    </w:p>
    <w:p w14:paraId="69991DFD" w14:textId="77777777" w:rsidR="000E4B50" w:rsidRPr="00EA30A4" w:rsidRDefault="000E4B50" w:rsidP="000E4B50">
      <w:pPr>
        <w:spacing w:line="360" w:lineRule="auto"/>
        <w:ind w:firstLine="360"/>
        <w:rPr>
          <w:rFonts w:ascii="Arial" w:hAnsi="Arial" w:cs="Arial"/>
          <w:lang w:val="en-GB"/>
        </w:rPr>
      </w:pPr>
    </w:p>
    <w:p w14:paraId="52DED788" w14:textId="5A695A30" w:rsidR="00C30DFB" w:rsidRPr="00EB25B3" w:rsidRDefault="00EB25B3" w:rsidP="00EB25B3">
      <w:pPr>
        <w:pStyle w:val="Heading1"/>
        <w:rPr>
          <w:rFonts w:ascii="Arial" w:hAnsi="Arial" w:cs="Arial"/>
          <w:b w:val="0"/>
          <w:bCs w:val="0"/>
          <w:sz w:val="22"/>
          <w:szCs w:val="22"/>
          <w:lang w:val="en-GB"/>
        </w:rPr>
      </w:pPr>
      <w:bookmarkStart w:id="19" w:name="_Toc138241019"/>
      <w:r>
        <w:rPr>
          <w:rFonts w:ascii="Arial" w:hAnsi="Arial" w:cs="Arial"/>
          <w:b w:val="0"/>
          <w:bCs w:val="0"/>
          <w:sz w:val="22"/>
          <w:szCs w:val="22"/>
          <w:lang w:val="en-GB"/>
        </w:rPr>
        <w:t xml:space="preserve">7. </w:t>
      </w:r>
      <w:r w:rsidR="008A6F71" w:rsidRPr="00EB25B3">
        <w:rPr>
          <w:rFonts w:ascii="Arial" w:hAnsi="Arial" w:cs="Arial"/>
          <w:b w:val="0"/>
          <w:bCs w:val="0"/>
          <w:sz w:val="22"/>
          <w:szCs w:val="22"/>
          <w:lang w:val="en-GB"/>
        </w:rPr>
        <w:t>Reference list</w:t>
      </w:r>
      <w:bookmarkEnd w:id="19"/>
    </w:p>
    <w:p w14:paraId="19FF6BA3" w14:textId="77777777" w:rsidR="006E2264" w:rsidRPr="00EA30A4" w:rsidRDefault="006E2264" w:rsidP="00EA30A4">
      <w:pPr>
        <w:pStyle w:val="ListParagraph"/>
        <w:spacing w:line="360" w:lineRule="auto"/>
        <w:ind w:left="360"/>
        <w:rPr>
          <w:rFonts w:ascii="Arial" w:hAnsi="Arial" w:cs="Arial"/>
          <w:lang w:val="en-GB"/>
        </w:rPr>
      </w:pPr>
    </w:p>
    <w:p w14:paraId="49FF6621" w14:textId="15DC10A8" w:rsidR="00C30DFB" w:rsidRPr="00EA30A4" w:rsidRDefault="00C30DFB" w:rsidP="00EA30A4">
      <w:pPr>
        <w:pStyle w:val="ListParagraph"/>
        <w:numPr>
          <w:ilvl w:val="0"/>
          <w:numId w:val="7"/>
        </w:numPr>
        <w:spacing w:line="360" w:lineRule="auto"/>
        <w:rPr>
          <w:rFonts w:ascii="Arial" w:hAnsi="Arial" w:cs="Arial"/>
          <w:lang w:val="en-GB"/>
        </w:rPr>
      </w:pPr>
      <w:r w:rsidRPr="00EA30A4">
        <w:rPr>
          <w:rFonts w:ascii="Arial" w:hAnsi="Arial" w:cs="Arial"/>
          <w:color w:val="000000"/>
          <w:shd w:val="clear" w:color="auto" w:fill="FFFFFF"/>
        </w:rPr>
        <w:t>Adler, N.J. (1983) 'A Typology of Management Studies Involving Culture', </w:t>
      </w:r>
      <w:r w:rsidRPr="00EA30A4">
        <w:rPr>
          <w:rFonts w:ascii="Arial" w:hAnsi="Arial" w:cs="Arial"/>
          <w:i/>
          <w:iCs/>
          <w:color w:val="000000"/>
          <w:shd w:val="clear" w:color="auto" w:fill="FFFFFF"/>
        </w:rPr>
        <w:t>Journal of international business studies, </w:t>
      </w:r>
      <w:r w:rsidRPr="00EA30A4">
        <w:rPr>
          <w:rFonts w:ascii="Arial" w:hAnsi="Arial" w:cs="Arial"/>
          <w:color w:val="000000"/>
          <w:shd w:val="clear" w:color="auto" w:fill="FFFFFF"/>
        </w:rPr>
        <w:t>14(2), pp. 29-47 Available at: </w:t>
      </w:r>
      <w:hyperlink r:id="rId12" w:tgtFrame="_blank" w:history="1">
        <w:r w:rsidRPr="00EA30A4">
          <w:rPr>
            <w:rStyle w:val="Hyperlink"/>
            <w:rFonts w:ascii="Arial" w:hAnsi="Arial" w:cs="Arial"/>
            <w:color w:val="0066CC"/>
            <w:shd w:val="clear" w:color="auto" w:fill="FFFFFF"/>
          </w:rPr>
          <w:t>https://doi.org/10.1057/palgrave.jibs.8490517.</w:t>
        </w:r>
      </w:hyperlink>
    </w:p>
    <w:p w14:paraId="65FDE524" w14:textId="7C1A1E0D" w:rsidR="00C30DFB" w:rsidRPr="00EA30A4" w:rsidRDefault="00C30DFB" w:rsidP="00EA30A4">
      <w:pPr>
        <w:pStyle w:val="ListParagraph"/>
        <w:numPr>
          <w:ilvl w:val="0"/>
          <w:numId w:val="7"/>
        </w:numPr>
        <w:spacing w:line="360" w:lineRule="auto"/>
        <w:rPr>
          <w:rFonts w:ascii="Arial" w:hAnsi="Arial" w:cs="Arial"/>
        </w:rPr>
      </w:pPr>
      <w:r w:rsidRPr="00EA30A4">
        <w:rPr>
          <w:rFonts w:ascii="Arial" w:hAnsi="Arial" w:cs="Arial"/>
          <w:color w:val="000000"/>
          <w:shd w:val="clear" w:color="auto" w:fill="FFFFFF"/>
        </w:rPr>
        <w:t>Alford, J. and Hughes, O. (2008) 'Public Value Pragmatism as the Next Phase of Public Management', </w:t>
      </w:r>
      <w:r w:rsidRPr="00EA30A4">
        <w:rPr>
          <w:rFonts w:ascii="Arial" w:hAnsi="Arial" w:cs="Arial"/>
          <w:i/>
          <w:iCs/>
          <w:color w:val="000000"/>
          <w:shd w:val="clear" w:color="auto" w:fill="FFFFFF"/>
        </w:rPr>
        <w:t>American review of public administration, </w:t>
      </w:r>
      <w:r w:rsidRPr="00EA30A4">
        <w:rPr>
          <w:rFonts w:ascii="Arial" w:hAnsi="Arial" w:cs="Arial"/>
          <w:color w:val="000000"/>
          <w:shd w:val="clear" w:color="auto" w:fill="FFFFFF"/>
        </w:rPr>
        <w:t>38(2), pp. 130-148 Available at: </w:t>
      </w:r>
      <w:hyperlink r:id="rId13" w:tgtFrame="_blank" w:history="1">
        <w:r w:rsidRPr="00EA30A4">
          <w:rPr>
            <w:rStyle w:val="Hyperlink"/>
            <w:rFonts w:ascii="Arial" w:hAnsi="Arial" w:cs="Arial"/>
            <w:color w:val="0066CC"/>
            <w:shd w:val="clear" w:color="auto" w:fill="FFFFFF"/>
          </w:rPr>
          <w:t>https://doi.org/10.1177/0275074008314203.</w:t>
        </w:r>
      </w:hyperlink>
    </w:p>
    <w:p w14:paraId="4366186F" w14:textId="0EDADB30" w:rsidR="008037D0" w:rsidRPr="00EA30A4" w:rsidRDefault="008037D0" w:rsidP="00EA30A4">
      <w:pPr>
        <w:pStyle w:val="ListParagraph"/>
        <w:numPr>
          <w:ilvl w:val="0"/>
          <w:numId w:val="7"/>
        </w:numPr>
        <w:spacing w:line="360" w:lineRule="auto"/>
        <w:rPr>
          <w:rFonts w:ascii="Arial" w:hAnsi="Arial" w:cs="Arial"/>
          <w:color w:val="1C1D1E"/>
          <w:shd w:val="clear" w:color="auto" w:fill="FFFFFF"/>
        </w:rPr>
      </w:pPr>
      <w:r w:rsidRPr="00EA30A4">
        <w:rPr>
          <w:rFonts w:ascii="Arial" w:hAnsi="Arial" w:cs="Arial"/>
          <w:color w:val="000000"/>
          <w:shd w:val="clear" w:color="auto" w:fill="FFFFFF"/>
        </w:rPr>
        <w:t>Bansal, P. and Roth, K. (2000) 'Why Companies Go Green: A Model of Ecological Responsiveness', </w:t>
      </w:r>
      <w:r w:rsidRPr="00EA30A4">
        <w:rPr>
          <w:rFonts w:ascii="Arial" w:hAnsi="Arial" w:cs="Arial"/>
          <w:i/>
          <w:iCs/>
          <w:color w:val="000000"/>
          <w:shd w:val="clear" w:color="auto" w:fill="FFFFFF"/>
        </w:rPr>
        <w:t>Academy of Management journal, </w:t>
      </w:r>
      <w:r w:rsidRPr="00EA30A4">
        <w:rPr>
          <w:rFonts w:ascii="Arial" w:hAnsi="Arial" w:cs="Arial"/>
          <w:color w:val="000000"/>
          <w:shd w:val="clear" w:color="auto" w:fill="FFFFFF"/>
        </w:rPr>
        <w:t>43(4), pp. 717-736 Available at: </w:t>
      </w:r>
      <w:hyperlink r:id="rId14" w:tgtFrame="_blank" w:history="1">
        <w:r w:rsidRPr="00EA30A4">
          <w:rPr>
            <w:rStyle w:val="Hyperlink"/>
            <w:rFonts w:ascii="Arial" w:hAnsi="Arial" w:cs="Arial"/>
            <w:color w:val="0066CC"/>
            <w:shd w:val="clear" w:color="auto" w:fill="FFFFFF"/>
          </w:rPr>
          <w:t>https://doi.org/10.5465/1556363.</w:t>
        </w:r>
      </w:hyperlink>
    </w:p>
    <w:p w14:paraId="61989D49" w14:textId="015A08EE" w:rsidR="00753FFC" w:rsidRPr="00EA30A4" w:rsidRDefault="00C30DFB" w:rsidP="00EA30A4">
      <w:pPr>
        <w:pStyle w:val="ListParagraph"/>
        <w:numPr>
          <w:ilvl w:val="0"/>
          <w:numId w:val="7"/>
        </w:numPr>
        <w:spacing w:line="360" w:lineRule="auto"/>
        <w:rPr>
          <w:rFonts w:ascii="Arial" w:hAnsi="Arial" w:cs="Arial"/>
          <w:color w:val="000000"/>
          <w:shd w:val="clear" w:color="auto" w:fill="FFFFFF"/>
        </w:rPr>
      </w:pPr>
      <w:r w:rsidRPr="00EA30A4">
        <w:rPr>
          <w:rFonts w:ascii="Arial" w:hAnsi="Arial" w:cs="Arial"/>
          <w:color w:val="000000"/>
          <w:shd w:val="clear" w:color="auto" w:fill="FFFFFF"/>
        </w:rPr>
        <w:t>Barney, J.B. (2007) </w:t>
      </w:r>
      <w:r w:rsidRPr="00EA30A4">
        <w:rPr>
          <w:rFonts w:ascii="Arial" w:hAnsi="Arial" w:cs="Arial"/>
          <w:i/>
          <w:iCs/>
          <w:color w:val="000000"/>
          <w:shd w:val="clear" w:color="auto" w:fill="FFFFFF"/>
        </w:rPr>
        <w:t>Resource-based theory : .creating and sustaining competitive advantage</w:t>
      </w:r>
      <w:r w:rsidRPr="00EA30A4">
        <w:rPr>
          <w:rFonts w:ascii="Arial" w:hAnsi="Arial" w:cs="Arial"/>
          <w:color w:val="000000"/>
          <w:shd w:val="clear" w:color="auto" w:fill="FFFFFF"/>
        </w:rPr>
        <w:t>.</w:t>
      </w:r>
    </w:p>
    <w:p w14:paraId="1715B130" w14:textId="15E35AA6" w:rsidR="00753FFC" w:rsidRPr="00EA30A4" w:rsidRDefault="00C30DFB" w:rsidP="00EA30A4">
      <w:pPr>
        <w:pStyle w:val="ListParagraph"/>
        <w:numPr>
          <w:ilvl w:val="0"/>
          <w:numId w:val="7"/>
        </w:numPr>
        <w:spacing w:line="360" w:lineRule="auto"/>
        <w:rPr>
          <w:rFonts w:ascii="Arial" w:hAnsi="Arial" w:cs="Arial"/>
        </w:rPr>
      </w:pPr>
      <w:r w:rsidRPr="00EA30A4">
        <w:rPr>
          <w:rFonts w:ascii="Arial" w:hAnsi="Arial" w:cs="Arial"/>
          <w:color w:val="000000"/>
          <w:shd w:val="clear" w:color="auto" w:fill="FFFFFF"/>
        </w:rPr>
        <w:t>Blom, R., Kruyen, P.M., Van der Heijden, B. I. J. M. and Van Thiel, S. (2020) 'One HRM Fits All? A Meta-Analysis of the Effects of HRM Practices in the Public, Semipublic, and Private Sector', </w:t>
      </w:r>
      <w:r w:rsidRPr="00EA30A4">
        <w:rPr>
          <w:rFonts w:ascii="Arial" w:hAnsi="Arial" w:cs="Arial"/>
          <w:i/>
          <w:iCs/>
          <w:color w:val="000000"/>
          <w:shd w:val="clear" w:color="auto" w:fill="FFFFFF"/>
        </w:rPr>
        <w:t>Review of public personnel administration, </w:t>
      </w:r>
      <w:r w:rsidRPr="00EA30A4">
        <w:rPr>
          <w:rFonts w:ascii="Arial" w:hAnsi="Arial" w:cs="Arial"/>
          <w:color w:val="000000"/>
          <w:shd w:val="clear" w:color="auto" w:fill="FFFFFF"/>
        </w:rPr>
        <w:t>40(1), pp. 3-35 Available at: </w:t>
      </w:r>
      <w:hyperlink r:id="rId15" w:tgtFrame="_blank" w:history="1">
        <w:r w:rsidRPr="00EA30A4">
          <w:rPr>
            <w:rStyle w:val="Hyperlink"/>
            <w:rFonts w:ascii="Arial" w:hAnsi="Arial" w:cs="Arial"/>
            <w:color w:val="0066CC"/>
            <w:shd w:val="clear" w:color="auto" w:fill="FFFFFF"/>
          </w:rPr>
          <w:t>https://doi.org/10.1177/0734371X18773492.</w:t>
        </w:r>
      </w:hyperlink>
    </w:p>
    <w:p w14:paraId="120F6B5D" w14:textId="0DA4C1CD" w:rsidR="00C30DFB" w:rsidRPr="00EA30A4" w:rsidRDefault="00C30DFB" w:rsidP="00EA30A4">
      <w:pPr>
        <w:pStyle w:val="ListParagraph"/>
        <w:numPr>
          <w:ilvl w:val="0"/>
          <w:numId w:val="7"/>
        </w:numPr>
        <w:spacing w:line="360" w:lineRule="auto"/>
        <w:rPr>
          <w:rFonts w:ascii="Arial" w:hAnsi="Arial" w:cs="Arial"/>
          <w:lang w:val="en-GB"/>
        </w:rPr>
      </w:pPr>
      <w:r w:rsidRPr="00EA30A4">
        <w:rPr>
          <w:rFonts w:ascii="Arial" w:hAnsi="Arial" w:cs="Arial"/>
          <w:color w:val="000000"/>
          <w:shd w:val="clear" w:color="auto" w:fill="FFFFFF"/>
        </w:rPr>
        <w:t>Boselie, P., Van Harten, J., Veld, M., Dep Bestuurs- en Organisatiewetenschap, Organisation Science, UU LEG Research USG Public Matters and Management studie en, H. (2021) 'A human resource management review on public management and public administration research: stop right there ... before we go any further', </w:t>
      </w:r>
      <w:r w:rsidRPr="00EA30A4">
        <w:rPr>
          <w:rFonts w:ascii="Arial" w:hAnsi="Arial" w:cs="Arial"/>
          <w:i/>
          <w:iCs/>
          <w:color w:val="000000"/>
          <w:shd w:val="clear" w:color="auto" w:fill="FFFFFF"/>
        </w:rPr>
        <w:t>Public management review, </w:t>
      </w:r>
      <w:r w:rsidRPr="00EA30A4">
        <w:rPr>
          <w:rFonts w:ascii="Arial" w:hAnsi="Arial" w:cs="Arial"/>
          <w:color w:val="000000"/>
          <w:shd w:val="clear" w:color="auto" w:fill="FFFFFF"/>
        </w:rPr>
        <w:t>23(4), pp. 483-500 Available at: </w:t>
      </w:r>
      <w:hyperlink r:id="rId16" w:tgtFrame="_blank" w:history="1">
        <w:r w:rsidRPr="00EA30A4">
          <w:rPr>
            <w:rStyle w:val="Hyperlink"/>
            <w:rFonts w:ascii="Arial" w:hAnsi="Arial" w:cs="Arial"/>
            <w:color w:val="0066CC"/>
            <w:shd w:val="clear" w:color="auto" w:fill="FFFFFF"/>
          </w:rPr>
          <w:t>https://doi.org/10.1080/14719037.2019.1695880.</w:t>
        </w:r>
      </w:hyperlink>
    </w:p>
    <w:p w14:paraId="7496797E" w14:textId="23AFF76D" w:rsidR="00C30DFB" w:rsidRPr="00EA30A4" w:rsidRDefault="00C30DFB" w:rsidP="00EA30A4">
      <w:pPr>
        <w:pStyle w:val="ListParagraph"/>
        <w:numPr>
          <w:ilvl w:val="0"/>
          <w:numId w:val="7"/>
        </w:numPr>
        <w:spacing w:line="360" w:lineRule="auto"/>
        <w:rPr>
          <w:rFonts w:ascii="Arial" w:hAnsi="Arial" w:cs="Arial"/>
        </w:rPr>
      </w:pPr>
      <w:r w:rsidRPr="00EA30A4">
        <w:rPr>
          <w:rFonts w:ascii="Arial" w:hAnsi="Arial" w:cs="Arial"/>
          <w:color w:val="000000"/>
          <w:shd w:val="clear" w:color="auto" w:fill="FFFFFF"/>
        </w:rPr>
        <w:t>Boyne, G., Poole, M. and Jenkins, G. (1999) 'Human Resource Management in the Public and Private Sectors: An Empirical Comparison', </w:t>
      </w:r>
      <w:r w:rsidRPr="00EA30A4">
        <w:rPr>
          <w:rFonts w:ascii="Arial" w:hAnsi="Arial" w:cs="Arial"/>
          <w:i/>
          <w:iCs/>
          <w:color w:val="000000"/>
          <w:shd w:val="clear" w:color="auto" w:fill="FFFFFF"/>
        </w:rPr>
        <w:t>Public administration (London), </w:t>
      </w:r>
      <w:r w:rsidRPr="00EA30A4">
        <w:rPr>
          <w:rFonts w:ascii="Arial" w:hAnsi="Arial" w:cs="Arial"/>
          <w:color w:val="000000"/>
          <w:shd w:val="clear" w:color="auto" w:fill="FFFFFF"/>
        </w:rPr>
        <w:t>77(2), pp. 407-420 Available at: </w:t>
      </w:r>
      <w:hyperlink r:id="rId17" w:tgtFrame="_blank" w:history="1">
        <w:r w:rsidRPr="00EA30A4">
          <w:rPr>
            <w:rStyle w:val="Hyperlink"/>
            <w:rFonts w:ascii="Arial" w:hAnsi="Arial" w:cs="Arial"/>
            <w:color w:val="0066CC"/>
            <w:shd w:val="clear" w:color="auto" w:fill="FFFFFF"/>
          </w:rPr>
          <w:t>https://doi.org/10.1111/1467-9299.00160.</w:t>
        </w:r>
      </w:hyperlink>
    </w:p>
    <w:p w14:paraId="4BBFC524" w14:textId="27A593A0" w:rsidR="00C30DFB" w:rsidRPr="00EA30A4" w:rsidRDefault="00C30DFB" w:rsidP="00EA30A4">
      <w:pPr>
        <w:pStyle w:val="ListParagraph"/>
        <w:numPr>
          <w:ilvl w:val="0"/>
          <w:numId w:val="7"/>
        </w:numPr>
        <w:spacing w:line="360" w:lineRule="auto"/>
        <w:rPr>
          <w:rFonts w:ascii="Arial" w:hAnsi="Arial" w:cs="Arial"/>
          <w:color w:val="000000"/>
          <w:shd w:val="clear" w:color="auto" w:fill="FFFFFF"/>
        </w:rPr>
      </w:pPr>
      <w:r w:rsidRPr="00EA30A4">
        <w:rPr>
          <w:rFonts w:ascii="Arial" w:hAnsi="Arial" w:cs="Arial"/>
          <w:color w:val="000000"/>
          <w:shd w:val="clear" w:color="auto" w:fill="FFFFFF"/>
        </w:rPr>
        <w:lastRenderedPageBreak/>
        <w:t>Christensen, T., Lægreid, P. and Roness, P.G. (2007) </w:t>
      </w:r>
      <w:r w:rsidRPr="00EA30A4">
        <w:rPr>
          <w:rFonts w:ascii="Arial" w:hAnsi="Arial" w:cs="Arial"/>
          <w:i/>
          <w:iCs/>
          <w:color w:val="000000"/>
          <w:shd w:val="clear" w:color="auto" w:fill="FFFFFF"/>
        </w:rPr>
        <w:t>Organization Theory and the Public Sector</w:t>
      </w:r>
      <w:r w:rsidRPr="00EA30A4">
        <w:rPr>
          <w:rFonts w:ascii="Arial" w:hAnsi="Arial" w:cs="Arial"/>
          <w:color w:val="000000"/>
          <w:shd w:val="clear" w:color="auto" w:fill="FFFFFF"/>
        </w:rPr>
        <w:t> Oxford, England: Taylor &amp; Francis.</w:t>
      </w:r>
    </w:p>
    <w:p w14:paraId="16FAE559" w14:textId="073A8718" w:rsidR="00C30DFB" w:rsidRPr="00EA30A4" w:rsidRDefault="00C30DFB" w:rsidP="00EA30A4">
      <w:pPr>
        <w:pStyle w:val="ListParagraph"/>
        <w:numPr>
          <w:ilvl w:val="0"/>
          <w:numId w:val="7"/>
        </w:numPr>
        <w:spacing w:line="360" w:lineRule="auto"/>
        <w:rPr>
          <w:rFonts w:ascii="Arial" w:hAnsi="Arial" w:cs="Arial"/>
        </w:rPr>
      </w:pPr>
      <w:r w:rsidRPr="00EA30A4">
        <w:rPr>
          <w:rFonts w:ascii="Arial" w:hAnsi="Arial" w:cs="Arial"/>
          <w:color w:val="000000"/>
          <w:shd w:val="clear" w:color="auto" w:fill="FFFFFF"/>
        </w:rPr>
        <w:t>Clark Kerr ... [et al.] ; foreword by Roy Haddon (1973) </w:t>
      </w:r>
      <w:r w:rsidRPr="00EA30A4">
        <w:rPr>
          <w:rFonts w:ascii="Arial" w:hAnsi="Arial" w:cs="Arial"/>
          <w:i/>
          <w:iCs/>
          <w:color w:val="000000"/>
          <w:shd w:val="clear" w:color="auto" w:fill="FFFFFF"/>
        </w:rPr>
        <w:t>Industrialism and industrial man : the problems of labour and management in economic growth : with a postscriptPelican sociology</w:t>
      </w:r>
      <w:r w:rsidRPr="00EA30A4">
        <w:rPr>
          <w:rFonts w:ascii="Arial" w:hAnsi="Arial" w:cs="Arial"/>
          <w:color w:val="000000"/>
          <w:shd w:val="clear" w:color="auto" w:fill="FFFFFF"/>
        </w:rPr>
        <w:t>. 2. ed edn. Penguin Books in association with Heinemann Educational Books.</w:t>
      </w:r>
    </w:p>
    <w:p w14:paraId="323D570F" w14:textId="39E6E22E" w:rsidR="00C30DFB" w:rsidRPr="00EA30A4" w:rsidRDefault="00C30DFB" w:rsidP="00EA30A4">
      <w:pPr>
        <w:pStyle w:val="ListParagraph"/>
        <w:numPr>
          <w:ilvl w:val="0"/>
          <w:numId w:val="7"/>
        </w:numPr>
        <w:spacing w:line="360" w:lineRule="auto"/>
        <w:rPr>
          <w:rFonts w:ascii="Arial" w:hAnsi="Arial" w:cs="Arial"/>
        </w:rPr>
      </w:pPr>
      <w:r w:rsidRPr="00EA30A4">
        <w:rPr>
          <w:rFonts w:ascii="Arial" w:hAnsi="Arial" w:cs="Arial"/>
          <w:color w:val="000000"/>
          <w:shd w:val="clear" w:color="auto" w:fill="FFFFFF"/>
        </w:rPr>
        <w:t>COLLINS, C. and KEHOE, R. (2017) 'EXAMINING STRATEGIC FIT AND MISFIT IN THE MANAGEMENT OF KNOWLEDGE WORKERS', </w:t>
      </w:r>
      <w:r w:rsidRPr="00EA30A4">
        <w:rPr>
          <w:rFonts w:ascii="Arial" w:hAnsi="Arial" w:cs="Arial"/>
          <w:i/>
          <w:iCs/>
          <w:color w:val="000000"/>
          <w:shd w:val="clear" w:color="auto" w:fill="FFFFFF"/>
        </w:rPr>
        <w:t>Industrial &amp; labor relations review, </w:t>
      </w:r>
      <w:r w:rsidRPr="00EA30A4">
        <w:rPr>
          <w:rFonts w:ascii="Arial" w:hAnsi="Arial" w:cs="Arial"/>
          <w:color w:val="000000"/>
          <w:shd w:val="clear" w:color="auto" w:fill="FFFFFF"/>
        </w:rPr>
        <w:t>70(2), pp. 308-335 Available at: </w:t>
      </w:r>
      <w:hyperlink r:id="rId18" w:tgtFrame="_blank" w:history="1">
        <w:r w:rsidRPr="00EA30A4">
          <w:rPr>
            <w:rStyle w:val="Hyperlink"/>
            <w:rFonts w:ascii="Arial" w:hAnsi="Arial" w:cs="Arial"/>
            <w:color w:val="0066CC"/>
            <w:shd w:val="clear" w:color="auto" w:fill="FFFFFF"/>
          </w:rPr>
          <w:t>https://doi.org/10.1177/0019793916654481.</w:t>
        </w:r>
      </w:hyperlink>
    </w:p>
    <w:p w14:paraId="7641981D" w14:textId="497742FC" w:rsidR="00C30DFB" w:rsidRPr="00EA30A4" w:rsidRDefault="00C30DFB" w:rsidP="00EA30A4">
      <w:pPr>
        <w:pStyle w:val="ListParagraph"/>
        <w:numPr>
          <w:ilvl w:val="0"/>
          <w:numId w:val="7"/>
        </w:numPr>
        <w:spacing w:line="360" w:lineRule="auto"/>
        <w:rPr>
          <w:rFonts w:ascii="Arial" w:hAnsi="Arial" w:cs="Arial"/>
          <w:color w:val="000000"/>
          <w:shd w:val="clear" w:color="auto" w:fill="FFFFFF"/>
        </w:rPr>
      </w:pPr>
      <w:r w:rsidRPr="00EA30A4">
        <w:rPr>
          <w:rFonts w:ascii="Arial" w:hAnsi="Arial" w:cs="Arial"/>
          <w:color w:val="000000"/>
          <w:shd w:val="clear" w:color="auto" w:fill="FFFFFF"/>
        </w:rPr>
        <w:t>Farnham, D. and Horton, S. (1996) </w:t>
      </w:r>
      <w:r w:rsidRPr="00EA30A4">
        <w:rPr>
          <w:rFonts w:ascii="Arial" w:hAnsi="Arial" w:cs="Arial"/>
          <w:i/>
          <w:iCs/>
          <w:color w:val="000000"/>
          <w:shd w:val="clear" w:color="auto" w:fill="FFFFFF"/>
        </w:rPr>
        <w:t>Managing people in the public services</w:t>
      </w:r>
      <w:r w:rsidRPr="00EA30A4">
        <w:rPr>
          <w:rFonts w:ascii="Arial" w:hAnsi="Arial" w:cs="Arial"/>
          <w:color w:val="000000"/>
          <w:shd w:val="clear" w:color="auto" w:fill="FFFFFF"/>
        </w:rPr>
        <w:t> Basingstoke: Macmillan.</w:t>
      </w:r>
    </w:p>
    <w:p w14:paraId="64EEE6F8" w14:textId="648E6F29" w:rsidR="001E0D3F" w:rsidRPr="00EA30A4" w:rsidRDefault="001E0D3F" w:rsidP="00EA30A4">
      <w:pPr>
        <w:pStyle w:val="ListParagraph"/>
        <w:numPr>
          <w:ilvl w:val="0"/>
          <w:numId w:val="7"/>
        </w:numPr>
        <w:spacing w:line="360" w:lineRule="auto"/>
        <w:rPr>
          <w:rFonts w:ascii="Arial" w:hAnsi="Arial" w:cs="Arial"/>
          <w:color w:val="000000"/>
          <w:shd w:val="clear" w:color="auto" w:fill="FFFFFF"/>
        </w:rPr>
      </w:pPr>
      <w:r w:rsidRPr="00EA30A4">
        <w:rPr>
          <w:rFonts w:ascii="Arial" w:hAnsi="Arial" w:cs="Arial"/>
          <w:color w:val="000000"/>
          <w:shd w:val="clear" w:color="auto" w:fill="FFFFFF"/>
        </w:rPr>
        <w:t>Guest, D. and Conway, N. (2011) 'The impact of HR practices, HR effectiveness and a 'strong HR system' on organisational outcomes: a stakeholder perspective', </w:t>
      </w:r>
      <w:r w:rsidRPr="00EA30A4">
        <w:rPr>
          <w:rFonts w:ascii="Arial" w:hAnsi="Arial" w:cs="Arial"/>
          <w:i/>
          <w:iCs/>
          <w:color w:val="000000"/>
          <w:shd w:val="clear" w:color="auto" w:fill="FFFFFF"/>
        </w:rPr>
        <w:t>International journal of human resource management, </w:t>
      </w:r>
      <w:r w:rsidRPr="00EA30A4">
        <w:rPr>
          <w:rFonts w:ascii="Arial" w:hAnsi="Arial" w:cs="Arial"/>
          <w:color w:val="000000"/>
          <w:shd w:val="clear" w:color="auto" w:fill="FFFFFF"/>
        </w:rPr>
        <w:t>22(8), pp. 1686-1702 Available at: </w:t>
      </w:r>
      <w:hyperlink r:id="rId19" w:tgtFrame="_blank" w:history="1">
        <w:r w:rsidRPr="00EA30A4">
          <w:rPr>
            <w:rStyle w:val="Hyperlink"/>
            <w:rFonts w:ascii="Arial" w:hAnsi="Arial" w:cs="Arial"/>
            <w:color w:val="0066CC"/>
            <w:shd w:val="clear" w:color="auto" w:fill="FFFFFF"/>
          </w:rPr>
          <w:t>https://doi.org/10.1080/09585192.2011.565657.</w:t>
        </w:r>
      </w:hyperlink>
    </w:p>
    <w:p w14:paraId="4D757D2E" w14:textId="2FE00CB5" w:rsidR="00C30DFB" w:rsidRPr="00EA30A4" w:rsidRDefault="00000000" w:rsidP="00EA30A4">
      <w:pPr>
        <w:pStyle w:val="ListParagraph"/>
        <w:numPr>
          <w:ilvl w:val="0"/>
          <w:numId w:val="7"/>
        </w:numPr>
        <w:spacing w:line="360" w:lineRule="auto"/>
        <w:rPr>
          <w:rFonts w:ascii="Arial" w:hAnsi="Arial" w:cs="Arial"/>
        </w:rPr>
      </w:pPr>
      <w:hyperlink r:id="rId20" w:history="1">
        <w:r w:rsidR="00C30DFB" w:rsidRPr="00EA30A4">
          <w:rPr>
            <w:rStyle w:val="Hyperlink"/>
            <w:rFonts w:ascii="Arial" w:hAnsi="Arial" w:cs="Arial"/>
            <w:color w:val="000000" w:themeColor="text1"/>
            <w:u w:val="none"/>
          </w:rPr>
          <w:t>Guillemot</w:t>
        </w:r>
      </w:hyperlink>
      <w:r w:rsidR="00C30DFB" w:rsidRPr="00EA30A4">
        <w:rPr>
          <w:rFonts w:ascii="Arial" w:hAnsi="Arial" w:cs="Arial"/>
          <w:color w:val="000000" w:themeColor="text1"/>
        </w:rPr>
        <w:t>, D., </w:t>
      </w:r>
      <w:hyperlink r:id="rId21" w:history="1">
        <w:r w:rsidR="00C30DFB" w:rsidRPr="00EA30A4">
          <w:rPr>
            <w:rStyle w:val="Hyperlink"/>
            <w:rFonts w:ascii="Arial" w:hAnsi="Arial" w:cs="Arial"/>
            <w:color w:val="000000" w:themeColor="text1"/>
            <w:u w:val="none"/>
          </w:rPr>
          <w:t>Jeannot</w:t>
        </w:r>
      </w:hyperlink>
      <w:r w:rsidR="00C30DFB" w:rsidRPr="00EA30A4">
        <w:rPr>
          <w:rFonts w:ascii="Arial" w:hAnsi="Arial" w:cs="Arial"/>
          <w:color w:val="000000" w:themeColor="text1"/>
        </w:rPr>
        <w:t>, G., </w:t>
      </w:r>
      <w:hyperlink r:id="rId22" w:history="1">
        <w:r w:rsidR="00C30DFB" w:rsidRPr="00EA30A4">
          <w:rPr>
            <w:rStyle w:val="Hyperlink"/>
            <w:rFonts w:ascii="Arial" w:hAnsi="Arial" w:cs="Arial"/>
            <w:color w:val="000000" w:themeColor="text1"/>
            <w:u w:val="none"/>
          </w:rPr>
          <w:t>Peyrin</w:t>
        </w:r>
      </w:hyperlink>
      <w:r w:rsidR="00C30DFB" w:rsidRPr="00EA30A4">
        <w:rPr>
          <w:rStyle w:val="auteur"/>
          <w:rFonts w:ascii="Arial" w:hAnsi="Arial" w:cs="Arial"/>
          <w:color w:val="000000" w:themeColor="text1"/>
        </w:rPr>
        <w:t>, A. (2009)’</w:t>
      </w:r>
      <w:r w:rsidR="00C30DFB" w:rsidRPr="00EA30A4">
        <w:rPr>
          <w:rFonts w:ascii="Arial" w:hAnsi="Arial" w:cs="Arial"/>
        </w:rPr>
        <w:t xml:space="preserve"> The Similarities and Differences between Public and Private Sector Employment’, </w:t>
      </w:r>
      <w:r w:rsidR="00C30DFB" w:rsidRPr="00EA30A4">
        <w:rPr>
          <w:rFonts w:ascii="Arial" w:hAnsi="Arial" w:cs="Arial"/>
          <w:i/>
          <w:iCs/>
        </w:rPr>
        <w:t>Revenue Francaise D’administration Publique,</w:t>
      </w:r>
      <w:r w:rsidR="00C30DFB" w:rsidRPr="00EA30A4">
        <w:rPr>
          <w:rFonts w:ascii="Arial" w:hAnsi="Arial" w:cs="Arial"/>
        </w:rPr>
        <w:t>132(4),pp.789-803.</w:t>
      </w:r>
    </w:p>
    <w:p w14:paraId="2F50363D" w14:textId="55B8C772" w:rsidR="00C30DFB" w:rsidRPr="00EA30A4" w:rsidRDefault="00C30DFB" w:rsidP="00EA30A4">
      <w:pPr>
        <w:pStyle w:val="ListParagraph"/>
        <w:numPr>
          <w:ilvl w:val="0"/>
          <w:numId w:val="7"/>
        </w:numPr>
        <w:spacing w:line="360" w:lineRule="auto"/>
        <w:rPr>
          <w:rFonts w:ascii="Arial" w:hAnsi="Arial" w:cs="Arial"/>
        </w:rPr>
      </w:pPr>
      <w:r w:rsidRPr="00EA30A4">
        <w:rPr>
          <w:rFonts w:ascii="Arial" w:hAnsi="Arial" w:cs="Arial"/>
          <w:color w:val="000000"/>
          <w:shd w:val="clear" w:color="auto" w:fill="FFFFFF"/>
        </w:rPr>
        <w:t>HAREL, G.H. and TZAFRIR, S.S. (2001) 'HRM PRACTICES IN THE PUBLIC AND PRIVATE SECTORS: DIFFERENCES AND SIMILARITIES', </w:t>
      </w:r>
      <w:r w:rsidRPr="00EA30A4">
        <w:rPr>
          <w:rFonts w:ascii="Arial" w:hAnsi="Arial" w:cs="Arial"/>
          <w:i/>
          <w:iCs/>
          <w:color w:val="000000"/>
          <w:shd w:val="clear" w:color="auto" w:fill="FFFFFF"/>
        </w:rPr>
        <w:t>Public administration quarterly, </w:t>
      </w:r>
      <w:r w:rsidRPr="00EA30A4">
        <w:rPr>
          <w:rFonts w:ascii="Arial" w:hAnsi="Arial" w:cs="Arial"/>
          <w:color w:val="000000"/>
          <w:shd w:val="clear" w:color="auto" w:fill="FFFFFF"/>
        </w:rPr>
        <w:t>25(3), pp. 316-355 Available at: </w:t>
      </w:r>
      <w:hyperlink r:id="rId23" w:tgtFrame="_blank" w:history="1">
        <w:r w:rsidRPr="00EA30A4">
          <w:rPr>
            <w:rStyle w:val="Hyperlink"/>
            <w:rFonts w:ascii="Arial" w:hAnsi="Arial" w:cs="Arial"/>
            <w:color w:val="0066CC"/>
            <w:shd w:val="clear" w:color="auto" w:fill="FFFFFF"/>
          </w:rPr>
          <w:t>https://www.jstor.org/stable/40861844.</w:t>
        </w:r>
      </w:hyperlink>
    </w:p>
    <w:p w14:paraId="333D848C" w14:textId="58260DAD" w:rsidR="00C30DFB" w:rsidRPr="00EA30A4" w:rsidRDefault="00C30DFB" w:rsidP="00EA30A4">
      <w:pPr>
        <w:pStyle w:val="ListParagraph"/>
        <w:numPr>
          <w:ilvl w:val="0"/>
          <w:numId w:val="7"/>
        </w:numPr>
        <w:spacing w:line="360" w:lineRule="auto"/>
        <w:rPr>
          <w:rFonts w:ascii="Arial" w:hAnsi="Arial" w:cs="Arial"/>
          <w:color w:val="000000"/>
          <w:shd w:val="clear" w:color="auto" w:fill="FFFFFF"/>
        </w:rPr>
      </w:pPr>
      <w:r w:rsidRPr="00EA30A4">
        <w:rPr>
          <w:rFonts w:ascii="Arial" w:hAnsi="Arial" w:cs="Arial"/>
          <w:color w:val="000000"/>
          <w:shd w:val="clear" w:color="auto" w:fill="FFFFFF"/>
        </w:rPr>
        <w:t>Hofstede, G. (1980) </w:t>
      </w:r>
      <w:r w:rsidRPr="00EA30A4">
        <w:rPr>
          <w:rFonts w:ascii="Arial" w:hAnsi="Arial" w:cs="Arial"/>
          <w:i/>
          <w:iCs/>
          <w:color w:val="000000"/>
          <w:shd w:val="clear" w:color="auto" w:fill="FFFFFF"/>
        </w:rPr>
        <w:t>Culture's consequencesCross-cultural research and methodology series</w:t>
      </w:r>
      <w:r w:rsidRPr="00EA30A4">
        <w:rPr>
          <w:rFonts w:ascii="Arial" w:hAnsi="Arial" w:cs="Arial"/>
          <w:color w:val="000000"/>
          <w:shd w:val="clear" w:color="auto" w:fill="FFFFFF"/>
        </w:rPr>
        <w:t> Beverly Hills [u.a.]: Sage Publ.</w:t>
      </w:r>
    </w:p>
    <w:p w14:paraId="5A12C626" w14:textId="19831207" w:rsidR="00C30DFB" w:rsidRPr="00EA30A4" w:rsidRDefault="00C30DFB" w:rsidP="00EA30A4">
      <w:pPr>
        <w:pStyle w:val="ListParagraph"/>
        <w:numPr>
          <w:ilvl w:val="0"/>
          <w:numId w:val="7"/>
        </w:numPr>
        <w:spacing w:line="360" w:lineRule="auto"/>
        <w:rPr>
          <w:rFonts w:ascii="Arial" w:hAnsi="Arial" w:cs="Arial"/>
        </w:rPr>
      </w:pPr>
      <w:r w:rsidRPr="00EA30A4">
        <w:rPr>
          <w:rFonts w:ascii="Arial" w:hAnsi="Arial" w:cs="Arial"/>
          <w:color w:val="000000"/>
          <w:shd w:val="clear" w:color="auto" w:fill="FFFFFF"/>
        </w:rPr>
        <w:t>Jabbour, C.J.C. and de Sousa Jabbour, A.B.L. (2016) 'Green Human Resource Management and Green Supply Chain Management: linking two emerging agendas', </w:t>
      </w:r>
      <w:r w:rsidRPr="00EA30A4">
        <w:rPr>
          <w:rFonts w:ascii="Arial" w:hAnsi="Arial" w:cs="Arial"/>
          <w:i/>
          <w:iCs/>
          <w:color w:val="000000"/>
          <w:shd w:val="clear" w:color="auto" w:fill="FFFFFF"/>
        </w:rPr>
        <w:t>Journal of cleaner production, </w:t>
      </w:r>
      <w:r w:rsidRPr="00EA30A4">
        <w:rPr>
          <w:rFonts w:ascii="Arial" w:hAnsi="Arial" w:cs="Arial"/>
          <w:color w:val="000000"/>
          <w:shd w:val="clear" w:color="auto" w:fill="FFFFFF"/>
        </w:rPr>
        <w:t>112, pp. 1824-1833 Available at: </w:t>
      </w:r>
      <w:hyperlink r:id="rId24" w:tgtFrame="_blank" w:history="1">
        <w:r w:rsidRPr="00EA30A4">
          <w:rPr>
            <w:rStyle w:val="Hyperlink"/>
            <w:rFonts w:ascii="Arial" w:hAnsi="Arial" w:cs="Arial"/>
            <w:color w:val="0066CC"/>
            <w:shd w:val="clear" w:color="auto" w:fill="FFFFFF"/>
          </w:rPr>
          <w:t>https://doi.org/10.1016/j.jclepro.2015.01.052.</w:t>
        </w:r>
      </w:hyperlink>
    </w:p>
    <w:p w14:paraId="79DE12C9" w14:textId="70E0145E" w:rsidR="0060096E" w:rsidRPr="00EA30A4" w:rsidRDefault="0060096E" w:rsidP="00EA30A4">
      <w:pPr>
        <w:pStyle w:val="ListParagraph"/>
        <w:numPr>
          <w:ilvl w:val="0"/>
          <w:numId w:val="7"/>
        </w:numPr>
        <w:spacing w:line="360" w:lineRule="auto"/>
        <w:rPr>
          <w:rFonts w:ascii="Arial" w:hAnsi="Arial" w:cs="Arial"/>
          <w:color w:val="000000"/>
          <w:shd w:val="clear" w:color="auto" w:fill="FFFFFF"/>
        </w:rPr>
      </w:pPr>
      <w:r w:rsidRPr="00EA30A4">
        <w:rPr>
          <w:rFonts w:ascii="Arial" w:hAnsi="Arial" w:cs="Arial"/>
          <w:color w:val="000000"/>
          <w:shd w:val="clear" w:color="auto" w:fill="FFFFFF"/>
        </w:rPr>
        <w:t>Jackson, S.E., Renwick, D.W.S., Jabbour, C.J.C. and Muller-Camen, M. (2011) 'State-of-the-Art and Future Directions for Green Human Resource Management: Introduction to the Special Issue', </w:t>
      </w:r>
      <w:r w:rsidRPr="00EA30A4">
        <w:rPr>
          <w:rFonts w:ascii="Arial" w:hAnsi="Arial" w:cs="Arial"/>
          <w:i/>
          <w:iCs/>
          <w:color w:val="000000"/>
          <w:shd w:val="clear" w:color="auto" w:fill="FFFFFF"/>
        </w:rPr>
        <w:t>Zeitschrift für Personalforschung, </w:t>
      </w:r>
      <w:r w:rsidRPr="00EA30A4">
        <w:rPr>
          <w:rFonts w:ascii="Arial" w:hAnsi="Arial" w:cs="Arial"/>
          <w:color w:val="000000"/>
          <w:shd w:val="clear" w:color="auto" w:fill="FFFFFF"/>
        </w:rPr>
        <w:t>25(2), pp. 99-116 Available at: </w:t>
      </w:r>
      <w:hyperlink r:id="rId25" w:tgtFrame="_blank" w:history="1">
        <w:r w:rsidRPr="00EA30A4">
          <w:rPr>
            <w:rStyle w:val="Hyperlink"/>
            <w:rFonts w:ascii="Arial" w:hAnsi="Arial" w:cs="Arial"/>
            <w:color w:val="0066CC"/>
            <w:shd w:val="clear" w:color="auto" w:fill="FFFFFF"/>
          </w:rPr>
          <w:t>https://doi.org/10.1688/1862-0000_ZfP_2011_02_Jackson.</w:t>
        </w:r>
      </w:hyperlink>
    </w:p>
    <w:p w14:paraId="1D489119" w14:textId="5F829023" w:rsidR="00C30DFB" w:rsidRPr="00EA30A4" w:rsidRDefault="00C30DFB" w:rsidP="00EA30A4">
      <w:pPr>
        <w:pStyle w:val="ListParagraph"/>
        <w:numPr>
          <w:ilvl w:val="0"/>
          <w:numId w:val="7"/>
        </w:numPr>
        <w:spacing w:line="360" w:lineRule="auto"/>
        <w:rPr>
          <w:rFonts w:ascii="Arial" w:hAnsi="Arial" w:cs="Arial"/>
        </w:rPr>
      </w:pPr>
      <w:r w:rsidRPr="00EA30A4">
        <w:rPr>
          <w:rFonts w:ascii="Arial" w:hAnsi="Arial" w:cs="Arial"/>
          <w:color w:val="000000"/>
          <w:shd w:val="clear" w:color="auto" w:fill="FFFFFF"/>
        </w:rPr>
        <w:t>Jackson, S.E., Schuler, R.S. and Jiang, K. (2014) 'An Aspirational Framework for Strategic Human Resource Management', </w:t>
      </w:r>
      <w:r w:rsidRPr="00EA30A4">
        <w:rPr>
          <w:rFonts w:ascii="Arial" w:hAnsi="Arial" w:cs="Arial"/>
          <w:i/>
          <w:iCs/>
          <w:color w:val="000000"/>
          <w:shd w:val="clear" w:color="auto" w:fill="FFFFFF"/>
        </w:rPr>
        <w:t>The Academy of Management annals, </w:t>
      </w:r>
      <w:r w:rsidRPr="00EA30A4">
        <w:rPr>
          <w:rFonts w:ascii="Arial" w:hAnsi="Arial" w:cs="Arial"/>
          <w:color w:val="000000"/>
          <w:shd w:val="clear" w:color="auto" w:fill="FFFFFF"/>
        </w:rPr>
        <w:t>8(1), pp. 1-56 Available at: </w:t>
      </w:r>
      <w:hyperlink r:id="rId26" w:tgtFrame="_blank" w:history="1">
        <w:r w:rsidRPr="00EA30A4">
          <w:rPr>
            <w:rStyle w:val="Hyperlink"/>
            <w:rFonts w:ascii="Arial" w:hAnsi="Arial" w:cs="Arial"/>
            <w:color w:val="0066CC"/>
            <w:shd w:val="clear" w:color="auto" w:fill="FFFFFF"/>
          </w:rPr>
          <w:t>https://doi.org/10.1080/19416520.2014.872335.</w:t>
        </w:r>
      </w:hyperlink>
    </w:p>
    <w:p w14:paraId="03F33823" w14:textId="024C915F" w:rsidR="00C30DFB" w:rsidRPr="00EA30A4" w:rsidRDefault="00C30DFB" w:rsidP="00EA30A4">
      <w:pPr>
        <w:pStyle w:val="ListParagraph"/>
        <w:numPr>
          <w:ilvl w:val="0"/>
          <w:numId w:val="7"/>
        </w:numPr>
        <w:spacing w:line="360" w:lineRule="auto"/>
        <w:rPr>
          <w:rFonts w:ascii="Arial" w:hAnsi="Arial" w:cs="Arial"/>
        </w:rPr>
      </w:pPr>
      <w:r w:rsidRPr="00EA30A4">
        <w:rPr>
          <w:rFonts w:ascii="Arial" w:hAnsi="Arial" w:cs="Arial"/>
          <w:color w:val="000000"/>
          <w:shd w:val="clear" w:color="auto" w:fill="FFFFFF"/>
        </w:rPr>
        <w:t>Kalleberg, A.L., Marsden, P.V., Reynolds, J. and Knoke, D. (2006) 'Beyond Profit? Sectoral Differences in High-Performance Work Practices', </w:t>
      </w:r>
      <w:r w:rsidRPr="00EA30A4">
        <w:rPr>
          <w:rFonts w:ascii="Arial" w:hAnsi="Arial" w:cs="Arial"/>
          <w:i/>
          <w:iCs/>
          <w:color w:val="000000"/>
          <w:shd w:val="clear" w:color="auto" w:fill="FFFFFF"/>
        </w:rPr>
        <w:t xml:space="preserve">Work and </w:t>
      </w:r>
      <w:r w:rsidRPr="00EA30A4">
        <w:rPr>
          <w:rFonts w:ascii="Arial" w:hAnsi="Arial" w:cs="Arial"/>
          <w:i/>
          <w:iCs/>
          <w:color w:val="000000"/>
          <w:shd w:val="clear" w:color="auto" w:fill="FFFFFF"/>
        </w:rPr>
        <w:lastRenderedPageBreak/>
        <w:t>Occupations, </w:t>
      </w:r>
      <w:r w:rsidRPr="00EA30A4">
        <w:rPr>
          <w:rFonts w:ascii="Arial" w:hAnsi="Arial" w:cs="Arial"/>
          <w:color w:val="000000"/>
          <w:shd w:val="clear" w:color="auto" w:fill="FFFFFF"/>
        </w:rPr>
        <w:t>33(3), pp. 271-302 Available at: </w:t>
      </w:r>
      <w:hyperlink r:id="rId27" w:tgtFrame="_blank" w:history="1">
        <w:r w:rsidRPr="00EA30A4">
          <w:rPr>
            <w:rStyle w:val="Hyperlink"/>
            <w:rFonts w:ascii="Arial" w:hAnsi="Arial" w:cs="Arial"/>
            <w:color w:val="0066CC"/>
            <w:shd w:val="clear" w:color="auto" w:fill="FFFFFF"/>
          </w:rPr>
          <w:t>https://doi.org/10.1177/0730888406290049.</w:t>
        </w:r>
      </w:hyperlink>
    </w:p>
    <w:p w14:paraId="24BD5834" w14:textId="785A444E" w:rsidR="00C30DFB" w:rsidRPr="00EA30A4" w:rsidRDefault="00C30DFB" w:rsidP="00EA30A4">
      <w:pPr>
        <w:pStyle w:val="ListParagraph"/>
        <w:numPr>
          <w:ilvl w:val="0"/>
          <w:numId w:val="7"/>
        </w:numPr>
        <w:spacing w:line="360" w:lineRule="auto"/>
        <w:rPr>
          <w:rFonts w:ascii="Arial" w:hAnsi="Arial" w:cs="Arial"/>
          <w:shd w:val="clear" w:color="auto" w:fill="FFFFFF"/>
        </w:rPr>
      </w:pPr>
      <w:r w:rsidRPr="00EA30A4">
        <w:rPr>
          <w:rFonts w:ascii="Arial" w:hAnsi="Arial" w:cs="Arial"/>
          <w:color w:val="000000"/>
          <w:shd w:val="clear" w:color="auto" w:fill="FFFFFF"/>
        </w:rPr>
        <w:t>Klein, P.G., Mahoney, J.T., McGahan, A. and Pitelis, C. 'Resources, Capabilities, and Routines in Public Organizations', </w:t>
      </w:r>
      <w:r w:rsidRPr="00EA30A4">
        <w:rPr>
          <w:rFonts w:ascii="Arial" w:hAnsi="Arial" w:cs="Arial"/>
          <w:i/>
          <w:iCs/>
          <w:color w:val="000000"/>
          <w:shd w:val="clear" w:color="auto" w:fill="FFFFFF"/>
        </w:rPr>
        <w:t>SSRN Electronic Journal, </w:t>
      </w:r>
      <w:r w:rsidRPr="00EA30A4">
        <w:rPr>
          <w:rFonts w:ascii="Arial" w:hAnsi="Arial" w:cs="Arial"/>
          <w:color w:val="000000"/>
          <w:shd w:val="clear" w:color="auto" w:fill="FFFFFF"/>
        </w:rPr>
        <w:t>Available at: </w:t>
      </w:r>
      <w:hyperlink r:id="rId28" w:tgtFrame="_blank" w:history="1">
        <w:r w:rsidRPr="00EA30A4">
          <w:rPr>
            <w:rStyle w:val="Hyperlink"/>
            <w:rFonts w:ascii="Arial" w:hAnsi="Arial" w:cs="Arial"/>
            <w:color w:val="0066CC"/>
            <w:shd w:val="clear" w:color="auto" w:fill="FFFFFF"/>
          </w:rPr>
          <w:t>https://doi.org/10.2139/ssrn.1550028.</w:t>
        </w:r>
      </w:hyperlink>
    </w:p>
    <w:p w14:paraId="0EED934B" w14:textId="6E30A3AA" w:rsidR="00C30DFB" w:rsidRPr="00EA30A4" w:rsidRDefault="00C30DFB" w:rsidP="00EA30A4">
      <w:pPr>
        <w:pStyle w:val="ListParagraph"/>
        <w:numPr>
          <w:ilvl w:val="0"/>
          <w:numId w:val="7"/>
        </w:numPr>
        <w:spacing w:line="360" w:lineRule="auto"/>
        <w:rPr>
          <w:rFonts w:ascii="Arial" w:hAnsi="Arial" w:cs="Arial"/>
          <w:color w:val="1C1D1E"/>
          <w:shd w:val="clear" w:color="auto" w:fill="FFFFFF"/>
        </w:rPr>
      </w:pPr>
      <w:r w:rsidRPr="00EA30A4">
        <w:rPr>
          <w:rFonts w:ascii="Arial" w:hAnsi="Arial" w:cs="Arial"/>
          <w:color w:val="000000"/>
          <w:shd w:val="clear" w:color="auto" w:fill="FFFFFF"/>
        </w:rPr>
        <w:t>Knies, E., Borst, R.T., Leisink, P., Farndale, E., Strategisch, H., UU LEG Research USG Public Matters and Management studie en, H. (2022) 'The distinctiveness of public sector HRM: A four-wave trend analysis', </w:t>
      </w:r>
      <w:r w:rsidRPr="00EA30A4">
        <w:rPr>
          <w:rFonts w:ascii="Arial" w:hAnsi="Arial" w:cs="Arial"/>
          <w:i/>
          <w:iCs/>
          <w:color w:val="000000"/>
          <w:shd w:val="clear" w:color="auto" w:fill="FFFFFF"/>
        </w:rPr>
        <w:t>Human resource management journal, </w:t>
      </w:r>
      <w:r w:rsidRPr="00EA30A4">
        <w:rPr>
          <w:rFonts w:ascii="Arial" w:hAnsi="Arial" w:cs="Arial"/>
          <w:color w:val="000000"/>
          <w:shd w:val="clear" w:color="auto" w:fill="FFFFFF"/>
        </w:rPr>
        <w:t>32(4), pp. 799-825 Available at: </w:t>
      </w:r>
      <w:hyperlink r:id="rId29" w:tgtFrame="_blank" w:history="1">
        <w:r w:rsidRPr="00EA30A4">
          <w:rPr>
            <w:rStyle w:val="Hyperlink"/>
            <w:rFonts w:ascii="Arial" w:hAnsi="Arial" w:cs="Arial"/>
            <w:color w:val="0066CC"/>
            <w:shd w:val="clear" w:color="auto" w:fill="FFFFFF"/>
          </w:rPr>
          <w:t>https://doi.org/10.1111/1748-8583.12440.</w:t>
        </w:r>
      </w:hyperlink>
    </w:p>
    <w:p w14:paraId="4B3853E6" w14:textId="2BC3437A" w:rsidR="00C30DFB" w:rsidRPr="00EA30A4" w:rsidRDefault="00C30DFB" w:rsidP="00EA30A4">
      <w:pPr>
        <w:pStyle w:val="ListParagraph"/>
        <w:numPr>
          <w:ilvl w:val="0"/>
          <w:numId w:val="7"/>
        </w:numPr>
        <w:spacing w:line="360" w:lineRule="auto"/>
        <w:rPr>
          <w:rFonts w:ascii="Arial" w:hAnsi="Arial" w:cs="Arial"/>
          <w:lang w:val="en-GB"/>
        </w:rPr>
      </w:pPr>
      <w:r w:rsidRPr="00EA30A4">
        <w:rPr>
          <w:rFonts w:ascii="Arial" w:hAnsi="Arial" w:cs="Arial"/>
          <w:lang w:val="en-GB"/>
        </w:rPr>
        <w:t>Kopp, C. (2021) ‘</w:t>
      </w:r>
      <w:r w:rsidRPr="00EA30A4">
        <w:rPr>
          <w:rFonts w:ascii="Arial" w:hAnsi="Arial" w:cs="Arial"/>
          <w:shd w:val="clear" w:color="auto" w:fill="FFFFFF"/>
        </w:rPr>
        <w:t>Agency Theory: Definition, Examples of Relationships, and Disputes</w:t>
      </w:r>
      <w:r w:rsidRPr="00EA30A4">
        <w:rPr>
          <w:rFonts w:ascii="Arial" w:hAnsi="Arial" w:cs="Arial"/>
          <w:lang w:val="en-GB"/>
        </w:rPr>
        <w:t xml:space="preserve">’, </w:t>
      </w:r>
      <w:r w:rsidRPr="00EA30A4">
        <w:rPr>
          <w:rFonts w:ascii="Arial" w:hAnsi="Arial" w:cs="Arial"/>
          <w:i/>
          <w:iCs/>
          <w:lang w:val="en-GB"/>
        </w:rPr>
        <w:t xml:space="preserve">Investopedia </w:t>
      </w:r>
      <w:r w:rsidRPr="00EA30A4">
        <w:rPr>
          <w:rFonts w:ascii="Arial" w:hAnsi="Arial" w:cs="Arial"/>
          <w:lang w:val="en-GB"/>
        </w:rPr>
        <w:t xml:space="preserve">4 September. Available at: </w:t>
      </w:r>
      <w:hyperlink r:id="rId30" w:history="1">
        <w:r w:rsidRPr="00EA30A4">
          <w:rPr>
            <w:rStyle w:val="Hyperlink"/>
            <w:rFonts w:ascii="Arial" w:hAnsi="Arial" w:cs="Arial"/>
            <w:lang w:val="en-GB"/>
          </w:rPr>
          <w:t>https://www.investopedia.com/terms/a/agencytheory.asp</w:t>
        </w:r>
      </w:hyperlink>
      <w:r w:rsidRPr="00EA30A4">
        <w:rPr>
          <w:rFonts w:ascii="Arial" w:hAnsi="Arial" w:cs="Arial"/>
          <w:lang w:val="en-GB"/>
        </w:rPr>
        <w:t xml:space="preserve"> (Accessed 30 May 2023).</w:t>
      </w:r>
    </w:p>
    <w:p w14:paraId="53919C57" w14:textId="6874CA70" w:rsidR="007B62C3" w:rsidRPr="00EA30A4" w:rsidRDefault="007B62C3" w:rsidP="00EA30A4">
      <w:pPr>
        <w:pStyle w:val="ListParagraph"/>
        <w:numPr>
          <w:ilvl w:val="0"/>
          <w:numId w:val="7"/>
        </w:numPr>
        <w:spacing w:line="360" w:lineRule="auto"/>
        <w:rPr>
          <w:rFonts w:ascii="Arial" w:hAnsi="Arial" w:cs="Arial"/>
          <w:lang w:val="en-GB"/>
        </w:rPr>
      </w:pPr>
      <w:r w:rsidRPr="00EA30A4">
        <w:rPr>
          <w:rFonts w:ascii="Arial" w:hAnsi="Arial" w:cs="Arial"/>
        </w:rPr>
        <w:t>Mazur, B. (2014). Sustainable human resource management in theory and practice</w:t>
      </w:r>
      <w:r w:rsidRPr="00EA30A4">
        <w:rPr>
          <w:rFonts w:ascii="Arial" w:hAnsi="Arial" w:cs="Arial"/>
          <w:i/>
          <w:iCs/>
        </w:rPr>
        <w:t>. Economics and Management</w:t>
      </w:r>
      <w:r w:rsidRPr="00EA30A4">
        <w:rPr>
          <w:rFonts w:ascii="Arial" w:hAnsi="Arial" w:cs="Arial"/>
        </w:rPr>
        <w:t>, 1, 158–170.</w:t>
      </w:r>
    </w:p>
    <w:p w14:paraId="4AF78C79" w14:textId="5AEC30FC" w:rsidR="00C30DFB" w:rsidRPr="00EA30A4" w:rsidRDefault="00C30DFB" w:rsidP="00EA30A4">
      <w:pPr>
        <w:pStyle w:val="ListParagraph"/>
        <w:numPr>
          <w:ilvl w:val="0"/>
          <w:numId w:val="7"/>
        </w:numPr>
        <w:spacing w:line="360" w:lineRule="auto"/>
        <w:rPr>
          <w:rFonts w:ascii="Arial" w:hAnsi="Arial" w:cs="Arial"/>
          <w:color w:val="000000"/>
          <w:shd w:val="clear" w:color="auto" w:fill="FFFFFF"/>
        </w:rPr>
      </w:pPr>
      <w:r w:rsidRPr="00EA30A4">
        <w:rPr>
          <w:rFonts w:ascii="Arial" w:hAnsi="Arial" w:cs="Arial"/>
          <w:color w:val="000000"/>
          <w:shd w:val="clear" w:color="auto" w:fill="FFFFFF"/>
        </w:rPr>
        <w:t>Michael Armstrong, S.T. (2023) </w:t>
      </w:r>
      <w:r w:rsidRPr="00EA30A4">
        <w:rPr>
          <w:rFonts w:ascii="Arial" w:hAnsi="Arial" w:cs="Arial"/>
          <w:i/>
          <w:iCs/>
          <w:color w:val="000000"/>
          <w:shd w:val="clear" w:color="auto" w:fill="FFFFFF"/>
        </w:rPr>
        <w:t>Armstrong's Handbook of Human Resource Management Practice</w:t>
      </w:r>
      <w:r w:rsidRPr="00EA30A4">
        <w:rPr>
          <w:rFonts w:ascii="Arial" w:hAnsi="Arial" w:cs="Arial"/>
          <w:color w:val="000000"/>
          <w:shd w:val="clear" w:color="auto" w:fill="FFFFFF"/>
        </w:rPr>
        <w:t> London: Kogan Page.</w:t>
      </w:r>
    </w:p>
    <w:p w14:paraId="15D4E9B5" w14:textId="124F42D6" w:rsidR="00C30DFB" w:rsidRPr="00EA30A4" w:rsidRDefault="00C30DFB" w:rsidP="00EA30A4">
      <w:pPr>
        <w:pStyle w:val="ListParagraph"/>
        <w:numPr>
          <w:ilvl w:val="0"/>
          <w:numId w:val="7"/>
        </w:numPr>
        <w:spacing w:line="360" w:lineRule="auto"/>
        <w:rPr>
          <w:rFonts w:ascii="Arial" w:hAnsi="Arial" w:cs="Arial"/>
          <w:color w:val="000000"/>
          <w:shd w:val="clear" w:color="auto" w:fill="FFFFFF"/>
        </w:rPr>
      </w:pPr>
      <w:r w:rsidRPr="00EA30A4">
        <w:rPr>
          <w:rFonts w:ascii="Arial" w:hAnsi="Arial" w:cs="Arial"/>
          <w:color w:val="000000"/>
          <w:shd w:val="clear" w:color="auto" w:fill="FFFFFF"/>
        </w:rPr>
        <w:t>Moore, N.J. (1987) </w:t>
      </w:r>
      <w:r w:rsidRPr="00EA30A4">
        <w:rPr>
          <w:rFonts w:ascii="Arial" w:hAnsi="Arial" w:cs="Arial"/>
          <w:i/>
          <w:iCs/>
          <w:color w:val="000000"/>
          <w:shd w:val="clear" w:color="auto" w:fill="FFFFFF"/>
        </w:rPr>
        <w:t>Professionalism Reconsidered</w:t>
      </w:r>
      <w:r w:rsidRPr="00EA30A4">
        <w:rPr>
          <w:rFonts w:ascii="Arial" w:hAnsi="Arial" w:cs="Arial"/>
          <w:color w:val="000000"/>
          <w:shd w:val="clear" w:color="auto" w:fill="FFFFFF"/>
        </w:rPr>
        <w:t> American Bar Foundation, pp. 771-789.</w:t>
      </w:r>
    </w:p>
    <w:p w14:paraId="24167FE0" w14:textId="78C086B0" w:rsidR="00C30DFB" w:rsidRPr="00EA30A4" w:rsidRDefault="00C30DFB" w:rsidP="00EA30A4">
      <w:pPr>
        <w:pStyle w:val="ListParagraph"/>
        <w:numPr>
          <w:ilvl w:val="0"/>
          <w:numId w:val="7"/>
        </w:numPr>
        <w:spacing w:line="360" w:lineRule="auto"/>
        <w:rPr>
          <w:rFonts w:ascii="Arial" w:hAnsi="Arial" w:cs="Arial"/>
          <w:lang w:val="en-GB"/>
        </w:rPr>
      </w:pPr>
      <w:r w:rsidRPr="00EA30A4">
        <w:rPr>
          <w:rFonts w:ascii="Arial" w:hAnsi="Arial" w:cs="Arial"/>
          <w:color w:val="000000"/>
          <w:shd w:val="clear" w:color="auto" w:fill="FFFFFF"/>
        </w:rPr>
        <w:t>Osborne, S.P., Radnor, Z. and Nasi, G. (2013) 'A New Theory for Public Service Management? Toward a (Public) Service-Dominant Approach', </w:t>
      </w:r>
      <w:r w:rsidRPr="00EA30A4">
        <w:rPr>
          <w:rFonts w:ascii="Arial" w:hAnsi="Arial" w:cs="Arial"/>
          <w:i/>
          <w:iCs/>
          <w:color w:val="000000"/>
          <w:shd w:val="clear" w:color="auto" w:fill="FFFFFF"/>
        </w:rPr>
        <w:t>American review of public administration, </w:t>
      </w:r>
      <w:r w:rsidRPr="00EA30A4">
        <w:rPr>
          <w:rFonts w:ascii="Arial" w:hAnsi="Arial" w:cs="Arial"/>
          <w:color w:val="000000"/>
          <w:shd w:val="clear" w:color="auto" w:fill="FFFFFF"/>
        </w:rPr>
        <w:t>43(2), pp. 135-158 Available at: </w:t>
      </w:r>
      <w:hyperlink r:id="rId31" w:tgtFrame="_blank" w:history="1">
        <w:r w:rsidRPr="00EA30A4">
          <w:rPr>
            <w:rStyle w:val="Hyperlink"/>
            <w:rFonts w:ascii="Arial" w:hAnsi="Arial" w:cs="Arial"/>
            <w:color w:val="0066CC"/>
            <w:shd w:val="clear" w:color="auto" w:fill="FFFFFF"/>
          </w:rPr>
          <w:t>https://doi.org/10.1177/0275074012466935.</w:t>
        </w:r>
      </w:hyperlink>
    </w:p>
    <w:p w14:paraId="0E3473EB" w14:textId="0EAF2090" w:rsidR="00C30DFB" w:rsidRPr="00EA30A4" w:rsidRDefault="00C30DFB" w:rsidP="00EA30A4">
      <w:pPr>
        <w:pStyle w:val="ListParagraph"/>
        <w:numPr>
          <w:ilvl w:val="0"/>
          <w:numId w:val="7"/>
        </w:numPr>
        <w:spacing w:line="360" w:lineRule="auto"/>
        <w:rPr>
          <w:rFonts w:ascii="Arial" w:hAnsi="Arial" w:cs="Arial"/>
          <w:lang w:val="en-GB"/>
        </w:rPr>
      </w:pPr>
      <w:r w:rsidRPr="00EA30A4">
        <w:rPr>
          <w:rFonts w:ascii="Arial" w:hAnsi="Arial" w:cs="Arial"/>
          <w:lang w:val="en-GB"/>
        </w:rPr>
        <w:t>Paauwe, J., Farndale, E. (2017)</w:t>
      </w:r>
      <w:r w:rsidRPr="00EA30A4">
        <w:rPr>
          <w:rFonts w:ascii="Arial" w:hAnsi="Arial" w:cs="Arial"/>
          <w:color w:val="000000" w:themeColor="text1"/>
          <w:lang w:val="en-GB"/>
        </w:rPr>
        <w:t xml:space="preserve"> </w:t>
      </w:r>
      <w:r w:rsidRPr="00EA30A4">
        <w:rPr>
          <w:rFonts w:ascii="Arial" w:eastAsia="Times New Roman" w:hAnsi="Arial" w:cs="Arial"/>
          <w:i/>
          <w:iCs/>
          <w:color w:val="000000" w:themeColor="text1"/>
          <w:kern w:val="36"/>
          <w:lang w:eastAsia="ro-RO"/>
          <w14:ligatures w14:val="none"/>
        </w:rPr>
        <w:t>Strategy, HRM, and Performance: A Contextual Approach.</w:t>
      </w:r>
      <w:r w:rsidRPr="00EA30A4">
        <w:rPr>
          <w:rFonts w:ascii="Arial" w:eastAsia="Times New Roman" w:hAnsi="Arial" w:cs="Arial"/>
          <w:color w:val="000000" w:themeColor="text1"/>
          <w:kern w:val="36"/>
          <w:lang w:eastAsia="ro-RO"/>
          <w14:ligatures w14:val="none"/>
        </w:rPr>
        <w:t>2nd edn. Oxford University Press.</w:t>
      </w:r>
    </w:p>
    <w:p w14:paraId="0D4FB30D" w14:textId="6F8DB73F" w:rsidR="00C30DFB" w:rsidRPr="00EA30A4" w:rsidRDefault="00C30DFB" w:rsidP="00EA30A4">
      <w:pPr>
        <w:pStyle w:val="ListParagraph"/>
        <w:numPr>
          <w:ilvl w:val="0"/>
          <w:numId w:val="7"/>
        </w:numPr>
        <w:spacing w:line="360" w:lineRule="auto"/>
        <w:rPr>
          <w:rFonts w:ascii="Arial" w:hAnsi="Arial" w:cs="Arial"/>
        </w:rPr>
      </w:pPr>
      <w:r w:rsidRPr="00EA30A4">
        <w:rPr>
          <w:rFonts w:ascii="Arial" w:hAnsi="Arial" w:cs="Arial"/>
          <w:color w:val="000000"/>
          <w:shd w:val="clear" w:color="auto" w:fill="FFFFFF"/>
        </w:rPr>
        <w:t>Poole, M., Mansfield, R. and Gould-Williams, J. (2006) 'PUBLIC AND PRIVATE SECTOR MANAGERS OVER 20 YEARS: A TEST OF THE 'CONVERGENCE THESIS'', </w:t>
      </w:r>
      <w:r w:rsidRPr="00EA30A4">
        <w:rPr>
          <w:rFonts w:ascii="Arial" w:hAnsi="Arial" w:cs="Arial"/>
          <w:i/>
          <w:iCs/>
          <w:color w:val="000000"/>
          <w:shd w:val="clear" w:color="auto" w:fill="FFFFFF"/>
        </w:rPr>
        <w:t>Public administration (London), </w:t>
      </w:r>
      <w:r w:rsidRPr="00EA30A4">
        <w:rPr>
          <w:rFonts w:ascii="Arial" w:hAnsi="Arial" w:cs="Arial"/>
          <w:color w:val="000000"/>
          <w:shd w:val="clear" w:color="auto" w:fill="FFFFFF"/>
        </w:rPr>
        <w:t>84(4), pp. 1051-1076 Available at: </w:t>
      </w:r>
      <w:hyperlink r:id="rId32" w:tgtFrame="_blank" w:history="1">
        <w:r w:rsidRPr="00EA30A4">
          <w:rPr>
            <w:rStyle w:val="Hyperlink"/>
            <w:rFonts w:ascii="Arial" w:hAnsi="Arial" w:cs="Arial"/>
            <w:color w:val="0066CC"/>
            <w:shd w:val="clear" w:color="auto" w:fill="FFFFFF"/>
          </w:rPr>
          <w:t>https://doi.org/10.1111/j.1467-9299.2006.00626.x.</w:t>
        </w:r>
      </w:hyperlink>
    </w:p>
    <w:p w14:paraId="4594A16F" w14:textId="7DEF50A0" w:rsidR="00C30DFB" w:rsidRPr="00EA30A4" w:rsidRDefault="00C30DFB" w:rsidP="00EA30A4">
      <w:pPr>
        <w:pStyle w:val="ListParagraph"/>
        <w:numPr>
          <w:ilvl w:val="0"/>
          <w:numId w:val="7"/>
        </w:numPr>
        <w:spacing w:line="360" w:lineRule="auto"/>
        <w:rPr>
          <w:rFonts w:ascii="Arial" w:hAnsi="Arial" w:cs="Arial"/>
        </w:rPr>
      </w:pPr>
      <w:r w:rsidRPr="00EA30A4">
        <w:rPr>
          <w:rFonts w:ascii="Arial" w:hAnsi="Arial" w:cs="Arial"/>
          <w:color w:val="000000"/>
          <w:shd w:val="clear" w:color="auto" w:fill="FFFFFF"/>
        </w:rPr>
        <w:t>POÓR, J., KAROLINY, Z., BÁRTFAI, B.V.M., PÓTÓ, Z. and FARKAS, F. (2009) 'SIMILARITIES AND DIFFERENCES OF HUMAN RESOURCE MANAGEMENT IN PRIVATE AND PUBLIC SECTOR ORGANISATIONS IN THE LIGHT OF NEW PUBLIC MANAGEMENT IN INTERNATIONAL COMPARISON', </w:t>
      </w:r>
      <w:r w:rsidRPr="00EA30A4">
        <w:rPr>
          <w:rFonts w:ascii="Arial" w:hAnsi="Arial" w:cs="Arial"/>
          <w:i/>
          <w:iCs/>
          <w:color w:val="000000"/>
          <w:shd w:val="clear" w:color="auto" w:fill="FFFFFF"/>
        </w:rPr>
        <w:t>Acta oeconomica, </w:t>
      </w:r>
      <w:r w:rsidRPr="00EA30A4">
        <w:rPr>
          <w:rFonts w:ascii="Arial" w:hAnsi="Arial" w:cs="Arial"/>
          <w:color w:val="000000"/>
          <w:shd w:val="clear" w:color="auto" w:fill="FFFFFF"/>
        </w:rPr>
        <w:t>59(2), pp. 179-206 Available at: </w:t>
      </w:r>
      <w:hyperlink r:id="rId33" w:tgtFrame="_blank" w:history="1">
        <w:r w:rsidRPr="00EA30A4">
          <w:rPr>
            <w:rStyle w:val="Hyperlink"/>
            <w:rFonts w:ascii="Arial" w:hAnsi="Arial" w:cs="Arial"/>
            <w:color w:val="0066CC"/>
            <w:shd w:val="clear" w:color="auto" w:fill="FFFFFF"/>
          </w:rPr>
          <w:t>https://doi.org/10.1556/AOecon.59.2009.2.3.</w:t>
        </w:r>
      </w:hyperlink>
    </w:p>
    <w:p w14:paraId="72020380" w14:textId="240B6DF1" w:rsidR="00C30DFB" w:rsidRPr="00EA30A4" w:rsidRDefault="00C30DFB" w:rsidP="00EA30A4">
      <w:pPr>
        <w:pStyle w:val="ListParagraph"/>
        <w:numPr>
          <w:ilvl w:val="0"/>
          <w:numId w:val="7"/>
        </w:numPr>
        <w:spacing w:line="360" w:lineRule="auto"/>
        <w:rPr>
          <w:rFonts w:ascii="Arial" w:hAnsi="Arial" w:cs="Arial"/>
        </w:rPr>
      </w:pPr>
      <w:r w:rsidRPr="00EA30A4">
        <w:rPr>
          <w:rFonts w:ascii="Arial" w:hAnsi="Arial" w:cs="Arial"/>
          <w:color w:val="000000"/>
          <w:shd w:val="clear" w:color="auto" w:fill="FFFFFF"/>
        </w:rPr>
        <w:t>Priem, R.L. and Butler, J.E. (2001) 'Is the Resource-Based “View” a Useful Perspective for Strategic Management Research?', </w:t>
      </w:r>
      <w:r w:rsidRPr="00EA30A4">
        <w:rPr>
          <w:rFonts w:ascii="Arial" w:hAnsi="Arial" w:cs="Arial"/>
          <w:i/>
          <w:iCs/>
          <w:color w:val="000000"/>
          <w:shd w:val="clear" w:color="auto" w:fill="FFFFFF"/>
        </w:rPr>
        <w:t>The Academy of Management review, </w:t>
      </w:r>
      <w:r w:rsidRPr="00EA30A4">
        <w:rPr>
          <w:rFonts w:ascii="Arial" w:hAnsi="Arial" w:cs="Arial"/>
          <w:color w:val="000000"/>
          <w:shd w:val="clear" w:color="auto" w:fill="FFFFFF"/>
        </w:rPr>
        <w:t>26(1), pp. 22-40 Available at: </w:t>
      </w:r>
      <w:hyperlink r:id="rId34" w:tgtFrame="_blank" w:history="1">
        <w:r w:rsidRPr="00EA30A4">
          <w:rPr>
            <w:rStyle w:val="Hyperlink"/>
            <w:rFonts w:ascii="Arial" w:hAnsi="Arial" w:cs="Arial"/>
            <w:color w:val="0066CC"/>
            <w:shd w:val="clear" w:color="auto" w:fill="FFFFFF"/>
          </w:rPr>
          <w:t>https://doi.org/10.5465/amr.2001.4011928.</w:t>
        </w:r>
      </w:hyperlink>
    </w:p>
    <w:p w14:paraId="524D4015" w14:textId="570A11D0" w:rsidR="00C30DFB" w:rsidRPr="00EA30A4" w:rsidRDefault="00C30DFB" w:rsidP="00EA30A4">
      <w:pPr>
        <w:pStyle w:val="ListParagraph"/>
        <w:numPr>
          <w:ilvl w:val="0"/>
          <w:numId w:val="7"/>
        </w:numPr>
        <w:spacing w:line="360" w:lineRule="auto"/>
        <w:rPr>
          <w:rFonts w:ascii="Arial" w:hAnsi="Arial" w:cs="Arial"/>
        </w:rPr>
      </w:pPr>
      <w:r w:rsidRPr="00EA30A4">
        <w:rPr>
          <w:rFonts w:ascii="Arial" w:hAnsi="Arial" w:cs="Arial"/>
          <w:color w:val="000000"/>
          <w:shd w:val="clear" w:color="auto" w:fill="FFFFFF"/>
        </w:rPr>
        <w:lastRenderedPageBreak/>
        <w:t>Ronen, S. and Shenkar, O. (1985) 'Clustering Countries on Attitudinal Dimensions: A Review and Synthesis', </w:t>
      </w:r>
      <w:r w:rsidRPr="00EA30A4">
        <w:rPr>
          <w:rFonts w:ascii="Arial" w:hAnsi="Arial" w:cs="Arial"/>
          <w:i/>
          <w:iCs/>
          <w:color w:val="000000"/>
          <w:shd w:val="clear" w:color="auto" w:fill="FFFFFF"/>
        </w:rPr>
        <w:t>The Academy of Management review, </w:t>
      </w:r>
      <w:r w:rsidRPr="00EA30A4">
        <w:rPr>
          <w:rFonts w:ascii="Arial" w:hAnsi="Arial" w:cs="Arial"/>
          <w:color w:val="000000"/>
          <w:shd w:val="clear" w:color="auto" w:fill="FFFFFF"/>
        </w:rPr>
        <w:t>10(3), pp. 435-454 Available at: </w:t>
      </w:r>
      <w:hyperlink r:id="rId35" w:tgtFrame="_blank" w:history="1">
        <w:r w:rsidRPr="00EA30A4">
          <w:rPr>
            <w:rStyle w:val="Hyperlink"/>
            <w:rFonts w:ascii="Arial" w:hAnsi="Arial" w:cs="Arial"/>
            <w:color w:val="0066CC"/>
            <w:shd w:val="clear" w:color="auto" w:fill="FFFFFF"/>
          </w:rPr>
          <w:t>https://doi.org/10.2307/258126.</w:t>
        </w:r>
      </w:hyperlink>
    </w:p>
    <w:p w14:paraId="78A045C2" w14:textId="19AB0866" w:rsidR="00C30DFB" w:rsidRPr="00EA30A4" w:rsidRDefault="00C30DFB" w:rsidP="00EA30A4">
      <w:pPr>
        <w:pStyle w:val="ListParagraph"/>
        <w:numPr>
          <w:ilvl w:val="0"/>
          <w:numId w:val="7"/>
        </w:numPr>
        <w:spacing w:line="360" w:lineRule="auto"/>
        <w:rPr>
          <w:rFonts w:ascii="Arial" w:hAnsi="Arial" w:cs="Arial"/>
        </w:rPr>
      </w:pPr>
      <w:r w:rsidRPr="00EA30A4">
        <w:rPr>
          <w:rFonts w:ascii="Arial" w:hAnsi="Arial" w:cs="Arial"/>
        </w:rPr>
        <w:t xml:space="preserve">Sparrow, P. - Hiltrop, J. M. (1994): </w:t>
      </w:r>
      <w:r w:rsidRPr="00EA30A4">
        <w:rPr>
          <w:rFonts w:ascii="Arial" w:hAnsi="Arial" w:cs="Arial"/>
          <w:i/>
          <w:iCs/>
        </w:rPr>
        <w:t>European Human Resource Management</w:t>
      </w:r>
      <w:r w:rsidRPr="00EA30A4">
        <w:rPr>
          <w:rFonts w:ascii="Arial" w:hAnsi="Arial" w:cs="Arial"/>
        </w:rPr>
        <w:t>. Hemel Hempstead: Prentice Hall.</w:t>
      </w:r>
    </w:p>
    <w:p w14:paraId="0435AF2C" w14:textId="38EBA035" w:rsidR="007B62C3" w:rsidRPr="00EA30A4" w:rsidRDefault="007B62C3" w:rsidP="00EA30A4">
      <w:pPr>
        <w:pStyle w:val="ListParagraph"/>
        <w:numPr>
          <w:ilvl w:val="0"/>
          <w:numId w:val="7"/>
        </w:numPr>
        <w:spacing w:line="360" w:lineRule="auto"/>
        <w:rPr>
          <w:rFonts w:ascii="Arial" w:hAnsi="Arial" w:cs="Arial"/>
          <w:color w:val="1C1D1E"/>
          <w:shd w:val="clear" w:color="auto" w:fill="FFFFFF"/>
        </w:rPr>
      </w:pPr>
      <w:r w:rsidRPr="00EA30A4">
        <w:rPr>
          <w:rFonts w:ascii="Arial" w:hAnsi="Arial" w:cs="Arial"/>
          <w:color w:val="000000"/>
          <w:shd w:val="clear" w:color="auto" w:fill="FFFFFF"/>
        </w:rPr>
        <w:t>Schuler, R.S. and Jackson, S.E. (2005) 'A Quarter-Century Review of Human Resource Management in the U.S.: The Growth in Importance of the International Perspective', </w:t>
      </w:r>
      <w:r w:rsidRPr="00EA30A4">
        <w:rPr>
          <w:rFonts w:ascii="Arial" w:hAnsi="Arial" w:cs="Arial"/>
          <w:i/>
          <w:iCs/>
          <w:color w:val="000000"/>
          <w:shd w:val="clear" w:color="auto" w:fill="FFFFFF"/>
        </w:rPr>
        <w:t>Management Revue, </w:t>
      </w:r>
      <w:r w:rsidRPr="00EA30A4">
        <w:rPr>
          <w:rFonts w:ascii="Arial" w:hAnsi="Arial" w:cs="Arial"/>
          <w:color w:val="000000"/>
          <w:shd w:val="clear" w:color="auto" w:fill="FFFFFF"/>
        </w:rPr>
        <w:t>16(1), pp. 11-35 Available at: </w:t>
      </w:r>
      <w:hyperlink r:id="rId36" w:tgtFrame="_blank" w:history="1">
        <w:r w:rsidRPr="00EA30A4">
          <w:rPr>
            <w:rStyle w:val="Hyperlink"/>
            <w:rFonts w:ascii="Arial" w:hAnsi="Arial" w:cs="Arial"/>
            <w:color w:val="0066CC"/>
            <w:shd w:val="clear" w:color="auto" w:fill="FFFFFF"/>
          </w:rPr>
          <w:t>https://doi.org/10.5771/0935-9915-2005-1-11.</w:t>
        </w:r>
      </w:hyperlink>
    </w:p>
    <w:p w14:paraId="37A12567" w14:textId="1D811FAA" w:rsidR="00C30DFB" w:rsidRPr="00EA30A4" w:rsidRDefault="00C30DFB" w:rsidP="00EA30A4">
      <w:pPr>
        <w:pStyle w:val="ListParagraph"/>
        <w:numPr>
          <w:ilvl w:val="0"/>
          <w:numId w:val="7"/>
        </w:numPr>
        <w:spacing w:line="360" w:lineRule="auto"/>
        <w:rPr>
          <w:rFonts w:ascii="Arial" w:hAnsi="Arial" w:cs="Arial"/>
        </w:rPr>
      </w:pPr>
      <w:r w:rsidRPr="00EA30A4">
        <w:rPr>
          <w:rFonts w:ascii="Arial" w:hAnsi="Arial" w:cs="Arial"/>
          <w:color w:val="000000"/>
          <w:shd w:val="clear" w:color="auto" w:fill="FFFFFF"/>
        </w:rPr>
        <w:t>Szymaniec-Mlicka, K. (2014) 'Resource-based view in strategic management of public organizations – a review of the literature', </w:t>
      </w:r>
      <w:r w:rsidRPr="00EA30A4">
        <w:rPr>
          <w:rFonts w:ascii="Arial" w:hAnsi="Arial" w:cs="Arial"/>
          <w:i/>
          <w:iCs/>
          <w:color w:val="000000"/>
          <w:shd w:val="clear" w:color="auto" w:fill="FFFFFF"/>
        </w:rPr>
        <w:t>Management (Zielona Góra), </w:t>
      </w:r>
      <w:r w:rsidRPr="00EA30A4">
        <w:rPr>
          <w:rFonts w:ascii="Arial" w:hAnsi="Arial" w:cs="Arial"/>
          <w:color w:val="000000"/>
          <w:shd w:val="clear" w:color="auto" w:fill="FFFFFF"/>
        </w:rPr>
        <w:t>18(2), pp. 19-30 Available at: </w:t>
      </w:r>
      <w:hyperlink r:id="rId37" w:tgtFrame="_blank" w:history="1">
        <w:r w:rsidRPr="00EA30A4">
          <w:rPr>
            <w:rStyle w:val="Hyperlink"/>
            <w:rFonts w:ascii="Arial" w:hAnsi="Arial" w:cs="Arial"/>
            <w:color w:val="0066CC"/>
            <w:shd w:val="clear" w:color="auto" w:fill="FFFFFF"/>
          </w:rPr>
          <w:t>https://doi.org/10.2478/manment-2014-0039.</w:t>
        </w:r>
      </w:hyperlink>
    </w:p>
    <w:p w14:paraId="13303708" w14:textId="33041A02" w:rsidR="001E0D3F" w:rsidRPr="00EA30A4" w:rsidRDefault="001E0D3F" w:rsidP="00EA30A4">
      <w:pPr>
        <w:pStyle w:val="ListParagraph"/>
        <w:numPr>
          <w:ilvl w:val="0"/>
          <w:numId w:val="7"/>
        </w:numPr>
        <w:spacing w:line="360" w:lineRule="auto"/>
        <w:rPr>
          <w:rFonts w:ascii="Arial" w:hAnsi="Arial" w:cs="Arial"/>
        </w:rPr>
      </w:pPr>
      <w:r w:rsidRPr="00EA30A4">
        <w:rPr>
          <w:rFonts w:ascii="Arial" w:hAnsi="Arial" w:cs="Arial"/>
          <w:color w:val="000000"/>
          <w:shd w:val="clear" w:color="auto" w:fill="FFFFFF"/>
        </w:rPr>
        <w:t>Ybema, J.F., van Vuuren, T. and van Dam, K. (2020) 'HR practices for enhancing sustainable employability: implementation, use, and outcomes', </w:t>
      </w:r>
      <w:r w:rsidRPr="00EA30A4">
        <w:rPr>
          <w:rFonts w:ascii="Arial" w:hAnsi="Arial" w:cs="Arial"/>
          <w:i/>
          <w:iCs/>
          <w:color w:val="000000"/>
          <w:shd w:val="clear" w:color="auto" w:fill="FFFFFF"/>
        </w:rPr>
        <w:t>International journal of human resource management, </w:t>
      </w:r>
      <w:r w:rsidRPr="00EA30A4">
        <w:rPr>
          <w:rFonts w:ascii="Arial" w:hAnsi="Arial" w:cs="Arial"/>
          <w:color w:val="000000"/>
          <w:shd w:val="clear" w:color="auto" w:fill="FFFFFF"/>
        </w:rPr>
        <w:t>31(7), pp. 886-907 Available at: </w:t>
      </w:r>
      <w:hyperlink r:id="rId38" w:tgtFrame="_blank" w:history="1">
        <w:r w:rsidRPr="00EA30A4">
          <w:rPr>
            <w:rStyle w:val="Hyperlink"/>
            <w:rFonts w:ascii="Arial" w:hAnsi="Arial" w:cs="Arial"/>
            <w:color w:val="0066CC"/>
            <w:shd w:val="clear" w:color="auto" w:fill="FFFFFF"/>
          </w:rPr>
          <w:t>https://doi.org/10.1080/09585192.2017.1387865.</w:t>
        </w:r>
      </w:hyperlink>
    </w:p>
    <w:p w14:paraId="0149BCD0" w14:textId="77777777" w:rsidR="009A0F53" w:rsidRDefault="009A0F53" w:rsidP="0098275E">
      <w:pPr>
        <w:ind w:left="360"/>
        <w:rPr>
          <w:rFonts w:cstheme="minorHAnsi"/>
          <w:color w:val="1C1D1E"/>
          <w:shd w:val="clear" w:color="auto" w:fill="FFFFFF"/>
        </w:rPr>
      </w:pPr>
    </w:p>
    <w:p w14:paraId="353E9F7F" w14:textId="77777777" w:rsidR="009A0F53" w:rsidRDefault="009A0F53" w:rsidP="0098275E">
      <w:pPr>
        <w:ind w:left="360"/>
        <w:rPr>
          <w:rFonts w:cstheme="minorHAnsi"/>
          <w:color w:val="1C1D1E"/>
          <w:shd w:val="clear" w:color="auto" w:fill="FFFFFF"/>
        </w:rPr>
      </w:pPr>
    </w:p>
    <w:p w14:paraId="57D6AB4C" w14:textId="77777777" w:rsidR="009A0F53" w:rsidRDefault="009A0F53" w:rsidP="0098275E">
      <w:pPr>
        <w:ind w:left="360"/>
        <w:rPr>
          <w:rFonts w:cstheme="minorHAnsi"/>
          <w:color w:val="1C1D1E"/>
          <w:shd w:val="clear" w:color="auto" w:fill="FFFFFF"/>
        </w:rPr>
      </w:pPr>
    </w:p>
    <w:p w14:paraId="15D0CD6D" w14:textId="77777777" w:rsidR="009A0F53" w:rsidRDefault="009A0F53" w:rsidP="0098275E">
      <w:pPr>
        <w:ind w:left="360"/>
        <w:rPr>
          <w:rFonts w:cstheme="minorHAnsi"/>
          <w:color w:val="1C1D1E"/>
          <w:shd w:val="clear" w:color="auto" w:fill="FFFFFF"/>
        </w:rPr>
      </w:pPr>
    </w:p>
    <w:p w14:paraId="7F3904B3" w14:textId="77777777" w:rsidR="009A0F53" w:rsidRPr="009A0F53" w:rsidRDefault="009A0F53" w:rsidP="0098275E">
      <w:pPr>
        <w:ind w:left="360"/>
        <w:rPr>
          <w:rFonts w:cstheme="minorHAnsi"/>
          <w:i/>
          <w:iCs/>
          <w:shd w:val="clear" w:color="auto" w:fill="FFFFFF"/>
        </w:rPr>
      </w:pPr>
    </w:p>
    <w:p w14:paraId="5A244DC4" w14:textId="77777777" w:rsidR="009A0F53" w:rsidRPr="006D2232" w:rsidRDefault="009A0F53" w:rsidP="0098275E">
      <w:pPr>
        <w:ind w:left="360"/>
        <w:rPr>
          <w:rFonts w:cstheme="minorHAnsi"/>
          <w:lang w:val="en-GB"/>
        </w:rPr>
      </w:pPr>
    </w:p>
    <w:sectPr w:rsidR="009A0F53" w:rsidRPr="006D22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67CD7"/>
    <w:multiLevelType w:val="multilevel"/>
    <w:tmpl w:val="0DBE9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121F1"/>
    <w:multiLevelType w:val="multilevel"/>
    <w:tmpl w:val="81F29BBA"/>
    <w:lvl w:ilvl="0">
      <w:start w:val="4"/>
      <w:numFmt w:val="decimal"/>
      <w:lvlText w:val="%1"/>
      <w:lvlJc w:val="left"/>
      <w:pPr>
        <w:ind w:left="360" w:hanging="360"/>
      </w:pPr>
      <w:rPr>
        <w:rFonts w:hint="default"/>
        <w:color w:val="000000" w:themeColor="text1"/>
      </w:rPr>
    </w:lvl>
    <w:lvl w:ilvl="1">
      <w:start w:val="1"/>
      <w:numFmt w:val="decimal"/>
      <w:lvlText w:val="%1.%2"/>
      <w:lvlJc w:val="left"/>
      <w:pPr>
        <w:ind w:left="1080" w:hanging="360"/>
      </w:pPr>
      <w:rPr>
        <w:rFonts w:hint="default"/>
        <w:color w:val="000000" w:themeColor="text1"/>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2880" w:hanging="720"/>
      </w:pPr>
      <w:rPr>
        <w:rFonts w:hint="default"/>
        <w:color w:val="000000" w:themeColor="text1"/>
      </w:rPr>
    </w:lvl>
    <w:lvl w:ilvl="4">
      <w:start w:val="1"/>
      <w:numFmt w:val="decimal"/>
      <w:lvlText w:val="%1.%2.%3.%4.%5"/>
      <w:lvlJc w:val="left"/>
      <w:pPr>
        <w:ind w:left="3960" w:hanging="1080"/>
      </w:pPr>
      <w:rPr>
        <w:rFonts w:hint="default"/>
        <w:color w:val="000000" w:themeColor="text1"/>
      </w:rPr>
    </w:lvl>
    <w:lvl w:ilvl="5">
      <w:start w:val="1"/>
      <w:numFmt w:val="decimal"/>
      <w:lvlText w:val="%1.%2.%3.%4.%5.%6"/>
      <w:lvlJc w:val="left"/>
      <w:pPr>
        <w:ind w:left="4680" w:hanging="1080"/>
      </w:pPr>
      <w:rPr>
        <w:rFonts w:hint="default"/>
        <w:color w:val="000000" w:themeColor="text1"/>
      </w:rPr>
    </w:lvl>
    <w:lvl w:ilvl="6">
      <w:start w:val="1"/>
      <w:numFmt w:val="decimal"/>
      <w:lvlText w:val="%1.%2.%3.%4.%5.%6.%7"/>
      <w:lvlJc w:val="left"/>
      <w:pPr>
        <w:ind w:left="5760" w:hanging="1440"/>
      </w:pPr>
      <w:rPr>
        <w:rFonts w:hint="default"/>
        <w:color w:val="000000" w:themeColor="text1"/>
      </w:rPr>
    </w:lvl>
    <w:lvl w:ilvl="7">
      <w:start w:val="1"/>
      <w:numFmt w:val="decimal"/>
      <w:lvlText w:val="%1.%2.%3.%4.%5.%6.%7.%8"/>
      <w:lvlJc w:val="left"/>
      <w:pPr>
        <w:ind w:left="6480" w:hanging="1440"/>
      </w:pPr>
      <w:rPr>
        <w:rFonts w:hint="default"/>
        <w:color w:val="000000" w:themeColor="text1"/>
      </w:rPr>
    </w:lvl>
    <w:lvl w:ilvl="8">
      <w:start w:val="1"/>
      <w:numFmt w:val="decimal"/>
      <w:lvlText w:val="%1.%2.%3.%4.%5.%6.%7.%8.%9"/>
      <w:lvlJc w:val="left"/>
      <w:pPr>
        <w:ind w:left="7560" w:hanging="1800"/>
      </w:pPr>
      <w:rPr>
        <w:rFonts w:hint="default"/>
        <w:color w:val="000000" w:themeColor="text1"/>
      </w:rPr>
    </w:lvl>
  </w:abstractNum>
  <w:abstractNum w:abstractNumId="2" w15:restartNumberingAfterBreak="0">
    <w:nsid w:val="159932E0"/>
    <w:multiLevelType w:val="hybridMultilevel"/>
    <w:tmpl w:val="0DCCC604"/>
    <w:lvl w:ilvl="0" w:tplc="0809000B">
      <w:start w:val="1"/>
      <w:numFmt w:val="bullet"/>
      <w:lvlText w:val=""/>
      <w:lvlJc w:val="left"/>
      <w:pPr>
        <w:ind w:left="2136" w:hanging="360"/>
      </w:pPr>
      <w:rPr>
        <w:rFonts w:ascii="Wingdings" w:hAnsi="Wingdings" w:hint="default"/>
      </w:rPr>
    </w:lvl>
    <w:lvl w:ilvl="1" w:tplc="04180003" w:tentative="1">
      <w:start w:val="1"/>
      <w:numFmt w:val="bullet"/>
      <w:lvlText w:val="o"/>
      <w:lvlJc w:val="left"/>
      <w:pPr>
        <w:ind w:left="2856" w:hanging="360"/>
      </w:pPr>
      <w:rPr>
        <w:rFonts w:ascii="Courier New" w:hAnsi="Courier New" w:cs="Courier New" w:hint="default"/>
      </w:rPr>
    </w:lvl>
    <w:lvl w:ilvl="2" w:tplc="04180005" w:tentative="1">
      <w:start w:val="1"/>
      <w:numFmt w:val="bullet"/>
      <w:lvlText w:val=""/>
      <w:lvlJc w:val="left"/>
      <w:pPr>
        <w:ind w:left="3576" w:hanging="360"/>
      </w:pPr>
      <w:rPr>
        <w:rFonts w:ascii="Wingdings" w:hAnsi="Wingdings" w:hint="default"/>
      </w:rPr>
    </w:lvl>
    <w:lvl w:ilvl="3" w:tplc="04180001" w:tentative="1">
      <w:start w:val="1"/>
      <w:numFmt w:val="bullet"/>
      <w:lvlText w:val=""/>
      <w:lvlJc w:val="left"/>
      <w:pPr>
        <w:ind w:left="4296" w:hanging="360"/>
      </w:pPr>
      <w:rPr>
        <w:rFonts w:ascii="Symbol" w:hAnsi="Symbol" w:hint="default"/>
      </w:rPr>
    </w:lvl>
    <w:lvl w:ilvl="4" w:tplc="04180003" w:tentative="1">
      <w:start w:val="1"/>
      <w:numFmt w:val="bullet"/>
      <w:lvlText w:val="o"/>
      <w:lvlJc w:val="left"/>
      <w:pPr>
        <w:ind w:left="5016" w:hanging="360"/>
      </w:pPr>
      <w:rPr>
        <w:rFonts w:ascii="Courier New" w:hAnsi="Courier New" w:cs="Courier New" w:hint="default"/>
      </w:rPr>
    </w:lvl>
    <w:lvl w:ilvl="5" w:tplc="04180005" w:tentative="1">
      <w:start w:val="1"/>
      <w:numFmt w:val="bullet"/>
      <w:lvlText w:val=""/>
      <w:lvlJc w:val="left"/>
      <w:pPr>
        <w:ind w:left="5736" w:hanging="360"/>
      </w:pPr>
      <w:rPr>
        <w:rFonts w:ascii="Wingdings" w:hAnsi="Wingdings" w:hint="default"/>
      </w:rPr>
    </w:lvl>
    <w:lvl w:ilvl="6" w:tplc="04180001" w:tentative="1">
      <w:start w:val="1"/>
      <w:numFmt w:val="bullet"/>
      <w:lvlText w:val=""/>
      <w:lvlJc w:val="left"/>
      <w:pPr>
        <w:ind w:left="6456" w:hanging="360"/>
      </w:pPr>
      <w:rPr>
        <w:rFonts w:ascii="Symbol" w:hAnsi="Symbol" w:hint="default"/>
      </w:rPr>
    </w:lvl>
    <w:lvl w:ilvl="7" w:tplc="04180003" w:tentative="1">
      <w:start w:val="1"/>
      <w:numFmt w:val="bullet"/>
      <w:lvlText w:val="o"/>
      <w:lvlJc w:val="left"/>
      <w:pPr>
        <w:ind w:left="7176" w:hanging="360"/>
      </w:pPr>
      <w:rPr>
        <w:rFonts w:ascii="Courier New" w:hAnsi="Courier New" w:cs="Courier New" w:hint="default"/>
      </w:rPr>
    </w:lvl>
    <w:lvl w:ilvl="8" w:tplc="04180005" w:tentative="1">
      <w:start w:val="1"/>
      <w:numFmt w:val="bullet"/>
      <w:lvlText w:val=""/>
      <w:lvlJc w:val="left"/>
      <w:pPr>
        <w:ind w:left="7896" w:hanging="360"/>
      </w:pPr>
      <w:rPr>
        <w:rFonts w:ascii="Wingdings" w:hAnsi="Wingdings" w:hint="default"/>
      </w:rPr>
    </w:lvl>
  </w:abstractNum>
  <w:abstractNum w:abstractNumId="3" w15:restartNumberingAfterBreak="0">
    <w:nsid w:val="1AAF6EC6"/>
    <w:multiLevelType w:val="hybridMultilevel"/>
    <w:tmpl w:val="CDBEA0D0"/>
    <w:lvl w:ilvl="0" w:tplc="0418000F">
      <w:start w:val="1"/>
      <w:numFmt w:val="decimal"/>
      <w:lvlText w:val="%1."/>
      <w:lvlJc w:val="left"/>
      <w:pPr>
        <w:ind w:left="1800" w:hanging="360"/>
      </w:p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4" w15:restartNumberingAfterBreak="0">
    <w:nsid w:val="1BDD1F42"/>
    <w:multiLevelType w:val="multilevel"/>
    <w:tmpl w:val="A154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8D083E"/>
    <w:multiLevelType w:val="multilevel"/>
    <w:tmpl w:val="167E4F7C"/>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2C5204DF"/>
    <w:multiLevelType w:val="hybridMultilevel"/>
    <w:tmpl w:val="88D27286"/>
    <w:lvl w:ilvl="0" w:tplc="0418000F">
      <w:start w:val="7"/>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3672020A"/>
    <w:multiLevelType w:val="multilevel"/>
    <w:tmpl w:val="CD9691AE"/>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3E5C0FF2"/>
    <w:multiLevelType w:val="multilevel"/>
    <w:tmpl w:val="CACED7FE"/>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5783670"/>
    <w:multiLevelType w:val="hybridMultilevel"/>
    <w:tmpl w:val="54909E1E"/>
    <w:lvl w:ilvl="0" w:tplc="0809000B">
      <w:start w:val="1"/>
      <w:numFmt w:val="bullet"/>
      <w:lvlText w:val=""/>
      <w:lvlJc w:val="left"/>
      <w:pPr>
        <w:ind w:left="1428" w:hanging="360"/>
      </w:pPr>
      <w:rPr>
        <w:rFonts w:ascii="Wingdings" w:hAnsi="Wingdings"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10" w15:restartNumberingAfterBreak="0">
    <w:nsid w:val="562C0BE2"/>
    <w:multiLevelType w:val="hybridMultilevel"/>
    <w:tmpl w:val="076C154A"/>
    <w:lvl w:ilvl="0" w:tplc="0418000F">
      <w:start w:val="6"/>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3A92169"/>
    <w:multiLevelType w:val="hybridMultilevel"/>
    <w:tmpl w:val="4AF8A44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2E16787"/>
    <w:multiLevelType w:val="hybridMultilevel"/>
    <w:tmpl w:val="3D182E6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8923CDD"/>
    <w:multiLevelType w:val="hybridMultilevel"/>
    <w:tmpl w:val="9C6AF63A"/>
    <w:lvl w:ilvl="0" w:tplc="3A821BF2">
      <w:start w:val="1"/>
      <w:numFmt w:val="decimal"/>
      <w:lvlText w:val="%1."/>
      <w:lvlJc w:val="left"/>
      <w:pPr>
        <w:ind w:left="720" w:hanging="360"/>
      </w:pPr>
      <w:rPr>
        <w:rFonts w:hint="default"/>
        <w:color w:val="000000"/>
        <w:sz w:val="2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9935C8A"/>
    <w:multiLevelType w:val="multilevel"/>
    <w:tmpl w:val="D90654B4"/>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B442643"/>
    <w:multiLevelType w:val="multilevel"/>
    <w:tmpl w:val="20F6F05C"/>
    <w:lvl w:ilvl="0">
      <w:start w:val="3"/>
      <w:numFmt w:val="decimal"/>
      <w:lvlText w:val="%1"/>
      <w:lvlJc w:val="left"/>
      <w:pPr>
        <w:ind w:left="360" w:hanging="360"/>
      </w:pPr>
      <w:rPr>
        <w:rFonts w:hint="default"/>
        <w:color w:val="000000" w:themeColor="text1"/>
      </w:rPr>
    </w:lvl>
    <w:lvl w:ilvl="1">
      <w:start w:val="1"/>
      <w:numFmt w:val="decimal"/>
      <w:lvlText w:val="%1.%2"/>
      <w:lvlJc w:val="left"/>
      <w:pPr>
        <w:ind w:left="1080" w:hanging="360"/>
      </w:pPr>
      <w:rPr>
        <w:rFonts w:hint="default"/>
        <w:color w:val="000000" w:themeColor="text1"/>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2880" w:hanging="720"/>
      </w:pPr>
      <w:rPr>
        <w:rFonts w:hint="default"/>
        <w:color w:val="000000" w:themeColor="text1"/>
      </w:rPr>
    </w:lvl>
    <w:lvl w:ilvl="4">
      <w:start w:val="1"/>
      <w:numFmt w:val="decimal"/>
      <w:lvlText w:val="%1.%2.%3.%4.%5"/>
      <w:lvlJc w:val="left"/>
      <w:pPr>
        <w:ind w:left="3960" w:hanging="1080"/>
      </w:pPr>
      <w:rPr>
        <w:rFonts w:hint="default"/>
        <w:color w:val="000000" w:themeColor="text1"/>
      </w:rPr>
    </w:lvl>
    <w:lvl w:ilvl="5">
      <w:start w:val="1"/>
      <w:numFmt w:val="decimal"/>
      <w:lvlText w:val="%1.%2.%3.%4.%5.%6"/>
      <w:lvlJc w:val="left"/>
      <w:pPr>
        <w:ind w:left="4680" w:hanging="1080"/>
      </w:pPr>
      <w:rPr>
        <w:rFonts w:hint="default"/>
        <w:color w:val="000000" w:themeColor="text1"/>
      </w:rPr>
    </w:lvl>
    <w:lvl w:ilvl="6">
      <w:start w:val="1"/>
      <w:numFmt w:val="decimal"/>
      <w:lvlText w:val="%1.%2.%3.%4.%5.%6.%7"/>
      <w:lvlJc w:val="left"/>
      <w:pPr>
        <w:ind w:left="5760" w:hanging="1440"/>
      </w:pPr>
      <w:rPr>
        <w:rFonts w:hint="default"/>
        <w:color w:val="000000" w:themeColor="text1"/>
      </w:rPr>
    </w:lvl>
    <w:lvl w:ilvl="7">
      <w:start w:val="1"/>
      <w:numFmt w:val="decimal"/>
      <w:lvlText w:val="%1.%2.%3.%4.%5.%6.%7.%8"/>
      <w:lvlJc w:val="left"/>
      <w:pPr>
        <w:ind w:left="6480" w:hanging="1440"/>
      </w:pPr>
      <w:rPr>
        <w:rFonts w:hint="default"/>
        <w:color w:val="000000" w:themeColor="text1"/>
      </w:rPr>
    </w:lvl>
    <w:lvl w:ilvl="8">
      <w:start w:val="1"/>
      <w:numFmt w:val="decimal"/>
      <w:lvlText w:val="%1.%2.%3.%4.%5.%6.%7.%8.%9"/>
      <w:lvlJc w:val="left"/>
      <w:pPr>
        <w:ind w:left="7200" w:hanging="1440"/>
      </w:pPr>
      <w:rPr>
        <w:rFonts w:hint="default"/>
        <w:color w:val="000000" w:themeColor="text1"/>
      </w:rPr>
    </w:lvl>
  </w:abstractNum>
  <w:num w:numId="1" w16cid:durableId="1232304862">
    <w:abstractNumId w:val="5"/>
  </w:num>
  <w:num w:numId="2" w16cid:durableId="1439787668">
    <w:abstractNumId w:val="4"/>
  </w:num>
  <w:num w:numId="3" w16cid:durableId="1936785527">
    <w:abstractNumId w:val="2"/>
  </w:num>
  <w:num w:numId="4" w16cid:durableId="1176771178">
    <w:abstractNumId w:val="0"/>
  </w:num>
  <w:num w:numId="5" w16cid:durableId="1206870908">
    <w:abstractNumId w:val="15"/>
  </w:num>
  <w:num w:numId="6" w16cid:durableId="108746806">
    <w:abstractNumId w:val="9"/>
  </w:num>
  <w:num w:numId="7" w16cid:durableId="741099498">
    <w:abstractNumId w:val="13"/>
  </w:num>
  <w:num w:numId="8" w16cid:durableId="2083017400">
    <w:abstractNumId w:val="3"/>
  </w:num>
  <w:num w:numId="9" w16cid:durableId="330181885">
    <w:abstractNumId w:val="12"/>
  </w:num>
  <w:num w:numId="10" w16cid:durableId="920723203">
    <w:abstractNumId w:val="7"/>
  </w:num>
  <w:num w:numId="11" w16cid:durableId="1532914649">
    <w:abstractNumId w:val="1"/>
  </w:num>
  <w:num w:numId="12" w16cid:durableId="167839150">
    <w:abstractNumId w:val="10"/>
  </w:num>
  <w:num w:numId="13" w16cid:durableId="481852174">
    <w:abstractNumId w:val="11"/>
  </w:num>
  <w:num w:numId="14" w16cid:durableId="1749307373">
    <w:abstractNumId w:val="14"/>
  </w:num>
  <w:num w:numId="15" w16cid:durableId="1783264856">
    <w:abstractNumId w:val="8"/>
  </w:num>
  <w:num w:numId="16" w16cid:durableId="21303186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B55"/>
    <w:rsid w:val="00005259"/>
    <w:rsid w:val="00011A1F"/>
    <w:rsid w:val="000124F7"/>
    <w:rsid w:val="00020520"/>
    <w:rsid w:val="00042DA5"/>
    <w:rsid w:val="00044DAB"/>
    <w:rsid w:val="00045AB3"/>
    <w:rsid w:val="000554DA"/>
    <w:rsid w:val="000701D9"/>
    <w:rsid w:val="000745B8"/>
    <w:rsid w:val="000856AD"/>
    <w:rsid w:val="000A1F63"/>
    <w:rsid w:val="000C06DB"/>
    <w:rsid w:val="000E4B50"/>
    <w:rsid w:val="000E67DE"/>
    <w:rsid w:val="000F4D5D"/>
    <w:rsid w:val="00102709"/>
    <w:rsid w:val="00107DE7"/>
    <w:rsid w:val="0011007B"/>
    <w:rsid w:val="00133D9B"/>
    <w:rsid w:val="00141019"/>
    <w:rsid w:val="001523D6"/>
    <w:rsid w:val="0015525C"/>
    <w:rsid w:val="001626CA"/>
    <w:rsid w:val="00163A7A"/>
    <w:rsid w:val="00163E49"/>
    <w:rsid w:val="00174262"/>
    <w:rsid w:val="00175A63"/>
    <w:rsid w:val="00181D62"/>
    <w:rsid w:val="001912C4"/>
    <w:rsid w:val="0019344A"/>
    <w:rsid w:val="001B09B2"/>
    <w:rsid w:val="001B2AF9"/>
    <w:rsid w:val="001C3718"/>
    <w:rsid w:val="001C3EC5"/>
    <w:rsid w:val="001D2C5E"/>
    <w:rsid w:val="001D6EA5"/>
    <w:rsid w:val="001E02AF"/>
    <w:rsid w:val="001E0D3F"/>
    <w:rsid w:val="001E5C72"/>
    <w:rsid w:val="001F38C4"/>
    <w:rsid w:val="001F6054"/>
    <w:rsid w:val="001F7A98"/>
    <w:rsid w:val="00211543"/>
    <w:rsid w:val="002149AA"/>
    <w:rsid w:val="002245B0"/>
    <w:rsid w:val="00225CB7"/>
    <w:rsid w:val="00227EFF"/>
    <w:rsid w:val="002329DF"/>
    <w:rsid w:val="0024121C"/>
    <w:rsid w:val="00241ADD"/>
    <w:rsid w:val="00242891"/>
    <w:rsid w:val="00242CB3"/>
    <w:rsid w:val="00246AC3"/>
    <w:rsid w:val="0025342E"/>
    <w:rsid w:val="00255B37"/>
    <w:rsid w:val="00261E60"/>
    <w:rsid w:val="00271087"/>
    <w:rsid w:val="00282080"/>
    <w:rsid w:val="002A49F3"/>
    <w:rsid w:val="002A4F9F"/>
    <w:rsid w:val="002B0EB3"/>
    <w:rsid w:val="002B26FE"/>
    <w:rsid w:val="002B704D"/>
    <w:rsid w:val="002C0972"/>
    <w:rsid w:val="002D1385"/>
    <w:rsid w:val="002D3606"/>
    <w:rsid w:val="002D532C"/>
    <w:rsid w:val="002E0C19"/>
    <w:rsid w:val="002F3BB0"/>
    <w:rsid w:val="003037C9"/>
    <w:rsid w:val="0031744C"/>
    <w:rsid w:val="00317CB5"/>
    <w:rsid w:val="00331E01"/>
    <w:rsid w:val="003330EC"/>
    <w:rsid w:val="00337768"/>
    <w:rsid w:val="00344F30"/>
    <w:rsid w:val="00345931"/>
    <w:rsid w:val="00347654"/>
    <w:rsid w:val="003573BF"/>
    <w:rsid w:val="003575FC"/>
    <w:rsid w:val="00357F32"/>
    <w:rsid w:val="00364D32"/>
    <w:rsid w:val="003669F1"/>
    <w:rsid w:val="00372D79"/>
    <w:rsid w:val="00382467"/>
    <w:rsid w:val="0038455D"/>
    <w:rsid w:val="0039255B"/>
    <w:rsid w:val="003A2626"/>
    <w:rsid w:val="003A4BB1"/>
    <w:rsid w:val="003B03B9"/>
    <w:rsid w:val="003B1B8E"/>
    <w:rsid w:val="003C5A4F"/>
    <w:rsid w:val="003C67B5"/>
    <w:rsid w:val="003D163A"/>
    <w:rsid w:val="003E2675"/>
    <w:rsid w:val="00401460"/>
    <w:rsid w:val="00405A3B"/>
    <w:rsid w:val="004113E6"/>
    <w:rsid w:val="00413F72"/>
    <w:rsid w:val="00424D4B"/>
    <w:rsid w:val="00426381"/>
    <w:rsid w:val="00427741"/>
    <w:rsid w:val="004313E6"/>
    <w:rsid w:val="004572D9"/>
    <w:rsid w:val="00471305"/>
    <w:rsid w:val="00471ECC"/>
    <w:rsid w:val="004834B7"/>
    <w:rsid w:val="004854F7"/>
    <w:rsid w:val="00486B53"/>
    <w:rsid w:val="00491224"/>
    <w:rsid w:val="00493BA1"/>
    <w:rsid w:val="004959A2"/>
    <w:rsid w:val="004C31CD"/>
    <w:rsid w:val="004D10EC"/>
    <w:rsid w:val="004D5CCF"/>
    <w:rsid w:val="004D7062"/>
    <w:rsid w:val="004E4756"/>
    <w:rsid w:val="004F0642"/>
    <w:rsid w:val="004F235F"/>
    <w:rsid w:val="00503276"/>
    <w:rsid w:val="005072FA"/>
    <w:rsid w:val="005149F5"/>
    <w:rsid w:val="005358E0"/>
    <w:rsid w:val="0054218C"/>
    <w:rsid w:val="00543FCC"/>
    <w:rsid w:val="00556BC6"/>
    <w:rsid w:val="005812AE"/>
    <w:rsid w:val="00594B61"/>
    <w:rsid w:val="005A2803"/>
    <w:rsid w:val="005A4E53"/>
    <w:rsid w:val="005B07A0"/>
    <w:rsid w:val="005C1003"/>
    <w:rsid w:val="005D0280"/>
    <w:rsid w:val="005F0725"/>
    <w:rsid w:val="0060096E"/>
    <w:rsid w:val="00601144"/>
    <w:rsid w:val="00602751"/>
    <w:rsid w:val="00613C48"/>
    <w:rsid w:val="006338A4"/>
    <w:rsid w:val="00645B7C"/>
    <w:rsid w:val="00654708"/>
    <w:rsid w:val="006702E6"/>
    <w:rsid w:val="00677092"/>
    <w:rsid w:val="0069364C"/>
    <w:rsid w:val="00696ECE"/>
    <w:rsid w:val="006A5857"/>
    <w:rsid w:val="006C5BAD"/>
    <w:rsid w:val="006D2232"/>
    <w:rsid w:val="006D3614"/>
    <w:rsid w:val="006D7E98"/>
    <w:rsid w:val="006E17A6"/>
    <w:rsid w:val="006E2264"/>
    <w:rsid w:val="006E2CCF"/>
    <w:rsid w:val="006E3FB0"/>
    <w:rsid w:val="006F0B06"/>
    <w:rsid w:val="006F2EA4"/>
    <w:rsid w:val="00700520"/>
    <w:rsid w:val="0070420F"/>
    <w:rsid w:val="00707426"/>
    <w:rsid w:val="00711F56"/>
    <w:rsid w:val="007163CD"/>
    <w:rsid w:val="00716EB6"/>
    <w:rsid w:val="007302D5"/>
    <w:rsid w:val="00734C21"/>
    <w:rsid w:val="00745B71"/>
    <w:rsid w:val="007503A9"/>
    <w:rsid w:val="007520C5"/>
    <w:rsid w:val="00753FFC"/>
    <w:rsid w:val="0075728F"/>
    <w:rsid w:val="00763729"/>
    <w:rsid w:val="00772D36"/>
    <w:rsid w:val="007744DC"/>
    <w:rsid w:val="007747E0"/>
    <w:rsid w:val="007857A6"/>
    <w:rsid w:val="00792643"/>
    <w:rsid w:val="0079460B"/>
    <w:rsid w:val="00795A77"/>
    <w:rsid w:val="00796028"/>
    <w:rsid w:val="007A4380"/>
    <w:rsid w:val="007A4B6A"/>
    <w:rsid w:val="007A76D4"/>
    <w:rsid w:val="007B12F6"/>
    <w:rsid w:val="007B62C3"/>
    <w:rsid w:val="007C44F0"/>
    <w:rsid w:val="007C4E31"/>
    <w:rsid w:val="007D3889"/>
    <w:rsid w:val="007D3A64"/>
    <w:rsid w:val="007D5C0F"/>
    <w:rsid w:val="007E02DC"/>
    <w:rsid w:val="007E3E1D"/>
    <w:rsid w:val="007E54EE"/>
    <w:rsid w:val="007F1F72"/>
    <w:rsid w:val="008037D0"/>
    <w:rsid w:val="0080555F"/>
    <w:rsid w:val="00811D61"/>
    <w:rsid w:val="0081642A"/>
    <w:rsid w:val="00827A33"/>
    <w:rsid w:val="00843E55"/>
    <w:rsid w:val="00863F37"/>
    <w:rsid w:val="0086509A"/>
    <w:rsid w:val="00873936"/>
    <w:rsid w:val="0088472E"/>
    <w:rsid w:val="00885585"/>
    <w:rsid w:val="0088577E"/>
    <w:rsid w:val="0088762D"/>
    <w:rsid w:val="00892E2F"/>
    <w:rsid w:val="008A6F71"/>
    <w:rsid w:val="008B0D53"/>
    <w:rsid w:val="008B2190"/>
    <w:rsid w:val="008C27CF"/>
    <w:rsid w:val="008C44AE"/>
    <w:rsid w:val="008D7883"/>
    <w:rsid w:val="008F4280"/>
    <w:rsid w:val="008F67C2"/>
    <w:rsid w:val="00900582"/>
    <w:rsid w:val="0090696E"/>
    <w:rsid w:val="00906A1C"/>
    <w:rsid w:val="0090745C"/>
    <w:rsid w:val="00912341"/>
    <w:rsid w:val="00916C2C"/>
    <w:rsid w:val="00922BCE"/>
    <w:rsid w:val="00923440"/>
    <w:rsid w:val="00935115"/>
    <w:rsid w:val="0094746B"/>
    <w:rsid w:val="0095617B"/>
    <w:rsid w:val="0096158C"/>
    <w:rsid w:val="00961CA2"/>
    <w:rsid w:val="009764C6"/>
    <w:rsid w:val="0098275E"/>
    <w:rsid w:val="00996BB8"/>
    <w:rsid w:val="009A0F53"/>
    <w:rsid w:val="009A56B7"/>
    <w:rsid w:val="009A6656"/>
    <w:rsid w:val="009A7C3C"/>
    <w:rsid w:val="009B0CA6"/>
    <w:rsid w:val="009B1B33"/>
    <w:rsid w:val="009C2465"/>
    <w:rsid w:val="009E69C0"/>
    <w:rsid w:val="009E7B2D"/>
    <w:rsid w:val="009F33C2"/>
    <w:rsid w:val="00A008CD"/>
    <w:rsid w:val="00A00F03"/>
    <w:rsid w:val="00A01537"/>
    <w:rsid w:val="00A03CA0"/>
    <w:rsid w:val="00A05284"/>
    <w:rsid w:val="00A071C5"/>
    <w:rsid w:val="00A32702"/>
    <w:rsid w:val="00A35245"/>
    <w:rsid w:val="00A5584C"/>
    <w:rsid w:val="00A7106C"/>
    <w:rsid w:val="00A710B6"/>
    <w:rsid w:val="00A805FA"/>
    <w:rsid w:val="00A80A8B"/>
    <w:rsid w:val="00A841B9"/>
    <w:rsid w:val="00A852D5"/>
    <w:rsid w:val="00AB5765"/>
    <w:rsid w:val="00AD543A"/>
    <w:rsid w:val="00AD5827"/>
    <w:rsid w:val="00B138A9"/>
    <w:rsid w:val="00B33EA7"/>
    <w:rsid w:val="00B54198"/>
    <w:rsid w:val="00B60852"/>
    <w:rsid w:val="00B61B0A"/>
    <w:rsid w:val="00B66B4E"/>
    <w:rsid w:val="00B717DC"/>
    <w:rsid w:val="00B820B5"/>
    <w:rsid w:val="00B9695A"/>
    <w:rsid w:val="00BA6013"/>
    <w:rsid w:val="00BB2F0A"/>
    <w:rsid w:val="00BD150E"/>
    <w:rsid w:val="00BD5C47"/>
    <w:rsid w:val="00BD7DB1"/>
    <w:rsid w:val="00BE6E86"/>
    <w:rsid w:val="00BF17FB"/>
    <w:rsid w:val="00C0060B"/>
    <w:rsid w:val="00C24F7F"/>
    <w:rsid w:val="00C30DFB"/>
    <w:rsid w:val="00C3209A"/>
    <w:rsid w:val="00C42369"/>
    <w:rsid w:val="00C46ACC"/>
    <w:rsid w:val="00C50EF2"/>
    <w:rsid w:val="00C5423D"/>
    <w:rsid w:val="00C568A7"/>
    <w:rsid w:val="00C575E4"/>
    <w:rsid w:val="00C61D5F"/>
    <w:rsid w:val="00C76B9D"/>
    <w:rsid w:val="00C80A3C"/>
    <w:rsid w:val="00C81F6B"/>
    <w:rsid w:val="00C8557A"/>
    <w:rsid w:val="00CA002F"/>
    <w:rsid w:val="00CC7B6E"/>
    <w:rsid w:val="00CC7C5F"/>
    <w:rsid w:val="00CF1425"/>
    <w:rsid w:val="00CF4746"/>
    <w:rsid w:val="00CF6DB9"/>
    <w:rsid w:val="00D01EC7"/>
    <w:rsid w:val="00D04510"/>
    <w:rsid w:val="00D07EA6"/>
    <w:rsid w:val="00D1265E"/>
    <w:rsid w:val="00D257D0"/>
    <w:rsid w:val="00D33EEF"/>
    <w:rsid w:val="00D37D85"/>
    <w:rsid w:val="00D4293E"/>
    <w:rsid w:val="00D43E67"/>
    <w:rsid w:val="00D44A0D"/>
    <w:rsid w:val="00D4546C"/>
    <w:rsid w:val="00D87447"/>
    <w:rsid w:val="00DA1F5E"/>
    <w:rsid w:val="00DA7480"/>
    <w:rsid w:val="00DB3FA4"/>
    <w:rsid w:val="00DD0599"/>
    <w:rsid w:val="00DD0AAD"/>
    <w:rsid w:val="00DD15B4"/>
    <w:rsid w:val="00DD28C4"/>
    <w:rsid w:val="00DD5763"/>
    <w:rsid w:val="00DD5978"/>
    <w:rsid w:val="00DF1417"/>
    <w:rsid w:val="00E25DCB"/>
    <w:rsid w:val="00E26395"/>
    <w:rsid w:val="00E322DA"/>
    <w:rsid w:val="00E34079"/>
    <w:rsid w:val="00E34694"/>
    <w:rsid w:val="00E36D20"/>
    <w:rsid w:val="00E41A14"/>
    <w:rsid w:val="00E60CC1"/>
    <w:rsid w:val="00E67644"/>
    <w:rsid w:val="00E838C8"/>
    <w:rsid w:val="00E91D62"/>
    <w:rsid w:val="00E947DB"/>
    <w:rsid w:val="00EA0B55"/>
    <w:rsid w:val="00EA30A4"/>
    <w:rsid w:val="00EB0A82"/>
    <w:rsid w:val="00EB25B3"/>
    <w:rsid w:val="00EB71A2"/>
    <w:rsid w:val="00ED0954"/>
    <w:rsid w:val="00ED7521"/>
    <w:rsid w:val="00EE3F31"/>
    <w:rsid w:val="00EF766F"/>
    <w:rsid w:val="00F027E9"/>
    <w:rsid w:val="00F06A87"/>
    <w:rsid w:val="00F33705"/>
    <w:rsid w:val="00F36E80"/>
    <w:rsid w:val="00F63E58"/>
    <w:rsid w:val="00F75D2D"/>
    <w:rsid w:val="00F8343A"/>
    <w:rsid w:val="00F86E49"/>
    <w:rsid w:val="00F90A39"/>
    <w:rsid w:val="00F97167"/>
    <w:rsid w:val="00FC29DD"/>
    <w:rsid w:val="00FC3A8D"/>
    <w:rsid w:val="00FD1B91"/>
    <w:rsid w:val="00FE009D"/>
    <w:rsid w:val="00FE5DA6"/>
    <w:rsid w:val="00FF387E"/>
    <w:rsid w:val="00FF50F2"/>
    <w:rsid w:val="00FF5C2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957D1"/>
  <w15:docId w15:val="{4AC8A34A-6279-4B4E-A554-67D822003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D22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o-RO"/>
      <w14:ligatures w14:val="none"/>
    </w:rPr>
  </w:style>
  <w:style w:type="paragraph" w:styleId="Heading2">
    <w:name w:val="heading 2"/>
    <w:basedOn w:val="Normal"/>
    <w:next w:val="Normal"/>
    <w:link w:val="Heading2Char"/>
    <w:uiPriority w:val="9"/>
    <w:unhideWhenUsed/>
    <w:qFormat/>
    <w:rsid w:val="001D2C5E"/>
    <w:pPr>
      <w:keepNext/>
      <w:keepLines/>
      <w:spacing w:before="40" w:after="0"/>
      <w:outlineLvl w:val="1"/>
    </w:pPr>
    <w:rPr>
      <w:rFonts w:ascii="Arial" w:eastAsiaTheme="majorEastAsia" w:hAnsi="Arial" w:cstheme="majorBidi"/>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A0B5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B5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382467"/>
    <w:pPr>
      <w:ind w:left="720"/>
      <w:contextualSpacing/>
    </w:pPr>
  </w:style>
  <w:style w:type="paragraph" w:customStyle="1" w:styleId="meta">
    <w:name w:val="meta"/>
    <w:basedOn w:val="Normal"/>
    <w:rsid w:val="00413F72"/>
    <w:pPr>
      <w:spacing w:before="100" w:beforeAutospacing="1" w:after="100" w:afterAutospacing="1" w:line="240" w:lineRule="auto"/>
    </w:pPr>
    <w:rPr>
      <w:rFonts w:ascii="Times New Roman" w:eastAsia="Times New Roman" w:hAnsi="Times New Roman" w:cs="Times New Roman"/>
      <w:kern w:val="0"/>
      <w:sz w:val="24"/>
      <w:szCs w:val="24"/>
      <w:lang w:eastAsia="ro-RO"/>
      <w14:ligatures w14:val="none"/>
    </w:rPr>
  </w:style>
  <w:style w:type="character" w:customStyle="1" w:styleId="auteur">
    <w:name w:val="auteur"/>
    <w:basedOn w:val="DefaultParagraphFont"/>
    <w:rsid w:val="00413F72"/>
  </w:style>
  <w:style w:type="character" w:styleId="Hyperlink">
    <w:name w:val="Hyperlink"/>
    <w:basedOn w:val="DefaultParagraphFont"/>
    <w:uiPriority w:val="99"/>
    <w:unhideWhenUsed/>
    <w:rsid w:val="00413F72"/>
    <w:rPr>
      <w:color w:val="0000FF"/>
      <w:u w:val="single"/>
    </w:rPr>
  </w:style>
  <w:style w:type="character" w:customStyle="1" w:styleId="author">
    <w:name w:val="author"/>
    <w:basedOn w:val="DefaultParagraphFont"/>
    <w:rsid w:val="004313E6"/>
  </w:style>
  <w:style w:type="character" w:customStyle="1" w:styleId="pubyear">
    <w:name w:val="pubyear"/>
    <w:basedOn w:val="DefaultParagraphFont"/>
    <w:rsid w:val="004313E6"/>
  </w:style>
  <w:style w:type="character" w:customStyle="1" w:styleId="articletitle">
    <w:name w:val="articletitle"/>
    <w:basedOn w:val="DefaultParagraphFont"/>
    <w:rsid w:val="004313E6"/>
  </w:style>
  <w:style w:type="character" w:customStyle="1" w:styleId="vol">
    <w:name w:val="vol"/>
    <w:basedOn w:val="DefaultParagraphFont"/>
    <w:rsid w:val="004313E6"/>
  </w:style>
  <w:style w:type="character" w:customStyle="1" w:styleId="pagefirst">
    <w:name w:val="pagefirst"/>
    <w:basedOn w:val="DefaultParagraphFont"/>
    <w:rsid w:val="004313E6"/>
  </w:style>
  <w:style w:type="character" w:customStyle="1" w:styleId="pagelast">
    <w:name w:val="pagelast"/>
    <w:basedOn w:val="DefaultParagraphFont"/>
    <w:rsid w:val="004313E6"/>
  </w:style>
  <w:style w:type="character" w:customStyle="1" w:styleId="Heading1Char">
    <w:name w:val="Heading 1 Char"/>
    <w:basedOn w:val="DefaultParagraphFont"/>
    <w:link w:val="Heading1"/>
    <w:uiPriority w:val="9"/>
    <w:rsid w:val="006D2232"/>
    <w:rPr>
      <w:rFonts w:ascii="Times New Roman" w:eastAsia="Times New Roman" w:hAnsi="Times New Roman" w:cs="Times New Roman"/>
      <w:b/>
      <w:bCs/>
      <w:kern w:val="36"/>
      <w:sz w:val="48"/>
      <w:szCs w:val="48"/>
      <w:lang w:eastAsia="ro-RO"/>
      <w14:ligatures w14:val="none"/>
    </w:rPr>
  </w:style>
  <w:style w:type="character" w:customStyle="1" w:styleId="booktitle">
    <w:name w:val="booktitle"/>
    <w:basedOn w:val="DefaultParagraphFont"/>
    <w:rsid w:val="00241ADD"/>
  </w:style>
  <w:style w:type="paragraph" w:customStyle="1" w:styleId="titre-article">
    <w:name w:val="titre-article"/>
    <w:basedOn w:val="Normal"/>
    <w:rsid w:val="009A0F53"/>
    <w:pPr>
      <w:spacing w:before="100" w:beforeAutospacing="1" w:after="100" w:afterAutospacing="1" w:line="240" w:lineRule="auto"/>
    </w:pPr>
    <w:rPr>
      <w:rFonts w:ascii="Times New Roman" w:eastAsia="Times New Roman" w:hAnsi="Times New Roman" w:cs="Times New Roman"/>
      <w:kern w:val="0"/>
      <w:sz w:val="24"/>
      <w:szCs w:val="24"/>
      <w:lang w:eastAsia="ro-RO"/>
      <w14:ligatures w14:val="none"/>
    </w:rPr>
  </w:style>
  <w:style w:type="character" w:styleId="UnresolvedMention">
    <w:name w:val="Unresolved Mention"/>
    <w:basedOn w:val="DefaultParagraphFont"/>
    <w:uiPriority w:val="99"/>
    <w:semiHidden/>
    <w:unhideWhenUsed/>
    <w:rsid w:val="0038455D"/>
    <w:rPr>
      <w:color w:val="605E5C"/>
      <w:shd w:val="clear" w:color="auto" w:fill="E1DFDD"/>
    </w:rPr>
  </w:style>
  <w:style w:type="character" w:customStyle="1" w:styleId="citedissue">
    <w:name w:val="citedissue"/>
    <w:basedOn w:val="DefaultParagraphFont"/>
    <w:rsid w:val="00D43E67"/>
  </w:style>
  <w:style w:type="paragraph" w:styleId="TOCHeading">
    <w:name w:val="TOC Heading"/>
    <w:basedOn w:val="Heading1"/>
    <w:next w:val="Normal"/>
    <w:uiPriority w:val="39"/>
    <w:unhideWhenUsed/>
    <w:qFormat/>
    <w:rsid w:val="0081642A"/>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81642A"/>
    <w:pPr>
      <w:spacing w:after="100"/>
    </w:pPr>
  </w:style>
  <w:style w:type="character" w:customStyle="1" w:styleId="Heading2Char">
    <w:name w:val="Heading 2 Char"/>
    <w:basedOn w:val="DefaultParagraphFont"/>
    <w:link w:val="Heading2"/>
    <w:uiPriority w:val="9"/>
    <w:rsid w:val="001D2C5E"/>
    <w:rPr>
      <w:rFonts w:ascii="Arial" w:eastAsiaTheme="majorEastAsia" w:hAnsi="Arial" w:cstheme="majorBidi"/>
      <w:color w:val="000000" w:themeColor="text1"/>
      <w:szCs w:val="26"/>
    </w:rPr>
  </w:style>
  <w:style w:type="paragraph" w:styleId="TOC2">
    <w:name w:val="toc 2"/>
    <w:basedOn w:val="Normal"/>
    <w:next w:val="Normal"/>
    <w:autoRedefine/>
    <w:uiPriority w:val="39"/>
    <w:unhideWhenUsed/>
    <w:rsid w:val="006F0B0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551871">
      <w:bodyDiv w:val="1"/>
      <w:marLeft w:val="0"/>
      <w:marRight w:val="0"/>
      <w:marTop w:val="0"/>
      <w:marBottom w:val="0"/>
      <w:divBdr>
        <w:top w:val="none" w:sz="0" w:space="0" w:color="auto"/>
        <w:left w:val="none" w:sz="0" w:space="0" w:color="auto"/>
        <w:bottom w:val="none" w:sz="0" w:space="0" w:color="auto"/>
        <w:right w:val="none" w:sz="0" w:space="0" w:color="auto"/>
      </w:divBdr>
    </w:div>
    <w:div w:id="879708507">
      <w:bodyDiv w:val="1"/>
      <w:marLeft w:val="0"/>
      <w:marRight w:val="0"/>
      <w:marTop w:val="0"/>
      <w:marBottom w:val="0"/>
      <w:divBdr>
        <w:top w:val="none" w:sz="0" w:space="0" w:color="auto"/>
        <w:left w:val="none" w:sz="0" w:space="0" w:color="auto"/>
        <w:bottom w:val="none" w:sz="0" w:space="0" w:color="auto"/>
        <w:right w:val="none" w:sz="0" w:space="0" w:color="auto"/>
      </w:divBdr>
    </w:div>
    <w:div w:id="923999483">
      <w:bodyDiv w:val="1"/>
      <w:marLeft w:val="0"/>
      <w:marRight w:val="0"/>
      <w:marTop w:val="0"/>
      <w:marBottom w:val="0"/>
      <w:divBdr>
        <w:top w:val="none" w:sz="0" w:space="0" w:color="auto"/>
        <w:left w:val="none" w:sz="0" w:space="0" w:color="auto"/>
        <w:bottom w:val="none" w:sz="0" w:space="0" w:color="auto"/>
        <w:right w:val="none" w:sz="0" w:space="0" w:color="auto"/>
      </w:divBdr>
    </w:div>
    <w:div w:id="993491716">
      <w:bodyDiv w:val="1"/>
      <w:marLeft w:val="0"/>
      <w:marRight w:val="0"/>
      <w:marTop w:val="0"/>
      <w:marBottom w:val="0"/>
      <w:divBdr>
        <w:top w:val="none" w:sz="0" w:space="0" w:color="auto"/>
        <w:left w:val="none" w:sz="0" w:space="0" w:color="auto"/>
        <w:bottom w:val="none" w:sz="0" w:space="0" w:color="auto"/>
        <w:right w:val="none" w:sz="0" w:space="0" w:color="auto"/>
      </w:divBdr>
    </w:div>
    <w:div w:id="1463504023">
      <w:bodyDiv w:val="1"/>
      <w:marLeft w:val="0"/>
      <w:marRight w:val="0"/>
      <w:marTop w:val="0"/>
      <w:marBottom w:val="0"/>
      <w:divBdr>
        <w:top w:val="none" w:sz="0" w:space="0" w:color="auto"/>
        <w:left w:val="none" w:sz="0" w:space="0" w:color="auto"/>
        <w:bottom w:val="none" w:sz="0" w:space="0" w:color="auto"/>
        <w:right w:val="none" w:sz="0" w:space="0" w:color="auto"/>
      </w:divBdr>
    </w:div>
    <w:div w:id="1686905982">
      <w:bodyDiv w:val="1"/>
      <w:marLeft w:val="0"/>
      <w:marRight w:val="0"/>
      <w:marTop w:val="0"/>
      <w:marBottom w:val="0"/>
      <w:divBdr>
        <w:top w:val="none" w:sz="0" w:space="0" w:color="auto"/>
        <w:left w:val="none" w:sz="0" w:space="0" w:color="auto"/>
        <w:bottom w:val="none" w:sz="0" w:space="0" w:color="auto"/>
        <w:right w:val="none" w:sz="0" w:space="0" w:color="auto"/>
      </w:divBdr>
      <w:divsChild>
        <w:div w:id="1306473321">
          <w:marLeft w:val="0"/>
          <w:marRight w:val="0"/>
          <w:marTop w:val="0"/>
          <w:marBottom w:val="0"/>
          <w:divBdr>
            <w:top w:val="none" w:sz="0" w:space="0" w:color="auto"/>
            <w:left w:val="none" w:sz="0" w:space="0" w:color="auto"/>
            <w:bottom w:val="none" w:sz="0" w:space="0" w:color="auto"/>
            <w:right w:val="none" w:sz="0" w:space="0" w:color="auto"/>
          </w:divBdr>
        </w:div>
      </w:divsChild>
    </w:div>
    <w:div w:id="1718972930">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0275074008314203." TargetMode="External"/><Relationship Id="rId18" Type="http://schemas.openxmlformats.org/officeDocument/2006/relationships/hyperlink" Target="https://doi.org/10.1177/0019793916654481." TargetMode="External"/><Relationship Id="rId26" Type="http://schemas.openxmlformats.org/officeDocument/2006/relationships/hyperlink" Target="https://doi.org/10.1080/19416520.2014.872335." TargetMode="External"/><Relationship Id="rId39" Type="http://schemas.openxmlformats.org/officeDocument/2006/relationships/fontTable" Target="fontTable.xml"/><Relationship Id="rId21" Type="http://schemas.openxmlformats.org/officeDocument/2006/relationships/hyperlink" Target="https://www.cairn-int.info/publications-of-Gilles-Jeannot--12923.htm" TargetMode="External"/><Relationship Id="rId34" Type="http://schemas.openxmlformats.org/officeDocument/2006/relationships/hyperlink" Target="https://doi.org/10.5465/amr.2001.4011928." TargetMode="External"/><Relationship Id="rId7" Type="http://schemas.openxmlformats.org/officeDocument/2006/relationships/settings" Target="settings.xml"/><Relationship Id="rId12" Type="http://schemas.openxmlformats.org/officeDocument/2006/relationships/hyperlink" Target="https://doi.org/10.1057/palgrave.jibs.8490517." TargetMode="External"/><Relationship Id="rId17" Type="http://schemas.openxmlformats.org/officeDocument/2006/relationships/hyperlink" Target="https://doi.org/10.1111/1467-9299.00160." TargetMode="External"/><Relationship Id="rId25" Type="http://schemas.openxmlformats.org/officeDocument/2006/relationships/hyperlink" Target="https://doi.org/10.1688/1862-0000_ZfP_2011_02_Jackson." TargetMode="External"/><Relationship Id="rId33" Type="http://schemas.openxmlformats.org/officeDocument/2006/relationships/hyperlink" Target="https://doi.org/10.1556/AOecon.59.2009.2.3." TargetMode="External"/><Relationship Id="rId38" Type="http://schemas.openxmlformats.org/officeDocument/2006/relationships/hyperlink" Target="https://doi.org/10.1080/09585192.2017.1387865." TargetMode="External"/><Relationship Id="rId2" Type="http://schemas.openxmlformats.org/officeDocument/2006/relationships/customXml" Target="../customXml/item2.xml"/><Relationship Id="rId16" Type="http://schemas.openxmlformats.org/officeDocument/2006/relationships/hyperlink" Target="https://doi.org/10.1080/14719037.2019.1695880." TargetMode="External"/><Relationship Id="rId20" Type="http://schemas.openxmlformats.org/officeDocument/2006/relationships/hyperlink" Target="https://www.cairn-int.info/publications-of-Dani%C3%A8le-Guillemot--12029.htm" TargetMode="External"/><Relationship Id="rId29" Type="http://schemas.openxmlformats.org/officeDocument/2006/relationships/hyperlink" Target="https://doi.org/10.1111/1748-8583.1244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airn-int.info/publications-of-Aur%C3%A9lie-Peyrin--25060.htm" TargetMode="External"/><Relationship Id="rId24" Type="http://schemas.openxmlformats.org/officeDocument/2006/relationships/hyperlink" Target="https://doi.org/10.1016/j.jclepro.2015.01.052." TargetMode="External"/><Relationship Id="rId32" Type="http://schemas.openxmlformats.org/officeDocument/2006/relationships/hyperlink" Target="https://doi.org/10.1111/j.1467-9299.2006.00626.x." TargetMode="External"/><Relationship Id="rId37" Type="http://schemas.openxmlformats.org/officeDocument/2006/relationships/hyperlink" Target="https://doi.org/10.2478/manment-2014-0039."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oi.org/10.1177/0734371X18773492." TargetMode="External"/><Relationship Id="rId23" Type="http://schemas.openxmlformats.org/officeDocument/2006/relationships/hyperlink" Target="https://www.jstor.org/stable/40861844." TargetMode="External"/><Relationship Id="rId28" Type="http://schemas.openxmlformats.org/officeDocument/2006/relationships/hyperlink" Target="https://doi.org/10.2139/ssrn.1550028." TargetMode="External"/><Relationship Id="rId36" Type="http://schemas.openxmlformats.org/officeDocument/2006/relationships/hyperlink" Target="https://doi.org/10.5771/0935-9915-2005-1-11." TargetMode="External"/><Relationship Id="rId10" Type="http://schemas.openxmlformats.org/officeDocument/2006/relationships/hyperlink" Target="https://www.cairn-int.info/publications-of-Gilles-Jeannot--12923.htm" TargetMode="External"/><Relationship Id="rId19" Type="http://schemas.openxmlformats.org/officeDocument/2006/relationships/hyperlink" Target="https://doi.org/10.1080/09585192.2011.565657." TargetMode="External"/><Relationship Id="rId31" Type="http://schemas.openxmlformats.org/officeDocument/2006/relationships/hyperlink" Target="https://doi.org/10.1177/0275074012466935." TargetMode="External"/><Relationship Id="rId4" Type="http://schemas.openxmlformats.org/officeDocument/2006/relationships/customXml" Target="../customXml/item4.xml"/><Relationship Id="rId9" Type="http://schemas.openxmlformats.org/officeDocument/2006/relationships/hyperlink" Target="https://www.cairn-int.info/publications-of-Dani%C3%A8le-Guillemot--12029.htm" TargetMode="External"/><Relationship Id="rId14" Type="http://schemas.openxmlformats.org/officeDocument/2006/relationships/hyperlink" Target="https://doi.org/10.5465/1556363." TargetMode="External"/><Relationship Id="rId22" Type="http://schemas.openxmlformats.org/officeDocument/2006/relationships/hyperlink" Target="https://www.cairn-int.info/publications-of-Aur%C3%A9lie-Peyrin--25060.htm" TargetMode="External"/><Relationship Id="rId27" Type="http://schemas.openxmlformats.org/officeDocument/2006/relationships/hyperlink" Target="https://doi.org/10.1177/0730888406290049." TargetMode="External"/><Relationship Id="rId30" Type="http://schemas.openxmlformats.org/officeDocument/2006/relationships/hyperlink" Target="https://www.investopedia.com/terms/a/agencytheory.asp" TargetMode="External"/><Relationship Id="rId35" Type="http://schemas.openxmlformats.org/officeDocument/2006/relationships/hyperlink" Target="https://doi.org/10.2307/258126."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8" ma:contentTypeDescription="Create a new document." ma:contentTypeScope="" ma:versionID="db03e4a3fe5cb50d58c5e4ce04384814">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d341ea3c5c669dcd6065d44f9f4807da"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B07DD1-502E-403D-B316-82F0D6A0A582}">
  <ds:schemaRefs>
    <ds:schemaRef ds:uri="http://schemas.microsoft.com/office/2006/metadata/properties"/>
    <ds:schemaRef ds:uri="http://schemas.microsoft.com/office/infopath/2007/PartnerControls"/>
    <ds:schemaRef ds:uri="e9586b6e-d655-4ea8-9b46-aa323587a11f"/>
  </ds:schemaRefs>
</ds:datastoreItem>
</file>

<file path=customXml/itemProps2.xml><?xml version="1.0" encoding="utf-8"?>
<ds:datastoreItem xmlns:ds="http://schemas.openxmlformats.org/officeDocument/2006/customXml" ds:itemID="{A26BA83B-0139-489A-BE35-BF551C02A7DA}">
  <ds:schemaRefs>
    <ds:schemaRef ds:uri="http://schemas.microsoft.com/sharepoint/v3/contenttype/forms"/>
  </ds:schemaRefs>
</ds:datastoreItem>
</file>

<file path=customXml/itemProps3.xml><?xml version="1.0" encoding="utf-8"?>
<ds:datastoreItem xmlns:ds="http://schemas.openxmlformats.org/officeDocument/2006/customXml" ds:itemID="{1BF86E52-AED1-465B-A342-1092B7EC13C4}">
  <ds:schemaRefs>
    <ds:schemaRef ds:uri="http://schemas.openxmlformats.org/officeDocument/2006/bibliography"/>
  </ds:schemaRefs>
</ds:datastoreItem>
</file>

<file path=customXml/itemProps4.xml><?xml version="1.0" encoding="utf-8"?>
<ds:datastoreItem xmlns:ds="http://schemas.openxmlformats.org/officeDocument/2006/customXml" ds:itemID="{6100EF74-0C5E-4BAC-9449-30F2901714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4266</Words>
  <Characters>24749</Characters>
  <Application>Microsoft Office Word</Application>
  <DocSecurity>0</DocSecurity>
  <Lines>206</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Adelina Mazilu (2245649)</dc:creator>
  <cp:keywords/>
  <dc:description/>
  <cp:lastModifiedBy>Adelina Mazilu (2245649)</cp:lastModifiedBy>
  <cp:revision>3</cp:revision>
  <dcterms:created xsi:type="dcterms:W3CDTF">2023-06-21T23:11:00Z</dcterms:created>
  <dcterms:modified xsi:type="dcterms:W3CDTF">2023-06-21T23:39:00Z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