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0693F" w14:textId="71E00269" w:rsidR="00FC6D16" w:rsidRPr="00FC6D16" w:rsidRDefault="00FC6D16" w:rsidP="00FC6D16">
      <w:pPr>
        <w:pStyle w:val="NormalWeb"/>
        <w:spacing w:line="360" w:lineRule="auto"/>
        <w:rPr>
          <w:rFonts w:asciiTheme="minorHAnsi" w:hAnsiTheme="minorHAnsi" w:cstheme="minorHAnsi"/>
          <w:sz w:val="22"/>
          <w:szCs w:val="22"/>
        </w:rPr>
      </w:pPr>
      <w:r>
        <w:rPr>
          <w:rFonts w:asciiTheme="minorHAnsi" w:hAnsiTheme="minorHAnsi" w:cstheme="minorHAnsi"/>
          <w:sz w:val="22"/>
          <w:szCs w:val="22"/>
        </w:rPr>
        <w:t>E</w:t>
      </w:r>
      <w:bookmarkStart w:id="0" w:name="_GoBack"/>
      <w:bookmarkEnd w:id="0"/>
      <w:r w:rsidRPr="00FC6D16">
        <w:rPr>
          <w:rFonts w:asciiTheme="minorHAnsi" w:hAnsiTheme="minorHAnsi" w:cstheme="minorHAnsi"/>
          <w:sz w:val="22"/>
          <w:szCs w:val="22"/>
        </w:rPr>
        <w:t>xam Terminology is essential vocabulary all students should be made aware of within their classes. It is this crucial terminology and language that will ensure and encourage a pupils learning and understanding in some of the most essential and fundamentally paramount exams and/or assignments in their lives. Incorporating exam terminology into the classroom and normalizing the language for the students is a crucial contribution towards the individual’s literacy capability. The two go hand in hand. The Welsh Government have pushed on the importance of literacy use within schools and have made clear that literacy is a crucial factor and a definite area in need of improvement. Improvement within literacy and the understanding of exam terminology is measured through exam success but also through continual assessments carried out throughout the year, E.g. written milestone assignments, exam past paper questions etc. This in itself is an important piece of strategic planning within most schools in Wales.</w:t>
      </w:r>
    </w:p>
    <w:p w14:paraId="70C2520D"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In addition to the above point, most schools in Wales and the UK use this form of planning due to its efficient process of setting goals, once goals are set it is easier to the determine actions necessary to the achieve those goals and to highlight the resources and steps needed to take on these vital upcoming actions. ‘The educational sector has frequently relied on changes in policy to transform the way schools operate.’ This planning formation allows the whole school to attack the common vision as one unit rather than several different units. It can also encourage commitment from staff members and departments, as they feel it is critical to do what they can to help the school move forward in terms of progress. </w:t>
      </w:r>
    </w:p>
    <w:p w14:paraId="69D2B774"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Not only is this the best way to see the clear end goal and work towards it, but it is a healthy way to measure and monitor success and achievement.  ‘A school with a strategy can monitor its progress toward key outcomes and evaluate where and how it may have gotten off track.’ (Long, 2006) There is no real justification of a plan in place unless you are able to monitor outcomes and monitor progress along the way, this form of strategic planning allows this, it implements a guide of monitoring and measuring throughout the duration of completion. A plan using, and prioritizing strategy can keep everyone connected in a typical school environment, if well and correctly implemented it can form and allegiance through staff as it requires in-depth conversation and discussion as all staff are accountable for the plan progressing. The sheer nature of the strategic planning element in schools is what separates a school environment from a business environment. It is far more organised and efficient than that of the business sector. Planning through strategy identifies what that environment intends to achieve when it comes to classroom, staff, student or school objectives.</w:t>
      </w:r>
    </w:p>
    <w:p w14:paraId="53D4CB5C" w14:textId="77777777" w:rsidR="00FC6D16" w:rsidRPr="00FC6D16" w:rsidRDefault="00FC6D16" w:rsidP="00FC6D16">
      <w:pPr>
        <w:pStyle w:val="NormalWeb"/>
        <w:spacing w:line="360" w:lineRule="auto"/>
        <w:rPr>
          <w:rFonts w:asciiTheme="minorHAnsi" w:hAnsiTheme="minorHAnsi" w:cstheme="minorHAnsi"/>
          <w:sz w:val="22"/>
          <w:szCs w:val="22"/>
        </w:rPr>
      </w:pPr>
    </w:p>
    <w:p w14:paraId="258A69AE"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However, Mintzberg suggests that ‘social mores’ are far superior to those plans creating via strategy. “favour separation of goal and strategy formulation processes because it is clear that these processes are, in fact, separate in a number of organisations and because personal values and social mores are almost always much more influential in goal formation that in strategy formulation.” (Mintzberg, 1994) It is suggested in the above quote that goals and strategy are separated accordingly in other business like plans and have been successful in their planning and progression of targets. It simply suggests that goals and strategy are two separate issues and the two do not need to go hand in hand to perfect the formation of planning and/or preparation in schooling environments or specific similar industries .e.g colleges or universities.</w:t>
      </w:r>
    </w:p>
    <w:p w14:paraId="4A050935"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Within the research task of investigating the contemporary issues in higher education, this study will analyse critically whether or not ‘School X’ (this school’s name stays anonymous in line with BERA(2011) guidelines) is appropriately tackling the issues within literacy and more so, exam terminology and ‘revising assessment for learning policies with a focus on the Literacy and Numeracy Framework(LNF). Firstly, it will discuss the overviews of school X’s improvement plan and in particular, their humanities departmental plan, with reference to Estyn reports also. Linking this then to strategic planning and its effectiveness in this situation and making links to exam terminology and literacy. ‘The school provides carefully planned provision for pupils who require support with basic literacy and numeracy skills. This enables them to make strong progress in developing their skills.’ (Estyn, 2018)   Discussing also school X’s performance currently, and then recommending a way forward in terms of actions and/or interventions that can possibly drive this initiative forward. </w:t>
      </w:r>
    </w:p>
    <w:p w14:paraId="3E3F1DA8"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School X accommodates 871 pupils on average, ages 11-18 (Schools, 2018), and so does include AS level and A level exam teaching within the sixth form. School X is a monumental part of their community and is hugely involved with the neighboring town and locals. The school is situated in a largely affluent area and is based in a country setting. The hugely successful school is community funded as well as government funded and is maintained by the local authority, which employs a total of 72 teaching staff including receptionists, teaching assistants, caretakers etc. School X is attended by students who mainly live in the area, free school meal rates have always been considered low and are in fact still reasonably low at ‘7.6%’ (Schools, 2018), although recently, the school has become a sought-after place of education, more so now than before, bringing in the interest of more students currently living in the valleys. These very different catchment areas are </w:t>
      </w:r>
      <w:r w:rsidRPr="00FC6D16">
        <w:rPr>
          <w:rFonts w:asciiTheme="minorHAnsi" w:hAnsiTheme="minorHAnsi" w:cstheme="minorHAnsi"/>
          <w:sz w:val="22"/>
          <w:szCs w:val="22"/>
        </w:rPr>
        <w:lastRenderedPageBreak/>
        <w:t xml:space="preserve">complete opposites and encapsulate much different reputations/titles. One area is considered deprived and schools in that area are considered to be some of the schools among the worst in Wales. On the contrary, the locals within the school community are regarded with a much different reputation and are considered to be exclusive within their community. </w:t>
      </w:r>
    </w:p>
    <w:p w14:paraId="166182FC"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The initial goal is to push all children into the upper quartile in receiving their exam results by improving their literacy and incorporating exam terminology. As previously stated, the Welsh Government have issued a big push on literacy as a whole in schools. Programme for International Student Assessment (PISA) results over recent years have been unfavourably low, this is what has backed and driven the need and necessity for the creation and implementation of the Literacy and Numeracy Framework. This can be marked and highlighted in its latest results from 2015. Wales, in particular, are the least progressive country in the UK due to these most recent results. Due to these factors, it is now essential that all teachers regardless of their subject strength, try to include literacy and/or numeracy within their lessons to try and improve their knowledge levels within this category. </w:t>
      </w:r>
    </w:p>
    <w:p w14:paraId="35EAC5EE"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School X’s school improvement development plan (see Appendix A below) follows a bottom-up approach. School X discusses all causes for concern or improvement at a departmental level and then creates a departmental improvement plan firstly. (see appendix b below). These are then looked at by senior management who then look at common elements between the different department plans. The similar needs for improvement are then discussed further and moulded into the final school departmental plan. It is unnecessary for this paper to discuss all of the strategies included within the school’s development plan, in terms of this paper, it is only needed to pick out reoccurring themes and issues within the departmental and school improvement plans. There are clearly efforts being made to deliver literacy within the classroom, during classroom observations many lessons are planned to include literacy-based tasks. These reoccurring themes keep occurring for a specific reason which requires a closer look for improvement, which is how the theme of literacy was chosen. It was a reoccurring theme in both plans. Despite the school having relatively good attendance and exam results currently, there is clear room for improvement within the literacy aspect. ‘School X has a culture of high ambition that every pupil should achieve ‘excellence through endeavour.’ (Estyn, 2018)  The school’s strapline is a clear indication of its high standards and its importance to keep on improving and progressing. </w:t>
      </w:r>
    </w:p>
    <w:p w14:paraId="0AB800C6"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Despite the apparent ‘push’ on literacy improvement in schools in the UK, Wales in particular. Embedding literacy into lessons and trying to link the specific subject terminology with that of the literacy requirements is considerably increasing due to the literacy policy and framework of its 2002 </w:t>
      </w:r>
      <w:r w:rsidRPr="00FC6D16">
        <w:rPr>
          <w:rFonts w:asciiTheme="minorHAnsi" w:hAnsiTheme="minorHAnsi" w:cstheme="minorHAnsi"/>
          <w:sz w:val="22"/>
          <w:szCs w:val="22"/>
        </w:rPr>
        <w:lastRenderedPageBreak/>
        <w:t xml:space="preserve">release. School X strives for excellence and pushes pupils into achieving their utmost, especially in terms of literacy. ‘At the whole school level – the level which determines the broad patterns of school activity and thereby sets the conditions which establish and maintain the school’s culture.’ (Knight, 1997)  The school, therefore, sets the standard, which is followed and carried out by the staff and then the pupils. </w:t>
      </w:r>
    </w:p>
    <w:p w14:paraId="50026014"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Strategic planning is an approach in which you are trying to achieve and deliver a desirable outcome in the near future, a goal you are working toward through vision and sequence. ‘By failing to prepare, you are preparing to fail.’(Benjamin Franklin).  The whole concept of a strategic plan is to identify what needs to be achieved, then decide what must be done in order to achieve and then an explanation of how you know you have achieved it. A plan including several systematic steps to overcome one monumental issue. Establish the process, think of strategies to deliver the process and then configure the output that’s necessary. ‘Strategic planning begins with the desired-end and works backward to the current status.’ (Anonymous, n.d.)  Strategic planning tends to be tackled and completed within a specific time scale instead of perhaps, long term or long-range planning. Strategic planning allows you stay ahead of the game, for example, this method of planning allows you to see your final goal, see your steps that are necessary to take towards that goal and in doing so allows you to keep the upper hand when it comes to organisation and preparation. School X’s plan follows this strategic method as you are able to see consistently stay ahead of your ultimate goal and its leading stages to achieving it. Despite everyone’s contribution towards the information involved in the plan, it is the sole responsibility of the senior staff members to properly distribute and deliver these goals to make them accessible and achievable for the staff at their departmental level. This form of planning is great for organising materials and managing development in terms of priority and focus, it ensures that the whole faculty are working together to strengthen the school’s overall improvement. This plan proves most effective when tackling stages of development and proves to be an equally effective way of ensuring progression through actions and stages.  However, following on from this point, not all faculties and staff find this strategic way of planning useful, as they feel it is easy to misinterpret the impended format and the priority category.  ‘But the most worrying general characteristic was that no-one subsequently used the outputs within the later stages of the strategy process.’ (Hill &amp; Westbrook, 2016)  The plan is issued but there is no collaborative input within the deliverance to departmental level, thus causing confusion and to somewhat misunderstanding ‘a failure to prioritize and no attempt to verify any points.’ (Hill &amp; Westbrook, 2016) . Also, School X’s school improvement plan is of a basic structure.</w:t>
      </w:r>
    </w:p>
    <w:p w14:paraId="062CC94B"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lastRenderedPageBreak/>
        <w:t>The role of strategic planning is to order and structure a plan that is easily readable and accessible to all that follow it. It is an organised formation that is carefully drafted and documented in order to keep the completion process organised and managed to satisfaction of those who read it and follow it. ‘While changes in policy are typically quite easy to enact, it cannot ensure that the desired changes in practice will result.’ (Rutherford, April 9, 2007)   It organises steps in order of priority and then focuses the attention of the staff on the correct resources and processes their energies into solving the individual need before trying to solve the overall issue. It refocuses their energies also into achieving tasks via the advantage of seeing the ultimate goal and what needs doing in order to maintain it. Strategic planning is used in an educational environment e.g. schools, colleges, universities etc, because it clearly maps out the futuristic goal of the individual establishment. It keeps everyone on the same page.</w:t>
      </w:r>
    </w:p>
    <w:p w14:paraId="7F32F68B"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However, there is literature that suggests that strategic planning is not perhaps as effective and clear as previously suggested. ‘or at the other extreme, is strategic planning simply just another oxymoron?... In other words, should strategy always be planned?’ (Mintzberg, 1994)   Mintzberg suggests that to properly prepare and take on what is needed to achieve ultimate goals, he suggests that using the method of strategic planning will increase pressure put onto those in the position of wanting to progress. By clearly seeing what is to be done in order to do well, can cause a lack of confidence in self-ability and create a pressurised environment. It can become too much for an individual or in this case a department or school. Realising the number of targets or goals there are to reach before being able to accomplish the eventual overall goal, can be disheartening and somewhat discouraging. </w:t>
      </w:r>
    </w:p>
    <w:p w14:paraId="61292A74"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This causes problems when trying to determine what higher levels of staff want to achieve at each point. This is often misinterpreted differently by different subjects and/or teachers, this causes confusion and a difference of outcome by that said department as the way to conquer and individual step could be understood completely different from one department to another. For example, the humanities department could interpret the need to improve literacy through the lessons by introducing more subject-based terminology and completing more literacy-based tasks, whereas, the English department may properly explore issues and set tasks to identify weak links within their literacy. These strategies both attempt to solve the issues of literacy use but in doing so in different ways, showcase different outcomes.  On the other hand, school X shares documents online that are accessible to all staff and departments, these documents include the 12 pedagogical principles including the literacy and numeracy targets and the digital competency framework and also includes a literacy plan and targets to achieve throughout the term or academic year. This workspace is called </w:t>
      </w:r>
      <w:r w:rsidRPr="00FC6D16">
        <w:rPr>
          <w:rFonts w:asciiTheme="minorHAnsi" w:hAnsiTheme="minorHAnsi" w:cstheme="minorHAnsi"/>
          <w:sz w:val="22"/>
          <w:szCs w:val="22"/>
        </w:rPr>
        <w:lastRenderedPageBreak/>
        <w:t xml:space="preserve">‘home access’ it can be used within the school surroundings or at a home environment, this can assist when planning lessons to incorporate literacy or when creating literacy-based activities. </w:t>
      </w:r>
    </w:p>
    <w:p w14:paraId="034E9D01"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School X’s school development plan is organised in the format of a flow chart, the ultimate goal or target is placed at the top and then the steps in order to achieve this target are placed below in boxes that are arranged in order of essentiality. The aim of this method of arrangement is to follow the list of goals from bottom to top, each goal or target that is completed is another step towards completing the ultimate goal of change. This method is easy to follow for staff at all levels and in all departments, and it clearly indicates and states the next steps to be completed. Literacy in terms of exam terminology and subject terminology is clear in both departmental and school improvement plans, to take on the issue at a school level, first, we must acknowledge the issues at departmental levels and strive to improve these before anything else. The one supports the other. The school’s improvement relies heavily on the improvement of the departmental issues, the small steps needed to move forward in the departmental progress has a huge impact on the progress and development of the school’s overall targets.</w:t>
      </w:r>
    </w:p>
    <w:p w14:paraId="79E9E250"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Literacy involvement and development within schools at all levels is crucial, despite position, department or task. Literacy should exist at the forefront of all staff’s minds when undergoing their daily teaching routines. “if the world was only 100 people, 14 of these could not read or write.” (Azouley, 2018)  The statistics around the lack of literacy knowledge and development within pupils before and during their progressive jump from primary to secondary ability is astronomical. Lack of development within literacy can be detrimental and/or damaging to an individual, it could affect school participation, confidence, and understanding. The importance of expanding the use of literacy within our schools is importance unable to stress. Literacy is a crucial step to be able to form and develop a child whilst equipping them with the knowledge and skills to be able to function in life outside of school walls. School X faces many literacy struggles across the board off departments. One example that crops up commonly within the Religious Education lessons is the failure to recognise God is addressed with a capital letter and failure to realise where a comma should exist within a sentence structure. This is something that should be taught at a lower level, capital letters and grammar are lessons that should have and can quite easily be taught at lower level education, yet it is a common practice among students in School X. </w:t>
      </w:r>
    </w:p>
    <w:p w14:paraId="1C9C04B0"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The literacy and numeracy framework were introduced within education in Wales for this specific reasoning. The literacy issues were deemed to be ‘falling behind’ and fast. The LNF was introduced in 2013 to try and ‘drive up standards in both numeracy and literacy’. It is targeted mainly at pupils </w:t>
      </w:r>
      <w:r w:rsidRPr="00FC6D16">
        <w:rPr>
          <w:rFonts w:asciiTheme="minorHAnsi" w:hAnsiTheme="minorHAnsi" w:cstheme="minorHAnsi"/>
          <w:sz w:val="22"/>
          <w:szCs w:val="22"/>
        </w:rPr>
        <w:lastRenderedPageBreak/>
        <w:t xml:space="preserve">aged between 5 and 14 following reports and collective data that suggested they were falling behind. Despite what it suggests, the literacy and numeracy framework was actually implemented as a guide for teachers and not students. It describes and explains how teachers can enhance their students learning by embedding both literacy and numeracy into all subjects. It is a framework designed to help teachers to be able to guide and help their own pupils. “The National Literacy and Numeracy Framework (LNF) set clear national expectations for the teaching of literacy and numeracy and will be a critically important driver of improvement.” (skills, 2015)  Within literacy, there are three key development goal categories. These are oracy, reading, and writing.   The LNF allows the teacher to develop not only their curriculum or subject content but to ensure that their pupils are able to develop accordingly and develop the skills within the LNF within their specific subject area. For example, school X constantly tries to shine a focus on the presentation of work to their peers or smaller groups within the class to increase levels of oracy within the class and to boost class moral, maturity and confidence. School X tries to include summary tasks, diary entries etc to help learners with self-attainment and allows the teacher to at the same time assess and report of individual progress and performance. These set tasks within lessons help to identify learners in the struggle zone and those learners who may benefit from extra help, and in the same way, may identify subject experts working at a much higher level than original expectancy. </w:t>
      </w:r>
    </w:p>
    <w:p w14:paraId="286C9474" w14:textId="77777777" w:rsidR="00FC6D16" w:rsidRPr="00FC6D16" w:rsidRDefault="00FC6D16" w:rsidP="00FC6D16">
      <w:pPr>
        <w:pStyle w:val="NormalWeb"/>
        <w:spacing w:line="360" w:lineRule="auto"/>
        <w:rPr>
          <w:rFonts w:asciiTheme="minorHAnsi" w:hAnsiTheme="minorHAnsi" w:cstheme="minorHAnsi"/>
          <w:sz w:val="22"/>
          <w:szCs w:val="22"/>
        </w:rPr>
      </w:pPr>
    </w:p>
    <w:p w14:paraId="6887E8AD"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School X has always had an extremely low free school meals (FSM) indicator, the school is situated in a very affluent area, it has always been around ‘3.6%’, that is until a few years ago. The school’s catchment area covers that of the affluent district but also a more Valleys-based area too. As school X has an exceeding reputation for high attainment and excellence, the school has received an extended number of applicants. The school’s FSM indicator spiked slightly after this recent intake of students, it is now recorded at around ‘7.6%’. (Estyn, 2018) The children’s affluent demographic shown by the ‘my local schools’ information and the recent Estyn report, which describes the low level of FSM within School X suggests a high level of student intake from other areas have affected the current level of parental school guidance and support. Suggesting that parent’s involvement and support of attainment is less when the distance between school and home is greater.  This then indicates that the level of support received in school needs to be greater and more continuous, in regard to, literacy levels and subject explanation. </w:t>
      </w:r>
    </w:p>
    <w:p w14:paraId="40F61A13" w14:textId="77777777" w:rsidR="00FC6D16" w:rsidRPr="00FC6D16" w:rsidRDefault="00FC6D16" w:rsidP="00FC6D16">
      <w:pPr>
        <w:pStyle w:val="NormalWeb"/>
        <w:spacing w:line="360" w:lineRule="auto"/>
        <w:rPr>
          <w:rFonts w:asciiTheme="minorHAnsi" w:hAnsiTheme="minorHAnsi" w:cstheme="minorHAnsi"/>
          <w:sz w:val="22"/>
          <w:szCs w:val="22"/>
        </w:rPr>
      </w:pPr>
    </w:p>
    <w:p w14:paraId="3C5333F4"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lastRenderedPageBreak/>
        <w:t>School X received a grade ‘good’ on its understanding and learning aspects of the inspection carried out by Estyn. School X is an exceptional facility that provides outstanding learning to the pupils it houses. As it features on the school improvement plan and also the departmental improvement plan, literacy is a clear area of improvement chosen by the staff themselves. By completing or even making strong steps towards this goal will offer vital benefit towards the end or ultimate goal proposed by the school. Small steps by those at department level e.g. literacy-based tests, tracking and monitoring pupil’s attainment levels, literacy-based activity within lessons, can make a tremendous difference in allowing the school to reach its eventual targets.</w:t>
      </w:r>
    </w:p>
    <w:p w14:paraId="5EFCE471" w14:textId="77777777" w:rsidR="00FC6D16" w:rsidRPr="00FC6D16" w:rsidRDefault="00FC6D16" w:rsidP="00FC6D16">
      <w:pPr>
        <w:pStyle w:val="NormalWeb"/>
        <w:spacing w:line="360" w:lineRule="auto"/>
        <w:rPr>
          <w:rFonts w:asciiTheme="minorHAnsi" w:hAnsiTheme="minorHAnsi" w:cstheme="minorHAnsi"/>
          <w:sz w:val="22"/>
          <w:szCs w:val="22"/>
        </w:rPr>
      </w:pPr>
    </w:p>
    <w:p w14:paraId="26D4A3DC"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Overall, School X is performing above average, and is hitting targets set well beyond its expectations. Although, the school’s performance in regard of its literacy improvement is stunted and in need of some encouragement. Estyn commented frequently in its report in 2018 on the quality of pupil literacy and work progression within literacy. It commented on “learners not writing to the appropriate levels of their audiences” (Estyn, 2018) suggesting that their levels of writing are underdeveloped in regard to their age and expected levels. In response to this, the first of many regular, weekly CPD sessions we receive after school, we met with the literacy coordinator and also the head of English department, to put in place conditions and terms of literacy of which our lessons had to try and include to strive to improve their individual literacy whilst also improving their subject terminology. We were also given exam terminology to use within the lessons to try and make the pupils more familiar with their upcoming exams in the future. </w:t>
      </w:r>
    </w:p>
    <w:p w14:paraId="469EFC79" w14:textId="77777777" w:rsidR="00FC6D16" w:rsidRPr="00FC6D16" w:rsidRDefault="00FC6D16" w:rsidP="00FC6D16">
      <w:pPr>
        <w:pStyle w:val="NormalWeb"/>
        <w:spacing w:line="360" w:lineRule="auto"/>
        <w:rPr>
          <w:rFonts w:asciiTheme="minorHAnsi" w:hAnsiTheme="minorHAnsi" w:cstheme="minorHAnsi"/>
          <w:sz w:val="22"/>
          <w:szCs w:val="22"/>
        </w:rPr>
      </w:pPr>
    </w:p>
    <w:p w14:paraId="5C4887B8"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Estyn also commented, on the pupil’s grammar, punctuation and suggested this was also underdeveloped. (Estyn, 2018) To try and put this right, and try to make vast improvements on this issue, there is now in place a new literacy marking policy within the 2018/2019 academic year. This not only sets aims and targets for the pupils within their literature and literacy formats but also keeps consistency within the school at an overall level and departmental level too. In addition to this, pupil assessment in School X is greatly applied within most lessons, this allows pupils to learn and mark at the same time and at the same levels, whilst understanding the lesson and the levels of attainment needed to improve. Within school X, after the pupils have completed literacy-based tasks within lessons, approximately 15-20 minutes is dedicated to having the pupils review their own or their learning partners work. This review of work is normally done individually but sometimes can be used beneficially in pairs or in this instance ‘learning partners’, as learning partners are grouped </w:t>
      </w:r>
      <w:r w:rsidRPr="00FC6D16">
        <w:rPr>
          <w:rFonts w:asciiTheme="minorHAnsi" w:hAnsiTheme="minorHAnsi" w:cstheme="minorHAnsi"/>
          <w:sz w:val="22"/>
          <w:szCs w:val="22"/>
        </w:rPr>
        <w:lastRenderedPageBreak/>
        <w:t xml:space="preserve">together in such ways to minimise disruption. School X introduces this way of marking and reviewing to the pupils as it puts them in charge of their own learning and progress within attainment. This links in with the Estyn key stage 3 interim report on the LNF.   Within this report, it said that the LNF “didn’t take off as expected” due to its quick introductions within schools, and teachers lack time to properly plan and prepare how to deliver this framework appropriately. </w:t>
      </w:r>
    </w:p>
    <w:p w14:paraId="658B8EE9" w14:textId="77777777" w:rsidR="00FC6D16" w:rsidRPr="00FC6D16" w:rsidRDefault="00FC6D16" w:rsidP="00FC6D16">
      <w:pPr>
        <w:pStyle w:val="NormalWeb"/>
        <w:spacing w:line="360" w:lineRule="auto"/>
        <w:rPr>
          <w:rFonts w:asciiTheme="minorHAnsi" w:hAnsiTheme="minorHAnsi" w:cstheme="minorHAnsi"/>
          <w:sz w:val="22"/>
          <w:szCs w:val="22"/>
        </w:rPr>
      </w:pPr>
    </w:p>
    <w:p w14:paraId="35F65E28"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However, the self and peer-assessment are not just handed over from teacher to pupil. The main responsibility still lies heavily with the teacher. The teacher is still in charge of explaining the terminology, methodology, and expectation of learning to the learners. There is guidance then set by school X for both teachers and learners in order to appropriately achieve the correct standards for peer-assessment and/or self-assessment. In order to assist with this, School X has implemented a success criteria to use as well as basic checklists and sentence structures. These allow both learner and teacher to comment on any work being done and to be able to constructively criticise and implement any further need of work or help. This not only allows children to take charge of their learning, but it also provides the pupils with essential skills e.g. taking criticism and being able to progress from it. Estyn made clear references to ‘acting on feedback appropriately’ (Estyn, 2018), the more proper and instructed feedback the children receive from their peers, themselves or their teachers, the more feedback they are able to fully act upon and progress from moving forward in their academic learning. </w:t>
      </w:r>
    </w:p>
    <w:p w14:paraId="4786F262" w14:textId="77777777" w:rsidR="00FC6D16" w:rsidRPr="00FC6D16" w:rsidRDefault="00FC6D16" w:rsidP="00FC6D16">
      <w:pPr>
        <w:pStyle w:val="NormalWeb"/>
        <w:spacing w:line="360" w:lineRule="auto"/>
        <w:rPr>
          <w:rFonts w:asciiTheme="minorHAnsi" w:hAnsiTheme="minorHAnsi" w:cstheme="minorHAnsi"/>
          <w:sz w:val="22"/>
          <w:szCs w:val="22"/>
        </w:rPr>
      </w:pPr>
    </w:p>
    <w:p w14:paraId="1F0D68E1"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Moving forward, initially, when the literacy and numeracy framework came into practice within a schooling environment, it caused much frustration and confusion amongst pupils and, more so, teaching staff.  Roe et al.,(2010) identifies how frustrating and difficult it was for teaching staff to be unsure of how to help their students, as they were unable to properly explain and teach the framework to them due to quickly implemented guidelines etc. There are a number of articles and independent studies that suggests teachers should be more involved within their pupil's learning and with developing their understanding in subject terminology and/or literacy.</w:t>
      </w:r>
    </w:p>
    <w:p w14:paraId="607D39F5" w14:textId="77777777" w:rsidR="00FC6D16" w:rsidRPr="00FC6D16" w:rsidRDefault="00FC6D16" w:rsidP="00FC6D16">
      <w:pPr>
        <w:pStyle w:val="NormalWeb"/>
        <w:spacing w:line="360" w:lineRule="auto"/>
        <w:rPr>
          <w:rFonts w:asciiTheme="minorHAnsi" w:hAnsiTheme="minorHAnsi" w:cstheme="minorHAnsi"/>
          <w:sz w:val="22"/>
          <w:szCs w:val="22"/>
        </w:rPr>
      </w:pPr>
    </w:p>
    <w:p w14:paraId="3F254B03"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The issues this paper was set out to discuss were the cruciality of trying to incorporate literature correctly into mainstream lesson.  After researching the topic thoroughly, and consorting with staff </w:t>
      </w:r>
      <w:r w:rsidRPr="00FC6D16">
        <w:rPr>
          <w:rFonts w:asciiTheme="minorHAnsi" w:hAnsiTheme="minorHAnsi" w:cstheme="minorHAnsi"/>
          <w:sz w:val="22"/>
          <w:szCs w:val="22"/>
        </w:rPr>
        <w:lastRenderedPageBreak/>
        <w:t>within School X, there are several outcomes to be considered for moving forward with this topic. One main topic of discussion that was brought to attention several times, was the problems with assumption. Do not assume that pupils within School X have been applied with the literacy knowledge and capabilities in primary school that is needed to complete work at a key stage 3 level. Not all pupils make that jump between primary and secondary, some need extra scaffolding and support when they arrive at secondary school. Within a departmental lesson, the struggles within religious education are focussed on the literacy involved with subject terminology, so the proper titles of specific religion-based topics and/or its teachings. To move forward with this issue, the use of literacy placemats would be extremely beneficial. When learning about specific religions or religious festivals or texts, for example, the use of placemats with sentences structures, literacy phrases, and correct descriptive terms. These placemats promote the crucial thinking skills that would benefit not only the children but the educator also, allows pupils to work on their reading and development skills as well as practicing oracy with the use of placemats in group work. ‘These crucial thinking skills are the basic needs and a structured basis of literature. ‘ (School, 2019)  This placemat would provide extended knowledge for the pupils which they would be able to continue at home, in their free time at school and within their lessons.</w:t>
      </w:r>
    </w:p>
    <w:p w14:paraId="14BB9838"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Furthermore, another key area for progression is the appropriate use of teacher comments, there needs to be a stronger focus moving forward on making teacher comments in subject books with more teacher comments. Giving students regular feedback and providing them with meaningful feedback and constructively critical comments during the classroom, has been proven to boost their individual learning needs and therefore improve the overall student outcome. When given appropriate teacher-led feedback, it allows guidance for that individual within their entire learning process and allows them to spot and acknowledge the direction in which they need to achieve within their studies. </w:t>
      </w:r>
    </w:p>
    <w:p w14:paraId="7BCB65EC" w14:textId="77777777" w:rsidR="00FC6D16" w:rsidRPr="00FC6D16" w:rsidRDefault="00FC6D16" w:rsidP="00FC6D16">
      <w:pPr>
        <w:pStyle w:val="NormalWeb"/>
        <w:spacing w:line="360" w:lineRule="auto"/>
        <w:rPr>
          <w:rFonts w:asciiTheme="minorHAnsi" w:hAnsiTheme="minorHAnsi" w:cstheme="minorHAnsi"/>
          <w:sz w:val="22"/>
          <w:szCs w:val="22"/>
        </w:rPr>
      </w:pPr>
    </w:p>
    <w:p w14:paraId="4511F6CF" w14:textId="77777777" w:rsidR="00FC6D16" w:rsidRPr="00FC6D16" w:rsidRDefault="00FC6D16" w:rsidP="00FC6D16">
      <w:pPr>
        <w:pStyle w:val="NormalWeb"/>
        <w:spacing w:line="360" w:lineRule="auto"/>
        <w:rPr>
          <w:rFonts w:asciiTheme="minorHAnsi" w:hAnsiTheme="minorHAnsi" w:cstheme="minorHAnsi"/>
          <w:sz w:val="22"/>
          <w:szCs w:val="22"/>
        </w:rPr>
      </w:pPr>
    </w:p>
    <w:p w14:paraId="5D364893" w14:textId="77777777" w:rsidR="00FC6D16" w:rsidRPr="00FC6D16" w:rsidRDefault="00FC6D16" w:rsidP="00FC6D16">
      <w:pPr>
        <w:pStyle w:val="NormalWeb"/>
        <w:spacing w:line="360" w:lineRule="auto"/>
        <w:rPr>
          <w:rFonts w:asciiTheme="minorHAnsi" w:hAnsiTheme="minorHAnsi" w:cstheme="minorHAnsi"/>
          <w:sz w:val="22"/>
          <w:szCs w:val="22"/>
        </w:rPr>
      </w:pPr>
    </w:p>
    <w:p w14:paraId="068B2664" w14:textId="77777777" w:rsidR="00FC6D16" w:rsidRPr="00FC6D16" w:rsidRDefault="00FC6D16" w:rsidP="00FC6D16">
      <w:pPr>
        <w:pStyle w:val="NormalWeb"/>
        <w:spacing w:line="360" w:lineRule="auto"/>
        <w:rPr>
          <w:rFonts w:asciiTheme="minorHAnsi" w:hAnsiTheme="minorHAnsi" w:cstheme="minorHAnsi"/>
          <w:sz w:val="22"/>
          <w:szCs w:val="22"/>
        </w:rPr>
      </w:pPr>
    </w:p>
    <w:p w14:paraId="234C8EE4" w14:textId="77777777" w:rsidR="00FC6D16" w:rsidRPr="00FC6D16" w:rsidRDefault="00FC6D16" w:rsidP="00FC6D16">
      <w:pPr>
        <w:pStyle w:val="NormalWeb"/>
        <w:spacing w:line="360" w:lineRule="auto"/>
        <w:rPr>
          <w:rFonts w:asciiTheme="minorHAnsi" w:hAnsiTheme="minorHAnsi" w:cstheme="minorHAnsi"/>
          <w:sz w:val="22"/>
          <w:szCs w:val="22"/>
        </w:rPr>
      </w:pPr>
    </w:p>
    <w:p w14:paraId="6703D494" w14:textId="77777777" w:rsidR="00FC6D16" w:rsidRPr="00FC6D16" w:rsidRDefault="00FC6D16" w:rsidP="00FC6D16">
      <w:pPr>
        <w:pStyle w:val="NormalWeb"/>
        <w:spacing w:line="360" w:lineRule="auto"/>
        <w:rPr>
          <w:rFonts w:asciiTheme="minorHAnsi" w:hAnsiTheme="minorHAnsi" w:cstheme="minorHAnsi"/>
          <w:sz w:val="22"/>
          <w:szCs w:val="22"/>
        </w:rPr>
      </w:pPr>
    </w:p>
    <w:p w14:paraId="18FF13C7"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lastRenderedPageBreak/>
        <w:t>References</w:t>
      </w:r>
    </w:p>
    <w:p w14:paraId="0CA673E4"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Estyn: Literacy in key stage 3: An interim report. Cardiff. Estyn </w:t>
      </w:r>
    </w:p>
    <w:p w14:paraId="68B8A6F3"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Hill T, Westbrook R, Long Range Planning, SWOT ANALYSIS: time for a recall, Elsvier, London, February 1997.</w:t>
      </w:r>
    </w:p>
    <w:p w14:paraId="0EE9B02A"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Knight J, Strategic planning for School Managers, Kogan Page Publishing, London, 1997.</w:t>
      </w:r>
    </w:p>
    <w:p w14:paraId="361806B6"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Mintzbery, H, The Rise and Fall of Strategic Planning, Prentice Hall Publishing, New York, London, 1994 </w:t>
      </w:r>
    </w:p>
    <w:p w14:paraId="52C64A95"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Mintzbery, H, The Rise and Fall of Strategic Planning, Prentice Hall Publishing, New York, London, 1994</w:t>
      </w:r>
    </w:p>
    <w:p w14:paraId="1C28277F"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Rutherford, C, Planning to Change: Strategic Planning and comprehensive School Reform, ILPublishing, Chicago, April 9, 2007.</w:t>
      </w:r>
    </w:p>
    <w:p w14:paraId="4B800628"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w:t>
      </w:r>
    </w:p>
    <w:p w14:paraId="09791044"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https://wynnumss.eq.edu.au/Curriculum/Teachingandlearning/Pages/Literacy-placemat.aspx</w:t>
      </w:r>
    </w:p>
    <w:p w14:paraId="0471AB1E"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https://cirt.gcu.edu/teaching3/tips/effectivefeed</w:t>
      </w:r>
    </w:p>
    <w:p w14:paraId="17BE4A09"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http://mylocalschool.wales.gov.uk/School/6664024?lang=en</w:t>
      </w:r>
    </w:p>
    <w:p w14:paraId="7A2AEE38"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https://gov.wales/about/cabinet/cabinetstatements/previous-administration/2012/literacynumeracy/?lang=en </w:t>
      </w:r>
    </w:p>
    <w:p w14:paraId="5C01C7F6"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http://learning.gov.wales/resources/browse-all/nlnf/?lang=en </w:t>
      </w:r>
    </w:p>
    <w:p w14:paraId="4B611EAE"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https://www.bridgeinternationalacademies.com/literacy-and-education/ </w:t>
      </w:r>
    </w:p>
    <w:p w14:paraId="67E2CBC8"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https://www.envisio.com/blog/7-reasons-schools-need-strategic-planning </w:t>
      </w:r>
    </w:p>
    <w:p w14:paraId="02B097F1"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www.businessdictionary.com </w:t>
      </w:r>
    </w:p>
    <w:p w14:paraId="4BC1BBB0"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www.estyn.gov.uk </w:t>
      </w:r>
    </w:p>
    <w:p w14:paraId="624A1F30" w14:textId="77777777" w:rsidR="00FC6D16" w:rsidRPr="00FC6D16" w:rsidRDefault="00FC6D16" w:rsidP="00FC6D16">
      <w:pPr>
        <w:pStyle w:val="NormalWeb"/>
        <w:spacing w:line="360" w:lineRule="auto"/>
        <w:rPr>
          <w:rFonts w:asciiTheme="minorHAnsi" w:hAnsiTheme="minorHAnsi" w:cstheme="minorHAnsi"/>
          <w:sz w:val="22"/>
          <w:szCs w:val="22"/>
        </w:rPr>
      </w:pPr>
      <w:r w:rsidRPr="00FC6D16">
        <w:rPr>
          <w:rFonts w:asciiTheme="minorHAnsi" w:hAnsiTheme="minorHAnsi" w:cstheme="minorHAnsi"/>
          <w:sz w:val="22"/>
          <w:szCs w:val="22"/>
        </w:rPr>
        <w:t xml:space="preserve">-    www.estyn.gov.uk </w:t>
      </w:r>
    </w:p>
    <w:p w14:paraId="509B5385" w14:textId="77777777" w:rsidR="00FC6D16" w:rsidRPr="00FC6D16" w:rsidRDefault="00FC6D16" w:rsidP="00FC6D16">
      <w:pPr>
        <w:pStyle w:val="NormalWeb"/>
        <w:spacing w:line="360" w:lineRule="auto"/>
        <w:rPr>
          <w:rFonts w:asciiTheme="minorHAnsi" w:hAnsiTheme="minorHAnsi" w:cstheme="minorHAnsi"/>
          <w:sz w:val="22"/>
          <w:szCs w:val="22"/>
        </w:rPr>
      </w:pPr>
    </w:p>
    <w:p w14:paraId="4A2D2A4F" w14:textId="51895B9D" w:rsidR="008D172F" w:rsidRPr="008D172F" w:rsidRDefault="008D172F" w:rsidP="00EA42CA">
      <w:pPr>
        <w:pStyle w:val="NormalWeb"/>
        <w:spacing w:line="360" w:lineRule="auto"/>
        <w:rPr>
          <w:rFonts w:asciiTheme="minorHAnsi" w:hAnsiTheme="minorHAnsi" w:cstheme="minorHAnsi"/>
          <w:sz w:val="22"/>
          <w:szCs w:val="22"/>
        </w:rPr>
      </w:pPr>
    </w:p>
    <w:p w14:paraId="5C2EF2C0" w14:textId="4A17EFF1" w:rsidR="00BD3567" w:rsidRDefault="00BD3567" w:rsidP="00D25DED">
      <w:pPr>
        <w:pStyle w:val="Default"/>
        <w:spacing w:line="360" w:lineRule="auto"/>
        <w:rPr>
          <w:rFonts w:asciiTheme="minorHAnsi" w:hAnsiTheme="minorHAnsi" w:cstheme="minorHAnsi"/>
          <w:sz w:val="22"/>
          <w:szCs w:val="22"/>
        </w:rPr>
      </w:pPr>
    </w:p>
    <w:p w14:paraId="583DA248" w14:textId="77777777" w:rsidR="007750AE" w:rsidRDefault="00784FCB"/>
    <w:sectPr w:rsidR="007750AE" w:rsidSect="00E5794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AB59A" w14:textId="77777777" w:rsidR="00784FCB" w:rsidRDefault="00784FCB" w:rsidP="00CC748C">
      <w:r>
        <w:separator/>
      </w:r>
    </w:p>
  </w:endnote>
  <w:endnote w:type="continuationSeparator" w:id="0">
    <w:p w14:paraId="4CEA80D1" w14:textId="77777777" w:rsidR="00784FCB" w:rsidRDefault="00784FCB" w:rsidP="00CC7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7AE9F" w14:textId="77777777" w:rsidR="00784FCB" w:rsidRDefault="00784FCB" w:rsidP="00CC748C">
      <w:r>
        <w:separator/>
      </w:r>
    </w:p>
  </w:footnote>
  <w:footnote w:type="continuationSeparator" w:id="0">
    <w:p w14:paraId="5B81BF34" w14:textId="77777777" w:rsidR="00784FCB" w:rsidRDefault="00784FCB" w:rsidP="00CC7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7C67858"/>
    <w:multiLevelType w:val="hybridMultilevel"/>
    <w:tmpl w:val="BAEC6254"/>
    <w:lvl w:ilvl="0" w:tplc="D62E589C">
      <w:start w:val="2"/>
      <w:numFmt w:val="bullet"/>
      <w:lvlText w:val="-"/>
      <w:lvlJc w:val="left"/>
      <w:pPr>
        <w:ind w:left="720" w:hanging="360"/>
      </w:pPr>
      <w:rPr>
        <w:rFonts w:ascii="Times New Roman" w:eastAsia="Times New Roman" w:hAnsi="Times New Roman" w:cs="Times New Roman" w:hint="default"/>
        <w:color w:val="auto"/>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DDF"/>
    <w:rsid w:val="000146F6"/>
    <w:rsid w:val="0004417F"/>
    <w:rsid w:val="000546EF"/>
    <w:rsid w:val="000A1D41"/>
    <w:rsid w:val="000C6667"/>
    <w:rsid w:val="000E1B43"/>
    <w:rsid w:val="000E5B64"/>
    <w:rsid w:val="00125BF4"/>
    <w:rsid w:val="00143DEF"/>
    <w:rsid w:val="00154C09"/>
    <w:rsid w:val="00155F18"/>
    <w:rsid w:val="001745B3"/>
    <w:rsid w:val="00186F61"/>
    <w:rsid w:val="00190B3F"/>
    <w:rsid w:val="00191291"/>
    <w:rsid w:val="00196738"/>
    <w:rsid w:val="001A5A5A"/>
    <w:rsid w:val="001B7BA6"/>
    <w:rsid w:val="001E1438"/>
    <w:rsid w:val="00205F2E"/>
    <w:rsid w:val="00233EE4"/>
    <w:rsid w:val="00246DD5"/>
    <w:rsid w:val="0026459B"/>
    <w:rsid w:val="002A4BF6"/>
    <w:rsid w:val="002C18F0"/>
    <w:rsid w:val="002C72C6"/>
    <w:rsid w:val="002F1FD7"/>
    <w:rsid w:val="002F29CE"/>
    <w:rsid w:val="00327DBA"/>
    <w:rsid w:val="00364265"/>
    <w:rsid w:val="003A355E"/>
    <w:rsid w:val="00433A03"/>
    <w:rsid w:val="0043401E"/>
    <w:rsid w:val="00455AF4"/>
    <w:rsid w:val="00494181"/>
    <w:rsid w:val="004943D6"/>
    <w:rsid w:val="004D430C"/>
    <w:rsid w:val="004F7EC0"/>
    <w:rsid w:val="00526CCD"/>
    <w:rsid w:val="005530E0"/>
    <w:rsid w:val="005E1CA1"/>
    <w:rsid w:val="005F6038"/>
    <w:rsid w:val="00611AC2"/>
    <w:rsid w:val="00623EA9"/>
    <w:rsid w:val="0068363D"/>
    <w:rsid w:val="00691483"/>
    <w:rsid w:val="00694692"/>
    <w:rsid w:val="00717EB1"/>
    <w:rsid w:val="00734F3F"/>
    <w:rsid w:val="00746B41"/>
    <w:rsid w:val="00747FB7"/>
    <w:rsid w:val="0076453D"/>
    <w:rsid w:val="00784FCB"/>
    <w:rsid w:val="007B2D67"/>
    <w:rsid w:val="007B6889"/>
    <w:rsid w:val="00805884"/>
    <w:rsid w:val="00843627"/>
    <w:rsid w:val="008739CB"/>
    <w:rsid w:val="008849BD"/>
    <w:rsid w:val="008A38D7"/>
    <w:rsid w:val="008D172F"/>
    <w:rsid w:val="008D6627"/>
    <w:rsid w:val="008E420C"/>
    <w:rsid w:val="009460C2"/>
    <w:rsid w:val="009556E7"/>
    <w:rsid w:val="0095744F"/>
    <w:rsid w:val="00975ECE"/>
    <w:rsid w:val="00991AD5"/>
    <w:rsid w:val="009D5F92"/>
    <w:rsid w:val="009F5D8F"/>
    <w:rsid w:val="00A26DDF"/>
    <w:rsid w:val="00A51D89"/>
    <w:rsid w:val="00A60F7E"/>
    <w:rsid w:val="00A833E8"/>
    <w:rsid w:val="00AF69BE"/>
    <w:rsid w:val="00B0394F"/>
    <w:rsid w:val="00B1652F"/>
    <w:rsid w:val="00B354A8"/>
    <w:rsid w:val="00B45DA5"/>
    <w:rsid w:val="00B61C7A"/>
    <w:rsid w:val="00B632B7"/>
    <w:rsid w:val="00B837C8"/>
    <w:rsid w:val="00B96ABE"/>
    <w:rsid w:val="00BA7194"/>
    <w:rsid w:val="00BD269C"/>
    <w:rsid w:val="00BD3567"/>
    <w:rsid w:val="00BE3E52"/>
    <w:rsid w:val="00BF4285"/>
    <w:rsid w:val="00BF76C4"/>
    <w:rsid w:val="00C125F2"/>
    <w:rsid w:val="00C82537"/>
    <w:rsid w:val="00CC748C"/>
    <w:rsid w:val="00D055F2"/>
    <w:rsid w:val="00D10967"/>
    <w:rsid w:val="00D14B00"/>
    <w:rsid w:val="00D25DED"/>
    <w:rsid w:val="00D31056"/>
    <w:rsid w:val="00D3142C"/>
    <w:rsid w:val="00D433DE"/>
    <w:rsid w:val="00DA4C46"/>
    <w:rsid w:val="00DB52D0"/>
    <w:rsid w:val="00E0092E"/>
    <w:rsid w:val="00E01968"/>
    <w:rsid w:val="00E1569F"/>
    <w:rsid w:val="00E25105"/>
    <w:rsid w:val="00E5794D"/>
    <w:rsid w:val="00EA21D6"/>
    <w:rsid w:val="00EA42CA"/>
    <w:rsid w:val="00EA55F0"/>
    <w:rsid w:val="00EB7867"/>
    <w:rsid w:val="00EC7A13"/>
    <w:rsid w:val="00F2169F"/>
    <w:rsid w:val="00F23220"/>
    <w:rsid w:val="00F81BA5"/>
    <w:rsid w:val="00F86355"/>
    <w:rsid w:val="00F86E70"/>
    <w:rsid w:val="00FA1727"/>
    <w:rsid w:val="00FA6EF9"/>
    <w:rsid w:val="00FA7008"/>
    <w:rsid w:val="00FB528C"/>
    <w:rsid w:val="00FC6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0779A5"/>
  <w15:chartTrackingRefBased/>
  <w15:docId w15:val="{E43D49E9-1367-1A41-913E-84C2A8A30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6DDF"/>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26DDF"/>
    <w:pPr>
      <w:autoSpaceDE w:val="0"/>
      <w:autoSpaceDN w:val="0"/>
      <w:adjustRightInd w:val="0"/>
    </w:pPr>
    <w:rPr>
      <w:rFonts w:ascii="Arial" w:hAnsi="Arial" w:cs="Arial"/>
      <w:color w:val="000000"/>
    </w:rPr>
  </w:style>
  <w:style w:type="paragraph" w:styleId="FootnoteText">
    <w:name w:val="footnote text"/>
    <w:basedOn w:val="Normal"/>
    <w:link w:val="FootnoteTextChar"/>
    <w:uiPriority w:val="99"/>
    <w:unhideWhenUsed/>
    <w:rsid w:val="00CC748C"/>
  </w:style>
  <w:style w:type="character" w:customStyle="1" w:styleId="FootnoteTextChar">
    <w:name w:val="Footnote Text Char"/>
    <w:basedOn w:val="DefaultParagraphFont"/>
    <w:link w:val="FootnoteText"/>
    <w:uiPriority w:val="99"/>
    <w:rsid w:val="00CC748C"/>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C748C"/>
    <w:rPr>
      <w:vertAlign w:val="superscript"/>
    </w:rPr>
  </w:style>
  <w:style w:type="character" w:styleId="Hyperlink">
    <w:name w:val="Hyperlink"/>
    <w:basedOn w:val="DefaultParagraphFont"/>
    <w:uiPriority w:val="99"/>
    <w:unhideWhenUsed/>
    <w:rsid w:val="00CC748C"/>
    <w:rPr>
      <w:color w:val="0563C1" w:themeColor="hyperlink"/>
      <w:u w:val="single"/>
    </w:rPr>
  </w:style>
  <w:style w:type="character" w:styleId="UnresolvedMention">
    <w:name w:val="Unresolved Mention"/>
    <w:basedOn w:val="DefaultParagraphFont"/>
    <w:uiPriority w:val="99"/>
    <w:semiHidden/>
    <w:unhideWhenUsed/>
    <w:rsid w:val="00CC748C"/>
    <w:rPr>
      <w:color w:val="605E5C"/>
      <w:shd w:val="clear" w:color="auto" w:fill="E1DFDD"/>
    </w:rPr>
  </w:style>
  <w:style w:type="paragraph" w:styleId="NormalWeb">
    <w:name w:val="Normal (Web)"/>
    <w:basedOn w:val="Normal"/>
    <w:uiPriority w:val="99"/>
    <w:unhideWhenUsed/>
    <w:rsid w:val="00D25DED"/>
    <w:pPr>
      <w:spacing w:before="100" w:beforeAutospacing="1" w:after="100" w:afterAutospacing="1"/>
    </w:pPr>
    <w:rPr>
      <w:sz w:val="24"/>
      <w:szCs w:val="24"/>
      <w:lang w:eastAsia="en-US"/>
    </w:rPr>
  </w:style>
  <w:style w:type="character" w:customStyle="1" w:styleId="apple-converted-space">
    <w:name w:val="apple-converted-space"/>
    <w:basedOn w:val="DefaultParagraphFont"/>
    <w:rsid w:val="00125BF4"/>
  </w:style>
  <w:style w:type="paragraph" w:styleId="ListParagraph">
    <w:name w:val="List Paragraph"/>
    <w:basedOn w:val="Normal"/>
    <w:uiPriority w:val="34"/>
    <w:qFormat/>
    <w:rsid w:val="000C6667"/>
    <w:pPr>
      <w:ind w:left="720"/>
      <w:contextualSpacing/>
    </w:pPr>
  </w:style>
  <w:style w:type="character" w:styleId="FollowedHyperlink">
    <w:name w:val="FollowedHyperlink"/>
    <w:basedOn w:val="DefaultParagraphFont"/>
    <w:uiPriority w:val="99"/>
    <w:semiHidden/>
    <w:unhideWhenUsed/>
    <w:rsid w:val="000C66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1316">
      <w:bodyDiv w:val="1"/>
      <w:marLeft w:val="0"/>
      <w:marRight w:val="0"/>
      <w:marTop w:val="0"/>
      <w:marBottom w:val="0"/>
      <w:divBdr>
        <w:top w:val="none" w:sz="0" w:space="0" w:color="auto"/>
        <w:left w:val="none" w:sz="0" w:space="0" w:color="auto"/>
        <w:bottom w:val="none" w:sz="0" w:space="0" w:color="auto"/>
        <w:right w:val="none" w:sz="0" w:space="0" w:color="auto"/>
      </w:divBdr>
      <w:divsChild>
        <w:div w:id="1469470449">
          <w:marLeft w:val="0"/>
          <w:marRight w:val="0"/>
          <w:marTop w:val="0"/>
          <w:marBottom w:val="0"/>
          <w:divBdr>
            <w:top w:val="none" w:sz="0" w:space="0" w:color="auto"/>
            <w:left w:val="none" w:sz="0" w:space="0" w:color="auto"/>
            <w:bottom w:val="none" w:sz="0" w:space="0" w:color="auto"/>
            <w:right w:val="none" w:sz="0" w:space="0" w:color="auto"/>
          </w:divBdr>
          <w:divsChild>
            <w:div w:id="570846591">
              <w:marLeft w:val="0"/>
              <w:marRight w:val="0"/>
              <w:marTop w:val="0"/>
              <w:marBottom w:val="0"/>
              <w:divBdr>
                <w:top w:val="none" w:sz="0" w:space="0" w:color="auto"/>
                <w:left w:val="none" w:sz="0" w:space="0" w:color="auto"/>
                <w:bottom w:val="none" w:sz="0" w:space="0" w:color="auto"/>
                <w:right w:val="none" w:sz="0" w:space="0" w:color="auto"/>
              </w:divBdr>
              <w:divsChild>
                <w:div w:id="179395591">
                  <w:marLeft w:val="0"/>
                  <w:marRight w:val="0"/>
                  <w:marTop w:val="0"/>
                  <w:marBottom w:val="0"/>
                  <w:divBdr>
                    <w:top w:val="none" w:sz="0" w:space="0" w:color="auto"/>
                    <w:left w:val="none" w:sz="0" w:space="0" w:color="auto"/>
                    <w:bottom w:val="none" w:sz="0" w:space="0" w:color="auto"/>
                    <w:right w:val="none" w:sz="0" w:space="0" w:color="auto"/>
                  </w:divBdr>
                  <w:divsChild>
                    <w:div w:id="21088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3785">
      <w:bodyDiv w:val="1"/>
      <w:marLeft w:val="0"/>
      <w:marRight w:val="0"/>
      <w:marTop w:val="0"/>
      <w:marBottom w:val="0"/>
      <w:divBdr>
        <w:top w:val="none" w:sz="0" w:space="0" w:color="auto"/>
        <w:left w:val="none" w:sz="0" w:space="0" w:color="auto"/>
        <w:bottom w:val="none" w:sz="0" w:space="0" w:color="auto"/>
        <w:right w:val="none" w:sz="0" w:space="0" w:color="auto"/>
      </w:divBdr>
    </w:div>
    <w:div w:id="114688684">
      <w:bodyDiv w:val="1"/>
      <w:marLeft w:val="0"/>
      <w:marRight w:val="0"/>
      <w:marTop w:val="0"/>
      <w:marBottom w:val="0"/>
      <w:divBdr>
        <w:top w:val="none" w:sz="0" w:space="0" w:color="auto"/>
        <w:left w:val="none" w:sz="0" w:space="0" w:color="auto"/>
        <w:bottom w:val="none" w:sz="0" w:space="0" w:color="auto"/>
        <w:right w:val="none" w:sz="0" w:space="0" w:color="auto"/>
      </w:divBdr>
    </w:div>
    <w:div w:id="302586767">
      <w:bodyDiv w:val="1"/>
      <w:marLeft w:val="0"/>
      <w:marRight w:val="0"/>
      <w:marTop w:val="0"/>
      <w:marBottom w:val="0"/>
      <w:divBdr>
        <w:top w:val="none" w:sz="0" w:space="0" w:color="auto"/>
        <w:left w:val="none" w:sz="0" w:space="0" w:color="auto"/>
        <w:bottom w:val="none" w:sz="0" w:space="0" w:color="auto"/>
        <w:right w:val="none" w:sz="0" w:space="0" w:color="auto"/>
      </w:divBdr>
    </w:div>
    <w:div w:id="313529517">
      <w:bodyDiv w:val="1"/>
      <w:marLeft w:val="0"/>
      <w:marRight w:val="0"/>
      <w:marTop w:val="0"/>
      <w:marBottom w:val="0"/>
      <w:divBdr>
        <w:top w:val="none" w:sz="0" w:space="0" w:color="auto"/>
        <w:left w:val="none" w:sz="0" w:space="0" w:color="auto"/>
        <w:bottom w:val="none" w:sz="0" w:space="0" w:color="auto"/>
        <w:right w:val="none" w:sz="0" w:space="0" w:color="auto"/>
      </w:divBdr>
    </w:div>
    <w:div w:id="402022155">
      <w:bodyDiv w:val="1"/>
      <w:marLeft w:val="0"/>
      <w:marRight w:val="0"/>
      <w:marTop w:val="0"/>
      <w:marBottom w:val="0"/>
      <w:divBdr>
        <w:top w:val="none" w:sz="0" w:space="0" w:color="auto"/>
        <w:left w:val="none" w:sz="0" w:space="0" w:color="auto"/>
        <w:bottom w:val="none" w:sz="0" w:space="0" w:color="auto"/>
        <w:right w:val="none" w:sz="0" w:space="0" w:color="auto"/>
      </w:divBdr>
    </w:div>
    <w:div w:id="442655646">
      <w:bodyDiv w:val="1"/>
      <w:marLeft w:val="0"/>
      <w:marRight w:val="0"/>
      <w:marTop w:val="0"/>
      <w:marBottom w:val="0"/>
      <w:divBdr>
        <w:top w:val="none" w:sz="0" w:space="0" w:color="auto"/>
        <w:left w:val="none" w:sz="0" w:space="0" w:color="auto"/>
        <w:bottom w:val="none" w:sz="0" w:space="0" w:color="auto"/>
        <w:right w:val="none" w:sz="0" w:space="0" w:color="auto"/>
      </w:divBdr>
    </w:div>
    <w:div w:id="462187830">
      <w:bodyDiv w:val="1"/>
      <w:marLeft w:val="0"/>
      <w:marRight w:val="0"/>
      <w:marTop w:val="0"/>
      <w:marBottom w:val="0"/>
      <w:divBdr>
        <w:top w:val="none" w:sz="0" w:space="0" w:color="auto"/>
        <w:left w:val="none" w:sz="0" w:space="0" w:color="auto"/>
        <w:bottom w:val="none" w:sz="0" w:space="0" w:color="auto"/>
        <w:right w:val="none" w:sz="0" w:space="0" w:color="auto"/>
      </w:divBdr>
    </w:div>
    <w:div w:id="530384722">
      <w:bodyDiv w:val="1"/>
      <w:marLeft w:val="0"/>
      <w:marRight w:val="0"/>
      <w:marTop w:val="0"/>
      <w:marBottom w:val="0"/>
      <w:divBdr>
        <w:top w:val="none" w:sz="0" w:space="0" w:color="auto"/>
        <w:left w:val="none" w:sz="0" w:space="0" w:color="auto"/>
        <w:bottom w:val="none" w:sz="0" w:space="0" w:color="auto"/>
        <w:right w:val="none" w:sz="0" w:space="0" w:color="auto"/>
      </w:divBdr>
    </w:div>
    <w:div w:id="550993664">
      <w:bodyDiv w:val="1"/>
      <w:marLeft w:val="0"/>
      <w:marRight w:val="0"/>
      <w:marTop w:val="0"/>
      <w:marBottom w:val="0"/>
      <w:divBdr>
        <w:top w:val="none" w:sz="0" w:space="0" w:color="auto"/>
        <w:left w:val="none" w:sz="0" w:space="0" w:color="auto"/>
        <w:bottom w:val="none" w:sz="0" w:space="0" w:color="auto"/>
        <w:right w:val="none" w:sz="0" w:space="0" w:color="auto"/>
      </w:divBdr>
    </w:div>
    <w:div w:id="622660065">
      <w:bodyDiv w:val="1"/>
      <w:marLeft w:val="0"/>
      <w:marRight w:val="0"/>
      <w:marTop w:val="0"/>
      <w:marBottom w:val="0"/>
      <w:divBdr>
        <w:top w:val="none" w:sz="0" w:space="0" w:color="auto"/>
        <w:left w:val="none" w:sz="0" w:space="0" w:color="auto"/>
        <w:bottom w:val="none" w:sz="0" w:space="0" w:color="auto"/>
        <w:right w:val="none" w:sz="0" w:space="0" w:color="auto"/>
      </w:divBdr>
      <w:divsChild>
        <w:div w:id="1345086525">
          <w:marLeft w:val="0"/>
          <w:marRight w:val="0"/>
          <w:marTop w:val="0"/>
          <w:marBottom w:val="0"/>
          <w:divBdr>
            <w:top w:val="none" w:sz="0" w:space="0" w:color="auto"/>
            <w:left w:val="none" w:sz="0" w:space="0" w:color="auto"/>
            <w:bottom w:val="none" w:sz="0" w:space="0" w:color="auto"/>
            <w:right w:val="none" w:sz="0" w:space="0" w:color="auto"/>
          </w:divBdr>
          <w:divsChild>
            <w:div w:id="310791646">
              <w:marLeft w:val="0"/>
              <w:marRight w:val="0"/>
              <w:marTop w:val="0"/>
              <w:marBottom w:val="0"/>
              <w:divBdr>
                <w:top w:val="none" w:sz="0" w:space="0" w:color="auto"/>
                <w:left w:val="none" w:sz="0" w:space="0" w:color="auto"/>
                <w:bottom w:val="none" w:sz="0" w:space="0" w:color="auto"/>
                <w:right w:val="none" w:sz="0" w:space="0" w:color="auto"/>
              </w:divBdr>
              <w:divsChild>
                <w:div w:id="203877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849726">
      <w:bodyDiv w:val="1"/>
      <w:marLeft w:val="0"/>
      <w:marRight w:val="0"/>
      <w:marTop w:val="0"/>
      <w:marBottom w:val="0"/>
      <w:divBdr>
        <w:top w:val="none" w:sz="0" w:space="0" w:color="auto"/>
        <w:left w:val="none" w:sz="0" w:space="0" w:color="auto"/>
        <w:bottom w:val="none" w:sz="0" w:space="0" w:color="auto"/>
        <w:right w:val="none" w:sz="0" w:space="0" w:color="auto"/>
      </w:divBdr>
    </w:div>
    <w:div w:id="689796002">
      <w:bodyDiv w:val="1"/>
      <w:marLeft w:val="0"/>
      <w:marRight w:val="0"/>
      <w:marTop w:val="0"/>
      <w:marBottom w:val="0"/>
      <w:divBdr>
        <w:top w:val="none" w:sz="0" w:space="0" w:color="auto"/>
        <w:left w:val="none" w:sz="0" w:space="0" w:color="auto"/>
        <w:bottom w:val="none" w:sz="0" w:space="0" w:color="auto"/>
        <w:right w:val="none" w:sz="0" w:space="0" w:color="auto"/>
      </w:divBdr>
    </w:div>
    <w:div w:id="730662498">
      <w:bodyDiv w:val="1"/>
      <w:marLeft w:val="0"/>
      <w:marRight w:val="0"/>
      <w:marTop w:val="0"/>
      <w:marBottom w:val="0"/>
      <w:divBdr>
        <w:top w:val="none" w:sz="0" w:space="0" w:color="auto"/>
        <w:left w:val="none" w:sz="0" w:space="0" w:color="auto"/>
        <w:bottom w:val="none" w:sz="0" w:space="0" w:color="auto"/>
        <w:right w:val="none" w:sz="0" w:space="0" w:color="auto"/>
      </w:divBdr>
    </w:div>
    <w:div w:id="829447399">
      <w:bodyDiv w:val="1"/>
      <w:marLeft w:val="0"/>
      <w:marRight w:val="0"/>
      <w:marTop w:val="0"/>
      <w:marBottom w:val="0"/>
      <w:divBdr>
        <w:top w:val="none" w:sz="0" w:space="0" w:color="auto"/>
        <w:left w:val="none" w:sz="0" w:space="0" w:color="auto"/>
        <w:bottom w:val="none" w:sz="0" w:space="0" w:color="auto"/>
        <w:right w:val="none" w:sz="0" w:space="0" w:color="auto"/>
      </w:divBdr>
    </w:div>
    <w:div w:id="829902798">
      <w:bodyDiv w:val="1"/>
      <w:marLeft w:val="0"/>
      <w:marRight w:val="0"/>
      <w:marTop w:val="0"/>
      <w:marBottom w:val="0"/>
      <w:divBdr>
        <w:top w:val="none" w:sz="0" w:space="0" w:color="auto"/>
        <w:left w:val="none" w:sz="0" w:space="0" w:color="auto"/>
        <w:bottom w:val="none" w:sz="0" w:space="0" w:color="auto"/>
        <w:right w:val="none" w:sz="0" w:space="0" w:color="auto"/>
      </w:divBdr>
      <w:divsChild>
        <w:div w:id="1633437669">
          <w:marLeft w:val="0"/>
          <w:marRight w:val="0"/>
          <w:marTop w:val="0"/>
          <w:marBottom w:val="0"/>
          <w:divBdr>
            <w:top w:val="none" w:sz="0" w:space="0" w:color="auto"/>
            <w:left w:val="none" w:sz="0" w:space="0" w:color="auto"/>
            <w:bottom w:val="none" w:sz="0" w:space="0" w:color="auto"/>
            <w:right w:val="none" w:sz="0" w:space="0" w:color="auto"/>
          </w:divBdr>
          <w:divsChild>
            <w:div w:id="1919055312">
              <w:marLeft w:val="0"/>
              <w:marRight w:val="0"/>
              <w:marTop w:val="0"/>
              <w:marBottom w:val="0"/>
              <w:divBdr>
                <w:top w:val="none" w:sz="0" w:space="0" w:color="auto"/>
                <w:left w:val="none" w:sz="0" w:space="0" w:color="auto"/>
                <w:bottom w:val="none" w:sz="0" w:space="0" w:color="auto"/>
                <w:right w:val="none" w:sz="0" w:space="0" w:color="auto"/>
              </w:divBdr>
              <w:divsChild>
                <w:div w:id="2017343765">
                  <w:marLeft w:val="0"/>
                  <w:marRight w:val="0"/>
                  <w:marTop w:val="0"/>
                  <w:marBottom w:val="0"/>
                  <w:divBdr>
                    <w:top w:val="none" w:sz="0" w:space="0" w:color="auto"/>
                    <w:left w:val="none" w:sz="0" w:space="0" w:color="auto"/>
                    <w:bottom w:val="none" w:sz="0" w:space="0" w:color="auto"/>
                    <w:right w:val="none" w:sz="0" w:space="0" w:color="auto"/>
                  </w:divBdr>
                  <w:divsChild>
                    <w:div w:id="78951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084525">
      <w:bodyDiv w:val="1"/>
      <w:marLeft w:val="0"/>
      <w:marRight w:val="0"/>
      <w:marTop w:val="0"/>
      <w:marBottom w:val="0"/>
      <w:divBdr>
        <w:top w:val="none" w:sz="0" w:space="0" w:color="auto"/>
        <w:left w:val="none" w:sz="0" w:space="0" w:color="auto"/>
        <w:bottom w:val="none" w:sz="0" w:space="0" w:color="auto"/>
        <w:right w:val="none" w:sz="0" w:space="0" w:color="auto"/>
      </w:divBdr>
    </w:div>
    <w:div w:id="1053699477">
      <w:bodyDiv w:val="1"/>
      <w:marLeft w:val="0"/>
      <w:marRight w:val="0"/>
      <w:marTop w:val="0"/>
      <w:marBottom w:val="0"/>
      <w:divBdr>
        <w:top w:val="none" w:sz="0" w:space="0" w:color="auto"/>
        <w:left w:val="none" w:sz="0" w:space="0" w:color="auto"/>
        <w:bottom w:val="none" w:sz="0" w:space="0" w:color="auto"/>
        <w:right w:val="none" w:sz="0" w:space="0" w:color="auto"/>
      </w:divBdr>
    </w:div>
    <w:div w:id="1170756290">
      <w:bodyDiv w:val="1"/>
      <w:marLeft w:val="0"/>
      <w:marRight w:val="0"/>
      <w:marTop w:val="0"/>
      <w:marBottom w:val="0"/>
      <w:divBdr>
        <w:top w:val="none" w:sz="0" w:space="0" w:color="auto"/>
        <w:left w:val="none" w:sz="0" w:space="0" w:color="auto"/>
        <w:bottom w:val="none" w:sz="0" w:space="0" w:color="auto"/>
        <w:right w:val="none" w:sz="0" w:space="0" w:color="auto"/>
      </w:divBdr>
    </w:div>
    <w:div w:id="1175536160">
      <w:bodyDiv w:val="1"/>
      <w:marLeft w:val="0"/>
      <w:marRight w:val="0"/>
      <w:marTop w:val="0"/>
      <w:marBottom w:val="0"/>
      <w:divBdr>
        <w:top w:val="none" w:sz="0" w:space="0" w:color="auto"/>
        <w:left w:val="none" w:sz="0" w:space="0" w:color="auto"/>
        <w:bottom w:val="none" w:sz="0" w:space="0" w:color="auto"/>
        <w:right w:val="none" w:sz="0" w:space="0" w:color="auto"/>
      </w:divBdr>
    </w:div>
    <w:div w:id="1307392016">
      <w:bodyDiv w:val="1"/>
      <w:marLeft w:val="0"/>
      <w:marRight w:val="0"/>
      <w:marTop w:val="0"/>
      <w:marBottom w:val="0"/>
      <w:divBdr>
        <w:top w:val="none" w:sz="0" w:space="0" w:color="auto"/>
        <w:left w:val="none" w:sz="0" w:space="0" w:color="auto"/>
        <w:bottom w:val="none" w:sz="0" w:space="0" w:color="auto"/>
        <w:right w:val="none" w:sz="0" w:space="0" w:color="auto"/>
      </w:divBdr>
    </w:div>
    <w:div w:id="1535540461">
      <w:bodyDiv w:val="1"/>
      <w:marLeft w:val="0"/>
      <w:marRight w:val="0"/>
      <w:marTop w:val="0"/>
      <w:marBottom w:val="0"/>
      <w:divBdr>
        <w:top w:val="none" w:sz="0" w:space="0" w:color="auto"/>
        <w:left w:val="none" w:sz="0" w:space="0" w:color="auto"/>
        <w:bottom w:val="none" w:sz="0" w:space="0" w:color="auto"/>
        <w:right w:val="none" w:sz="0" w:space="0" w:color="auto"/>
      </w:divBdr>
      <w:divsChild>
        <w:div w:id="1678116016">
          <w:marLeft w:val="0"/>
          <w:marRight w:val="0"/>
          <w:marTop w:val="0"/>
          <w:marBottom w:val="0"/>
          <w:divBdr>
            <w:top w:val="none" w:sz="0" w:space="0" w:color="auto"/>
            <w:left w:val="none" w:sz="0" w:space="0" w:color="auto"/>
            <w:bottom w:val="none" w:sz="0" w:space="0" w:color="auto"/>
            <w:right w:val="none" w:sz="0" w:space="0" w:color="auto"/>
          </w:divBdr>
          <w:divsChild>
            <w:div w:id="925725143">
              <w:marLeft w:val="0"/>
              <w:marRight w:val="0"/>
              <w:marTop w:val="0"/>
              <w:marBottom w:val="0"/>
              <w:divBdr>
                <w:top w:val="none" w:sz="0" w:space="0" w:color="auto"/>
                <w:left w:val="none" w:sz="0" w:space="0" w:color="auto"/>
                <w:bottom w:val="none" w:sz="0" w:space="0" w:color="auto"/>
                <w:right w:val="none" w:sz="0" w:space="0" w:color="auto"/>
              </w:divBdr>
              <w:divsChild>
                <w:div w:id="179459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581953">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737052292">
      <w:bodyDiv w:val="1"/>
      <w:marLeft w:val="0"/>
      <w:marRight w:val="0"/>
      <w:marTop w:val="0"/>
      <w:marBottom w:val="0"/>
      <w:divBdr>
        <w:top w:val="none" w:sz="0" w:space="0" w:color="auto"/>
        <w:left w:val="none" w:sz="0" w:space="0" w:color="auto"/>
        <w:bottom w:val="none" w:sz="0" w:space="0" w:color="auto"/>
        <w:right w:val="none" w:sz="0" w:space="0" w:color="auto"/>
      </w:divBdr>
    </w:div>
    <w:div w:id="1909462760">
      <w:bodyDiv w:val="1"/>
      <w:marLeft w:val="0"/>
      <w:marRight w:val="0"/>
      <w:marTop w:val="0"/>
      <w:marBottom w:val="0"/>
      <w:divBdr>
        <w:top w:val="none" w:sz="0" w:space="0" w:color="auto"/>
        <w:left w:val="none" w:sz="0" w:space="0" w:color="auto"/>
        <w:bottom w:val="none" w:sz="0" w:space="0" w:color="auto"/>
        <w:right w:val="none" w:sz="0" w:space="0" w:color="auto"/>
      </w:divBdr>
    </w:div>
    <w:div w:id="1962572732">
      <w:bodyDiv w:val="1"/>
      <w:marLeft w:val="0"/>
      <w:marRight w:val="0"/>
      <w:marTop w:val="0"/>
      <w:marBottom w:val="0"/>
      <w:divBdr>
        <w:top w:val="none" w:sz="0" w:space="0" w:color="auto"/>
        <w:left w:val="none" w:sz="0" w:space="0" w:color="auto"/>
        <w:bottom w:val="none" w:sz="0" w:space="0" w:color="auto"/>
        <w:right w:val="none" w:sz="0" w:space="0" w:color="auto"/>
      </w:divBdr>
    </w:div>
    <w:div w:id="1986809211">
      <w:bodyDiv w:val="1"/>
      <w:marLeft w:val="0"/>
      <w:marRight w:val="0"/>
      <w:marTop w:val="0"/>
      <w:marBottom w:val="0"/>
      <w:divBdr>
        <w:top w:val="none" w:sz="0" w:space="0" w:color="auto"/>
        <w:left w:val="none" w:sz="0" w:space="0" w:color="auto"/>
        <w:bottom w:val="none" w:sz="0" w:space="0" w:color="auto"/>
        <w:right w:val="none" w:sz="0" w:space="0" w:color="auto"/>
      </w:divBdr>
    </w:div>
    <w:div w:id="2076538061">
      <w:bodyDiv w:val="1"/>
      <w:marLeft w:val="0"/>
      <w:marRight w:val="0"/>
      <w:marTop w:val="0"/>
      <w:marBottom w:val="0"/>
      <w:divBdr>
        <w:top w:val="none" w:sz="0" w:space="0" w:color="auto"/>
        <w:left w:val="none" w:sz="0" w:space="0" w:color="auto"/>
        <w:bottom w:val="none" w:sz="0" w:space="0" w:color="auto"/>
        <w:right w:val="none" w:sz="0" w:space="0" w:color="auto"/>
      </w:divBdr>
    </w:div>
    <w:div w:id="2085489955">
      <w:bodyDiv w:val="1"/>
      <w:marLeft w:val="0"/>
      <w:marRight w:val="0"/>
      <w:marTop w:val="0"/>
      <w:marBottom w:val="0"/>
      <w:divBdr>
        <w:top w:val="none" w:sz="0" w:space="0" w:color="auto"/>
        <w:left w:val="none" w:sz="0" w:space="0" w:color="auto"/>
        <w:bottom w:val="none" w:sz="0" w:space="0" w:color="auto"/>
        <w:right w:val="none" w:sz="0" w:space="0" w:color="auto"/>
      </w:divBdr>
    </w:div>
    <w:div w:id="210845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MyL18</b:Tag>
    <b:SourceType>InternetSite</b:SourceType>
    <b:Guid>{E7F40AA5-0D71-5446-AF63-AF90995D8296}</b:Guid>
    <b:Title>http://mylocalschool.wales.gov.uk/School/6664024?lang=en</b:Title>
    <b:Year>2018</b:Year>
    <b:Author>
      <b:Author>
        <b:NameList>
          <b:Person>
            <b:Last>Schools</b:Last>
            <b:First>My</b:First>
            <b:Middle>Local</b:Middle>
          </b:Person>
        </b:NameList>
      </b:Author>
    </b:Author>
    <b:InternetSiteTitle>My Local Schools</b:InternetSiteTitle>
    <b:URL>http://mylocalschool.wales.gov.uk/School/6664024?lang=en</b:URL>
    <b:RefOrder>4</b:RefOrder>
  </b:Source>
  <b:Source>
    <b:Tag>Est18</b:Tag>
    <b:SourceType>InternetSite</b:SourceType>
    <b:Guid>{F6668BD8-A2E2-1843-95B8-A4D14A956738}</b:Guid>
    <b:Author>
      <b:Author>
        <b:NameList>
          <b:Person>
            <b:Last>Estyn</b:Last>
            <b:First>2018</b:First>
          </b:Person>
        </b:NameList>
      </b:Author>
    </b:Author>
    <b:Title>Estyn.gov.uk</b:Title>
    <b:InternetSiteTitle>www.estyn.gov.uk</b:InternetSiteTitle>
    <b:URL>www.estyn.gov.uk</b:URL>
    <b:Year>2018</b:Year>
    <b:Month>November</b:Month>
    <b:RefOrder>3</b:RefOrder>
  </b:Source>
  <b:Source>
    <b:Tag>Jim97</b:Tag>
    <b:SourceType>Book</b:SourceType>
    <b:Guid>{991F274A-B59A-E340-A626-706016F93DF1}</b:Guid>
    <b:Title>Strategic Planning for School Managers</b:Title>
    <b:Year>1997</b:Year>
    <b:Author>
      <b:Author>
        <b:NameList>
          <b:Person>
            <b:Last>Knight</b:Last>
            <b:First>Jim</b:First>
          </b:Person>
        </b:NameList>
      </b:Author>
    </b:Author>
    <b:City>London</b:City>
    <b:Publisher>Kogan Page Limited</b:Publisher>
    <b:RefOrder>5</b:RefOrder>
  </b:Source>
  <b:Source>
    <b:Tag>Ano</b:Tag>
    <b:SourceType>InternetSite</b:SourceType>
    <b:Guid>{B7BD8712-A5C3-DA40-AC35-D4E685DDE3C7}</b:Guid>
    <b:Title>Business Dictionary</b:Title>
    <b:Author>
      <b:Author>
        <b:NameList>
          <b:Person>
            <b:Last>Anonymous</b:Last>
          </b:Person>
        </b:NameList>
      </b:Author>
    </b:Author>
    <b:InternetSiteTitle>Business Dictionary</b:InternetSiteTitle>
    <b:URL>www.businessdictionary.com</b:URL>
    <b:RefOrder>6</b:RefOrder>
  </b:Source>
  <b:Source>
    <b:Tag>Hil16</b:Tag>
    <b:SourceType>Book</b:SourceType>
    <b:Guid>{FD6B7C6B-8339-1B4B-AED8-C69E51B197B6}</b:Guid>
    <b:Author>
      <b:Author>
        <b:NameList>
          <b:Person>
            <b:Last>Hill</b:Last>
            <b:First>Terry</b:First>
          </b:Person>
          <b:Person>
            <b:Last>Westbrook</b:Last>
            <b:First>Roy</b:First>
          </b:Person>
        </b:NameList>
      </b:Author>
    </b:Author>
    <b:Title>Long Range Planning</b:Title>
    <b:City>London</b:City>
    <b:Publisher>ELSEVIER</b:Publisher>
    <b:Year>2016</b:Year>
    <b:RefOrder>7</b:RefOrder>
  </b:Source>
  <b:Source>
    <b:Tag>Cam07</b:Tag>
    <b:SourceType>Book</b:SourceType>
    <b:Guid>{4DFF4751-10E7-A046-81B1-DEA45F4BE0FC}</b:Guid>
    <b:Author>
      <b:Author>
        <b:NameList>
          <b:Person>
            <b:Last>Rutherford</b:Last>
            <b:First>Camille</b:First>
          </b:Person>
        </b:NameList>
      </b:Author>
    </b:Author>
    <b:Title>Planning to Change: Strategic Planning and Comprehensive School Reform</b:Title>
    <b:City>Chicago</b:City>
    <b:Publisher>IL Publishing</b:Publisher>
    <b:Year>April 9, 2007</b:Year>
    <b:RefOrder>8</b:RefOrder>
  </b:Source>
  <b:Source>
    <b:Tag>Hen94</b:Tag>
    <b:SourceType>Book</b:SourceType>
    <b:Guid>{69F520E1-CEA9-E040-966A-AEEF354DB876}</b:Guid>
    <b:Author>
      <b:Author>
        <b:NameList>
          <b:Person>
            <b:Last>Mintzberg</b:Last>
            <b:First>Henry</b:First>
          </b:Person>
        </b:NameList>
      </b:Author>
    </b:Author>
    <b:Title>The Rise and Fall of Strategic Planning</b:Title>
    <b:City>London, New York</b:City>
    <b:Publisher>Prentice Hall</b:Publisher>
    <b:Year>1994</b:Year>
    <b:RefOrder>2</b:RefOrder>
  </b:Source>
  <b:Source>
    <b:Tag>Car06</b:Tag>
    <b:SourceType>InternetSite</b:SourceType>
    <b:Guid>{63C96109-85D6-ED44-B401-E1FABC644FCF}</b:Guid>
    <b:Title>Envisio Strategy Planning</b:Title>
    <b:Year>2006</b:Year>
    <b:Author>
      <b:Author>
        <b:NameList>
          <b:Person>
            <b:Last>Long</b:Last>
            <b:First>Cara</b:First>
          </b:Person>
        </b:NameList>
      </b:Author>
    </b:Author>
    <b:InternetSiteTitle>Envisio</b:InternetSiteTitle>
    <b:URL>https://www.envisio.com/blog/7-reasons-schools-need-strategic-planning</b:URL>
    <b:Month>September</b:Month>
    <b:RefOrder>1</b:RefOrder>
  </b:Source>
  <b:Source>
    <b:Tag>Aud18</b:Tag>
    <b:SourceType>InternetSite</b:SourceType>
    <b:Guid>{4920AC81-B99A-4D41-9C46-09E28CD0931D}</b:Guid>
    <b:Author>
      <b:Author>
        <b:NameList>
          <b:Person>
            <b:Last>Azouley</b:Last>
            <b:First>Audrey</b:First>
          </b:Person>
        </b:NameList>
      </b:Author>
    </b:Author>
    <b:Title>International Acadamies </b:Title>
    <b:InternetSiteTitle>Bridge</b:InternetSiteTitle>
    <b:URL>https://www.bridgeinternationalacademies.com/literacy-and-education/</b:URL>
    <b:Year>2018</b:Year>
    <b:Month>September </b:Month>
    <b:Day>13</b:Day>
    <b:RefOrder>9</b:RefOrder>
  </b:Source>
  <b:Source>
    <b:Tag>Lei15</b:Tag>
    <b:SourceType>ElectronicSource</b:SourceType>
    <b:Guid>{1DE37D99-BBD2-0645-8BB1-8108F834CEB3}</b:Guid>
    <b:Author>
      <b:Author>
        <b:NameList>
          <b:Person>
            <b:Last>skills</b:Last>
            <b:First>Leighton</b:First>
            <b:Middle>Andrews Minisitor for education and</b:Middle>
          </b:Person>
        </b:NameList>
      </b:Author>
    </b:Author>
    <b:Title>Welsh Government LNF</b:Title>
    <b:City>Wales</b:City>
    <b:CountryRegion>Wales</b:CountryRegion>
    <b:Year>2015</b:Year>
    <b:Month>June</b:Month>
    <b:RefOrder>10</b:RefOrder>
  </b:Source>
  <b:Source>
    <b:Tag>Wyn19</b:Tag>
    <b:SourceType>DocumentFromInternetSite</b:SourceType>
    <b:Guid>{C55ED2A0-52AC-6543-8818-235113BFC042}</b:Guid>
    <b:Title>Wynnum State School</b:Title>
    <b:Year>2019</b:Year>
    <b:InternetSiteTitle>Believe achieve and succeed</b:InternetSiteTitle>
    <b:URL>https://wynnumss.eq.edu.au/Curriculum/Teachingandlearning/Pages/Literacy-placemat.aspx</b:URL>
    <b:Author>
      <b:Author>
        <b:NameList>
          <b:Person>
            <b:Last>School</b:Last>
            <b:First>Wynnum</b:First>
            <b:Middle>State</b:Middle>
          </b:Person>
        </b:NameList>
      </b:Author>
    </b:Author>
    <b:RefOrder>11</b:RefOrder>
  </b:Source>
</b:Sources>
</file>

<file path=customXml/itemProps1.xml><?xml version="1.0" encoding="utf-8"?>
<ds:datastoreItem xmlns:ds="http://schemas.openxmlformats.org/officeDocument/2006/customXml" ds:itemID="{437DD0FF-E20D-9F42-ACDD-AAF931501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12</Pages>
  <Words>4456</Words>
  <Characters>25404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Evans (1401156)</dc:creator>
  <cp:keywords/>
  <dc:description/>
  <cp:lastModifiedBy>Kate Evans (1401156)</cp:lastModifiedBy>
  <cp:revision>52</cp:revision>
  <dcterms:created xsi:type="dcterms:W3CDTF">2019-01-21T20:22:00Z</dcterms:created>
  <dcterms:modified xsi:type="dcterms:W3CDTF">2019-01-28T13:37:00Z</dcterms:modified>
</cp:coreProperties>
</file>