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33A5E9" w14:textId="77777777" w:rsidR="00F03556" w:rsidRDefault="00DD6D84">
      <w:pPr>
        <w:spacing w:line="360" w:lineRule="auto"/>
        <w:jc w:val="center"/>
        <w:rPr>
          <w:rFonts w:ascii="Arial" w:hAnsi="Arial" w:cs="Arial"/>
          <w:b/>
          <w:sz w:val="44"/>
          <w:szCs w:val="44"/>
          <w:u w:val="single"/>
        </w:rPr>
      </w:pPr>
      <w:r>
        <w:rPr>
          <w:rFonts w:ascii="Arial" w:hAnsi="Arial" w:cs="Arial"/>
          <w:b/>
          <w:sz w:val="44"/>
          <w:szCs w:val="44"/>
          <w:u w:val="single"/>
        </w:rPr>
        <w:t xml:space="preserve">International Business </w:t>
      </w:r>
    </w:p>
    <w:p w14:paraId="0733A5EA" w14:textId="77777777" w:rsidR="00F03556" w:rsidRDefault="00DD6D84">
      <w:pPr>
        <w:spacing w:line="360" w:lineRule="auto"/>
        <w:jc w:val="center"/>
      </w:pPr>
      <w:r>
        <w:rPr>
          <w:rFonts w:ascii="Arial" w:hAnsi="Arial" w:cs="Arial"/>
          <w:b/>
          <w:sz w:val="44"/>
          <w:szCs w:val="44"/>
          <w:u w:val="single"/>
        </w:rPr>
        <w:t>Concepts</w:t>
      </w:r>
      <w:r>
        <w:rPr>
          <w:rFonts w:ascii="Arial" w:eastAsia="Times New Roman" w:hAnsi="Arial" w:cs="Arial"/>
          <w:b/>
          <w:bCs/>
          <w:kern w:val="0"/>
          <w:sz w:val="44"/>
          <w:szCs w:val="44"/>
          <w:u w:val="single"/>
          <w:lang w:eastAsia="en-GB"/>
        </w:rPr>
        <w:t xml:space="preserve"> of Nando’s</w:t>
      </w:r>
    </w:p>
    <w:p w14:paraId="0733A5EB" w14:textId="77777777" w:rsidR="00F03556" w:rsidRDefault="00DD6D84">
      <w:pPr>
        <w:spacing w:line="360" w:lineRule="auto"/>
      </w:pPr>
      <w:r>
        <w:rPr>
          <w:rFonts w:ascii="Arial" w:eastAsia="Times New Roman" w:hAnsi="Arial" w:cs="Arial"/>
          <w:b/>
          <w:bCs/>
          <w:noProof/>
          <w:kern w:val="0"/>
          <w:sz w:val="22"/>
          <w:szCs w:val="22"/>
          <w:u w:val="single"/>
          <w:lang w:eastAsia="en-GB"/>
        </w:rPr>
        <w:drawing>
          <wp:anchor distT="0" distB="0" distL="114300" distR="114300" simplePos="0" relativeHeight="251656192" behindDoc="0" locked="0" layoutInCell="1" allowOverlap="1" wp14:anchorId="0733A5E9" wp14:editId="2F63E88A">
            <wp:simplePos x="0" y="0"/>
            <wp:positionH relativeFrom="column">
              <wp:posOffset>-457200</wp:posOffset>
            </wp:positionH>
            <wp:positionV relativeFrom="paragraph">
              <wp:posOffset>497205</wp:posOffset>
            </wp:positionV>
            <wp:extent cx="6578193" cy="3700147"/>
            <wp:effectExtent l="0" t="0" r="0" b="0"/>
            <wp:wrapSquare wrapText="bothSides"/>
            <wp:docPr id="49667097"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578193" cy="3700147"/>
                    </a:xfrm>
                    <a:prstGeom prst="rect">
                      <a:avLst/>
                    </a:prstGeom>
                    <a:noFill/>
                    <a:ln>
                      <a:noFill/>
                      <a:prstDash/>
                    </a:ln>
                  </pic:spPr>
                </pic:pic>
              </a:graphicData>
            </a:graphic>
          </wp:anchor>
        </w:drawing>
      </w:r>
    </w:p>
    <w:p w14:paraId="0733A5EC" w14:textId="77777777" w:rsidR="00F03556" w:rsidRDefault="00F03556">
      <w:pPr>
        <w:spacing w:line="360" w:lineRule="auto"/>
        <w:rPr>
          <w:rFonts w:ascii="Arial" w:eastAsia="Times New Roman" w:hAnsi="Arial" w:cs="Arial"/>
          <w:b/>
          <w:bCs/>
          <w:kern w:val="0"/>
          <w:sz w:val="22"/>
          <w:szCs w:val="22"/>
          <w:u w:val="single"/>
          <w:lang w:eastAsia="en-GB"/>
        </w:rPr>
      </w:pPr>
    </w:p>
    <w:p w14:paraId="0733A5ED" w14:textId="77777777" w:rsidR="00F03556" w:rsidRDefault="00F03556">
      <w:pPr>
        <w:spacing w:line="360" w:lineRule="auto"/>
        <w:rPr>
          <w:rFonts w:ascii="Arial" w:eastAsia="Times New Roman" w:hAnsi="Arial" w:cs="Arial"/>
          <w:b/>
          <w:bCs/>
          <w:kern w:val="0"/>
          <w:sz w:val="22"/>
          <w:szCs w:val="22"/>
          <w:u w:val="single"/>
          <w:lang w:eastAsia="en-GB"/>
        </w:rPr>
      </w:pPr>
    </w:p>
    <w:p w14:paraId="0733A5EE" w14:textId="77777777" w:rsidR="00F03556" w:rsidRDefault="00F03556">
      <w:pPr>
        <w:spacing w:line="360" w:lineRule="auto"/>
        <w:rPr>
          <w:rFonts w:ascii="Arial" w:eastAsia="Times New Roman" w:hAnsi="Arial" w:cs="Arial"/>
          <w:b/>
          <w:bCs/>
          <w:kern w:val="0"/>
          <w:sz w:val="22"/>
          <w:szCs w:val="22"/>
          <w:u w:val="single"/>
          <w:lang w:eastAsia="en-GB"/>
        </w:rPr>
      </w:pPr>
    </w:p>
    <w:p w14:paraId="0733A5EF" w14:textId="77777777" w:rsidR="00F03556" w:rsidRDefault="00F03556">
      <w:pPr>
        <w:spacing w:line="360" w:lineRule="auto"/>
        <w:rPr>
          <w:rFonts w:ascii="Arial" w:eastAsia="Times New Roman" w:hAnsi="Arial" w:cs="Arial"/>
          <w:b/>
          <w:bCs/>
          <w:kern w:val="0"/>
          <w:sz w:val="22"/>
          <w:szCs w:val="22"/>
          <w:u w:val="single"/>
          <w:lang w:eastAsia="en-GB"/>
        </w:rPr>
      </w:pPr>
    </w:p>
    <w:p w14:paraId="0733A5F0" w14:textId="77777777" w:rsidR="00F03556" w:rsidRDefault="00DD6D84">
      <w:pPr>
        <w:spacing w:line="360" w:lineRule="auto"/>
      </w:pPr>
      <w:r>
        <w:rPr>
          <w:rFonts w:ascii="Arial" w:hAnsi="Arial" w:cs="Arial"/>
          <w:b/>
          <w:bCs/>
        </w:rPr>
        <w:t>Student Name: Denise Chambers 2020342</w:t>
      </w:r>
    </w:p>
    <w:p w14:paraId="0733A5F1" w14:textId="77777777" w:rsidR="00F03556" w:rsidRDefault="00DD6D84">
      <w:pPr>
        <w:spacing w:before="120" w:after="120" w:line="360" w:lineRule="auto"/>
      </w:pPr>
      <w:r>
        <w:rPr>
          <w:rFonts w:ascii="Arial" w:hAnsi="Arial" w:cs="Arial"/>
          <w:b/>
          <w:bCs/>
        </w:rPr>
        <w:t>Lecturer Name:</w:t>
      </w:r>
      <w:r>
        <w:rPr>
          <w:rFonts w:ascii="Arial" w:hAnsi="Arial" w:cs="Arial"/>
          <w:b/>
        </w:rPr>
        <w:t xml:space="preserve"> Professor </w:t>
      </w:r>
      <w:r>
        <w:rPr>
          <w:rFonts w:ascii="Arial" w:hAnsi="Arial" w:cs="Arial"/>
          <w:b/>
          <w:bCs/>
        </w:rPr>
        <w:t>Mansoob Murshed</w:t>
      </w:r>
    </w:p>
    <w:p w14:paraId="0733A5F2" w14:textId="77777777" w:rsidR="00F03556" w:rsidRDefault="00DD6D84">
      <w:pPr>
        <w:spacing w:before="120" w:after="120" w:line="360" w:lineRule="auto"/>
        <w:rPr>
          <w:rFonts w:ascii="Arial" w:hAnsi="Arial" w:cs="Arial"/>
          <w:b/>
        </w:rPr>
      </w:pPr>
      <w:r>
        <w:rPr>
          <w:rFonts w:ascii="Arial" w:hAnsi="Arial" w:cs="Arial"/>
          <w:b/>
        </w:rPr>
        <w:t>Module: International Business Concepts</w:t>
      </w:r>
    </w:p>
    <w:p w14:paraId="0733A5F3" w14:textId="6ED4212E" w:rsidR="00F03556" w:rsidRDefault="00DD6D84">
      <w:pPr>
        <w:spacing w:line="360" w:lineRule="auto"/>
        <w:rPr>
          <w:rFonts w:ascii="Arial" w:hAnsi="Arial" w:cs="Arial"/>
          <w:b/>
          <w:bCs/>
        </w:rPr>
      </w:pPr>
      <w:r>
        <w:rPr>
          <w:rFonts w:ascii="Arial" w:hAnsi="Arial" w:cs="Arial"/>
          <w:b/>
          <w:bCs/>
        </w:rPr>
        <w:t>Module Code: LCMB70</w:t>
      </w:r>
      <w:r w:rsidR="007662D3">
        <w:rPr>
          <w:rFonts w:ascii="Arial" w:hAnsi="Arial" w:cs="Arial"/>
          <w:b/>
          <w:bCs/>
        </w:rPr>
        <w:t>34</w:t>
      </w:r>
    </w:p>
    <w:p w14:paraId="0733A5F4" w14:textId="47C63831" w:rsidR="00F03556" w:rsidRDefault="00DD6D84">
      <w:pPr>
        <w:spacing w:line="360" w:lineRule="auto"/>
      </w:pPr>
      <w:r>
        <w:rPr>
          <w:rFonts w:ascii="Arial" w:hAnsi="Arial" w:cs="Arial"/>
          <w:b/>
          <w:bCs/>
          <w:noProof/>
        </w:rPr>
        <w:drawing>
          <wp:anchor distT="0" distB="0" distL="114300" distR="114300" simplePos="0" relativeHeight="251655168" behindDoc="0" locked="0" layoutInCell="1" allowOverlap="1" wp14:anchorId="0733A5EB" wp14:editId="490712AA">
            <wp:simplePos x="0" y="0"/>
            <wp:positionH relativeFrom="column">
              <wp:posOffset>4207511</wp:posOffset>
            </wp:positionH>
            <wp:positionV relativeFrom="paragraph">
              <wp:posOffset>-123187</wp:posOffset>
            </wp:positionV>
            <wp:extent cx="1810383" cy="725174"/>
            <wp:effectExtent l="0" t="0" r="0" b="0"/>
            <wp:wrapTight wrapText="bothSides">
              <wp:wrapPolygon edited="0">
                <wp:start x="0" y="0"/>
                <wp:lineTo x="0" y="14186"/>
                <wp:lineTo x="2046" y="19292"/>
                <wp:lineTo x="2046" y="20427"/>
                <wp:lineTo x="17962" y="20427"/>
                <wp:lineTo x="17962" y="19292"/>
                <wp:lineTo x="21373" y="15320"/>
                <wp:lineTo x="21373" y="10214"/>
                <wp:lineTo x="19099" y="9646"/>
                <wp:lineTo x="19781" y="1135"/>
                <wp:lineTo x="15234" y="0"/>
                <wp:lineTo x="0" y="0"/>
              </wp:wrapPolygon>
            </wp:wrapTight>
            <wp:docPr id="2130575879"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1810383" cy="725174"/>
                    </a:xfrm>
                    <a:prstGeom prst="rect">
                      <a:avLst/>
                    </a:prstGeom>
                    <a:noFill/>
                    <a:ln>
                      <a:noFill/>
                      <a:prstDash/>
                    </a:ln>
                  </pic:spPr>
                </pic:pic>
              </a:graphicData>
            </a:graphic>
          </wp:anchor>
        </w:drawing>
      </w:r>
      <w:r>
        <w:rPr>
          <w:rFonts w:ascii="Arial" w:hAnsi="Arial" w:cs="Arial"/>
          <w:b/>
          <w:bCs/>
        </w:rPr>
        <w:t>Word Count:</w:t>
      </w:r>
      <w:r w:rsidR="009F0F0C">
        <w:rPr>
          <w:rFonts w:ascii="Arial" w:hAnsi="Arial" w:cs="Arial"/>
          <w:b/>
          <w:bCs/>
        </w:rPr>
        <w:t xml:space="preserve"> 4999</w:t>
      </w:r>
    </w:p>
    <w:p w14:paraId="0733A5F5" w14:textId="146E602A" w:rsidR="00F03556" w:rsidRDefault="00DD6D84">
      <w:pPr>
        <w:spacing w:line="360" w:lineRule="auto"/>
      </w:pPr>
      <w:r>
        <w:rPr>
          <w:rFonts w:ascii="Arial" w:hAnsi="Arial" w:cs="Arial"/>
          <w:b/>
          <w:bCs/>
        </w:rPr>
        <w:t>Submission Date:</w:t>
      </w:r>
      <w:r w:rsidR="003653F9">
        <w:rPr>
          <w:rFonts w:ascii="Arial" w:hAnsi="Arial" w:cs="Arial"/>
          <w:b/>
          <w:bCs/>
        </w:rPr>
        <w:t xml:space="preserve"> 3</w:t>
      </w:r>
      <w:r w:rsidR="00F54CD6">
        <w:rPr>
          <w:rFonts w:ascii="Arial" w:hAnsi="Arial" w:cs="Arial"/>
          <w:b/>
          <w:bCs/>
        </w:rPr>
        <w:t>1</w:t>
      </w:r>
      <w:r w:rsidR="003653F9">
        <w:rPr>
          <w:rFonts w:ascii="Arial" w:hAnsi="Arial" w:cs="Arial"/>
          <w:b/>
          <w:bCs/>
        </w:rPr>
        <w:t xml:space="preserve"> July 2026</w:t>
      </w:r>
    </w:p>
    <w:sdt>
      <w:sdtPr>
        <w:rPr>
          <w:rFonts w:ascii="Arial" w:eastAsia="Aptos" w:hAnsi="Arial" w:cs="Arial"/>
          <w:b/>
          <w:bCs/>
          <w:color w:val="000000" w:themeColor="text1"/>
          <w:kern w:val="3"/>
          <w:sz w:val="24"/>
          <w:szCs w:val="24"/>
          <w:u w:val="single"/>
          <w:lang w:val="en-GB"/>
        </w:rPr>
        <w:id w:val="-302781314"/>
        <w:docPartObj>
          <w:docPartGallery w:val="Table of Contents"/>
          <w:docPartUnique/>
        </w:docPartObj>
      </w:sdtPr>
      <w:sdtEndPr>
        <w:rPr>
          <w:noProof/>
          <w:color w:val="auto"/>
          <w:u w:val="none"/>
        </w:rPr>
      </w:sdtEndPr>
      <w:sdtContent>
        <w:p w14:paraId="36F0B9AC" w14:textId="2D248439" w:rsidR="00A01596" w:rsidRPr="00EB51E0" w:rsidRDefault="00EB51E0" w:rsidP="00C55A1D">
          <w:pPr>
            <w:pStyle w:val="TOCHeading"/>
            <w:spacing w:after="240"/>
            <w:rPr>
              <w:rFonts w:ascii="Arial" w:hAnsi="Arial" w:cs="Arial"/>
              <w:b/>
              <w:bCs/>
              <w:color w:val="000000" w:themeColor="text1"/>
              <w:sz w:val="24"/>
              <w:szCs w:val="24"/>
              <w:u w:val="single"/>
            </w:rPr>
          </w:pPr>
          <w:r w:rsidRPr="00EB51E0">
            <w:rPr>
              <w:rFonts w:ascii="Arial" w:hAnsi="Arial" w:cs="Arial"/>
              <w:b/>
              <w:bCs/>
              <w:color w:val="000000" w:themeColor="text1"/>
              <w:sz w:val="24"/>
              <w:szCs w:val="24"/>
              <w:u w:val="single"/>
            </w:rPr>
            <w:t>CONTENTS</w:t>
          </w:r>
        </w:p>
        <w:p w14:paraId="4670EF77" w14:textId="5656B987" w:rsidR="004F7B16" w:rsidRPr="00EB51E0" w:rsidRDefault="00A01596">
          <w:pPr>
            <w:pStyle w:val="TOC1"/>
            <w:tabs>
              <w:tab w:val="right" w:leader="dot" w:pos="9016"/>
            </w:tabs>
            <w:rPr>
              <w:rFonts w:ascii="Arial" w:eastAsiaTheme="minorEastAsia" w:hAnsi="Arial" w:cs="Arial"/>
              <w:noProof/>
              <w:kern w:val="2"/>
              <w:lang w:eastAsia="en-GB"/>
              <w14:ligatures w14:val="standardContextual"/>
            </w:rPr>
          </w:pPr>
          <w:r w:rsidRPr="00EB51E0">
            <w:rPr>
              <w:rFonts w:ascii="Arial" w:hAnsi="Arial" w:cs="Arial"/>
            </w:rPr>
            <w:fldChar w:fldCharType="begin"/>
          </w:r>
          <w:r w:rsidRPr="00EB51E0">
            <w:rPr>
              <w:rFonts w:ascii="Arial" w:hAnsi="Arial" w:cs="Arial"/>
            </w:rPr>
            <w:instrText xml:space="preserve"> TOC \o "1-3" \h \z \u </w:instrText>
          </w:r>
          <w:r w:rsidRPr="00EB51E0">
            <w:rPr>
              <w:rFonts w:ascii="Arial" w:hAnsi="Arial" w:cs="Arial"/>
            </w:rPr>
            <w:fldChar w:fldCharType="separate"/>
          </w:r>
          <w:hyperlink w:anchor="_Toc236167953" w:history="1">
            <w:r w:rsidR="004F7B16" w:rsidRPr="00EB51E0">
              <w:rPr>
                <w:rStyle w:val="Hyperlink"/>
                <w:rFonts w:ascii="Arial" w:hAnsi="Arial" w:cs="Arial"/>
                <w:noProof/>
                <w:lang w:eastAsia="en-GB"/>
              </w:rPr>
              <w:t>INTRODUCTION</w:t>
            </w:r>
            <w:r w:rsidR="004F7B16" w:rsidRPr="00EB51E0">
              <w:rPr>
                <w:rFonts w:ascii="Arial" w:hAnsi="Arial" w:cs="Arial"/>
                <w:noProof/>
                <w:webHidden/>
              </w:rPr>
              <w:tab/>
            </w:r>
            <w:r w:rsidR="004F7B16" w:rsidRPr="00EB51E0">
              <w:rPr>
                <w:rFonts w:ascii="Arial" w:hAnsi="Arial" w:cs="Arial"/>
                <w:noProof/>
                <w:webHidden/>
              </w:rPr>
              <w:fldChar w:fldCharType="begin"/>
            </w:r>
            <w:r w:rsidR="004F7B16" w:rsidRPr="00EB51E0">
              <w:rPr>
                <w:rFonts w:ascii="Arial" w:hAnsi="Arial" w:cs="Arial"/>
                <w:noProof/>
                <w:webHidden/>
              </w:rPr>
              <w:instrText xml:space="preserve"> PAGEREF _Toc236167953 \h </w:instrText>
            </w:r>
            <w:r w:rsidR="004F7B16" w:rsidRPr="00EB51E0">
              <w:rPr>
                <w:rFonts w:ascii="Arial" w:hAnsi="Arial" w:cs="Arial"/>
                <w:noProof/>
                <w:webHidden/>
              </w:rPr>
            </w:r>
            <w:r w:rsidR="004F7B16" w:rsidRPr="00EB51E0">
              <w:rPr>
                <w:rFonts w:ascii="Arial" w:hAnsi="Arial" w:cs="Arial"/>
                <w:noProof/>
                <w:webHidden/>
              </w:rPr>
              <w:fldChar w:fldCharType="separate"/>
            </w:r>
            <w:r w:rsidR="004F7B16" w:rsidRPr="00EB51E0">
              <w:rPr>
                <w:rFonts w:ascii="Arial" w:hAnsi="Arial" w:cs="Arial"/>
                <w:noProof/>
                <w:webHidden/>
              </w:rPr>
              <w:t>4</w:t>
            </w:r>
            <w:r w:rsidR="004F7B16" w:rsidRPr="00EB51E0">
              <w:rPr>
                <w:rFonts w:ascii="Arial" w:hAnsi="Arial" w:cs="Arial"/>
                <w:noProof/>
                <w:webHidden/>
              </w:rPr>
              <w:fldChar w:fldCharType="end"/>
            </w:r>
          </w:hyperlink>
        </w:p>
        <w:p w14:paraId="759F7EB2" w14:textId="386F6269"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54" w:history="1">
            <w:r w:rsidRPr="00EB51E0">
              <w:rPr>
                <w:rStyle w:val="Hyperlink"/>
                <w:rFonts w:ascii="Arial" w:hAnsi="Arial" w:cs="Arial"/>
                <w:noProof/>
              </w:rPr>
              <w:t>Bartlett &amp; Ghoshal (1989) Analysis of Nando’s International Strategy</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_Toc236167954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5</w:t>
            </w:r>
            <w:r w:rsidRPr="00EB51E0">
              <w:rPr>
                <w:rFonts w:ascii="Arial" w:hAnsi="Arial" w:cs="Arial"/>
                <w:noProof/>
                <w:webHidden/>
              </w:rPr>
              <w:fldChar w:fldCharType="end"/>
            </w:r>
          </w:hyperlink>
        </w:p>
        <w:p w14:paraId="02CC6409" w14:textId="59F9B9CE"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55" w:history="1">
            <w:r w:rsidRPr="00EB51E0">
              <w:rPr>
                <w:rStyle w:val="Hyperlink"/>
                <w:rFonts w:ascii="Arial" w:hAnsi="Arial" w:cs="Arial"/>
                <w:noProof/>
              </w:rPr>
              <w:t>Understanding the Bartlett &amp; Ghoshal Framework</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_Toc236167955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5</w:t>
            </w:r>
            <w:r w:rsidRPr="00EB51E0">
              <w:rPr>
                <w:rFonts w:ascii="Arial" w:hAnsi="Arial" w:cs="Arial"/>
                <w:noProof/>
                <w:webHidden/>
              </w:rPr>
              <w:fldChar w:fldCharType="end"/>
            </w:r>
          </w:hyperlink>
        </w:p>
        <w:p w14:paraId="76265A00" w14:textId="046F6FF3"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56" w:history="1">
            <w:r w:rsidRPr="00EB51E0">
              <w:rPr>
                <w:rStyle w:val="Hyperlink"/>
                <w:rFonts w:ascii="Arial" w:hAnsi="Arial" w:cs="Arial"/>
                <w:noProof/>
              </w:rPr>
              <w:t>Why Nando's Fits the Transnational Strategy</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_Toc236167956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6</w:t>
            </w:r>
            <w:r w:rsidRPr="00EB51E0">
              <w:rPr>
                <w:rFonts w:ascii="Arial" w:hAnsi="Arial" w:cs="Arial"/>
                <w:noProof/>
                <w:webHidden/>
              </w:rPr>
              <w:fldChar w:fldCharType="end"/>
            </w:r>
          </w:hyperlink>
        </w:p>
        <w:p w14:paraId="38579CB3" w14:textId="586CE606"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57" w:history="1">
            <w:r w:rsidRPr="00EB51E0">
              <w:rPr>
                <w:rStyle w:val="Hyperlink"/>
                <w:rFonts w:ascii="Arial" w:hAnsi="Arial" w:cs="Arial"/>
                <w:noProof/>
              </w:rPr>
              <w:t>High Global Integration</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_Toc236167957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6</w:t>
            </w:r>
            <w:r w:rsidRPr="00EB51E0">
              <w:rPr>
                <w:rFonts w:ascii="Arial" w:hAnsi="Arial" w:cs="Arial"/>
                <w:noProof/>
                <w:webHidden/>
              </w:rPr>
              <w:fldChar w:fldCharType="end"/>
            </w:r>
          </w:hyperlink>
        </w:p>
        <w:p w14:paraId="142362C3" w14:textId="69FA0389"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58" w:history="1">
            <w:r w:rsidRPr="00EB51E0">
              <w:rPr>
                <w:rStyle w:val="Hyperlink"/>
                <w:rFonts w:ascii="Arial" w:hAnsi="Arial" w:cs="Arial"/>
                <w:noProof/>
              </w:rPr>
              <w:t>High Local Responsiveness</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_Toc236167958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6</w:t>
            </w:r>
            <w:r w:rsidRPr="00EB51E0">
              <w:rPr>
                <w:rFonts w:ascii="Arial" w:hAnsi="Arial" w:cs="Arial"/>
                <w:noProof/>
                <w:webHidden/>
              </w:rPr>
              <w:fldChar w:fldCharType="end"/>
            </w:r>
          </w:hyperlink>
        </w:p>
        <w:p w14:paraId="2C907D40" w14:textId="71E5C210"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59" w:history="1">
            <w:r w:rsidRPr="00EB51E0">
              <w:rPr>
                <w:rStyle w:val="Hyperlink"/>
                <w:rFonts w:ascii="Arial" w:hAnsi="Arial" w:cs="Arial"/>
                <w:noProof/>
              </w:rPr>
              <w:t>Knowledge Sharing Across Markets</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_Toc236167959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7</w:t>
            </w:r>
            <w:r w:rsidRPr="00EB51E0">
              <w:rPr>
                <w:rFonts w:ascii="Arial" w:hAnsi="Arial" w:cs="Arial"/>
                <w:noProof/>
                <w:webHidden/>
              </w:rPr>
              <w:fldChar w:fldCharType="end"/>
            </w:r>
          </w:hyperlink>
        </w:p>
        <w:p w14:paraId="3E21D2BF" w14:textId="050F83B4"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60" w:history="1">
            <w:r w:rsidRPr="00EB51E0">
              <w:rPr>
                <w:rStyle w:val="Hyperlink"/>
                <w:rFonts w:ascii="Arial" w:hAnsi="Arial" w:cs="Arial"/>
                <w:noProof/>
              </w:rPr>
              <w:t>Strategy Strengths</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_Toc236167960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7</w:t>
            </w:r>
            <w:r w:rsidRPr="00EB51E0">
              <w:rPr>
                <w:rFonts w:ascii="Arial" w:hAnsi="Arial" w:cs="Arial"/>
                <w:noProof/>
                <w:webHidden/>
              </w:rPr>
              <w:fldChar w:fldCharType="end"/>
            </w:r>
          </w:hyperlink>
        </w:p>
        <w:p w14:paraId="329EC2B4" w14:textId="05AB5155"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61" w:history="1">
            <w:r w:rsidRPr="00EB51E0">
              <w:rPr>
                <w:rStyle w:val="Hyperlink"/>
                <w:rFonts w:ascii="Arial" w:hAnsi="Arial" w:cs="Arial"/>
                <w:noProof/>
              </w:rPr>
              <w:t>Balancing Efficiency and Flexibility</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_Toc236167961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7</w:t>
            </w:r>
            <w:r w:rsidRPr="00EB51E0">
              <w:rPr>
                <w:rFonts w:ascii="Arial" w:hAnsi="Arial" w:cs="Arial"/>
                <w:noProof/>
                <w:webHidden/>
              </w:rPr>
              <w:fldChar w:fldCharType="end"/>
            </w:r>
          </w:hyperlink>
        </w:p>
        <w:p w14:paraId="0FA03AA7" w14:textId="191C48A7"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62" w:history="1">
            <w:r w:rsidRPr="00EB51E0">
              <w:rPr>
                <w:rStyle w:val="Hyperlink"/>
                <w:rFonts w:ascii="Arial" w:hAnsi="Arial" w:cs="Arial"/>
                <w:noProof/>
              </w:rPr>
              <w:t>Weaknesses</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_Toc236167962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7</w:t>
            </w:r>
            <w:r w:rsidRPr="00EB51E0">
              <w:rPr>
                <w:rFonts w:ascii="Arial" w:hAnsi="Arial" w:cs="Arial"/>
                <w:noProof/>
                <w:webHidden/>
              </w:rPr>
              <w:fldChar w:fldCharType="end"/>
            </w:r>
          </w:hyperlink>
        </w:p>
        <w:p w14:paraId="10F6C22E" w14:textId="647FB76D"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63" w:history="1">
            <w:r w:rsidRPr="00EB51E0">
              <w:rPr>
                <w:rStyle w:val="Hyperlink"/>
                <w:rFonts w:ascii="Arial" w:hAnsi="Arial" w:cs="Arial"/>
                <w:noProof/>
              </w:rPr>
              <w:t>DETERMINING NANDO’S SUCCESSFUL ENTRY INTO GERMANY</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_Toc236167963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8</w:t>
            </w:r>
            <w:r w:rsidRPr="00EB51E0">
              <w:rPr>
                <w:rFonts w:ascii="Arial" w:hAnsi="Arial" w:cs="Arial"/>
                <w:noProof/>
                <w:webHidden/>
              </w:rPr>
              <w:fldChar w:fldCharType="end"/>
            </w:r>
          </w:hyperlink>
        </w:p>
        <w:p w14:paraId="65842A50" w14:textId="08F02FE0"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64" w:history="1">
            <w:r w:rsidRPr="00EB51E0">
              <w:rPr>
                <w:rStyle w:val="Hyperlink"/>
                <w:rFonts w:ascii="Arial" w:hAnsi="Arial" w:cs="Arial"/>
                <w:noProof/>
              </w:rPr>
              <w:t>Political Factors</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_Toc236167964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8</w:t>
            </w:r>
            <w:r w:rsidRPr="00EB51E0">
              <w:rPr>
                <w:rFonts w:ascii="Arial" w:hAnsi="Arial" w:cs="Arial"/>
                <w:noProof/>
                <w:webHidden/>
              </w:rPr>
              <w:fldChar w:fldCharType="end"/>
            </w:r>
          </w:hyperlink>
        </w:p>
        <w:p w14:paraId="1A582378" w14:textId="418FD58A"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65" w:history="1">
            <w:r w:rsidRPr="00EB51E0">
              <w:rPr>
                <w:rStyle w:val="Hyperlink"/>
                <w:rFonts w:ascii="Arial" w:hAnsi="Arial" w:cs="Arial"/>
                <w:noProof/>
              </w:rPr>
              <w:t>Economic Factors</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_Toc236167965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9</w:t>
            </w:r>
            <w:r w:rsidRPr="00EB51E0">
              <w:rPr>
                <w:rFonts w:ascii="Arial" w:hAnsi="Arial" w:cs="Arial"/>
                <w:noProof/>
                <w:webHidden/>
              </w:rPr>
              <w:fldChar w:fldCharType="end"/>
            </w:r>
          </w:hyperlink>
        </w:p>
        <w:p w14:paraId="4255755B" w14:textId="05E9F1FA"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66" w:history="1">
            <w:r w:rsidRPr="00EB51E0">
              <w:rPr>
                <w:rStyle w:val="Hyperlink"/>
                <w:rFonts w:ascii="Arial" w:hAnsi="Arial" w:cs="Arial"/>
                <w:noProof/>
              </w:rPr>
              <w:t>Legal Factors</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_Toc236167966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10</w:t>
            </w:r>
            <w:r w:rsidRPr="00EB51E0">
              <w:rPr>
                <w:rFonts w:ascii="Arial" w:hAnsi="Arial" w:cs="Arial"/>
                <w:noProof/>
                <w:webHidden/>
              </w:rPr>
              <w:fldChar w:fldCharType="end"/>
            </w:r>
          </w:hyperlink>
        </w:p>
        <w:p w14:paraId="6383F7D4" w14:textId="17D85F6A"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67" w:history="1">
            <w:r w:rsidRPr="00EB51E0">
              <w:rPr>
                <w:rStyle w:val="Hyperlink"/>
                <w:rFonts w:ascii="Arial" w:hAnsi="Arial" w:cs="Arial"/>
                <w:noProof/>
              </w:rPr>
              <w:t>Cultural Factors</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_Toc236167967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11</w:t>
            </w:r>
            <w:r w:rsidRPr="00EB51E0">
              <w:rPr>
                <w:rFonts w:ascii="Arial" w:hAnsi="Arial" w:cs="Arial"/>
                <w:noProof/>
                <w:webHidden/>
              </w:rPr>
              <w:fldChar w:fldCharType="end"/>
            </w:r>
          </w:hyperlink>
        </w:p>
        <w:p w14:paraId="58C75CB3" w14:textId="0DEE683C"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68" w:history="1">
            <w:r w:rsidRPr="00EB51E0">
              <w:rPr>
                <w:rStyle w:val="Hyperlink"/>
                <w:rFonts w:ascii="Arial" w:hAnsi="Arial" w:cs="Arial"/>
                <w:noProof/>
              </w:rPr>
              <w:t>THE FINDINGS USING DUNNING’S ECLECTIC (OLI) PARADIGM</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_Toc236167968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12</w:t>
            </w:r>
            <w:r w:rsidRPr="00EB51E0">
              <w:rPr>
                <w:rFonts w:ascii="Arial" w:hAnsi="Arial" w:cs="Arial"/>
                <w:noProof/>
                <w:webHidden/>
              </w:rPr>
              <w:fldChar w:fldCharType="end"/>
            </w:r>
          </w:hyperlink>
        </w:p>
        <w:p w14:paraId="733C3350" w14:textId="36BD3284"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69" w:history="1">
            <w:r w:rsidRPr="00EB51E0">
              <w:rPr>
                <w:rStyle w:val="Hyperlink"/>
                <w:rFonts w:ascii="Arial" w:hAnsi="Arial" w:cs="Arial"/>
                <w:noProof/>
              </w:rPr>
              <w:t>Ownership Advantages</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_Toc236167969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12</w:t>
            </w:r>
            <w:r w:rsidRPr="00EB51E0">
              <w:rPr>
                <w:rFonts w:ascii="Arial" w:hAnsi="Arial" w:cs="Arial"/>
                <w:noProof/>
                <w:webHidden/>
              </w:rPr>
              <w:fldChar w:fldCharType="end"/>
            </w:r>
          </w:hyperlink>
        </w:p>
        <w:p w14:paraId="678980AB" w14:textId="40CFE58B"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70" w:history="1">
            <w:r w:rsidRPr="00EB51E0">
              <w:rPr>
                <w:rStyle w:val="Hyperlink"/>
                <w:rFonts w:ascii="Arial" w:hAnsi="Arial" w:cs="Arial"/>
                <w:noProof/>
              </w:rPr>
              <w:t>Location Advantages</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_Toc236167970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13</w:t>
            </w:r>
            <w:r w:rsidRPr="00EB51E0">
              <w:rPr>
                <w:rFonts w:ascii="Arial" w:hAnsi="Arial" w:cs="Arial"/>
                <w:noProof/>
                <w:webHidden/>
              </w:rPr>
              <w:fldChar w:fldCharType="end"/>
            </w:r>
          </w:hyperlink>
        </w:p>
        <w:p w14:paraId="2119FCA9" w14:textId="31502E16"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71" w:history="1">
            <w:r w:rsidRPr="00EB51E0">
              <w:rPr>
                <w:rStyle w:val="Hyperlink"/>
                <w:rFonts w:ascii="Arial" w:hAnsi="Arial" w:cs="Arial"/>
                <w:noProof/>
              </w:rPr>
              <w:t>Internalisation Advantages</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_Toc236167971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15</w:t>
            </w:r>
            <w:r w:rsidRPr="00EB51E0">
              <w:rPr>
                <w:rFonts w:ascii="Arial" w:hAnsi="Arial" w:cs="Arial"/>
                <w:noProof/>
                <w:webHidden/>
              </w:rPr>
              <w:fldChar w:fldCharType="end"/>
            </w:r>
          </w:hyperlink>
        </w:p>
        <w:p w14:paraId="7CFE9F61" w14:textId="106FAEB2"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72" w:history="1">
            <w:r w:rsidRPr="00EB51E0">
              <w:rPr>
                <w:rStyle w:val="Hyperlink"/>
                <w:rFonts w:ascii="Arial" w:hAnsi="Arial" w:cs="Arial"/>
                <w:noProof/>
              </w:rPr>
              <w:t>Overall Assessment</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_Toc236167972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15</w:t>
            </w:r>
            <w:r w:rsidRPr="00EB51E0">
              <w:rPr>
                <w:rFonts w:ascii="Arial" w:hAnsi="Arial" w:cs="Arial"/>
                <w:noProof/>
                <w:webHidden/>
              </w:rPr>
              <w:fldChar w:fldCharType="end"/>
            </w:r>
          </w:hyperlink>
        </w:p>
        <w:p w14:paraId="4F355116" w14:textId="003298D2"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73" w:history="1">
            <w:r w:rsidRPr="00EB51E0">
              <w:rPr>
                <w:rStyle w:val="Hyperlink"/>
                <w:rFonts w:ascii="Arial" w:hAnsi="Arial" w:cs="Arial"/>
                <w:noProof/>
              </w:rPr>
              <w:t>NANDO’S GLOBAL EXPANSION MODES</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_Toc236167973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17</w:t>
            </w:r>
            <w:r w:rsidRPr="00EB51E0">
              <w:rPr>
                <w:rFonts w:ascii="Arial" w:hAnsi="Arial" w:cs="Arial"/>
                <w:noProof/>
                <w:webHidden/>
              </w:rPr>
              <w:fldChar w:fldCharType="end"/>
            </w:r>
          </w:hyperlink>
        </w:p>
        <w:p w14:paraId="4B7494C7" w14:textId="714CF619"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74" w:history="1">
            <w:r w:rsidRPr="00EB51E0">
              <w:rPr>
                <w:rStyle w:val="Hyperlink"/>
                <w:rFonts w:ascii="Arial" w:hAnsi="Arial" w:cs="Arial"/>
                <w:noProof/>
              </w:rPr>
              <w:t>Introduction</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_Toc236167974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17</w:t>
            </w:r>
            <w:r w:rsidRPr="00EB51E0">
              <w:rPr>
                <w:rFonts w:ascii="Arial" w:hAnsi="Arial" w:cs="Arial"/>
                <w:noProof/>
                <w:webHidden/>
              </w:rPr>
              <w:fldChar w:fldCharType="end"/>
            </w:r>
          </w:hyperlink>
        </w:p>
        <w:p w14:paraId="527C83B0" w14:textId="3E9ABF5E"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75" w:history="1">
            <w:r w:rsidRPr="00EB51E0">
              <w:rPr>
                <w:rStyle w:val="Hyperlink"/>
                <w:rFonts w:ascii="Arial" w:hAnsi="Arial" w:cs="Arial"/>
                <w:noProof/>
              </w:rPr>
              <w:t>Company-Owned Subsidiaries: The Primary Entry Mode</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_Toc236167975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17</w:t>
            </w:r>
            <w:r w:rsidRPr="00EB51E0">
              <w:rPr>
                <w:rFonts w:ascii="Arial" w:hAnsi="Arial" w:cs="Arial"/>
                <w:noProof/>
                <w:webHidden/>
              </w:rPr>
              <w:fldChar w:fldCharType="end"/>
            </w:r>
          </w:hyperlink>
        </w:p>
        <w:p w14:paraId="0DD4D846" w14:textId="5C9F1292"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76" w:history="1">
            <w:r w:rsidRPr="00EB51E0">
              <w:rPr>
                <w:rStyle w:val="Hyperlink"/>
                <w:rFonts w:ascii="Arial" w:hAnsi="Arial" w:cs="Arial"/>
                <w:noProof/>
              </w:rPr>
              <w:t>Selective Franchising</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_Toc236167976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18</w:t>
            </w:r>
            <w:r w:rsidRPr="00EB51E0">
              <w:rPr>
                <w:rFonts w:ascii="Arial" w:hAnsi="Arial" w:cs="Arial"/>
                <w:noProof/>
                <w:webHidden/>
              </w:rPr>
              <w:fldChar w:fldCharType="end"/>
            </w:r>
          </w:hyperlink>
        </w:p>
        <w:p w14:paraId="3979A708" w14:textId="36B99059"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77" w:history="1">
            <w:r w:rsidRPr="00EB51E0">
              <w:rPr>
                <w:rStyle w:val="Hyperlink"/>
                <w:rFonts w:ascii="Arial" w:hAnsi="Arial" w:cs="Arial"/>
                <w:noProof/>
              </w:rPr>
              <w:t>Joint Ventures</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_Toc236167977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19</w:t>
            </w:r>
            <w:r w:rsidRPr="00EB51E0">
              <w:rPr>
                <w:rFonts w:ascii="Arial" w:hAnsi="Arial" w:cs="Arial"/>
                <w:noProof/>
                <w:webHidden/>
              </w:rPr>
              <w:fldChar w:fldCharType="end"/>
            </w:r>
          </w:hyperlink>
        </w:p>
        <w:p w14:paraId="0B09C131" w14:textId="3E850079"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78" w:history="1">
            <w:r w:rsidRPr="00EB51E0">
              <w:rPr>
                <w:rStyle w:val="Hyperlink"/>
                <w:rFonts w:ascii="Arial" w:hAnsi="Arial" w:cs="Arial"/>
                <w:noProof/>
              </w:rPr>
              <w:t>Limited Use of Licensing and Exporting</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_Toc236167978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19</w:t>
            </w:r>
            <w:r w:rsidRPr="00EB51E0">
              <w:rPr>
                <w:rFonts w:ascii="Arial" w:hAnsi="Arial" w:cs="Arial"/>
                <w:noProof/>
                <w:webHidden/>
              </w:rPr>
              <w:fldChar w:fldCharType="end"/>
            </w:r>
          </w:hyperlink>
        </w:p>
        <w:p w14:paraId="10451BC4" w14:textId="582F5ADB"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79" w:history="1">
            <w:r w:rsidRPr="00EB51E0">
              <w:rPr>
                <w:rStyle w:val="Hyperlink"/>
                <w:rFonts w:ascii="Arial" w:hAnsi="Arial" w:cs="Arial"/>
                <w:noProof/>
              </w:rPr>
              <w:t>Critical Evaluation</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_Toc236167979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20</w:t>
            </w:r>
            <w:r w:rsidRPr="00EB51E0">
              <w:rPr>
                <w:rFonts w:ascii="Arial" w:hAnsi="Arial" w:cs="Arial"/>
                <w:noProof/>
                <w:webHidden/>
              </w:rPr>
              <w:fldChar w:fldCharType="end"/>
            </w:r>
          </w:hyperlink>
        </w:p>
        <w:p w14:paraId="4646F310" w14:textId="1B5E7C19"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80" w:history="1">
            <w:r w:rsidRPr="00EB51E0">
              <w:rPr>
                <w:rStyle w:val="Hyperlink"/>
                <w:rFonts w:ascii="Arial" w:hAnsi="Arial" w:cs="Arial"/>
                <w:noProof/>
              </w:rPr>
              <w:t>Conclusion</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_Toc236167980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21</w:t>
            </w:r>
            <w:r w:rsidRPr="00EB51E0">
              <w:rPr>
                <w:rFonts w:ascii="Arial" w:hAnsi="Arial" w:cs="Arial"/>
                <w:noProof/>
                <w:webHidden/>
              </w:rPr>
              <w:fldChar w:fldCharType="end"/>
            </w:r>
          </w:hyperlink>
        </w:p>
        <w:p w14:paraId="2AE783E1" w14:textId="27803A8F"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81" w:history="1">
            <w:r w:rsidRPr="00EB51E0">
              <w:rPr>
                <w:rStyle w:val="Hyperlink"/>
                <w:rFonts w:ascii="Arial" w:hAnsi="Arial" w:cs="Arial"/>
                <w:noProof/>
              </w:rPr>
              <w:t>REFLECTION</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_Toc236167981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22</w:t>
            </w:r>
            <w:r w:rsidRPr="00EB51E0">
              <w:rPr>
                <w:rFonts w:ascii="Arial" w:hAnsi="Arial" w:cs="Arial"/>
                <w:noProof/>
                <w:webHidden/>
              </w:rPr>
              <w:fldChar w:fldCharType="end"/>
            </w:r>
          </w:hyperlink>
        </w:p>
        <w:p w14:paraId="0EBB2B21" w14:textId="7D27BFE9"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82" w:history="1">
            <w:r w:rsidRPr="00EB51E0">
              <w:rPr>
                <w:rStyle w:val="Hyperlink"/>
                <w:rFonts w:ascii="Arial" w:hAnsi="Arial" w:cs="Arial"/>
                <w:noProof/>
              </w:rPr>
              <w:t>Reflection Using Kolb’s Reflective Cycle</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_Toc236167982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22</w:t>
            </w:r>
            <w:r w:rsidRPr="00EB51E0">
              <w:rPr>
                <w:rFonts w:ascii="Arial" w:hAnsi="Arial" w:cs="Arial"/>
                <w:noProof/>
                <w:webHidden/>
              </w:rPr>
              <w:fldChar w:fldCharType="end"/>
            </w:r>
          </w:hyperlink>
        </w:p>
        <w:p w14:paraId="3D72430A" w14:textId="35EB0B2F"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83" w:history="1">
            <w:r w:rsidRPr="00EB51E0">
              <w:rPr>
                <w:rStyle w:val="Hyperlink"/>
                <w:rFonts w:ascii="Arial" w:hAnsi="Arial" w:cs="Arial"/>
                <w:noProof/>
              </w:rPr>
              <w:t>Concrete Experience</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_Toc236167983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22</w:t>
            </w:r>
            <w:r w:rsidRPr="00EB51E0">
              <w:rPr>
                <w:rFonts w:ascii="Arial" w:hAnsi="Arial" w:cs="Arial"/>
                <w:noProof/>
                <w:webHidden/>
              </w:rPr>
              <w:fldChar w:fldCharType="end"/>
            </w:r>
          </w:hyperlink>
        </w:p>
        <w:p w14:paraId="6382BD5C" w14:textId="7429397E"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84" w:history="1">
            <w:r w:rsidRPr="00EB51E0">
              <w:rPr>
                <w:rStyle w:val="Hyperlink"/>
                <w:rFonts w:ascii="Arial" w:hAnsi="Arial" w:cs="Arial"/>
                <w:noProof/>
              </w:rPr>
              <w:t>Reflective Observation</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_Toc236167984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23</w:t>
            </w:r>
            <w:r w:rsidRPr="00EB51E0">
              <w:rPr>
                <w:rFonts w:ascii="Arial" w:hAnsi="Arial" w:cs="Arial"/>
                <w:noProof/>
                <w:webHidden/>
              </w:rPr>
              <w:fldChar w:fldCharType="end"/>
            </w:r>
          </w:hyperlink>
        </w:p>
        <w:p w14:paraId="29A74D63" w14:textId="58416D5D"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85" w:history="1">
            <w:r w:rsidRPr="00EB51E0">
              <w:rPr>
                <w:rStyle w:val="Hyperlink"/>
                <w:rFonts w:ascii="Arial" w:hAnsi="Arial" w:cs="Arial"/>
                <w:noProof/>
              </w:rPr>
              <w:t>Abstract Conceptualisation</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_Toc236167985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23</w:t>
            </w:r>
            <w:r w:rsidRPr="00EB51E0">
              <w:rPr>
                <w:rFonts w:ascii="Arial" w:hAnsi="Arial" w:cs="Arial"/>
                <w:noProof/>
                <w:webHidden/>
              </w:rPr>
              <w:fldChar w:fldCharType="end"/>
            </w:r>
          </w:hyperlink>
        </w:p>
        <w:p w14:paraId="12509613" w14:textId="5BD7CB6A"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86" w:history="1">
            <w:r w:rsidRPr="00EB51E0">
              <w:rPr>
                <w:rStyle w:val="Hyperlink"/>
                <w:rFonts w:ascii="Arial" w:hAnsi="Arial" w:cs="Arial"/>
                <w:noProof/>
              </w:rPr>
              <w:t>Active Experimentation</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_Toc236167986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24</w:t>
            </w:r>
            <w:r w:rsidRPr="00EB51E0">
              <w:rPr>
                <w:rFonts w:ascii="Arial" w:hAnsi="Arial" w:cs="Arial"/>
                <w:noProof/>
                <w:webHidden/>
              </w:rPr>
              <w:fldChar w:fldCharType="end"/>
            </w:r>
          </w:hyperlink>
        </w:p>
        <w:p w14:paraId="389A18D7" w14:textId="1B2D1218"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87" w:history="1">
            <w:r w:rsidRPr="00EB51E0">
              <w:rPr>
                <w:rStyle w:val="Hyperlink"/>
                <w:rFonts w:ascii="Arial" w:hAnsi="Arial" w:cs="Arial"/>
                <w:noProof/>
              </w:rPr>
              <w:t>Conclusion</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_Toc236167987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24</w:t>
            </w:r>
            <w:r w:rsidRPr="00EB51E0">
              <w:rPr>
                <w:rFonts w:ascii="Arial" w:hAnsi="Arial" w:cs="Arial"/>
                <w:noProof/>
                <w:webHidden/>
              </w:rPr>
              <w:fldChar w:fldCharType="end"/>
            </w:r>
          </w:hyperlink>
        </w:p>
        <w:p w14:paraId="0AB7C3F4" w14:textId="656B1F8B" w:rsidR="004F7B16" w:rsidRPr="00EB51E0" w:rsidRDefault="004F7B16">
          <w:pPr>
            <w:pStyle w:val="TOC1"/>
            <w:tabs>
              <w:tab w:val="right" w:leader="dot" w:pos="9016"/>
            </w:tabs>
            <w:rPr>
              <w:rFonts w:ascii="Arial" w:eastAsiaTheme="minorEastAsia" w:hAnsi="Arial" w:cs="Arial"/>
              <w:noProof/>
              <w:kern w:val="2"/>
              <w:lang w:eastAsia="en-GB"/>
              <w14:ligatures w14:val="standardContextual"/>
            </w:rPr>
          </w:pPr>
          <w:hyperlink w:anchor="_Toc236167988" w:history="1">
            <w:r w:rsidRPr="00EB51E0">
              <w:rPr>
                <w:rStyle w:val="Hyperlink"/>
                <w:rFonts w:ascii="Arial" w:hAnsi="Arial" w:cs="Arial"/>
                <w:noProof/>
              </w:rPr>
              <w:t>REFERENCES</w:t>
            </w:r>
            <w:r w:rsidRPr="00EB51E0">
              <w:rPr>
                <w:rFonts w:ascii="Arial" w:hAnsi="Arial" w:cs="Arial"/>
                <w:noProof/>
                <w:webHidden/>
              </w:rPr>
              <w:tab/>
            </w:r>
            <w:r w:rsidRPr="00EB51E0">
              <w:rPr>
                <w:rFonts w:ascii="Arial" w:hAnsi="Arial" w:cs="Arial"/>
                <w:noProof/>
                <w:webHidden/>
              </w:rPr>
              <w:fldChar w:fldCharType="begin"/>
            </w:r>
            <w:r w:rsidRPr="00EB51E0">
              <w:rPr>
                <w:rFonts w:ascii="Arial" w:hAnsi="Arial" w:cs="Arial"/>
                <w:noProof/>
                <w:webHidden/>
              </w:rPr>
              <w:instrText xml:space="preserve"> PAGEREF _Toc236167988 \h </w:instrText>
            </w:r>
            <w:r w:rsidRPr="00EB51E0">
              <w:rPr>
                <w:rFonts w:ascii="Arial" w:hAnsi="Arial" w:cs="Arial"/>
                <w:noProof/>
                <w:webHidden/>
              </w:rPr>
            </w:r>
            <w:r w:rsidRPr="00EB51E0">
              <w:rPr>
                <w:rFonts w:ascii="Arial" w:hAnsi="Arial" w:cs="Arial"/>
                <w:noProof/>
                <w:webHidden/>
              </w:rPr>
              <w:fldChar w:fldCharType="separate"/>
            </w:r>
            <w:r w:rsidRPr="00EB51E0">
              <w:rPr>
                <w:rFonts w:ascii="Arial" w:hAnsi="Arial" w:cs="Arial"/>
                <w:noProof/>
                <w:webHidden/>
              </w:rPr>
              <w:t>25</w:t>
            </w:r>
            <w:r w:rsidRPr="00EB51E0">
              <w:rPr>
                <w:rFonts w:ascii="Arial" w:hAnsi="Arial" w:cs="Arial"/>
                <w:noProof/>
                <w:webHidden/>
              </w:rPr>
              <w:fldChar w:fldCharType="end"/>
            </w:r>
          </w:hyperlink>
        </w:p>
        <w:p w14:paraId="4C0FCF07" w14:textId="46E524EF" w:rsidR="00A01596" w:rsidRDefault="00A01596">
          <w:r w:rsidRPr="00EB51E0">
            <w:rPr>
              <w:rFonts w:ascii="Arial" w:hAnsi="Arial" w:cs="Arial"/>
              <w:b/>
              <w:bCs/>
              <w:noProof/>
            </w:rPr>
            <w:fldChar w:fldCharType="end"/>
          </w:r>
        </w:p>
      </w:sdtContent>
    </w:sdt>
    <w:p w14:paraId="0733A5F6" w14:textId="77777777" w:rsidR="00F03556" w:rsidRDefault="00F03556">
      <w:pPr>
        <w:spacing w:after="0" w:line="360" w:lineRule="auto"/>
        <w:ind w:right="389"/>
        <w:rPr>
          <w:rFonts w:ascii="Arial" w:eastAsia="Times New Roman" w:hAnsi="Arial" w:cs="Arial"/>
          <w:b/>
          <w:bCs/>
          <w:kern w:val="0"/>
          <w:sz w:val="22"/>
          <w:szCs w:val="22"/>
          <w:u w:val="single"/>
          <w:lang w:eastAsia="en-GB"/>
        </w:rPr>
      </w:pPr>
    </w:p>
    <w:p w14:paraId="6BA59473" w14:textId="77777777" w:rsidR="00F54CD6" w:rsidRDefault="00F54CD6">
      <w:pPr>
        <w:suppressAutoHyphens w:val="0"/>
        <w:rPr>
          <w:rFonts w:ascii="Arial" w:eastAsia="Times New Roman" w:hAnsi="Arial" w:cs="Arial"/>
          <w:b/>
          <w:bCs/>
          <w:kern w:val="0"/>
          <w:u w:val="single"/>
          <w:lang w:eastAsia="en-GB"/>
        </w:rPr>
      </w:pPr>
      <w:r>
        <w:rPr>
          <w:rFonts w:ascii="Arial" w:eastAsia="Times New Roman" w:hAnsi="Arial" w:cs="Arial"/>
          <w:b/>
          <w:bCs/>
          <w:kern w:val="0"/>
          <w:u w:val="single"/>
          <w:lang w:eastAsia="en-GB"/>
        </w:rPr>
        <w:br w:type="page"/>
      </w:r>
    </w:p>
    <w:p w14:paraId="0733A5F7" w14:textId="696BE7B9" w:rsidR="00F03556" w:rsidRPr="00FB72F0" w:rsidRDefault="003653F9" w:rsidP="00FB72F0">
      <w:pPr>
        <w:pStyle w:val="Heading1"/>
        <w:jc w:val="both"/>
        <w:rPr>
          <w:rFonts w:cs="Arial"/>
          <w:szCs w:val="24"/>
          <w:lang w:eastAsia="en-GB"/>
        </w:rPr>
      </w:pPr>
      <w:bookmarkStart w:id="0" w:name="_Toc236167953"/>
      <w:r w:rsidRPr="00FB72F0">
        <w:rPr>
          <w:rFonts w:cs="Arial"/>
          <w:szCs w:val="24"/>
          <w:lang w:eastAsia="en-GB"/>
        </w:rPr>
        <w:lastRenderedPageBreak/>
        <w:t>INTRODUCTION</w:t>
      </w:r>
      <w:bookmarkEnd w:id="0"/>
    </w:p>
    <w:p w14:paraId="32D3B527" w14:textId="77777777" w:rsidR="000A39A8" w:rsidRPr="00FB72F0" w:rsidRDefault="000A39A8" w:rsidP="00FB72F0">
      <w:pPr>
        <w:spacing w:after="0" w:line="360" w:lineRule="auto"/>
        <w:ind w:right="389"/>
        <w:jc w:val="both"/>
        <w:rPr>
          <w:rFonts w:ascii="Arial" w:eastAsia="Times New Roman" w:hAnsi="Arial" w:cs="Arial"/>
          <w:b/>
          <w:bCs/>
          <w:kern w:val="0"/>
          <w:u w:val="single"/>
          <w:lang w:eastAsia="en-GB"/>
        </w:rPr>
      </w:pPr>
    </w:p>
    <w:p w14:paraId="2DA78C2B" w14:textId="0F756406" w:rsidR="009E1D86" w:rsidRPr="00FB72F0" w:rsidRDefault="000A39A8" w:rsidP="00FB72F0">
      <w:pPr>
        <w:spacing w:line="360" w:lineRule="auto"/>
        <w:jc w:val="both"/>
        <w:rPr>
          <w:rFonts w:ascii="Arial" w:hAnsi="Arial" w:cs="Arial"/>
        </w:rPr>
      </w:pPr>
      <w:r w:rsidRPr="00FB72F0">
        <w:rPr>
          <w:rFonts w:ascii="Arial" w:hAnsi="Arial" w:cs="Arial"/>
        </w:rPr>
        <w:t>The rapid globalisation of the restaurant industry has intensified competitive pressures and compelled firms to adopt sophisticated international strategies that balance global efficiency with local market responsiveness. Understanding how organisations navigate these competing demands is central to evaluating their long</w:t>
      </w:r>
      <w:r w:rsidRPr="00FB72F0">
        <w:rPr>
          <w:rFonts w:ascii="Cambria Math" w:hAnsi="Cambria Math" w:cs="Cambria Math"/>
        </w:rPr>
        <w:t>‑</w:t>
      </w:r>
      <w:r w:rsidRPr="00FB72F0">
        <w:rPr>
          <w:rFonts w:ascii="Arial" w:hAnsi="Arial" w:cs="Arial"/>
        </w:rPr>
        <w:t>term competitiveness and strategic coherence. This report examines the international expansion and strategic positioning of Nando’s, a South African</w:t>
      </w:r>
      <w:r w:rsidRPr="00FB72F0">
        <w:rPr>
          <w:rFonts w:ascii="Cambria Math" w:hAnsi="Cambria Math" w:cs="Cambria Math"/>
        </w:rPr>
        <w:t>‑</w:t>
      </w:r>
      <w:r w:rsidRPr="00FB72F0">
        <w:rPr>
          <w:rFonts w:ascii="Arial" w:hAnsi="Arial" w:cs="Arial"/>
        </w:rPr>
        <w:t>Portuguese casual dining brand that has evolved into a globally recognised chain. Using Bartlett and Ghoshal’s</w:t>
      </w:r>
      <w:r w:rsidR="00CA773C" w:rsidRPr="00FB72F0">
        <w:rPr>
          <w:rFonts w:ascii="Arial" w:hAnsi="Arial" w:cs="Arial"/>
        </w:rPr>
        <w:t xml:space="preserve"> </w:t>
      </w:r>
      <w:r w:rsidRPr="00FB72F0">
        <w:rPr>
          <w:rFonts w:ascii="Arial" w:hAnsi="Arial" w:cs="Arial"/>
        </w:rPr>
        <w:t>International Strategy Framework, the analysis explores how Nando’s manages the dual pressures of global integration and local responsiveness across its diverse international markets. By critically assessing the extent to which Nando’s exhibits characteristics of global, multi</w:t>
      </w:r>
      <w:r w:rsidRPr="00FB72F0">
        <w:rPr>
          <w:rFonts w:ascii="Cambria Math" w:hAnsi="Cambria Math" w:cs="Cambria Math"/>
        </w:rPr>
        <w:t>‑</w:t>
      </w:r>
      <w:r w:rsidRPr="00FB72F0">
        <w:rPr>
          <w:rFonts w:ascii="Arial" w:hAnsi="Arial" w:cs="Arial"/>
        </w:rPr>
        <w:t>domestic, international, or transnational strategies, the report provides insight into the strategic choices underpinning the brand’s international success, as well as the challenges and limitations associated with its approach. This evaluation contributes to a deeper understanding of how mid</w:t>
      </w:r>
      <w:r w:rsidRPr="00FB72F0">
        <w:rPr>
          <w:rFonts w:ascii="Cambria Math" w:hAnsi="Cambria Math" w:cs="Cambria Math"/>
        </w:rPr>
        <w:t>‑</w:t>
      </w:r>
      <w:r w:rsidRPr="00FB72F0">
        <w:rPr>
          <w:rFonts w:ascii="Arial" w:hAnsi="Arial" w:cs="Arial"/>
        </w:rPr>
        <w:t>sized multinational restaurant chains can leverage hybrid strategies to sustain growth, maintain brand identity, and adapt to culturally varied consumer environments.</w:t>
      </w:r>
    </w:p>
    <w:p w14:paraId="22BE32C4" w14:textId="77777777" w:rsidR="000A39A8" w:rsidRPr="00FB72F0" w:rsidRDefault="000A39A8" w:rsidP="00FB72F0">
      <w:pPr>
        <w:spacing w:line="360" w:lineRule="auto"/>
        <w:jc w:val="both"/>
        <w:rPr>
          <w:rFonts w:ascii="Arial" w:hAnsi="Arial" w:cs="Arial"/>
        </w:rPr>
      </w:pPr>
    </w:p>
    <w:p w14:paraId="36BD053B" w14:textId="77777777" w:rsidR="00660A29" w:rsidRPr="00FB72F0" w:rsidRDefault="00660A29" w:rsidP="00FB72F0">
      <w:pPr>
        <w:suppressAutoHyphens w:val="0"/>
        <w:jc w:val="both"/>
        <w:rPr>
          <w:rFonts w:ascii="Arial" w:hAnsi="Arial" w:cs="Arial"/>
          <w:b/>
          <w:bCs/>
        </w:rPr>
      </w:pPr>
      <w:r w:rsidRPr="00FB72F0">
        <w:rPr>
          <w:rFonts w:ascii="Arial" w:hAnsi="Arial" w:cs="Arial"/>
          <w:b/>
          <w:bCs/>
        </w:rPr>
        <w:br w:type="page"/>
      </w:r>
    </w:p>
    <w:p w14:paraId="0733A5F9" w14:textId="283AA0FF" w:rsidR="00F03556" w:rsidRPr="00FB72F0" w:rsidRDefault="00BC2815" w:rsidP="00FB72F0">
      <w:pPr>
        <w:pStyle w:val="Heading1"/>
        <w:jc w:val="both"/>
        <w:rPr>
          <w:rFonts w:cs="Arial"/>
          <w:szCs w:val="24"/>
        </w:rPr>
      </w:pPr>
      <w:bookmarkStart w:id="1" w:name="_Toc236167954"/>
      <w:r w:rsidRPr="00FB72F0">
        <w:rPr>
          <w:rFonts w:cs="Arial"/>
          <w:noProof/>
          <w:szCs w:val="24"/>
        </w:rPr>
        <w:lastRenderedPageBreak/>
        <mc:AlternateContent>
          <mc:Choice Requires="wpg">
            <w:drawing>
              <wp:anchor distT="0" distB="0" distL="114300" distR="114300" simplePos="0" relativeHeight="251666432" behindDoc="0" locked="0" layoutInCell="1" allowOverlap="1" wp14:anchorId="6CA200B7" wp14:editId="058C4713">
                <wp:simplePos x="0" y="0"/>
                <wp:positionH relativeFrom="column">
                  <wp:posOffset>724395</wp:posOffset>
                </wp:positionH>
                <wp:positionV relativeFrom="paragraph">
                  <wp:posOffset>463138</wp:posOffset>
                </wp:positionV>
                <wp:extent cx="3918607" cy="3633524"/>
                <wp:effectExtent l="0" t="0" r="5715" b="5080"/>
                <wp:wrapNone/>
                <wp:docPr id="230571004" name="Group 10"/>
                <wp:cNvGraphicFramePr/>
                <a:graphic xmlns:a="http://schemas.openxmlformats.org/drawingml/2006/main">
                  <a:graphicData uri="http://schemas.microsoft.com/office/word/2010/wordprocessingGroup">
                    <wpg:wgp>
                      <wpg:cNvGrpSpPr/>
                      <wpg:grpSpPr>
                        <a:xfrm>
                          <a:off x="0" y="0"/>
                          <a:ext cx="3918607" cy="3633524"/>
                          <a:chOff x="0" y="0"/>
                          <a:chExt cx="3918607" cy="3633524"/>
                        </a:xfrm>
                      </wpg:grpSpPr>
                      <wps:wsp>
                        <wps:cNvPr id="341877615" name="Text Box 2"/>
                        <wps:cNvSpPr txBox="1">
                          <a:spLocks noChangeArrowheads="1"/>
                        </wps:cNvSpPr>
                        <wps:spPr bwMode="auto">
                          <a:xfrm>
                            <a:off x="0" y="0"/>
                            <a:ext cx="500380" cy="3023870"/>
                          </a:xfrm>
                          <a:prstGeom prst="rect">
                            <a:avLst/>
                          </a:prstGeom>
                          <a:solidFill>
                            <a:srgbClr val="FFFFFF"/>
                          </a:solidFill>
                          <a:ln w="9525">
                            <a:noFill/>
                            <a:miter lim="800000"/>
                            <a:headEnd/>
                            <a:tailEnd/>
                          </a:ln>
                        </wps:spPr>
                        <wps:txbx>
                          <w:txbxContent>
                            <w:p w14:paraId="20ED802E" w14:textId="4023AEB6" w:rsidR="007A22B5" w:rsidRPr="00A24063" w:rsidRDefault="00B271F3">
                              <w:pPr>
                                <w:rPr>
                                  <w:rFonts w:ascii="Arial" w:hAnsi="Arial" w:cs="Arial"/>
                                </w:rPr>
                              </w:pPr>
                              <w:r w:rsidRPr="00A24063">
                                <w:rPr>
                                  <w:rFonts w:ascii="Arial" w:hAnsi="Arial" w:cs="Arial"/>
                                </w:rPr>
                                <w:t>L</w:t>
                              </w:r>
                              <w:r w:rsidRPr="00A24063">
                                <w:rPr>
                                  <w:rFonts w:ascii="Arial" w:hAnsi="Arial" w:cs="Arial"/>
                                </w:rPr>
                                <w:tab/>
                              </w:r>
                              <w:r w:rsidR="004F457A" w:rsidRPr="00A24063">
                                <w:rPr>
                                  <w:rFonts w:ascii="Arial" w:hAnsi="Arial" w:cs="Arial"/>
                                </w:rPr>
                                <w:t>Drivers for Globalisation</w:t>
                              </w:r>
                              <w:r w:rsidRPr="00A24063">
                                <w:rPr>
                                  <w:rFonts w:ascii="Arial" w:hAnsi="Arial" w:cs="Arial"/>
                                </w:rPr>
                                <w:tab/>
                              </w:r>
                              <w:r w:rsidR="00990016" w:rsidRPr="00A24063">
                                <w:rPr>
                                  <w:rFonts w:ascii="Arial" w:hAnsi="Arial" w:cs="Arial"/>
                                </w:rPr>
                                <w:tab/>
                              </w:r>
                              <w:r w:rsidRPr="00A24063">
                                <w:rPr>
                                  <w:rFonts w:ascii="Arial" w:hAnsi="Arial" w:cs="Arial"/>
                                </w:rPr>
                                <w:t>H</w:t>
                              </w:r>
                            </w:p>
                          </w:txbxContent>
                        </wps:txbx>
                        <wps:bodyPr rot="0" vert="vert270" wrap="square" lIns="91440" tIns="45720" rIns="91440" bIns="45720" anchor="t" anchorCtr="0">
                          <a:spAutoFit/>
                        </wps:bodyPr>
                      </wps:wsp>
                      <wps:wsp>
                        <wps:cNvPr id="1738293806" name="Text Box 2"/>
                        <wps:cNvSpPr txBox="1">
                          <a:spLocks noChangeArrowheads="1"/>
                        </wps:cNvSpPr>
                        <wps:spPr bwMode="auto">
                          <a:xfrm>
                            <a:off x="356258" y="3229665"/>
                            <a:ext cx="3562349" cy="403859"/>
                          </a:xfrm>
                          <a:prstGeom prst="rect">
                            <a:avLst/>
                          </a:prstGeom>
                          <a:solidFill>
                            <a:srgbClr val="FFFFFF"/>
                          </a:solidFill>
                          <a:ln w="9525">
                            <a:noFill/>
                            <a:miter lim="800000"/>
                            <a:headEnd/>
                            <a:tailEnd/>
                          </a:ln>
                        </wps:spPr>
                        <wps:txbx>
                          <w:txbxContent>
                            <w:p w14:paraId="223F79CE" w14:textId="0B4B4407" w:rsidR="00990016" w:rsidRPr="00A24063" w:rsidRDefault="00B93DED">
                              <w:pPr>
                                <w:rPr>
                                  <w:rFonts w:ascii="Arial" w:hAnsi="Arial" w:cs="Arial"/>
                                </w:rPr>
                              </w:pPr>
                              <w:r w:rsidRPr="00A24063">
                                <w:rPr>
                                  <w:rFonts w:ascii="Arial" w:hAnsi="Arial" w:cs="Arial"/>
                                </w:rPr>
                                <w:t>L</w:t>
                              </w:r>
                              <w:r w:rsidRPr="00A24063">
                                <w:rPr>
                                  <w:rFonts w:ascii="Arial" w:hAnsi="Arial" w:cs="Arial"/>
                                </w:rPr>
                                <w:tab/>
                              </w:r>
                              <w:r w:rsidRPr="00A24063">
                                <w:rPr>
                                  <w:rFonts w:ascii="Arial" w:hAnsi="Arial" w:cs="Arial"/>
                                </w:rPr>
                                <w:tab/>
                                <w:t>Drivers for Localisation</w:t>
                              </w:r>
                              <w:r w:rsidRPr="00A24063">
                                <w:rPr>
                                  <w:rFonts w:ascii="Arial" w:hAnsi="Arial" w:cs="Arial"/>
                                </w:rPr>
                                <w:tab/>
                              </w:r>
                              <w:r w:rsidRPr="00A24063">
                                <w:rPr>
                                  <w:rFonts w:ascii="Arial" w:hAnsi="Arial" w:cs="Arial"/>
                                </w:rPr>
                                <w:tab/>
                                <w:t>H</w:t>
                              </w:r>
                            </w:p>
                          </w:txbxContent>
                        </wps:txbx>
                        <wps:bodyPr rot="0" vert="horz" wrap="square" lIns="91440" tIns="45720" rIns="91440" bIns="45720" anchor="t" anchorCtr="0">
                          <a:spAutoFit/>
                        </wps:bodyPr>
                      </wps:wsp>
                    </wpg:wgp>
                  </a:graphicData>
                </a:graphic>
              </wp:anchor>
            </w:drawing>
          </mc:Choice>
          <mc:Fallback>
            <w:pict>
              <v:group w14:anchorId="6CA200B7" id="Group 10" o:spid="_x0000_s1026" style="position:absolute;left:0;text-align:left;margin-left:57.05pt;margin-top:36.45pt;width:308.55pt;height:286.1pt;z-index:251666432" coordsize="39186,36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">
                <v:shapetype id="_x0000_t202" coordsize="21600,21600" o:spt="202" path="m,l,21600r21600,l21600,xe">
                  <v:stroke joinstyle="miter"/>
                  <v:path gradientshapeok="t" o:connecttype="rect"/>
                </v:shapetype>
                <v:shape id="Text Box 2" o:spid="_x0000_s1027" type="#_x0000_t202" style="position:absolute;width:5003;height:30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" stroked="f">
                  <v:textbox style="layout-flow:vertical;mso-layout-flow-alt:bottom-to-top;mso-fit-shape-to-text:t">
                    <w:txbxContent>
                      <w:p w14:paraId="20ED802E" w14:textId="4023AEB6" w:rsidR="007A22B5" w:rsidRPr="00A24063" w:rsidRDefault="00B271F3">
                        <w:pPr>
                          <w:rPr>
                            <w:rFonts w:ascii="Arial" w:hAnsi="Arial" w:cs="Arial"/>
                          </w:rPr>
                        </w:pPr>
                        <w:r w:rsidRPr="00A24063">
                          <w:rPr>
                            <w:rFonts w:ascii="Arial" w:hAnsi="Arial" w:cs="Arial"/>
                          </w:rPr>
                          <w:t>L</w:t>
                        </w:r>
                        <w:r w:rsidRPr="00A24063">
                          <w:rPr>
                            <w:rFonts w:ascii="Arial" w:hAnsi="Arial" w:cs="Arial"/>
                          </w:rPr>
                          <w:tab/>
                        </w:r>
                        <w:r w:rsidR="004F457A" w:rsidRPr="00A24063">
                          <w:rPr>
                            <w:rFonts w:ascii="Arial" w:hAnsi="Arial" w:cs="Arial"/>
                          </w:rPr>
                          <w:t>Drivers for Globalisation</w:t>
                        </w:r>
                        <w:r w:rsidRPr="00A24063">
                          <w:rPr>
                            <w:rFonts w:ascii="Arial" w:hAnsi="Arial" w:cs="Arial"/>
                          </w:rPr>
                          <w:tab/>
                        </w:r>
                        <w:r w:rsidR="00990016" w:rsidRPr="00A24063">
                          <w:rPr>
                            <w:rFonts w:ascii="Arial" w:hAnsi="Arial" w:cs="Arial"/>
                          </w:rPr>
                          <w:tab/>
                        </w:r>
                        <w:r w:rsidRPr="00A24063">
                          <w:rPr>
                            <w:rFonts w:ascii="Arial" w:hAnsi="Arial" w:cs="Arial"/>
                          </w:rPr>
                          <w:t>H</w:t>
                        </w:r>
                      </w:p>
                    </w:txbxContent>
                  </v:textbox>
                </v:shape>
                <v:shape id="Text Box 2" o:spid="_x0000_s1028" type="#_x0000_t202" style="position:absolute;left:3562;top:32296;width:35624;height:4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" stroked="f">
                  <v:textbox style="mso-fit-shape-to-text:t">
                    <w:txbxContent>
                      <w:p w14:paraId="223F79CE" w14:textId="0B4B4407" w:rsidR="00990016" w:rsidRPr="00A24063" w:rsidRDefault="00B93DED">
                        <w:pPr>
                          <w:rPr>
                            <w:rFonts w:ascii="Arial" w:hAnsi="Arial" w:cs="Arial"/>
                          </w:rPr>
                        </w:pPr>
                        <w:r w:rsidRPr="00A24063">
                          <w:rPr>
                            <w:rFonts w:ascii="Arial" w:hAnsi="Arial" w:cs="Arial"/>
                          </w:rPr>
                          <w:t>L</w:t>
                        </w:r>
                        <w:r w:rsidRPr="00A24063">
                          <w:rPr>
                            <w:rFonts w:ascii="Arial" w:hAnsi="Arial" w:cs="Arial"/>
                          </w:rPr>
                          <w:tab/>
                        </w:r>
                        <w:r w:rsidRPr="00A24063">
                          <w:rPr>
                            <w:rFonts w:ascii="Arial" w:hAnsi="Arial" w:cs="Arial"/>
                          </w:rPr>
                          <w:tab/>
                          <w:t>Drivers for Localisation</w:t>
                        </w:r>
                        <w:r w:rsidRPr="00A24063">
                          <w:rPr>
                            <w:rFonts w:ascii="Arial" w:hAnsi="Arial" w:cs="Arial"/>
                          </w:rPr>
                          <w:tab/>
                        </w:r>
                        <w:r w:rsidRPr="00A24063">
                          <w:rPr>
                            <w:rFonts w:ascii="Arial" w:hAnsi="Arial" w:cs="Arial"/>
                          </w:rPr>
                          <w:tab/>
                          <w:t>H</w:t>
                        </w:r>
                      </w:p>
                    </w:txbxContent>
                  </v:textbox>
                </v:shape>
              </v:group>
            </w:pict>
          </mc:Fallback>
        </mc:AlternateContent>
      </w:r>
      <w:r w:rsidRPr="00FB72F0">
        <w:rPr>
          <w:rFonts w:cs="Arial"/>
          <w:noProof/>
          <w:szCs w:val="24"/>
        </w:rPr>
        <w:drawing>
          <wp:anchor distT="0" distB="0" distL="114300" distR="114300" simplePos="0" relativeHeight="251664384" behindDoc="0" locked="0" layoutInCell="1" allowOverlap="1" wp14:anchorId="2960EB67" wp14:editId="1E5F9BA2">
            <wp:simplePos x="0" y="0"/>
            <wp:positionH relativeFrom="column">
              <wp:posOffset>1223158</wp:posOffset>
            </wp:positionH>
            <wp:positionV relativeFrom="paragraph">
              <wp:posOffset>332509</wp:posOffset>
            </wp:positionV>
            <wp:extent cx="3277235" cy="3200400"/>
            <wp:effectExtent l="0" t="0" r="0" b="0"/>
            <wp:wrapTopAndBottom/>
            <wp:docPr id="204525259"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anchor>
        </w:drawing>
      </w:r>
      <w:r w:rsidR="00DD6D84" w:rsidRPr="00FB72F0">
        <w:rPr>
          <w:rFonts w:cs="Arial"/>
          <w:szCs w:val="24"/>
        </w:rPr>
        <w:t>A</w:t>
      </w:r>
      <w:r w:rsidR="00AF3585" w:rsidRPr="00FB72F0">
        <w:rPr>
          <w:rFonts w:cs="Arial"/>
          <w:szCs w:val="24"/>
        </w:rPr>
        <w:t>NALYSIS OF</w:t>
      </w:r>
      <w:r w:rsidR="006A2011" w:rsidRPr="00FB72F0">
        <w:rPr>
          <w:rFonts w:cs="Arial"/>
          <w:szCs w:val="24"/>
        </w:rPr>
        <w:t xml:space="preserve"> </w:t>
      </w:r>
      <w:r w:rsidR="00AF3585" w:rsidRPr="00FB72F0">
        <w:rPr>
          <w:rFonts w:cs="Arial"/>
          <w:szCs w:val="24"/>
        </w:rPr>
        <w:t>NANDO’S INTERNATIONAL STRATEGY</w:t>
      </w:r>
      <w:bookmarkEnd w:id="1"/>
    </w:p>
    <w:p w14:paraId="05396976" w14:textId="0A800D77" w:rsidR="00BC2815" w:rsidRPr="00FB72F0" w:rsidRDefault="00BC2815" w:rsidP="00FB72F0">
      <w:pPr>
        <w:spacing w:line="360" w:lineRule="auto"/>
        <w:jc w:val="both"/>
        <w:rPr>
          <w:rFonts w:ascii="Arial" w:hAnsi="Arial" w:cs="Arial"/>
          <w:b/>
          <w:bCs/>
          <w:u w:val="single"/>
        </w:rPr>
      </w:pPr>
    </w:p>
    <w:p w14:paraId="15D5AFF5" w14:textId="77777777" w:rsidR="002320CA" w:rsidRPr="00FB72F0" w:rsidRDefault="002320CA" w:rsidP="00FB72F0">
      <w:pPr>
        <w:spacing w:line="360" w:lineRule="auto"/>
        <w:jc w:val="both"/>
        <w:rPr>
          <w:rFonts w:ascii="Arial" w:hAnsi="Arial" w:cs="Arial"/>
          <w:b/>
          <w:bCs/>
          <w:u w:val="single"/>
        </w:rPr>
      </w:pPr>
    </w:p>
    <w:p w14:paraId="06F3EC4E" w14:textId="24684E21" w:rsidR="00757BCF" w:rsidRPr="00FB72F0" w:rsidRDefault="00DD6D84" w:rsidP="00FB72F0">
      <w:pPr>
        <w:pStyle w:val="Heading1"/>
        <w:jc w:val="both"/>
        <w:rPr>
          <w:rFonts w:cs="Arial"/>
          <w:szCs w:val="24"/>
        </w:rPr>
      </w:pPr>
      <w:bookmarkStart w:id="2" w:name="_Toc236167955"/>
      <w:r w:rsidRPr="00FB72F0">
        <w:rPr>
          <w:rFonts w:cs="Arial"/>
          <w:szCs w:val="24"/>
        </w:rPr>
        <w:t>Understanding the Bartlett &amp; Ghoshal Framework</w:t>
      </w:r>
      <w:bookmarkEnd w:id="2"/>
    </w:p>
    <w:p w14:paraId="056915C4" w14:textId="51A9C074" w:rsidR="005F63DF" w:rsidRPr="00FB72F0" w:rsidRDefault="00F31EC1" w:rsidP="00FB72F0">
      <w:pPr>
        <w:spacing w:before="240" w:line="360" w:lineRule="auto"/>
        <w:jc w:val="both"/>
        <w:rPr>
          <w:rFonts w:ascii="Arial" w:hAnsi="Arial" w:cs="Arial"/>
        </w:rPr>
      </w:pPr>
      <w:r w:rsidRPr="00FB72F0">
        <w:rPr>
          <w:rFonts w:ascii="Arial" w:hAnsi="Arial" w:cs="Arial"/>
        </w:rPr>
        <w:t>Bartlett and Ghoshal's</w:t>
      </w:r>
      <w:r w:rsidR="006808E3" w:rsidRPr="00FB72F0">
        <w:rPr>
          <w:rFonts w:ascii="Arial" w:hAnsi="Arial" w:cs="Arial"/>
        </w:rPr>
        <w:t xml:space="preserve"> </w:t>
      </w:r>
      <w:r w:rsidRPr="00FB72F0">
        <w:rPr>
          <w:rFonts w:ascii="Arial" w:hAnsi="Arial" w:cs="Arial"/>
        </w:rPr>
        <w:t xml:space="preserve">international strategy framework classifies multinational companies into four strategic approaches based on the balance between global integration and local responsiveness. </w:t>
      </w:r>
      <w:r w:rsidR="00DD6D84" w:rsidRPr="00FB72F0">
        <w:rPr>
          <w:rFonts w:ascii="Arial" w:hAnsi="Arial" w:cs="Arial"/>
        </w:rPr>
        <w:t>The four resulting strategies are</w:t>
      </w:r>
      <w:r w:rsidR="00E17658" w:rsidRPr="00FB72F0">
        <w:rPr>
          <w:rFonts w:ascii="Arial" w:hAnsi="Arial" w:cs="Arial"/>
        </w:rPr>
        <w:t xml:space="preserve"> Internation</w:t>
      </w:r>
      <w:r w:rsidR="000963E5" w:rsidRPr="00FB72F0">
        <w:rPr>
          <w:rFonts w:ascii="Arial" w:hAnsi="Arial" w:cs="Arial"/>
        </w:rPr>
        <w:t>al with</w:t>
      </w:r>
      <w:r w:rsidR="00C35610" w:rsidRPr="00FB72F0">
        <w:rPr>
          <w:rFonts w:ascii="Arial" w:hAnsi="Arial" w:cs="Arial"/>
        </w:rPr>
        <w:t xml:space="preserve"> </w:t>
      </w:r>
      <w:r w:rsidR="007D6A4D" w:rsidRPr="00FB72F0">
        <w:rPr>
          <w:rFonts w:ascii="Arial" w:hAnsi="Arial" w:cs="Arial"/>
        </w:rPr>
        <w:t>g</w:t>
      </w:r>
      <w:r w:rsidR="00DD6D84" w:rsidRPr="00FB72F0">
        <w:rPr>
          <w:rFonts w:ascii="Arial" w:hAnsi="Arial" w:cs="Arial"/>
        </w:rPr>
        <w:t>lobal high integration</w:t>
      </w:r>
      <w:r w:rsidR="004045A5" w:rsidRPr="00FB72F0">
        <w:rPr>
          <w:rFonts w:ascii="Arial" w:hAnsi="Arial" w:cs="Arial"/>
        </w:rPr>
        <w:t xml:space="preserve"> </w:t>
      </w:r>
      <w:r w:rsidR="000963E5" w:rsidRPr="00FB72F0">
        <w:rPr>
          <w:rFonts w:ascii="Arial" w:hAnsi="Arial" w:cs="Arial"/>
        </w:rPr>
        <w:t>and</w:t>
      </w:r>
      <w:r w:rsidR="00DD6D84" w:rsidRPr="00FB72F0">
        <w:rPr>
          <w:rFonts w:ascii="Arial" w:hAnsi="Arial" w:cs="Arial"/>
        </w:rPr>
        <w:t xml:space="preserve"> low </w:t>
      </w:r>
      <w:r w:rsidR="007D6A4D" w:rsidRPr="00FB72F0">
        <w:rPr>
          <w:rFonts w:ascii="Arial" w:hAnsi="Arial" w:cs="Arial"/>
        </w:rPr>
        <w:t xml:space="preserve">responsiveness, </w:t>
      </w:r>
      <w:r w:rsidR="000963E5" w:rsidRPr="00FB72F0">
        <w:rPr>
          <w:rFonts w:ascii="Arial" w:hAnsi="Arial" w:cs="Arial"/>
        </w:rPr>
        <w:t>Multi</w:t>
      </w:r>
      <w:r w:rsidR="00DD6D84" w:rsidRPr="00FB72F0">
        <w:rPr>
          <w:rFonts w:ascii="Arial" w:hAnsi="Arial" w:cs="Arial"/>
        </w:rPr>
        <w:t xml:space="preserve">domestic </w:t>
      </w:r>
      <w:r w:rsidR="00020E66" w:rsidRPr="00FB72F0">
        <w:rPr>
          <w:rFonts w:ascii="Arial" w:hAnsi="Arial" w:cs="Arial"/>
        </w:rPr>
        <w:t>with</w:t>
      </w:r>
      <w:r w:rsidR="00DD6D84" w:rsidRPr="00FB72F0">
        <w:rPr>
          <w:rFonts w:ascii="Arial" w:hAnsi="Arial" w:cs="Arial"/>
        </w:rPr>
        <w:t xml:space="preserve"> low integration</w:t>
      </w:r>
      <w:r w:rsidR="006764E8" w:rsidRPr="00FB72F0">
        <w:rPr>
          <w:rFonts w:ascii="Arial" w:hAnsi="Arial" w:cs="Arial"/>
        </w:rPr>
        <w:t xml:space="preserve"> and</w:t>
      </w:r>
      <w:r w:rsidR="00DD6D84" w:rsidRPr="00FB72F0">
        <w:rPr>
          <w:rFonts w:ascii="Arial" w:hAnsi="Arial" w:cs="Arial"/>
        </w:rPr>
        <w:t xml:space="preserve"> high responsiveness</w:t>
      </w:r>
      <w:r w:rsidR="006764E8" w:rsidRPr="00FB72F0">
        <w:rPr>
          <w:rFonts w:ascii="Arial" w:hAnsi="Arial" w:cs="Arial"/>
        </w:rPr>
        <w:t>,</w:t>
      </w:r>
      <w:r w:rsidR="007D6A4D" w:rsidRPr="00FB72F0">
        <w:rPr>
          <w:rFonts w:ascii="Arial" w:hAnsi="Arial" w:cs="Arial"/>
        </w:rPr>
        <w:t xml:space="preserve"> t</w:t>
      </w:r>
      <w:r w:rsidR="00DD6D84" w:rsidRPr="00FB72F0">
        <w:rPr>
          <w:rFonts w:ascii="Arial" w:hAnsi="Arial" w:cs="Arial"/>
        </w:rPr>
        <w:t xml:space="preserve">ransnational </w:t>
      </w:r>
      <w:r w:rsidR="00020E66" w:rsidRPr="00FB72F0">
        <w:rPr>
          <w:rFonts w:ascii="Arial" w:hAnsi="Arial" w:cs="Arial"/>
        </w:rPr>
        <w:t>with</w:t>
      </w:r>
      <w:r w:rsidR="00DD6D84" w:rsidRPr="00FB72F0">
        <w:rPr>
          <w:rFonts w:ascii="Arial" w:hAnsi="Arial" w:cs="Arial"/>
        </w:rPr>
        <w:t xml:space="preserve"> high integration</w:t>
      </w:r>
      <w:r w:rsidR="006764E8" w:rsidRPr="00FB72F0">
        <w:rPr>
          <w:rFonts w:ascii="Arial" w:hAnsi="Arial" w:cs="Arial"/>
        </w:rPr>
        <w:t xml:space="preserve"> and</w:t>
      </w:r>
      <w:r w:rsidR="00DD6D84" w:rsidRPr="00FB72F0">
        <w:rPr>
          <w:rFonts w:ascii="Arial" w:hAnsi="Arial" w:cs="Arial"/>
        </w:rPr>
        <w:t xml:space="preserve"> high responsiveness</w:t>
      </w:r>
      <w:r w:rsidR="007D6A4D" w:rsidRPr="00FB72F0">
        <w:rPr>
          <w:rFonts w:ascii="Arial" w:hAnsi="Arial" w:cs="Arial"/>
        </w:rPr>
        <w:t xml:space="preserve"> and </w:t>
      </w:r>
      <w:r w:rsidR="00A21CFF" w:rsidRPr="00FB72F0">
        <w:rPr>
          <w:rFonts w:ascii="Arial" w:hAnsi="Arial" w:cs="Arial"/>
        </w:rPr>
        <w:t>Global</w:t>
      </w:r>
      <w:r w:rsidR="00DD6D84" w:rsidRPr="00FB72F0">
        <w:rPr>
          <w:rFonts w:ascii="Arial" w:hAnsi="Arial" w:cs="Arial"/>
        </w:rPr>
        <w:t xml:space="preserve"> </w:t>
      </w:r>
      <w:r w:rsidR="000C1874" w:rsidRPr="00FB72F0">
        <w:rPr>
          <w:rFonts w:ascii="Arial" w:hAnsi="Arial" w:cs="Arial"/>
        </w:rPr>
        <w:t>with</w:t>
      </w:r>
      <w:r w:rsidR="00DD6D84" w:rsidRPr="00FB72F0">
        <w:rPr>
          <w:rFonts w:ascii="Arial" w:hAnsi="Arial" w:cs="Arial"/>
        </w:rPr>
        <w:t xml:space="preserve"> </w:t>
      </w:r>
      <w:r w:rsidR="00A21CFF" w:rsidRPr="00FB72F0">
        <w:rPr>
          <w:rFonts w:ascii="Arial" w:hAnsi="Arial" w:cs="Arial"/>
        </w:rPr>
        <w:t>high</w:t>
      </w:r>
      <w:r w:rsidR="00DD6D84" w:rsidRPr="00FB72F0">
        <w:rPr>
          <w:rFonts w:ascii="Arial" w:hAnsi="Arial" w:cs="Arial"/>
        </w:rPr>
        <w:t xml:space="preserve"> integration</w:t>
      </w:r>
      <w:r w:rsidR="000C1874" w:rsidRPr="00FB72F0">
        <w:rPr>
          <w:rFonts w:ascii="Arial" w:hAnsi="Arial" w:cs="Arial"/>
        </w:rPr>
        <w:t xml:space="preserve"> and</w:t>
      </w:r>
      <w:r w:rsidR="00DD6D84" w:rsidRPr="00FB72F0">
        <w:rPr>
          <w:rFonts w:ascii="Arial" w:hAnsi="Arial" w:cs="Arial"/>
        </w:rPr>
        <w:t xml:space="preserve"> low responsiveness</w:t>
      </w:r>
      <w:r w:rsidR="00922012" w:rsidRPr="00FB72F0">
        <w:rPr>
          <w:rFonts w:ascii="Arial" w:hAnsi="Arial" w:cs="Arial"/>
        </w:rPr>
        <w:t xml:space="preserve"> (Tallman, 1990)</w:t>
      </w:r>
      <w:r w:rsidR="007D6A4D" w:rsidRPr="00FB72F0">
        <w:rPr>
          <w:rFonts w:ascii="Arial" w:hAnsi="Arial" w:cs="Arial"/>
        </w:rPr>
        <w:t>.</w:t>
      </w:r>
    </w:p>
    <w:p w14:paraId="395FB1E4" w14:textId="6170B735" w:rsidR="005F63DF" w:rsidRPr="00FB72F0" w:rsidRDefault="00CB2264" w:rsidP="00FB72F0">
      <w:pPr>
        <w:spacing w:line="360" w:lineRule="auto"/>
        <w:jc w:val="both"/>
        <w:rPr>
          <w:rFonts w:ascii="Arial" w:hAnsi="Arial" w:cs="Arial"/>
        </w:rPr>
      </w:pPr>
      <w:r w:rsidRPr="00FB72F0">
        <w:rPr>
          <w:rFonts w:ascii="Arial" w:hAnsi="Arial" w:cs="Arial"/>
        </w:rPr>
        <w:t>Nando's is best classified as pursuing a transnational strategy, although elements of a multidomestic strategy are also evident. The company seeks to maintain a globally consistent brand while adapting products, operations, and marketing to local market conditions.</w:t>
      </w:r>
    </w:p>
    <w:p w14:paraId="786B59A9" w14:textId="77777777" w:rsidR="00724056" w:rsidRPr="00FB72F0" w:rsidRDefault="00724056" w:rsidP="00FB72F0">
      <w:pPr>
        <w:spacing w:line="360" w:lineRule="auto"/>
        <w:jc w:val="both"/>
        <w:rPr>
          <w:rFonts w:ascii="Arial" w:hAnsi="Arial" w:cs="Arial"/>
        </w:rPr>
      </w:pPr>
    </w:p>
    <w:p w14:paraId="6B92D13E" w14:textId="77777777" w:rsidR="00B63583" w:rsidRPr="00FB72F0" w:rsidRDefault="00B63583" w:rsidP="00FB72F0">
      <w:pPr>
        <w:pStyle w:val="Heading1"/>
        <w:jc w:val="both"/>
        <w:rPr>
          <w:rFonts w:cs="Arial"/>
          <w:szCs w:val="24"/>
        </w:rPr>
      </w:pPr>
      <w:bookmarkStart w:id="3" w:name="_Toc236167956"/>
      <w:r w:rsidRPr="00FB72F0">
        <w:rPr>
          <w:rFonts w:cs="Arial"/>
          <w:szCs w:val="24"/>
        </w:rPr>
        <w:lastRenderedPageBreak/>
        <w:t>Why Nando's Fits the Transnational Strategy</w:t>
      </w:r>
      <w:bookmarkEnd w:id="3"/>
    </w:p>
    <w:p w14:paraId="0832EA87" w14:textId="2C6A44EB" w:rsidR="00B63583" w:rsidRPr="00FB72F0" w:rsidRDefault="00B63583" w:rsidP="00FB72F0">
      <w:pPr>
        <w:pStyle w:val="Heading1"/>
        <w:jc w:val="both"/>
        <w:rPr>
          <w:rFonts w:cs="Arial"/>
          <w:szCs w:val="24"/>
        </w:rPr>
      </w:pPr>
      <w:bookmarkStart w:id="4" w:name="_Toc236167957"/>
      <w:r w:rsidRPr="00FB72F0">
        <w:rPr>
          <w:rFonts w:cs="Arial"/>
          <w:szCs w:val="24"/>
        </w:rPr>
        <w:t>High Global Integration</w:t>
      </w:r>
      <w:bookmarkEnd w:id="4"/>
    </w:p>
    <w:p w14:paraId="0790735A" w14:textId="5018C391" w:rsidR="00B63583" w:rsidRPr="00FB72F0" w:rsidRDefault="00986705" w:rsidP="00FB72F0">
      <w:pPr>
        <w:spacing w:before="240" w:line="360" w:lineRule="auto"/>
        <w:jc w:val="both"/>
        <w:rPr>
          <w:rFonts w:ascii="Arial" w:hAnsi="Arial" w:cs="Arial"/>
        </w:rPr>
      </w:pPr>
      <w:r w:rsidRPr="00FB72F0">
        <w:rPr>
          <w:rFonts w:ascii="Arial" w:hAnsi="Arial" w:cs="Arial"/>
        </w:rPr>
        <w:t>D</w:t>
      </w:r>
      <w:r w:rsidR="00B63583" w:rsidRPr="00FB72F0">
        <w:rPr>
          <w:rFonts w:ascii="Arial" w:hAnsi="Arial" w:cs="Arial"/>
        </w:rPr>
        <w:t>efining feature</w:t>
      </w:r>
      <w:r w:rsidRPr="00FB72F0">
        <w:rPr>
          <w:rFonts w:ascii="Arial" w:hAnsi="Arial" w:cs="Arial"/>
        </w:rPr>
        <w:t>s</w:t>
      </w:r>
      <w:r w:rsidR="00B63583" w:rsidRPr="00FB72F0">
        <w:rPr>
          <w:rFonts w:ascii="Arial" w:hAnsi="Arial" w:cs="Arial"/>
        </w:rPr>
        <w:t xml:space="preserve"> of Nando's is maintaining a consistent brand identity across all international markets</w:t>
      </w:r>
      <w:r w:rsidRPr="00FB72F0">
        <w:rPr>
          <w:rFonts w:ascii="Arial" w:hAnsi="Arial" w:cs="Arial"/>
        </w:rPr>
        <w:t xml:space="preserve"> are</w:t>
      </w:r>
      <w:r w:rsidR="004A7B6E" w:rsidRPr="00FB72F0">
        <w:rPr>
          <w:rFonts w:ascii="Arial" w:hAnsi="Arial" w:cs="Arial"/>
        </w:rPr>
        <w:t xml:space="preserve"> P</w:t>
      </w:r>
      <w:r w:rsidR="00B63583" w:rsidRPr="00FB72F0">
        <w:rPr>
          <w:rFonts w:ascii="Arial" w:hAnsi="Arial" w:cs="Arial"/>
        </w:rPr>
        <w:t>ERi-PERi chicken remains the signature product worldwide</w:t>
      </w:r>
      <w:r w:rsidR="004A7B6E" w:rsidRPr="00FB72F0">
        <w:rPr>
          <w:rFonts w:ascii="Arial" w:hAnsi="Arial" w:cs="Arial"/>
        </w:rPr>
        <w:t>, r</w:t>
      </w:r>
      <w:r w:rsidR="00B63583" w:rsidRPr="00FB72F0">
        <w:rPr>
          <w:rFonts w:ascii="Arial" w:hAnsi="Arial" w:cs="Arial"/>
        </w:rPr>
        <w:t xml:space="preserve">estaurant ambience follows a recognisable South </w:t>
      </w:r>
      <w:r w:rsidR="000D79FB" w:rsidRPr="00FB72F0">
        <w:rPr>
          <w:rFonts w:ascii="Arial" w:hAnsi="Arial" w:cs="Arial"/>
        </w:rPr>
        <w:t xml:space="preserve">African </w:t>
      </w:r>
      <w:r w:rsidR="00B63583" w:rsidRPr="00FB72F0">
        <w:rPr>
          <w:rFonts w:ascii="Arial" w:hAnsi="Arial" w:cs="Arial"/>
        </w:rPr>
        <w:t>design theme</w:t>
      </w:r>
      <w:r w:rsidR="004A7B6E" w:rsidRPr="00FB72F0">
        <w:rPr>
          <w:rFonts w:ascii="Arial" w:hAnsi="Arial" w:cs="Arial"/>
        </w:rPr>
        <w:t xml:space="preserve">, </w:t>
      </w:r>
      <w:r w:rsidR="004D3FD0" w:rsidRPr="00FB72F0">
        <w:rPr>
          <w:rFonts w:ascii="Arial" w:hAnsi="Arial" w:cs="Arial"/>
        </w:rPr>
        <w:t>c</w:t>
      </w:r>
      <w:r w:rsidR="00B63583" w:rsidRPr="00FB72F0">
        <w:rPr>
          <w:rFonts w:ascii="Arial" w:hAnsi="Arial" w:cs="Arial"/>
        </w:rPr>
        <w:t>ore branding, logo, slogans, and service philosophy remain consistent</w:t>
      </w:r>
      <w:r w:rsidR="004D3FD0" w:rsidRPr="00FB72F0">
        <w:rPr>
          <w:rFonts w:ascii="Arial" w:hAnsi="Arial" w:cs="Arial"/>
        </w:rPr>
        <w:t>, q</w:t>
      </w:r>
      <w:r w:rsidR="00B63583" w:rsidRPr="00FB72F0">
        <w:rPr>
          <w:rFonts w:ascii="Arial" w:hAnsi="Arial" w:cs="Arial"/>
        </w:rPr>
        <w:t>uality standards are centrally controlled</w:t>
      </w:r>
      <w:r w:rsidR="004D3FD0" w:rsidRPr="00FB72F0">
        <w:rPr>
          <w:rFonts w:ascii="Arial" w:hAnsi="Arial" w:cs="Arial"/>
        </w:rPr>
        <w:t xml:space="preserve"> and g</w:t>
      </w:r>
      <w:r w:rsidR="00B63583" w:rsidRPr="00FB72F0">
        <w:rPr>
          <w:rFonts w:ascii="Arial" w:hAnsi="Arial" w:cs="Arial"/>
        </w:rPr>
        <w:t>lobal supplier relationships ensure consistency in sauces and marinades</w:t>
      </w:r>
      <w:r w:rsidR="009617FC" w:rsidRPr="00FB72F0">
        <w:rPr>
          <w:rFonts w:ascii="Arial" w:hAnsi="Arial" w:cs="Arial"/>
        </w:rPr>
        <w:t xml:space="preserve"> (Nando’s, 2026)</w:t>
      </w:r>
      <w:r w:rsidR="00B63583" w:rsidRPr="00FB72F0">
        <w:rPr>
          <w:rFonts w:ascii="Arial" w:hAnsi="Arial" w:cs="Arial"/>
        </w:rPr>
        <w:t>.</w:t>
      </w:r>
    </w:p>
    <w:p w14:paraId="557EA8B4" w14:textId="14D7D20F" w:rsidR="00B63583" w:rsidRPr="00FB72F0" w:rsidRDefault="00B63583" w:rsidP="00FB72F0">
      <w:pPr>
        <w:spacing w:line="360" w:lineRule="auto"/>
        <w:jc w:val="both"/>
        <w:rPr>
          <w:rFonts w:ascii="Arial" w:hAnsi="Arial" w:cs="Arial"/>
        </w:rPr>
      </w:pPr>
      <w:r w:rsidRPr="00FB72F0">
        <w:rPr>
          <w:rFonts w:ascii="Arial" w:hAnsi="Arial" w:cs="Arial"/>
        </w:rPr>
        <w:t>These characteristics demonstrate strong global integration by creating economies of scale and protecting brand equity.</w:t>
      </w:r>
      <w:r w:rsidR="003F0A4E" w:rsidRPr="00FB72F0">
        <w:rPr>
          <w:rFonts w:ascii="Arial" w:hAnsi="Arial" w:cs="Arial"/>
        </w:rPr>
        <w:t xml:space="preserve"> </w:t>
      </w:r>
      <w:r w:rsidRPr="00FB72F0">
        <w:rPr>
          <w:rFonts w:ascii="Arial" w:hAnsi="Arial" w:cs="Arial"/>
        </w:rPr>
        <w:t>Maintaining standardisation enables</w:t>
      </w:r>
      <w:r w:rsidR="000D79FB" w:rsidRPr="00FB72F0">
        <w:rPr>
          <w:rFonts w:ascii="Arial" w:hAnsi="Arial" w:cs="Arial"/>
        </w:rPr>
        <w:t xml:space="preserve"> </w:t>
      </w:r>
      <w:r w:rsidRPr="00FB72F0">
        <w:rPr>
          <w:rFonts w:ascii="Arial" w:hAnsi="Arial" w:cs="Arial"/>
        </w:rPr>
        <w:t>strong global brand recognition</w:t>
      </w:r>
      <w:r w:rsidR="003977F4" w:rsidRPr="00FB72F0">
        <w:rPr>
          <w:rFonts w:ascii="Arial" w:hAnsi="Arial" w:cs="Arial"/>
        </w:rPr>
        <w:t xml:space="preserve">, </w:t>
      </w:r>
      <w:r w:rsidRPr="00FB72F0">
        <w:rPr>
          <w:rFonts w:ascii="Arial" w:hAnsi="Arial" w:cs="Arial"/>
        </w:rPr>
        <w:t>consistent customer experience</w:t>
      </w:r>
      <w:r w:rsidR="003977F4" w:rsidRPr="00FB72F0">
        <w:rPr>
          <w:rFonts w:ascii="Arial" w:hAnsi="Arial" w:cs="Arial"/>
        </w:rPr>
        <w:t xml:space="preserve">, </w:t>
      </w:r>
      <w:r w:rsidRPr="00FB72F0">
        <w:rPr>
          <w:rFonts w:ascii="Arial" w:hAnsi="Arial" w:cs="Arial"/>
        </w:rPr>
        <w:t>operational efficiency</w:t>
      </w:r>
      <w:r w:rsidR="003977F4" w:rsidRPr="00FB72F0">
        <w:rPr>
          <w:rFonts w:ascii="Arial" w:hAnsi="Arial" w:cs="Arial"/>
        </w:rPr>
        <w:t xml:space="preserve"> and </w:t>
      </w:r>
      <w:r w:rsidRPr="00FB72F0">
        <w:rPr>
          <w:rFonts w:ascii="Arial" w:hAnsi="Arial" w:cs="Arial"/>
        </w:rPr>
        <w:t>lower product development costs</w:t>
      </w:r>
      <w:r w:rsidR="003977F4" w:rsidRPr="00FB72F0">
        <w:rPr>
          <w:rFonts w:ascii="Arial" w:hAnsi="Arial" w:cs="Arial"/>
        </w:rPr>
        <w:t xml:space="preserve">. </w:t>
      </w:r>
      <w:r w:rsidRPr="00FB72F0">
        <w:rPr>
          <w:rFonts w:ascii="Arial" w:hAnsi="Arial" w:cs="Arial"/>
        </w:rPr>
        <w:t>However, excessive standardisation could reduce appeal in culturally different markets.</w:t>
      </w:r>
    </w:p>
    <w:p w14:paraId="26A2652F" w14:textId="77777777" w:rsidR="00724056" w:rsidRPr="00FB72F0" w:rsidRDefault="00724056" w:rsidP="00FB72F0">
      <w:pPr>
        <w:spacing w:line="360" w:lineRule="auto"/>
        <w:jc w:val="both"/>
        <w:rPr>
          <w:rFonts w:ascii="Arial" w:hAnsi="Arial" w:cs="Arial"/>
        </w:rPr>
      </w:pPr>
    </w:p>
    <w:p w14:paraId="60304BE0" w14:textId="4E1B0679" w:rsidR="00B63583" w:rsidRPr="00FB72F0" w:rsidRDefault="00B63583" w:rsidP="00FB72F0">
      <w:pPr>
        <w:pStyle w:val="Heading1"/>
        <w:jc w:val="both"/>
        <w:rPr>
          <w:rFonts w:cs="Arial"/>
          <w:szCs w:val="24"/>
        </w:rPr>
      </w:pPr>
      <w:bookmarkStart w:id="5" w:name="_Toc236167958"/>
      <w:r w:rsidRPr="00FB72F0">
        <w:rPr>
          <w:rFonts w:cs="Arial"/>
          <w:szCs w:val="24"/>
        </w:rPr>
        <w:t>High Local Responsiveness</w:t>
      </w:r>
      <w:bookmarkEnd w:id="5"/>
    </w:p>
    <w:p w14:paraId="4C89CF4F" w14:textId="74DDB3BF" w:rsidR="00B63583" w:rsidRPr="00FB72F0" w:rsidRDefault="00B63583" w:rsidP="00FB72F0">
      <w:pPr>
        <w:spacing w:before="240" w:line="360" w:lineRule="auto"/>
        <w:jc w:val="both"/>
        <w:rPr>
          <w:rFonts w:ascii="Arial" w:hAnsi="Arial" w:cs="Arial"/>
        </w:rPr>
      </w:pPr>
      <w:r w:rsidRPr="00FB72F0">
        <w:rPr>
          <w:rFonts w:ascii="Arial" w:hAnsi="Arial" w:cs="Arial"/>
        </w:rPr>
        <w:t>Unlike companies using a purely global strategy, Nando's adapts significantly to local markets</w:t>
      </w:r>
      <w:r w:rsidR="00DD514E" w:rsidRPr="00FB72F0">
        <w:rPr>
          <w:rFonts w:ascii="Arial" w:hAnsi="Arial" w:cs="Arial"/>
        </w:rPr>
        <w:t xml:space="preserve"> by </w:t>
      </w:r>
      <w:r w:rsidRPr="00FB72F0">
        <w:rPr>
          <w:rFonts w:ascii="Arial" w:hAnsi="Arial" w:cs="Arial"/>
        </w:rPr>
        <w:t>expanded vegetarian and vegan ranges</w:t>
      </w:r>
      <w:r w:rsidR="00DD514E" w:rsidRPr="00FB72F0">
        <w:rPr>
          <w:rFonts w:ascii="Arial" w:hAnsi="Arial" w:cs="Arial"/>
        </w:rPr>
        <w:t xml:space="preserve">, </w:t>
      </w:r>
      <w:r w:rsidRPr="00FB72F0">
        <w:rPr>
          <w:rFonts w:ascii="Arial" w:hAnsi="Arial" w:cs="Arial"/>
        </w:rPr>
        <w:t>children's menus</w:t>
      </w:r>
      <w:r w:rsidR="00DD514E" w:rsidRPr="00FB72F0">
        <w:rPr>
          <w:rFonts w:ascii="Arial" w:hAnsi="Arial" w:cs="Arial"/>
        </w:rPr>
        <w:t xml:space="preserve">, </w:t>
      </w:r>
      <w:r w:rsidRPr="00FB72F0">
        <w:rPr>
          <w:rFonts w:ascii="Arial" w:hAnsi="Arial" w:cs="Arial"/>
        </w:rPr>
        <w:t>halal restaurants in selected areas</w:t>
      </w:r>
      <w:r w:rsidR="00DD514E" w:rsidRPr="00FB72F0">
        <w:rPr>
          <w:rFonts w:ascii="Arial" w:hAnsi="Arial" w:cs="Arial"/>
        </w:rPr>
        <w:t xml:space="preserve"> of the UK.</w:t>
      </w:r>
    </w:p>
    <w:p w14:paraId="26017EFC" w14:textId="09AB1828" w:rsidR="00B63583" w:rsidRPr="00FB72F0" w:rsidRDefault="00692911" w:rsidP="00FB72F0">
      <w:pPr>
        <w:spacing w:line="360" w:lineRule="auto"/>
        <w:jc w:val="both"/>
        <w:rPr>
          <w:rFonts w:ascii="Arial" w:hAnsi="Arial" w:cs="Arial"/>
        </w:rPr>
      </w:pPr>
      <w:r w:rsidRPr="00FB72F0">
        <w:rPr>
          <w:rFonts w:ascii="Arial" w:hAnsi="Arial" w:cs="Arial"/>
        </w:rPr>
        <w:t xml:space="preserve">Implementing </w:t>
      </w:r>
      <w:r w:rsidR="00B63583" w:rsidRPr="00FB72F0">
        <w:rPr>
          <w:rFonts w:ascii="Arial" w:hAnsi="Arial" w:cs="Arial"/>
        </w:rPr>
        <w:t>lower spice options alongside extra-hot PERi-PERi</w:t>
      </w:r>
      <w:r w:rsidRPr="00FB72F0">
        <w:rPr>
          <w:rFonts w:ascii="Arial" w:hAnsi="Arial" w:cs="Arial"/>
        </w:rPr>
        <w:t xml:space="preserve">, </w:t>
      </w:r>
      <w:r w:rsidR="00B63583" w:rsidRPr="00FB72F0">
        <w:rPr>
          <w:rFonts w:ascii="Arial" w:hAnsi="Arial" w:cs="Arial"/>
        </w:rPr>
        <w:t>vegetarian wraps and paneer products</w:t>
      </w:r>
      <w:r w:rsidRPr="00FB72F0">
        <w:rPr>
          <w:rFonts w:ascii="Arial" w:hAnsi="Arial" w:cs="Arial"/>
        </w:rPr>
        <w:t xml:space="preserve">, </w:t>
      </w:r>
      <w:r w:rsidR="00B63583" w:rsidRPr="00FB72F0">
        <w:rPr>
          <w:rFonts w:ascii="Arial" w:hAnsi="Arial" w:cs="Arial"/>
        </w:rPr>
        <w:t>no beef products</w:t>
      </w:r>
      <w:r w:rsidRPr="00FB72F0">
        <w:rPr>
          <w:rFonts w:ascii="Arial" w:hAnsi="Arial" w:cs="Arial"/>
        </w:rPr>
        <w:t xml:space="preserve"> and </w:t>
      </w:r>
      <w:r w:rsidR="00B63583" w:rsidRPr="00FB72F0">
        <w:rPr>
          <w:rFonts w:ascii="Arial" w:hAnsi="Arial" w:cs="Arial"/>
        </w:rPr>
        <w:t>menu adapted to local dietary preferences</w:t>
      </w:r>
      <w:r w:rsidR="007971EC" w:rsidRPr="00FB72F0">
        <w:rPr>
          <w:rFonts w:ascii="Arial" w:hAnsi="Arial" w:cs="Arial"/>
        </w:rPr>
        <w:t xml:space="preserve"> in India</w:t>
      </w:r>
      <w:r w:rsidR="00F54145" w:rsidRPr="00FB72F0">
        <w:rPr>
          <w:rFonts w:ascii="Arial" w:hAnsi="Arial" w:cs="Arial"/>
        </w:rPr>
        <w:t xml:space="preserve"> </w:t>
      </w:r>
      <w:r w:rsidR="006A2011" w:rsidRPr="00FB72F0">
        <w:rPr>
          <w:rFonts w:ascii="Arial" w:hAnsi="Arial" w:cs="Arial"/>
        </w:rPr>
        <w:t>(</w:t>
      </w:r>
      <w:r w:rsidR="00F54145" w:rsidRPr="00FB72F0">
        <w:rPr>
          <w:rFonts w:ascii="Arial" w:hAnsi="Arial" w:cs="Arial"/>
        </w:rPr>
        <w:t>Nando’s</w:t>
      </w:r>
      <w:r w:rsidR="006A2011" w:rsidRPr="00FB72F0">
        <w:rPr>
          <w:rFonts w:ascii="Arial" w:hAnsi="Arial" w:cs="Arial"/>
        </w:rPr>
        <w:t>, 2026)</w:t>
      </w:r>
      <w:r w:rsidR="007971EC" w:rsidRPr="00FB72F0">
        <w:rPr>
          <w:rFonts w:ascii="Arial" w:hAnsi="Arial" w:cs="Arial"/>
        </w:rPr>
        <w:t>.</w:t>
      </w:r>
    </w:p>
    <w:p w14:paraId="5B341051" w14:textId="706CBEBE" w:rsidR="00B63583" w:rsidRPr="00FB72F0" w:rsidRDefault="00916A24" w:rsidP="00FB72F0">
      <w:pPr>
        <w:spacing w:line="360" w:lineRule="auto"/>
        <w:jc w:val="both"/>
        <w:rPr>
          <w:rFonts w:ascii="Arial" w:hAnsi="Arial" w:cs="Arial"/>
        </w:rPr>
      </w:pPr>
      <w:r w:rsidRPr="00FB72F0">
        <w:rPr>
          <w:rFonts w:ascii="Arial" w:hAnsi="Arial" w:cs="Arial"/>
        </w:rPr>
        <w:t xml:space="preserve">Employing </w:t>
      </w:r>
      <w:r w:rsidR="00B63583" w:rsidRPr="00FB72F0">
        <w:rPr>
          <w:rFonts w:ascii="Arial" w:hAnsi="Arial" w:cs="Arial"/>
        </w:rPr>
        <w:t>entirely halal-certified operations</w:t>
      </w:r>
      <w:r w:rsidRPr="00FB72F0">
        <w:rPr>
          <w:rFonts w:ascii="Arial" w:hAnsi="Arial" w:cs="Arial"/>
        </w:rPr>
        <w:t xml:space="preserve">, </w:t>
      </w:r>
      <w:r w:rsidR="00B63583" w:rsidRPr="00FB72F0">
        <w:rPr>
          <w:rFonts w:ascii="Arial" w:hAnsi="Arial" w:cs="Arial"/>
        </w:rPr>
        <w:t>family dining layouts</w:t>
      </w:r>
      <w:r w:rsidRPr="00FB72F0">
        <w:rPr>
          <w:rFonts w:ascii="Arial" w:hAnsi="Arial" w:cs="Arial"/>
        </w:rPr>
        <w:t xml:space="preserve"> and </w:t>
      </w:r>
      <w:r w:rsidR="00B63583" w:rsidRPr="00FB72F0">
        <w:rPr>
          <w:rFonts w:ascii="Arial" w:hAnsi="Arial" w:cs="Arial"/>
        </w:rPr>
        <w:t>culturally appropriate marketing</w:t>
      </w:r>
      <w:r w:rsidR="007971EC" w:rsidRPr="00FB72F0">
        <w:rPr>
          <w:rFonts w:ascii="Arial" w:hAnsi="Arial" w:cs="Arial"/>
        </w:rPr>
        <w:t xml:space="preserve"> in the Middle East.</w:t>
      </w:r>
    </w:p>
    <w:p w14:paraId="2112EF0B" w14:textId="5EE701A4" w:rsidR="00B63583" w:rsidRPr="00FB72F0" w:rsidRDefault="0081482A" w:rsidP="00FB72F0">
      <w:pPr>
        <w:spacing w:line="360" w:lineRule="auto"/>
        <w:jc w:val="both"/>
        <w:rPr>
          <w:rFonts w:ascii="Arial" w:hAnsi="Arial" w:cs="Arial"/>
        </w:rPr>
      </w:pPr>
      <w:r w:rsidRPr="00FB72F0">
        <w:rPr>
          <w:rFonts w:ascii="Arial" w:hAnsi="Arial" w:cs="Arial"/>
        </w:rPr>
        <w:t xml:space="preserve">Affecting </w:t>
      </w:r>
      <w:r w:rsidR="00B63583" w:rsidRPr="00FB72F0">
        <w:rPr>
          <w:rFonts w:ascii="Arial" w:hAnsi="Arial" w:cs="Arial"/>
        </w:rPr>
        <w:t>simplified menus</w:t>
      </w:r>
      <w:r w:rsidRPr="00FB72F0">
        <w:rPr>
          <w:rFonts w:ascii="Arial" w:hAnsi="Arial" w:cs="Arial"/>
        </w:rPr>
        <w:t xml:space="preserve">, </w:t>
      </w:r>
      <w:r w:rsidR="00B63583" w:rsidRPr="00FB72F0">
        <w:rPr>
          <w:rFonts w:ascii="Arial" w:hAnsi="Arial" w:cs="Arial"/>
        </w:rPr>
        <w:t>stronger emphasis on grilled chicken rather than spicy food</w:t>
      </w:r>
      <w:r w:rsidRPr="00FB72F0">
        <w:rPr>
          <w:rFonts w:ascii="Arial" w:hAnsi="Arial" w:cs="Arial"/>
        </w:rPr>
        <w:t xml:space="preserve">, </w:t>
      </w:r>
      <w:r w:rsidR="00B63583" w:rsidRPr="00FB72F0">
        <w:rPr>
          <w:rFonts w:ascii="Arial" w:hAnsi="Arial" w:cs="Arial"/>
        </w:rPr>
        <w:t>digital ordering and loyalty programmes</w:t>
      </w:r>
      <w:r w:rsidRPr="00FB72F0">
        <w:rPr>
          <w:rFonts w:ascii="Arial" w:hAnsi="Arial" w:cs="Arial"/>
        </w:rPr>
        <w:t xml:space="preserve"> in the USA.</w:t>
      </w:r>
      <w:r w:rsidR="00724056" w:rsidRPr="00FB72F0">
        <w:rPr>
          <w:rFonts w:ascii="Arial" w:hAnsi="Arial" w:cs="Arial"/>
        </w:rPr>
        <w:t xml:space="preserve"> </w:t>
      </w:r>
      <w:r w:rsidR="00B63583" w:rsidRPr="00FB72F0">
        <w:rPr>
          <w:rFonts w:ascii="Arial" w:hAnsi="Arial" w:cs="Arial"/>
        </w:rPr>
        <w:t>This flexibility reflects high local responsiveness.</w:t>
      </w:r>
    </w:p>
    <w:p w14:paraId="6E694AF7" w14:textId="77777777" w:rsidR="00B63583" w:rsidRPr="00FB72F0" w:rsidRDefault="00B63583" w:rsidP="00FB72F0">
      <w:pPr>
        <w:spacing w:line="360" w:lineRule="auto"/>
        <w:jc w:val="both"/>
        <w:rPr>
          <w:rFonts w:ascii="Arial" w:hAnsi="Arial" w:cs="Arial"/>
        </w:rPr>
      </w:pPr>
    </w:p>
    <w:p w14:paraId="09772675" w14:textId="034DC337" w:rsidR="00B63583" w:rsidRPr="00FB72F0" w:rsidRDefault="00B63583" w:rsidP="00FB72F0">
      <w:pPr>
        <w:pStyle w:val="Heading1"/>
        <w:jc w:val="both"/>
        <w:rPr>
          <w:rFonts w:cs="Arial"/>
          <w:szCs w:val="24"/>
        </w:rPr>
      </w:pPr>
      <w:bookmarkStart w:id="6" w:name="_Toc236167959"/>
      <w:r w:rsidRPr="00FB72F0">
        <w:rPr>
          <w:rFonts w:cs="Arial"/>
          <w:szCs w:val="24"/>
        </w:rPr>
        <w:lastRenderedPageBreak/>
        <w:t>Knowledge Sharing Across Markets</w:t>
      </w:r>
      <w:bookmarkEnd w:id="6"/>
    </w:p>
    <w:p w14:paraId="733930BA" w14:textId="13CBFC89" w:rsidR="00B63583" w:rsidRPr="00FB72F0" w:rsidRDefault="00B63583" w:rsidP="00FB72F0">
      <w:pPr>
        <w:spacing w:before="240" w:line="360" w:lineRule="auto"/>
        <w:jc w:val="both"/>
        <w:rPr>
          <w:rFonts w:ascii="Arial" w:hAnsi="Arial" w:cs="Arial"/>
        </w:rPr>
      </w:pPr>
      <w:r w:rsidRPr="00FB72F0">
        <w:rPr>
          <w:rFonts w:ascii="Arial" w:hAnsi="Arial" w:cs="Arial"/>
        </w:rPr>
        <w:t>One hallmark of transnational firms is learning across subsidiaries.</w:t>
      </w:r>
      <w:r w:rsidR="002E7CF8" w:rsidRPr="00FB72F0">
        <w:rPr>
          <w:rFonts w:ascii="Arial" w:hAnsi="Arial" w:cs="Arial"/>
        </w:rPr>
        <w:t xml:space="preserve"> </w:t>
      </w:r>
      <w:r w:rsidRPr="00FB72F0">
        <w:rPr>
          <w:rFonts w:ascii="Arial" w:hAnsi="Arial" w:cs="Arial"/>
        </w:rPr>
        <w:t>Nando's demonstrates this by</w:t>
      </w:r>
      <w:r w:rsidR="002E7CF8" w:rsidRPr="00FB72F0">
        <w:rPr>
          <w:rFonts w:ascii="Arial" w:hAnsi="Arial" w:cs="Arial"/>
        </w:rPr>
        <w:t xml:space="preserve"> </w:t>
      </w:r>
      <w:r w:rsidRPr="00FB72F0">
        <w:rPr>
          <w:rFonts w:ascii="Arial" w:hAnsi="Arial" w:cs="Arial"/>
        </w:rPr>
        <w:t>introducing successful menu innovations internationally</w:t>
      </w:r>
      <w:r w:rsidR="002E7CF8" w:rsidRPr="00FB72F0">
        <w:rPr>
          <w:rFonts w:ascii="Arial" w:hAnsi="Arial" w:cs="Arial"/>
        </w:rPr>
        <w:t>,</w:t>
      </w:r>
      <w:r w:rsidR="00106A00" w:rsidRPr="00FB72F0">
        <w:rPr>
          <w:rFonts w:ascii="Arial" w:hAnsi="Arial" w:cs="Arial"/>
        </w:rPr>
        <w:t xml:space="preserve"> </w:t>
      </w:r>
      <w:r w:rsidRPr="00FB72F0">
        <w:rPr>
          <w:rFonts w:ascii="Arial" w:hAnsi="Arial" w:cs="Arial"/>
        </w:rPr>
        <w:t>sharing digital ordering technologies</w:t>
      </w:r>
      <w:r w:rsidR="00106A00" w:rsidRPr="00FB72F0">
        <w:rPr>
          <w:rFonts w:ascii="Arial" w:hAnsi="Arial" w:cs="Arial"/>
        </w:rPr>
        <w:t xml:space="preserve">, </w:t>
      </w:r>
      <w:r w:rsidRPr="00FB72F0">
        <w:rPr>
          <w:rFonts w:ascii="Arial" w:hAnsi="Arial" w:cs="Arial"/>
        </w:rPr>
        <w:t>transferring restaurant design ideas</w:t>
      </w:r>
      <w:r w:rsidR="00106A00" w:rsidRPr="00FB72F0">
        <w:rPr>
          <w:rFonts w:ascii="Arial" w:hAnsi="Arial" w:cs="Arial"/>
        </w:rPr>
        <w:t xml:space="preserve">, </w:t>
      </w:r>
      <w:r w:rsidRPr="00FB72F0">
        <w:rPr>
          <w:rFonts w:ascii="Arial" w:hAnsi="Arial" w:cs="Arial"/>
        </w:rPr>
        <w:t>global management training programmes</w:t>
      </w:r>
      <w:r w:rsidR="00106A00" w:rsidRPr="00FB72F0">
        <w:rPr>
          <w:rFonts w:ascii="Arial" w:hAnsi="Arial" w:cs="Arial"/>
        </w:rPr>
        <w:t xml:space="preserve"> and </w:t>
      </w:r>
      <w:r w:rsidRPr="00FB72F0">
        <w:rPr>
          <w:rFonts w:ascii="Arial" w:hAnsi="Arial" w:cs="Arial"/>
        </w:rPr>
        <w:t>cross-country supply chain coordination</w:t>
      </w:r>
      <w:r w:rsidR="00106A00" w:rsidRPr="00FB72F0">
        <w:rPr>
          <w:rFonts w:ascii="Arial" w:hAnsi="Arial" w:cs="Arial"/>
        </w:rPr>
        <w:t xml:space="preserve">. </w:t>
      </w:r>
      <w:r w:rsidRPr="00FB72F0">
        <w:rPr>
          <w:rFonts w:ascii="Arial" w:hAnsi="Arial" w:cs="Arial"/>
        </w:rPr>
        <w:t>Knowledge flows in multiple directions rather than simply from headquarters.</w:t>
      </w:r>
    </w:p>
    <w:p w14:paraId="740F5191" w14:textId="77777777" w:rsidR="00B63583" w:rsidRPr="00FB72F0" w:rsidRDefault="00B63583" w:rsidP="00FB72F0">
      <w:pPr>
        <w:spacing w:line="360" w:lineRule="auto"/>
        <w:jc w:val="both"/>
        <w:rPr>
          <w:rFonts w:ascii="Arial" w:hAnsi="Arial" w:cs="Arial"/>
        </w:rPr>
      </w:pPr>
    </w:p>
    <w:p w14:paraId="7D162AA7" w14:textId="4A8B5E73" w:rsidR="00B63583" w:rsidRPr="00FB72F0" w:rsidRDefault="00B63583" w:rsidP="00FB72F0">
      <w:pPr>
        <w:pStyle w:val="Heading1"/>
        <w:jc w:val="both"/>
        <w:rPr>
          <w:rFonts w:cs="Arial"/>
          <w:szCs w:val="24"/>
        </w:rPr>
      </w:pPr>
      <w:bookmarkStart w:id="7" w:name="_Toc236167960"/>
      <w:r w:rsidRPr="00FB72F0">
        <w:rPr>
          <w:rFonts w:cs="Arial"/>
          <w:szCs w:val="24"/>
        </w:rPr>
        <w:t>Strategy</w:t>
      </w:r>
      <w:r w:rsidR="00106A00" w:rsidRPr="00FB72F0">
        <w:rPr>
          <w:rFonts w:cs="Arial"/>
          <w:szCs w:val="24"/>
        </w:rPr>
        <w:t xml:space="preserve"> </w:t>
      </w:r>
      <w:r w:rsidRPr="00FB72F0">
        <w:rPr>
          <w:rFonts w:cs="Arial"/>
          <w:szCs w:val="24"/>
        </w:rPr>
        <w:t>Strengths</w:t>
      </w:r>
      <w:bookmarkEnd w:id="7"/>
    </w:p>
    <w:p w14:paraId="6540CBE8" w14:textId="1B1E1810" w:rsidR="00B63583" w:rsidRPr="00FB72F0" w:rsidRDefault="00B63583" w:rsidP="00FB72F0">
      <w:pPr>
        <w:spacing w:before="240" w:line="360" w:lineRule="auto"/>
        <w:jc w:val="both"/>
        <w:rPr>
          <w:rFonts w:ascii="Arial" w:hAnsi="Arial" w:cs="Arial"/>
        </w:rPr>
      </w:pPr>
      <w:r w:rsidRPr="00FB72F0">
        <w:rPr>
          <w:rFonts w:ascii="Arial" w:hAnsi="Arial" w:cs="Arial"/>
        </w:rPr>
        <w:t>Strong Global Brand</w:t>
      </w:r>
      <w:r w:rsidR="0097290E" w:rsidRPr="00FB72F0">
        <w:rPr>
          <w:rFonts w:ascii="Arial" w:hAnsi="Arial" w:cs="Arial"/>
        </w:rPr>
        <w:t xml:space="preserve"> as c</w:t>
      </w:r>
      <w:r w:rsidRPr="00FB72F0">
        <w:rPr>
          <w:rFonts w:ascii="Arial" w:hAnsi="Arial" w:cs="Arial"/>
        </w:rPr>
        <w:t>ustomers recognise Nando's worldwide</w:t>
      </w:r>
      <w:r w:rsidR="00DB039B" w:rsidRPr="00FB72F0">
        <w:rPr>
          <w:rFonts w:ascii="Arial" w:hAnsi="Arial" w:cs="Arial"/>
        </w:rPr>
        <w:t xml:space="preserve"> </w:t>
      </w:r>
      <w:r w:rsidR="003D3605" w:rsidRPr="00FB72F0">
        <w:rPr>
          <w:rFonts w:ascii="Arial" w:hAnsi="Arial" w:cs="Arial"/>
        </w:rPr>
        <w:t xml:space="preserve">with </w:t>
      </w:r>
      <w:r w:rsidR="00DB039B" w:rsidRPr="00FB72F0">
        <w:rPr>
          <w:rFonts w:ascii="Arial" w:hAnsi="Arial" w:cs="Arial"/>
        </w:rPr>
        <w:t xml:space="preserve">the </w:t>
      </w:r>
      <w:r w:rsidR="00E54C9C" w:rsidRPr="00FB72F0">
        <w:rPr>
          <w:rFonts w:ascii="Arial" w:hAnsi="Arial" w:cs="Arial"/>
        </w:rPr>
        <w:t>legendary</w:t>
      </w:r>
      <w:r w:rsidR="003D3605" w:rsidRPr="00FB72F0">
        <w:rPr>
          <w:rFonts w:ascii="Arial" w:hAnsi="Arial" w:cs="Arial"/>
        </w:rPr>
        <w:t xml:space="preserve"> Barcelos Cockerel</w:t>
      </w:r>
      <w:r w:rsidR="00CC325B" w:rsidRPr="00FB72F0">
        <w:rPr>
          <w:rFonts w:ascii="Arial" w:hAnsi="Arial" w:cs="Arial"/>
        </w:rPr>
        <w:t xml:space="preserve"> (Nando’s, 2026</w:t>
      </w:r>
      <w:r w:rsidRPr="00FB72F0">
        <w:rPr>
          <w:rFonts w:ascii="Arial" w:hAnsi="Arial" w:cs="Arial"/>
        </w:rPr>
        <w:t>.</w:t>
      </w:r>
      <w:r w:rsidR="0097290E" w:rsidRPr="00FB72F0">
        <w:rPr>
          <w:rFonts w:ascii="Arial" w:hAnsi="Arial" w:cs="Arial"/>
        </w:rPr>
        <w:t xml:space="preserve"> </w:t>
      </w:r>
      <w:r w:rsidRPr="00FB72F0">
        <w:rPr>
          <w:rFonts w:ascii="Arial" w:hAnsi="Arial" w:cs="Arial"/>
        </w:rPr>
        <w:t>This creates</w:t>
      </w:r>
      <w:r w:rsidR="00D30969" w:rsidRPr="00FB72F0">
        <w:rPr>
          <w:rFonts w:ascii="Arial" w:hAnsi="Arial" w:cs="Arial"/>
        </w:rPr>
        <w:t xml:space="preserve"> </w:t>
      </w:r>
      <w:r w:rsidRPr="00FB72F0">
        <w:rPr>
          <w:rFonts w:ascii="Arial" w:hAnsi="Arial" w:cs="Arial"/>
        </w:rPr>
        <w:t>customer trust</w:t>
      </w:r>
      <w:r w:rsidR="00D30969" w:rsidRPr="00FB72F0">
        <w:rPr>
          <w:rFonts w:ascii="Arial" w:hAnsi="Arial" w:cs="Arial"/>
        </w:rPr>
        <w:t xml:space="preserve">, </w:t>
      </w:r>
      <w:r w:rsidRPr="00FB72F0">
        <w:rPr>
          <w:rFonts w:ascii="Arial" w:hAnsi="Arial" w:cs="Arial"/>
        </w:rPr>
        <w:t>repeat business</w:t>
      </w:r>
      <w:r w:rsidR="00D30969" w:rsidRPr="00FB72F0">
        <w:rPr>
          <w:rFonts w:ascii="Arial" w:hAnsi="Arial" w:cs="Arial"/>
        </w:rPr>
        <w:t xml:space="preserve"> and </w:t>
      </w:r>
      <w:r w:rsidRPr="00FB72F0">
        <w:rPr>
          <w:rFonts w:ascii="Arial" w:hAnsi="Arial" w:cs="Arial"/>
        </w:rPr>
        <w:t>marketing efficiencies</w:t>
      </w:r>
      <w:r w:rsidR="00D30969" w:rsidRPr="00FB72F0">
        <w:rPr>
          <w:rFonts w:ascii="Arial" w:hAnsi="Arial" w:cs="Arial"/>
        </w:rPr>
        <w:t>.</w:t>
      </w:r>
    </w:p>
    <w:p w14:paraId="6A6C4796" w14:textId="1983C18C" w:rsidR="00B63583" w:rsidRPr="00FB72F0" w:rsidRDefault="00B63583" w:rsidP="00FB72F0">
      <w:pPr>
        <w:spacing w:line="360" w:lineRule="auto"/>
        <w:jc w:val="both"/>
        <w:rPr>
          <w:rFonts w:ascii="Arial" w:hAnsi="Arial" w:cs="Arial"/>
        </w:rPr>
      </w:pPr>
      <w:r w:rsidRPr="00FB72F0">
        <w:rPr>
          <w:rFonts w:ascii="Arial" w:hAnsi="Arial" w:cs="Arial"/>
        </w:rPr>
        <w:t xml:space="preserve">Adaptation </w:t>
      </w:r>
      <w:r w:rsidR="001F7CD4" w:rsidRPr="00FB72F0">
        <w:rPr>
          <w:rFonts w:ascii="Arial" w:hAnsi="Arial" w:cs="Arial"/>
        </w:rPr>
        <w:t>i</w:t>
      </w:r>
      <w:r w:rsidRPr="00FB72F0">
        <w:rPr>
          <w:rFonts w:ascii="Arial" w:hAnsi="Arial" w:cs="Arial"/>
        </w:rPr>
        <w:t xml:space="preserve">mproves </w:t>
      </w:r>
      <w:r w:rsidR="001F7CD4" w:rsidRPr="00FB72F0">
        <w:rPr>
          <w:rFonts w:ascii="Arial" w:hAnsi="Arial" w:cs="Arial"/>
        </w:rPr>
        <w:t>l</w:t>
      </w:r>
      <w:r w:rsidRPr="00FB72F0">
        <w:rPr>
          <w:rFonts w:ascii="Arial" w:hAnsi="Arial" w:cs="Arial"/>
        </w:rPr>
        <w:t xml:space="preserve">ocal </w:t>
      </w:r>
      <w:r w:rsidR="001F7CD4" w:rsidRPr="00FB72F0">
        <w:rPr>
          <w:rFonts w:ascii="Arial" w:hAnsi="Arial" w:cs="Arial"/>
        </w:rPr>
        <w:t>a</w:t>
      </w:r>
      <w:r w:rsidRPr="00FB72F0">
        <w:rPr>
          <w:rFonts w:ascii="Arial" w:hAnsi="Arial" w:cs="Arial"/>
        </w:rPr>
        <w:t>cceptance</w:t>
      </w:r>
      <w:r w:rsidR="00EA0FF8" w:rsidRPr="00FB72F0">
        <w:rPr>
          <w:rFonts w:ascii="Arial" w:hAnsi="Arial" w:cs="Arial"/>
        </w:rPr>
        <w:t xml:space="preserve"> as l</w:t>
      </w:r>
      <w:r w:rsidRPr="00FB72F0">
        <w:rPr>
          <w:rFonts w:ascii="Arial" w:hAnsi="Arial" w:cs="Arial"/>
        </w:rPr>
        <w:t>ocal menu modifications reduce cultural barriers</w:t>
      </w:r>
      <w:r w:rsidR="00EA0FF8" w:rsidRPr="00FB72F0">
        <w:rPr>
          <w:rFonts w:ascii="Arial" w:hAnsi="Arial" w:cs="Arial"/>
        </w:rPr>
        <w:t xml:space="preserve"> with </w:t>
      </w:r>
      <w:r w:rsidRPr="00FB72F0">
        <w:rPr>
          <w:rFonts w:ascii="Arial" w:hAnsi="Arial" w:cs="Arial"/>
        </w:rPr>
        <w:t>vegetarian products in India</w:t>
      </w:r>
      <w:r w:rsidR="00BD1D99" w:rsidRPr="00FB72F0">
        <w:rPr>
          <w:rFonts w:ascii="Arial" w:hAnsi="Arial" w:cs="Arial"/>
        </w:rPr>
        <w:t xml:space="preserve">, </w:t>
      </w:r>
      <w:r w:rsidRPr="00FB72F0">
        <w:rPr>
          <w:rFonts w:ascii="Arial" w:hAnsi="Arial" w:cs="Arial"/>
        </w:rPr>
        <w:t>halal certification in Muslim-majority countries</w:t>
      </w:r>
      <w:r w:rsidR="00BD1D99" w:rsidRPr="00FB72F0">
        <w:rPr>
          <w:rFonts w:ascii="Arial" w:hAnsi="Arial" w:cs="Arial"/>
        </w:rPr>
        <w:t xml:space="preserve"> and </w:t>
      </w:r>
      <w:r w:rsidRPr="00FB72F0">
        <w:rPr>
          <w:rFonts w:ascii="Arial" w:hAnsi="Arial" w:cs="Arial"/>
        </w:rPr>
        <w:t>vegan products in the UK</w:t>
      </w:r>
      <w:r w:rsidR="00BD1D99" w:rsidRPr="00FB72F0">
        <w:rPr>
          <w:rFonts w:ascii="Arial" w:hAnsi="Arial" w:cs="Arial"/>
        </w:rPr>
        <w:t>.</w:t>
      </w:r>
      <w:r w:rsidR="00C31FBE" w:rsidRPr="00FB72F0">
        <w:rPr>
          <w:rFonts w:ascii="Arial" w:hAnsi="Arial" w:cs="Arial"/>
        </w:rPr>
        <w:t xml:space="preserve"> </w:t>
      </w:r>
      <w:r w:rsidRPr="00FB72F0">
        <w:rPr>
          <w:rFonts w:ascii="Arial" w:hAnsi="Arial" w:cs="Arial"/>
        </w:rPr>
        <w:t>These adaptations increase market acceptance while preserving the</w:t>
      </w:r>
      <w:r w:rsidR="001F7CD4" w:rsidRPr="00FB72F0">
        <w:rPr>
          <w:rFonts w:ascii="Arial" w:hAnsi="Arial" w:cs="Arial"/>
        </w:rPr>
        <w:t xml:space="preserve"> Nando’s</w:t>
      </w:r>
      <w:r w:rsidRPr="00FB72F0">
        <w:rPr>
          <w:rFonts w:ascii="Arial" w:hAnsi="Arial" w:cs="Arial"/>
        </w:rPr>
        <w:t xml:space="preserve"> brand identity.</w:t>
      </w:r>
    </w:p>
    <w:p w14:paraId="570326AC" w14:textId="77777777" w:rsidR="00B63583" w:rsidRPr="00FB72F0" w:rsidRDefault="00B63583" w:rsidP="00FB72F0">
      <w:pPr>
        <w:spacing w:line="360" w:lineRule="auto"/>
        <w:jc w:val="both"/>
        <w:rPr>
          <w:rFonts w:ascii="Arial" w:hAnsi="Arial" w:cs="Arial"/>
        </w:rPr>
      </w:pPr>
    </w:p>
    <w:p w14:paraId="35C970E6" w14:textId="07AE7BB7" w:rsidR="00B63583" w:rsidRPr="00FB72F0" w:rsidRDefault="00B63583" w:rsidP="00FB72F0">
      <w:pPr>
        <w:pStyle w:val="Heading1"/>
        <w:jc w:val="both"/>
        <w:rPr>
          <w:rFonts w:cs="Arial"/>
          <w:szCs w:val="24"/>
        </w:rPr>
      </w:pPr>
      <w:bookmarkStart w:id="8" w:name="_Toc236167961"/>
      <w:r w:rsidRPr="00FB72F0">
        <w:rPr>
          <w:rFonts w:cs="Arial"/>
          <w:szCs w:val="24"/>
        </w:rPr>
        <w:t>Balancing Efficiency and Flexibility</w:t>
      </w:r>
      <w:bookmarkEnd w:id="8"/>
    </w:p>
    <w:p w14:paraId="431A4103" w14:textId="2CF5CA4A" w:rsidR="00B63583" w:rsidRPr="00FB72F0" w:rsidRDefault="00B63583" w:rsidP="00FB72F0">
      <w:pPr>
        <w:spacing w:line="360" w:lineRule="auto"/>
        <w:jc w:val="both"/>
        <w:rPr>
          <w:rFonts w:ascii="Arial" w:hAnsi="Arial" w:cs="Arial"/>
        </w:rPr>
      </w:pPr>
      <w:r w:rsidRPr="00FB72F0">
        <w:rPr>
          <w:rFonts w:ascii="Arial" w:hAnsi="Arial" w:cs="Arial"/>
        </w:rPr>
        <w:t>The transnational model allows Nando's to</w:t>
      </w:r>
      <w:r w:rsidR="00804DD6" w:rsidRPr="00FB72F0">
        <w:rPr>
          <w:rFonts w:ascii="Arial" w:hAnsi="Arial" w:cs="Arial"/>
        </w:rPr>
        <w:t xml:space="preserve"> </w:t>
      </w:r>
      <w:r w:rsidRPr="00FB72F0">
        <w:rPr>
          <w:rFonts w:ascii="Arial" w:hAnsi="Arial" w:cs="Arial"/>
        </w:rPr>
        <w:t>centralise procurement</w:t>
      </w:r>
      <w:r w:rsidR="00804DD6" w:rsidRPr="00FB72F0">
        <w:rPr>
          <w:rFonts w:ascii="Arial" w:hAnsi="Arial" w:cs="Arial"/>
        </w:rPr>
        <w:t xml:space="preserve">, </w:t>
      </w:r>
      <w:r w:rsidRPr="00FB72F0">
        <w:rPr>
          <w:rFonts w:ascii="Arial" w:hAnsi="Arial" w:cs="Arial"/>
        </w:rPr>
        <w:t>maintain quality control</w:t>
      </w:r>
      <w:r w:rsidR="00804DD6" w:rsidRPr="00FB72F0">
        <w:rPr>
          <w:rFonts w:ascii="Arial" w:hAnsi="Arial" w:cs="Arial"/>
        </w:rPr>
        <w:t xml:space="preserve"> and </w:t>
      </w:r>
      <w:r w:rsidRPr="00FB72F0">
        <w:rPr>
          <w:rFonts w:ascii="Arial" w:hAnsi="Arial" w:cs="Arial"/>
        </w:rPr>
        <w:t>reduce operational costs</w:t>
      </w:r>
      <w:r w:rsidR="00AF3115" w:rsidRPr="00FB72F0">
        <w:rPr>
          <w:rFonts w:ascii="Arial" w:hAnsi="Arial" w:cs="Arial"/>
        </w:rPr>
        <w:t xml:space="preserve"> </w:t>
      </w:r>
      <w:r w:rsidRPr="00FB72F0">
        <w:rPr>
          <w:rFonts w:ascii="Arial" w:hAnsi="Arial" w:cs="Arial"/>
        </w:rPr>
        <w:t>while simultaneously allowing local managers flexibility.</w:t>
      </w:r>
      <w:r w:rsidR="00AF3115" w:rsidRPr="00FB72F0">
        <w:rPr>
          <w:rFonts w:ascii="Arial" w:hAnsi="Arial" w:cs="Arial"/>
        </w:rPr>
        <w:t xml:space="preserve"> </w:t>
      </w:r>
      <w:r w:rsidRPr="00FB72F0">
        <w:rPr>
          <w:rFonts w:ascii="Arial" w:hAnsi="Arial" w:cs="Arial"/>
        </w:rPr>
        <w:t>This balance represents one of the key advantages identified by Bartlett and Ghoshal (1989).</w:t>
      </w:r>
    </w:p>
    <w:p w14:paraId="613CD71F" w14:textId="77777777" w:rsidR="00B63583" w:rsidRPr="00FB72F0" w:rsidRDefault="00B63583" w:rsidP="00FB72F0">
      <w:pPr>
        <w:spacing w:line="360" w:lineRule="auto"/>
        <w:jc w:val="both"/>
        <w:rPr>
          <w:rFonts w:ascii="Arial" w:hAnsi="Arial" w:cs="Arial"/>
        </w:rPr>
      </w:pPr>
    </w:p>
    <w:p w14:paraId="7615A197" w14:textId="77777777" w:rsidR="00B63583" w:rsidRPr="00FB72F0" w:rsidRDefault="00B63583" w:rsidP="00FB72F0">
      <w:pPr>
        <w:pStyle w:val="Heading1"/>
        <w:jc w:val="both"/>
        <w:rPr>
          <w:rFonts w:cs="Arial"/>
          <w:szCs w:val="24"/>
        </w:rPr>
      </w:pPr>
      <w:bookmarkStart w:id="9" w:name="_Toc236167962"/>
      <w:r w:rsidRPr="00FB72F0">
        <w:rPr>
          <w:rFonts w:cs="Arial"/>
          <w:szCs w:val="24"/>
        </w:rPr>
        <w:t>Weaknesses</w:t>
      </w:r>
      <w:bookmarkEnd w:id="9"/>
    </w:p>
    <w:p w14:paraId="695FABC7" w14:textId="6E3FB2F2" w:rsidR="00B63583" w:rsidRPr="00FB72F0" w:rsidRDefault="00B63583" w:rsidP="00FB72F0">
      <w:pPr>
        <w:spacing w:line="360" w:lineRule="auto"/>
        <w:jc w:val="both"/>
        <w:rPr>
          <w:rFonts w:ascii="Arial" w:hAnsi="Arial" w:cs="Arial"/>
        </w:rPr>
      </w:pPr>
      <w:r w:rsidRPr="00FB72F0">
        <w:rPr>
          <w:rFonts w:ascii="Arial" w:hAnsi="Arial" w:cs="Arial"/>
        </w:rPr>
        <w:t>Increased Operational Complexity</w:t>
      </w:r>
      <w:r w:rsidR="00AF3115" w:rsidRPr="00FB72F0">
        <w:rPr>
          <w:rFonts w:ascii="Arial" w:hAnsi="Arial" w:cs="Arial"/>
        </w:rPr>
        <w:t xml:space="preserve"> </w:t>
      </w:r>
      <w:r w:rsidR="00EC40EB" w:rsidRPr="00FB72F0">
        <w:rPr>
          <w:rFonts w:ascii="Arial" w:hAnsi="Arial" w:cs="Arial"/>
        </w:rPr>
        <w:t>with m</w:t>
      </w:r>
      <w:r w:rsidRPr="00FB72F0">
        <w:rPr>
          <w:rFonts w:ascii="Arial" w:hAnsi="Arial" w:cs="Arial"/>
        </w:rPr>
        <w:t>anaging both global consistency and local adaptation is expensive.</w:t>
      </w:r>
      <w:r w:rsidR="00EC40EB" w:rsidRPr="00FB72F0">
        <w:rPr>
          <w:rFonts w:ascii="Arial" w:hAnsi="Arial" w:cs="Arial"/>
        </w:rPr>
        <w:t xml:space="preserve"> </w:t>
      </w:r>
      <w:r w:rsidRPr="00FB72F0">
        <w:rPr>
          <w:rFonts w:ascii="Arial" w:hAnsi="Arial" w:cs="Arial"/>
        </w:rPr>
        <w:t>Challenges include</w:t>
      </w:r>
      <w:r w:rsidR="00EC40EB" w:rsidRPr="00FB72F0">
        <w:rPr>
          <w:rFonts w:ascii="Arial" w:hAnsi="Arial" w:cs="Arial"/>
        </w:rPr>
        <w:t xml:space="preserve"> </w:t>
      </w:r>
      <w:r w:rsidRPr="00FB72F0">
        <w:rPr>
          <w:rFonts w:ascii="Arial" w:hAnsi="Arial" w:cs="Arial"/>
        </w:rPr>
        <w:t>more complex supply chains</w:t>
      </w:r>
      <w:r w:rsidR="00EC40EB" w:rsidRPr="00FB72F0">
        <w:rPr>
          <w:rFonts w:ascii="Arial" w:hAnsi="Arial" w:cs="Arial"/>
        </w:rPr>
        <w:t xml:space="preserve">, </w:t>
      </w:r>
      <w:r w:rsidRPr="00FB72F0">
        <w:rPr>
          <w:rFonts w:ascii="Arial" w:hAnsi="Arial" w:cs="Arial"/>
        </w:rPr>
        <w:t>different food regulations</w:t>
      </w:r>
      <w:r w:rsidR="00E84744" w:rsidRPr="00FB72F0">
        <w:rPr>
          <w:rFonts w:ascii="Arial" w:hAnsi="Arial" w:cs="Arial"/>
        </w:rPr>
        <w:t xml:space="preserve">, </w:t>
      </w:r>
      <w:r w:rsidRPr="00FB72F0">
        <w:rPr>
          <w:rFonts w:ascii="Arial" w:hAnsi="Arial" w:cs="Arial"/>
        </w:rPr>
        <w:t>diverse consumer preferences</w:t>
      </w:r>
      <w:r w:rsidR="00E84744" w:rsidRPr="00FB72F0">
        <w:rPr>
          <w:rFonts w:ascii="Arial" w:hAnsi="Arial" w:cs="Arial"/>
        </w:rPr>
        <w:t xml:space="preserve"> and </w:t>
      </w:r>
      <w:r w:rsidRPr="00FB72F0">
        <w:rPr>
          <w:rFonts w:ascii="Arial" w:hAnsi="Arial" w:cs="Arial"/>
        </w:rPr>
        <w:t>greater managerial coordination</w:t>
      </w:r>
      <w:r w:rsidR="00CE2F67" w:rsidRPr="00FB72F0">
        <w:rPr>
          <w:rFonts w:ascii="Arial" w:hAnsi="Arial" w:cs="Arial"/>
        </w:rPr>
        <w:t xml:space="preserve"> which</w:t>
      </w:r>
      <w:r w:rsidRPr="00FB72F0">
        <w:rPr>
          <w:rFonts w:ascii="Arial" w:hAnsi="Arial" w:cs="Arial"/>
        </w:rPr>
        <w:t xml:space="preserve"> increase operational costs.</w:t>
      </w:r>
    </w:p>
    <w:p w14:paraId="08FAEE76" w14:textId="5ED29C63" w:rsidR="00B63583" w:rsidRPr="00FB72F0" w:rsidRDefault="00B63583" w:rsidP="00FB72F0">
      <w:pPr>
        <w:spacing w:line="360" w:lineRule="auto"/>
        <w:jc w:val="both"/>
        <w:rPr>
          <w:rFonts w:ascii="Arial" w:hAnsi="Arial" w:cs="Arial"/>
          <w:b/>
          <w:bCs/>
        </w:rPr>
      </w:pPr>
      <w:r w:rsidRPr="00FB72F0">
        <w:rPr>
          <w:rFonts w:ascii="Arial" w:hAnsi="Arial" w:cs="Arial"/>
        </w:rPr>
        <w:lastRenderedPageBreak/>
        <w:t>Supply Chain Risks</w:t>
      </w:r>
      <w:r w:rsidR="00D04875" w:rsidRPr="00FB72F0">
        <w:rPr>
          <w:rFonts w:ascii="Arial" w:hAnsi="Arial" w:cs="Arial"/>
        </w:rPr>
        <w:t xml:space="preserve"> as</w:t>
      </w:r>
      <w:r w:rsidR="00D04875" w:rsidRPr="00FB72F0">
        <w:rPr>
          <w:rFonts w:ascii="Arial" w:hAnsi="Arial" w:cs="Arial"/>
          <w:b/>
          <w:bCs/>
        </w:rPr>
        <w:t xml:space="preserve"> </w:t>
      </w:r>
      <w:r w:rsidR="00D04875" w:rsidRPr="00FB72F0">
        <w:rPr>
          <w:rFonts w:ascii="Arial" w:hAnsi="Arial" w:cs="Arial"/>
        </w:rPr>
        <w:t>m</w:t>
      </w:r>
      <w:r w:rsidRPr="00FB72F0">
        <w:rPr>
          <w:rFonts w:ascii="Arial" w:hAnsi="Arial" w:cs="Arial"/>
        </w:rPr>
        <w:t>aintaining consistent PERi-PERi ingredients globally can become difficult.</w:t>
      </w:r>
      <w:r w:rsidR="00CE2F67" w:rsidRPr="00FB72F0">
        <w:rPr>
          <w:rFonts w:ascii="Arial" w:hAnsi="Arial" w:cs="Arial"/>
        </w:rPr>
        <w:t xml:space="preserve"> </w:t>
      </w:r>
      <w:r w:rsidRPr="00FB72F0">
        <w:rPr>
          <w:rFonts w:ascii="Arial" w:hAnsi="Arial" w:cs="Arial"/>
        </w:rPr>
        <w:t>Global disruptions such as COVID-19 and shipping delays demonstrated vulnerabilities in internationally integrated supply chains.</w:t>
      </w:r>
    </w:p>
    <w:p w14:paraId="26592B29" w14:textId="352C830C" w:rsidR="00B63583" w:rsidRPr="00FB72F0" w:rsidRDefault="00B63583" w:rsidP="00FB72F0">
      <w:pPr>
        <w:spacing w:line="360" w:lineRule="auto"/>
        <w:jc w:val="both"/>
        <w:rPr>
          <w:rFonts w:ascii="Arial" w:hAnsi="Arial" w:cs="Arial"/>
        </w:rPr>
      </w:pPr>
      <w:r w:rsidRPr="00FB72F0">
        <w:rPr>
          <w:rFonts w:ascii="Arial" w:hAnsi="Arial" w:cs="Arial"/>
        </w:rPr>
        <w:t>Slower Decision-Making</w:t>
      </w:r>
      <w:r w:rsidR="00D04875" w:rsidRPr="00FB72F0">
        <w:rPr>
          <w:rFonts w:ascii="Arial" w:hAnsi="Arial" w:cs="Arial"/>
          <w:b/>
          <w:bCs/>
        </w:rPr>
        <w:t xml:space="preserve"> c</w:t>
      </w:r>
      <w:r w:rsidRPr="00FB72F0">
        <w:rPr>
          <w:rFonts w:ascii="Arial" w:hAnsi="Arial" w:cs="Arial"/>
        </w:rPr>
        <w:t>ompared with a purely multidomestic company, strategic decisions often require approval from headquarters while considering local market needs.</w:t>
      </w:r>
      <w:r w:rsidR="00CE2F67" w:rsidRPr="00FB72F0">
        <w:rPr>
          <w:rFonts w:ascii="Arial" w:hAnsi="Arial" w:cs="Arial"/>
        </w:rPr>
        <w:t xml:space="preserve"> </w:t>
      </w:r>
      <w:r w:rsidRPr="00FB72F0">
        <w:rPr>
          <w:rFonts w:ascii="Arial" w:hAnsi="Arial" w:cs="Arial"/>
        </w:rPr>
        <w:t>This can reduce responsiveness.</w:t>
      </w:r>
    </w:p>
    <w:p w14:paraId="1DE49604" w14:textId="77777777" w:rsidR="008217C4" w:rsidRPr="00FB72F0" w:rsidRDefault="008217C4" w:rsidP="00FB72F0">
      <w:pPr>
        <w:spacing w:line="360" w:lineRule="auto"/>
        <w:jc w:val="both"/>
        <w:rPr>
          <w:rFonts w:ascii="Arial" w:hAnsi="Arial" w:cs="Arial"/>
          <w:b/>
          <w:bCs/>
        </w:rPr>
      </w:pPr>
    </w:p>
    <w:p w14:paraId="41D12545" w14:textId="2BB191B4" w:rsidR="00FE0721" w:rsidRPr="00FB72F0" w:rsidRDefault="008B7DF3" w:rsidP="00FB72F0">
      <w:pPr>
        <w:pStyle w:val="Heading1"/>
        <w:jc w:val="both"/>
        <w:rPr>
          <w:rFonts w:cs="Arial"/>
          <w:szCs w:val="24"/>
        </w:rPr>
      </w:pPr>
      <w:bookmarkStart w:id="10" w:name="_Toc236167963"/>
      <w:r w:rsidRPr="00FB72F0">
        <w:rPr>
          <w:rFonts w:cs="Arial"/>
          <w:szCs w:val="24"/>
        </w:rPr>
        <w:t>DETERMINING NANDO’S SUCCESSFUL ENTRY INTO GERMANY</w:t>
      </w:r>
      <w:bookmarkEnd w:id="10"/>
    </w:p>
    <w:p w14:paraId="21AFD459" w14:textId="01A54A3E" w:rsidR="001B479A" w:rsidRPr="00FB72F0" w:rsidRDefault="001B479A" w:rsidP="00FB72F0">
      <w:pPr>
        <w:spacing w:line="360" w:lineRule="auto"/>
        <w:jc w:val="both"/>
        <w:rPr>
          <w:rFonts w:ascii="Arial" w:hAnsi="Arial" w:cs="Arial"/>
        </w:rPr>
      </w:pPr>
      <w:r w:rsidRPr="00FB72F0">
        <w:rPr>
          <w:rFonts w:ascii="Arial" w:hAnsi="Arial" w:cs="Arial"/>
        </w:rPr>
        <w:t>Germany represents an attractive but demanding expansion market for Nando’s. Its large urban population, strong infrastructure and familiarity with international cuisines create opportunities for a differentiated fast-casual chicken brand</w:t>
      </w:r>
      <w:r w:rsidR="00287A4D" w:rsidRPr="00FB72F0">
        <w:rPr>
          <w:rFonts w:ascii="Arial" w:hAnsi="Arial" w:cs="Arial"/>
        </w:rPr>
        <w:t xml:space="preserve"> </w:t>
      </w:r>
      <w:r w:rsidR="00C35349" w:rsidRPr="00FB72F0">
        <w:rPr>
          <w:rFonts w:ascii="Arial" w:hAnsi="Arial" w:cs="Arial"/>
        </w:rPr>
        <w:t>(</w:t>
      </w:r>
      <w:r w:rsidR="00287A4D" w:rsidRPr="00FB72F0">
        <w:rPr>
          <w:rFonts w:ascii="Arial" w:hAnsi="Arial" w:cs="Arial"/>
        </w:rPr>
        <w:t>Möhring, 2014)</w:t>
      </w:r>
      <w:r w:rsidR="00C35349" w:rsidRPr="00FB72F0">
        <w:rPr>
          <w:rFonts w:ascii="Arial" w:hAnsi="Arial" w:cs="Arial"/>
        </w:rPr>
        <w:t xml:space="preserve">. </w:t>
      </w:r>
      <w:r w:rsidRPr="00FB72F0">
        <w:rPr>
          <w:rFonts w:ascii="Arial" w:hAnsi="Arial" w:cs="Arial"/>
        </w:rPr>
        <w:t>However, success will depend on how effectively Nando’s responds to the political, economic, legal and cultural conditions most relevant to the restaurant industry. These factors should not be considered separately, because their interaction will determine whether Nando’s can maintain its distinctive global identity while adapting sufficiently to German market conditions.</w:t>
      </w:r>
    </w:p>
    <w:p w14:paraId="71722B8D" w14:textId="77777777" w:rsidR="001B479A" w:rsidRPr="00FB72F0" w:rsidRDefault="001B479A" w:rsidP="00FB72F0">
      <w:pPr>
        <w:spacing w:line="360" w:lineRule="auto"/>
        <w:jc w:val="both"/>
        <w:rPr>
          <w:rFonts w:ascii="Arial" w:hAnsi="Arial" w:cs="Arial"/>
        </w:rPr>
      </w:pPr>
    </w:p>
    <w:p w14:paraId="78366E11" w14:textId="0A6F7B60" w:rsidR="001B479A" w:rsidRPr="00FB72F0" w:rsidRDefault="001B479A" w:rsidP="00FB72F0">
      <w:pPr>
        <w:pStyle w:val="Heading1"/>
        <w:jc w:val="both"/>
        <w:rPr>
          <w:rFonts w:cs="Arial"/>
          <w:szCs w:val="24"/>
        </w:rPr>
      </w:pPr>
      <w:bookmarkStart w:id="11" w:name="_Toc236167964"/>
      <w:r w:rsidRPr="00FB72F0">
        <w:rPr>
          <w:rFonts w:cs="Arial"/>
          <w:szCs w:val="24"/>
        </w:rPr>
        <w:t>Political Factors</w:t>
      </w:r>
      <w:bookmarkEnd w:id="11"/>
    </w:p>
    <w:p w14:paraId="61144539" w14:textId="78CDF931" w:rsidR="001B479A" w:rsidRPr="00FB72F0" w:rsidRDefault="001B479A" w:rsidP="00FB72F0">
      <w:pPr>
        <w:spacing w:line="360" w:lineRule="auto"/>
        <w:jc w:val="both"/>
        <w:rPr>
          <w:rFonts w:ascii="Arial" w:hAnsi="Arial" w:cs="Arial"/>
        </w:rPr>
      </w:pPr>
      <w:r w:rsidRPr="00FB72F0">
        <w:rPr>
          <w:rFonts w:ascii="Arial" w:hAnsi="Arial" w:cs="Arial"/>
        </w:rPr>
        <w:t>Germany’s stable political institutions, transparent commercial environment and strong protection of contracts and intellectual property reduce the political risk of market entry. For Nando’s, this provides confidence when investing in restaurant locations, supply relationships, branding and employee training. Germany’s membership of the European Union may also make the country a useful platform for wider continental expansion, as compliant systems developed for Germany could support entry into other EU markets.</w:t>
      </w:r>
    </w:p>
    <w:p w14:paraId="6EBEA4EB" w14:textId="22BD0596" w:rsidR="004837BB" w:rsidRPr="00FB72F0" w:rsidRDefault="001B479A" w:rsidP="00FB72F0">
      <w:pPr>
        <w:spacing w:line="360" w:lineRule="auto"/>
        <w:jc w:val="both"/>
        <w:rPr>
          <w:rFonts w:ascii="Arial" w:hAnsi="Arial" w:cs="Arial"/>
        </w:rPr>
      </w:pPr>
      <w:r w:rsidRPr="00FB72F0">
        <w:rPr>
          <w:rFonts w:ascii="Arial" w:hAnsi="Arial" w:cs="Arial"/>
        </w:rPr>
        <w:t>Nevertheless, political stability does not mean administrative simplicity. Restaurant operators must comply with federal, regional and municipal requirements covering planning permission, food premises, fire safety, waste management and outdoor seating</w:t>
      </w:r>
      <w:r w:rsidR="00AC707B" w:rsidRPr="00FB72F0">
        <w:rPr>
          <w:rFonts w:ascii="Arial" w:hAnsi="Arial" w:cs="Arial"/>
        </w:rPr>
        <w:t xml:space="preserve"> (</w:t>
      </w:r>
      <w:r w:rsidR="00434BB0" w:rsidRPr="00FB72F0">
        <w:rPr>
          <w:rFonts w:ascii="Arial" w:hAnsi="Arial" w:cs="Arial"/>
        </w:rPr>
        <w:t>Wohlgemuth, 1999)</w:t>
      </w:r>
      <w:r w:rsidRPr="00FB72F0">
        <w:rPr>
          <w:rFonts w:ascii="Arial" w:hAnsi="Arial" w:cs="Arial"/>
        </w:rPr>
        <w:t>. These procedures may differ between cities and federal states. Consequently,</w:t>
      </w:r>
    </w:p>
    <w:p w14:paraId="4E1539EE" w14:textId="26E65E5C" w:rsidR="001B479A" w:rsidRPr="00FB72F0" w:rsidRDefault="001B479A" w:rsidP="00FB72F0">
      <w:pPr>
        <w:spacing w:line="360" w:lineRule="auto"/>
        <w:jc w:val="both"/>
        <w:rPr>
          <w:rFonts w:ascii="Arial" w:hAnsi="Arial" w:cs="Arial"/>
        </w:rPr>
      </w:pPr>
      <w:r w:rsidRPr="00FB72F0">
        <w:rPr>
          <w:rFonts w:ascii="Arial" w:hAnsi="Arial" w:cs="Arial"/>
        </w:rPr>
        <w:lastRenderedPageBreak/>
        <w:t>Nando’s would require local legal, property and regulatory expertise. Delays in licensing or changes of building use could increase pre-opening costs and weaken the economics of unsuitable sites.</w:t>
      </w:r>
    </w:p>
    <w:p w14:paraId="30C9E83D" w14:textId="168FCFDD" w:rsidR="001B479A" w:rsidRPr="00FB72F0" w:rsidRDefault="001B479A" w:rsidP="00FB72F0">
      <w:pPr>
        <w:spacing w:line="360" w:lineRule="auto"/>
        <w:jc w:val="both"/>
        <w:rPr>
          <w:rFonts w:ascii="Arial" w:hAnsi="Arial" w:cs="Arial"/>
        </w:rPr>
      </w:pPr>
      <w:r w:rsidRPr="00FB72F0">
        <w:rPr>
          <w:rFonts w:ascii="Arial" w:hAnsi="Arial" w:cs="Arial"/>
        </w:rPr>
        <w:t xml:space="preserve">A favourable political development is the reduction of VAT on restaurant food to 7% from January 2026, while drinks remain taxed at 19%. This may improve restaurant margins or allow Nando’s to offer more competitive food prices. However, the benefit should not encourage excessive premium pricing. German hospitality businesses continue to face weak demand and cost pressures, meaning consumers remain </w:t>
      </w:r>
      <w:r w:rsidR="004F7B16" w:rsidRPr="00FB72F0">
        <w:rPr>
          <w:rFonts w:ascii="Arial" w:hAnsi="Arial" w:cs="Arial"/>
        </w:rPr>
        <w:t>price conscious</w:t>
      </w:r>
      <w:r w:rsidRPr="00FB72F0">
        <w:rPr>
          <w:rFonts w:ascii="Arial" w:hAnsi="Arial" w:cs="Arial"/>
        </w:rPr>
        <w:t>. Nando’s should use the tax advantage to support an accessible-premium position rather than simply increasing margins.</w:t>
      </w:r>
    </w:p>
    <w:p w14:paraId="4CDF4639" w14:textId="77777777" w:rsidR="001B479A" w:rsidRPr="00FB72F0" w:rsidRDefault="001B479A" w:rsidP="00FB72F0">
      <w:pPr>
        <w:spacing w:line="360" w:lineRule="auto"/>
        <w:jc w:val="both"/>
        <w:rPr>
          <w:rFonts w:ascii="Arial" w:hAnsi="Arial" w:cs="Arial"/>
        </w:rPr>
      </w:pPr>
      <w:r w:rsidRPr="00FB72F0">
        <w:rPr>
          <w:rFonts w:ascii="Arial" w:hAnsi="Arial" w:cs="Arial"/>
        </w:rPr>
        <w:t>Government emphasis on healthier and more sustainable food also affects Nando’s. Flame-grilled chicken can be positioned as an alternative to heavily fried fast food, but the company must avoid unsupported health claims. Concerns about poultry welfare, packaging, carbon emissions and food production mean that responsible sourcing and transparent nutrition will be important to brand legitimacy.</w:t>
      </w:r>
    </w:p>
    <w:p w14:paraId="2C95DF49" w14:textId="77777777" w:rsidR="001B479A" w:rsidRPr="00FB72F0" w:rsidRDefault="001B479A" w:rsidP="00FB72F0">
      <w:pPr>
        <w:spacing w:line="360" w:lineRule="auto"/>
        <w:jc w:val="both"/>
        <w:rPr>
          <w:rFonts w:ascii="Arial" w:hAnsi="Arial" w:cs="Arial"/>
        </w:rPr>
      </w:pPr>
    </w:p>
    <w:p w14:paraId="011E8A36" w14:textId="1DEB3229" w:rsidR="001B479A" w:rsidRPr="00FB72F0" w:rsidRDefault="001B479A" w:rsidP="00FB72F0">
      <w:pPr>
        <w:pStyle w:val="Heading1"/>
        <w:jc w:val="both"/>
        <w:rPr>
          <w:rFonts w:cs="Arial"/>
          <w:szCs w:val="24"/>
        </w:rPr>
      </w:pPr>
      <w:bookmarkStart w:id="12" w:name="_Toc236167965"/>
      <w:r w:rsidRPr="00FB72F0">
        <w:rPr>
          <w:rFonts w:cs="Arial"/>
          <w:szCs w:val="24"/>
        </w:rPr>
        <w:t>Economic Factors</w:t>
      </w:r>
      <w:bookmarkEnd w:id="12"/>
    </w:p>
    <w:p w14:paraId="6CAA8BB9" w14:textId="5F891DE3" w:rsidR="001B479A" w:rsidRPr="00FB72F0" w:rsidRDefault="001B479A" w:rsidP="00FB72F0">
      <w:pPr>
        <w:spacing w:line="360" w:lineRule="auto"/>
        <w:jc w:val="both"/>
        <w:rPr>
          <w:rFonts w:ascii="Arial" w:hAnsi="Arial" w:cs="Arial"/>
        </w:rPr>
      </w:pPr>
      <w:r w:rsidRPr="00FB72F0">
        <w:rPr>
          <w:rFonts w:ascii="Arial" w:hAnsi="Arial" w:cs="Arial"/>
        </w:rPr>
        <w:t>Germany offers a large potential customer base, particularly in cities such as Berlin, Hamburg, Cologne, Frankfurt, Düsseldorf and Munich. These locations contain students, professionals, tourists and internationally oriented consumers who may be receptive to Nando’s PERi-PERi concept.</w:t>
      </w:r>
    </w:p>
    <w:p w14:paraId="71C32E5C" w14:textId="53CB6F70" w:rsidR="001B479A" w:rsidRPr="00FB72F0" w:rsidRDefault="001B479A" w:rsidP="00FB72F0">
      <w:pPr>
        <w:spacing w:line="360" w:lineRule="auto"/>
        <w:jc w:val="both"/>
        <w:rPr>
          <w:rFonts w:ascii="Arial" w:hAnsi="Arial" w:cs="Arial"/>
        </w:rPr>
      </w:pPr>
      <w:r w:rsidRPr="00FB72F0">
        <w:rPr>
          <w:rFonts w:ascii="Arial" w:hAnsi="Arial" w:cs="Arial"/>
        </w:rPr>
        <w:t>However, the German restaurant market is highly mature and competitive. Nando’s would compete not only with international chicken and burger chains but also with kebab outlets, independent grill restaurants, bakeries, supermarkets and delivery-only brands. The company must therefore provide a convincing reason for consumers to pay more than they would for established low-cost alternatives.</w:t>
      </w:r>
    </w:p>
    <w:p w14:paraId="27AC3453" w14:textId="4C1AEC3F" w:rsidR="001B479A" w:rsidRPr="00FB72F0" w:rsidRDefault="001B479A" w:rsidP="00FB72F0">
      <w:pPr>
        <w:spacing w:line="360" w:lineRule="auto"/>
        <w:jc w:val="both"/>
        <w:rPr>
          <w:rFonts w:ascii="Arial" w:hAnsi="Arial" w:cs="Arial"/>
        </w:rPr>
      </w:pPr>
      <w:r w:rsidRPr="00FB72F0">
        <w:rPr>
          <w:rFonts w:ascii="Arial" w:hAnsi="Arial" w:cs="Arial"/>
        </w:rPr>
        <w:t xml:space="preserve">Price sensitivity is especially important because Nando’s normally occupies a position above traditional fast food. Its restaurant design, fresh preparation and service model create costs that make direct price competition difficult. Simply transferring UK prices into Germany would be risky. Nando’s should instead use tiered pricing, including affordable lunch meals, student bundles, sharing platters and loyalty incentives. This </w:t>
      </w:r>
      <w:r w:rsidRPr="00FB72F0">
        <w:rPr>
          <w:rFonts w:ascii="Arial" w:hAnsi="Arial" w:cs="Arial"/>
        </w:rPr>
        <w:lastRenderedPageBreak/>
        <w:t>would encourage trial and repeat visits without reducing the whole brand to a discount offer.</w:t>
      </w:r>
    </w:p>
    <w:p w14:paraId="455902E8" w14:textId="0D3001CA" w:rsidR="001B479A" w:rsidRPr="00FB72F0" w:rsidRDefault="001B479A" w:rsidP="00FB72F0">
      <w:pPr>
        <w:spacing w:line="360" w:lineRule="auto"/>
        <w:jc w:val="both"/>
        <w:rPr>
          <w:rFonts w:ascii="Arial" w:hAnsi="Arial" w:cs="Arial"/>
        </w:rPr>
      </w:pPr>
      <w:r w:rsidRPr="00FB72F0">
        <w:rPr>
          <w:rFonts w:ascii="Arial" w:hAnsi="Arial" w:cs="Arial"/>
        </w:rPr>
        <w:t>Labour costs are likely to be one of the most significant barriers. Germany’s statutory minimum wage reached €13.90 per hour in 2026, alongside employer social contributions, paid leave, working-time rules and sick-pay obligations</w:t>
      </w:r>
      <w:r w:rsidR="00D72E37" w:rsidRPr="00FB72F0">
        <w:rPr>
          <w:rFonts w:ascii="Arial" w:hAnsi="Arial" w:cs="Arial"/>
        </w:rPr>
        <w:t xml:space="preserve"> (Trading Economics, 2026)</w:t>
      </w:r>
      <w:r w:rsidRPr="00FB72F0">
        <w:rPr>
          <w:rFonts w:ascii="Arial" w:hAnsi="Arial" w:cs="Arial"/>
        </w:rPr>
        <w:t>. Nando’s service model is relatively labour-intensive because it combines cooking, customer interaction, table delivery and cleaning. Reducing staffing too far could damage service quality and undermine the premium proposition.</w:t>
      </w:r>
    </w:p>
    <w:p w14:paraId="3539C2E8" w14:textId="353E7542" w:rsidR="001B479A" w:rsidRPr="00FB72F0" w:rsidRDefault="001B479A" w:rsidP="00FB72F0">
      <w:pPr>
        <w:spacing w:line="360" w:lineRule="auto"/>
        <w:jc w:val="both"/>
        <w:rPr>
          <w:rFonts w:ascii="Arial" w:hAnsi="Arial" w:cs="Arial"/>
        </w:rPr>
      </w:pPr>
      <w:r w:rsidRPr="00FB72F0">
        <w:rPr>
          <w:rFonts w:ascii="Arial" w:hAnsi="Arial" w:cs="Arial"/>
        </w:rPr>
        <w:t>The company should therefore improve productivity through digital ordering, efficient kitchen layouts, staff cross-training, demand forecasting and a limited launch menu. Smaller restaurant formats may also reduce labour and property costs. However, technology should support rather than eliminate hospitality, because friendly service remains part of Nando’s differentiation.</w:t>
      </w:r>
    </w:p>
    <w:p w14:paraId="39626611" w14:textId="7AEBDB2D" w:rsidR="001B479A" w:rsidRPr="00FB72F0" w:rsidRDefault="001B479A" w:rsidP="00FB72F0">
      <w:pPr>
        <w:spacing w:line="360" w:lineRule="auto"/>
        <w:jc w:val="both"/>
        <w:rPr>
          <w:rFonts w:ascii="Arial" w:hAnsi="Arial" w:cs="Arial"/>
        </w:rPr>
      </w:pPr>
      <w:r w:rsidRPr="00FB72F0">
        <w:rPr>
          <w:rFonts w:ascii="Arial" w:hAnsi="Arial" w:cs="Arial"/>
        </w:rPr>
        <w:t>Property costs create another challenge. Prime locations offer visibility but may involve high rents and intense competition</w:t>
      </w:r>
      <w:r w:rsidR="007A2C1B" w:rsidRPr="00FB72F0">
        <w:rPr>
          <w:rFonts w:ascii="Arial" w:hAnsi="Arial" w:cs="Arial"/>
        </w:rPr>
        <w:t xml:space="preserve"> (Siedentop, et al. 2026)</w:t>
      </w:r>
      <w:r w:rsidRPr="00FB72F0">
        <w:rPr>
          <w:rFonts w:ascii="Arial" w:hAnsi="Arial" w:cs="Arial"/>
        </w:rPr>
        <w:t>. Nando’s should select sites with strong public transport, mixed student, office and residential demand, evening footfall and delivery potential. A prominent but excessively expensive flagship could produce awareness without sustainable profitability.</w:t>
      </w:r>
    </w:p>
    <w:p w14:paraId="0EF26EA0" w14:textId="77777777" w:rsidR="001B479A" w:rsidRPr="00FB72F0" w:rsidRDefault="001B479A" w:rsidP="00FB72F0">
      <w:pPr>
        <w:spacing w:line="360" w:lineRule="auto"/>
        <w:jc w:val="both"/>
        <w:rPr>
          <w:rFonts w:ascii="Arial" w:hAnsi="Arial" w:cs="Arial"/>
        </w:rPr>
      </w:pPr>
      <w:r w:rsidRPr="00FB72F0">
        <w:rPr>
          <w:rFonts w:ascii="Arial" w:hAnsi="Arial" w:cs="Arial"/>
        </w:rPr>
        <w:t>Supply-chain economics are equally important. Nando’s should source chicken, produce and standard ingredients from Germany or the wider EU where possible, while centralising only distinctive PERi-PERi ingredients. This would reduce transport costs, supply disruption and environmental criticism. Multiple approved poultry suppliers would also reduce dependency risk.</w:t>
      </w:r>
    </w:p>
    <w:p w14:paraId="058A9871" w14:textId="77777777" w:rsidR="001B479A" w:rsidRPr="00FB72F0" w:rsidRDefault="001B479A" w:rsidP="00FB72F0">
      <w:pPr>
        <w:spacing w:line="360" w:lineRule="auto"/>
        <w:jc w:val="both"/>
        <w:rPr>
          <w:rFonts w:ascii="Arial" w:hAnsi="Arial" w:cs="Arial"/>
        </w:rPr>
      </w:pPr>
    </w:p>
    <w:p w14:paraId="6D621114" w14:textId="3590E7BA" w:rsidR="001B479A" w:rsidRPr="00FB72F0" w:rsidRDefault="001B479A" w:rsidP="00FB72F0">
      <w:pPr>
        <w:pStyle w:val="Heading1"/>
        <w:jc w:val="both"/>
        <w:rPr>
          <w:rFonts w:cs="Arial"/>
          <w:szCs w:val="24"/>
        </w:rPr>
      </w:pPr>
      <w:bookmarkStart w:id="13" w:name="_Toc236167966"/>
      <w:r w:rsidRPr="00FB72F0">
        <w:rPr>
          <w:rFonts w:cs="Arial"/>
          <w:szCs w:val="24"/>
        </w:rPr>
        <w:t>Legal Factors</w:t>
      </w:r>
      <w:bookmarkEnd w:id="13"/>
    </w:p>
    <w:p w14:paraId="42F97B85" w14:textId="137A28D4" w:rsidR="001B479A" w:rsidRPr="00FB72F0" w:rsidRDefault="001B479A" w:rsidP="00FB72F0">
      <w:pPr>
        <w:spacing w:line="360" w:lineRule="auto"/>
        <w:jc w:val="both"/>
        <w:rPr>
          <w:rFonts w:ascii="Arial" w:hAnsi="Arial" w:cs="Arial"/>
        </w:rPr>
      </w:pPr>
      <w:r w:rsidRPr="00FB72F0">
        <w:rPr>
          <w:rFonts w:ascii="Arial" w:hAnsi="Arial" w:cs="Arial"/>
        </w:rPr>
        <w:t>Food safety is particularly important because Nando’s specialises in poultry. Raw chicken creates serious risks of contamination, meaning the company must maintain rigorous controls over refrigeration, preparation areas, cooking temperatures, traceability and staff hygiene. A food-safety incident could damage a new and unfamiliar brand severely. Nando’s should therefore retain strong central quality standards while adapting procedures and training to German requirements.</w:t>
      </w:r>
    </w:p>
    <w:p w14:paraId="5D7EB529" w14:textId="6BBAEB95" w:rsidR="001B479A" w:rsidRPr="00FB72F0" w:rsidRDefault="001B479A" w:rsidP="00FB72F0">
      <w:pPr>
        <w:spacing w:line="360" w:lineRule="auto"/>
        <w:jc w:val="both"/>
        <w:rPr>
          <w:rFonts w:ascii="Arial" w:hAnsi="Arial" w:cs="Arial"/>
        </w:rPr>
      </w:pPr>
      <w:r w:rsidRPr="00FB72F0">
        <w:rPr>
          <w:rFonts w:ascii="Arial" w:hAnsi="Arial" w:cs="Arial"/>
        </w:rPr>
        <w:lastRenderedPageBreak/>
        <w:t>EU allergen rules require clear information for food served in restaurants. Nando’s sauces, marinades and sides may contain multiple allergens, and menu adaptation increases complexity</w:t>
      </w:r>
      <w:r w:rsidR="00700775" w:rsidRPr="00FB72F0">
        <w:rPr>
          <w:rFonts w:ascii="Arial" w:hAnsi="Arial" w:cs="Arial"/>
        </w:rPr>
        <w:t xml:space="preserve"> (Vicentini, et al. 2026)</w:t>
      </w:r>
      <w:r w:rsidRPr="00FB72F0">
        <w:rPr>
          <w:rFonts w:ascii="Arial" w:hAnsi="Arial" w:cs="Arial"/>
        </w:rPr>
        <w:t>. Digital and printed menus should provide accurate information in German, supported by a centrally maintained database. A smaller opening menu would reduce compliance and training risks.</w:t>
      </w:r>
    </w:p>
    <w:p w14:paraId="43618FA4" w14:textId="0BC15564" w:rsidR="001B479A" w:rsidRPr="00FB72F0" w:rsidRDefault="001B479A" w:rsidP="00FB72F0">
      <w:pPr>
        <w:spacing w:line="360" w:lineRule="auto"/>
        <w:jc w:val="both"/>
        <w:rPr>
          <w:rFonts w:ascii="Arial" w:hAnsi="Arial" w:cs="Arial"/>
        </w:rPr>
      </w:pPr>
      <w:r w:rsidRPr="00FB72F0">
        <w:rPr>
          <w:rFonts w:ascii="Arial" w:hAnsi="Arial" w:cs="Arial"/>
        </w:rPr>
        <w:t>German employment law also affects flexibility. Rules on working hours, holiday entitlement, pay documentation, equality and dismissal mean that Nando’s cannot rely on informal scheduling practices. A professional human-resource system with accurate time recording and trained managers will be essential. Although this increases cost, it may improve retention and service consistency.</w:t>
      </w:r>
    </w:p>
    <w:p w14:paraId="22B9D572" w14:textId="05C9E4F7" w:rsidR="001B479A" w:rsidRPr="00FB72F0" w:rsidRDefault="001B479A" w:rsidP="00FB72F0">
      <w:pPr>
        <w:spacing w:line="360" w:lineRule="auto"/>
        <w:jc w:val="both"/>
        <w:rPr>
          <w:rFonts w:ascii="Arial" w:hAnsi="Arial" w:cs="Arial"/>
        </w:rPr>
      </w:pPr>
      <w:r w:rsidRPr="00FB72F0">
        <w:rPr>
          <w:rFonts w:ascii="Arial" w:hAnsi="Arial" w:cs="Arial"/>
        </w:rPr>
        <w:t>Packaging, environmental regulation and data protection are also relevant. Takeaway and delivery operations must comply with German packaging and recycling requirements, while loyalty programmes and digital ordering must comply with the General Data Protection Regulation</w:t>
      </w:r>
      <w:r w:rsidR="0085390A" w:rsidRPr="00FB72F0">
        <w:rPr>
          <w:rFonts w:ascii="Arial" w:hAnsi="Arial" w:cs="Arial"/>
        </w:rPr>
        <w:t xml:space="preserve"> (Saldaña</w:t>
      </w:r>
      <w:r w:rsidR="0085390A" w:rsidRPr="00FB72F0">
        <w:rPr>
          <w:rFonts w:ascii="Cambria Math" w:hAnsi="Cambria Math" w:cs="Cambria Math"/>
        </w:rPr>
        <w:t>‐</w:t>
      </w:r>
      <w:r w:rsidR="0085390A" w:rsidRPr="00FB72F0">
        <w:rPr>
          <w:rFonts w:ascii="Arial" w:hAnsi="Arial" w:cs="Arial"/>
        </w:rPr>
        <w:t>Pierard, et al. 2025)</w:t>
      </w:r>
      <w:r w:rsidRPr="00FB72F0">
        <w:rPr>
          <w:rFonts w:ascii="Arial" w:hAnsi="Arial" w:cs="Arial"/>
        </w:rPr>
        <w:t>. Claims concerning health, halal certification, animal welfare and sustainability must also be accurate and verifiable.</w:t>
      </w:r>
    </w:p>
    <w:p w14:paraId="4E3E36A1" w14:textId="77777777" w:rsidR="001B479A" w:rsidRPr="00FB72F0" w:rsidRDefault="001B479A" w:rsidP="00FB72F0">
      <w:pPr>
        <w:spacing w:line="360" w:lineRule="auto"/>
        <w:jc w:val="both"/>
        <w:rPr>
          <w:rFonts w:ascii="Arial" w:hAnsi="Arial" w:cs="Arial"/>
        </w:rPr>
      </w:pPr>
      <w:r w:rsidRPr="00FB72F0">
        <w:rPr>
          <w:rFonts w:ascii="Arial" w:hAnsi="Arial" w:cs="Arial"/>
        </w:rPr>
        <w:t>These legal demands influence entry mode. Franchising could provide local knowledge and reduce investment, but it might weaken control over food safety, service and employment practices. A company-owned pilot or tightly controlled joint venture would therefore be safer during the initial stage.</w:t>
      </w:r>
    </w:p>
    <w:p w14:paraId="43C28B84" w14:textId="77777777" w:rsidR="001B479A" w:rsidRPr="00FB72F0" w:rsidRDefault="001B479A" w:rsidP="00FB72F0">
      <w:pPr>
        <w:spacing w:line="360" w:lineRule="auto"/>
        <w:jc w:val="both"/>
        <w:rPr>
          <w:rFonts w:ascii="Arial" w:hAnsi="Arial" w:cs="Arial"/>
        </w:rPr>
      </w:pPr>
    </w:p>
    <w:p w14:paraId="55B76F86" w14:textId="40DF8FC7" w:rsidR="001B479A" w:rsidRPr="00FB72F0" w:rsidRDefault="001B479A" w:rsidP="00FB72F0">
      <w:pPr>
        <w:pStyle w:val="Heading1"/>
        <w:jc w:val="both"/>
        <w:rPr>
          <w:rFonts w:cs="Arial"/>
          <w:szCs w:val="24"/>
        </w:rPr>
      </w:pPr>
      <w:bookmarkStart w:id="14" w:name="_Toc236167967"/>
      <w:r w:rsidRPr="00FB72F0">
        <w:rPr>
          <w:rFonts w:cs="Arial"/>
          <w:szCs w:val="24"/>
        </w:rPr>
        <w:t>Cultural Factors</w:t>
      </w:r>
      <w:bookmarkEnd w:id="14"/>
    </w:p>
    <w:p w14:paraId="648C9B2D" w14:textId="68334BE6" w:rsidR="001B479A" w:rsidRPr="00FB72F0" w:rsidRDefault="001B479A" w:rsidP="00FB72F0">
      <w:pPr>
        <w:spacing w:line="360" w:lineRule="auto"/>
        <w:jc w:val="both"/>
        <w:rPr>
          <w:rFonts w:ascii="Arial" w:hAnsi="Arial" w:cs="Arial"/>
        </w:rPr>
      </w:pPr>
      <w:r w:rsidRPr="00FB72F0">
        <w:rPr>
          <w:rFonts w:ascii="Arial" w:hAnsi="Arial" w:cs="Arial"/>
        </w:rPr>
        <w:t>German urban consumers are familiar with international cuisines, which reduces the difficulty of introducing PERi-PERi chicken. However, tolerance for spicy food varies. Nando’s should retain its spice-level system, allowing customers to choose from mild to very hot options. Clear German-language descriptions and sampling could reduce uncertainty.</w:t>
      </w:r>
    </w:p>
    <w:p w14:paraId="425FCE09" w14:textId="46A80E9A" w:rsidR="001B479A" w:rsidRPr="00FB72F0" w:rsidRDefault="001B479A" w:rsidP="00FB72F0">
      <w:pPr>
        <w:spacing w:line="360" w:lineRule="auto"/>
        <w:jc w:val="both"/>
        <w:rPr>
          <w:rFonts w:ascii="Arial" w:hAnsi="Arial" w:cs="Arial"/>
        </w:rPr>
      </w:pPr>
      <w:r w:rsidRPr="00FB72F0">
        <w:rPr>
          <w:rFonts w:ascii="Arial" w:hAnsi="Arial" w:cs="Arial"/>
        </w:rPr>
        <w:t>Chicken is widely acceptable and may be viewed as lighter than red meat, while grilling differentiates Nando’s from fried-chicken competitors. Nevertheless, concerns about animal welfare and intensive farming mean that the company must communicate sourcing standards clearly.</w:t>
      </w:r>
    </w:p>
    <w:p w14:paraId="1719FD4A" w14:textId="14B140E1" w:rsidR="001B479A" w:rsidRPr="00FB72F0" w:rsidRDefault="001B479A" w:rsidP="00FB72F0">
      <w:pPr>
        <w:spacing w:line="360" w:lineRule="auto"/>
        <w:jc w:val="both"/>
        <w:rPr>
          <w:rFonts w:ascii="Arial" w:hAnsi="Arial" w:cs="Arial"/>
        </w:rPr>
      </w:pPr>
      <w:r w:rsidRPr="00FB72F0">
        <w:rPr>
          <w:rFonts w:ascii="Arial" w:hAnsi="Arial" w:cs="Arial"/>
        </w:rPr>
        <w:lastRenderedPageBreak/>
        <w:t>Vegetarian, vegan and flexitarian preferences are also commercially important. Nando’s does not need to abandon its chicken-led identity, but it should offer at least one credible plant-based main dish</w:t>
      </w:r>
      <w:r w:rsidR="0041713D" w:rsidRPr="00FB72F0">
        <w:rPr>
          <w:rFonts w:ascii="Arial" w:hAnsi="Arial" w:cs="Arial"/>
        </w:rPr>
        <w:t xml:space="preserve"> as it does </w:t>
      </w:r>
      <w:r w:rsidR="00BC023B" w:rsidRPr="00FB72F0">
        <w:rPr>
          <w:rFonts w:ascii="Arial" w:hAnsi="Arial" w:cs="Arial"/>
        </w:rPr>
        <w:t>in many other locations (Nando’s 2026)</w:t>
      </w:r>
      <w:r w:rsidRPr="00FB72F0">
        <w:rPr>
          <w:rFonts w:ascii="Arial" w:hAnsi="Arial" w:cs="Arial"/>
        </w:rPr>
        <w:t>. This is important because mixed groups may reject a restaurant that does not accommodate different dietary needs. Menu expansion should remain controlled, however, because excessive variety increases cost, waste and allergen complexity.</w:t>
      </w:r>
    </w:p>
    <w:p w14:paraId="03FF74A3" w14:textId="20F2405E" w:rsidR="00822880" w:rsidRPr="00FB72F0" w:rsidRDefault="001B479A" w:rsidP="00FB72F0">
      <w:pPr>
        <w:spacing w:line="360" w:lineRule="auto"/>
        <w:jc w:val="both"/>
        <w:rPr>
          <w:rFonts w:ascii="Arial" w:hAnsi="Arial" w:cs="Arial"/>
        </w:rPr>
      </w:pPr>
      <w:r w:rsidRPr="00FB72F0">
        <w:rPr>
          <w:rFonts w:ascii="Arial" w:hAnsi="Arial" w:cs="Arial"/>
        </w:rPr>
        <w:t>German consumers are also likely to expect transparent pricing, reliable service and clear restaurant procedures. Nando’s informal humour and energetic branding may be attractive, but it must be supported by operational consistency. Customers should immediately understand how to order, whether food is brought to the table and what level of service is included.</w:t>
      </w:r>
    </w:p>
    <w:p w14:paraId="65820B9D" w14:textId="4B59730B" w:rsidR="00135FEF" w:rsidRPr="00FB72F0" w:rsidRDefault="00135FEF" w:rsidP="00FB72F0">
      <w:pPr>
        <w:pStyle w:val="Heading1"/>
        <w:jc w:val="both"/>
        <w:rPr>
          <w:rFonts w:cs="Arial"/>
          <w:szCs w:val="24"/>
        </w:rPr>
      </w:pPr>
      <w:bookmarkStart w:id="15" w:name="_Toc236167968"/>
      <w:r w:rsidRPr="00FB72F0">
        <w:rPr>
          <w:rFonts w:cs="Arial"/>
          <w:szCs w:val="24"/>
        </w:rPr>
        <w:t>THE FINDINGS USING DUNNING’S ECLECTIC (OLI) PARADIGM</w:t>
      </w:r>
      <w:bookmarkEnd w:id="15"/>
    </w:p>
    <w:p w14:paraId="595B4C13" w14:textId="4558C20F" w:rsidR="00685668" w:rsidRPr="00FB72F0" w:rsidRDefault="00C31FBE" w:rsidP="00FB72F0">
      <w:pPr>
        <w:suppressAutoHyphens w:val="0"/>
        <w:jc w:val="both"/>
        <w:rPr>
          <w:rFonts w:ascii="Arial" w:hAnsi="Arial" w:cs="Arial"/>
          <w:b/>
          <w:bCs/>
        </w:rPr>
      </w:pPr>
      <w:r w:rsidRPr="00FB72F0">
        <w:rPr>
          <w:rFonts w:ascii="Arial" w:hAnsi="Arial" w:cs="Arial"/>
          <w:noProof/>
          <w:u w:val="single"/>
        </w:rPr>
        <w:drawing>
          <wp:anchor distT="0" distB="0" distL="114300" distR="114300" simplePos="0" relativeHeight="251657216" behindDoc="0" locked="0" layoutInCell="1" allowOverlap="1" wp14:anchorId="326DA049" wp14:editId="3693ED45">
            <wp:simplePos x="0" y="0"/>
            <wp:positionH relativeFrom="margin">
              <wp:align>center</wp:align>
            </wp:positionH>
            <wp:positionV relativeFrom="paragraph">
              <wp:posOffset>206944</wp:posOffset>
            </wp:positionV>
            <wp:extent cx="4726305" cy="2054225"/>
            <wp:effectExtent l="0" t="0" r="0" b="22225"/>
            <wp:wrapTopAndBottom/>
            <wp:docPr id="1998881110"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anchor>
        </w:drawing>
      </w:r>
    </w:p>
    <w:p w14:paraId="4C990F9A" w14:textId="523A21D6" w:rsidR="00135FEF" w:rsidRPr="00FB72F0" w:rsidRDefault="00135FEF" w:rsidP="00FB72F0">
      <w:pPr>
        <w:spacing w:line="360" w:lineRule="auto"/>
        <w:jc w:val="both"/>
        <w:rPr>
          <w:rFonts w:ascii="Arial" w:hAnsi="Arial" w:cs="Arial"/>
        </w:rPr>
      </w:pPr>
    </w:p>
    <w:p w14:paraId="488B5C73" w14:textId="356FEE5F" w:rsidR="00C10DF6" w:rsidRPr="00FB72F0" w:rsidRDefault="00C10DF6" w:rsidP="00FB72F0">
      <w:pPr>
        <w:spacing w:line="360" w:lineRule="auto"/>
        <w:jc w:val="both"/>
        <w:rPr>
          <w:rFonts w:ascii="Arial" w:hAnsi="Arial" w:cs="Arial"/>
        </w:rPr>
      </w:pPr>
      <w:r w:rsidRPr="00FB72F0">
        <w:rPr>
          <w:rFonts w:ascii="Arial" w:hAnsi="Arial" w:cs="Arial"/>
        </w:rPr>
        <w:t>Dunning’s Eclectic Paradigm argues that successful foreign direct investment depends on three conditions: Ownership (O), Location (L) and Internalisation (I) advantages. Applying the OLI framework to Nando’s suggests that Germany represents a promising but challenging marke</w:t>
      </w:r>
      <w:r w:rsidR="009F21CA" w:rsidRPr="00FB72F0">
        <w:rPr>
          <w:rFonts w:ascii="Arial" w:hAnsi="Arial" w:cs="Arial"/>
        </w:rPr>
        <w:t>t (</w:t>
      </w:r>
      <w:r w:rsidR="00014E83" w:rsidRPr="00FB72F0">
        <w:rPr>
          <w:rFonts w:ascii="Arial" w:hAnsi="Arial" w:cs="Arial"/>
        </w:rPr>
        <w:t>Sharmiladevi, 2017)</w:t>
      </w:r>
      <w:r w:rsidR="005A6C39" w:rsidRPr="00FB72F0">
        <w:rPr>
          <w:rFonts w:ascii="Arial" w:hAnsi="Arial" w:cs="Arial"/>
        </w:rPr>
        <w:t>.</w:t>
      </w:r>
      <w:r w:rsidRPr="00FB72F0">
        <w:rPr>
          <w:rFonts w:ascii="Arial" w:hAnsi="Arial" w:cs="Arial"/>
        </w:rPr>
        <w:t xml:space="preserve"> While the company possesses distinctive ownership advantages and Germany offers attractive location characteristics, success depends on whether Nando’s can maintain control of its brand while adapting to Germany’s competitive, economic and regulatory environment.</w:t>
      </w:r>
    </w:p>
    <w:p w14:paraId="25668D4F" w14:textId="77777777" w:rsidR="00C10DF6" w:rsidRPr="00FB72F0" w:rsidRDefault="00C10DF6" w:rsidP="00FB72F0">
      <w:pPr>
        <w:spacing w:line="360" w:lineRule="auto"/>
        <w:jc w:val="both"/>
        <w:rPr>
          <w:rFonts w:ascii="Arial" w:hAnsi="Arial" w:cs="Arial"/>
          <w:b/>
          <w:bCs/>
        </w:rPr>
      </w:pPr>
    </w:p>
    <w:p w14:paraId="5ECC7EDF" w14:textId="74EC6324" w:rsidR="00C10DF6" w:rsidRPr="00FB72F0" w:rsidRDefault="00C10DF6" w:rsidP="00FB72F0">
      <w:pPr>
        <w:pStyle w:val="Heading1"/>
        <w:jc w:val="both"/>
        <w:rPr>
          <w:rFonts w:cs="Arial"/>
          <w:szCs w:val="24"/>
        </w:rPr>
      </w:pPr>
      <w:bookmarkStart w:id="16" w:name="_Toc236167969"/>
      <w:r w:rsidRPr="00FB72F0">
        <w:rPr>
          <w:rFonts w:cs="Arial"/>
          <w:szCs w:val="24"/>
        </w:rPr>
        <w:lastRenderedPageBreak/>
        <w:t>Ownership Advantages</w:t>
      </w:r>
      <w:bookmarkEnd w:id="16"/>
    </w:p>
    <w:p w14:paraId="43EDF041" w14:textId="34FD3894" w:rsidR="00C10DF6" w:rsidRPr="00FB72F0" w:rsidRDefault="00C10DF6" w:rsidP="00FB72F0">
      <w:pPr>
        <w:spacing w:line="360" w:lineRule="auto"/>
        <w:jc w:val="both"/>
        <w:rPr>
          <w:rFonts w:ascii="Arial" w:hAnsi="Arial" w:cs="Arial"/>
        </w:rPr>
      </w:pPr>
      <w:r w:rsidRPr="00FB72F0">
        <w:rPr>
          <w:rFonts w:ascii="Arial" w:hAnsi="Arial" w:cs="Arial"/>
        </w:rPr>
        <w:t xml:space="preserve">Ownership advantages are the firm-specific assets that enable a company to compete successfully overseas. Nando’s strongest ownership advantage is its distinctive brand identity. Unlike traditional fast-food chains, it combines flame-grilled PERi-PERi chicken with a unique South </w:t>
      </w:r>
      <w:r w:rsidR="00EA6266" w:rsidRPr="00FB72F0">
        <w:rPr>
          <w:rFonts w:ascii="Arial" w:hAnsi="Arial" w:cs="Arial"/>
        </w:rPr>
        <w:t>African Portuguese</w:t>
      </w:r>
      <w:r w:rsidRPr="00FB72F0">
        <w:rPr>
          <w:rFonts w:ascii="Arial" w:hAnsi="Arial" w:cs="Arial"/>
        </w:rPr>
        <w:t xml:space="preserve"> heritage, creating differentiation based on flavour, restaurant atmosphere and customer experience rather than price alone. Its presence in more than 20 international markets demonstrates that the concept is transferable across different countries.</w:t>
      </w:r>
    </w:p>
    <w:p w14:paraId="5BE128C5" w14:textId="215000B2" w:rsidR="00C10DF6" w:rsidRPr="00FB72F0" w:rsidRDefault="00C10DF6" w:rsidP="00FB72F0">
      <w:pPr>
        <w:spacing w:line="360" w:lineRule="auto"/>
        <w:jc w:val="both"/>
        <w:rPr>
          <w:rFonts w:ascii="Arial" w:hAnsi="Arial" w:cs="Arial"/>
        </w:rPr>
      </w:pPr>
      <w:r w:rsidRPr="00FB72F0">
        <w:rPr>
          <w:rFonts w:ascii="Arial" w:hAnsi="Arial" w:cs="Arial"/>
        </w:rPr>
        <w:t>Beyond its products, Nando’s possesses valuable intangible assets including proprietary recipes, operational know-how, supplier relationships and employee training system</w:t>
      </w:r>
      <w:r w:rsidR="00B179CE" w:rsidRPr="00FB72F0">
        <w:rPr>
          <w:rFonts w:ascii="Arial" w:hAnsi="Arial" w:cs="Arial"/>
        </w:rPr>
        <w:t>s (Lundan, 2010)</w:t>
      </w:r>
      <w:r w:rsidRPr="00FB72F0">
        <w:rPr>
          <w:rFonts w:ascii="Arial" w:hAnsi="Arial" w:cs="Arial"/>
        </w:rPr>
        <w:t>. These capabilities help maintain food quality and consistency, particularly important in Germany where food safety regulations are stringent and poultry products require rigorous handling. Strong operational processes therefore reduce compliance risks while supporting a consistent customer experience.</w:t>
      </w:r>
    </w:p>
    <w:p w14:paraId="7B69A140" w14:textId="2C23CC93" w:rsidR="00C10DF6" w:rsidRPr="00FB72F0" w:rsidRDefault="00C10DF6" w:rsidP="00FB72F0">
      <w:pPr>
        <w:spacing w:line="360" w:lineRule="auto"/>
        <w:jc w:val="both"/>
        <w:rPr>
          <w:rFonts w:ascii="Arial" w:hAnsi="Arial" w:cs="Arial"/>
        </w:rPr>
      </w:pPr>
      <w:r w:rsidRPr="00FB72F0">
        <w:rPr>
          <w:rFonts w:ascii="Arial" w:hAnsi="Arial" w:cs="Arial"/>
        </w:rPr>
        <w:t>However, these ownership advantages should not be overstated. Brand recognition remains relatively low in Germany compared with the UK, South Africa or Australia. Consequently, Nando’s faces the liability of foreignness, whereby new entrants incur higher costs because they lack local market knowledge, customer loyalty and established supplier networks</w:t>
      </w:r>
      <w:r w:rsidR="00A310C6" w:rsidRPr="00FB72F0">
        <w:rPr>
          <w:rFonts w:ascii="Arial" w:hAnsi="Arial" w:cs="Arial"/>
        </w:rPr>
        <w:t xml:space="preserve"> </w:t>
      </w:r>
      <w:r w:rsidR="00BE45BD" w:rsidRPr="00FB72F0">
        <w:rPr>
          <w:rFonts w:ascii="Arial" w:hAnsi="Arial" w:cs="Arial"/>
        </w:rPr>
        <w:t>(Narula, Santangelo, 2012)</w:t>
      </w:r>
      <w:r w:rsidRPr="00FB72F0">
        <w:rPr>
          <w:rFonts w:ascii="Arial" w:hAnsi="Arial" w:cs="Arial"/>
        </w:rPr>
        <w:t>. Furthermore, grilled chicken and spicy sauces are not impossible for competitors to imitate. Sustainable competitive advantage therefore depends on combining product quality with customer experience, service culture and brand authenticity rather than relying solely on its food offering.</w:t>
      </w:r>
    </w:p>
    <w:p w14:paraId="4BD1ABC0" w14:textId="7A33D239" w:rsidR="00C10DF6" w:rsidRPr="00FB72F0" w:rsidRDefault="00C10DF6" w:rsidP="00FB72F0">
      <w:pPr>
        <w:spacing w:line="360" w:lineRule="auto"/>
        <w:jc w:val="both"/>
        <w:rPr>
          <w:rFonts w:ascii="Arial" w:hAnsi="Arial" w:cs="Arial"/>
        </w:rPr>
      </w:pPr>
      <w:r w:rsidRPr="00FB72F0">
        <w:rPr>
          <w:rFonts w:ascii="Arial" w:hAnsi="Arial" w:cs="Arial"/>
        </w:rPr>
        <w:t>Nando’s people-focused organisational culture also supports service quality and employee engagement. Nevertheless, transferring this labour-intensive service model to Germany may increase operating costs because of relatively high wages and employment obligations. Consequently, Nando’s ownership advantages provide differentiation, but profitability will depend on adapting operations without weakening the customer experience.</w:t>
      </w:r>
    </w:p>
    <w:p w14:paraId="0D8126A1" w14:textId="7F7E3B66" w:rsidR="00C10DF6" w:rsidRPr="00FB72F0" w:rsidRDefault="00C10DF6" w:rsidP="00FB72F0">
      <w:pPr>
        <w:pStyle w:val="Heading1"/>
        <w:jc w:val="both"/>
        <w:rPr>
          <w:rFonts w:cs="Arial"/>
          <w:szCs w:val="24"/>
        </w:rPr>
      </w:pPr>
      <w:bookmarkStart w:id="17" w:name="_Toc236167970"/>
      <w:r w:rsidRPr="00FB72F0">
        <w:rPr>
          <w:rFonts w:cs="Arial"/>
          <w:szCs w:val="24"/>
        </w:rPr>
        <w:t>Location Advantages</w:t>
      </w:r>
      <w:bookmarkEnd w:id="17"/>
    </w:p>
    <w:p w14:paraId="3A9BC673" w14:textId="65805E7C" w:rsidR="00C10DF6" w:rsidRPr="00FB72F0" w:rsidRDefault="00C10DF6" w:rsidP="00FB72F0">
      <w:pPr>
        <w:spacing w:line="360" w:lineRule="auto"/>
        <w:jc w:val="both"/>
        <w:rPr>
          <w:rFonts w:ascii="Arial" w:hAnsi="Arial" w:cs="Arial"/>
        </w:rPr>
      </w:pPr>
      <w:r w:rsidRPr="00FB72F0">
        <w:rPr>
          <w:rFonts w:ascii="Arial" w:hAnsi="Arial" w:cs="Arial"/>
        </w:rPr>
        <w:t xml:space="preserve">Germany offers several attractive location advantages. It is Europe's largest economy, with a large urban population, high purchasing power and well-developed </w:t>
      </w:r>
      <w:r w:rsidRPr="00FB72F0">
        <w:rPr>
          <w:rFonts w:ascii="Arial" w:hAnsi="Arial" w:cs="Arial"/>
        </w:rPr>
        <w:lastRenderedPageBreak/>
        <w:t>infrastructure. Cities such as Berlin, Hamburg, Munich, Frankfurt and Cologne provide culturally diverse populations that are generally receptive to international cuisin</w:t>
      </w:r>
      <w:r w:rsidR="00B72D18" w:rsidRPr="00FB72F0">
        <w:rPr>
          <w:rFonts w:ascii="Arial" w:hAnsi="Arial" w:cs="Arial"/>
        </w:rPr>
        <w:t>e (</w:t>
      </w:r>
      <w:r w:rsidR="00D745DE" w:rsidRPr="00FB72F0">
        <w:rPr>
          <w:rFonts w:ascii="Arial" w:hAnsi="Arial" w:cs="Arial"/>
        </w:rPr>
        <w:t>Narula, Santangelo, 2012)</w:t>
      </w:r>
      <w:r w:rsidRPr="00FB72F0">
        <w:rPr>
          <w:rFonts w:ascii="Arial" w:hAnsi="Arial" w:cs="Arial"/>
        </w:rPr>
        <w:t>. Germany's central European location could also enable Nando’s to use the country as a platform for future expansion into neighbouring EU markets.</w:t>
      </w:r>
    </w:p>
    <w:p w14:paraId="2998CDFF" w14:textId="3D320D3F" w:rsidR="00C10DF6" w:rsidRPr="00FB72F0" w:rsidRDefault="00C10DF6" w:rsidP="00FB72F0">
      <w:pPr>
        <w:spacing w:line="360" w:lineRule="auto"/>
        <w:jc w:val="both"/>
        <w:rPr>
          <w:rFonts w:ascii="Arial" w:hAnsi="Arial" w:cs="Arial"/>
        </w:rPr>
      </w:pPr>
      <w:r w:rsidRPr="00FB72F0">
        <w:rPr>
          <w:rFonts w:ascii="Arial" w:hAnsi="Arial" w:cs="Arial"/>
        </w:rPr>
        <w:t>Political stability and transparent legal institutions further strengthen Germany's attractiveness. Strong protection of contracts and intellectual property reduces investment risk, while membership of the European Union simplifies future regional expansion</w:t>
      </w:r>
      <w:r w:rsidR="007A3242" w:rsidRPr="00FB72F0">
        <w:rPr>
          <w:rFonts w:ascii="Arial" w:hAnsi="Arial" w:cs="Arial"/>
        </w:rPr>
        <w:t xml:space="preserve"> (</w:t>
      </w:r>
      <w:r w:rsidR="00F82CCF" w:rsidRPr="00FB72F0">
        <w:rPr>
          <w:rFonts w:ascii="Arial" w:hAnsi="Arial" w:cs="Arial"/>
        </w:rPr>
        <w:t>Dunning, 2001)</w:t>
      </w:r>
      <w:r w:rsidRPr="00FB72F0">
        <w:rPr>
          <w:rFonts w:ascii="Arial" w:hAnsi="Arial" w:cs="Arial"/>
        </w:rPr>
        <w:t>. Recent reductions in VAT on restaurant food also provide an opportunity to improve profit margins or offer more competitive pricing.</w:t>
      </w:r>
    </w:p>
    <w:p w14:paraId="7B91C82C" w14:textId="186B862C" w:rsidR="00C10DF6" w:rsidRPr="00FB72F0" w:rsidRDefault="00C10DF6" w:rsidP="00FB72F0">
      <w:pPr>
        <w:spacing w:line="360" w:lineRule="auto"/>
        <w:jc w:val="both"/>
        <w:rPr>
          <w:rFonts w:ascii="Arial" w:hAnsi="Arial" w:cs="Arial"/>
        </w:rPr>
      </w:pPr>
      <w:r w:rsidRPr="00FB72F0">
        <w:rPr>
          <w:rFonts w:ascii="Arial" w:hAnsi="Arial" w:cs="Arial"/>
        </w:rPr>
        <w:t>Nevertheless, Germany's location advantages are accompanied by significant challenges. The restaurant industry is highly mature and competitive. Nando’s would compete not only against multinational fast-food chains such as McDonald's and KFC but also against independent grill restaurants, Turkish kebab outlets, supermarkets and food delivery platforms. Unlike emerging markets where brand novelty alone may attract customers, Germany requires clear differentiation to justify Nando’s premium pricing strategy.</w:t>
      </w:r>
    </w:p>
    <w:p w14:paraId="35A9FCBD" w14:textId="6B61D322" w:rsidR="00C10DF6" w:rsidRPr="00FB72F0" w:rsidRDefault="00C10DF6" w:rsidP="00FB72F0">
      <w:pPr>
        <w:spacing w:line="360" w:lineRule="auto"/>
        <w:jc w:val="both"/>
        <w:rPr>
          <w:rFonts w:ascii="Arial" w:hAnsi="Arial" w:cs="Arial"/>
        </w:rPr>
      </w:pPr>
      <w:r w:rsidRPr="00FB72F0">
        <w:rPr>
          <w:rFonts w:ascii="Arial" w:hAnsi="Arial" w:cs="Arial"/>
        </w:rPr>
        <w:t xml:space="preserve">Economic conditions also create uncertainty. Although consumer spending remains relatively resilient, inflation and increasing living costs have made German consumers more </w:t>
      </w:r>
      <w:r w:rsidR="004636AB" w:rsidRPr="00FB72F0">
        <w:rPr>
          <w:rFonts w:ascii="Arial" w:hAnsi="Arial" w:cs="Arial"/>
        </w:rPr>
        <w:t>price sensitive</w:t>
      </w:r>
      <w:r w:rsidR="004C47E4" w:rsidRPr="004C47E4">
        <w:t xml:space="preserve"> </w:t>
      </w:r>
      <w:r w:rsidR="004C47E4">
        <w:t>(</w:t>
      </w:r>
      <w:r w:rsidR="004C47E4" w:rsidRPr="004C47E4">
        <w:rPr>
          <w:rFonts w:ascii="Arial" w:hAnsi="Arial" w:cs="Arial"/>
        </w:rPr>
        <w:t>Hempel, Roosen, 2024)</w:t>
      </w:r>
      <w:r w:rsidRPr="00FB72F0">
        <w:rPr>
          <w:rFonts w:ascii="Arial" w:hAnsi="Arial" w:cs="Arial"/>
        </w:rPr>
        <w:t>. Nando’s occupies an accessible-premium position rather than competing on low prices, making careful pricing essential. Excessively high prices could reduce repeat purchases, while excessive discounting would weaken profitability and brand positioning.</w:t>
      </w:r>
    </w:p>
    <w:p w14:paraId="38541860" w14:textId="0BEC0905" w:rsidR="00C10DF6" w:rsidRPr="00FB72F0" w:rsidRDefault="00C10DF6" w:rsidP="00FB72F0">
      <w:pPr>
        <w:spacing w:line="360" w:lineRule="auto"/>
        <w:jc w:val="both"/>
        <w:rPr>
          <w:rFonts w:ascii="Arial" w:hAnsi="Arial" w:cs="Arial"/>
        </w:rPr>
      </w:pPr>
      <w:r w:rsidRPr="00FB72F0">
        <w:rPr>
          <w:rFonts w:ascii="Arial" w:hAnsi="Arial" w:cs="Arial"/>
        </w:rPr>
        <w:t>Labour costs represent perhaps the greatest location disadvantage. Germany's high minimum wage, social insurance contributions and employment protections increase operating costs, particularly for labour-intensive restaurant concepts such as Nando’s. To maintain profitability, the company should improve productivity through digital ordering systems, simplified kitchen operations and staff cross-training rather than reducing customer service quality.</w:t>
      </w:r>
    </w:p>
    <w:p w14:paraId="352FD39D" w14:textId="7923CE82" w:rsidR="00C10DF6" w:rsidRPr="00FB72F0" w:rsidRDefault="00C10DF6" w:rsidP="00FB72F0">
      <w:pPr>
        <w:spacing w:line="360" w:lineRule="auto"/>
        <w:jc w:val="both"/>
        <w:rPr>
          <w:rFonts w:ascii="Arial" w:hAnsi="Arial" w:cs="Arial"/>
        </w:rPr>
      </w:pPr>
      <w:r w:rsidRPr="00FB72F0">
        <w:rPr>
          <w:rFonts w:ascii="Arial" w:hAnsi="Arial" w:cs="Arial"/>
        </w:rPr>
        <w:t xml:space="preserve">Supply-chain considerations also influence location attractiveness. Local sourcing of poultry and fresh produce would reduce transport costs, improve sustainability credentials and meet German consumer expectations regarding traceability. Only </w:t>
      </w:r>
      <w:r w:rsidRPr="00FB72F0">
        <w:rPr>
          <w:rFonts w:ascii="Arial" w:hAnsi="Arial" w:cs="Arial"/>
        </w:rPr>
        <w:lastRenderedPageBreak/>
        <w:t>proprietary PERi-PERi ingredients should remain centrally sourced to preserve product consistency.</w:t>
      </w:r>
    </w:p>
    <w:p w14:paraId="06D5F452" w14:textId="77777777" w:rsidR="00C10DF6" w:rsidRPr="00FB72F0" w:rsidRDefault="00C10DF6" w:rsidP="00FB72F0">
      <w:pPr>
        <w:spacing w:line="360" w:lineRule="auto"/>
        <w:jc w:val="both"/>
        <w:rPr>
          <w:rFonts w:ascii="Arial" w:hAnsi="Arial" w:cs="Arial"/>
        </w:rPr>
      </w:pPr>
      <w:r w:rsidRPr="00FB72F0">
        <w:rPr>
          <w:rFonts w:ascii="Arial" w:hAnsi="Arial" w:cs="Arial"/>
        </w:rPr>
        <w:t>Overall, Germany offers attractive market potential, but only in metropolitan areas where consumers value differentiated dining experiences and possess sufficient disposable income.</w:t>
      </w:r>
    </w:p>
    <w:p w14:paraId="590AAFCD" w14:textId="77777777" w:rsidR="00C10DF6" w:rsidRPr="00FB72F0" w:rsidRDefault="00C10DF6" w:rsidP="00FB72F0">
      <w:pPr>
        <w:spacing w:line="360" w:lineRule="auto"/>
        <w:jc w:val="both"/>
        <w:rPr>
          <w:rFonts w:ascii="Arial" w:hAnsi="Arial" w:cs="Arial"/>
          <w:b/>
          <w:bCs/>
        </w:rPr>
      </w:pPr>
    </w:p>
    <w:p w14:paraId="4F549E0D" w14:textId="5F723375" w:rsidR="00C10DF6" w:rsidRPr="00FB72F0" w:rsidRDefault="00C10DF6" w:rsidP="00FB72F0">
      <w:pPr>
        <w:pStyle w:val="Heading1"/>
        <w:jc w:val="both"/>
        <w:rPr>
          <w:rFonts w:cs="Arial"/>
          <w:szCs w:val="24"/>
        </w:rPr>
      </w:pPr>
      <w:bookmarkStart w:id="18" w:name="_Toc236167971"/>
      <w:r w:rsidRPr="00FB72F0">
        <w:rPr>
          <w:rFonts w:cs="Arial"/>
          <w:szCs w:val="24"/>
        </w:rPr>
        <w:t>Internalisation Advantages</w:t>
      </w:r>
      <w:bookmarkEnd w:id="18"/>
    </w:p>
    <w:p w14:paraId="494788CC" w14:textId="055D9B78" w:rsidR="00C10DF6" w:rsidRPr="00FB72F0" w:rsidRDefault="00C10DF6" w:rsidP="00FB72F0">
      <w:pPr>
        <w:spacing w:line="360" w:lineRule="auto"/>
        <w:jc w:val="both"/>
        <w:rPr>
          <w:rFonts w:ascii="Arial" w:hAnsi="Arial" w:cs="Arial"/>
        </w:rPr>
      </w:pPr>
      <w:r w:rsidRPr="00FB72F0">
        <w:rPr>
          <w:rFonts w:ascii="Arial" w:hAnsi="Arial" w:cs="Arial"/>
        </w:rPr>
        <w:t>Internalisation advantages determine whether a company should operate directly or rely on franchising, licensing or other partnerships. For Nando’s, internalisation is particularly important because its competitive advantage depends heavily on food quality, restaurant atmosphere and customer service.</w:t>
      </w:r>
    </w:p>
    <w:p w14:paraId="3EF485B9" w14:textId="14204089" w:rsidR="00C10DF6" w:rsidRPr="00FB72F0" w:rsidRDefault="00C10DF6" w:rsidP="00FB72F0">
      <w:pPr>
        <w:spacing w:line="360" w:lineRule="auto"/>
        <w:jc w:val="both"/>
        <w:rPr>
          <w:rFonts w:ascii="Arial" w:hAnsi="Arial" w:cs="Arial"/>
        </w:rPr>
      </w:pPr>
      <w:r w:rsidRPr="00FB72F0">
        <w:rPr>
          <w:rFonts w:ascii="Arial" w:hAnsi="Arial" w:cs="Arial"/>
        </w:rPr>
        <w:t>Licensing would expose proprietary recipes, operational systems and brand reputation to considerable risk. Independent operators may reduce ingredient quality, alter cooking procedures or fail to maintain service standards, damaging the Nando’s brand. Franchising offers greater control than licensing, but inconsistencies between franchisees may still weaken customer perceptions, particularly in a market where Nando’s has limited brand recognition.</w:t>
      </w:r>
    </w:p>
    <w:p w14:paraId="2C22052C" w14:textId="6B1AB3B8" w:rsidR="00C10DF6" w:rsidRPr="00FB72F0" w:rsidRDefault="00C10DF6" w:rsidP="00FB72F0">
      <w:pPr>
        <w:spacing w:line="360" w:lineRule="auto"/>
        <w:jc w:val="both"/>
        <w:rPr>
          <w:rFonts w:ascii="Arial" w:hAnsi="Arial" w:cs="Arial"/>
        </w:rPr>
      </w:pPr>
      <w:r w:rsidRPr="00FB72F0">
        <w:rPr>
          <w:rFonts w:ascii="Arial" w:hAnsi="Arial" w:cs="Arial"/>
        </w:rPr>
        <w:t>Consequently, company-owned restaurants offer significant advantages during market entry. Direct ownership allows Nando’s to protect its recipes, quality standards, employee training and restaurant culture while gaining valuable market knowledge. Learning about German consumer preferences, pricing, labour productivity and menu adaptations during an initial pilot phase would reduce uncertainty before wider expansion.</w:t>
      </w:r>
    </w:p>
    <w:p w14:paraId="302D3E7B" w14:textId="77777777" w:rsidR="00C10DF6" w:rsidRPr="00FB72F0" w:rsidRDefault="00C10DF6" w:rsidP="00FB72F0">
      <w:pPr>
        <w:spacing w:line="360" w:lineRule="auto"/>
        <w:jc w:val="both"/>
        <w:rPr>
          <w:rFonts w:ascii="Arial" w:hAnsi="Arial" w:cs="Arial"/>
        </w:rPr>
      </w:pPr>
      <w:r w:rsidRPr="00FB72F0">
        <w:rPr>
          <w:rFonts w:ascii="Arial" w:hAnsi="Arial" w:cs="Arial"/>
        </w:rPr>
        <w:t>However, complete internalisation also requires substantial financial investment and exposes Nando’s to greater operational risk. Local restaurant operators often possess superior knowledge of property markets, regulation and consumer behaviour. Therefore, the most appropriate strategy would be a phased approach. Nando’s should initially establish company-owned flagship restaurants or a tightly controlled joint venture before considering selective franchising once operational systems have been successfully adapted to Germany.</w:t>
      </w:r>
    </w:p>
    <w:p w14:paraId="52C2B1D3" w14:textId="77777777" w:rsidR="00C10DF6" w:rsidRPr="00FB72F0" w:rsidRDefault="00C10DF6" w:rsidP="00FB72F0">
      <w:pPr>
        <w:spacing w:line="360" w:lineRule="auto"/>
        <w:jc w:val="both"/>
        <w:rPr>
          <w:rFonts w:ascii="Arial" w:hAnsi="Arial" w:cs="Arial"/>
        </w:rPr>
      </w:pPr>
    </w:p>
    <w:p w14:paraId="5BE335F6" w14:textId="0E520C30" w:rsidR="00C10DF6" w:rsidRPr="00FB72F0" w:rsidRDefault="00C10DF6" w:rsidP="00FB72F0">
      <w:pPr>
        <w:pStyle w:val="Heading1"/>
        <w:jc w:val="both"/>
        <w:rPr>
          <w:rFonts w:cs="Arial"/>
          <w:szCs w:val="24"/>
        </w:rPr>
      </w:pPr>
      <w:bookmarkStart w:id="19" w:name="_Toc236167972"/>
      <w:r w:rsidRPr="00FB72F0">
        <w:rPr>
          <w:rFonts w:cs="Arial"/>
          <w:szCs w:val="24"/>
        </w:rPr>
        <w:t>Overall Assessment</w:t>
      </w:r>
      <w:bookmarkEnd w:id="19"/>
    </w:p>
    <w:p w14:paraId="4B949DC5" w14:textId="76093097" w:rsidR="00C10DF6" w:rsidRPr="00FB72F0" w:rsidRDefault="00C10DF6" w:rsidP="00FB72F0">
      <w:pPr>
        <w:spacing w:line="360" w:lineRule="auto"/>
        <w:jc w:val="both"/>
        <w:rPr>
          <w:rFonts w:ascii="Arial" w:hAnsi="Arial" w:cs="Arial"/>
        </w:rPr>
      </w:pPr>
      <w:r w:rsidRPr="00FB72F0">
        <w:rPr>
          <w:rFonts w:ascii="Arial" w:hAnsi="Arial" w:cs="Arial"/>
        </w:rPr>
        <w:t>The OLI framework suggests that Germany satisfies the conditions necessary for foreign direct investment, although each advantage is qualified by significant challenges.</w:t>
      </w:r>
    </w:p>
    <w:p w14:paraId="7838982C" w14:textId="0773B90B" w:rsidR="00C10DF6" w:rsidRPr="00FB72F0" w:rsidRDefault="00C10DF6" w:rsidP="00FB72F0">
      <w:pPr>
        <w:spacing w:line="360" w:lineRule="auto"/>
        <w:jc w:val="both"/>
        <w:rPr>
          <w:rFonts w:ascii="Arial" w:hAnsi="Arial" w:cs="Arial"/>
        </w:rPr>
      </w:pPr>
      <w:r w:rsidRPr="00FB72F0">
        <w:rPr>
          <w:rFonts w:ascii="Arial" w:hAnsi="Arial" w:cs="Arial"/>
        </w:rPr>
        <w:t>Nando’s possesses strong ownership advantages through its internationally recognised brand, differentiated PERi-PERi concept and operational expertise. These assets provide a competitive foundation but require adaptation to overcome limited brand awareness and intense local competition.</w:t>
      </w:r>
    </w:p>
    <w:p w14:paraId="6C69EA34" w14:textId="7EC3EFC7" w:rsidR="00C10DF6" w:rsidRPr="00FB72F0" w:rsidRDefault="00C10DF6" w:rsidP="00FB72F0">
      <w:pPr>
        <w:spacing w:line="360" w:lineRule="auto"/>
        <w:jc w:val="both"/>
        <w:rPr>
          <w:rFonts w:ascii="Arial" w:hAnsi="Arial" w:cs="Arial"/>
        </w:rPr>
      </w:pPr>
      <w:r w:rsidRPr="00FB72F0">
        <w:rPr>
          <w:rFonts w:ascii="Arial" w:hAnsi="Arial" w:cs="Arial"/>
        </w:rPr>
        <w:t>Germany offers substantial location advantages through market size, political stability, urban diversity and access to the wider European market. However, these benefits are offset by high labour costs, mature competition, strict regulation and increasingly price-sensitive consumers. The opportunity therefore lies not in nationwide expansion but in carefully selected metropolitan markets where Nando’s unique positioning is most likely to succeed.</w:t>
      </w:r>
    </w:p>
    <w:p w14:paraId="6A977255" w14:textId="7B179FCD" w:rsidR="00C10DF6" w:rsidRPr="00FB72F0" w:rsidRDefault="00C10DF6" w:rsidP="00FB72F0">
      <w:pPr>
        <w:spacing w:line="360" w:lineRule="auto"/>
        <w:jc w:val="both"/>
        <w:rPr>
          <w:rFonts w:ascii="Arial" w:hAnsi="Arial" w:cs="Arial"/>
        </w:rPr>
      </w:pPr>
      <w:r w:rsidRPr="00FB72F0">
        <w:rPr>
          <w:rFonts w:ascii="Arial" w:hAnsi="Arial" w:cs="Arial"/>
        </w:rPr>
        <w:t>Finally, internalisation provides the greatest opportunity to protect Nando’s competitive advantages. Direct control allows the company to maintain food quality, customer experience and brand consistency while learning about local consumer behaviour. Although this increases financial commitment, it reduces reputational risk during the critical market-entry stage.</w:t>
      </w:r>
    </w:p>
    <w:p w14:paraId="53704377" w14:textId="1C80BBF2" w:rsidR="00C10DF6" w:rsidRPr="00FB72F0" w:rsidRDefault="00C10DF6" w:rsidP="00FB72F0">
      <w:pPr>
        <w:spacing w:line="360" w:lineRule="auto"/>
        <w:jc w:val="both"/>
        <w:rPr>
          <w:rFonts w:ascii="Arial" w:hAnsi="Arial" w:cs="Arial"/>
        </w:rPr>
      </w:pPr>
      <w:r w:rsidRPr="00FB72F0">
        <w:rPr>
          <w:rFonts w:ascii="Arial" w:hAnsi="Arial" w:cs="Arial"/>
        </w:rPr>
        <w:t>Overall, the OLI framework indicates that Germany represents an attractive long-term expansion opportunity, provided Nando’s adopts a gradual market-entry strategy</w:t>
      </w:r>
      <w:r w:rsidR="00A9428C" w:rsidRPr="00FB72F0">
        <w:rPr>
          <w:rFonts w:ascii="Arial" w:hAnsi="Arial" w:cs="Arial"/>
        </w:rPr>
        <w:t xml:space="preserve"> (Dunning, 2001)</w:t>
      </w:r>
      <w:r w:rsidRPr="00FB72F0">
        <w:rPr>
          <w:rFonts w:ascii="Arial" w:hAnsi="Arial" w:cs="Arial"/>
        </w:rPr>
        <w:t>. Initial investment should focus on a small number of company-controlled restaurants in major cities, supported by local sourcing, accessible-premium pricing, digital technologies and selective menu adaptation. Once the concept has been validated and profitable operating procedures established, the company can expand through carefully selected franchise or joint-venture partnerships.</w:t>
      </w:r>
    </w:p>
    <w:p w14:paraId="31CD6FDF" w14:textId="77777777" w:rsidR="00B548F2" w:rsidRPr="00FB72F0" w:rsidRDefault="00C10DF6" w:rsidP="00FB72F0">
      <w:pPr>
        <w:spacing w:line="360" w:lineRule="auto"/>
        <w:jc w:val="both"/>
        <w:rPr>
          <w:rFonts w:ascii="Arial" w:hAnsi="Arial" w:cs="Arial"/>
        </w:rPr>
      </w:pPr>
      <w:r w:rsidRPr="00FB72F0">
        <w:rPr>
          <w:rFonts w:ascii="Arial" w:hAnsi="Arial" w:cs="Arial"/>
        </w:rPr>
        <w:t xml:space="preserve">In conclusion, Dunning’s Eclectic Paradigm demonstrates that Nando’s possesses the ownership, location and internalisation advantages necessary to enter Germany successfully. However, these advantages alone do not guarantee success. Sustainable performance will depend on balancing global brand consistency with local </w:t>
      </w:r>
      <w:r w:rsidRPr="00FB72F0">
        <w:rPr>
          <w:rFonts w:ascii="Arial" w:hAnsi="Arial" w:cs="Arial"/>
        </w:rPr>
        <w:lastRenderedPageBreak/>
        <w:t>responsiveness, enabling Nando’s to establish a profitable and scalable presence within Germany's highly competitive restaurant industry.</w:t>
      </w:r>
    </w:p>
    <w:p w14:paraId="0ED1E543" w14:textId="77777777" w:rsidR="00B548F2" w:rsidRPr="00FB72F0" w:rsidRDefault="00B548F2" w:rsidP="00FB72F0">
      <w:pPr>
        <w:spacing w:line="360" w:lineRule="auto"/>
        <w:jc w:val="both"/>
        <w:rPr>
          <w:rFonts w:ascii="Arial" w:hAnsi="Arial" w:cs="Arial"/>
        </w:rPr>
      </w:pPr>
    </w:p>
    <w:p w14:paraId="5C6C4D00" w14:textId="6298CE56" w:rsidR="004E08BE" w:rsidRPr="00FB72F0" w:rsidRDefault="008F4644" w:rsidP="00FB72F0">
      <w:pPr>
        <w:pStyle w:val="Heading1"/>
        <w:jc w:val="both"/>
        <w:rPr>
          <w:rFonts w:cs="Arial"/>
          <w:szCs w:val="24"/>
        </w:rPr>
      </w:pPr>
      <w:bookmarkStart w:id="20" w:name="_Toc236167973"/>
      <w:r w:rsidRPr="00FB72F0">
        <w:rPr>
          <w:rFonts w:cs="Arial"/>
          <w:szCs w:val="24"/>
        </w:rPr>
        <w:t>NANDO’S GLOBAL EXPANSION</w:t>
      </w:r>
      <w:r w:rsidR="00B548F2" w:rsidRPr="00FB72F0">
        <w:rPr>
          <w:rFonts w:cs="Arial"/>
          <w:szCs w:val="24"/>
        </w:rPr>
        <w:t xml:space="preserve"> MODES</w:t>
      </w:r>
      <w:bookmarkEnd w:id="20"/>
    </w:p>
    <w:p w14:paraId="5250B85C" w14:textId="24D29499" w:rsidR="004E08BE" w:rsidRPr="00FB72F0" w:rsidRDefault="004E08BE" w:rsidP="00FB72F0">
      <w:pPr>
        <w:pStyle w:val="Heading1"/>
        <w:jc w:val="both"/>
        <w:rPr>
          <w:rFonts w:cs="Arial"/>
          <w:szCs w:val="24"/>
        </w:rPr>
      </w:pPr>
      <w:bookmarkStart w:id="21" w:name="_Toc236167974"/>
      <w:r w:rsidRPr="00FB72F0">
        <w:rPr>
          <w:rFonts w:cs="Arial"/>
          <w:szCs w:val="24"/>
        </w:rPr>
        <w:t>Introduction</w:t>
      </w:r>
      <w:bookmarkEnd w:id="21"/>
    </w:p>
    <w:p w14:paraId="7DBD8380" w14:textId="3EB7699B" w:rsidR="004E08BE" w:rsidRPr="00FB72F0" w:rsidRDefault="004E08BE" w:rsidP="00FB72F0">
      <w:pPr>
        <w:spacing w:line="360" w:lineRule="auto"/>
        <w:jc w:val="both"/>
        <w:rPr>
          <w:rFonts w:ascii="Arial" w:hAnsi="Arial" w:cs="Arial"/>
        </w:rPr>
      </w:pPr>
      <w:r w:rsidRPr="00FB72F0">
        <w:rPr>
          <w:rFonts w:ascii="Arial" w:hAnsi="Arial" w:cs="Arial"/>
        </w:rPr>
        <w:t>A firm's choice of entry mode significantly influences the success of its international expansion by determining the level of investment, control, risk and operational flexibility (Hill, 20</w:t>
      </w:r>
      <w:r w:rsidR="000C1C0F">
        <w:rPr>
          <w:rFonts w:ascii="Arial" w:hAnsi="Arial" w:cs="Arial"/>
        </w:rPr>
        <w:t>08</w:t>
      </w:r>
      <w:r w:rsidRPr="00FB72F0">
        <w:rPr>
          <w:rFonts w:ascii="Arial" w:hAnsi="Arial" w:cs="Arial"/>
        </w:rPr>
        <w:t xml:space="preserve">). Common market entry modes include exporting, licensing, franchising, joint ventures and wholly owned subsidiaries. Historically, Nando's has not relied on a </w:t>
      </w:r>
      <w:r w:rsidR="00B548F2" w:rsidRPr="00FB72F0">
        <w:rPr>
          <w:rFonts w:ascii="Arial" w:hAnsi="Arial" w:cs="Arial"/>
        </w:rPr>
        <w:t>single-entry</w:t>
      </w:r>
      <w:r w:rsidRPr="00FB72F0">
        <w:rPr>
          <w:rFonts w:ascii="Arial" w:hAnsi="Arial" w:cs="Arial"/>
        </w:rPr>
        <w:t xml:space="preserve"> strategy. Instead, it has adopted a hybrid approach, combining company-owned subsidiaries with selective franchising and joint ventures, depending on the characteristics of the target market. This flexible approach reflects Nando's transnational strategy, enabling the company to maintain global brand consistency while adapting to local market conditions.</w:t>
      </w:r>
    </w:p>
    <w:p w14:paraId="6A6ABCC9" w14:textId="77777777" w:rsidR="004E08BE" w:rsidRPr="00FB72F0" w:rsidRDefault="004E08BE" w:rsidP="00FB72F0">
      <w:pPr>
        <w:spacing w:line="360" w:lineRule="auto"/>
        <w:jc w:val="both"/>
        <w:rPr>
          <w:rFonts w:ascii="Arial" w:hAnsi="Arial" w:cs="Arial"/>
        </w:rPr>
      </w:pPr>
    </w:p>
    <w:p w14:paraId="7A307236" w14:textId="27353690" w:rsidR="004E08BE" w:rsidRPr="00FB72F0" w:rsidRDefault="004E08BE" w:rsidP="00FB72F0">
      <w:pPr>
        <w:pStyle w:val="Heading1"/>
        <w:jc w:val="both"/>
        <w:rPr>
          <w:rFonts w:cs="Arial"/>
          <w:szCs w:val="24"/>
        </w:rPr>
      </w:pPr>
      <w:bookmarkStart w:id="22" w:name="_Toc236167975"/>
      <w:r w:rsidRPr="00FB72F0">
        <w:rPr>
          <w:rFonts w:cs="Arial"/>
          <w:szCs w:val="24"/>
        </w:rPr>
        <w:t>Company-Owned Subsidiaries: The Primary Entry Mode</w:t>
      </w:r>
      <w:bookmarkEnd w:id="22"/>
    </w:p>
    <w:p w14:paraId="52C705D1" w14:textId="2ECF71F9" w:rsidR="004E08BE" w:rsidRPr="00FB72F0" w:rsidRDefault="004E08BE" w:rsidP="00FB72F0">
      <w:pPr>
        <w:spacing w:line="360" w:lineRule="auto"/>
        <w:jc w:val="both"/>
        <w:rPr>
          <w:rFonts w:ascii="Arial" w:hAnsi="Arial" w:cs="Arial"/>
        </w:rPr>
      </w:pPr>
      <w:r w:rsidRPr="00FB72F0">
        <w:rPr>
          <w:rFonts w:ascii="Arial" w:hAnsi="Arial" w:cs="Arial"/>
        </w:rPr>
        <w:t>The dominant entry mode in Nando's major international markets has been company-owned subsidiaries, particularly in strategically important countries such as the United Kingdom, Australia, Canada and the United States. Under this approach, Nando's owns and manages restaurant operations directly, retaining full control over strategic decisions, product quality, restaurant design, employee training and customer experience.</w:t>
      </w:r>
    </w:p>
    <w:p w14:paraId="2F07AE56" w14:textId="06C2F6FA" w:rsidR="004E08BE" w:rsidRPr="00FB72F0" w:rsidRDefault="004E08BE" w:rsidP="00FB72F0">
      <w:pPr>
        <w:spacing w:line="360" w:lineRule="auto"/>
        <w:jc w:val="both"/>
        <w:rPr>
          <w:rFonts w:ascii="Arial" w:hAnsi="Arial" w:cs="Arial"/>
        </w:rPr>
      </w:pPr>
      <w:r w:rsidRPr="00FB72F0">
        <w:rPr>
          <w:rFonts w:ascii="Arial" w:hAnsi="Arial" w:cs="Arial"/>
        </w:rPr>
        <w:t>The UK illustrates the effectiveness of this strategy. Since entering the market in 1992</w:t>
      </w:r>
      <w:r w:rsidR="000B1B3C" w:rsidRPr="000B1B3C">
        <w:t xml:space="preserve"> </w:t>
      </w:r>
      <w:r w:rsidR="006B4E21">
        <w:t>(</w:t>
      </w:r>
      <w:r w:rsidR="000B1B3C" w:rsidRPr="000B1B3C">
        <w:rPr>
          <w:rFonts w:ascii="Arial" w:hAnsi="Arial" w:cs="Arial"/>
        </w:rPr>
        <w:t>Pollitt</w:t>
      </w:r>
      <w:r w:rsidR="000B1B3C">
        <w:rPr>
          <w:rFonts w:ascii="Arial" w:hAnsi="Arial" w:cs="Arial"/>
        </w:rPr>
        <w:t xml:space="preserve">, </w:t>
      </w:r>
      <w:r w:rsidR="000B1B3C" w:rsidRPr="000B1B3C">
        <w:rPr>
          <w:rFonts w:ascii="Arial" w:hAnsi="Arial" w:cs="Arial"/>
        </w:rPr>
        <w:t>2006)</w:t>
      </w:r>
      <w:r w:rsidRPr="00FB72F0">
        <w:rPr>
          <w:rFonts w:ascii="Arial" w:hAnsi="Arial" w:cs="Arial"/>
        </w:rPr>
        <w:t>, Nando's has expanded to over 450 restaurants, making the UK its largest international market outside South Africa. Direct ownership has enabled the company to develop a highly consistent brand image while adapting menus to local preferences through vegetarian options, halal restaurants and locally relevant marketing campaigns.</w:t>
      </w:r>
    </w:p>
    <w:p w14:paraId="2D07000E" w14:textId="09ECD217" w:rsidR="004E08BE" w:rsidRPr="00FB72F0" w:rsidRDefault="004E08BE" w:rsidP="00FB72F0">
      <w:pPr>
        <w:spacing w:line="360" w:lineRule="auto"/>
        <w:jc w:val="both"/>
        <w:rPr>
          <w:rFonts w:ascii="Arial" w:hAnsi="Arial" w:cs="Arial"/>
        </w:rPr>
      </w:pPr>
      <w:r w:rsidRPr="00FB72F0">
        <w:rPr>
          <w:rFonts w:ascii="Arial" w:hAnsi="Arial" w:cs="Arial"/>
        </w:rPr>
        <w:t xml:space="preserve">The principal advantage of company ownership is maximum operational control. Nando's distinctive competitive advantage depends heavily on maintaining consistent </w:t>
      </w:r>
      <w:r w:rsidRPr="00FB72F0">
        <w:rPr>
          <w:rFonts w:ascii="Arial" w:hAnsi="Arial" w:cs="Arial"/>
        </w:rPr>
        <w:lastRenderedPageBreak/>
        <w:t>food quality, restaurant atmosphere and customer service. Direct ownership enables the company to standardise recipes, employee training, procurement systems and marketing while protecting its proprietary PERi-PERi products and brand identity.</w:t>
      </w:r>
    </w:p>
    <w:p w14:paraId="0099F3E7" w14:textId="77777777" w:rsidR="004E08BE" w:rsidRPr="00FB72F0" w:rsidRDefault="004E08BE" w:rsidP="00FB72F0">
      <w:pPr>
        <w:spacing w:line="360" w:lineRule="auto"/>
        <w:jc w:val="both"/>
        <w:rPr>
          <w:rFonts w:ascii="Arial" w:hAnsi="Arial" w:cs="Arial"/>
        </w:rPr>
      </w:pPr>
      <w:r w:rsidRPr="00FB72F0">
        <w:rPr>
          <w:rFonts w:ascii="Arial" w:hAnsi="Arial" w:cs="Arial"/>
        </w:rPr>
        <w:t>However, wholly owned subsidiaries require substantial financial investment and expose the company to higher commercial risk. Nando's bears responsibility for property acquisition, labour costs, supply-chain development and regulatory compliance. Expansion through wholly owned restaurants is therefore relatively slow and capital intensive compared with franchising.</w:t>
      </w:r>
    </w:p>
    <w:p w14:paraId="2D2E9E17" w14:textId="77777777" w:rsidR="004E08BE" w:rsidRPr="00FB72F0" w:rsidRDefault="004E08BE" w:rsidP="00FB72F0">
      <w:pPr>
        <w:spacing w:line="360" w:lineRule="auto"/>
        <w:jc w:val="both"/>
        <w:rPr>
          <w:rFonts w:ascii="Arial" w:hAnsi="Arial" w:cs="Arial"/>
        </w:rPr>
      </w:pPr>
    </w:p>
    <w:p w14:paraId="1F2F405E" w14:textId="0C379F6E" w:rsidR="004E08BE" w:rsidRPr="00FB72F0" w:rsidRDefault="004E08BE" w:rsidP="00FB72F0">
      <w:pPr>
        <w:pStyle w:val="Heading1"/>
        <w:jc w:val="both"/>
        <w:rPr>
          <w:rFonts w:cs="Arial"/>
          <w:szCs w:val="24"/>
        </w:rPr>
      </w:pPr>
      <w:bookmarkStart w:id="23" w:name="_Toc236167976"/>
      <w:r w:rsidRPr="00FB72F0">
        <w:rPr>
          <w:rFonts w:cs="Arial"/>
          <w:szCs w:val="24"/>
        </w:rPr>
        <w:t>Selective Franchising</w:t>
      </w:r>
      <w:bookmarkEnd w:id="23"/>
    </w:p>
    <w:p w14:paraId="10CC1A39" w14:textId="151CD668" w:rsidR="004E08BE" w:rsidRPr="00FB72F0" w:rsidRDefault="004E08BE" w:rsidP="00FB72F0">
      <w:pPr>
        <w:spacing w:line="360" w:lineRule="auto"/>
        <w:jc w:val="both"/>
        <w:rPr>
          <w:rFonts w:ascii="Arial" w:hAnsi="Arial" w:cs="Arial"/>
        </w:rPr>
      </w:pPr>
      <w:r w:rsidRPr="00FB72F0">
        <w:rPr>
          <w:rFonts w:ascii="Arial" w:hAnsi="Arial" w:cs="Arial"/>
        </w:rPr>
        <w:t>Alongside direct ownership, Nando's has selectively used franchising, particularly in markets where local knowledge, capital and operational expertise are advantageous</w:t>
      </w:r>
      <w:r w:rsidR="00E71E6E" w:rsidRPr="00E71E6E">
        <w:t xml:space="preserve"> </w:t>
      </w:r>
      <w:r w:rsidR="00E71E6E">
        <w:t>(</w:t>
      </w:r>
      <w:r w:rsidR="00E71E6E" w:rsidRPr="00E71E6E">
        <w:rPr>
          <w:rFonts w:ascii="Arial" w:hAnsi="Arial" w:cs="Arial"/>
        </w:rPr>
        <w:t>Gillis, Castrogiovanni, 2012)</w:t>
      </w:r>
      <w:r w:rsidRPr="00FB72F0">
        <w:rPr>
          <w:rFonts w:ascii="Arial" w:hAnsi="Arial" w:cs="Arial"/>
        </w:rPr>
        <w:t>. Unlike many global fast-food chains, Nando's does not operate an open franchise system. Instead, it carefully selects experienced partners capable of maintaining its operational standards.</w:t>
      </w:r>
    </w:p>
    <w:p w14:paraId="6237A14A" w14:textId="0757BB65" w:rsidR="004E08BE" w:rsidRPr="00FB72F0" w:rsidRDefault="004E08BE" w:rsidP="00FB72F0">
      <w:pPr>
        <w:spacing w:line="360" w:lineRule="auto"/>
        <w:jc w:val="both"/>
        <w:rPr>
          <w:rFonts w:ascii="Arial" w:hAnsi="Arial" w:cs="Arial"/>
        </w:rPr>
      </w:pPr>
      <w:r w:rsidRPr="00FB72F0">
        <w:rPr>
          <w:rFonts w:ascii="Arial" w:hAnsi="Arial" w:cs="Arial"/>
        </w:rPr>
        <w:t>Franchising reduces financial risk because franchisees provide much of the investment required for restaurant development while possessing valuable local market knowledge. Local partners are often better positioned to identify suitable sites, recruit employees and navigate regulatory requirements.</w:t>
      </w:r>
    </w:p>
    <w:p w14:paraId="5429B41C" w14:textId="0733A194" w:rsidR="004E08BE" w:rsidRPr="00FB72F0" w:rsidRDefault="004E08BE" w:rsidP="00FB72F0">
      <w:pPr>
        <w:spacing w:line="360" w:lineRule="auto"/>
        <w:jc w:val="both"/>
        <w:rPr>
          <w:rFonts w:ascii="Arial" w:hAnsi="Arial" w:cs="Arial"/>
        </w:rPr>
      </w:pPr>
      <w:r w:rsidRPr="00FB72F0">
        <w:rPr>
          <w:rFonts w:ascii="Arial" w:hAnsi="Arial" w:cs="Arial"/>
        </w:rPr>
        <w:t>This approach has been particularly evident in parts of the Middle East, Asia and Africa, where local franchise partners possess a better understanding of consumer preferences, cultural expectations and business regulations than Nando's headquarters.</w:t>
      </w:r>
    </w:p>
    <w:p w14:paraId="25FEAE5B" w14:textId="588F3E5F" w:rsidR="004E08BE" w:rsidRPr="00FB72F0" w:rsidRDefault="004E08BE" w:rsidP="00FB72F0">
      <w:pPr>
        <w:spacing w:line="360" w:lineRule="auto"/>
        <w:jc w:val="both"/>
        <w:rPr>
          <w:rFonts w:ascii="Arial" w:hAnsi="Arial" w:cs="Arial"/>
        </w:rPr>
      </w:pPr>
      <w:r w:rsidRPr="00FB72F0">
        <w:rPr>
          <w:rFonts w:ascii="Arial" w:hAnsi="Arial" w:cs="Arial"/>
        </w:rPr>
        <w:t>However, franchising also presents significant disadvantages</w:t>
      </w:r>
      <w:r w:rsidR="00051D71" w:rsidRPr="00051D71">
        <w:t xml:space="preserve"> </w:t>
      </w:r>
      <w:r w:rsidR="00051D71">
        <w:t>(</w:t>
      </w:r>
      <w:r w:rsidR="00051D71" w:rsidRPr="00051D71">
        <w:rPr>
          <w:rFonts w:ascii="Arial" w:hAnsi="Arial" w:cs="Arial"/>
        </w:rPr>
        <w:t>Salar,</w:t>
      </w:r>
      <w:r w:rsidR="00051D71">
        <w:rPr>
          <w:rFonts w:ascii="Arial" w:hAnsi="Arial" w:cs="Arial"/>
        </w:rPr>
        <w:t xml:space="preserve"> </w:t>
      </w:r>
      <w:r w:rsidR="00051D71" w:rsidRPr="00051D71">
        <w:rPr>
          <w:rFonts w:ascii="Arial" w:hAnsi="Arial" w:cs="Arial"/>
        </w:rPr>
        <w:t>Salar, 2014)</w:t>
      </w:r>
      <w:r w:rsidRPr="00FB72F0">
        <w:rPr>
          <w:rFonts w:ascii="Arial" w:hAnsi="Arial" w:cs="Arial"/>
        </w:rPr>
        <w:t>. Reduced managerial control increases the risk of inconsistent service quality, operational standards and customer experience. For a brand such as Nando's, whose competitive advantage depends on consistent food quality and restaurant atmosphere, poorly managed franchises could damage global brand reputation.</w:t>
      </w:r>
    </w:p>
    <w:p w14:paraId="36738FC2" w14:textId="77777777" w:rsidR="004E08BE" w:rsidRPr="00FB72F0" w:rsidRDefault="004E08BE" w:rsidP="00FB72F0">
      <w:pPr>
        <w:spacing w:line="360" w:lineRule="auto"/>
        <w:jc w:val="both"/>
        <w:rPr>
          <w:rFonts w:ascii="Arial" w:hAnsi="Arial" w:cs="Arial"/>
        </w:rPr>
      </w:pPr>
      <w:r w:rsidRPr="00FB72F0">
        <w:rPr>
          <w:rFonts w:ascii="Arial" w:hAnsi="Arial" w:cs="Arial"/>
        </w:rPr>
        <w:t xml:space="preserve">To minimise these risks, Nando's maintains strict franchise agreements covering restaurant design, supplier standards, employee training, operational procedures and </w:t>
      </w:r>
      <w:r w:rsidRPr="00FB72F0">
        <w:rPr>
          <w:rFonts w:ascii="Arial" w:hAnsi="Arial" w:cs="Arial"/>
        </w:rPr>
        <w:lastRenderedPageBreak/>
        <w:t>quality assurance. Consequently, franchising has been used selectively rather than as the company's primary expansion model.</w:t>
      </w:r>
    </w:p>
    <w:p w14:paraId="0A5ECFE2" w14:textId="77777777" w:rsidR="004E08BE" w:rsidRPr="00FB72F0" w:rsidRDefault="004E08BE" w:rsidP="00FB72F0">
      <w:pPr>
        <w:spacing w:line="360" w:lineRule="auto"/>
        <w:jc w:val="both"/>
        <w:rPr>
          <w:rFonts w:ascii="Arial" w:hAnsi="Arial" w:cs="Arial"/>
        </w:rPr>
      </w:pPr>
    </w:p>
    <w:p w14:paraId="7AF67AFE" w14:textId="49BE9373" w:rsidR="004E08BE" w:rsidRPr="00FB72F0" w:rsidRDefault="004E08BE" w:rsidP="00FB72F0">
      <w:pPr>
        <w:pStyle w:val="Heading1"/>
        <w:jc w:val="both"/>
        <w:rPr>
          <w:rFonts w:cs="Arial"/>
          <w:szCs w:val="24"/>
        </w:rPr>
      </w:pPr>
      <w:bookmarkStart w:id="24" w:name="_Toc236167977"/>
      <w:r w:rsidRPr="00FB72F0">
        <w:rPr>
          <w:rFonts w:cs="Arial"/>
          <w:szCs w:val="24"/>
        </w:rPr>
        <w:t>Joint Ventures</w:t>
      </w:r>
      <w:bookmarkEnd w:id="24"/>
    </w:p>
    <w:p w14:paraId="18D7C8C3" w14:textId="3ADF3C4E" w:rsidR="004E08BE" w:rsidRPr="00FB72F0" w:rsidRDefault="004E08BE" w:rsidP="00FB72F0">
      <w:pPr>
        <w:spacing w:line="360" w:lineRule="auto"/>
        <w:jc w:val="both"/>
        <w:rPr>
          <w:rFonts w:ascii="Arial" w:hAnsi="Arial" w:cs="Arial"/>
        </w:rPr>
      </w:pPr>
      <w:r w:rsidRPr="00FB72F0">
        <w:rPr>
          <w:rFonts w:ascii="Arial" w:hAnsi="Arial" w:cs="Arial"/>
        </w:rPr>
        <w:t>Nando's has also entered selected international markets through joint ventures, particularly where local market knowledge and business relationships are critical. Under a joint venture, Nando's shares ownership, investment and decision-making responsibilities with a local partner.</w:t>
      </w:r>
    </w:p>
    <w:p w14:paraId="3C7DC16E" w14:textId="42157767" w:rsidR="004E08BE" w:rsidRPr="00FB72F0" w:rsidRDefault="004E08BE" w:rsidP="00FB72F0">
      <w:pPr>
        <w:spacing w:line="360" w:lineRule="auto"/>
        <w:jc w:val="both"/>
        <w:rPr>
          <w:rFonts w:ascii="Arial" w:hAnsi="Arial" w:cs="Arial"/>
        </w:rPr>
      </w:pPr>
      <w:r w:rsidRPr="00FB72F0">
        <w:rPr>
          <w:rFonts w:ascii="Arial" w:hAnsi="Arial" w:cs="Arial"/>
        </w:rPr>
        <w:t>The principal advantage of this approach is risk sharing. Local partners contribute market knowledge, established supplier networks and experience with local regulations, reducing the liability of foreignness commonly experienced by multinational firms.</w:t>
      </w:r>
    </w:p>
    <w:p w14:paraId="2690BE4A" w14:textId="746A7803" w:rsidR="004E08BE" w:rsidRPr="00FB72F0" w:rsidRDefault="004E08BE" w:rsidP="00E5544A">
      <w:pPr>
        <w:spacing w:line="360" w:lineRule="auto"/>
        <w:jc w:val="both"/>
        <w:rPr>
          <w:rFonts w:ascii="Arial" w:hAnsi="Arial" w:cs="Arial"/>
        </w:rPr>
      </w:pPr>
      <w:r w:rsidRPr="00FB72F0">
        <w:rPr>
          <w:rFonts w:ascii="Arial" w:hAnsi="Arial" w:cs="Arial"/>
        </w:rPr>
        <w:t>Joint ventures have been particularly valuable in markets where cultural differences, regulatory complexity or ownership restrictions make wholly owned subsidiaries more difficult to establish</w:t>
      </w:r>
      <w:r w:rsidR="00E5544A">
        <w:rPr>
          <w:rFonts w:ascii="Arial" w:hAnsi="Arial" w:cs="Arial"/>
        </w:rPr>
        <w:t xml:space="preserve"> (</w:t>
      </w:r>
      <w:r w:rsidR="00E5544A" w:rsidRPr="00E5544A">
        <w:rPr>
          <w:rFonts w:ascii="Arial" w:hAnsi="Arial" w:cs="Arial"/>
        </w:rPr>
        <w:t>Lane</w:t>
      </w:r>
      <w:r w:rsidR="00E5544A">
        <w:rPr>
          <w:rFonts w:ascii="Arial" w:hAnsi="Arial" w:cs="Arial"/>
        </w:rPr>
        <w:t xml:space="preserve">, </w:t>
      </w:r>
      <w:r w:rsidR="00E5544A" w:rsidRPr="00E5544A">
        <w:rPr>
          <w:rFonts w:ascii="Arial" w:hAnsi="Arial" w:cs="Arial"/>
        </w:rPr>
        <w:t>1990)</w:t>
      </w:r>
      <w:r w:rsidR="00E5544A">
        <w:rPr>
          <w:rFonts w:ascii="Arial" w:hAnsi="Arial" w:cs="Arial"/>
        </w:rPr>
        <w:t>.</w:t>
      </w:r>
      <w:r w:rsidRPr="00FB72F0">
        <w:rPr>
          <w:rFonts w:ascii="Arial" w:hAnsi="Arial" w:cs="Arial"/>
        </w:rPr>
        <w:t xml:space="preserve"> They also facilitate faster access to local distribution networks and experienced management teams.</w:t>
      </w:r>
    </w:p>
    <w:p w14:paraId="19E0F05B" w14:textId="77777777" w:rsidR="004E08BE" w:rsidRPr="00FB72F0" w:rsidRDefault="004E08BE" w:rsidP="00FB72F0">
      <w:pPr>
        <w:spacing w:line="360" w:lineRule="auto"/>
        <w:jc w:val="both"/>
        <w:rPr>
          <w:rFonts w:ascii="Arial" w:hAnsi="Arial" w:cs="Arial"/>
        </w:rPr>
      </w:pPr>
      <w:r w:rsidRPr="00FB72F0">
        <w:rPr>
          <w:rFonts w:ascii="Arial" w:hAnsi="Arial" w:cs="Arial"/>
        </w:rPr>
        <w:t>Nevertheless, joint ventures introduce potential conflicts over strategic objectives, investment decisions and operational priorities. Shared ownership may also reduce Nando's ability to maintain complete control over brand positioning and customer experience. For this reason, joint ventures have generally been employed only where collaboration provides clear strategic benefits.</w:t>
      </w:r>
    </w:p>
    <w:p w14:paraId="657193DF" w14:textId="77777777" w:rsidR="004E08BE" w:rsidRPr="00FB72F0" w:rsidRDefault="004E08BE" w:rsidP="00FB72F0">
      <w:pPr>
        <w:spacing w:line="360" w:lineRule="auto"/>
        <w:jc w:val="both"/>
        <w:rPr>
          <w:rFonts w:ascii="Arial" w:hAnsi="Arial" w:cs="Arial"/>
        </w:rPr>
      </w:pPr>
    </w:p>
    <w:p w14:paraId="0676F3FB" w14:textId="36AAB5C4" w:rsidR="004E08BE" w:rsidRPr="00FB72F0" w:rsidRDefault="004E08BE" w:rsidP="00FB72F0">
      <w:pPr>
        <w:pStyle w:val="Heading1"/>
        <w:jc w:val="both"/>
        <w:rPr>
          <w:rFonts w:cs="Arial"/>
          <w:szCs w:val="24"/>
        </w:rPr>
      </w:pPr>
      <w:bookmarkStart w:id="25" w:name="_Toc236167978"/>
      <w:r w:rsidRPr="00FB72F0">
        <w:rPr>
          <w:rFonts w:cs="Arial"/>
          <w:szCs w:val="24"/>
        </w:rPr>
        <w:t>Limited Use of Licensing and Exporting</w:t>
      </w:r>
      <w:bookmarkEnd w:id="25"/>
    </w:p>
    <w:p w14:paraId="1C7AA85F" w14:textId="77777777" w:rsidR="004E08BE" w:rsidRPr="00FB72F0" w:rsidRDefault="004E08BE" w:rsidP="00FB72F0">
      <w:pPr>
        <w:spacing w:line="360" w:lineRule="auto"/>
        <w:jc w:val="both"/>
        <w:rPr>
          <w:rFonts w:ascii="Arial" w:hAnsi="Arial" w:cs="Arial"/>
        </w:rPr>
      </w:pPr>
      <w:r w:rsidRPr="00FB72F0">
        <w:rPr>
          <w:rFonts w:ascii="Arial" w:hAnsi="Arial" w:cs="Arial"/>
        </w:rPr>
        <w:t>Unlike many international consumer brands, Nando's has made very limited use of licensing or exporting as market-entry strategies.</w:t>
      </w:r>
    </w:p>
    <w:p w14:paraId="76D3171D" w14:textId="7EABA826" w:rsidR="004E08BE" w:rsidRPr="00FB72F0" w:rsidRDefault="004E08BE" w:rsidP="00FB72F0">
      <w:pPr>
        <w:spacing w:line="360" w:lineRule="auto"/>
        <w:jc w:val="both"/>
        <w:rPr>
          <w:rFonts w:ascii="Arial" w:hAnsi="Arial" w:cs="Arial"/>
        </w:rPr>
      </w:pPr>
      <w:r w:rsidRPr="00FB72F0">
        <w:rPr>
          <w:rFonts w:ascii="Arial" w:hAnsi="Arial" w:cs="Arial"/>
        </w:rPr>
        <w:t>Licensing would require Nando's to transfer valuable intellectual property, including recipes, trademarks and operational systems, to independent companies</w:t>
      </w:r>
      <w:r w:rsidR="00494E27" w:rsidRPr="00494E27">
        <w:t xml:space="preserve"> </w:t>
      </w:r>
      <w:r w:rsidR="00494E27">
        <w:t>(</w:t>
      </w:r>
      <w:r w:rsidR="00494E27" w:rsidRPr="00494E27">
        <w:rPr>
          <w:rFonts w:ascii="Arial" w:hAnsi="Arial" w:cs="Arial"/>
        </w:rPr>
        <w:t>Yang,</w:t>
      </w:r>
      <w:r w:rsidR="00494E27">
        <w:rPr>
          <w:rFonts w:ascii="Arial" w:hAnsi="Arial" w:cs="Arial"/>
        </w:rPr>
        <w:t xml:space="preserve"> </w:t>
      </w:r>
      <w:r w:rsidR="00494E27" w:rsidRPr="00494E27">
        <w:rPr>
          <w:rFonts w:ascii="Arial" w:hAnsi="Arial" w:cs="Arial"/>
        </w:rPr>
        <w:t>Maskus,</w:t>
      </w:r>
      <w:r w:rsidR="00494E27">
        <w:rPr>
          <w:rFonts w:ascii="Arial" w:hAnsi="Arial" w:cs="Arial"/>
        </w:rPr>
        <w:t xml:space="preserve"> </w:t>
      </w:r>
      <w:r w:rsidR="00494E27" w:rsidRPr="00494E27">
        <w:rPr>
          <w:rFonts w:ascii="Arial" w:hAnsi="Arial" w:cs="Arial"/>
        </w:rPr>
        <w:t>2001)</w:t>
      </w:r>
      <w:r w:rsidRPr="00FB72F0">
        <w:rPr>
          <w:rFonts w:ascii="Arial" w:hAnsi="Arial" w:cs="Arial"/>
        </w:rPr>
        <w:t xml:space="preserve">. This would significantly reduce control over product quality and customer experience while increasing the risk of imitation. Since Nando's competitive </w:t>
      </w:r>
      <w:r w:rsidRPr="00FB72F0">
        <w:rPr>
          <w:rFonts w:ascii="Arial" w:hAnsi="Arial" w:cs="Arial"/>
        </w:rPr>
        <w:lastRenderedPageBreak/>
        <w:t>advantage depends largely on its brand identity and operational expertise, licensing is inconsistent with its strategic objectives.</w:t>
      </w:r>
    </w:p>
    <w:p w14:paraId="1B2AB9F6" w14:textId="77777777" w:rsidR="004E08BE" w:rsidRPr="00FB72F0" w:rsidRDefault="004E08BE" w:rsidP="00FB72F0">
      <w:pPr>
        <w:spacing w:line="360" w:lineRule="auto"/>
        <w:jc w:val="both"/>
        <w:rPr>
          <w:rFonts w:ascii="Arial" w:hAnsi="Arial" w:cs="Arial"/>
        </w:rPr>
      </w:pPr>
      <w:r w:rsidRPr="00FB72F0">
        <w:rPr>
          <w:rFonts w:ascii="Arial" w:hAnsi="Arial" w:cs="Arial"/>
        </w:rPr>
        <w:t>Similarly, exporting is unsuitable for the restaurant industry because food products require local preparation and immediate consumption. Although proprietary sauces and seasonings may be manufactured centrally and supplied internationally, the restaurant business itself cannot be exported in the same way as manufactured goods. Consequently, exporting plays only a supporting role within Nando's supply chain rather than serving as an international market-entry strategy.</w:t>
      </w:r>
    </w:p>
    <w:p w14:paraId="512CC0BF" w14:textId="77777777" w:rsidR="004E08BE" w:rsidRPr="00FB72F0" w:rsidRDefault="004E08BE" w:rsidP="00FB72F0">
      <w:pPr>
        <w:spacing w:line="360" w:lineRule="auto"/>
        <w:jc w:val="both"/>
        <w:rPr>
          <w:rFonts w:ascii="Arial" w:hAnsi="Arial" w:cs="Arial"/>
        </w:rPr>
      </w:pPr>
    </w:p>
    <w:p w14:paraId="29803AE7" w14:textId="13BBD692" w:rsidR="004E08BE" w:rsidRPr="00FB72F0" w:rsidRDefault="004E08BE" w:rsidP="00FB72F0">
      <w:pPr>
        <w:pStyle w:val="Heading1"/>
        <w:jc w:val="both"/>
        <w:rPr>
          <w:rFonts w:cs="Arial"/>
          <w:szCs w:val="24"/>
        </w:rPr>
      </w:pPr>
      <w:bookmarkStart w:id="26" w:name="_Toc236167979"/>
      <w:r w:rsidRPr="00FB72F0">
        <w:rPr>
          <w:rFonts w:cs="Arial"/>
          <w:szCs w:val="24"/>
        </w:rPr>
        <w:t>Critical Evaluation</w:t>
      </w:r>
      <w:bookmarkEnd w:id="26"/>
    </w:p>
    <w:p w14:paraId="0DC286F4" w14:textId="0B886FAF" w:rsidR="004E08BE" w:rsidRPr="00FB72F0" w:rsidRDefault="004E08BE" w:rsidP="00FB72F0">
      <w:pPr>
        <w:spacing w:line="360" w:lineRule="auto"/>
        <w:jc w:val="both"/>
        <w:rPr>
          <w:rFonts w:ascii="Arial" w:hAnsi="Arial" w:cs="Arial"/>
        </w:rPr>
      </w:pPr>
      <w:r w:rsidRPr="00FB72F0">
        <w:rPr>
          <w:rFonts w:ascii="Arial" w:hAnsi="Arial" w:cs="Arial"/>
        </w:rPr>
        <w:t>Nando's international expansion demonstrates that entry mode selection has been contingent upon balancing control, investment and local responsiveness.</w:t>
      </w:r>
    </w:p>
    <w:p w14:paraId="31A6CFD6" w14:textId="3F4C66B7" w:rsidR="004E08BE" w:rsidRPr="00FB72F0" w:rsidRDefault="004E08BE" w:rsidP="00FB72F0">
      <w:pPr>
        <w:spacing w:line="360" w:lineRule="auto"/>
        <w:jc w:val="both"/>
        <w:rPr>
          <w:rFonts w:ascii="Arial" w:hAnsi="Arial" w:cs="Arial"/>
        </w:rPr>
      </w:pPr>
      <w:r w:rsidRPr="00FB72F0">
        <w:rPr>
          <w:rFonts w:ascii="Arial" w:hAnsi="Arial" w:cs="Arial"/>
        </w:rPr>
        <w:t>Company-owned subsidiaries provide the greatest strategic control and have been preferred in major growth markets where Nando's seeks to build long-term brand equity. This approach aligns with the company's transnational strategy by allowing global standardisation while supporting carefully managed local adaptation.</w:t>
      </w:r>
    </w:p>
    <w:p w14:paraId="398F46E3" w14:textId="40620127" w:rsidR="004E08BE" w:rsidRPr="00FB72F0" w:rsidRDefault="004E08BE" w:rsidP="00FB72F0">
      <w:pPr>
        <w:spacing w:line="360" w:lineRule="auto"/>
        <w:jc w:val="both"/>
        <w:rPr>
          <w:rFonts w:ascii="Arial" w:hAnsi="Arial" w:cs="Arial"/>
        </w:rPr>
      </w:pPr>
      <w:r w:rsidRPr="00FB72F0">
        <w:rPr>
          <w:rFonts w:ascii="Arial" w:hAnsi="Arial" w:cs="Arial"/>
        </w:rPr>
        <w:t>Franchising and joint ventures, however, provide greater flexibility in markets characterised by higher uncertainty, cultural differences or regulatory complexity. By partnering with experienced local firms, Nando's reduces financial exposure while benefiting from local market knowledge.</w:t>
      </w:r>
    </w:p>
    <w:p w14:paraId="21B52438" w14:textId="1B00B1CF" w:rsidR="004E08BE" w:rsidRPr="00FB72F0" w:rsidRDefault="004E08BE" w:rsidP="00FB72F0">
      <w:pPr>
        <w:spacing w:line="360" w:lineRule="auto"/>
        <w:jc w:val="both"/>
        <w:rPr>
          <w:rFonts w:ascii="Arial" w:hAnsi="Arial" w:cs="Arial"/>
        </w:rPr>
      </w:pPr>
      <w:r w:rsidRPr="00FB72F0">
        <w:rPr>
          <w:rFonts w:ascii="Arial" w:hAnsi="Arial" w:cs="Arial"/>
        </w:rPr>
        <w:t>This hybrid strategy is consistent with Dunning's Eclectic (OLI) Paradigm. Nando's ownership advantages—its internationally recognised brand, proprietary PERi-PERi products and operational expertise—justify maintaining substantial control over foreign operations. At the same time, location-specific advantages in different countries encourage collaboration with local partners where market knowledge or regulatory requirements create barriers to wholly owned investment. Internalisation advantages explain why Nando's has largely avoided licensing, preferring entry modes that allow greater protection of its intellectual property and customer experience.</w:t>
      </w:r>
    </w:p>
    <w:p w14:paraId="22E19F65" w14:textId="5BE18868" w:rsidR="004E08BE" w:rsidRPr="00FB72F0" w:rsidRDefault="004E08BE" w:rsidP="00FB72F0">
      <w:pPr>
        <w:spacing w:line="360" w:lineRule="auto"/>
        <w:jc w:val="both"/>
        <w:rPr>
          <w:rFonts w:ascii="Arial" w:hAnsi="Arial" w:cs="Arial"/>
        </w:rPr>
      </w:pPr>
      <w:r w:rsidRPr="00FB72F0">
        <w:rPr>
          <w:rFonts w:ascii="Arial" w:hAnsi="Arial" w:cs="Arial"/>
        </w:rPr>
        <w:t xml:space="preserve">Nevertheless, the strategy is not without limitations. Heavy reliance on company-owned restaurants slows international expansion because significant financial </w:t>
      </w:r>
      <w:r w:rsidRPr="00FB72F0">
        <w:rPr>
          <w:rFonts w:ascii="Arial" w:hAnsi="Arial" w:cs="Arial"/>
        </w:rPr>
        <w:lastRenderedPageBreak/>
        <w:t>resources are required for each new market. In contrast, competitors such as McDonald's and KFC have expanded more rapidly through extensive franchising. Nando's has therefore prioritised sustainable growth and brand consistency over rapid global market coverage.</w:t>
      </w:r>
    </w:p>
    <w:p w14:paraId="44AC9AAA" w14:textId="77777777" w:rsidR="004E08BE" w:rsidRPr="00FB72F0" w:rsidRDefault="004E08BE" w:rsidP="00FB72F0">
      <w:pPr>
        <w:spacing w:line="360" w:lineRule="auto"/>
        <w:jc w:val="both"/>
        <w:rPr>
          <w:rFonts w:ascii="Arial" w:hAnsi="Arial" w:cs="Arial"/>
        </w:rPr>
      </w:pPr>
      <w:r w:rsidRPr="00FB72F0">
        <w:rPr>
          <w:rFonts w:ascii="Arial" w:hAnsi="Arial" w:cs="Arial"/>
        </w:rPr>
        <w:t>Furthermore, selective franchising requires continuous monitoring and support to ensure compliance with global standards. As the number of international restaurants increases, maintaining operational consistency becomes increasingly resource intensive.</w:t>
      </w:r>
    </w:p>
    <w:p w14:paraId="2CB655B5" w14:textId="77777777" w:rsidR="004E08BE" w:rsidRPr="00FB72F0" w:rsidRDefault="004E08BE" w:rsidP="00FB72F0">
      <w:pPr>
        <w:spacing w:line="360" w:lineRule="auto"/>
        <w:jc w:val="both"/>
        <w:rPr>
          <w:rFonts w:ascii="Arial" w:hAnsi="Arial" w:cs="Arial"/>
        </w:rPr>
      </w:pPr>
    </w:p>
    <w:p w14:paraId="099D1580" w14:textId="777F2A39" w:rsidR="004E08BE" w:rsidRPr="00FB72F0" w:rsidRDefault="004E08BE" w:rsidP="00FB72F0">
      <w:pPr>
        <w:pStyle w:val="Heading1"/>
        <w:jc w:val="both"/>
        <w:rPr>
          <w:rFonts w:cs="Arial"/>
          <w:szCs w:val="24"/>
        </w:rPr>
      </w:pPr>
      <w:bookmarkStart w:id="27" w:name="_Toc236167980"/>
      <w:r w:rsidRPr="00FB72F0">
        <w:rPr>
          <w:rFonts w:cs="Arial"/>
          <w:szCs w:val="24"/>
        </w:rPr>
        <w:t>Conclusion</w:t>
      </w:r>
      <w:bookmarkEnd w:id="27"/>
    </w:p>
    <w:p w14:paraId="5FD88FF1" w14:textId="7E5057B4" w:rsidR="004E08BE" w:rsidRPr="00FB72F0" w:rsidRDefault="004E08BE" w:rsidP="00FB72F0">
      <w:pPr>
        <w:spacing w:line="360" w:lineRule="auto"/>
        <w:jc w:val="both"/>
        <w:rPr>
          <w:rFonts w:ascii="Arial" w:hAnsi="Arial" w:cs="Arial"/>
        </w:rPr>
      </w:pPr>
      <w:r w:rsidRPr="00FB72F0">
        <w:rPr>
          <w:rFonts w:ascii="Arial" w:hAnsi="Arial" w:cs="Arial"/>
        </w:rPr>
        <w:t>Historically, Nando's has employed a hybrid international entry strategy, dominated by company-owned subsidiaries and supported by selective franchising and joint ventures. Direct ownership has enabled the company to protect its brand, maintain consistent product quality and deliver a distinctive customer experience in strategically important markets. Franchising and joint ventures have complemented this approach by providing local knowledge, reducing financial risk and facilitating entry into more complex markets.</w:t>
      </w:r>
    </w:p>
    <w:p w14:paraId="6C94ED7F" w14:textId="1216F089" w:rsidR="004E08BE" w:rsidRPr="00FB72F0" w:rsidRDefault="004E08BE" w:rsidP="00FB72F0">
      <w:pPr>
        <w:spacing w:line="360" w:lineRule="auto"/>
        <w:jc w:val="both"/>
        <w:rPr>
          <w:rFonts w:ascii="Arial" w:hAnsi="Arial" w:cs="Arial"/>
        </w:rPr>
      </w:pPr>
      <w:r w:rsidRPr="00FB72F0">
        <w:rPr>
          <w:rFonts w:ascii="Arial" w:hAnsi="Arial" w:cs="Arial"/>
        </w:rPr>
        <w:t>Overall, Nando's entry mode strategy reflects a deliberate emphasis on long-term brand development rather than rapid expansion. While this approach limits the speed of international growth, it has enabled the company to maintain a strong global reputation and supports its broader transnational strategy of combining global consistency with local responsiveness.</w:t>
      </w:r>
    </w:p>
    <w:p w14:paraId="6EF81723" w14:textId="77777777" w:rsidR="00E10F46" w:rsidRPr="00FB72F0" w:rsidRDefault="00E10F46" w:rsidP="00FB72F0">
      <w:pPr>
        <w:suppressAutoHyphens w:val="0"/>
        <w:jc w:val="both"/>
        <w:rPr>
          <w:rFonts w:ascii="Arial" w:hAnsi="Arial" w:cs="Arial"/>
          <w:b/>
          <w:bCs/>
        </w:rPr>
      </w:pPr>
      <w:r w:rsidRPr="00FB72F0">
        <w:rPr>
          <w:rFonts w:ascii="Arial" w:hAnsi="Arial" w:cs="Arial"/>
          <w:b/>
          <w:bCs/>
        </w:rPr>
        <w:br w:type="page"/>
      </w:r>
    </w:p>
    <w:p w14:paraId="26BF8C87" w14:textId="33CB3DB6" w:rsidR="00C31FBE" w:rsidRPr="00FB72F0" w:rsidRDefault="00D80E3A" w:rsidP="00FB72F0">
      <w:pPr>
        <w:pStyle w:val="Heading1"/>
        <w:jc w:val="both"/>
        <w:rPr>
          <w:rFonts w:cs="Arial"/>
          <w:szCs w:val="24"/>
        </w:rPr>
      </w:pPr>
      <w:bookmarkStart w:id="28" w:name="_Toc236167981"/>
      <w:r w:rsidRPr="00FB72F0">
        <w:rPr>
          <w:rFonts w:cs="Arial"/>
          <w:b w:val="0"/>
          <w:bCs/>
          <w:noProof/>
          <w:szCs w:val="24"/>
        </w:rPr>
        <w:lastRenderedPageBreak/>
        <w:drawing>
          <wp:anchor distT="0" distB="0" distL="114300" distR="114300" simplePos="0" relativeHeight="251667456" behindDoc="0" locked="0" layoutInCell="1" allowOverlap="1" wp14:anchorId="2679129D" wp14:editId="061D6232">
            <wp:simplePos x="0" y="0"/>
            <wp:positionH relativeFrom="margin">
              <wp:align>left</wp:align>
            </wp:positionH>
            <wp:positionV relativeFrom="paragraph">
              <wp:posOffset>367674</wp:posOffset>
            </wp:positionV>
            <wp:extent cx="5581015" cy="3895090"/>
            <wp:effectExtent l="0" t="0" r="0" b="10160"/>
            <wp:wrapTopAndBottom/>
            <wp:docPr id="771895338"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14:sizeRelH relativeFrom="page">
              <wp14:pctWidth>0</wp14:pctWidth>
            </wp14:sizeRelH>
            <wp14:sizeRelV relativeFrom="page">
              <wp14:pctHeight>0</wp14:pctHeight>
            </wp14:sizeRelV>
          </wp:anchor>
        </w:drawing>
      </w:r>
      <w:r w:rsidR="00D8503A" w:rsidRPr="00FB72F0">
        <w:rPr>
          <w:rFonts w:cs="Arial"/>
          <w:szCs w:val="24"/>
        </w:rPr>
        <w:t>REFLECTION</w:t>
      </w:r>
      <w:bookmarkEnd w:id="28"/>
    </w:p>
    <w:p w14:paraId="5B2ACA1B" w14:textId="3DE551FB" w:rsidR="00432D38" w:rsidRPr="00FB72F0" w:rsidRDefault="00432D38" w:rsidP="00FB72F0">
      <w:pPr>
        <w:pStyle w:val="Heading1"/>
        <w:jc w:val="both"/>
        <w:rPr>
          <w:rFonts w:cs="Arial"/>
          <w:szCs w:val="24"/>
        </w:rPr>
      </w:pPr>
      <w:bookmarkStart w:id="29" w:name="_Toc236167982"/>
      <w:r w:rsidRPr="00FB72F0">
        <w:rPr>
          <w:rFonts w:cs="Arial"/>
          <w:szCs w:val="24"/>
        </w:rPr>
        <w:t>Reflection Using Kolb’s Reflective Cycle</w:t>
      </w:r>
      <w:bookmarkEnd w:id="29"/>
    </w:p>
    <w:p w14:paraId="13984AA6" w14:textId="1CEE8CB9" w:rsidR="00432D38" w:rsidRPr="00FB72F0" w:rsidRDefault="00432D38" w:rsidP="00FB72F0">
      <w:pPr>
        <w:spacing w:line="360" w:lineRule="auto"/>
        <w:jc w:val="both"/>
        <w:rPr>
          <w:rFonts w:ascii="Arial" w:hAnsi="Arial" w:cs="Arial"/>
        </w:rPr>
      </w:pPr>
      <w:r w:rsidRPr="00FB72F0">
        <w:rPr>
          <w:rFonts w:ascii="Arial" w:hAnsi="Arial" w:cs="Arial"/>
        </w:rPr>
        <w:t>Kolb’s Reflective Cycle provides a structured framework for learning from experience through four stages: concrete experience, reflective observation, abstract conceptualisation and active experimentation</w:t>
      </w:r>
      <w:r w:rsidR="00CF66C3" w:rsidRPr="00FB72F0">
        <w:rPr>
          <w:rFonts w:ascii="Arial" w:hAnsi="Arial" w:cs="Arial"/>
        </w:rPr>
        <w:t xml:space="preserve"> (Svinicki, Dixon, 1987)</w:t>
      </w:r>
      <w:r w:rsidRPr="00FB72F0">
        <w:rPr>
          <w:rFonts w:ascii="Arial" w:hAnsi="Arial" w:cs="Arial"/>
        </w:rPr>
        <w:t>. Applying this model to this international business project has enabled me to evaluate both my learning process and the development of my analytical skills.</w:t>
      </w:r>
    </w:p>
    <w:p w14:paraId="547477CD" w14:textId="77777777" w:rsidR="00432D38" w:rsidRPr="00FB72F0" w:rsidRDefault="00432D38" w:rsidP="00FB72F0">
      <w:pPr>
        <w:spacing w:line="360" w:lineRule="auto"/>
        <w:jc w:val="both"/>
        <w:rPr>
          <w:rFonts w:ascii="Arial" w:hAnsi="Arial" w:cs="Arial"/>
        </w:rPr>
      </w:pPr>
    </w:p>
    <w:p w14:paraId="09DED9F5" w14:textId="2B079392" w:rsidR="00432D38" w:rsidRPr="00FB72F0" w:rsidRDefault="00432D38" w:rsidP="00FB72F0">
      <w:pPr>
        <w:pStyle w:val="Heading1"/>
        <w:jc w:val="both"/>
        <w:rPr>
          <w:rFonts w:cs="Arial"/>
          <w:szCs w:val="24"/>
        </w:rPr>
      </w:pPr>
      <w:bookmarkStart w:id="30" w:name="_Toc236167983"/>
      <w:r w:rsidRPr="00FB72F0">
        <w:rPr>
          <w:rFonts w:cs="Arial"/>
          <w:szCs w:val="24"/>
        </w:rPr>
        <w:t>Concrete Experience</w:t>
      </w:r>
      <w:bookmarkEnd w:id="30"/>
    </w:p>
    <w:p w14:paraId="7EC2A5F0" w14:textId="79645BE3" w:rsidR="00432D38" w:rsidRPr="00FB72F0" w:rsidRDefault="00432D38" w:rsidP="00FB72F0">
      <w:pPr>
        <w:spacing w:line="360" w:lineRule="auto"/>
        <w:jc w:val="both"/>
        <w:rPr>
          <w:rFonts w:ascii="Arial" w:hAnsi="Arial" w:cs="Arial"/>
        </w:rPr>
      </w:pPr>
      <w:r w:rsidRPr="00FB72F0">
        <w:rPr>
          <w:rFonts w:ascii="Arial" w:hAnsi="Arial" w:cs="Arial"/>
        </w:rPr>
        <w:t xml:space="preserve">The primary experience involved analysing Nando’s international strategy and evaluating the feasibility of entering the German market. This required applying a range of international business theories, including Bartlett and Ghoshal’s Transnational Strategy, Dunning’s Eclectic (OLI) Paradigm and market entry mode theory. In addition, I evaluated Germany’s political, economic, legal and cultural environment and synthesised these findings into strategic recommendations. </w:t>
      </w:r>
      <w:r w:rsidRPr="00FB72F0">
        <w:rPr>
          <w:rFonts w:ascii="Arial" w:hAnsi="Arial" w:cs="Arial"/>
        </w:rPr>
        <w:lastRenderedPageBreak/>
        <w:t>Throughout the project, I conducted academic research using textbooks, journal articles and current industry reports to support my analysis.</w:t>
      </w:r>
    </w:p>
    <w:p w14:paraId="16FD4D06" w14:textId="7A85C94E" w:rsidR="00432D38" w:rsidRPr="00FB72F0" w:rsidRDefault="00432D38" w:rsidP="00FB72F0">
      <w:pPr>
        <w:pStyle w:val="Heading1"/>
        <w:jc w:val="both"/>
        <w:rPr>
          <w:rFonts w:cs="Arial"/>
          <w:szCs w:val="24"/>
        </w:rPr>
      </w:pPr>
      <w:bookmarkStart w:id="31" w:name="_Toc236167984"/>
      <w:r w:rsidRPr="00FB72F0">
        <w:rPr>
          <w:rFonts w:cs="Arial"/>
          <w:szCs w:val="24"/>
        </w:rPr>
        <w:t>Reflective Observation</w:t>
      </w:r>
      <w:bookmarkEnd w:id="31"/>
    </w:p>
    <w:p w14:paraId="79443DA2" w14:textId="744CB0B0" w:rsidR="00432D38" w:rsidRPr="00FB72F0" w:rsidRDefault="00432D38" w:rsidP="00FB72F0">
      <w:pPr>
        <w:spacing w:line="360" w:lineRule="auto"/>
        <w:jc w:val="both"/>
        <w:rPr>
          <w:rFonts w:ascii="Arial" w:hAnsi="Arial" w:cs="Arial"/>
        </w:rPr>
      </w:pPr>
      <w:r w:rsidRPr="00FB72F0">
        <w:rPr>
          <w:rFonts w:ascii="Arial" w:hAnsi="Arial" w:cs="Arial"/>
        </w:rPr>
        <w:t>Initially, I found it challenging to move beyond simply describing theoretical frameworks. My first instinct was to explain each model independently, but I realised that a stronger analysis required linking theory directly to Nando’s strategic decisions. For example, rather than only explaining Dunning’s OLI framework, I learned to evaluate how Nando’s ownership advantages, Germany’s location-specific characteristics and the need for internal control collectively influenced its preferred entry mode.</w:t>
      </w:r>
    </w:p>
    <w:p w14:paraId="49FD785F" w14:textId="77777777" w:rsidR="00432D38" w:rsidRPr="00FB72F0" w:rsidRDefault="00432D38" w:rsidP="00FB72F0">
      <w:pPr>
        <w:spacing w:line="360" w:lineRule="auto"/>
        <w:jc w:val="both"/>
        <w:rPr>
          <w:rFonts w:ascii="Arial" w:hAnsi="Arial" w:cs="Arial"/>
        </w:rPr>
      </w:pPr>
      <w:r w:rsidRPr="00FB72F0">
        <w:rPr>
          <w:rFonts w:ascii="Arial" w:hAnsi="Arial" w:cs="Arial"/>
        </w:rPr>
        <w:t>I also recognised the importance of using current business evidence alongside academic literature. Government publications, industry reports and company information strengthened my arguments by demonstrating how theoretical concepts apply to real business environments. This highlighted that international business decisions are influenced not only by theory but also by changing economic conditions, consumer behaviour and regulatory developments.</w:t>
      </w:r>
    </w:p>
    <w:p w14:paraId="1BFFAC8E" w14:textId="77777777" w:rsidR="00432D38" w:rsidRPr="00FB72F0" w:rsidRDefault="00432D38" w:rsidP="00FB72F0">
      <w:pPr>
        <w:spacing w:line="360" w:lineRule="auto"/>
        <w:jc w:val="both"/>
        <w:rPr>
          <w:rFonts w:ascii="Arial" w:hAnsi="Arial" w:cs="Arial"/>
        </w:rPr>
      </w:pPr>
    </w:p>
    <w:p w14:paraId="15D8F62A" w14:textId="061BFCD2" w:rsidR="00432D38" w:rsidRPr="00FB72F0" w:rsidRDefault="00432D38" w:rsidP="00FB72F0">
      <w:pPr>
        <w:pStyle w:val="Heading1"/>
        <w:jc w:val="both"/>
        <w:rPr>
          <w:rFonts w:cs="Arial"/>
          <w:szCs w:val="24"/>
        </w:rPr>
      </w:pPr>
      <w:bookmarkStart w:id="32" w:name="_Toc236167985"/>
      <w:r w:rsidRPr="00FB72F0">
        <w:rPr>
          <w:rFonts w:cs="Arial"/>
          <w:szCs w:val="24"/>
        </w:rPr>
        <w:t>Abstract Conceptualisation</w:t>
      </w:r>
      <w:bookmarkEnd w:id="32"/>
    </w:p>
    <w:p w14:paraId="2463AB52" w14:textId="024D3BE4" w:rsidR="00432D38" w:rsidRPr="00FB72F0" w:rsidRDefault="00432D38" w:rsidP="00FB72F0">
      <w:pPr>
        <w:spacing w:line="360" w:lineRule="auto"/>
        <w:jc w:val="both"/>
        <w:rPr>
          <w:rFonts w:ascii="Arial" w:hAnsi="Arial" w:cs="Arial"/>
        </w:rPr>
      </w:pPr>
      <w:r w:rsidRPr="00FB72F0">
        <w:rPr>
          <w:rFonts w:ascii="Arial" w:hAnsi="Arial" w:cs="Arial"/>
        </w:rPr>
        <w:t>Completing this project improved my understanding of the complexity of international expansion. I learned that successful market entry depends on balancing global standardisation with local responsiveness rather than adopting a single universal strategy. Nando’s illustrates how multinational firms must protect their core brand identity while adapting products, pricing and operations to local market conditions.</w:t>
      </w:r>
    </w:p>
    <w:p w14:paraId="68442B53" w14:textId="4855CF4E" w:rsidR="00432D38" w:rsidRPr="00FB72F0" w:rsidRDefault="00432D38" w:rsidP="00FB72F0">
      <w:pPr>
        <w:spacing w:line="360" w:lineRule="auto"/>
        <w:jc w:val="both"/>
        <w:rPr>
          <w:rFonts w:ascii="Arial" w:hAnsi="Arial" w:cs="Arial"/>
        </w:rPr>
      </w:pPr>
      <w:r w:rsidRPr="00FB72F0">
        <w:rPr>
          <w:rFonts w:ascii="Arial" w:hAnsi="Arial" w:cs="Arial"/>
        </w:rPr>
        <w:t>The project also deepened my appreciation of the interdependence of external environmental factors. Political stability, economic conditions, legal regulation and cultural preferences cannot be analysed in isolation because they influence one another. For example, Germany’s high labour costs affect pricing strategies, while legal food safety requirements influence operational decisions and supply-chain management. Applying Dunning’s OLI framework demonstrated how ownership, location and internalisation advantages are interconnected when selecting an appropriate market entry strategy.</w:t>
      </w:r>
    </w:p>
    <w:p w14:paraId="7F87CFE0" w14:textId="66685D51" w:rsidR="00432D38" w:rsidRPr="00FB72F0" w:rsidRDefault="00432D38" w:rsidP="00FB72F0">
      <w:pPr>
        <w:spacing w:line="360" w:lineRule="auto"/>
        <w:jc w:val="both"/>
        <w:rPr>
          <w:rFonts w:ascii="Arial" w:hAnsi="Arial" w:cs="Arial"/>
        </w:rPr>
      </w:pPr>
      <w:r w:rsidRPr="00FB72F0">
        <w:rPr>
          <w:rFonts w:ascii="Arial" w:hAnsi="Arial" w:cs="Arial"/>
        </w:rPr>
        <w:lastRenderedPageBreak/>
        <w:t>More broadly, I developed stronger critical thinking skills by evaluating both the strengths and limitations of international business theories. I recognised that frameworks such as Bartlett and Ghoshal’s model and Dunning’s Eclectic Paradigm provide useful analytical guidance, but they cannot fully capture the complexity and uncertainty of real-world business environments. This reinforced the importance of using multiple frameworks together rather than relying on a single model.</w:t>
      </w:r>
    </w:p>
    <w:p w14:paraId="021EDBB0" w14:textId="77777777" w:rsidR="00432D38" w:rsidRPr="00FB72F0" w:rsidRDefault="00432D38" w:rsidP="00FB72F0">
      <w:pPr>
        <w:spacing w:line="360" w:lineRule="auto"/>
        <w:jc w:val="both"/>
        <w:rPr>
          <w:rFonts w:ascii="Arial" w:hAnsi="Arial" w:cs="Arial"/>
        </w:rPr>
      </w:pPr>
    </w:p>
    <w:p w14:paraId="39A0E3C1" w14:textId="7BDBFF21" w:rsidR="00432D38" w:rsidRPr="00FB72F0" w:rsidRDefault="00432D38" w:rsidP="00FB72F0">
      <w:pPr>
        <w:pStyle w:val="Heading1"/>
        <w:jc w:val="both"/>
        <w:rPr>
          <w:rFonts w:cs="Arial"/>
          <w:szCs w:val="24"/>
        </w:rPr>
      </w:pPr>
      <w:bookmarkStart w:id="33" w:name="_Toc236167986"/>
      <w:r w:rsidRPr="00FB72F0">
        <w:rPr>
          <w:rFonts w:cs="Arial"/>
          <w:szCs w:val="24"/>
        </w:rPr>
        <w:t>Active Experimentation</w:t>
      </w:r>
      <w:bookmarkEnd w:id="33"/>
    </w:p>
    <w:p w14:paraId="0F405CEE" w14:textId="2F8F8CF1" w:rsidR="00432D38" w:rsidRPr="00FB72F0" w:rsidRDefault="00432D38" w:rsidP="00FB72F0">
      <w:pPr>
        <w:spacing w:line="360" w:lineRule="auto"/>
        <w:jc w:val="both"/>
        <w:rPr>
          <w:rFonts w:ascii="Arial" w:hAnsi="Arial" w:cs="Arial"/>
        </w:rPr>
      </w:pPr>
      <w:r w:rsidRPr="00FB72F0">
        <w:rPr>
          <w:rFonts w:ascii="Arial" w:hAnsi="Arial" w:cs="Arial"/>
        </w:rPr>
        <w:t>If I were to undertake a similar project in the future, I would begin by developing a clearer research plan and collecting academic and industry sources simultaneously. This would allow theoretical concepts and practical evidence to be integrated more effectively throughout the analysis rather than added separately during later stages.</w:t>
      </w:r>
    </w:p>
    <w:p w14:paraId="4BC28553" w14:textId="708CF65A" w:rsidR="00432D38" w:rsidRPr="00FB72F0" w:rsidRDefault="00432D38" w:rsidP="00FB72F0">
      <w:pPr>
        <w:spacing w:line="360" w:lineRule="auto"/>
        <w:jc w:val="both"/>
        <w:rPr>
          <w:rFonts w:ascii="Arial" w:hAnsi="Arial" w:cs="Arial"/>
        </w:rPr>
      </w:pPr>
      <w:r w:rsidRPr="00FB72F0">
        <w:rPr>
          <w:rFonts w:ascii="Arial" w:hAnsi="Arial" w:cs="Arial"/>
        </w:rPr>
        <w:t>I would also strengthen my evaluation by incorporating more comparative analysis between Germany and other potential expansion markets. This would provide a stronger justification for recommending Germany over alternative countries and demonstrate a broader understanding of international market selection.</w:t>
      </w:r>
    </w:p>
    <w:p w14:paraId="00819719" w14:textId="77777777" w:rsidR="00432D38" w:rsidRPr="00FB72F0" w:rsidRDefault="00432D38" w:rsidP="00FB72F0">
      <w:pPr>
        <w:spacing w:line="360" w:lineRule="auto"/>
        <w:jc w:val="both"/>
        <w:rPr>
          <w:rFonts w:ascii="Arial" w:hAnsi="Arial" w:cs="Arial"/>
        </w:rPr>
      </w:pPr>
      <w:r w:rsidRPr="00FB72F0">
        <w:rPr>
          <w:rFonts w:ascii="Arial" w:hAnsi="Arial" w:cs="Arial"/>
        </w:rPr>
        <w:t>Finally, I intend to continue improving my ability to write critically by focusing less on description and more on evaluating strategic trade-offs. This project has shown me that high-quality international business analysis requires evidence-based judgement, the integration of multiple theoretical perspectives and an awareness of how external environmental factors influence strategic decision-making.</w:t>
      </w:r>
    </w:p>
    <w:p w14:paraId="068E5AAD" w14:textId="77777777" w:rsidR="00432D38" w:rsidRPr="00FB72F0" w:rsidRDefault="00432D38" w:rsidP="00FB72F0">
      <w:pPr>
        <w:spacing w:line="360" w:lineRule="auto"/>
        <w:jc w:val="both"/>
        <w:rPr>
          <w:rFonts w:ascii="Arial" w:hAnsi="Arial" w:cs="Arial"/>
        </w:rPr>
      </w:pPr>
    </w:p>
    <w:p w14:paraId="15A57384" w14:textId="41CEB00F" w:rsidR="00432D38" w:rsidRPr="00FB72F0" w:rsidRDefault="00432D38" w:rsidP="00FB72F0">
      <w:pPr>
        <w:pStyle w:val="Heading1"/>
        <w:jc w:val="both"/>
        <w:rPr>
          <w:rFonts w:cs="Arial"/>
          <w:szCs w:val="24"/>
        </w:rPr>
      </w:pPr>
      <w:bookmarkStart w:id="34" w:name="_Toc236167987"/>
      <w:r w:rsidRPr="00FB72F0">
        <w:rPr>
          <w:rFonts w:cs="Arial"/>
          <w:szCs w:val="24"/>
        </w:rPr>
        <w:t>Conclusion</w:t>
      </w:r>
      <w:bookmarkEnd w:id="34"/>
    </w:p>
    <w:p w14:paraId="179622F6" w14:textId="074D5906" w:rsidR="00E10F46" w:rsidRPr="00FB72F0" w:rsidRDefault="00432D38" w:rsidP="00FB72F0">
      <w:pPr>
        <w:spacing w:line="360" w:lineRule="auto"/>
        <w:jc w:val="both"/>
        <w:rPr>
          <w:rFonts w:ascii="Arial" w:hAnsi="Arial" w:cs="Arial"/>
        </w:rPr>
      </w:pPr>
      <w:r w:rsidRPr="00FB72F0">
        <w:rPr>
          <w:rFonts w:ascii="Arial" w:hAnsi="Arial" w:cs="Arial"/>
        </w:rPr>
        <w:t>Overall, applying Kolb’s Reflective Cycle has enabled me to recognise the knowledge and skills developed throughout this project. I have improved my understanding of international strategy, market entry and global business frameworks while enhancing my research, analytical and critical evaluation skills. These experiences will help me approach future academic work and professional business decision-making with greater confidence and a more structured analytical approach.</w:t>
      </w:r>
    </w:p>
    <w:p w14:paraId="1387D092" w14:textId="0DCE2A76" w:rsidR="00EC7103" w:rsidRPr="00164AA2" w:rsidRDefault="00445C3D" w:rsidP="00C31FBE">
      <w:pPr>
        <w:pStyle w:val="Heading1"/>
      </w:pPr>
      <w:r>
        <w:br w:type="page"/>
      </w:r>
      <w:bookmarkStart w:id="35" w:name="_Toc236167988"/>
      <w:r w:rsidRPr="00164AA2">
        <w:lastRenderedPageBreak/>
        <w:t>REFERENCES</w:t>
      </w:r>
      <w:bookmarkEnd w:id="35"/>
    </w:p>
    <w:p w14:paraId="716847AA" w14:textId="445998E7" w:rsidR="007A3242" w:rsidRDefault="007A3242" w:rsidP="00B2255C">
      <w:pPr>
        <w:spacing w:before="240" w:line="360" w:lineRule="auto"/>
        <w:jc w:val="both"/>
        <w:rPr>
          <w:rFonts w:ascii="Arial" w:hAnsi="Arial" w:cs="Arial"/>
        </w:rPr>
      </w:pPr>
      <w:r w:rsidRPr="007A3242">
        <w:rPr>
          <w:rFonts w:ascii="Arial" w:hAnsi="Arial" w:cs="Arial"/>
        </w:rPr>
        <w:t xml:space="preserve">Dunning, J.H. (2001) “The Eclectic (OLI) Paradigm of International Production: Past, Present and Future,” International journal of the economics of business., 8(2), pp. 173–190. Available at: </w:t>
      </w:r>
      <w:hyperlink r:id="rId25" w:history="1">
        <w:r w:rsidRPr="004936D7">
          <w:rPr>
            <w:rStyle w:val="Hyperlink"/>
            <w:rFonts w:ascii="Arial" w:hAnsi="Arial" w:cs="Arial"/>
          </w:rPr>
          <w:t>https://doi.org/10.1080/13571510110051441</w:t>
        </w:r>
      </w:hyperlink>
      <w:r w:rsidRPr="007A3242">
        <w:rPr>
          <w:rFonts w:ascii="Arial" w:hAnsi="Arial" w:cs="Arial"/>
        </w:rPr>
        <w:t>.</w:t>
      </w:r>
      <w:r>
        <w:rPr>
          <w:rFonts w:ascii="Arial" w:hAnsi="Arial" w:cs="Arial"/>
        </w:rPr>
        <w:t xml:space="preserve"> </w:t>
      </w:r>
      <w:r w:rsidRPr="007A3242">
        <w:t xml:space="preserve"> </w:t>
      </w:r>
      <w:r w:rsidRPr="007A3242">
        <w:rPr>
          <w:rFonts w:ascii="Arial" w:hAnsi="Arial" w:cs="Arial"/>
        </w:rPr>
        <w:t>Accessed 21 July 2026</w:t>
      </w:r>
    </w:p>
    <w:p w14:paraId="4D4B4371" w14:textId="78355013" w:rsidR="000A5077" w:rsidRDefault="000A5077" w:rsidP="000A5077">
      <w:pPr>
        <w:spacing w:before="240" w:line="360" w:lineRule="auto"/>
        <w:jc w:val="both"/>
        <w:rPr>
          <w:rFonts w:ascii="Arial" w:hAnsi="Arial" w:cs="Arial"/>
        </w:rPr>
      </w:pPr>
      <w:r w:rsidRPr="000A5077">
        <w:rPr>
          <w:rFonts w:ascii="Arial" w:hAnsi="Arial" w:cs="Arial"/>
        </w:rPr>
        <w:t xml:space="preserve">Gillis, W. and Castrogiovanni, G.J. (2012) “The franchising business model: an entrepreneurial growth alternative,” International entrepreneurship and management journal., 8(1), pp. 75–98. Available at: </w:t>
      </w:r>
      <w:hyperlink r:id="rId26" w:history="1">
        <w:r w:rsidRPr="000C5DBE">
          <w:rPr>
            <w:rStyle w:val="Hyperlink"/>
            <w:rFonts w:ascii="Arial" w:hAnsi="Arial" w:cs="Arial"/>
          </w:rPr>
          <w:t>https://doi.org/10.1007/s11365-010-0158-8</w:t>
        </w:r>
      </w:hyperlink>
      <w:r w:rsidRPr="000A5077">
        <w:rPr>
          <w:rFonts w:ascii="Arial" w:hAnsi="Arial" w:cs="Arial"/>
        </w:rPr>
        <w:t>.</w:t>
      </w:r>
      <w:r>
        <w:rPr>
          <w:rFonts w:ascii="Arial" w:hAnsi="Arial" w:cs="Arial"/>
        </w:rPr>
        <w:t xml:space="preserve"> Accessed 26 July 2026</w:t>
      </w:r>
    </w:p>
    <w:p w14:paraId="27E9E16A" w14:textId="168D0130" w:rsidR="008B336B" w:rsidRDefault="008B336B" w:rsidP="008B336B">
      <w:pPr>
        <w:spacing w:before="240" w:line="360" w:lineRule="auto"/>
        <w:jc w:val="both"/>
        <w:rPr>
          <w:rFonts w:ascii="Arial" w:hAnsi="Arial" w:cs="Arial"/>
        </w:rPr>
      </w:pPr>
      <w:r w:rsidRPr="008B336B">
        <w:rPr>
          <w:rFonts w:ascii="Arial" w:hAnsi="Arial" w:cs="Arial"/>
        </w:rPr>
        <w:t xml:space="preserve">Hempel, C. and Roosen, J. (2024) “Growing importance of price: Investigating food values before and during high inflation in Germany,” Agricultural economics: the journal of the International Association of Agricultural Economists., 55(6), pp. 1026–1039. Available at: </w:t>
      </w:r>
      <w:hyperlink r:id="rId27" w:history="1">
        <w:r w:rsidRPr="003D2CBA">
          <w:rPr>
            <w:rStyle w:val="Hyperlink"/>
            <w:rFonts w:ascii="Arial" w:hAnsi="Arial" w:cs="Arial"/>
          </w:rPr>
          <w:t>https://doi.org/10.1111/agec.12865</w:t>
        </w:r>
      </w:hyperlink>
      <w:r w:rsidRPr="008B336B">
        <w:rPr>
          <w:rFonts w:ascii="Arial" w:hAnsi="Arial" w:cs="Arial"/>
        </w:rPr>
        <w:t>.</w:t>
      </w:r>
      <w:r>
        <w:rPr>
          <w:rFonts w:ascii="Arial" w:hAnsi="Arial" w:cs="Arial"/>
        </w:rPr>
        <w:t xml:space="preserve"> Accessed </w:t>
      </w:r>
      <w:r w:rsidR="006027B5">
        <w:rPr>
          <w:rFonts w:ascii="Arial" w:hAnsi="Arial" w:cs="Arial"/>
        </w:rPr>
        <w:t>25 July 2026</w:t>
      </w:r>
    </w:p>
    <w:p w14:paraId="5968D375" w14:textId="1A4DFEAB" w:rsidR="00C54C62" w:rsidRDefault="00C54C62" w:rsidP="00B2255C">
      <w:pPr>
        <w:spacing w:before="240" w:line="360" w:lineRule="auto"/>
        <w:jc w:val="both"/>
        <w:rPr>
          <w:rFonts w:ascii="Arial" w:hAnsi="Arial" w:cs="Arial"/>
        </w:rPr>
      </w:pPr>
      <w:r w:rsidRPr="00C54C62">
        <w:rPr>
          <w:rFonts w:ascii="Arial" w:hAnsi="Arial" w:cs="Arial"/>
        </w:rPr>
        <w:t xml:space="preserve">Hill, C. (2008) “International Business: Competing in the Global Market Place,” Strategic direction., 24(9). Available at: </w:t>
      </w:r>
      <w:hyperlink r:id="rId28" w:history="1">
        <w:r w:rsidRPr="003D2CBA">
          <w:rPr>
            <w:rStyle w:val="Hyperlink"/>
            <w:rFonts w:ascii="Arial" w:hAnsi="Arial" w:cs="Arial"/>
          </w:rPr>
          <w:t>https://doi.org/10.1108/sd.2008.05624iae.001</w:t>
        </w:r>
      </w:hyperlink>
      <w:r w:rsidRPr="00C54C62">
        <w:rPr>
          <w:rFonts w:ascii="Arial" w:hAnsi="Arial" w:cs="Arial"/>
        </w:rPr>
        <w:t>.</w:t>
      </w:r>
      <w:r>
        <w:rPr>
          <w:rFonts w:ascii="Arial" w:hAnsi="Arial" w:cs="Arial"/>
        </w:rPr>
        <w:t xml:space="preserve"> Accessed 26 July 2026</w:t>
      </w:r>
    </w:p>
    <w:p w14:paraId="78A1A98A" w14:textId="06C9D341" w:rsidR="00E5544A" w:rsidRDefault="00E5544A" w:rsidP="00E5544A">
      <w:pPr>
        <w:spacing w:before="240" w:line="360" w:lineRule="auto"/>
        <w:jc w:val="both"/>
        <w:rPr>
          <w:rFonts w:ascii="Arial" w:hAnsi="Arial" w:cs="Arial"/>
        </w:rPr>
      </w:pPr>
      <w:r w:rsidRPr="00E5544A">
        <w:rPr>
          <w:rFonts w:ascii="Arial" w:hAnsi="Arial" w:cs="Arial"/>
        </w:rPr>
        <w:t>Lane (1990) “Cross-cultural cooperative behavior in joint ventures in LDCs,” Management international review., 30.</w:t>
      </w:r>
    </w:p>
    <w:p w14:paraId="5095C2E8" w14:textId="225F6FD1" w:rsidR="00B2255C" w:rsidRDefault="00B2255C" w:rsidP="00B2255C">
      <w:pPr>
        <w:spacing w:before="240" w:line="360" w:lineRule="auto"/>
        <w:jc w:val="both"/>
        <w:rPr>
          <w:rFonts w:ascii="Arial" w:hAnsi="Arial" w:cs="Arial"/>
        </w:rPr>
      </w:pPr>
      <w:r w:rsidRPr="00B2255C">
        <w:rPr>
          <w:rFonts w:ascii="Arial" w:hAnsi="Arial" w:cs="Arial"/>
        </w:rPr>
        <w:t xml:space="preserve">Lundan, S.M. (2010) “What are Ownership </w:t>
      </w:r>
      <w:r w:rsidR="00EE1C29" w:rsidRPr="00B2255C">
        <w:rPr>
          <w:rFonts w:ascii="Arial" w:hAnsi="Arial" w:cs="Arial"/>
        </w:rPr>
        <w:t>Advantages?</w:t>
      </w:r>
      <w:r w:rsidRPr="00B2255C">
        <w:rPr>
          <w:rFonts w:ascii="Arial" w:hAnsi="Arial" w:cs="Arial"/>
        </w:rPr>
        <w:t>”</w:t>
      </w:r>
      <w:r w:rsidR="00EE1C29">
        <w:rPr>
          <w:rFonts w:ascii="Arial" w:hAnsi="Arial" w:cs="Arial"/>
        </w:rPr>
        <w:t>,</w:t>
      </w:r>
      <w:r w:rsidRPr="00B2255C">
        <w:rPr>
          <w:rFonts w:ascii="Arial" w:hAnsi="Arial" w:cs="Arial"/>
        </w:rPr>
        <w:t xml:space="preserve"> Multinational business review., 18(2), pp. 51–70. Available at: </w:t>
      </w:r>
      <w:hyperlink r:id="rId29" w:history="1">
        <w:r w:rsidR="0019596A" w:rsidRPr="003D2CBA">
          <w:rPr>
            <w:rStyle w:val="Hyperlink"/>
            <w:rFonts w:ascii="Arial" w:hAnsi="Arial" w:cs="Arial"/>
          </w:rPr>
          <w:t>https://doi.org/10.1108/1525383X201000010. Accessed 20 July 2026</w:t>
        </w:r>
      </w:hyperlink>
    </w:p>
    <w:p w14:paraId="3D5B1ADB" w14:textId="35E9B335" w:rsidR="00C35349" w:rsidRDefault="00C35349" w:rsidP="00C35349">
      <w:pPr>
        <w:spacing w:before="240" w:line="360" w:lineRule="auto"/>
        <w:jc w:val="both"/>
        <w:rPr>
          <w:rFonts w:ascii="Arial" w:hAnsi="Arial" w:cs="Arial"/>
        </w:rPr>
      </w:pPr>
      <w:r w:rsidRPr="00C35349">
        <w:rPr>
          <w:rFonts w:ascii="Arial" w:hAnsi="Arial" w:cs="Arial"/>
        </w:rPr>
        <w:t xml:space="preserve">Möhring, M. (2014) “Food for Thought: Rethinking the History of Migration to West Germany Through the Migrant Restaurant Business,” Journal of Contemporary History [Periodical], 49(1), pp. 209–227. Available at: </w:t>
      </w:r>
      <w:hyperlink r:id="rId30" w:history="1">
        <w:r w:rsidRPr="003D2CBA">
          <w:rPr>
            <w:rStyle w:val="Hyperlink"/>
            <w:rFonts w:ascii="Arial" w:hAnsi="Arial" w:cs="Arial"/>
          </w:rPr>
          <w:t>https://doi.org/10.1177/0022009413505666</w:t>
        </w:r>
      </w:hyperlink>
      <w:r w:rsidRPr="00C35349">
        <w:rPr>
          <w:rFonts w:ascii="Arial" w:hAnsi="Arial" w:cs="Arial"/>
        </w:rPr>
        <w:t>.</w:t>
      </w:r>
      <w:r>
        <w:rPr>
          <w:rFonts w:ascii="Arial" w:hAnsi="Arial" w:cs="Arial"/>
        </w:rPr>
        <w:t xml:space="preserve"> Access</w:t>
      </w:r>
      <w:r w:rsidR="004A44A9">
        <w:rPr>
          <w:rFonts w:ascii="Arial" w:hAnsi="Arial" w:cs="Arial"/>
        </w:rPr>
        <w:t>ed 23 July 2026</w:t>
      </w:r>
    </w:p>
    <w:p w14:paraId="0BB9B49D" w14:textId="3CCFC524" w:rsidR="001D37C0" w:rsidRDefault="003C3CD0" w:rsidP="00B2255C">
      <w:pPr>
        <w:spacing w:before="240" w:line="360" w:lineRule="auto"/>
        <w:jc w:val="both"/>
        <w:rPr>
          <w:rFonts w:ascii="Arial" w:hAnsi="Arial" w:cs="Arial"/>
        </w:rPr>
      </w:pPr>
      <w:r w:rsidRPr="003C3CD0">
        <w:rPr>
          <w:rFonts w:ascii="Arial" w:hAnsi="Arial" w:cs="Arial"/>
        </w:rPr>
        <w:t xml:space="preserve">Nando’s (2026) </w:t>
      </w:r>
      <w:r w:rsidR="00E53EBF">
        <w:rPr>
          <w:rFonts w:ascii="Arial" w:hAnsi="Arial" w:cs="Arial"/>
        </w:rPr>
        <w:t>“</w:t>
      </w:r>
      <w:r>
        <w:rPr>
          <w:rFonts w:ascii="Arial" w:hAnsi="Arial" w:cs="Arial"/>
        </w:rPr>
        <w:t>H</w:t>
      </w:r>
      <w:r w:rsidR="00E53EBF">
        <w:rPr>
          <w:rFonts w:ascii="Arial" w:hAnsi="Arial" w:cs="Arial"/>
        </w:rPr>
        <w:t>ealthy(ish)</w:t>
      </w:r>
      <w:r w:rsidR="00D73F33">
        <w:rPr>
          <w:rFonts w:ascii="Arial" w:hAnsi="Arial" w:cs="Arial"/>
        </w:rPr>
        <w:t>”</w:t>
      </w:r>
      <w:r w:rsidR="00E53EBF">
        <w:rPr>
          <w:rFonts w:ascii="Arial" w:hAnsi="Arial" w:cs="Arial"/>
        </w:rPr>
        <w:t xml:space="preserve"> </w:t>
      </w:r>
      <w:r w:rsidR="00D73F33">
        <w:rPr>
          <w:rFonts w:ascii="Arial" w:hAnsi="Arial" w:cs="Arial"/>
        </w:rPr>
        <w:t xml:space="preserve">Available at: </w:t>
      </w:r>
      <w:hyperlink r:id="rId31" w:history="1">
        <w:r w:rsidR="00D73F33" w:rsidRPr="003D2CBA">
          <w:rPr>
            <w:rStyle w:val="Hyperlink"/>
            <w:rFonts w:ascii="Arial" w:hAnsi="Arial" w:cs="Arial"/>
          </w:rPr>
          <w:t>https://www.nandosindia.com/eat/recipes/everyday/healthyish</w:t>
        </w:r>
      </w:hyperlink>
      <w:r w:rsidR="00D73F33">
        <w:rPr>
          <w:rFonts w:ascii="Arial" w:hAnsi="Arial" w:cs="Arial"/>
        </w:rPr>
        <w:t>. Accessed 22 July 2026</w:t>
      </w:r>
    </w:p>
    <w:p w14:paraId="1CB7F8E2" w14:textId="148264F3" w:rsidR="007D6C29" w:rsidRDefault="007D6C29" w:rsidP="00B2255C">
      <w:pPr>
        <w:spacing w:before="240" w:line="360" w:lineRule="auto"/>
        <w:jc w:val="both"/>
        <w:rPr>
          <w:rFonts w:ascii="Arial" w:hAnsi="Arial" w:cs="Arial"/>
        </w:rPr>
      </w:pPr>
      <w:r>
        <w:rPr>
          <w:rFonts w:ascii="Arial" w:hAnsi="Arial" w:cs="Arial"/>
        </w:rPr>
        <w:lastRenderedPageBreak/>
        <w:t xml:space="preserve">Nando’s </w:t>
      </w:r>
      <w:r w:rsidR="00CD5284">
        <w:rPr>
          <w:rFonts w:ascii="Arial" w:hAnsi="Arial" w:cs="Arial"/>
        </w:rPr>
        <w:t xml:space="preserve">(2026) “Our Look” </w:t>
      </w:r>
      <w:r w:rsidR="00CC325B">
        <w:rPr>
          <w:rFonts w:ascii="Arial" w:hAnsi="Arial" w:cs="Arial"/>
        </w:rPr>
        <w:t xml:space="preserve">Available at: </w:t>
      </w:r>
      <w:hyperlink r:id="rId32" w:history="1">
        <w:r w:rsidR="00CC325B" w:rsidRPr="003D2CBA">
          <w:rPr>
            <w:rStyle w:val="Hyperlink"/>
            <w:rFonts w:ascii="Arial" w:hAnsi="Arial" w:cs="Arial"/>
          </w:rPr>
          <w:t>https://www.nandos.ae/about-us/our-look</w:t>
        </w:r>
      </w:hyperlink>
      <w:r w:rsidR="00CC325B">
        <w:rPr>
          <w:rFonts w:ascii="Arial" w:hAnsi="Arial" w:cs="Arial"/>
        </w:rPr>
        <w:t>. Accessed 22 July 2026</w:t>
      </w:r>
    </w:p>
    <w:p w14:paraId="10B4C761" w14:textId="6ED796F6" w:rsidR="0019596A" w:rsidRDefault="0019596A" w:rsidP="00B2255C">
      <w:pPr>
        <w:spacing w:before="240" w:line="360" w:lineRule="auto"/>
        <w:jc w:val="both"/>
        <w:rPr>
          <w:rFonts w:ascii="Arial" w:hAnsi="Arial" w:cs="Arial"/>
        </w:rPr>
      </w:pPr>
      <w:r>
        <w:rPr>
          <w:rFonts w:ascii="Arial" w:hAnsi="Arial" w:cs="Arial"/>
        </w:rPr>
        <w:t>N</w:t>
      </w:r>
      <w:r w:rsidR="008501F7">
        <w:rPr>
          <w:rFonts w:ascii="Arial" w:hAnsi="Arial" w:cs="Arial"/>
        </w:rPr>
        <w:t>a</w:t>
      </w:r>
      <w:r>
        <w:rPr>
          <w:rFonts w:ascii="Arial" w:hAnsi="Arial" w:cs="Arial"/>
        </w:rPr>
        <w:t>ndo</w:t>
      </w:r>
      <w:r w:rsidR="008501F7">
        <w:rPr>
          <w:rFonts w:ascii="Arial" w:hAnsi="Arial" w:cs="Arial"/>
        </w:rPr>
        <w:t>’s (2026) “Our Story</w:t>
      </w:r>
      <w:r w:rsidR="00B71758">
        <w:rPr>
          <w:rFonts w:ascii="Arial" w:hAnsi="Arial" w:cs="Arial"/>
        </w:rPr>
        <w:t xml:space="preserve">, South Africa </w:t>
      </w:r>
      <w:r w:rsidR="00476BA9">
        <w:rPr>
          <w:rFonts w:ascii="Arial" w:hAnsi="Arial" w:cs="Arial"/>
        </w:rPr>
        <w:t>Born, Por</w:t>
      </w:r>
      <w:r w:rsidR="00526E7B">
        <w:rPr>
          <w:rFonts w:ascii="Arial" w:hAnsi="Arial" w:cs="Arial"/>
        </w:rPr>
        <w:t>tuguese-inspired</w:t>
      </w:r>
      <w:r w:rsidR="00F65939">
        <w:rPr>
          <w:rFonts w:ascii="Arial" w:hAnsi="Arial" w:cs="Arial"/>
        </w:rPr>
        <w:t xml:space="preserve">” </w:t>
      </w:r>
      <w:r w:rsidR="0073258F">
        <w:rPr>
          <w:rFonts w:ascii="Arial" w:hAnsi="Arial" w:cs="Arial"/>
        </w:rPr>
        <w:t xml:space="preserve">Available at: </w:t>
      </w:r>
      <w:hyperlink r:id="rId33" w:history="1">
        <w:r w:rsidR="0073258F" w:rsidRPr="003D2CBA">
          <w:rPr>
            <w:rStyle w:val="Hyperlink"/>
            <w:rFonts w:ascii="Arial" w:hAnsi="Arial" w:cs="Arial"/>
          </w:rPr>
          <w:t>https://www.nandos.ae/about-us/our-story</w:t>
        </w:r>
      </w:hyperlink>
      <w:r w:rsidR="0073258F">
        <w:rPr>
          <w:rFonts w:ascii="Arial" w:hAnsi="Arial" w:cs="Arial"/>
        </w:rPr>
        <w:t>. Accessed 22 July 2026</w:t>
      </w:r>
    </w:p>
    <w:p w14:paraId="3DE6230B" w14:textId="0A8251E6" w:rsidR="00B72D18" w:rsidRDefault="00B72D18" w:rsidP="00B72D18">
      <w:pPr>
        <w:spacing w:before="240" w:line="360" w:lineRule="auto"/>
        <w:jc w:val="both"/>
        <w:rPr>
          <w:rFonts w:ascii="Arial" w:hAnsi="Arial" w:cs="Arial"/>
        </w:rPr>
      </w:pPr>
      <w:r w:rsidRPr="00B72D18">
        <w:rPr>
          <w:rFonts w:ascii="Arial" w:hAnsi="Arial" w:cs="Arial"/>
        </w:rPr>
        <w:t xml:space="preserve">Narula, R. and Santangelo, G.D. (2012) “Location and collocation advantages in international innovation,” Multinational business review., 20(1), pp. 6–25. Available at: </w:t>
      </w:r>
      <w:hyperlink r:id="rId34" w:history="1">
        <w:r w:rsidRPr="004936D7">
          <w:rPr>
            <w:rStyle w:val="Hyperlink"/>
            <w:rFonts w:ascii="Arial" w:hAnsi="Arial" w:cs="Arial"/>
          </w:rPr>
          <w:t>https://doi.org/10.1108/15253831211217161</w:t>
        </w:r>
      </w:hyperlink>
      <w:r w:rsidRPr="00B72D18">
        <w:rPr>
          <w:rFonts w:ascii="Arial" w:hAnsi="Arial" w:cs="Arial"/>
        </w:rPr>
        <w:t>.</w:t>
      </w:r>
      <w:r>
        <w:rPr>
          <w:rFonts w:ascii="Arial" w:hAnsi="Arial" w:cs="Arial"/>
        </w:rPr>
        <w:t xml:space="preserve"> </w:t>
      </w:r>
      <w:r w:rsidRPr="00B72D18">
        <w:rPr>
          <w:rFonts w:ascii="Arial" w:hAnsi="Arial" w:cs="Arial"/>
        </w:rPr>
        <w:t>Accessed 2</w:t>
      </w:r>
      <w:r>
        <w:rPr>
          <w:rFonts w:ascii="Arial" w:hAnsi="Arial" w:cs="Arial"/>
        </w:rPr>
        <w:t>1</w:t>
      </w:r>
      <w:r w:rsidRPr="00B72D18">
        <w:rPr>
          <w:rFonts w:ascii="Arial" w:hAnsi="Arial" w:cs="Arial"/>
        </w:rPr>
        <w:t xml:space="preserve"> July 2026</w:t>
      </w:r>
    </w:p>
    <w:p w14:paraId="1A0B4240" w14:textId="7261B2A0" w:rsidR="006B4E21" w:rsidRDefault="006B4E21" w:rsidP="006B4E21">
      <w:pPr>
        <w:spacing w:before="240" w:line="360" w:lineRule="auto"/>
        <w:jc w:val="both"/>
        <w:rPr>
          <w:rFonts w:ascii="Arial" w:hAnsi="Arial" w:cs="Arial"/>
        </w:rPr>
      </w:pPr>
      <w:r w:rsidRPr="006B4E21">
        <w:rPr>
          <w:rFonts w:ascii="Arial" w:hAnsi="Arial" w:cs="Arial"/>
        </w:rPr>
        <w:t>Pollitt (2006) “Training provides the recipe for success at Nando’s,” Training &amp; management development methods., 20(5).</w:t>
      </w:r>
    </w:p>
    <w:p w14:paraId="2042443A" w14:textId="54D1F861" w:rsidR="00E168D8" w:rsidRDefault="00E168D8" w:rsidP="006B4E21">
      <w:pPr>
        <w:spacing w:before="240" w:line="360" w:lineRule="auto"/>
        <w:jc w:val="both"/>
        <w:rPr>
          <w:rFonts w:ascii="Arial" w:hAnsi="Arial" w:cs="Arial"/>
        </w:rPr>
      </w:pPr>
      <w:r w:rsidRPr="00E168D8">
        <w:rPr>
          <w:rFonts w:ascii="Arial" w:hAnsi="Arial" w:cs="Arial"/>
        </w:rPr>
        <w:t xml:space="preserve">Salar, M. and Salar, O. (2014) “Determining Pros and Cons of Franchising by Using Swot Analysis,” Procedia--social and behavioral sciences., 122, pp. 515–519. Available at: </w:t>
      </w:r>
      <w:hyperlink r:id="rId35" w:history="1">
        <w:r w:rsidRPr="000C5DBE">
          <w:rPr>
            <w:rStyle w:val="Hyperlink"/>
            <w:rFonts w:ascii="Arial" w:hAnsi="Arial" w:cs="Arial"/>
          </w:rPr>
          <w:t>https://doi.org/10.1016/j.sbspro.2014.01.1385</w:t>
        </w:r>
      </w:hyperlink>
      <w:r w:rsidRPr="00E168D8">
        <w:rPr>
          <w:rFonts w:ascii="Arial" w:hAnsi="Arial" w:cs="Arial"/>
        </w:rPr>
        <w:t>.</w:t>
      </w:r>
      <w:r>
        <w:rPr>
          <w:rFonts w:ascii="Arial" w:hAnsi="Arial" w:cs="Arial"/>
        </w:rPr>
        <w:t xml:space="preserve"> Accessed July 2026</w:t>
      </w:r>
    </w:p>
    <w:p w14:paraId="126C0A7E" w14:textId="2FDBB068" w:rsidR="00DD4057" w:rsidRDefault="00DD4057" w:rsidP="00DD4057">
      <w:pPr>
        <w:spacing w:before="240" w:line="360" w:lineRule="auto"/>
        <w:jc w:val="both"/>
        <w:rPr>
          <w:rFonts w:ascii="Arial" w:hAnsi="Arial" w:cs="Arial"/>
        </w:rPr>
      </w:pPr>
      <w:r w:rsidRPr="00DD4057">
        <w:rPr>
          <w:rFonts w:ascii="Arial" w:hAnsi="Arial" w:cs="Arial"/>
        </w:rPr>
        <w:t>Saldaña</w:t>
      </w:r>
      <w:r w:rsidRPr="00DD4057">
        <w:rPr>
          <w:rFonts w:ascii="Cambria Math" w:hAnsi="Cambria Math" w:cs="Cambria Math"/>
        </w:rPr>
        <w:t>‐</w:t>
      </w:r>
      <w:r w:rsidRPr="00DD4057">
        <w:rPr>
          <w:rFonts w:ascii="Arial" w:hAnsi="Arial" w:cs="Arial"/>
        </w:rPr>
        <w:t xml:space="preserve">Pierard, C. et al. (2025) “Impact of emerging packaging regulations on international trade and product safety with emphasis on plastic reuse and recycling in Europe and North America,” Journal of industrial ecology., 29(5), pp. 1473–1504. Available at: </w:t>
      </w:r>
      <w:hyperlink r:id="rId36" w:history="1">
        <w:r w:rsidRPr="003D2CBA">
          <w:rPr>
            <w:rStyle w:val="Hyperlink"/>
            <w:rFonts w:ascii="Arial" w:hAnsi="Arial" w:cs="Arial"/>
          </w:rPr>
          <w:t>https://doi.org/10.1111/jiec.70079</w:t>
        </w:r>
      </w:hyperlink>
      <w:r w:rsidRPr="00DD4057">
        <w:rPr>
          <w:rFonts w:ascii="Arial" w:hAnsi="Arial" w:cs="Arial"/>
        </w:rPr>
        <w:t>.</w:t>
      </w:r>
      <w:r>
        <w:rPr>
          <w:rFonts w:ascii="Arial" w:hAnsi="Arial" w:cs="Arial"/>
        </w:rPr>
        <w:t xml:space="preserve"> Accessed 25 July 2026</w:t>
      </w:r>
    </w:p>
    <w:p w14:paraId="66B68C90" w14:textId="3D5CBDF0" w:rsidR="00420757" w:rsidRDefault="00014E83" w:rsidP="00C61A2C">
      <w:pPr>
        <w:spacing w:before="240" w:line="360" w:lineRule="auto"/>
        <w:jc w:val="both"/>
        <w:rPr>
          <w:rFonts w:ascii="Arial" w:hAnsi="Arial" w:cs="Arial"/>
        </w:rPr>
      </w:pPr>
      <w:r w:rsidRPr="00014E83">
        <w:rPr>
          <w:rFonts w:ascii="Arial" w:hAnsi="Arial" w:cs="Arial"/>
        </w:rPr>
        <w:t>Sharmiladevi, J</w:t>
      </w:r>
      <w:r>
        <w:rPr>
          <w:rFonts w:ascii="Arial" w:hAnsi="Arial" w:cs="Arial"/>
        </w:rPr>
        <w:t>.</w:t>
      </w:r>
      <w:r w:rsidRPr="00014E83">
        <w:rPr>
          <w:rFonts w:ascii="Arial" w:hAnsi="Arial" w:cs="Arial"/>
        </w:rPr>
        <w:t xml:space="preserve"> C</w:t>
      </w:r>
      <w:r w:rsidR="00420757" w:rsidRPr="00420757">
        <w:rPr>
          <w:rFonts w:ascii="Arial" w:hAnsi="Arial" w:cs="Arial"/>
        </w:rPr>
        <w:t xml:space="preserve">. (2017) “UNDERSTANDING DUNNING’S OLI PARADIGM,” Indian journal of commerce &amp; management studies., 8(3), pp. 47–52. Available at: </w:t>
      </w:r>
      <w:hyperlink r:id="rId37" w:history="1">
        <w:r w:rsidR="00E55897" w:rsidRPr="004936D7">
          <w:rPr>
            <w:rStyle w:val="Hyperlink"/>
            <w:rFonts w:ascii="Arial" w:hAnsi="Arial" w:cs="Arial"/>
          </w:rPr>
          <w:t>https://doi.org/10.18843/ijcms/v8i3/07</w:t>
        </w:r>
      </w:hyperlink>
      <w:r w:rsidR="00420757" w:rsidRPr="00420757">
        <w:rPr>
          <w:rFonts w:ascii="Arial" w:hAnsi="Arial" w:cs="Arial"/>
        </w:rPr>
        <w:t>.</w:t>
      </w:r>
      <w:r w:rsidR="00E55897">
        <w:rPr>
          <w:rFonts w:ascii="Arial" w:hAnsi="Arial" w:cs="Arial"/>
        </w:rPr>
        <w:t xml:space="preserve"> </w:t>
      </w:r>
      <w:r w:rsidR="00E55897">
        <w:t xml:space="preserve"> </w:t>
      </w:r>
      <w:r w:rsidR="00E55897" w:rsidRPr="00E55897">
        <w:rPr>
          <w:rFonts w:ascii="Arial" w:hAnsi="Arial" w:cs="Arial"/>
        </w:rPr>
        <w:t>Accessed 2</w:t>
      </w:r>
      <w:r w:rsidR="00EE1C29">
        <w:rPr>
          <w:rFonts w:ascii="Arial" w:hAnsi="Arial" w:cs="Arial"/>
        </w:rPr>
        <w:t>0</w:t>
      </w:r>
      <w:r w:rsidR="00E55897" w:rsidRPr="00E55897">
        <w:rPr>
          <w:rFonts w:ascii="Arial" w:hAnsi="Arial" w:cs="Arial"/>
        </w:rPr>
        <w:t xml:space="preserve"> July 2026</w:t>
      </w:r>
    </w:p>
    <w:p w14:paraId="7D24D645" w14:textId="164F6E14" w:rsidR="00E168D8" w:rsidRDefault="00E168D8" w:rsidP="00C61A2C">
      <w:pPr>
        <w:spacing w:before="240" w:line="360" w:lineRule="auto"/>
        <w:jc w:val="both"/>
        <w:rPr>
          <w:rFonts w:ascii="Arial" w:hAnsi="Arial" w:cs="Arial"/>
        </w:rPr>
      </w:pPr>
      <w:r w:rsidRPr="00E168D8">
        <w:rPr>
          <w:rFonts w:ascii="Arial" w:hAnsi="Arial" w:cs="Arial"/>
        </w:rPr>
        <w:t>Siedentop, S. et al. (2026) “Commercial and industrial land conversion in Germany: extent, patterns and the role of urban policy,” European planning studies., 34(8), pp. 1605–1627. Available at: https://doi.org/10.1080/09654313.2026.2644411. Accessed 24 July 2026</w:t>
      </w:r>
    </w:p>
    <w:p w14:paraId="4160732C" w14:textId="1755B1B5" w:rsidR="00306AFB" w:rsidRDefault="00306AFB" w:rsidP="00C61A2C">
      <w:pPr>
        <w:spacing w:before="240" w:line="360" w:lineRule="auto"/>
        <w:jc w:val="both"/>
        <w:rPr>
          <w:rFonts w:ascii="Arial" w:hAnsi="Arial" w:cs="Arial"/>
        </w:rPr>
      </w:pPr>
      <w:r w:rsidRPr="00306AFB">
        <w:rPr>
          <w:rFonts w:ascii="Arial" w:hAnsi="Arial" w:cs="Arial"/>
        </w:rPr>
        <w:t xml:space="preserve">Svinicki, M.D. and Dixon, N.M. (1987) “The Kolb Model Modified for Classroom Activities,” College teaching., 35(4), pp. 141–146. Available at: </w:t>
      </w:r>
      <w:hyperlink r:id="rId38" w:history="1">
        <w:r w:rsidR="00CF66C3" w:rsidRPr="004936D7">
          <w:rPr>
            <w:rStyle w:val="Hyperlink"/>
            <w:rFonts w:ascii="Arial" w:hAnsi="Arial" w:cs="Arial"/>
          </w:rPr>
          <w:t>https://doi.org/10.1080/87567555.1987.9925469</w:t>
        </w:r>
      </w:hyperlink>
      <w:r w:rsidRPr="00306AFB">
        <w:rPr>
          <w:rFonts w:ascii="Arial" w:hAnsi="Arial" w:cs="Arial"/>
        </w:rPr>
        <w:t>.</w:t>
      </w:r>
      <w:r w:rsidR="00CF66C3">
        <w:rPr>
          <w:rFonts w:ascii="Arial" w:hAnsi="Arial" w:cs="Arial"/>
        </w:rPr>
        <w:t xml:space="preserve"> </w:t>
      </w:r>
      <w:r w:rsidR="00E55897">
        <w:rPr>
          <w:rFonts w:ascii="Arial" w:hAnsi="Arial" w:cs="Arial"/>
        </w:rPr>
        <w:t xml:space="preserve"> </w:t>
      </w:r>
      <w:r w:rsidR="00CF66C3">
        <w:rPr>
          <w:rFonts w:ascii="Arial" w:hAnsi="Arial" w:cs="Arial"/>
        </w:rPr>
        <w:t>Accessed 25 July 2026</w:t>
      </w:r>
    </w:p>
    <w:p w14:paraId="7B677966" w14:textId="6198E39A" w:rsidR="00441F41" w:rsidRDefault="00441F41" w:rsidP="00C61A2C">
      <w:pPr>
        <w:spacing w:before="240" w:line="360" w:lineRule="auto"/>
        <w:jc w:val="both"/>
        <w:rPr>
          <w:rFonts w:ascii="Arial" w:hAnsi="Arial" w:cs="Arial"/>
        </w:rPr>
      </w:pPr>
      <w:r w:rsidRPr="00441F41">
        <w:rPr>
          <w:rFonts w:ascii="Arial" w:hAnsi="Arial" w:cs="Arial"/>
        </w:rPr>
        <w:t>Tallman (1990) “Managing across borders: The transnational solution,” Journal of international business studies., 21(1).</w:t>
      </w:r>
    </w:p>
    <w:p w14:paraId="4999DAA4" w14:textId="38953B68" w:rsidR="00307BF6" w:rsidRDefault="00307BF6" w:rsidP="00C61A2C">
      <w:pPr>
        <w:spacing w:before="240" w:line="360" w:lineRule="auto"/>
        <w:jc w:val="both"/>
        <w:rPr>
          <w:rFonts w:ascii="Arial" w:hAnsi="Arial" w:cs="Arial"/>
        </w:rPr>
      </w:pPr>
      <w:r>
        <w:rPr>
          <w:rFonts w:ascii="Arial" w:hAnsi="Arial" w:cs="Arial"/>
        </w:rPr>
        <w:lastRenderedPageBreak/>
        <w:t>Trading Econ</w:t>
      </w:r>
      <w:r w:rsidR="00340167">
        <w:rPr>
          <w:rFonts w:ascii="Arial" w:hAnsi="Arial" w:cs="Arial"/>
        </w:rPr>
        <w:t xml:space="preserve">omics (2026) </w:t>
      </w:r>
      <w:r w:rsidR="0083423B">
        <w:rPr>
          <w:rFonts w:ascii="Arial" w:hAnsi="Arial" w:cs="Arial"/>
        </w:rPr>
        <w:t>“</w:t>
      </w:r>
      <w:r w:rsidR="00340167">
        <w:rPr>
          <w:rFonts w:ascii="Arial" w:hAnsi="Arial" w:cs="Arial"/>
        </w:rPr>
        <w:t>Germany Gross Mini</w:t>
      </w:r>
      <w:r w:rsidR="0083423B">
        <w:rPr>
          <w:rFonts w:ascii="Arial" w:hAnsi="Arial" w:cs="Arial"/>
        </w:rPr>
        <w:t xml:space="preserve">mum Wage” Available at: </w:t>
      </w:r>
      <w:hyperlink r:id="rId39" w:history="1">
        <w:r w:rsidR="00D72E37" w:rsidRPr="003D2CBA">
          <w:rPr>
            <w:rStyle w:val="Hyperlink"/>
            <w:rFonts w:ascii="Arial" w:hAnsi="Arial" w:cs="Arial"/>
          </w:rPr>
          <w:t>https://tradingeconomics.com/germany/minimum-wages</w:t>
        </w:r>
      </w:hyperlink>
      <w:r w:rsidR="00D72E37">
        <w:rPr>
          <w:rFonts w:ascii="Arial" w:hAnsi="Arial" w:cs="Arial"/>
        </w:rPr>
        <w:t>. Accessed 24 July 2026</w:t>
      </w:r>
    </w:p>
    <w:p w14:paraId="1893323E" w14:textId="3E183E90" w:rsidR="00010B7E" w:rsidRDefault="00010B7E" w:rsidP="00010B7E">
      <w:pPr>
        <w:spacing w:before="240" w:line="360" w:lineRule="auto"/>
        <w:jc w:val="both"/>
        <w:rPr>
          <w:rFonts w:ascii="Arial" w:hAnsi="Arial" w:cs="Arial"/>
        </w:rPr>
      </w:pPr>
      <w:r w:rsidRPr="00010B7E">
        <w:rPr>
          <w:rFonts w:ascii="Arial" w:hAnsi="Arial" w:cs="Arial"/>
        </w:rPr>
        <w:t xml:space="preserve">Vicentini, M.S. et al. (2026) “Allergen regulations for non-prepacked foods in the food service sector: A global scoping review,” Food policy., 140. Available at: </w:t>
      </w:r>
      <w:hyperlink r:id="rId40" w:history="1">
        <w:r w:rsidRPr="003D2CBA">
          <w:rPr>
            <w:rStyle w:val="Hyperlink"/>
            <w:rFonts w:ascii="Arial" w:hAnsi="Arial" w:cs="Arial"/>
          </w:rPr>
          <w:t>https://doi.org/10.1016/j.foodpol.2026.103083</w:t>
        </w:r>
      </w:hyperlink>
      <w:r w:rsidRPr="00010B7E">
        <w:rPr>
          <w:rFonts w:ascii="Arial" w:hAnsi="Arial" w:cs="Arial"/>
        </w:rPr>
        <w:t>.</w:t>
      </w:r>
      <w:r>
        <w:rPr>
          <w:rFonts w:ascii="Arial" w:hAnsi="Arial" w:cs="Arial"/>
        </w:rPr>
        <w:t xml:space="preserve"> Accessed 25 July 2026</w:t>
      </w:r>
    </w:p>
    <w:p w14:paraId="3E39FC56" w14:textId="28A0F11C" w:rsidR="00AC707B" w:rsidRDefault="00AC707B" w:rsidP="00AC707B">
      <w:pPr>
        <w:spacing w:before="240" w:line="360" w:lineRule="auto"/>
        <w:jc w:val="both"/>
        <w:rPr>
          <w:rFonts w:ascii="Arial" w:hAnsi="Arial" w:cs="Arial"/>
        </w:rPr>
      </w:pPr>
      <w:r w:rsidRPr="00AC707B">
        <w:rPr>
          <w:rFonts w:ascii="Arial" w:hAnsi="Arial" w:cs="Arial"/>
        </w:rPr>
        <w:t xml:space="preserve">Wohlgemuth, M. (1999) “Entry Barriers in Politics, or: Why Politics, Like Natural Monopoly, Is Not Organised as an Ongoing Market-Process,” The review of Austrian economics., 12(2), pp. 175–200. Available at: </w:t>
      </w:r>
      <w:hyperlink r:id="rId41" w:history="1">
        <w:r w:rsidRPr="003D2CBA">
          <w:rPr>
            <w:rStyle w:val="Hyperlink"/>
            <w:rFonts w:ascii="Arial" w:hAnsi="Arial" w:cs="Arial"/>
          </w:rPr>
          <w:t>https://doi.org/10.1023/A:1007816209593</w:t>
        </w:r>
      </w:hyperlink>
      <w:r w:rsidRPr="00AC707B">
        <w:rPr>
          <w:rFonts w:ascii="Arial" w:hAnsi="Arial" w:cs="Arial"/>
        </w:rPr>
        <w:t>.</w:t>
      </w:r>
      <w:r>
        <w:rPr>
          <w:rFonts w:ascii="Arial" w:hAnsi="Arial" w:cs="Arial"/>
        </w:rPr>
        <w:t xml:space="preserve"> Accessed 24</w:t>
      </w:r>
      <w:r w:rsidR="009510C6">
        <w:rPr>
          <w:rFonts w:ascii="Arial" w:hAnsi="Arial" w:cs="Arial"/>
        </w:rPr>
        <w:t xml:space="preserve"> July 2026</w:t>
      </w:r>
    </w:p>
    <w:p w14:paraId="77C1A8E5" w14:textId="65E3CFEE" w:rsidR="00040F83" w:rsidRPr="00441F41" w:rsidRDefault="00040F83" w:rsidP="00AC707B">
      <w:pPr>
        <w:spacing w:before="240" w:line="360" w:lineRule="auto"/>
        <w:jc w:val="both"/>
        <w:rPr>
          <w:rFonts w:ascii="Arial" w:hAnsi="Arial" w:cs="Arial"/>
        </w:rPr>
      </w:pPr>
      <w:r w:rsidRPr="00040F83">
        <w:rPr>
          <w:rFonts w:ascii="Arial" w:hAnsi="Arial" w:cs="Arial"/>
        </w:rPr>
        <w:t xml:space="preserve">Yang, G. and Maskus, K.E. (2001) “Intellectual property rights and licensing: An econometric investigation,” Review of world economics = Weltwirtschaftliches Archiv /, 137(1), pp. 58–79. Available at: </w:t>
      </w:r>
      <w:hyperlink r:id="rId42" w:history="1">
        <w:r w:rsidRPr="000C5DBE">
          <w:rPr>
            <w:rStyle w:val="Hyperlink"/>
            <w:rFonts w:ascii="Arial" w:hAnsi="Arial" w:cs="Arial"/>
          </w:rPr>
          <w:t>https://doi.org/10.1007/BF02707600</w:t>
        </w:r>
      </w:hyperlink>
      <w:r w:rsidRPr="00040F83">
        <w:rPr>
          <w:rFonts w:ascii="Arial" w:hAnsi="Arial" w:cs="Arial"/>
        </w:rPr>
        <w:t>.</w:t>
      </w:r>
      <w:r>
        <w:rPr>
          <w:rFonts w:ascii="Arial" w:hAnsi="Arial" w:cs="Arial"/>
        </w:rPr>
        <w:t xml:space="preserve"> Accessed 2</w:t>
      </w:r>
      <w:r w:rsidR="00AF2B87">
        <w:rPr>
          <w:rFonts w:ascii="Arial" w:hAnsi="Arial" w:cs="Arial"/>
        </w:rPr>
        <w:t>6 July 2026</w:t>
      </w:r>
    </w:p>
    <w:sectPr w:rsidR="00040F83" w:rsidRPr="00441F41">
      <w:footerReference w:type="default" r:id="rId4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7AFA55" w14:textId="77777777" w:rsidR="00DC2642" w:rsidRDefault="00DC2642">
      <w:pPr>
        <w:spacing w:after="0" w:line="240" w:lineRule="auto"/>
      </w:pPr>
      <w:r>
        <w:separator/>
      </w:r>
    </w:p>
  </w:endnote>
  <w:endnote w:type="continuationSeparator" w:id="0">
    <w:p w14:paraId="6C4055E6" w14:textId="77777777" w:rsidR="00DC2642" w:rsidRDefault="00DC2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3A5F5" w14:textId="77777777" w:rsidR="007110F7" w:rsidRDefault="00DD6D84">
    <w:pPr>
      <w:pStyle w:val="Footer"/>
      <w:jc w:val="center"/>
    </w:pPr>
    <w:r>
      <w:fldChar w:fldCharType="begin"/>
    </w:r>
    <w:r>
      <w:instrText xml:space="preserve"> PAGE </w:instrText>
    </w:r>
    <w:r>
      <w:fldChar w:fldCharType="separate"/>
    </w:r>
    <w:r>
      <w:t>2</w:t>
    </w:r>
    <w:r>
      <w:fldChar w:fldCharType="end"/>
    </w:r>
  </w:p>
  <w:p w14:paraId="0733A5F6" w14:textId="77777777" w:rsidR="007110F7" w:rsidRDefault="007110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E9DDB" w14:textId="77777777" w:rsidR="00DC2642" w:rsidRDefault="00DC2642">
      <w:pPr>
        <w:spacing w:after="0" w:line="240" w:lineRule="auto"/>
      </w:pPr>
      <w:r>
        <w:rPr>
          <w:color w:val="000000"/>
        </w:rPr>
        <w:separator/>
      </w:r>
    </w:p>
  </w:footnote>
  <w:footnote w:type="continuationSeparator" w:id="0">
    <w:p w14:paraId="0C82502C" w14:textId="77777777" w:rsidR="00DC2642" w:rsidRDefault="00DC26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F2169A"/>
    <w:multiLevelType w:val="hybridMultilevel"/>
    <w:tmpl w:val="A65E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98676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3556"/>
    <w:rsid w:val="000102E3"/>
    <w:rsid w:val="00010B7E"/>
    <w:rsid w:val="00014E83"/>
    <w:rsid w:val="0001579D"/>
    <w:rsid w:val="00020E66"/>
    <w:rsid w:val="00040F83"/>
    <w:rsid w:val="00047B2D"/>
    <w:rsid w:val="00051D71"/>
    <w:rsid w:val="000963E5"/>
    <w:rsid w:val="000A39A8"/>
    <w:rsid w:val="000A5077"/>
    <w:rsid w:val="000B1B3C"/>
    <w:rsid w:val="000C1874"/>
    <w:rsid w:val="000C1C0F"/>
    <w:rsid w:val="000D79FB"/>
    <w:rsid w:val="00105677"/>
    <w:rsid w:val="00106A00"/>
    <w:rsid w:val="0011406D"/>
    <w:rsid w:val="00135FEF"/>
    <w:rsid w:val="001431DB"/>
    <w:rsid w:val="001520DC"/>
    <w:rsid w:val="00164AA2"/>
    <w:rsid w:val="00166CFB"/>
    <w:rsid w:val="0018514B"/>
    <w:rsid w:val="0019596A"/>
    <w:rsid w:val="001B0751"/>
    <w:rsid w:val="001B479A"/>
    <w:rsid w:val="001D37C0"/>
    <w:rsid w:val="001F7CD4"/>
    <w:rsid w:val="00215020"/>
    <w:rsid w:val="002306AA"/>
    <w:rsid w:val="002320CA"/>
    <w:rsid w:val="00233DD9"/>
    <w:rsid w:val="00245568"/>
    <w:rsid w:val="00261C23"/>
    <w:rsid w:val="00280FAF"/>
    <w:rsid w:val="00281029"/>
    <w:rsid w:val="00287A4D"/>
    <w:rsid w:val="002911AB"/>
    <w:rsid w:val="002C41C9"/>
    <w:rsid w:val="002E7CF8"/>
    <w:rsid w:val="00306AFB"/>
    <w:rsid w:val="00307BF6"/>
    <w:rsid w:val="00333A3A"/>
    <w:rsid w:val="00340167"/>
    <w:rsid w:val="00352BF1"/>
    <w:rsid w:val="00360DEF"/>
    <w:rsid w:val="003653F9"/>
    <w:rsid w:val="00370413"/>
    <w:rsid w:val="003977F4"/>
    <w:rsid w:val="003B72D5"/>
    <w:rsid w:val="003C3CD0"/>
    <w:rsid w:val="003D3605"/>
    <w:rsid w:val="003F0A4E"/>
    <w:rsid w:val="00400605"/>
    <w:rsid w:val="004045A5"/>
    <w:rsid w:val="0041713D"/>
    <w:rsid w:val="004204FB"/>
    <w:rsid w:val="00420757"/>
    <w:rsid w:val="00432D38"/>
    <w:rsid w:val="00434BB0"/>
    <w:rsid w:val="004360DB"/>
    <w:rsid w:val="00441F41"/>
    <w:rsid w:val="00445C3D"/>
    <w:rsid w:val="00445C68"/>
    <w:rsid w:val="00447C5E"/>
    <w:rsid w:val="004636AB"/>
    <w:rsid w:val="00475C25"/>
    <w:rsid w:val="00476BA9"/>
    <w:rsid w:val="004837BB"/>
    <w:rsid w:val="00487AD4"/>
    <w:rsid w:val="00494E27"/>
    <w:rsid w:val="0049579C"/>
    <w:rsid w:val="004A44A9"/>
    <w:rsid w:val="004A7B6E"/>
    <w:rsid w:val="004C135B"/>
    <w:rsid w:val="004C47E4"/>
    <w:rsid w:val="004D3FD0"/>
    <w:rsid w:val="004D78FF"/>
    <w:rsid w:val="004E08BE"/>
    <w:rsid w:val="004F457A"/>
    <w:rsid w:val="004F7B16"/>
    <w:rsid w:val="00526E7B"/>
    <w:rsid w:val="00532F43"/>
    <w:rsid w:val="00532FEC"/>
    <w:rsid w:val="00541B00"/>
    <w:rsid w:val="0057396F"/>
    <w:rsid w:val="005A6C39"/>
    <w:rsid w:val="005B45B1"/>
    <w:rsid w:val="005C7FFC"/>
    <w:rsid w:val="005F63DF"/>
    <w:rsid w:val="006027B5"/>
    <w:rsid w:val="0063603E"/>
    <w:rsid w:val="00660A29"/>
    <w:rsid w:val="006764E8"/>
    <w:rsid w:val="006808E3"/>
    <w:rsid w:val="00685668"/>
    <w:rsid w:val="00692911"/>
    <w:rsid w:val="006A2011"/>
    <w:rsid w:val="006B2602"/>
    <w:rsid w:val="006B4E21"/>
    <w:rsid w:val="006B6375"/>
    <w:rsid w:val="00700775"/>
    <w:rsid w:val="00705754"/>
    <w:rsid w:val="00710C68"/>
    <w:rsid w:val="007110F7"/>
    <w:rsid w:val="00724056"/>
    <w:rsid w:val="00725646"/>
    <w:rsid w:val="0073258F"/>
    <w:rsid w:val="007535E5"/>
    <w:rsid w:val="00757BCF"/>
    <w:rsid w:val="007662D3"/>
    <w:rsid w:val="007777C9"/>
    <w:rsid w:val="007971EC"/>
    <w:rsid w:val="007A22B5"/>
    <w:rsid w:val="007A2C1B"/>
    <w:rsid w:val="007A3242"/>
    <w:rsid w:val="007C1831"/>
    <w:rsid w:val="007C3C78"/>
    <w:rsid w:val="007C4F4F"/>
    <w:rsid w:val="007D6A4D"/>
    <w:rsid w:val="007D6C29"/>
    <w:rsid w:val="007E0F34"/>
    <w:rsid w:val="007E2FCC"/>
    <w:rsid w:val="007F0395"/>
    <w:rsid w:val="00804DD6"/>
    <w:rsid w:val="0081482A"/>
    <w:rsid w:val="008217C4"/>
    <w:rsid w:val="00821AE4"/>
    <w:rsid w:val="00822880"/>
    <w:rsid w:val="0083423B"/>
    <w:rsid w:val="008501F7"/>
    <w:rsid w:val="0085390A"/>
    <w:rsid w:val="00856929"/>
    <w:rsid w:val="008573E8"/>
    <w:rsid w:val="00875926"/>
    <w:rsid w:val="00892BAD"/>
    <w:rsid w:val="00895B06"/>
    <w:rsid w:val="008A325A"/>
    <w:rsid w:val="008B336B"/>
    <w:rsid w:val="008B7DF3"/>
    <w:rsid w:val="008C350B"/>
    <w:rsid w:val="008C67D3"/>
    <w:rsid w:val="008D471B"/>
    <w:rsid w:val="008F4644"/>
    <w:rsid w:val="00916A24"/>
    <w:rsid w:val="00922012"/>
    <w:rsid w:val="0093331B"/>
    <w:rsid w:val="009510C6"/>
    <w:rsid w:val="009607D2"/>
    <w:rsid w:val="009617FC"/>
    <w:rsid w:val="0097290E"/>
    <w:rsid w:val="00986705"/>
    <w:rsid w:val="00990016"/>
    <w:rsid w:val="009A4862"/>
    <w:rsid w:val="009E1D86"/>
    <w:rsid w:val="009F0F0C"/>
    <w:rsid w:val="009F21CA"/>
    <w:rsid w:val="00A01596"/>
    <w:rsid w:val="00A21746"/>
    <w:rsid w:val="00A21CFF"/>
    <w:rsid w:val="00A24063"/>
    <w:rsid w:val="00A310C6"/>
    <w:rsid w:val="00A55339"/>
    <w:rsid w:val="00A70BB6"/>
    <w:rsid w:val="00A81A2C"/>
    <w:rsid w:val="00A9428C"/>
    <w:rsid w:val="00AB0397"/>
    <w:rsid w:val="00AB25B3"/>
    <w:rsid w:val="00AB4E9C"/>
    <w:rsid w:val="00AB4FD3"/>
    <w:rsid w:val="00AB5A09"/>
    <w:rsid w:val="00AC2B17"/>
    <w:rsid w:val="00AC4885"/>
    <w:rsid w:val="00AC707B"/>
    <w:rsid w:val="00AF2B87"/>
    <w:rsid w:val="00AF3115"/>
    <w:rsid w:val="00AF3585"/>
    <w:rsid w:val="00B179CE"/>
    <w:rsid w:val="00B2255C"/>
    <w:rsid w:val="00B271F3"/>
    <w:rsid w:val="00B548F2"/>
    <w:rsid w:val="00B61278"/>
    <w:rsid w:val="00B63583"/>
    <w:rsid w:val="00B71758"/>
    <w:rsid w:val="00B72D18"/>
    <w:rsid w:val="00B813FD"/>
    <w:rsid w:val="00B93DED"/>
    <w:rsid w:val="00BB21D4"/>
    <w:rsid w:val="00BC023B"/>
    <w:rsid w:val="00BC2815"/>
    <w:rsid w:val="00BC2A87"/>
    <w:rsid w:val="00BD1D99"/>
    <w:rsid w:val="00BD76FC"/>
    <w:rsid w:val="00BE45BD"/>
    <w:rsid w:val="00BF14FD"/>
    <w:rsid w:val="00C10DF6"/>
    <w:rsid w:val="00C31FBE"/>
    <w:rsid w:val="00C35349"/>
    <w:rsid w:val="00C35610"/>
    <w:rsid w:val="00C50F8F"/>
    <w:rsid w:val="00C54C62"/>
    <w:rsid w:val="00C55A1D"/>
    <w:rsid w:val="00C61A2C"/>
    <w:rsid w:val="00C76D4A"/>
    <w:rsid w:val="00C83FCF"/>
    <w:rsid w:val="00C945BD"/>
    <w:rsid w:val="00CA773C"/>
    <w:rsid w:val="00CB2264"/>
    <w:rsid w:val="00CC325B"/>
    <w:rsid w:val="00CD5284"/>
    <w:rsid w:val="00CE2F67"/>
    <w:rsid w:val="00CF66C3"/>
    <w:rsid w:val="00D04875"/>
    <w:rsid w:val="00D17EF1"/>
    <w:rsid w:val="00D30969"/>
    <w:rsid w:val="00D71AB7"/>
    <w:rsid w:val="00D72E37"/>
    <w:rsid w:val="00D73F33"/>
    <w:rsid w:val="00D745DE"/>
    <w:rsid w:val="00D80E3A"/>
    <w:rsid w:val="00D83FCE"/>
    <w:rsid w:val="00D8503A"/>
    <w:rsid w:val="00DB039B"/>
    <w:rsid w:val="00DB6F01"/>
    <w:rsid w:val="00DC249A"/>
    <w:rsid w:val="00DC2642"/>
    <w:rsid w:val="00DD0C9B"/>
    <w:rsid w:val="00DD4057"/>
    <w:rsid w:val="00DD514E"/>
    <w:rsid w:val="00DD6D84"/>
    <w:rsid w:val="00E06779"/>
    <w:rsid w:val="00E10F46"/>
    <w:rsid w:val="00E168D8"/>
    <w:rsid w:val="00E17658"/>
    <w:rsid w:val="00E45330"/>
    <w:rsid w:val="00E53EBF"/>
    <w:rsid w:val="00E54C9C"/>
    <w:rsid w:val="00E5544A"/>
    <w:rsid w:val="00E55897"/>
    <w:rsid w:val="00E56FDE"/>
    <w:rsid w:val="00E6457B"/>
    <w:rsid w:val="00E71E6E"/>
    <w:rsid w:val="00E84744"/>
    <w:rsid w:val="00EA0FF8"/>
    <w:rsid w:val="00EA6266"/>
    <w:rsid w:val="00EB51E0"/>
    <w:rsid w:val="00EC40EB"/>
    <w:rsid w:val="00EC598F"/>
    <w:rsid w:val="00EC7103"/>
    <w:rsid w:val="00EE1C29"/>
    <w:rsid w:val="00F03556"/>
    <w:rsid w:val="00F04594"/>
    <w:rsid w:val="00F17719"/>
    <w:rsid w:val="00F31EC1"/>
    <w:rsid w:val="00F32604"/>
    <w:rsid w:val="00F452E1"/>
    <w:rsid w:val="00F54145"/>
    <w:rsid w:val="00F54CD6"/>
    <w:rsid w:val="00F65939"/>
    <w:rsid w:val="00F702D9"/>
    <w:rsid w:val="00F82CCF"/>
    <w:rsid w:val="00FA7CF4"/>
    <w:rsid w:val="00FB72F0"/>
    <w:rsid w:val="00FC11C1"/>
    <w:rsid w:val="00FD4A86"/>
    <w:rsid w:val="00FE0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3A5E9"/>
  <w15:docId w15:val="{DE46DCF7-4DCA-4DB7-9223-77D62FB85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rsid w:val="00C31FBE"/>
    <w:pPr>
      <w:keepNext/>
      <w:keepLines/>
      <w:spacing w:before="360" w:after="80"/>
      <w:outlineLvl w:val="0"/>
    </w:pPr>
    <w:rPr>
      <w:rFonts w:ascii="Arial" w:eastAsia="Times New Roman" w:hAnsi="Arial"/>
      <w:b/>
      <w:color w:val="000000" w:themeColor="text1"/>
      <w:szCs w:val="40"/>
      <w:u w:val="single"/>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uiPriority w:val="99"/>
    <w:rPr>
      <w:color w:val="467886"/>
      <w:u w:val="single"/>
    </w:rPr>
  </w:style>
  <w:style w:type="character" w:styleId="UnresolvedMention">
    <w:name w:val="Unresolved Mention"/>
    <w:basedOn w:val="DefaultParagraphFont"/>
    <w:rPr>
      <w:color w:val="605E5C"/>
      <w:shd w:val="clear" w:color="auto" w:fill="E1DFDD"/>
    </w:rPr>
  </w:style>
  <w:style w:type="paragraph" w:styleId="TOCHeading">
    <w:name w:val="TOC Heading"/>
    <w:basedOn w:val="Heading1"/>
    <w:next w:val="Normal"/>
    <w:uiPriority w:val="39"/>
    <w:unhideWhenUsed/>
    <w:qFormat/>
    <w:rsid w:val="00A01596"/>
    <w:pPr>
      <w:suppressAutoHyphens w:val="0"/>
      <w:autoSpaceDN/>
      <w:spacing w:before="240" w:after="0" w:line="259" w:lineRule="auto"/>
      <w:outlineLvl w:val="9"/>
    </w:pPr>
    <w:rPr>
      <w:rFonts w:asciiTheme="majorHAnsi" w:eastAsiaTheme="majorEastAsia" w:hAnsiTheme="majorHAnsi" w:cstheme="majorBidi"/>
      <w:b w:val="0"/>
      <w:color w:val="0F4761" w:themeColor="accent1" w:themeShade="BF"/>
      <w:kern w:val="0"/>
      <w:sz w:val="32"/>
      <w:szCs w:val="32"/>
      <w:u w:val="none"/>
      <w:lang w:val="en-US"/>
    </w:rPr>
  </w:style>
  <w:style w:type="paragraph" w:styleId="TOC1">
    <w:name w:val="toc 1"/>
    <w:basedOn w:val="Normal"/>
    <w:next w:val="Normal"/>
    <w:autoRedefine/>
    <w:uiPriority w:val="39"/>
    <w:unhideWhenUsed/>
    <w:rsid w:val="00A0159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hyperlink" Target="https://doi.org/10.1007/s11365-010-0158-8" TargetMode="External"/><Relationship Id="rId39" Type="http://schemas.openxmlformats.org/officeDocument/2006/relationships/hyperlink" Target="https://tradingeconomics.com/germany/minimum-wages" TargetMode="External"/><Relationship Id="rId21" Type="http://schemas.openxmlformats.org/officeDocument/2006/relationships/diagramLayout" Target="diagrams/layout3.xml"/><Relationship Id="rId34" Type="http://schemas.openxmlformats.org/officeDocument/2006/relationships/hyperlink" Target="https://doi.org/10.1108/15253831211217161" TargetMode="External"/><Relationship Id="rId42" Type="http://schemas.openxmlformats.org/officeDocument/2006/relationships/hyperlink" Target="https://doi.org/10.1007/BF02707600"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Layout" Target="diagrams/layout2.xml"/><Relationship Id="rId29" Type="http://schemas.openxmlformats.org/officeDocument/2006/relationships/hyperlink" Target="https://doi.org/10.1108/1525383X201000010.%20Accessed%2020%20July%20202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hyperlink" Target="https://www.nandos.ae/about-us/our-look" TargetMode="External"/><Relationship Id="rId37" Type="http://schemas.openxmlformats.org/officeDocument/2006/relationships/hyperlink" Target="https://doi.org/10.18843/ijcms/v8i3/07" TargetMode="External"/><Relationship Id="rId40" Type="http://schemas.openxmlformats.org/officeDocument/2006/relationships/hyperlink" Target="https://doi.org/10.1016/j.foodpol.2026.103083"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hyperlink" Target="https://doi.org/10.1108/sd.2008.05624iae.001" TargetMode="External"/><Relationship Id="rId36" Type="http://schemas.openxmlformats.org/officeDocument/2006/relationships/hyperlink" Target="https://doi.org/10.1111/jiec.70079" TargetMode="Externa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hyperlink" Target="https://www.nandosindia.com/eat/recipes/everyday/healthyish"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hyperlink" Target="https://doi.org/10.1111/agec.12865" TargetMode="External"/><Relationship Id="rId30" Type="http://schemas.openxmlformats.org/officeDocument/2006/relationships/hyperlink" Target="https://doi.org/10.1177/0022009413505666" TargetMode="External"/><Relationship Id="rId35" Type="http://schemas.openxmlformats.org/officeDocument/2006/relationships/hyperlink" Target="https://doi.org/10.1016/j.sbspro.2014.01.1385"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hyperlink" Target="https://doi.org/10.1080/13571510110051441" TargetMode="External"/><Relationship Id="rId33" Type="http://schemas.openxmlformats.org/officeDocument/2006/relationships/hyperlink" Target="https://www.nandos.ae/about-us/our-story" TargetMode="External"/><Relationship Id="rId38" Type="http://schemas.openxmlformats.org/officeDocument/2006/relationships/hyperlink" Target="https://doi.org/10.1080/87567555.1987.9925469" TargetMode="External"/><Relationship Id="rId20" Type="http://schemas.openxmlformats.org/officeDocument/2006/relationships/diagramData" Target="diagrams/data3.xml"/><Relationship Id="rId41" Type="http://schemas.openxmlformats.org/officeDocument/2006/relationships/hyperlink" Target="https://doi.org/10.1023/A:1007816209593" TargetMode="External"/></Relationships>
</file>

<file path=word/diagrams/_rels/data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6" Type="http://schemas.openxmlformats.org/officeDocument/2006/relationships/image" Target="../media/image8.svg"/><Relationship Id="rId5" Type="http://schemas.openxmlformats.org/officeDocument/2006/relationships/image" Target="../media/image7.png"/><Relationship Id="rId4" Type="http://schemas.openxmlformats.org/officeDocument/2006/relationships/image" Target="../media/image6.svg"/></Relationships>
</file>

<file path=word/diagrams/_rels/drawing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6" Type="http://schemas.openxmlformats.org/officeDocument/2006/relationships/image" Target="../media/image8.svg"/><Relationship Id="rId5" Type="http://schemas.openxmlformats.org/officeDocument/2006/relationships/image" Target="../media/image7.png"/><Relationship Id="rId4" Type="http://schemas.openxmlformats.org/officeDocument/2006/relationships/image" Target="../media/image6.svg"/></Relationships>
</file>

<file path=word/diagrams/colors1.xml><?xml version="1.0" encoding="utf-8"?>
<dgm:colorsDef xmlns:dgm="http://schemas.openxmlformats.org/drawingml/2006/diagram" xmlns:a="http://schemas.openxmlformats.org/drawingml/2006/main" uniqueId="urn:microsoft.com/office/officeart/2005/8/colors/accent2_3">
  <dgm:title val=""/>
  <dgm:desc val=""/>
  <dgm:catLst>
    <dgm:cat type="accent2" pri="11300"/>
  </dgm:catLst>
  <dgm:styleLbl name="node0">
    <dgm:fillClrLst meth="repeat">
      <a:schemeClr val="accent2">
        <a:shade val="80000"/>
      </a:schemeClr>
    </dgm:fillClrLst>
    <dgm:linClrLst meth="repeat">
      <a:schemeClr val="lt1"/>
    </dgm:linClrLst>
    <dgm:effectClrLst/>
    <dgm:txLinClrLst/>
    <dgm:txFillClrLst/>
    <dgm:txEffectClrLst/>
  </dgm:styleLbl>
  <dgm:styleLbl name="node1">
    <dgm:fillClrLst>
      <a:schemeClr val="accent2">
        <a:shade val="80000"/>
      </a:schemeClr>
      <a:schemeClr val="accent2">
        <a:tint val="70000"/>
      </a:schemeClr>
    </dgm:fillClrLst>
    <dgm:linClrLst meth="repeat">
      <a:schemeClr val="lt1"/>
    </dgm:linClrLst>
    <dgm:effectClrLst/>
    <dgm:txLinClrLst/>
    <dgm:txFillClrLst/>
    <dgm:txEffectClrLst/>
  </dgm:styleLbl>
  <dgm:styleLbl name="alignNode1">
    <dgm:fillClrLst>
      <a:schemeClr val="accent2">
        <a:shade val="80000"/>
      </a:schemeClr>
      <a:schemeClr val="accent2">
        <a:tint val="70000"/>
      </a:schemeClr>
    </dgm:fillClrLst>
    <dgm:linClrLst>
      <a:schemeClr val="accent2">
        <a:shade val="80000"/>
      </a:schemeClr>
      <a:schemeClr val="accent2">
        <a:tint val="70000"/>
      </a:schemeClr>
    </dgm:linClrLst>
    <dgm:effectClrLst/>
    <dgm:txLinClrLst/>
    <dgm:txFillClrLst/>
    <dgm:txEffectClrLst/>
  </dgm:styleLbl>
  <dgm:styleLbl name="lnNode1">
    <dgm:fillClrLst>
      <a:schemeClr val="accent2">
        <a:shade val="80000"/>
      </a:schemeClr>
      <a:schemeClr val="accent2">
        <a:tint val="7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tint val="70000"/>
        <a:alpha val="50000"/>
      </a:schemeClr>
    </dgm:fillClrLst>
    <dgm:linClrLst meth="repeat">
      <a:schemeClr val="lt1"/>
    </dgm:linClrLst>
    <dgm:effectClrLst/>
    <dgm:txLinClrLst/>
    <dgm:txFillClrLst/>
    <dgm:txEffectClrLst/>
  </dgm:styleLbl>
  <dgm:styleLbl name="node2">
    <dgm:fillClrLst>
      <a:schemeClr val="accent2">
        <a:tint val="99000"/>
      </a:schemeClr>
    </dgm:fillClrLst>
    <dgm:linClrLst meth="repeat">
      <a:schemeClr val="lt1"/>
    </dgm:linClrLst>
    <dgm:effectClrLst/>
    <dgm:txLinClrLst/>
    <dgm:txFillClrLst/>
    <dgm:txEffectClrLst/>
  </dgm:styleLbl>
  <dgm:styleLbl name="node3">
    <dgm:fillClrLst>
      <a:schemeClr val="accent2">
        <a:tint val="80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dgm:txEffectClrLst/>
  </dgm:styleLbl>
  <dgm:styleLbl name="f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b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sibTrans1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9000"/>
      </a:schemeClr>
    </dgm:fillClrLst>
    <dgm:linClrLst meth="repeat">
      <a:schemeClr val="lt1"/>
    </dgm:linClrLst>
    <dgm:effectClrLst/>
    <dgm:txLinClrLst/>
    <dgm:txFillClrLst/>
    <dgm:txEffectClrLst/>
  </dgm:styleLbl>
  <dgm:styleLbl name="asst3">
    <dgm:fillClrLst>
      <a:schemeClr val="accent2">
        <a:tint val="80000"/>
      </a:schemeClr>
    </dgm:fillClrLst>
    <dgm:linClrLst meth="repeat">
      <a:schemeClr val="lt1"/>
    </dgm:linClrLst>
    <dgm:effectClrLst/>
    <dgm:txLinClrLst/>
    <dgm:txFillClrLst/>
    <dgm:txEffectClrLst/>
  </dgm:styleLbl>
  <dgm:styleLbl name="asst4">
    <dgm:fillClrLst>
      <a:schemeClr val="accent2">
        <a:tint val="7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lt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9000"/>
      </a:schemeClr>
    </dgm:fillClrLst>
    <dgm:linClrLst meth="repeat">
      <a:schemeClr val="accent2">
        <a:tint val="99000"/>
      </a:schemeClr>
    </dgm:linClrLst>
    <dgm:effectClrLst/>
    <dgm:txLinClrLst/>
    <dgm:txFillClrLst meth="repeat">
      <a:schemeClr val="tx1"/>
    </dgm:txFillClrLst>
    <dgm:txEffectClrLst/>
  </dgm:styleLbl>
  <dgm:styleLbl name="parChTrans1D3">
    <dgm:fillClrLst meth="repeat">
      <a:schemeClr val="accent2">
        <a:tint val="80000"/>
      </a:schemeClr>
    </dgm:fillClrLst>
    <dgm:linClrLst meth="repeat">
      <a:schemeClr val="accent2">
        <a:tint val="80000"/>
      </a:schemeClr>
    </dgm:linClrLst>
    <dgm:effectClrLst/>
    <dgm:txLinClrLst/>
    <dgm:txFillClrLst meth="repeat">
      <a:schemeClr val="tx1"/>
    </dgm:txFillClrLst>
    <dgm:txEffectClrLst/>
  </dgm:styleLbl>
  <dgm:styleLbl name="parChTrans1D4">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41BC717-F920-4E33-A95F-6F93A1304A4C}" type="doc">
      <dgm:prSet loTypeId="urn:microsoft.com/office/officeart/2005/8/layout/matrix3" loCatId="matrix" qsTypeId="urn:microsoft.com/office/officeart/2005/8/quickstyle/simple1" qsCatId="simple" csTypeId="urn:microsoft.com/office/officeart/2005/8/colors/accent2_3" csCatId="accent2" phldr="1"/>
      <dgm:spPr/>
      <dgm:t>
        <a:bodyPr/>
        <a:lstStyle/>
        <a:p>
          <a:endParaRPr lang="en-GB"/>
        </a:p>
      </dgm:t>
    </dgm:pt>
    <dgm:pt modelId="{988DC1EF-DF61-42DE-A61E-501A5F20CC5E}">
      <dgm:prSet phldrT="[Text]"/>
      <dgm:spPr/>
      <dgm:t>
        <a:bodyPr/>
        <a:lstStyle/>
        <a:p>
          <a:r>
            <a:rPr lang="en-GB"/>
            <a:t>Global</a:t>
          </a:r>
        </a:p>
      </dgm:t>
    </dgm:pt>
    <dgm:pt modelId="{91CC9035-4E6D-4860-9FA3-96D45745A19E}" type="parTrans" cxnId="{E41DE941-FFD5-42B2-A21B-F3A918C8063E}">
      <dgm:prSet/>
      <dgm:spPr/>
      <dgm:t>
        <a:bodyPr/>
        <a:lstStyle/>
        <a:p>
          <a:endParaRPr lang="en-GB"/>
        </a:p>
      </dgm:t>
    </dgm:pt>
    <dgm:pt modelId="{2A4E0F7D-BA7D-4DE1-8C73-957E77B6DF60}" type="sibTrans" cxnId="{E41DE941-FFD5-42B2-A21B-F3A918C8063E}">
      <dgm:prSet/>
      <dgm:spPr/>
      <dgm:t>
        <a:bodyPr/>
        <a:lstStyle/>
        <a:p>
          <a:endParaRPr lang="en-GB"/>
        </a:p>
      </dgm:t>
    </dgm:pt>
    <dgm:pt modelId="{68D05E1D-C394-411B-B6F5-5994860645B7}">
      <dgm:prSet phldrT="[Text]"/>
      <dgm:spPr/>
      <dgm:t>
        <a:bodyPr/>
        <a:lstStyle/>
        <a:p>
          <a:r>
            <a:rPr lang="en-GB"/>
            <a:t>Transnational</a:t>
          </a:r>
        </a:p>
      </dgm:t>
    </dgm:pt>
    <dgm:pt modelId="{1AC69711-918E-4B3F-BEA6-FC704CB4CF56}" type="parTrans" cxnId="{7018D77C-E17F-4EFF-B2DC-9A7ECEE0EDE1}">
      <dgm:prSet/>
      <dgm:spPr/>
      <dgm:t>
        <a:bodyPr/>
        <a:lstStyle/>
        <a:p>
          <a:endParaRPr lang="en-GB"/>
        </a:p>
      </dgm:t>
    </dgm:pt>
    <dgm:pt modelId="{20571335-02F3-48F8-A819-21F4DE53B7A8}" type="sibTrans" cxnId="{7018D77C-E17F-4EFF-B2DC-9A7ECEE0EDE1}">
      <dgm:prSet/>
      <dgm:spPr/>
      <dgm:t>
        <a:bodyPr/>
        <a:lstStyle/>
        <a:p>
          <a:endParaRPr lang="en-GB"/>
        </a:p>
      </dgm:t>
    </dgm:pt>
    <dgm:pt modelId="{A5EDC330-5D25-482E-AA39-CC191CB31F2D}">
      <dgm:prSet phldrT="[Text]"/>
      <dgm:spPr/>
      <dgm:t>
        <a:bodyPr/>
        <a:lstStyle/>
        <a:p>
          <a:r>
            <a:rPr lang="en-GB"/>
            <a:t>International</a:t>
          </a:r>
        </a:p>
      </dgm:t>
    </dgm:pt>
    <dgm:pt modelId="{73D65EE8-EB0E-492B-A17E-C77B52E1E864}" type="parTrans" cxnId="{387452E3-A3D5-45A1-A87C-994252038472}">
      <dgm:prSet/>
      <dgm:spPr/>
      <dgm:t>
        <a:bodyPr/>
        <a:lstStyle/>
        <a:p>
          <a:endParaRPr lang="en-GB"/>
        </a:p>
      </dgm:t>
    </dgm:pt>
    <dgm:pt modelId="{C1020D02-6F36-4C61-ADF2-28CF71E11878}" type="sibTrans" cxnId="{387452E3-A3D5-45A1-A87C-994252038472}">
      <dgm:prSet/>
      <dgm:spPr/>
      <dgm:t>
        <a:bodyPr/>
        <a:lstStyle/>
        <a:p>
          <a:endParaRPr lang="en-GB"/>
        </a:p>
      </dgm:t>
    </dgm:pt>
    <dgm:pt modelId="{F79AE25A-2511-440D-AECF-C3CFF7C5398A}">
      <dgm:prSet phldrT="[Text]"/>
      <dgm:spPr/>
      <dgm:t>
        <a:bodyPr/>
        <a:lstStyle/>
        <a:p>
          <a:r>
            <a:rPr lang="en-GB"/>
            <a:t>Multinational</a:t>
          </a:r>
        </a:p>
      </dgm:t>
    </dgm:pt>
    <dgm:pt modelId="{AE9113E3-BE9B-422C-A7FF-3778D66C6051}" type="parTrans" cxnId="{0F0BAA8D-0A3A-4A18-9F0A-C3E3882D5E8B}">
      <dgm:prSet/>
      <dgm:spPr/>
      <dgm:t>
        <a:bodyPr/>
        <a:lstStyle/>
        <a:p>
          <a:endParaRPr lang="en-GB"/>
        </a:p>
      </dgm:t>
    </dgm:pt>
    <dgm:pt modelId="{4BF21DA5-B976-4093-8650-77BC6A0E322A}" type="sibTrans" cxnId="{0F0BAA8D-0A3A-4A18-9F0A-C3E3882D5E8B}">
      <dgm:prSet/>
      <dgm:spPr/>
      <dgm:t>
        <a:bodyPr/>
        <a:lstStyle/>
        <a:p>
          <a:endParaRPr lang="en-GB"/>
        </a:p>
      </dgm:t>
    </dgm:pt>
    <dgm:pt modelId="{A345E0DE-9991-4C35-926B-D2A5D4799646}" type="pres">
      <dgm:prSet presAssocID="{E41BC717-F920-4E33-A95F-6F93A1304A4C}" presName="matrix" presStyleCnt="0">
        <dgm:presLayoutVars>
          <dgm:chMax val="1"/>
          <dgm:dir/>
          <dgm:resizeHandles val="exact"/>
        </dgm:presLayoutVars>
      </dgm:prSet>
      <dgm:spPr/>
    </dgm:pt>
    <dgm:pt modelId="{E0B17CC2-96FC-4F23-8A82-C8AEAF2A88E0}" type="pres">
      <dgm:prSet presAssocID="{E41BC717-F920-4E33-A95F-6F93A1304A4C}" presName="diamond" presStyleLbl="bgShp" presStyleIdx="0" presStyleCnt="1"/>
      <dgm:spPr/>
    </dgm:pt>
    <dgm:pt modelId="{BA8F08C2-F883-4B51-BB48-D61A11748CD1}" type="pres">
      <dgm:prSet presAssocID="{E41BC717-F920-4E33-A95F-6F93A1304A4C}" presName="quad1" presStyleLbl="node1" presStyleIdx="0" presStyleCnt="4">
        <dgm:presLayoutVars>
          <dgm:chMax val="0"/>
          <dgm:chPref val="0"/>
          <dgm:bulletEnabled val="1"/>
        </dgm:presLayoutVars>
      </dgm:prSet>
      <dgm:spPr/>
    </dgm:pt>
    <dgm:pt modelId="{E03B97D9-5838-47A9-949A-EE5A31FF97C1}" type="pres">
      <dgm:prSet presAssocID="{E41BC717-F920-4E33-A95F-6F93A1304A4C}" presName="quad2" presStyleLbl="node1" presStyleIdx="1" presStyleCnt="4">
        <dgm:presLayoutVars>
          <dgm:chMax val="0"/>
          <dgm:chPref val="0"/>
          <dgm:bulletEnabled val="1"/>
        </dgm:presLayoutVars>
      </dgm:prSet>
      <dgm:spPr/>
    </dgm:pt>
    <dgm:pt modelId="{A069CC24-D57B-4C49-839B-A09C2A505AF1}" type="pres">
      <dgm:prSet presAssocID="{E41BC717-F920-4E33-A95F-6F93A1304A4C}" presName="quad3" presStyleLbl="node1" presStyleIdx="2" presStyleCnt="4">
        <dgm:presLayoutVars>
          <dgm:chMax val="0"/>
          <dgm:chPref val="0"/>
          <dgm:bulletEnabled val="1"/>
        </dgm:presLayoutVars>
      </dgm:prSet>
      <dgm:spPr/>
    </dgm:pt>
    <dgm:pt modelId="{0F3284A9-445E-4335-A7DB-693F07853069}" type="pres">
      <dgm:prSet presAssocID="{E41BC717-F920-4E33-A95F-6F93A1304A4C}" presName="quad4" presStyleLbl="node1" presStyleIdx="3" presStyleCnt="4">
        <dgm:presLayoutVars>
          <dgm:chMax val="0"/>
          <dgm:chPref val="0"/>
          <dgm:bulletEnabled val="1"/>
        </dgm:presLayoutVars>
      </dgm:prSet>
      <dgm:spPr/>
    </dgm:pt>
  </dgm:ptLst>
  <dgm:cxnLst>
    <dgm:cxn modelId="{E41DE941-FFD5-42B2-A21B-F3A918C8063E}" srcId="{E41BC717-F920-4E33-A95F-6F93A1304A4C}" destId="{988DC1EF-DF61-42DE-A61E-501A5F20CC5E}" srcOrd="0" destOrd="0" parTransId="{91CC9035-4E6D-4860-9FA3-96D45745A19E}" sibTransId="{2A4E0F7D-BA7D-4DE1-8C73-957E77B6DF60}"/>
    <dgm:cxn modelId="{2AA03372-9330-449D-A501-35351BB9C0C0}" type="presOf" srcId="{68D05E1D-C394-411B-B6F5-5994860645B7}" destId="{E03B97D9-5838-47A9-949A-EE5A31FF97C1}" srcOrd="0" destOrd="0" presId="urn:microsoft.com/office/officeart/2005/8/layout/matrix3"/>
    <dgm:cxn modelId="{7018D77C-E17F-4EFF-B2DC-9A7ECEE0EDE1}" srcId="{E41BC717-F920-4E33-A95F-6F93A1304A4C}" destId="{68D05E1D-C394-411B-B6F5-5994860645B7}" srcOrd="1" destOrd="0" parTransId="{1AC69711-918E-4B3F-BEA6-FC704CB4CF56}" sibTransId="{20571335-02F3-48F8-A819-21F4DE53B7A8}"/>
    <dgm:cxn modelId="{AB893F7F-8FF2-41C0-997C-D17C0AD4A0E9}" type="presOf" srcId="{E41BC717-F920-4E33-A95F-6F93A1304A4C}" destId="{A345E0DE-9991-4C35-926B-D2A5D4799646}" srcOrd="0" destOrd="0" presId="urn:microsoft.com/office/officeart/2005/8/layout/matrix3"/>
    <dgm:cxn modelId="{0F0BAA8D-0A3A-4A18-9F0A-C3E3882D5E8B}" srcId="{E41BC717-F920-4E33-A95F-6F93A1304A4C}" destId="{F79AE25A-2511-440D-AECF-C3CFF7C5398A}" srcOrd="3" destOrd="0" parTransId="{AE9113E3-BE9B-422C-A7FF-3778D66C6051}" sibTransId="{4BF21DA5-B976-4093-8650-77BC6A0E322A}"/>
    <dgm:cxn modelId="{DFFBC1A4-073E-4924-BB70-6C6A49FD212F}" type="presOf" srcId="{988DC1EF-DF61-42DE-A61E-501A5F20CC5E}" destId="{BA8F08C2-F883-4B51-BB48-D61A11748CD1}" srcOrd="0" destOrd="0" presId="urn:microsoft.com/office/officeart/2005/8/layout/matrix3"/>
    <dgm:cxn modelId="{B17D12AD-EF2F-4884-B066-3AD434975059}" type="presOf" srcId="{F79AE25A-2511-440D-AECF-C3CFF7C5398A}" destId="{0F3284A9-445E-4335-A7DB-693F07853069}" srcOrd="0" destOrd="0" presId="urn:microsoft.com/office/officeart/2005/8/layout/matrix3"/>
    <dgm:cxn modelId="{4F1A17C2-9812-4C07-BFAF-6ECF36678C05}" type="presOf" srcId="{A5EDC330-5D25-482E-AA39-CC191CB31F2D}" destId="{A069CC24-D57B-4C49-839B-A09C2A505AF1}" srcOrd="0" destOrd="0" presId="urn:microsoft.com/office/officeart/2005/8/layout/matrix3"/>
    <dgm:cxn modelId="{387452E3-A3D5-45A1-A87C-994252038472}" srcId="{E41BC717-F920-4E33-A95F-6F93A1304A4C}" destId="{A5EDC330-5D25-482E-AA39-CC191CB31F2D}" srcOrd="2" destOrd="0" parTransId="{73D65EE8-EB0E-492B-A17E-C77B52E1E864}" sibTransId="{C1020D02-6F36-4C61-ADF2-28CF71E11878}"/>
    <dgm:cxn modelId="{E7687669-914B-4651-9E31-8D10DB51D9AF}" type="presParOf" srcId="{A345E0DE-9991-4C35-926B-D2A5D4799646}" destId="{E0B17CC2-96FC-4F23-8A82-C8AEAF2A88E0}" srcOrd="0" destOrd="0" presId="urn:microsoft.com/office/officeart/2005/8/layout/matrix3"/>
    <dgm:cxn modelId="{C16DD288-C677-491F-84B9-F0598F901BF2}" type="presParOf" srcId="{A345E0DE-9991-4C35-926B-D2A5D4799646}" destId="{BA8F08C2-F883-4B51-BB48-D61A11748CD1}" srcOrd="1" destOrd="0" presId="urn:microsoft.com/office/officeart/2005/8/layout/matrix3"/>
    <dgm:cxn modelId="{118B0E37-5F3D-4D61-BD4B-B7A391A5C721}" type="presParOf" srcId="{A345E0DE-9991-4C35-926B-D2A5D4799646}" destId="{E03B97D9-5838-47A9-949A-EE5A31FF97C1}" srcOrd="2" destOrd="0" presId="urn:microsoft.com/office/officeart/2005/8/layout/matrix3"/>
    <dgm:cxn modelId="{0091B87D-5BB7-4D79-9FC2-C85964CA5E7B}" type="presParOf" srcId="{A345E0DE-9991-4C35-926B-D2A5D4799646}" destId="{A069CC24-D57B-4C49-839B-A09C2A505AF1}" srcOrd="3" destOrd="0" presId="urn:microsoft.com/office/officeart/2005/8/layout/matrix3"/>
    <dgm:cxn modelId="{41C01FC1-A3E5-458A-8A9D-CB32E3B70F62}" type="presParOf" srcId="{A345E0DE-9991-4C35-926B-D2A5D4799646}" destId="{0F3284A9-445E-4335-A7DB-693F07853069}" srcOrd="4" destOrd="0" presId="urn:microsoft.com/office/officeart/2005/8/layout/matrix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662764C-2F85-4A26-AB80-8A2E81A27035}" type="doc">
      <dgm:prSet loTypeId="urn:microsoft.com/office/officeart/2005/8/layout/vList3" loCatId="list" qsTypeId="urn:microsoft.com/office/officeart/2005/8/quickstyle/simple1" qsCatId="simple" csTypeId="urn:microsoft.com/office/officeart/2005/8/colors/colorful2" csCatId="colorful" phldr="1"/>
      <dgm:spPr/>
      <dgm:t>
        <a:bodyPr/>
        <a:lstStyle/>
        <a:p>
          <a:endParaRPr lang="en-GB"/>
        </a:p>
      </dgm:t>
    </dgm:pt>
    <dgm:pt modelId="{E225944D-872D-4361-A86D-29214A565743}">
      <dgm:prSet phldrT="[Text]" custT="1"/>
      <dgm:spPr/>
      <dgm:t>
        <a:bodyPr/>
        <a:lstStyle/>
        <a:p>
          <a:r>
            <a:rPr lang="en-GB" sz="1200">
              <a:latin typeface="Arial" panose="020B0604020202020204" pitchFamily="34" charset="0"/>
              <a:cs typeface="Arial" panose="020B0604020202020204" pitchFamily="34" charset="0"/>
            </a:rPr>
            <a:t>Ownership</a:t>
          </a:r>
        </a:p>
      </dgm:t>
    </dgm:pt>
    <dgm:pt modelId="{EF389745-E3A2-47F5-B01B-BE1E719FE768}" type="parTrans" cxnId="{9E84F162-70A6-49A6-9859-D12A08FF6510}">
      <dgm:prSet/>
      <dgm:spPr/>
      <dgm:t>
        <a:bodyPr/>
        <a:lstStyle/>
        <a:p>
          <a:endParaRPr lang="en-GB" sz="1200">
            <a:latin typeface="Arial" panose="020B0604020202020204" pitchFamily="34" charset="0"/>
            <a:cs typeface="Arial" panose="020B0604020202020204" pitchFamily="34" charset="0"/>
          </a:endParaRPr>
        </a:p>
      </dgm:t>
    </dgm:pt>
    <dgm:pt modelId="{2C484D79-23B9-4DE6-9669-1C4778C248FC}" type="sibTrans" cxnId="{9E84F162-70A6-49A6-9859-D12A08FF6510}">
      <dgm:prSet/>
      <dgm:spPr/>
      <dgm:t>
        <a:bodyPr/>
        <a:lstStyle/>
        <a:p>
          <a:endParaRPr lang="en-GB" sz="1200">
            <a:latin typeface="Arial" panose="020B0604020202020204" pitchFamily="34" charset="0"/>
            <a:cs typeface="Arial" panose="020B0604020202020204" pitchFamily="34" charset="0"/>
          </a:endParaRPr>
        </a:p>
      </dgm:t>
    </dgm:pt>
    <dgm:pt modelId="{0AB7D195-A83D-4085-93DE-E8B9DEB7E4FA}">
      <dgm:prSet phldrT="[Text]" custT="1"/>
      <dgm:spPr/>
      <dgm:t>
        <a:bodyPr/>
        <a:lstStyle/>
        <a:p>
          <a:r>
            <a:rPr lang="en-GB" sz="1200">
              <a:latin typeface="Arial" panose="020B0604020202020204" pitchFamily="34" charset="0"/>
              <a:cs typeface="Arial" panose="020B0604020202020204" pitchFamily="34" charset="0"/>
            </a:rPr>
            <a:t>Location</a:t>
          </a:r>
        </a:p>
      </dgm:t>
    </dgm:pt>
    <dgm:pt modelId="{8AF4E104-D091-4A9C-A4DF-ACF34DE698F7}" type="parTrans" cxnId="{32CDC4CB-3AC2-4405-9BBF-70461C60141C}">
      <dgm:prSet/>
      <dgm:spPr/>
      <dgm:t>
        <a:bodyPr/>
        <a:lstStyle/>
        <a:p>
          <a:endParaRPr lang="en-GB" sz="1200">
            <a:latin typeface="Arial" panose="020B0604020202020204" pitchFamily="34" charset="0"/>
            <a:cs typeface="Arial" panose="020B0604020202020204" pitchFamily="34" charset="0"/>
          </a:endParaRPr>
        </a:p>
      </dgm:t>
    </dgm:pt>
    <dgm:pt modelId="{8FF665E3-2C8F-4F56-8368-72C4BD618E9D}" type="sibTrans" cxnId="{32CDC4CB-3AC2-4405-9BBF-70461C60141C}">
      <dgm:prSet/>
      <dgm:spPr/>
      <dgm:t>
        <a:bodyPr/>
        <a:lstStyle/>
        <a:p>
          <a:endParaRPr lang="en-GB" sz="1200">
            <a:latin typeface="Arial" panose="020B0604020202020204" pitchFamily="34" charset="0"/>
            <a:cs typeface="Arial" panose="020B0604020202020204" pitchFamily="34" charset="0"/>
          </a:endParaRPr>
        </a:p>
      </dgm:t>
    </dgm:pt>
    <dgm:pt modelId="{F89537E9-49EE-470B-A234-CBA8D8598851}">
      <dgm:prSet phldrT="[Text]" custT="1"/>
      <dgm:spPr/>
      <dgm:t>
        <a:bodyPr/>
        <a:lstStyle/>
        <a:p>
          <a:r>
            <a:rPr lang="en-GB" sz="1200">
              <a:latin typeface="Arial" panose="020B0604020202020204" pitchFamily="34" charset="0"/>
              <a:cs typeface="Arial" panose="020B0604020202020204" pitchFamily="34" charset="0"/>
            </a:rPr>
            <a:t>Internationalisation</a:t>
          </a:r>
        </a:p>
      </dgm:t>
    </dgm:pt>
    <dgm:pt modelId="{16BADCF7-EC96-41F7-9D0D-D06B227DADB6}" type="parTrans" cxnId="{ACEE15C0-A760-4EED-AF8B-A303686CBB1E}">
      <dgm:prSet/>
      <dgm:spPr/>
      <dgm:t>
        <a:bodyPr/>
        <a:lstStyle/>
        <a:p>
          <a:endParaRPr lang="en-GB" sz="1200">
            <a:latin typeface="Arial" panose="020B0604020202020204" pitchFamily="34" charset="0"/>
            <a:cs typeface="Arial" panose="020B0604020202020204" pitchFamily="34" charset="0"/>
          </a:endParaRPr>
        </a:p>
      </dgm:t>
    </dgm:pt>
    <dgm:pt modelId="{393BB391-13B2-48B3-91E7-2AEAC33B9846}" type="sibTrans" cxnId="{ACEE15C0-A760-4EED-AF8B-A303686CBB1E}">
      <dgm:prSet/>
      <dgm:spPr/>
      <dgm:t>
        <a:bodyPr/>
        <a:lstStyle/>
        <a:p>
          <a:endParaRPr lang="en-GB" sz="1200">
            <a:latin typeface="Arial" panose="020B0604020202020204" pitchFamily="34" charset="0"/>
            <a:cs typeface="Arial" panose="020B0604020202020204" pitchFamily="34" charset="0"/>
          </a:endParaRPr>
        </a:p>
      </dgm:t>
    </dgm:pt>
    <dgm:pt modelId="{E070EBA9-0CFE-4B9D-A5F3-BC800982C688}" type="pres">
      <dgm:prSet presAssocID="{D662764C-2F85-4A26-AB80-8A2E81A27035}" presName="linearFlow" presStyleCnt="0">
        <dgm:presLayoutVars>
          <dgm:dir/>
          <dgm:resizeHandles val="exact"/>
        </dgm:presLayoutVars>
      </dgm:prSet>
      <dgm:spPr/>
    </dgm:pt>
    <dgm:pt modelId="{D273B60C-8F2A-47F7-B8B0-6288989EB675}" type="pres">
      <dgm:prSet presAssocID="{E225944D-872D-4361-A86D-29214A565743}" presName="composite" presStyleCnt="0"/>
      <dgm:spPr/>
    </dgm:pt>
    <dgm:pt modelId="{21A3060D-A1D1-4319-8D95-BED073015280}" type="pres">
      <dgm:prSet presAssocID="{E225944D-872D-4361-A86D-29214A565743}" presName="imgShp" presStyleLbl="fgImgPlace1" presStyleIdx="0" presStyleCnt="3"/>
      <dgm:spPr>
        <a:blipFill>
          <a:blip xmlns:r="http://schemas.openxmlformats.org/officeDocument/2006/relationships" r:embed="rId1">
            <a:extLst>
              <a:ext uri="{96DAC541-7B7A-43D3-8B79-37D633B846F1}">
                <asvg:svgBlip xmlns:asvg="http://schemas.microsoft.com/office/drawing/2016/SVG/main" r:embed="rId2"/>
              </a:ext>
            </a:extLst>
          </a:blip>
          <a:srcRect/>
          <a:stretch>
            <a:fillRect/>
          </a:stretch>
        </a:blipFill>
      </dgm:spPr>
      <dgm:extLst>
        <a:ext uri="{E40237B7-FDA0-4F09-8148-C483321AD2D9}">
          <dgm14:cNvPr xmlns:dgm14="http://schemas.microsoft.com/office/drawing/2010/diagram" id="0" name="" descr="Clipboard with solid fill"/>
        </a:ext>
      </dgm:extLst>
    </dgm:pt>
    <dgm:pt modelId="{FE7F1F9F-6870-46BD-B9AE-7C81A94EB349}" type="pres">
      <dgm:prSet presAssocID="{E225944D-872D-4361-A86D-29214A565743}" presName="txShp" presStyleLbl="node1" presStyleIdx="0" presStyleCnt="3">
        <dgm:presLayoutVars>
          <dgm:bulletEnabled val="1"/>
        </dgm:presLayoutVars>
      </dgm:prSet>
      <dgm:spPr/>
    </dgm:pt>
    <dgm:pt modelId="{31C54678-A71E-4CC6-9E0C-854B20BCA76D}" type="pres">
      <dgm:prSet presAssocID="{2C484D79-23B9-4DE6-9669-1C4778C248FC}" presName="spacing" presStyleCnt="0"/>
      <dgm:spPr/>
    </dgm:pt>
    <dgm:pt modelId="{C12E35BE-31F3-4796-8AED-ADCA72B2A86B}" type="pres">
      <dgm:prSet presAssocID="{0AB7D195-A83D-4085-93DE-E8B9DEB7E4FA}" presName="composite" presStyleCnt="0"/>
      <dgm:spPr/>
    </dgm:pt>
    <dgm:pt modelId="{75C3A845-061E-4135-9D56-6046E64EFE82}" type="pres">
      <dgm:prSet presAssocID="{0AB7D195-A83D-4085-93DE-E8B9DEB7E4FA}" presName="imgShp" presStyleLbl="fgImgPlace1" presStyleIdx="1" presStyleCnt="3"/>
      <dgm:spPr>
        <a:blipFill>
          <a:blip xmlns:r="http://schemas.openxmlformats.org/officeDocument/2006/relationships" r:embed="rId3">
            <a:extLst>
              <a:ext uri="{96DAC541-7B7A-43D3-8B79-37D633B846F1}">
                <asvg:svgBlip xmlns:asvg="http://schemas.microsoft.com/office/drawing/2016/SVG/main" r:embed="rId4"/>
              </a:ext>
            </a:extLst>
          </a:blip>
          <a:srcRect/>
          <a:stretch>
            <a:fillRect/>
          </a:stretch>
        </a:blipFill>
      </dgm:spPr>
      <dgm:extLst>
        <a:ext uri="{E40237B7-FDA0-4F09-8148-C483321AD2D9}">
          <dgm14:cNvPr xmlns:dgm14="http://schemas.microsoft.com/office/drawing/2010/diagram" id="0" name="" descr="Lighthouse scene outline"/>
        </a:ext>
      </dgm:extLst>
    </dgm:pt>
    <dgm:pt modelId="{74B3D955-5650-41BD-9069-5C7D650C2322}" type="pres">
      <dgm:prSet presAssocID="{0AB7D195-A83D-4085-93DE-E8B9DEB7E4FA}" presName="txShp" presStyleLbl="node1" presStyleIdx="1" presStyleCnt="3">
        <dgm:presLayoutVars>
          <dgm:bulletEnabled val="1"/>
        </dgm:presLayoutVars>
      </dgm:prSet>
      <dgm:spPr/>
    </dgm:pt>
    <dgm:pt modelId="{A76A4DEC-2FEF-4AE0-8774-D77D645D79BC}" type="pres">
      <dgm:prSet presAssocID="{8FF665E3-2C8F-4F56-8368-72C4BD618E9D}" presName="spacing" presStyleCnt="0"/>
      <dgm:spPr/>
    </dgm:pt>
    <dgm:pt modelId="{48920162-8F50-492F-9253-EF64BD16BFF7}" type="pres">
      <dgm:prSet presAssocID="{F89537E9-49EE-470B-A234-CBA8D8598851}" presName="composite" presStyleCnt="0"/>
      <dgm:spPr/>
    </dgm:pt>
    <dgm:pt modelId="{E252C27D-27A8-4241-BD67-E0D38FD86C68}" type="pres">
      <dgm:prSet presAssocID="{F89537E9-49EE-470B-A234-CBA8D8598851}" presName="imgShp" presStyleLbl="fgImgPlace1" presStyleIdx="2" presStyleCnt="3"/>
      <dgm:spPr>
        <a:blipFill>
          <a:blip xmlns:r="http://schemas.openxmlformats.org/officeDocument/2006/relationships" r:embed="rId5">
            <a:extLst>
              <a:ext uri="{96DAC541-7B7A-43D3-8B79-37D633B846F1}">
                <asvg:svgBlip xmlns:asvg="http://schemas.microsoft.com/office/drawing/2016/SVG/main" r:embed="rId6"/>
              </a:ext>
            </a:extLst>
          </a:blip>
          <a:srcRect/>
          <a:stretch>
            <a:fillRect/>
          </a:stretch>
        </a:blipFill>
      </dgm:spPr>
      <dgm:extLst>
        <a:ext uri="{E40237B7-FDA0-4F09-8148-C483321AD2D9}">
          <dgm14:cNvPr xmlns:dgm14="http://schemas.microsoft.com/office/drawing/2010/diagram" id="0" name="" descr="Group brainstorm with solid fill"/>
        </a:ext>
      </dgm:extLst>
    </dgm:pt>
    <dgm:pt modelId="{43EDA639-A612-4776-A2F9-00A7CA9C6158}" type="pres">
      <dgm:prSet presAssocID="{F89537E9-49EE-470B-A234-CBA8D8598851}" presName="txShp" presStyleLbl="node1" presStyleIdx="2" presStyleCnt="3">
        <dgm:presLayoutVars>
          <dgm:bulletEnabled val="1"/>
        </dgm:presLayoutVars>
      </dgm:prSet>
      <dgm:spPr/>
    </dgm:pt>
  </dgm:ptLst>
  <dgm:cxnLst>
    <dgm:cxn modelId="{9E84F162-70A6-49A6-9859-D12A08FF6510}" srcId="{D662764C-2F85-4A26-AB80-8A2E81A27035}" destId="{E225944D-872D-4361-A86D-29214A565743}" srcOrd="0" destOrd="0" parTransId="{EF389745-E3A2-47F5-B01B-BE1E719FE768}" sibTransId="{2C484D79-23B9-4DE6-9669-1C4778C248FC}"/>
    <dgm:cxn modelId="{E3437D64-2B95-4F8D-9433-59DDCB5D6737}" type="presOf" srcId="{E225944D-872D-4361-A86D-29214A565743}" destId="{FE7F1F9F-6870-46BD-B9AE-7C81A94EB349}" srcOrd="0" destOrd="0" presId="urn:microsoft.com/office/officeart/2005/8/layout/vList3"/>
    <dgm:cxn modelId="{3894E548-5D0D-4EFC-B67F-353B0BA62AA9}" type="presOf" srcId="{D662764C-2F85-4A26-AB80-8A2E81A27035}" destId="{E070EBA9-0CFE-4B9D-A5F3-BC800982C688}" srcOrd="0" destOrd="0" presId="urn:microsoft.com/office/officeart/2005/8/layout/vList3"/>
    <dgm:cxn modelId="{ACEE15C0-A760-4EED-AF8B-A303686CBB1E}" srcId="{D662764C-2F85-4A26-AB80-8A2E81A27035}" destId="{F89537E9-49EE-470B-A234-CBA8D8598851}" srcOrd="2" destOrd="0" parTransId="{16BADCF7-EC96-41F7-9D0D-D06B227DADB6}" sibTransId="{393BB391-13B2-48B3-91E7-2AEAC33B9846}"/>
    <dgm:cxn modelId="{CC22FEC9-AA15-4A4D-AD82-CBA1692771E4}" type="presOf" srcId="{F89537E9-49EE-470B-A234-CBA8D8598851}" destId="{43EDA639-A612-4776-A2F9-00A7CA9C6158}" srcOrd="0" destOrd="0" presId="urn:microsoft.com/office/officeart/2005/8/layout/vList3"/>
    <dgm:cxn modelId="{32CDC4CB-3AC2-4405-9BBF-70461C60141C}" srcId="{D662764C-2F85-4A26-AB80-8A2E81A27035}" destId="{0AB7D195-A83D-4085-93DE-E8B9DEB7E4FA}" srcOrd="1" destOrd="0" parTransId="{8AF4E104-D091-4A9C-A4DF-ACF34DE698F7}" sibTransId="{8FF665E3-2C8F-4F56-8368-72C4BD618E9D}"/>
    <dgm:cxn modelId="{CD4A3EF2-AABC-4971-9714-B4AFC83EE557}" type="presOf" srcId="{0AB7D195-A83D-4085-93DE-E8B9DEB7E4FA}" destId="{74B3D955-5650-41BD-9069-5C7D650C2322}" srcOrd="0" destOrd="0" presId="urn:microsoft.com/office/officeart/2005/8/layout/vList3"/>
    <dgm:cxn modelId="{207AA13C-C099-4ADA-AC3A-B502205FFCD3}" type="presParOf" srcId="{E070EBA9-0CFE-4B9D-A5F3-BC800982C688}" destId="{D273B60C-8F2A-47F7-B8B0-6288989EB675}" srcOrd="0" destOrd="0" presId="urn:microsoft.com/office/officeart/2005/8/layout/vList3"/>
    <dgm:cxn modelId="{7199A9FE-B023-4D3D-BC83-CD9F001C4A33}" type="presParOf" srcId="{D273B60C-8F2A-47F7-B8B0-6288989EB675}" destId="{21A3060D-A1D1-4319-8D95-BED073015280}" srcOrd="0" destOrd="0" presId="urn:microsoft.com/office/officeart/2005/8/layout/vList3"/>
    <dgm:cxn modelId="{63CE39D9-8300-4B1E-8636-6EDF32EC3E7D}" type="presParOf" srcId="{D273B60C-8F2A-47F7-B8B0-6288989EB675}" destId="{FE7F1F9F-6870-46BD-B9AE-7C81A94EB349}" srcOrd="1" destOrd="0" presId="urn:microsoft.com/office/officeart/2005/8/layout/vList3"/>
    <dgm:cxn modelId="{10FFC85D-7A13-42D2-8192-918CF32C5E18}" type="presParOf" srcId="{E070EBA9-0CFE-4B9D-A5F3-BC800982C688}" destId="{31C54678-A71E-4CC6-9E0C-854B20BCA76D}" srcOrd="1" destOrd="0" presId="urn:microsoft.com/office/officeart/2005/8/layout/vList3"/>
    <dgm:cxn modelId="{3633CD21-7569-43D2-8088-2ACCDB4BA21D}" type="presParOf" srcId="{E070EBA9-0CFE-4B9D-A5F3-BC800982C688}" destId="{C12E35BE-31F3-4796-8AED-ADCA72B2A86B}" srcOrd="2" destOrd="0" presId="urn:microsoft.com/office/officeart/2005/8/layout/vList3"/>
    <dgm:cxn modelId="{CC11DB4B-CB99-4196-A5FE-C0F0042F08A4}" type="presParOf" srcId="{C12E35BE-31F3-4796-8AED-ADCA72B2A86B}" destId="{75C3A845-061E-4135-9D56-6046E64EFE82}" srcOrd="0" destOrd="0" presId="urn:microsoft.com/office/officeart/2005/8/layout/vList3"/>
    <dgm:cxn modelId="{946C6F03-4E4F-4D1F-8813-E1C75526222F}" type="presParOf" srcId="{C12E35BE-31F3-4796-8AED-ADCA72B2A86B}" destId="{74B3D955-5650-41BD-9069-5C7D650C2322}" srcOrd="1" destOrd="0" presId="urn:microsoft.com/office/officeart/2005/8/layout/vList3"/>
    <dgm:cxn modelId="{1035C07A-ED45-4410-BFF0-97FDAE2FD1F2}" type="presParOf" srcId="{E070EBA9-0CFE-4B9D-A5F3-BC800982C688}" destId="{A76A4DEC-2FEF-4AE0-8774-D77D645D79BC}" srcOrd="3" destOrd="0" presId="urn:microsoft.com/office/officeart/2005/8/layout/vList3"/>
    <dgm:cxn modelId="{570F7D0B-DB52-4A43-9BFC-08CB1F67BDF4}" type="presParOf" srcId="{E070EBA9-0CFE-4B9D-A5F3-BC800982C688}" destId="{48920162-8F50-492F-9253-EF64BD16BFF7}" srcOrd="4" destOrd="0" presId="urn:microsoft.com/office/officeart/2005/8/layout/vList3"/>
    <dgm:cxn modelId="{29173888-9C45-4172-A716-83492C78B379}" type="presParOf" srcId="{48920162-8F50-492F-9253-EF64BD16BFF7}" destId="{E252C27D-27A8-4241-BD67-E0D38FD86C68}" srcOrd="0" destOrd="0" presId="urn:microsoft.com/office/officeart/2005/8/layout/vList3"/>
    <dgm:cxn modelId="{2CF23132-0498-4758-90E6-392D20A07065}" type="presParOf" srcId="{48920162-8F50-492F-9253-EF64BD16BFF7}" destId="{43EDA639-A612-4776-A2F9-00A7CA9C6158}" srcOrd="1" destOrd="0" presId="urn:microsoft.com/office/officeart/2005/8/layout/vList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AAC801C-06DA-4A02-A243-AD7DA5D94102}" type="doc">
      <dgm:prSet loTypeId="urn:microsoft.com/office/officeart/2005/8/layout/cycle5" loCatId="cycle" qsTypeId="urn:microsoft.com/office/officeart/2005/8/quickstyle/simple1" qsCatId="simple" csTypeId="urn:microsoft.com/office/officeart/2005/8/colors/accent5_2" csCatId="accent5" phldr="1"/>
      <dgm:spPr/>
      <dgm:t>
        <a:bodyPr/>
        <a:lstStyle/>
        <a:p>
          <a:endParaRPr lang="en-GB"/>
        </a:p>
      </dgm:t>
    </dgm:pt>
    <dgm:pt modelId="{DDE7C7A2-3528-43A6-B836-ECEC7B138EC7}">
      <dgm:prSet phldrT="[Text]" custT="1"/>
      <dgm:spPr/>
      <dgm:t>
        <a:bodyPr/>
        <a:lstStyle/>
        <a:p>
          <a:r>
            <a:rPr lang="en-GB" sz="1200">
              <a:latin typeface="Arial" panose="020B0604020202020204" pitchFamily="34" charset="0"/>
              <a:cs typeface="Arial" panose="020B0604020202020204" pitchFamily="34" charset="0"/>
            </a:rPr>
            <a:t>Concrete</a:t>
          </a:r>
        </a:p>
        <a:p>
          <a:r>
            <a:rPr lang="en-GB" sz="1200">
              <a:latin typeface="Arial" panose="020B0604020202020204" pitchFamily="34" charset="0"/>
              <a:cs typeface="Arial" panose="020B0604020202020204" pitchFamily="34" charset="0"/>
            </a:rPr>
            <a:t>Experimentation</a:t>
          </a:r>
        </a:p>
      </dgm:t>
    </dgm:pt>
    <dgm:pt modelId="{6F7A356E-7459-4B7B-ADCC-74C57484144F}" type="parTrans" cxnId="{4F3E53CE-1E5E-4A8F-AF1B-D00E083757BF}">
      <dgm:prSet/>
      <dgm:spPr/>
      <dgm:t>
        <a:bodyPr/>
        <a:lstStyle/>
        <a:p>
          <a:endParaRPr lang="en-GB"/>
        </a:p>
      </dgm:t>
    </dgm:pt>
    <dgm:pt modelId="{62223E38-6CEA-4216-8DBD-3C2088F515A3}" type="sibTrans" cxnId="{4F3E53CE-1E5E-4A8F-AF1B-D00E083757BF}">
      <dgm:prSet/>
      <dgm:spPr/>
      <dgm:t>
        <a:bodyPr/>
        <a:lstStyle/>
        <a:p>
          <a:endParaRPr lang="en-GB"/>
        </a:p>
      </dgm:t>
    </dgm:pt>
    <dgm:pt modelId="{68CFE3D1-0E2C-4139-BA98-A0AF5CE29F09}">
      <dgm:prSet phldrT="[Text]" custT="1"/>
      <dgm:spPr/>
      <dgm:t>
        <a:bodyPr/>
        <a:lstStyle/>
        <a:p>
          <a:r>
            <a:rPr lang="en-GB" sz="1200">
              <a:latin typeface="Arial" panose="020B0604020202020204" pitchFamily="34" charset="0"/>
              <a:cs typeface="Arial" panose="020B0604020202020204" pitchFamily="34" charset="0"/>
            </a:rPr>
            <a:t>Reflective</a:t>
          </a:r>
        </a:p>
        <a:p>
          <a:r>
            <a:rPr lang="en-GB" sz="1200">
              <a:latin typeface="Arial" panose="020B0604020202020204" pitchFamily="34" charset="0"/>
              <a:cs typeface="Arial" panose="020B0604020202020204" pitchFamily="34" charset="0"/>
            </a:rPr>
            <a:t>Observation</a:t>
          </a:r>
        </a:p>
      </dgm:t>
    </dgm:pt>
    <dgm:pt modelId="{BABBE3EB-27E6-4314-AA21-23CE539B9F42}" type="parTrans" cxnId="{EB16F595-60F5-40DB-9EC0-F8D272A3052D}">
      <dgm:prSet/>
      <dgm:spPr/>
      <dgm:t>
        <a:bodyPr/>
        <a:lstStyle/>
        <a:p>
          <a:endParaRPr lang="en-GB"/>
        </a:p>
      </dgm:t>
    </dgm:pt>
    <dgm:pt modelId="{86B26CD9-413C-464A-AC76-0D415C6F43C9}" type="sibTrans" cxnId="{EB16F595-60F5-40DB-9EC0-F8D272A3052D}">
      <dgm:prSet/>
      <dgm:spPr/>
      <dgm:t>
        <a:bodyPr/>
        <a:lstStyle/>
        <a:p>
          <a:endParaRPr lang="en-GB"/>
        </a:p>
      </dgm:t>
    </dgm:pt>
    <dgm:pt modelId="{67660DD8-50CB-498B-B77C-FB71CFF41548}">
      <dgm:prSet phldrT="[Text]" custT="1"/>
      <dgm:spPr/>
      <dgm:t>
        <a:bodyPr/>
        <a:lstStyle/>
        <a:p>
          <a:r>
            <a:rPr lang="en-GB" sz="1100">
              <a:latin typeface="Arial" panose="020B0604020202020204" pitchFamily="34" charset="0"/>
              <a:cs typeface="Arial" panose="020B0604020202020204" pitchFamily="34" charset="0"/>
            </a:rPr>
            <a:t>Abstract</a:t>
          </a:r>
        </a:p>
        <a:p>
          <a:r>
            <a:rPr lang="en-GB" sz="1200">
              <a:latin typeface="Arial" panose="020B0604020202020204" pitchFamily="34" charset="0"/>
              <a:cs typeface="Arial" panose="020B0604020202020204" pitchFamily="34" charset="0"/>
            </a:rPr>
            <a:t>Conceptualisation</a:t>
          </a:r>
          <a:endParaRPr lang="en-GB" sz="1100">
            <a:latin typeface="Arial" panose="020B0604020202020204" pitchFamily="34" charset="0"/>
            <a:cs typeface="Arial" panose="020B0604020202020204" pitchFamily="34" charset="0"/>
          </a:endParaRPr>
        </a:p>
      </dgm:t>
    </dgm:pt>
    <dgm:pt modelId="{1ECEFE17-6614-4A14-917E-542B2A2BC822}" type="parTrans" cxnId="{02E69280-61CF-4841-861B-612F98334FB1}">
      <dgm:prSet/>
      <dgm:spPr/>
      <dgm:t>
        <a:bodyPr/>
        <a:lstStyle/>
        <a:p>
          <a:endParaRPr lang="en-GB"/>
        </a:p>
      </dgm:t>
    </dgm:pt>
    <dgm:pt modelId="{83529F88-42AC-4DFA-9163-9DF6A34DA710}" type="sibTrans" cxnId="{02E69280-61CF-4841-861B-612F98334FB1}">
      <dgm:prSet/>
      <dgm:spPr/>
      <dgm:t>
        <a:bodyPr/>
        <a:lstStyle/>
        <a:p>
          <a:endParaRPr lang="en-GB"/>
        </a:p>
      </dgm:t>
    </dgm:pt>
    <dgm:pt modelId="{17972B3F-9E55-4E87-A96D-A4B5B2070D43}">
      <dgm:prSet phldrT="[Text]"/>
      <dgm:spPr/>
      <dgm:t>
        <a:bodyPr/>
        <a:lstStyle/>
        <a:p>
          <a:r>
            <a:rPr lang="en-GB">
              <a:latin typeface="Arial" panose="020B0604020202020204" pitchFamily="34" charset="0"/>
              <a:cs typeface="Arial" panose="020B0604020202020204" pitchFamily="34" charset="0"/>
            </a:rPr>
            <a:t>Active Experimentation</a:t>
          </a:r>
        </a:p>
      </dgm:t>
    </dgm:pt>
    <dgm:pt modelId="{70DBA8D3-BD8D-46C6-938E-206F5A006E13}" type="parTrans" cxnId="{ACB1B8BE-F15B-475F-86AD-8162CB6B9483}">
      <dgm:prSet/>
      <dgm:spPr/>
      <dgm:t>
        <a:bodyPr/>
        <a:lstStyle/>
        <a:p>
          <a:endParaRPr lang="en-GB"/>
        </a:p>
      </dgm:t>
    </dgm:pt>
    <dgm:pt modelId="{A37C2788-0C72-448A-AA7C-301CB334DF48}" type="sibTrans" cxnId="{ACB1B8BE-F15B-475F-86AD-8162CB6B9483}">
      <dgm:prSet/>
      <dgm:spPr/>
      <dgm:t>
        <a:bodyPr/>
        <a:lstStyle/>
        <a:p>
          <a:endParaRPr lang="en-GB"/>
        </a:p>
      </dgm:t>
    </dgm:pt>
    <dgm:pt modelId="{8D6DF14C-937D-4071-9B80-67D96C4640DB}" type="pres">
      <dgm:prSet presAssocID="{3AAC801C-06DA-4A02-A243-AD7DA5D94102}" presName="cycle" presStyleCnt="0">
        <dgm:presLayoutVars>
          <dgm:dir/>
          <dgm:resizeHandles val="exact"/>
        </dgm:presLayoutVars>
      </dgm:prSet>
      <dgm:spPr/>
    </dgm:pt>
    <dgm:pt modelId="{43255E63-972B-4861-BCCC-087CD0D74FFB}" type="pres">
      <dgm:prSet presAssocID="{DDE7C7A2-3528-43A6-B836-ECEC7B138EC7}" presName="node" presStyleLbl="node1" presStyleIdx="0" presStyleCnt="4">
        <dgm:presLayoutVars>
          <dgm:bulletEnabled val="1"/>
        </dgm:presLayoutVars>
      </dgm:prSet>
      <dgm:spPr/>
    </dgm:pt>
    <dgm:pt modelId="{BEAA9539-8348-4A28-9427-E8C5A02CFD3C}" type="pres">
      <dgm:prSet presAssocID="{DDE7C7A2-3528-43A6-B836-ECEC7B138EC7}" presName="spNode" presStyleCnt="0"/>
      <dgm:spPr/>
    </dgm:pt>
    <dgm:pt modelId="{2825841F-E7F5-494D-940E-DB01F2EA2745}" type="pres">
      <dgm:prSet presAssocID="{62223E38-6CEA-4216-8DBD-3C2088F515A3}" presName="sibTrans" presStyleLbl="sibTrans1D1" presStyleIdx="0" presStyleCnt="4"/>
      <dgm:spPr/>
    </dgm:pt>
    <dgm:pt modelId="{F57D7157-25F8-4063-AFED-0475828A0965}" type="pres">
      <dgm:prSet presAssocID="{68CFE3D1-0E2C-4139-BA98-A0AF5CE29F09}" presName="node" presStyleLbl="node1" presStyleIdx="1" presStyleCnt="4">
        <dgm:presLayoutVars>
          <dgm:bulletEnabled val="1"/>
        </dgm:presLayoutVars>
      </dgm:prSet>
      <dgm:spPr/>
    </dgm:pt>
    <dgm:pt modelId="{E2BA8487-598F-4087-AD9A-92A0E7B3C7FA}" type="pres">
      <dgm:prSet presAssocID="{68CFE3D1-0E2C-4139-BA98-A0AF5CE29F09}" presName="spNode" presStyleCnt="0"/>
      <dgm:spPr/>
    </dgm:pt>
    <dgm:pt modelId="{FA38F1C9-CE4E-448A-8828-08DB93305F53}" type="pres">
      <dgm:prSet presAssocID="{86B26CD9-413C-464A-AC76-0D415C6F43C9}" presName="sibTrans" presStyleLbl="sibTrans1D1" presStyleIdx="1" presStyleCnt="4"/>
      <dgm:spPr/>
    </dgm:pt>
    <dgm:pt modelId="{B71CB130-AA46-4F00-BFB4-1B1675E8CC40}" type="pres">
      <dgm:prSet presAssocID="{67660DD8-50CB-498B-B77C-FB71CFF41548}" presName="node" presStyleLbl="node1" presStyleIdx="2" presStyleCnt="4">
        <dgm:presLayoutVars>
          <dgm:bulletEnabled val="1"/>
        </dgm:presLayoutVars>
      </dgm:prSet>
      <dgm:spPr/>
    </dgm:pt>
    <dgm:pt modelId="{3709B806-F3FD-481B-BE21-76649E1F9A0A}" type="pres">
      <dgm:prSet presAssocID="{67660DD8-50CB-498B-B77C-FB71CFF41548}" presName="spNode" presStyleCnt="0"/>
      <dgm:spPr/>
    </dgm:pt>
    <dgm:pt modelId="{23DBD8CE-61FF-425A-9F4C-913A9A702CA2}" type="pres">
      <dgm:prSet presAssocID="{83529F88-42AC-4DFA-9163-9DF6A34DA710}" presName="sibTrans" presStyleLbl="sibTrans1D1" presStyleIdx="2" presStyleCnt="4"/>
      <dgm:spPr/>
    </dgm:pt>
    <dgm:pt modelId="{5D33E7B2-9684-402C-9641-5C355A69C0AA}" type="pres">
      <dgm:prSet presAssocID="{17972B3F-9E55-4E87-A96D-A4B5B2070D43}" presName="node" presStyleLbl="node1" presStyleIdx="3" presStyleCnt="4">
        <dgm:presLayoutVars>
          <dgm:bulletEnabled val="1"/>
        </dgm:presLayoutVars>
      </dgm:prSet>
      <dgm:spPr/>
    </dgm:pt>
    <dgm:pt modelId="{099139EA-D287-44B2-9949-3D3E8FD608C8}" type="pres">
      <dgm:prSet presAssocID="{17972B3F-9E55-4E87-A96D-A4B5B2070D43}" presName="spNode" presStyleCnt="0"/>
      <dgm:spPr/>
    </dgm:pt>
    <dgm:pt modelId="{FB5BF2C5-4E8F-40DC-B4BF-C88A5A5CCC31}" type="pres">
      <dgm:prSet presAssocID="{A37C2788-0C72-448A-AA7C-301CB334DF48}" presName="sibTrans" presStyleLbl="sibTrans1D1" presStyleIdx="3" presStyleCnt="4"/>
      <dgm:spPr/>
    </dgm:pt>
  </dgm:ptLst>
  <dgm:cxnLst>
    <dgm:cxn modelId="{20F32017-299C-4BFA-9631-CE4EC3004FDD}" type="presOf" srcId="{86B26CD9-413C-464A-AC76-0D415C6F43C9}" destId="{FA38F1C9-CE4E-448A-8828-08DB93305F53}" srcOrd="0" destOrd="0" presId="urn:microsoft.com/office/officeart/2005/8/layout/cycle5"/>
    <dgm:cxn modelId="{B5E00863-9EB9-4C94-8CEB-9A122466DA56}" type="presOf" srcId="{3AAC801C-06DA-4A02-A243-AD7DA5D94102}" destId="{8D6DF14C-937D-4071-9B80-67D96C4640DB}" srcOrd="0" destOrd="0" presId="urn:microsoft.com/office/officeart/2005/8/layout/cycle5"/>
    <dgm:cxn modelId="{D9F7BA64-C400-414E-A9C7-9AC91580C427}" type="presOf" srcId="{A37C2788-0C72-448A-AA7C-301CB334DF48}" destId="{FB5BF2C5-4E8F-40DC-B4BF-C88A5A5CCC31}" srcOrd="0" destOrd="0" presId="urn:microsoft.com/office/officeart/2005/8/layout/cycle5"/>
    <dgm:cxn modelId="{CAA55875-4572-4656-98EE-269F477AB3D0}" type="presOf" srcId="{DDE7C7A2-3528-43A6-B836-ECEC7B138EC7}" destId="{43255E63-972B-4861-BCCC-087CD0D74FFB}" srcOrd="0" destOrd="0" presId="urn:microsoft.com/office/officeart/2005/8/layout/cycle5"/>
    <dgm:cxn modelId="{02E69280-61CF-4841-861B-612F98334FB1}" srcId="{3AAC801C-06DA-4A02-A243-AD7DA5D94102}" destId="{67660DD8-50CB-498B-B77C-FB71CFF41548}" srcOrd="2" destOrd="0" parTransId="{1ECEFE17-6614-4A14-917E-542B2A2BC822}" sibTransId="{83529F88-42AC-4DFA-9163-9DF6A34DA710}"/>
    <dgm:cxn modelId="{1A36ED84-DD30-4467-9258-C1D1D6BDFE32}" type="presOf" srcId="{83529F88-42AC-4DFA-9163-9DF6A34DA710}" destId="{23DBD8CE-61FF-425A-9F4C-913A9A702CA2}" srcOrd="0" destOrd="0" presId="urn:microsoft.com/office/officeart/2005/8/layout/cycle5"/>
    <dgm:cxn modelId="{EB16F595-60F5-40DB-9EC0-F8D272A3052D}" srcId="{3AAC801C-06DA-4A02-A243-AD7DA5D94102}" destId="{68CFE3D1-0E2C-4139-BA98-A0AF5CE29F09}" srcOrd="1" destOrd="0" parTransId="{BABBE3EB-27E6-4314-AA21-23CE539B9F42}" sibTransId="{86B26CD9-413C-464A-AC76-0D415C6F43C9}"/>
    <dgm:cxn modelId="{37A36E9D-83BC-40D0-B0BA-9DDE4DF61257}" type="presOf" srcId="{17972B3F-9E55-4E87-A96D-A4B5B2070D43}" destId="{5D33E7B2-9684-402C-9641-5C355A69C0AA}" srcOrd="0" destOrd="0" presId="urn:microsoft.com/office/officeart/2005/8/layout/cycle5"/>
    <dgm:cxn modelId="{0CD2F9B7-2074-4B6D-A64F-F446410CC948}" type="presOf" srcId="{67660DD8-50CB-498B-B77C-FB71CFF41548}" destId="{B71CB130-AA46-4F00-BFB4-1B1675E8CC40}" srcOrd="0" destOrd="0" presId="urn:microsoft.com/office/officeart/2005/8/layout/cycle5"/>
    <dgm:cxn modelId="{ACB1B8BE-F15B-475F-86AD-8162CB6B9483}" srcId="{3AAC801C-06DA-4A02-A243-AD7DA5D94102}" destId="{17972B3F-9E55-4E87-A96D-A4B5B2070D43}" srcOrd="3" destOrd="0" parTransId="{70DBA8D3-BD8D-46C6-938E-206F5A006E13}" sibTransId="{A37C2788-0C72-448A-AA7C-301CB334DF48}"/>
    <dgm:cxn modelId="{B10FC5C3-8E98-4F56-A796-3F575E19FB33}" type="presOf" srcId="{68CFE3D1-0E2C-4139-BA98-A0AF5CE29F09}" destId="{F57D7157-25F8-4063-AFED-0475828A0965}" srcOrd="0" destOrd="0" presId="urn:microsoft.com/office/officeart/2005/8/layout/cycle5"/>
    <dgm:cxn modelId="{4F3E53CE-1E5E-4A8F-AF1B-D00E083757BF}" srcId="{3AAC801C-06DA-4A02-A243-AD7DA5D94102}" destId="{DDE7C7A2-3528-43A6-B836-ECEC7B138EC7}" srcOrd="0" destOrd="0" parTransId="{6F7A356E-7459-4B7B-ADCC-74C57484144F}" sibTransId="{62223E38-6CEA-4216-8DBD-3C2088F515A3}"/>
    <dgm:cxn modelId="{21DB28D2-E34B-40D7-B69B-C4A27138F422}" type="presOf" srcId="{62223E38-6CEA-4216-8DBD-3C2088F515A3}" destId="{2825841F-E7F5-494D-940E-DB01F2EA2745}" srcOrd="0" destOrd="0" presId="urn:microsoft.com/office/officeart/2005/8/layout/cycle5"/>
    <dgm:cxn modelId="{B7399807-A059-4266-A2D3-E3B70818FD87}" type="presParOf" srcId="{8D6DF14C-937D-4071-9B80-67D96C4640DB}" destId="{43255E63-972B-4861-BCCC-087CD0D74FFB}" srcOrd="0" destOrd="0" presId="urn:microsoft.com/office/officeart/2005/8/layout/cycle5"/>
    <dgm:cxn modelId="{2BE09C7D-F0CF-4977-82C5-A3253315F58B}" type="presParOf" srcId="{8D6DF14C-937D-4071-9B80-67D96C4640DB}" destId="{BEAA9539-8348-4A28-9427-E8C5A02CFD3C}" srcOrd="1" destOrd="0" presId="urn:microsoft.com/office/officeart/2005/8/layout/cycle5"/>
    <dgm:cxn modelId="{28D84663-7D7A-4680-BCB9-CD1180C293FB}" type="presParOf" srcId="{8D6DF14C-937D-4071-9B80-67D96C4640DB}" destId="{2825841F-E7F5-494D-940E-DB01F2EA2745}" srcOrd="2" destOrd="0" presId="urn:microsoft.com/office/officeart/2005/8/layout/cycle5"/>
    <dgm:cxn modelId="{D271971B-5C68-46CD-8308-0E04B23B94CA}" type="presParOf" srcId="{8D6DF14C-937D-4071-9B80-67D96C4640DB}" destId="{F57D7157-25F8-4063-AFED-0475828A0965}" srcOrd="3" destOrd="0" presId="urn:microsoft.com/office/officeart/2005/8/layout/cycle5"/>
    <dgm:cxn modelId="{81192F8F-8044-470E-AC5A-1595222D5852}" type="presParOf" srcId="{8D6DF14C-937D-4071-9B80-67D96C4640DB}" destId="{E2BA8487-598F-4087-AD9A-92A0E7B3C7FA}" srcOrd="4" destOrd="0" presId="urn:microsoft.com/office/officeart/2005/8/layout/cycle5"/>
    <dgm:cxn modelId="{41862D61-35EC-4CE0-897E-AE1ED6605CC5}" type="presParOf" srcId="{8D6DF14C-937D-4071-9B80-67D96C4640DB}" destId="{FA38F1C9-CE4E-448A-8828-08DB93305F53}" srcOrd="5" destOrd="0" presId="urn:microsoft.com/office/officeart/2005/8/layout/cycle5"/>
    <dgm:cxn modelId="{EB9A6452-7085-48A7-BEC9-83A44AB84DD4}" type="presParOf" srcId="{8D6DF14C-937D-4071-9B80-67D96C4640DB}" destId="{B71CB130-AA46-4F00-BFB4-1B1675E8CC40}" srcOrd="6" destOrd="0" presId="urn:microsoft.com/office/officeart/2005/8/layout/cycle5"/>
    <dgm:cxn modelId="{9BCC6B62-3507-4FB2-B46F-B54BA64F44AC}" type="presParOf" srcId="{8D6DF14C-937D-4071-9B80-67D96C4640DB}" destId="{3709B806-F3FD-481B-BE21-76649E1F9A0A}" srcOrd="7" destOrd="0" presId="urn:microsoft.com/office/officeart/2005/8/layout/cycle5"/>
    <dgm:cxn modelId="{50BDE5E4-81BD-463D-94F0-B66A050B7B90}" type="presParOf" srcId="{8D6DF14C-937D-4071-9B80-67D96C4640DB}" destId="{23DBD8CE-61FF-425A-9F4C-913A9A702CA2}" srcOrd="8" destOrd="0" presId="urn:microsoft.com/office/officeart/2005/8/layout/cycle5"/>
    <dgm:cxn modelId="{B272B395-C171-413A-B029-47342E192B44}" type="presParOf" srcId="{8D6DF14C-937D-4071-9B80-67D96C4640DB}" destId="{5D33E7B2-9684-402C-9641-5C355A69C0AA}" srcOrd="9" destOrd="0" presId="urn:microsoft.com/office/officeart/2005/8/layout/cycle5"/>
    <dgm:cxn modelId="{431727D9-FCF8-4913-9A65-56EE07FC5CD6}" type="presParOf" srcId="{8D6DF14C-937D-4071-9B80-67D96C4640DB}" destId="{099139EA-D287-44B2-9949-3D3E8FD608C8}" srcOrd="10" destOrd="0" presId="urn:microsoft.com/office/officeart/2005/8/layout/cycle5"/>
    <dgm:cxn modelId="{11E59CE4-21BA-4027-AD40-32F9EF0AD4FE}" type="presParOf" srcId="{8D6DF14C-937D-4071-9B80-67D96C4640DB}" destId="{FB5BF2C5-4E8F-40DC-B4BF-C88A5A5CCC31}" srcOrd="11" destOrd="0" presId="urn:microsoft.com/office/officeart/2005/8/layout/cycle5"/>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B17CC2-96FC-4F23-8A82-C8AEAF2A88E0}">
      <dsp:nvSpPr>
        <dsp:cNvPr id="0" name=""/>
        <dsp:cNvSpPr/>
      </dsp:nvSpPr>
      <dsp:spPr>
        <a:xfrm>
          <a:off x="38417" y="0"/>
          <a:ext cx="3200400" cy="3200400"/>
        </a:xfrm>
        <a:prstGeom prst="diamond">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A8F08C2-F883-4B51-BB48-D61A11748CD1}">
      <dsp:nvSpPr>
        <dsp:cNvPr id="0" name=""/>
        <dsp:cNvSpPr/>
      </dsp:nvSpPr>
      <dsp:spPr>
        <a:xfrm>
          <a:off x="342455" y="304038"/>
          <a:ext cx="1248156" cy="1248156"/>
        </a:xfrm>
        <a:prstGeom prst="roundRect">
          <a:avLst/>
        </a:prstGeom>
        <a:solidFill>
          <a:schemeClr val="accent2">
            <a:shade val="8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Global</a:t>
          </a:r>
        </a:p>
      </dsp:txBody>
      <dsp:txXfrm>
        <a:off x="403385" y="364968"/>
        <a:ext cx="1126296" cy="1126296"/>
      </dsp:txXfrm>
    </dsp:sp>
    <dsp:sp modelId="{E03B97D9-5838-47A9-949A-EE5A31FF97C1}">
      <dsp:nvSpPr>
        <dsp:cNvPr id="0" name=""/>
        <dsp:cNvSpPr/>
      </dsp:nvSpPr>
      <dsp:spPr>
        <a:xfrm>
          <a:off x="1686623" y="304038"/>
          <a:ext cx="1248156" cy="1248156"/>
        </a:xfrm>
        <a:prstGeom prst="roundRect">
          <a:avLst/>
        </a:prstGeom>
        <a:solidFill>
          <a:schemeClr val="accent2">
            <a:shade val="80000"/>
            <a:hueOff val="-151668"/>
            <a:satOff val="2837"/>
            <a:lumOff val="904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Transnational</a:t>
          </a:r>
        </a:p>
      </dsp:txBody>
      <dsp:txXfrm>
        <a:off x="1747553" y="364968"/>
        <a:ext cx="1126296" cy="1126296"/>
      </dsp:txXfrm>
    </dsp:sp>
    <dsp:sp modelId="{A069CC24-D57B-4C49-839B-A09C2A505AF1}">
      <dsp:nvSpPr>
        <dsp:cNvPr id="0" name=""/>
        <dsp:cNvSpPr/>
      </dsp:nvSpPr>
      <dsp:spPr>
        <a:xfrm>
          <a:off x="342455" y="1648206"/>
          <a:ext cx="1248156" cy="1248156"/>
        </a:xfrm>
        <a:prstGeom prst="roundRect">
          <a:avLst/>
        </a:prstGeom>
        <a:solidFill>
          <a:schemeClr val="accent2">
            <a:shade val="80000"/>
            <a:hueOff val="-303336"/>
            <a:satOff val="5673"/>
            <a:lumOff val="18081"/>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International</a:t>
          </a:r>
        </a:p>
      </dsp:txBody>
      <dsp:txXfrm>
        <a:off x="403385" y="1709136"/>
        <a:ext cx="1126296" cy="1126296"/>
      </dsp:txXfrm>
    </dsp:sp>
    <dsp:sp modelId="{0F3284A9-445E-4335-A7DB-693F07853069}">
      <dsp:nvSpPr>
        <dsp:cNvPr id="0" name=""/>
        <dsp:cNvSpPr/>
      </dsp:nvSpPr>
      <dsp:spPr>
        <a:xfrm>
          <a:off x="1686623" y="1648206"/>
          <a:ext cx="1248156" cy="1248156"/>
        </a:xfrm>
        <a:prstGeom prst="roundRect">
          <a:avLst/>
        </a:prstGeom>
        <a:solidFill>
          <a:schemeClr val="accent2">
            <a:shade val="80000"/>
            <a:hueOff val="-455004"/>
            <a:satOff val="8510"/>
            <a:lumOff val="27121"/>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Multinational</a:t>
          </a:r>
        </a:p>
      </dsp:txBody>
      <dsp:txXfrm>
        <a:off x="1747553" y="1709136"/>
        <a:ext cx="1126296" cy="112629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7F1F9F-6870-46BD-B9AE-7C81A94EB349}">
      <dsp:nvSpPr>
        <dsp:cNvPr id="0" name=""/>
        <dsp:cNvSpPr/>
      </dsp:nvSpPr>
      <dsp:spPr>
        <a:xfrm rot="10800000">
          <a:off x="934293" y="975"/>
          <a:ext cx="3142992" cy="570549"/>
        </a:xfrm>
        <a:prstGeom prst="homePlate">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1596" tIns="45720" rIns="85344"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Ownership</a:t>
          </a:r>
        </a:p>
      </dsp:txBody>
      <dsp:txXfrm rot="10800000">
        <a:off x="1076930" y="975"/>
        <a:ext cx="3000355" cy="570549"/>
      </dsp:txXfrm>
    </dsp:sp>
    <dsp:sp modelId="{21A3060D-A1D1-4319-8D95-BED073015280}">
      <dsp:nvSpPr>
        <dsp:cNvPr id="0" name=""/>
        <dsp:cNvSpPr/>
      </dsp:nvSpPr>
      <dsp:spPr>
        <a:xfrm>
          <a:off x="649018" y="975"/>
          <a:ext cx="570549" cy="570549"/>
        </a:xfrm>
        <a:prstGeom prst="ellipse">
          <a:avLst/>
        </a:prstGeom>
        <a:blipFill>
          <a:blip xmlns:r="http://schemas.openxmlformats.org/officeDocument/2006/relationships" r:embed="rId1">
            <a:extLst>
              <a:ext uri="{96DAC541-7B7A-43D3-8B79-37D633B846F1}">
                <asvg:svgBlip xmlns:asvg="http://schemas.microsoft.com/office/drawing/2016/SVG/main" r:embed="rId2"/>
              </a:ext>
            </a:extLst>
          </a:blip>
          <a:srcRect/>
          <a:stretch>
            <a:fillRect/>
          </a:stretch>
        </a:blip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4B3D955-5650-41BD-9069-5C7D650C2322}">
      <dsp:nvSpPr>
        <dsp:cNvPr id="0" name=""/>
        <dsp:cNvSpPr/>
      </dsp:nvSpPr>
      <dsp:spPr>
        <a:xfrm rot="10800000">
          <a:off x="934293" y="741837"/>
          <a:ext cx="3142992" cy="570549"/>
        </a:xfrm>
        <a:prstGeom prst="homePlate">
          <a:avLst/>
        </a:prstGeom>
        <a:solidFill>
          <a:schemeClr val="accent2">
            <a:hueOff val="3221807"/>
            <a:satOff val="-9246"/>
            <a:lumOff val="-14805"/>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1596" tIns="45720" rIns="85344"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Location</a:t>
          </a:r>
        </a:p>
      </dsp:txBody>
      <dsp:txXfrm rot="10800000">
        <a:off x="1076930" y="741837"/>
        <a:ext cx="3000355" cy="570549"/>
      </dsp:txXfrm>
    </dsp:sp>
    <dsp:sp modelId="{75C3A845-061E-4135-9D56-6046E64EFE82}">
      <dsp:nvSpPr>
        <dsp:cNvPr id="0" name=""/>
        <dsp:cNvSpPr/>
      </dsp:nvSpPr>
      <dsp:spPr>
        <a:xfrm>
          <a:off x="649018" y="741837"/>
          <a:ext cx="570549" cy="570549"/>
        </a:xfrm>
        <a:prstGeom prst="ellipse">
          <a:avLst/>
        </a:prstGeom>
        <a:blipFill>
          <a:blip xmlns:r="http://schemas.openxmlformats.org/officeDocument/2006/relationships" r:embed="rId3">
            <a:extLst>
              <a:ext uri="{96DAC541-7B7A-43D3-8B79-37D633B846F1}">
                <asvg:svgBlip xmlns:asvg="http://schemas.microsoft.com/office/drawing/2016/SVG/main" r:embed="rId4"/>
              </a:ext>
            </a:extLst>
          </a:blip>
          <a:srcRect/>
          <a:stretch>
            <a:fillRect/>
          </a:stretch>
        </a:blip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3EDA639-A612-4776-A2F9-00A7CA9C6158}">
      <dsp:nvSpPr>
        <dsp:cNvPr id="0" name=""/>
        <dsp:cNvSpPr/>
      </dsp:nvSpPr>
      <dsp:spPr>
        <a:xfrm rot="10800000">
          <a:off x="934293" y="1482700"/>
          <a:ext cx="3142992" cy="570549"/>
        </a:xfrm>
        <a:prstGeom prst="homePlate">
          <a:avLst/>
        </a:prstGeom>
        <a:solidFill>
          <a:schemeClr val="accent2">
            <a:hueOff val="6443614"/>
            <a:satOff val="-18493"/>
            <a:lumOff val="-29609"/>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1596" tIns="45720" rIns="85344"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Internationalisation</a:t>
          </a:r>
        </a:p>
      </dsp:txBody>
      <dsp:txXfrm rot="10800000">
        <a:off x="1076930" y="1482700"/>
        <a:ext cx="3000355" cy="570549"/>
      </dsp:txXfrm>
    </dsp:sp>
    <dsp:sp modelId="{E252C27D-27A8-4241-BD67-E0D38FD86C68}">
      <dsp:nvSpPr>
        <dsp:cNvPr id="0" name=""/>
        <dsp:cNvSpPr/>
      </dsp:nvSpPr>
      <dsp:spPr>
        <a:xfrm>
          <a:off x="649018" y="1482700"/>
          <a:ext cx="570549" cy="570549"/>
        </a:xfrm>
        <a:prstGeom prst="ellipse">
          <a:avLst/>
        </a:prstGeom>
        <a:blipFill>
          <a:blip xmlns:r="http://schemas.openxmlformats.org/officeDocument/2006/relationships" r:embed="rId5">
            <a:extLst>
              <a:ext uri="{96DAC541-7B7A-43D3-8B79-37D633B846F1}">
                <asvg:svgBlip xmlns:asvg="http://schemas.microsoft.com/office/drawing/2016/SVG/main" r:embed="rId6"/>
              </a:ext>
            </a:extLst>
          </a:blip>
          <a:srcRect/>
          <a:stretch>
            <a:fillRect/>
          </a:stretch>
        </a:blip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255E63-972B-4861-BCCC-087CD0D74FFB}">
      <dsp:nvSpPr>
        <dsp:cNvPr id="0" name=""/>
        <dsp:cNvSpPr/>
      </dsp:nvSpPr>
      <dsp:spPr>
        <a:xfrm>
          <a:off x="2094924" y="1904"/>
          <a:ext cx="1391166" cy="904257"/>
        </a:xfrm>
        <a:prstGeom prst="roundRect">
          <a:avLst/>
        </a:prstGeom>
        <a:solidFill>
          <a:schemeClr val="accent5">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Concrete</a:t>
          </a:r>
        </a:p>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Experimentation</a:t>
          </a:r>
        </a:p>
      </dsp:txBody>
      <dsp:txXfrm>
        <a:off x="2139066" y="46046"/>
        <a:ext cx="1302882" cy="815973"/>
      </dsp:txXfrm>
    </dsp:sp>
    <dsp:sp modelId="{2825841F-E7F5-494D-940E-DB01F2EA2745}">
      <dsp:nvSpPr>
        <dsp:cNvPr id="0" name=""/>
        <dsp:cNvSpPr/>
      </dsp:nvSpPr>
      <dsp:spPr>
        <a:xfrm>
          <a:off x="1296996" y="454033"/>
          <a:ext cx="2987022" cy="2987022"/>
        </a:xfrm>
        <a:custGeom>
          <a:avLst/>
          <a:gdLst/>
          <a:ahLst/>
          <a:cxnLst/>
          <a:rect l="0" t="0" r="0" b="0"/>
          <a:pathLst>
            <a:path>
              <a:moveTo>
                <a:pt x="2381009" y="292294"/>
              </a:moveTo>
              <a:arcTo wR="1493511" hR="1493511" stAng="18387492" swAng="1633196"/>
            </a:path>
          </a:pathLst>
        </a:custGeom>
        <a:noFill/>
        <a:ln w="12700" cap="flat" cmpd="sng" algn="ctr">
          <a:solidFill>
            <a:schemeClr val="accent5">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F57D7157-25F8-4063-AFED-0475828A0965}">
      <dsp:nvSpPr>
        <dsp:cNvPr id="0" name=""/>
        <dsp:cNvSpPr/>
      </dsp:nvSpPr>
      <dsp:spPr>
        <a:xfrm>
          <a:off x="3588435" y="1495416"/>
          <a:ext cx="1391166" cy="904257"/>
        </a:xfrm>
        <a:prstGeom prst="roundRect">
          <a:avLst/>
        </a:prstGeom>
        <a:solidFill>
          <a:schemeClr val="accent5">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Reflective</a:t>
          </a:r>
        </a:p>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Observation</a:t>
          </a:r>
        </a:p>
      </dsp:txBody>
      <dsp:txXfrm>
        <a:off x="3632577" y="1539558"/>
        <a:ext cx="1302882" cy="815973"/>
      </dsp:txXfrm>
    </dsp:sp>
    <dsp:sp modelId="{FA38F1C9-CE4E-448A-8828-08DB93305F53}">
      <dsp:nvSpPr>
        <dsp:cNvPr id="0" name=""/>
        <dsp:cNvSpPr/>
      </dsp:nvSpPr>
      <dsp:spPr>
        <a:xfrm>
          <a:off x="1296996" y="454033"/>
          <a:ext cx="2987022" cy="2987022"/>
        </a:xfrm>
        <a:custGeom>
          <a:avLst/>
          <a:gdLst/>
          <a:ahLst/>
          <a:cxnLst/>
          <a:rect l="0" t="0" r="0" b="0"/>
          <a:pathLst>
            <a:path>
              <a:moveTo>
                <a:pt x="2832171" y="2155754"/>
              </a:moveTo>
              <a:arcTo wR="1493511" hR="1493511" stAng="1579312" swAng="1633196"/>
            </a:path>
          </a:pathLst>
        </a:custGeom>
        <a:noFill/>
        <a:ln w="12700" cap="flat" cmpd="sng" algn="ctr">
          <a:solidFill>
            <a:schemeClr val="accent5">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B71CB130-AA46-4F00-BFB4-1B1675E8CC40}">
      <dsp:nvSpPr>
        <dsp:cNvPr id="0" name=""/>
        <dsp:cNvSpPr/>
      </dsp:nvSpPr>
      <dsp:spPr>
        <a:xfrm>
          <a:off x="2094924" y="2988927"/>
          <a:ext cx="1391166" cy="904257"/>
        </a:xfrm>
        <a:prstGeom prst="roundRect">
          <a:avLst/>
        </a:prstGeom>
        <a:solidFill>
          <a:schemeClr val="accent5">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Abstract</a:t>
          </a:r>
        </a:p>
        <a:p>
          <a:pPr marL="0" lvl="0" indent="0" algn="ctr" defTabSz="48895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Conceptualisation</a:t>
          </a:r>
          <a:endParaRPr lang="en-GB" sz="1100" kern="1200">
            <a:latin typeface="Arial" panose="020B0604020202020204" pitchFamily="34" charset="0"/>
            <a:cs typeface="Arial" panose="020B0604020202020204" pitchFamily="34" charset="0"/>
          </a:endParaRPr>
        </a:p>
      </dsp:txBody>
      <dsp:txXfrm>
        <a:off x="2139066" y="3033069"/>
        <a:ext cx="1302882" cy="815973"/>
      </dsp:txXfrm>
    </dsp:sp>
    <dsp:sp modelId="{23DBD8CE-61FF-425A-9F4C-913A9A702CA2}">
      <dsp:nvSpPr>
        <dsp:cNvPr id="0" name=""/>
        <dsp:cNvSpPr/>
      </dsp:nvSpPr>
      <dsp:spPr>
        <a:xfrm>
          <a:off x="1296996" y="454033"/>
          <a:ext cx="2987022" cy="2987022"/>
        </a:xfrm>
        <a:custGeom>
          <a:avLst/>
          <a:gdLst/>
          <a:ahLst/>
          <a:cxnLst/>
          <a:rect l="0" t="0" r="0" b="0"/>
          <a:pathLst>
            <a:path>
              <a:moveTo>
                <a:pt x="606012" y="2694728"/>
              </a:moveTo>
              <a:arcTo wR="1493511" hR="1493511" stAng="7587492" swAng="1633196"/>
            </a:path>
          </a:pathLst>
        </a:custGeom>
        <a:noFill/>
        <a:ln w="12700" cap="flat" cmpd="sng" algn="ctr">
          <a:solidFill>
            <a:schemeClr val="accent5">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5D33E7B2-9684-402C-9641-5C355A69C0AA}">
      <dsp:nvSpPr>
        <dsp:cNvPr id="0" name=""/>
        <dsp:cNvSpPr/>
      </dsp:nvSpPr>
      <dsp:spPr>
        <a:xfrm>
          <a:off x="601413" y="1495416"/>
          <a:ext cx="1391166" cy="904257"/>
        </a:xfrm>
        <a:prstGeom prst="roundRect">
          <a:avLst/>
        </a:prstGeom>
        <a:solidFill>
          <a:schemeClr val="accent5">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latin typeface="Arial" panose="020B0604020202020204" pitchFamily="34" charset="0"/>
              <a:cs typeface="Arial" panose="020B0604020202020204" pitchFamily="34" charset="0"/>
            </a:rPr>
            <a:t>Active Experimentation</a:t>
          </a:r>
        </a:p>
      </dsp:txBody>
      <dsp:txXfrm>
        <a:off x="645555" y="1539558"/>
        <a:ext cx="1302882" cy="815973"/>
      </dsp:txXfrm>
    </dsp:sp>
    <dsp:sp modelId="{FB5BF2C5-4E8F-40DC-B4BF-C88A5A5CCC31}">
      <dsp:nvSpPr>
        <dsp:cNvPr id="0" name=""/>
        <dsp:cNvSpPr/>
      </dsp:nvSpPr>
      <dsp:spPr>
        <a:xfrm>
          <a:off x="1296996" y="454033"/>
          <a:ext cx="2987022" cy="2987022"/>
        </a:xfrm>
        <a:custGeom>
          <a:avLst/>
          <a:gdLst/>
          <a:ahLst/>
          <a:cxnLst/>
          <a:rect l="0" t="0" r="0" b="0"/>
          <a:pathLst>
            <a:path>
              <a:moveTo>
                <a:pt x="154851" y="831268"/>
              </a:moveTo>
              <a:arcTo wR="1493511" hR="1493511" stAng="12379312" swAng="1633196"/>
            </a:path>
          </a:pathLst>
        </a:custGeom>
        <a:noFill/>
        <a:ln w="12700" cap="flat" cmpd="sng" algn="ctr">
          <a:solidFill>
            <a:schemeClr val="accent5">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vList3">
  <dgm:title val=""/>
  <dgm:desc val=""/>
  <dgm:catLst>
    <dgm:cat type="list" pri="14000"/>
    <dgm:cat type="convert" pri="3000"/>
    <dgm:cat type="picture" pri="27000"/>
    <dgm:cat type="pictureconvert" pri="27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623C16-C04C-429B-AB4B-68F8AFDAA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4187</TotalTime>
  <Pages>27</Pages>
  <Words>7218</Words>
  <Characters>41149</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Chambers</dc:creator>
  <dc:description/>
  <cp:lastModifiedBy>Denise Chambers</cp:lastModifiedBy>
  <cp:revision>253</cp:revision>
  <dcterms:created xsi:type="dcterms:W3CDTF">2026-06-21T16:01:00Z</dcterms:created>
  <dcterms:modified xsi:type="dcterms:W3CDTF">2026-07-30T16:59:00Z</dcterms:modified>
</cp:coreProperties>
</file>