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sz w:val="30"/>
        </w:rPr>
      </w:pPr>
      <w:r>
        <w:rPr>
          <w:b/>
          <w:sz w:val="30"/>
        </w:rPr>
        <w:drawing>
          <wp:inline distT="0" distB="0" distL="0" distR="0">
            <wp:extent cx="2498090" cy="1187450"/>
            <wp:effectExtent l="0" t="0" r="127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4">
                      <a:extLst>
                        <a:ext uri="{28A0092B-C50C-407E-A947-70E740481C1C}">
                          <a14:useLocalDpi xmlns:a14="http://schemas.microsoft.com/office/drawing/2010/main" val="0"/>
                        </a:ext>
                      </a:extLst>
                    </a:blip>
                    <a:srcRect t="29278" b="23194"/>
                    <a:stretch>
                      <a:fillRect/>
                    </a:stretch>
                  </pic:blipFill>
                  <pic:spPr>
                    <a:xfrm>
                      <a:off x="0" y="0"/>
                      <a:ext cx="2501711" cy="1189026"/>
                    </a:xfrm>
                    <a:prstGeom prst="rect">
                      <a:avLst/>
                    </a:prstGeom>
                    <a:noFill/>
                    <a:ln>
                      <a:noFill/>
                    </a:ln>
                  </pic:spPr>
                </pic:pic>
              </a:graphicData>
            </a:graphic>
          </wp:inline>
        </w:drawing>
      </w:r>
    </w:p>
    <w:p>
      <w:pPr>
        <w:jc w:val="center"/>
        <w:rPr>
          <w:rFonts w:eastAsia="PMingLiU"/>
          <w:b/>
          <w:bCs/>
          <w:color w:val="000000"/>
          <w:sz w:val="32"/>
          <w:szCs w:val="32"/>
          <w:lang w:val="zh-Hans" w:eastAsia="zh-TW"/>
        </w:rPr>
      </w:pPr>
      <w:r>
        <w:rPr>
          <w:rFonts w:eastAsia="PMingLiU"/>
          <w:b/>
          <w:bCs/>
          <w:color w:val="000000"/>
          <w:sz w:val="32"/>
          <w:szCs w:val="32"/>
          <w:lang w:val="zh-Hans" w:eastAsia="zh-TW"/>
        </w:rPr>
        <w:t>ASSIGNMENT</w:t>
      </w:r>
    </w:p>
    <w:p>
      <w:pPr>
        <w:jc w:val="center"/>
        <w:rPr>
          <w:b/>
          <w:sz w:val="30"/>
          <w:lang w:eastAsia="zh-Hans"/>
        </w:rPr>
      </w:pPr>
    </w:p>
    <w:p>
      <w:pPr>
        <w:jc w:val="center"/>
        <w:rPr>
          <w:b/>
          <w:sz w:val="30"/>
          <w:lang w:eastAsia="zh-Hans"/>
        </w:rPr>
      </w:pPr>
    </w:p>
    <w:p>
      <w:pPr>
        <w:jc w:val="center"/>
        <w:rPr>
          <w:b/>
          <w:sz w:val="30"/>
          <w:lang w:eastAsia="zh-Hans"/>
        </w:rPr>
      </w:pPr>
    </w:p>
    <w:p>
      <w:pPr>
        <w:rPr>
          <w:rFonts w:eastAsia="PMingLiU"/>
          <w:b/>
          <w:bCs/>
          <w:color w:val="000000"/>
          <w:sz w:val="32"/>
          <w:szCs w:val="32"/>
          <w:lang w:val="zh-Hans" w:eastAsia="zh-TW"/>
        </w:rPr>
      </w:pPr>
      <w:r>
        <w:fldChar w:fldCharType="begin"/>
      </w:r>
      <w:r>
        <w:instrText xml:space="preserve"> HYPERLINK "https://moodle.uwtsd.ac.uk/course/view.php?id=9250" </w:instrText>
      </w:r>
      <w:r>
        <w:fldChar w:fldCharType="separate"/>
      </w:r>
    </w:p>
    <w:p>
      <w:pPr>
        <w:pStyle w:val="2"/>
        <w:spacing w:before="0" w:beforeAutospacing="0"/>
        <w:jc w:val="center"/>
        <w:textAlignment w:val="center"/>
        <w:rPr>
          <w:rFonts w:ascii="Times New Roman" w:hAnsi="Times New Roman" w:cs="Times New Roman"/>
          <w:b w:val="0"/>
          <w:bCs w:val="0"/>
        </w:rPr>
      </w:pPr>
      <w:r>
        <w:rPr>
          <w:rFonts w:hint="eastAsia" w:ascii="Times New Roman" w:hAnsi="Times New Roman" w:eastAsia="PMingLiU" w:cs="Times New Roman"/>
          <w:color w:val="000000"/>
          <w:kern w:val="0"/>
          <w:sz w:val="32"/>
          <w:szCs w:val="32"/>
          <w:lang w:val="zh-Hans" w:eastAsia="zh-TW"/>
        </w:rPr>
        <w:t>Data Security, Governance and Compliance</w:t>
      </w:r>
      <w:r>
        <w:rPr>
          <w:rFonts w:ascii="Times New Roman" w:hAnsi="Times New Roman" w:eastAsia="PMingLiU" w:cs="Times New Roman"/>
          <w:color w:val="000000"/>
          <w:kern w:val="0"/>
          <w:sz w:val="32"/>
          <w:szCs w:val="32"/>
          <w:lang w:val="zh-Hans" w:eastAsia="zh-TW"/>
        </w:rPr>
        <w:t xml:space="preserve"> (ACCA702</w:t>
      </w:r>
      <w:r>
        <w:rPr>
          <w:rFonts w:hint="eastAsia" w:ascii="Times New Roman" w:hAnsi="Times New Roman" w:eastAsia="宋体" w:cs="Times New Roman"/>
          <w:color w:val="000000"/>
          <w:kern w:val="0"/>
          <w:sz w:val="32"/>
          <w:szCs w:val="32"/>
          <w:lang w:val="en-US" w:eastAsia="zh-CN"/>
        </w:rPr>
        <w:t>8</w:t>
      </w:r>
      <w:r>
        <w:rPr>
          <w:rFonts w:ascii="Times New Roman" w:hAnsi="Times New Roman" w:eastAsia="PMingLiU" w:cs="Times New Roman"/>
          <w:color w:val="000000"/>
          <w:kern w:val="0"/>
          <w:sz w:val="32"/>
          <w:szCs w:val="32"/>
          <w:lang w:val="zh-Hans" w:eastAsia="zh-TW"/>
        </w:rPr>
        <w:t>)</w:t>
      </w:r>
    </w:p>
    <w:p>
      <w:pPr>
        <w:contextualSpacing/>
        <w:rPr>
          <w:b/>
          <w:sz w:val="32"/>
        </w:rPr>
      </w:pPr>
      <w:r>
        <w:fldChar w:fldCharType="end"/>
      </w:r>
    </w:p>
    <w:p>
      <w:pPr>
        <w:jc w:val="center"/>
        <w:rPr>
          <w:b/>
          <w:sz w:val="30"/>
        </w:rPr>
      </w:pPr>
    </w:p>
    <w:p>
      <w:pPr>
        <w:jc w:val="center"/>
        <w:rPr>
          <w:b/>
          <w:sz w:val="30"/>
        </w:rPr>
      </w:pPr>
    </w:p>
    <w:p>
      <w:pPr>
        <w:jc w:val="center"/>
        <w:rPr>
          <w:b/>
          <w:sz w:val="30"/>
        </w:rPr>
      </w:pPr>
    </w:p>
    <w:p>
      <w:pPr>
        <w:jc w:val="center"/>
        <w:rPr>
          <w:b/>
          <w:sz w:val="30"/>
        </w:rPr>
      </w:pPr>
    </w:p>
    <w:p>
      <w:pPr>
        <w:jc w:val="center"/>
        <w:rPr>
          <w:b/>
          <w:sz w:val="30"/>
        </w:rPr>
      </w:pPr>
      <w:r>
        <w:rPr>
          <w:b/>
          <w:sz w:val="30"/>
        </w:rPr>
        <w:t>BY</w:t>
      </w:r>
    </w:p>
    <w:p>
      <w:pPr>
        <w:contextualSpacing/>
        <w:jc w:val="center"/>
        <w:rPr>
          <w:rFonts w:hint="default" w:eastAsia="宋体"/>
          <w:b/>
          <w:sz w:val="32"/>
          <w:lang w:val="en-US" w:eastAsia="zh-CN"/>
        </w:rPr>
      </w:pPr>
      <w:r>
        <w:rPr>
          <w:rFonts w:hint="eastAsia"/>
          <w:b/>
          <w:sz w:val="32"/>
          <w:lang w:val="en-US" w:eastAsia="zh-CN"/>
        </w:rPr>
        <w:t>WENXUAN ZENG</w:t>
      </w:r>
    </w:p>
    <w:p>
      <w:pPr>
        <w:rPr>
          <w:b/>
          <w:sz w:val="30"/>
        </w:rPr>
      </w:pPr>
    </w:p>
    <w:p>
      <w:pPr>
        <w:jc w:val="center"/>
        <w:rPr>
          <w:rFonts w:hint="default" w:eastAsia="宋体"/>
          <w:b/>
          <w:sz w:val="30"/>
          <w:lang w:val="en-US" w:eastAsia="zh-CN"/>
        </w:rPr>
      </w:pPr>
      <w:r>
        <w:rPr>
          <w:b/>
          <w:sz w:val="30"/>
        </w:rPr>
        <w:t xml:space="preserve">Student ID:   </w:t>
      </w:r>
      <w:r>
        <w:rPr>
          <w:rFonts w:hint="eastAsia"/>
          <w:b/>
          <w:sz w:val="30"/>
          <w:lang w:val="en-US" w:eastAsia="zh-CN"/>
        </w:rPr>
        <w:t>2200378</w:t>
      </w:r>
    </w:p>
    <w:p>
      <w:pPr>
        <w:ind w:right="522"/>
        <w:jc w:val="right"/>
        <w:rPr>
          <w:b/>
          <w:sz w:val="26"/>
        </w:rPr>
      </w:pPr>
    </w:p>
    <w:p>
      <w:pPr>
        <w:rPr>
          <w:b/>
          <w:sz w:val="26"/>
        </w:rPr>
      </w:pPr>
    </w:p>
    <w:p>
      <w:pPr>
        <w:rPr>
          <w:b/>
          <w:sz w:val="26"/>
        </w:rPr>
      </w:pPr>
    </w:p>
    <w:p>
      <w:pPr>
        <w:jc w:val="right"/>
        <w:rPr>
          <w:rFonts w:hint="eastAsia" w:ascii="Times New Roman" w:hAnsi="Times New Roman" w:cs="Times New Roman" w:eastAsiaTheme="minorEastAsia"/>
          <w:b/>
          <w:sz w:val="26"/>
          <w:lang w:val="en-US" w:eastAsia="zh-CN"/>
        </w:rPr>
      </w:pPr>
      <w:r>
        <w:rPr>
          <w:rFonts w:hint="eastAsia" w:ascii="Times New Roman" w:hAnsi="Times New Roman" w:cs="Times New Roman"/>
          <w:b/>
          <w:sz w:val="26"/>
        </w:rPr>
        <w:t>January</w:t>
      </w:r>
      <w:r>
        <w:rPr>
          <w:rFonts w:ascii="Times New Roman" w:hAnsi="Times New Roman" w:cs="Times New Roman"/>
          <w:b/>
          <w:sz w:val="26"/>
        </w:rPr>
        <w:t>, 202</w:t>
      </w:r>
      <w:r>
        <w:rPr>
          <w:rFonts w:hint="eastAsia" w:ascii="Times New Roman" w:hAnsi="Times New Roman" w:cs="Times New Roman"/>
          <w:b/>
          <w:sz w:val="26"/>
          <w:lang w:val="en-US" w:eastAsia="zh-CN"/>
        </w:rPr>
        <w:t>3</w:t>
      </w:r>
    </w:p>
    <w:p>
      <w:pPr>
        <w:jc w:val="right"/>
        <w:rPr>
          <w:b/>
          <w:sz w:val="26"/>
          <w:lang w:eastAsia="zh-CN"/>
        </w:rPr>
      </w:pPr>
      <w:r>
        <w:rPr>
          <w:rFonts w:hint="eastAsia"/>
          <w:b/>
          <w:sz w:val="26"/>
          <w:lang w:eastAsia="zh-CN"/>
        </w:rPr>
        <w:t>January</w:t>
      </w:r>
      <w:r>
        <w:rPr>
          <w:b/>
          <w:sz w:val="26"/>
          <w:lang w:eastAsia="zh-CN"/>
        </w:rPr>
        <w:t>, 202</w:t>
      </w:r>
      <w:r>
        <w:rPr>
          <w:rFonts w:hint="eastAsia"/>
          <w:b/>
          <w:sz w:val="26"/>
          <w:lang w:val="en-US" w:eastAsia="zh-CN"/>
        </w:rPr>
        <w:t>3</w:t>
      </w:r>
    </w:p>
    <w:p>
      <w:pPr>
        <w:widowControl/>
        <w:jc w:val="left"/>
        <w:rPr>
          <w:rFonts w:hint="eastAsia" w:ascii="Times New Roman" w:hAnsi="Times New Roman" w:eastAsia="宋体" w:cs="Times New Roman"/>
          <w:b/>
          <w:bCs/>
          <w:kern w:val="0"/>
          <w:sz w:val="28"/>
          <w:szCs w:val="28"/>
          <w:lang w:val="zh-Hans" w:eastAsia="zh-CN"/>
        </w:rPr>
      </w:pPr>
      <w:r>
        <w:rPr>
          <w:rFonts w:hint="eastAsia" w:ascii="Times New Roman" w:hAnsi="Times New Roman" w:eastAsia="宋体" w:cs="Times New Roman"/>
          <w:b/>
          <w:bCs/>
          <w:kern w:val="0"/>
          <w:sz w:val="28"/>
          <w:szCs w:val="28"/>
          <w:lang w:val="zh-Hans" w:eastAsia="zh-CN"/>
        </w:rPr>
        <w:t>1 Network Security Model</w:t>
      </w:r>
    </w:p>
    <w:p>
      <w:pPr>
        <w:widowControl/>
        <w:numPr>
          <w:ilvl w:val="1"/>
          <w:numId w:val="1"/>
        </w:numPr>
        <w:jc w:val="left"/>
        <w:rPr>
          <w:rFonts w:hint="eastAsia"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PDR security model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PDR stands for Protection, Detection and Response.</w:t>
      </w:r>
      <w:r>
        <w:rPr>
          <w:rFonts w:hint="eastAsia" w:ascii="Times New Roman" w:hAnsi="Times New Roman" w:eastAsia="宋体" w:cs="Times New Roman"/>
          <w:kern w:val="0"/>
          <w:sz w:val="24"/>
          <w:szCs w:val="24"/>
          <w:vertAlign w:val="superscript"/>
          <w:lang w:val="en-US" w:eastAsia="zh-CN"/>
        </w:rPr>
        <w:t>[1]</w:t>
      </w:r>
      <w:r>
        <w:rPr>
          <w:rFonts w:hint="eastAsia" w:ascii="Times New Roman" w:hAnsi="Times New Roman" w:eastAsia="宋体" w:cs="Times New Roman"/>
          <w:kern w:val="0"/>
          <w:sz w:val="24"/>
          <w:szCs w:val="24"/>
          <w:lang w:val="en-US" w:eastAsia="zh-CN"/>
        </w:rPr>
        <w:t>Protection means that all possible measures are taken to protect the security of networks, systems and information. It usually uses technologies and methods such as encryption, authentication, access control, firewalls and anti-virus. Detection indicates that the security status of networks and systems can be understood and assessed, and it provides the basis for security protection and security response. It is commonly used to detect techniques such as intrusion detection, vulnerability detection and network scanning. Response has an important place in the security model and is the most effective way to address security issues. Solving security problems means solving emergency response and exception handling problems, so it is vital for networks and systems to have an emergency response mechanism in place to develop the ability to respond quickly and securely. The most basic principle of the PDR model is that all activities related to information security, whether they are attack, protection, detection or response actions, all consume time. Furthermore, no protection is permanent and it is only a matter of time before it can be breached. Time can therefore be used to measure the security and safety capabilities of a system.</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The PDR model is based on a benchmark testing model for both opposing sides of information security, which allows security requirements to be expressed in terms of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&gt;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D</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r>
          <m:rPr/>
          <w:rPr>
            <w:rFonts w:hint="default" w:ascii="Cambria Math" w:hAnsi="Cambria Math" w:cs="Calibri"/>
            <w:sz w:val="28"/>
            <w:szCs w:val="28"/>
            <w:lang w:val="en-US" w:eastAsia="zh-CN"/>
          </w:rPr>
          <m: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R</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oMath>
      <w:r>
        <w:rPr>
          <w:rFonts w:hint="default" w:ascii="Times New Roman" w:hAnsi="Times New Roman" w:eastAsia="宋体" w:cs="Times New Roman"/>
          <w:kern w:val="0"/>
          <w:sz w:val="24"/>
          <w:szCs w:val="24"/>
          <w:lang w:val="en-US" w:eastAsia="zh-CN"/>
        </w:rPr>
        <w:t>.</w:t>
      </w:r>
      <w:r>
        <w:rPr>
          <w:rFonts w:hint="eastAsia" w:ascii="Times New Roman" w:hAnsi="Times New Roman" w:eastAsia="宋体" w:cs="Times New Roman"/>
          <w:kern w:val="0"/>
          <w:sz w:val="24"/>
          <w:szCs w:val="24"/>
          <w:lang w:val="en-US" w:eastAsia="zh-CN"/>
        </w:rPr>
        <w:t xml:space="preserve"> In this formula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 xml:space="preserve"> denotes the protection time provided by the security system,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D</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 xml:space="preserve"> denotes the time the system is monitored,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R</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 xml:space="preserve"> denotes the response time of the system and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E</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 xml:space="preserve"> denotes the exposure time. In the case of security targets to be protected, if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&gt;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D</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r>
          <m:rPr/>
          <w:rPr>
            <w:rFonts w:hint="default" w:ascii="Cambria Math" w:hAnsi="Cambria Math" w:cs="Calibri"/>
            <w:sz w:val="28"/>
            <w:szCs w:val="28"/>
            <w:lang w:val="en-US" w:eastAsia="zh-CN"/>
          </w:rPr>
          <m: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R</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oMath>
      <w:r>
        <w:rPr>
          <w:rFonts w:hint="eastAsia" w:ascii="Times New Roman" w:hAnsi="Times New Roman" w:eastAsia="宋体" w:cs="Times New Roman"/>
          <w:kern w:val="0"/>
          <w:sz w:val="24"/>
          <w:szCs w:val="24"/>
          <w:lang w:val="en-US" w:eastAsia="zh-CN"/>
        </w:rPr>
        <w:t xml:space="preserve"> is satisfied, which means that the protection time is greater than the detection time plus the response time. In other words, the system is secure if this intrusion can be detected and dealt with in a timely manner before an intruder can make a breach of the security target. If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&lt;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D</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r>
          <m:rPr/>
          <w:rPr>
            <w:rFonts w:hint="default" w:ascii="Cambria Math" w:hAnsi="Cambria Math" w:cs="Calibri"/>
            <w:sz w:val="28"/>
            <w:szCs w:val="28"/>
            <w:lang w:val="en-US" w:eastAsia="zh-CN"/>
          </w:rPr>
          <m:t>+</m:t>
        </m:r>
        <m:sSub>
          <m:sSubPr>
            <m:ctrlPr>
              <w:rPr>
                <w:rFonts w:hint="default" w:ascii="Cambria Math" w:hAnsi="Cambria Math" w:cs="Calibri"/>
                <w:i/>
                <w:sz w:val="28"/>
                <w:szCs w:val="28"/>
                <w:lang w:val="en-US" w:eastAsia="zh-CN"/>
              </w:rPr>
            </m:ctrlPr>
          </m:sSubPr>
          <m:e>
            <m:r>
              <m:rPr/>
              <w:rPr>
                <w:rFonts w:hint="default" w:ascii="Cambria Math" w:hAnsi="Cambria Math" w:cs="Calibri"/>
                <w:sz w:val="28"/>
                <w:szCs w:val="28"/>
                <w:lang w:val="en-US" w:eastAsia="zh-CN"/>
              </w:rPr>
              <m:t>R</m:t>
            </m:r>
            <m:ctrlPr>
              <w:rPr>
                <w:rFonts w:hint="default" w:ascii="Cambria Math" w:hAnsi="Cambria Math" w:cs="Calibri"/>
                <w:i/>
                <w:sz w:val="28"/>
                <w:szCs w:val="28"/>
                <w:lang w:val="en-US" w:eastAsia="zh-CN"/>
              </w:rPr>
            </m:ctrlPr>
          </m:e>
          <m:sub>
            <m:r>
              <m:rPr/>
              <w:rPr>
                <w:rFonts w:hint="default" w:ascii="Cambria Math" w:hAnsi="Cambria Math" w:cs="Calibri"/>
                <w:sz w:val="28"/>
                <w:szCs w:val="28"/>
                <w:lang w:val="en-US" w:eastAsia="zh-CN"/>
              </w:rPr>
              <m:t>t</m:t>
            </m:r>
            <m:ctrlPr>
              <w:rPr>
                <w:rFonts w:hint="default" w:ascii="Cambria Math" w:hAnsi="Cambria Math" w:cs="Calibri"/>
                <w:i/>
                <w:sz w:val="28"/>
                <w:szCs w:val="28"/>
                <w:lang w:val="en-US" w:eastAsia="zh-CN"/>
              </w:rPr>
            </m:ctrlPr>
          </m:sub>
        </m:sSub>
      </m:oMath>
      <w:r>
        <w:rPr>
          <w:rFonts w:hint="eastAsia" w:ascii="Times New Roman" w:hAnsi="Times New Roman" w:eastAsia="宋体" w:cs="Times New Roman"/>
          <w:kern w:val="0"/>
          <w:sz w:val="24"/>
          <w:szCs w:val="24"/>
          <w:lang w:val="en-US" w:eastAsia="zh-CN"/>
        </w:rPr>
        <w:t xml:space="preserve">, then </w:t>
      </w:r>
      <m:oMath>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E</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m:t>
        </m:r>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D</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m:t>
        </m:r>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R</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r>
          <m:rPr/>
          <w:rPr>
            <w:rFonts w:hint="default" w:ascii="Cambria Math" w:hAnsi="Cambria Math" w:cs="Calibri"/>
            <w:sz w:val="28"/>
            <w:szCs w:val="28"/>
            <w:lang w:val="en-US" w:eastAsia="zh-CN"/>
          </w:rPr>
          <m:t>)−</m:t>
        </m:r>
        <m:sSub>
          <m:sSubPr>
            <m:ctrlPr>
              <w:rPr>
                <w:rFonts w:ascii="Cambria Math" w:hAnsi="Cambria Math" w:cs="Calibri"/>
                <w:i/>
                <w:sz w:val="28"/>
                <w:szCs w:val="28"/>
                <w:lang w:val="en-US"/>
              </w:rPr>
            </m:ctrlPr>
          </m:sSubPr>
          <m:e>
            <m:r>
              <m:rPr/>
              <w:rPr>
                <w:rFonts w:hint="default" w:ascii="Cambria Math" w:hAnsi="Cambria Math" w:cs="Calibri"/>
                <w:sz w:val="28"/>
                <w:szCs w:val="28"/>
                <w:lang w:val="en-US" w:eastAsia="zh-CN"/>
              </w:rPr>
              <m:t>P</m:t>
            </m:r>
            <m:ctrlPr>
              <w:rPr>
                <w:rFonts w:ascii="Cambria Math" w:hAnsi="Cambria Math" w:cs="Calibri"/>
                <w:i/>
                <w:sz w:val="28"/>
                <w:szCs w:val="28"/>
                <w:lang w:val="en-US"/>
              </w:rPr>
            </m:ctrlPr>
          </m:e>
          <m:sub>
            <m:r>
              <m:rPr/>
              <w:rPr>
                <w:rFonts w:hint="default" w:ascii="Cambria Math" w:hAnsi="Cambria Math" w:cs="Calibri"/>
                <w:sz w:val="28"/>
                <w:szCs w:val="28"/>
                <w:lang w:val="en-US" w:eastAsia="zh-CN"/>
              </w:rPr>
              <m:t>t</m:t>
            </m:r>
            <m:ctrlPr>
              <w:rPr>
                <w:rFonts w:ascii="Cambria Math" w:hAnsi="Cambria Math" w:cs="Calibri"/>
                <w:i/>
                <w:sz w:val="28"/>
                <w:szCs w:val="28"/>
                <w:lang w:val="en-US"/>
              </w:rPr>
            </m:ctrlPr>
          </m:sub>
        </m:sSub>
      </m:oMath>
      <w:r>
        <w:rPr>
          <w:rFonts w:hint="eastAsia" w:ascii="Times New Roman" w:hAnsi="Times New Roman" w:eastAsia="宋体" w:cs="Times New Roman"/>
          <w:kern w:val="0"/>
          <w:sz w:val="24"/>
          <w:szCs w:val="24"/>
          <w:lang w:val="en-US" w:eastAsia="zh-CN"/>
        </w:rPr>
        <w:t>.</w:t>
      </w:r>
    </w:p>
    <w:p>
      <w:pPr>
        <w:widowControl/>
        <w:numPr>
          <w:ilvl w:val="1"/>
          <w:numId w:val="1"/>
        </w:numPr>
        <w:jc w:val="left"/>
        <w:rPr>
          <w:rFonts w:hint="eastAsia"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P2DR security model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The P2DR model of network security was developed with the Internet and is the original model of active defence network security. The primary task of the P2DR model is to ensure the security and reliability of the network and the authenticity, integrity, confidentiality, availability and controllability of transmitted data by applying a series of active defence technologies such as computer science theory, Internet Internet technology, electronic communication technology, password authentication technology and information security defence technology, under the premise of formulating network security policies and access control, using network security protection tools, supplemented by information detection tools for information network security protection.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P2DR model consists of four main components: Policy, Protection, Detection and Response.</w:t>
      </w:r>
      <w:r>
        <w:rPr>
          <w:rFonts w:hint="eastAsia" w:ascii="Times New Roman" w:hAnsi="Times New Roman" w:eastAsia="宋体" w:cs="Times New Roman"/>
          <w:kern w:val="0"/>
          <w:sz w:val="24"/>
          <w:szCs w:val="24"/>
          <w:lang w:val="en-US" w:eastAsia="zh-CN"/>
        </w:rPr>
        <w:t xml:space="preserve"> Protection, Detection and Response form a so-called "complete and dynamic" security cycle which ensures the security of information systems under the overall guidance of a security policy.</w:t>
      </w:r>
      <w:r>
        <w:rPr>
          <w:rFonts w:hint="eastAsia" w:ascii="Times New Roman" w:hAnsi="Times New Roman" w:eastAsia="宋体" w:cs="Times New Roman"/>
          <w:kern w:val="0"/>
          <w:sz w:val="24"/>
          <w:szCs w:val="24"/>
          <w:vertAlign w:val="superscript"/>
          <w:lang w:val="en-US" w:eastAsia="zh-CN"/>
        </w:rPr>
        <w:t>[2]</w:t>
      </w:r>
      <w:r>
        <w:rPr>
          <w:rFonts w:hint="eastAsia" w:ascii="Times New Roman" w:hAnsi="Times New Roman" w:eastAsia="宋体" w:cs="Times New Roman"/>
          <w:kern w:val="0"/>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object>
          <v:shape id="_x0000_i1025" o:spt="75" type="#_x0000_t75" style="height:221.35pt;width:226.6pt;" o:ole="t" filled="f" o:preferrelative="t" stroked="f" coordsize="21600,21600">
            <v:path/>
            <v:fill on="f" focussize="0,0"/>
            <v:stroke on="f"/>
            <v:imagedata r:id="rId6" o:title=""/>
            <o:lock v:ext="edit" aspectratio="t"/>
            <w10:wrap type="none"/>
            <w10:anchorlock/>
          </v:shape>
          <o:OLEObject Type="Embed" ProgID="Visio.Drawing.15" ShapeID="_x0000_i1025" DrawAspect="Content" ObjectID="_1468075725" r:id="rId5">
            <o:LockedField>false</o:LockedField>
          </o:OLEObject>
        </w:objec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Figure 1 P2DR model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Security Policy: defines the monitoring cycle of the system, establishes system recovery mechanisms, develops network access control policies and defines the overall security plan and principles of the system. Protection techniques usually include data encryption, authentication, access control, authorisation and VPN technology, firewalls, security scanning and data backup. Protection: This is usually achieved by using some traditional static security techniques and methods, mainly firewalls, encryption, authentication and other methods. Protection techniques usually include data encryption, authentication, access control, authorisation and VPN technology, firewalls, security scanning and data backup. Detection: Detects new threats and vulnerabilities by constantly testing and monitoring networks and systems, and responds promptly and effectively through cyclic feedback. Response: The correct response must be made in a timely manner after a security breach or security incident has been detected, so that the system can be brought back to a secure state. Response includes emergency response and recovery, which includes system recovery and information system recovery. The P2DR model is a combination of protection tools under the control and guidance of an overall security policy, while using detection tools to understand the security status of the system and adjust the system to the most secure and lowest risk state through appropriate reflection. The P2DR model assumes that all activities related to information security, including attack behaviour, protection behaviour, detection behaviour and response behaviour, consume time. Time can therefore be used to measure the security and security capability of a system.</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The P2DR model builds a systematic security system and implements risk prevention and control mechanisms in daily operations from the physical environment, systems, personnel, management, technical means and other aspects, and reduces the probability of risk occurrence effectively by using proactive risk detection methods and rapid response mechanisms to curb risks in advance.</w:t>
      </w:r>
      <w:r>
        <w:rPr>
          <w:rFonts w:hint="eastAsia" w:ascii="Times New Roman" w:hAnsi="Times New Roman" w:eastAsia="宋体" w:cs="Times New Roman"/>
          <w:kern w:val="0"/>
          <w:sz w:val="24"/>
          <w:szCs w:val="24"/>
          <w:vertAlign w:val="superscript"/>
          <w:lang w:val="en-US" w:eastAsia="zh-CN"/>
        </w:rPr>
        <w:t>[3]</w:t>
      </w:r>
    </w:p>
    <w:p>
      <w:pPr>
        <w:widowControl/>
        <w:jc w:val="left"/>
        <w:rPr>
          <w:rFonts w:hint="default" w:ascii="Times New Roman" w:hAnsi="Times New Roman" w:eastAsia="宋体" w:cs="Times New Roman"/>
          <w:b/>
          <w:bCs/>
          <w:kern w:val="0"/>
          <w:sz w:val="28"/>
          <w:szCs w:val="28"/>
          <w:lang w:val="en-US" w:eastAsia="zh-CN"/>
        </w:rPr>
      </w:pPr>
      <w:r>
        <w:rPr>
          <w:rFonts w:hint="eastAsia" w:ascii="Times New Roman" w:hAnsi="Times New Roman" w:eastAsia="宋体" w:cs="Times New Roman"/>
          <w:b/>
          <w:bCs/>
          <w:kern w:val="0"/>
          <w:sz w:val="28"/>
          <w:szCs w:val="28"/>
          <w:lang w:val="en-US" w:eastAsia="zh-CN"/>
        </w:rPr>
        <w:t xml:space="preserve">2 </w:t>
      </w:r>
      <w:r>
        <w:rPr>
          <w:rFonts w:hint="default" w:ascii="Times New Roman" w:hAnsi="Times New Roman" w:eastAsia="宋体" w:cs="Times New Roman"/>
          <w:b/>
          <w:bCs/>
          <w:kern w:val="0"/>
          <w:sz w:val="28"/>
          <w:szCs w:val="28"/>
          <w:lang w:val="en-US" w:eastAsia="zh-CN"/>
        </w:rPr>
        <w:t>Information Technology</w:t>
      </w:r>
      <w:r>
        <w:rPr>
          <w:rFonts w:hint="eastAsia" w:ascii="Times New Roman" w:hAnsi="Times New Roman" w:eastAsia="宋体" w:cs="Times New Roman"/>
          <w:b/>
          <w:bCs/>
          <w:kern w:val="0"/>
          <w:sz w:val="28"/>
          <w:szCs w:val="28"/>
          <w:lang w:val="en-US" w:eastAsia="zh-CN"/>
        </w:rPr>
        <w:t xml:space="preserve"> </w:t>
      </w:r>
      <w:r>
        <w:rPr>
          <w:rFonts w:hint="default" w:ascii="Times New Roman" w:hAnsi="Times New Roman" w:eastAsia="宋体" w:cs="Times New Roman"/>
          <w:b/>
          <w:bCs/>
          <w:kern w:val="0"/>
          <w:sz w:val="28"/>
          <w:szCs w:val="28"/>
          <w:lang w:val="en-US" w:eastAsia="zh-CN"/>
        </w:rPr>
        <w:t>Infrastructure Library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Information Technology Infrastructure Library (ITIL) is a library of service management standards for the IT industry developed by the UK National Computer and Telecommunications Agency CCTA (now part of the UK Department of Commerce OGC) since the mid-1980s.</w:t>
      </w:r>
      <w:r>
        <w:rPr>
          <w:rFonts w:hint="eastAsia" w:ascii="Times New Roman" w:hAnsi="Times New Roman" w:eastAsia="宋体" w:cs="Times New Roman"/>
          <w:kern w:val="0"/>
          <w:sz w:val="24"/>
          <w:szCs w:val="24"/>
          <w:vertAlign w:val="superscript"/>
          <w:lang w:val="en-US" w:eastAsia="zh-CN"/>
        </w:rPr>
        <w:t>[4]</w:t>
      </w:r>
      <w:r>
        <w:rPr>
          <w:rFonts w:hint="eastAsia" w:ascii="Times New Roman" w:hAnsi="Times New Roman" w:eastAsia="宋体" w:cs="Times New Roman"/>
          <w:kern w:val="0"/>
          <w:sz w:val="24"/>
          <w:szCs w:val="24"/>
          <w:lang w:val="en-US" w:eastAsia="zh-CN"/>
        </w:rPr>
        <w:t xml:space="preserve"> ITIL is a set of practical standards and best practice guidelines for IT service management that are now commonly adopted by the industry.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Information Technology Service Management (ITSM) is the core of the ITIL framework, which is a set of collaborative processes. It also assures the quality of IT services through Service Level Agreements (SLAs). ITSM helps organisations manage risk, strengthen customer relationships, establish cost-effective practices and build a stable IT environment to enable growth, scale and change. ITSM is divided into two main parts: service support and service delivery. ITSIL categorises ITSM activities into one management function and ten core processes, with service support and service delivery each comprising five processes.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The core framework of ITIL is shown in Figure 2. </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object>
          <v:shape id="_x0000_i1026" o:spt="75" type="#_x0000_t75" style="height:319.65pt;width:319.65pt;" o:ole="t" filled="f" o:preferrelative="t" stroked="f" coordsize="21600,21600">
            <v:path/>
            <v:fill on="f" focussize="0,0"/>
            <v:stroke on="f"/>
            <v:imagedata r:id="rId8" o:title=""/>
            <o:lock v:ext="edit" aspectratio="t"/>
            <w10:wrap type="none"/>
            <w10:anchorlock/>
          </v:shape>
          <o:OLEObject Type="Embed" ProgID="Visio.Drawing.15" ShapeID="_x0000_i1026" DrawAspect="Content" ObjectID="_1468075726" r:id="rId7">
            <o:LockedField>false</o:LockedField>
          </o:OLEObject>
        </w:objec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Figure 2 Framework of Service Lifecycle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It illustrates IT services as a cyclical and progressive effort based on the service lifecycle, where the service strategy is the axis on which the lifecycle operates; service design, service transformation and service operations are the keys to implementation; and service improvement is used to improve the positioning of services and to optimise related processes and projects based on strategic objectives.</w:t>
      </w:r>
      <w:r>
        <w:rPr>
          <w:rFonts w:hint="eastAsia" w:ascii="Times New Roman" w:hAnsi="Times New Roman" w:eastAsia="宋体" w:cs="Times New Roman"/>
          <w:kern w:val="0"/>
          <w:sz w:val="24"/>
          <w:szCs w:val="24"/>
          <w:vertAlign w:val="superscript"/>
          <w:lang w:val="en-US" w:eastAsia="zh-CN"/>
        </w:rPr>
        <w:t>[5]</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core framework of ITIL presents a strategic, tactical and operational approach to service management in response to changes in a company's business and IT. It organically integrates the specific operations of IT service management into a virtuous circle through a complete logical system.</w:t>
      </w:r>
    </w:p>
    <w:p>
      <w:pPr>
        <w:widowControl/>
        <w:jc w:val="left"/>
        <w:rPr>
          <w:rFonts w:hint="default" w:ascii="Times New Roman" w:hAnsi="Times New Roman" w:eastAsia="宋体" w:cs="Times New Roman"/>
          <w:b/>
          <w:bCs/>
          <w:kern w:val="0"/>
          <w:sz w:val="28"/>
          <w:szCs w:val="28"/>
          <w:lang w:val="en-US" w:eastAsia="zh-CN"/>
        </w:rPr>
      </w:pPr>
      <w:r>
        <w:rPr>
          <w:rFonts w:hint="default" w:ascii="Times New Roman" w:hAnsi="Times New Roman" w:eastAsia="宋体" w:cs="Times New Roman"/>
          <w:b/>
          <w:bCs/>
          <w:kern w:val="0"/>
          <w:sz w:val="28"/>
          <w:szCs w:val="28"/>
          <w:lang w:val="en-US" w:eastAsia="zh-CN"/>
        </w:rPr>
        <w:t>3 ISO 27000 series standards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ISO 27000 family of standards is currently the most widely used international standard and best practice for information security management systems.</w:t>
      </w:r>
      <w:r>
        <w:rPr>
          <w:rFonts w:hint="eastAsia" w:ascii="Times New Roman" w:hAnsi="Times New Roman" w:eastAsia="宋体" w:cs="Times New Roman"/>
          <w:kern w:val="0"/>
          <w:sz w:val="24"/>
          <w:szCs w:val="24"/>
          <w:vertAlign w:val="superscript"/>
          <w:lang w:val="en-US" w:eastAsia="zh-CN"/>
        </w:rPr>
        <w:t>[6]</w:t>
      </w:r>
      <w:r>
        <w:rPr>
          <w:rFonts w:hint="eastAsia" w:ascii="Times New Roman" w:hAnsi="Times New Roman" w:eastAsia="宋体" w:cs="Times New Roman"/>
          <w:kern w:val="0"/>
          <w:sz w:val="24"/>
          <w:szCs w:val="24"/>
          <w:lang w:val="en-US" w:eastAsia="zh-CN"/>
        </w:rPr>
        <w:t xml:space="preserve"> The ISO 27000 series of standards provide criteria for the certification of Information Security Management Systems (ISMS).</w:t>
      </w:r>
      <w:r>
        <w:rPr>
          <w:rFonts w:hint="eastAsia" w:ascii="Times New Roman" w:hAnsi="Times New Roman" w:eastAsia="宋体" w:cs="Times New Roman"/>
          <w:kern w:val="0"/>
          <w:sz w:val="24"/>
          <w:szCs w:val="24"/>
          <w:vertAlign w:val="superscript"/>
          <w:lang w:val="en-US" w:eastAsia="zh-CN"/>
        </w:rPr>
        <w:t>[7]</w:t>
      </w:r>
      <w:r>
        <w:rPr>
          <w:rFonts w:hint="eastAsia" w:ascii="Times New Roman" w:hAnsi="Times New Roman" w:eastAsia="宋体" w:cs="Times New Roman"/>
          <w:kern w:val="0"/>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The process underlying the construction of an information security management system under the ISO 27000 series of standards, which is based on ISO 27001, consists of the following seven main steps.</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Collect background information, information system status and characteristics of the organization. Establish the members of the information security management system composition team and define the schedule for building the information security management system.</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Develop a risk assessment plan. Surveys and interviews are implemented according to the plan to gather information on assets and conduct risk identification.</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Comprehensive analysis of the results of the risk assessment and determination of the scope of control of the information security management system.</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Establish the framework of information security management system under ISO27001 standard according to the control scope of information security management system. Design new information security management processes and improve existing inadequate information security management processes.</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Internal audits are conducted by internal auditors and relevant senior staff to assess and correct any deficiencies found in a timely manner.</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Assessment and certification of the organisation's information security management system by external assessors.</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Repeat the above process on a regular or irregular basis to improve on new information security management issues during the information security management system and retrograde.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 can be seen from the ISO27000 standard process for information item security management systems, the information security management system is a set of circular processes that conform to the Deming loop, as shown in Figure 3.</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object>
          <v:shape id="_x0000_i1027" o:spt="75" type="#_x0000_t75" style="height:152.4pt;width:390.6pt;" o:ole="t" filled="f" o:preferrelative="t" stroked="f" coordsize="21600,21600">
            <v:path/>
            <v:fill on="f" focussize="0,0"/>
            <v:stroke on="f"/>
            <v:imagedata r:id="rId10" o:title=""/>
            <o:lock v:ext="edit" aspectratio="f"/>
            <w10:wrap type="none"/>
            <w10:anchorlock/>
          </v:shape>
          <o:OLEObject Type="Embed" ProgID="Visio.Drawing.15" ShapeID="_x0000_i1027" DrawAspect="Content" ObjectID="_1468075727" r:id="rId9">
            <o:LockedField>false</o:LockedField>
          </o:OLEObject>
        </w:objec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Figure 3 ISO 27001:2005 Deming Circle</w:t>
      </w:r>
    </w:p>
    <w:p>
      <w:pPr>
        <w:widowControl/>
        <w:jc w:val="left"/>
        <w:rPr>
          <w:rFonts w:hint="default" w:ascii="Times New Roman" w:hAnsi="Times New Roman" w:eastAsia="宋体" w:cs="Times New Roman"/>
          <w:b/>
          <w:bCs/>
          <w:kern w:val="0"/>
          <w:sz w:val="28"/>
          <w:szCs w:val="28"/>
          <w:lang w:val="en-US" w:eastAsia="zh-CN"/>
        </w:rPr>
      </w:pPr>
      <w:r>
        <w:rPr>
          <w:rFonts w:hint="eastAsia" w:ascii="Times New Roman" w:hAnsi="Times New Roman" w:eastAsia="宋体" w:cs="Times New Roman"/>
          <w:b/>
          <w:bCs/>
          <w:kern w:val="0"/>
          <w:sz w:val="28"/>
          <w:szCs w:val="28"/>
          <w:lang w:val="en-US" w:eastAsia="zh-CN"/>
        </w:rPr>
        <w:t xml:space="preserve">4 </w:t>
      </w:r>
      <w:r>
        <w:rPr>
          <w:rFonts w:hint="default" w:ascii="Times New Roman" w:hAnsi="Times New Roman" w:eastAsia="宋体" w:cs="Times New Roman"/>
          <w:b/>
          <w:bCs/>
          <w:kern w:val="0"/>
          <w:sz w:val="28"/>
          <w:szCs w:val="28"/>
          <w:lang w:val="en-US" w:eastAsia="zh-CN"/>
        </w:rPr>
        <w:t>CoffeeBlend</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4.1 Current status of CoffeeBlend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CoffeeBlend's popularity as a seller of the world's most popular Jamaican coffee has brought in a large number of employees and customers. However, as there was no established policy covering the company's security needs, the volume of access was such that the cloud services used at this stage were unable to meet the current level of employee and customer data security. The security of the company's intellectual property information also needed to be upgraded.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Combining the P2DR security model and the ISO27000 series of standards, the company's information system security approach is designed in terms of the legal and ethical requirements for the company's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the company's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strategic planning, the company's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policy, the risk management system and the information security management system.</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 xml:space="preserve">4.2 Legal and ethical requirements for corporate </w:t>
      </w:r>
      <w:r>
        <w:rPr>
          <w:rFonts w:hint="eastAsia" w:ascii="Times New Roman" w:hAnsi="Times New Roman" w:eastAsia="PMingLiU" w:cs="Times New Roman"/>
          <w:b/>
          <w:bCs/>
          <w:kern w:val="0"/>
          <w:sz w:val="24"/>
          <w:szCs w:val="24"/>
          <w:lang w:val="en-US" w:eastAsia="zh-CN"/>
        </w:rPr>
        <w:t>network</w:t>
      </w:r>
      <w:r>
        <w:rPr>
          <w:rFonts w:hint="default" w:ascii="Times New Roman" w:hAnsi="Times New Roman" w:eastAsia="PMingLiU" w:cs="Times New Roman"/>
          <w:b/>
          <w:bCs/>
          <w:kern w:val="0"/>
          <w:sz w:val="24"/>
          <w:szCs w:val="24"/>
          <w:lang w:val="en-US" w:eastAsia="zh-CN"/>
        </w:rPr>
        <w:t xml:space="preserve"> security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CoffeeBlend has a large number of users using the company's cloud services, which is a web-based information system that is easy to use and fast to disseminate, but in a state of lack of management can greatly increase the potential for network information security.</w:t>
      </w:r>
      <w:r>
        <w:rPr>
          <w:rFonts w:hint="eastAsia" w:ascii="Times New Roman" w:hAnsi="Times New Roman" w:eastAsia="宋体" w:cs="Times New Roman"/>
          <w:kern w:val="0"/>
          <w:sz w:val="24"/>
          <w:szCs w:val="24"/>
          <w:lang w:val="en-US" w:eastAsia="zh-CN"/>
        </w:rPr>
        <w:t xml:space="preserve"> Therefore, such networked information systems need to be protected by law. For example, legal norms that can prevent intrusion into computer systems, norms that can combat the creation and dissemination of computer viruses and malware, norms that can protect the information network infrastructure and so 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At the same time, the company needs to focus on the security of employees' and customers' personal information and ensure that legal and ethical obligations are met by establishing strict systems for accessing, using and protecting employees' and customers' privacy. Strengthen the security of information on the network and check the information protection of CoffeeBlend's employees and customers to ensure that relevant policies or systems for information protection are in place.</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 xml:space="preserve">4.3 Corporate </w:t>
      </w:r>
      <w:r>
        <w:rPr>
          <w:rFonts w:hint="eastAsia" w:ascii="Times New Roman" w:hAnsi="Times New Roman" w:eastAsia="PMingLiU" w:cs="Times New Roman"/>
          <w:b/>
          <w:bCs/>
          <w:kern w:val="0"/>
          <w:sz w:val="24"/>
          <w:szCs w:val="24"/>
          <w:lang w:val="en-US" w:eastAsia="zh-CN"/>
        </w:rPr>
        <w:t>network</w:t>
      </w:r>
      <w:r>
        <w:rPr>
          <w:rFonts w:hint="default" w:ascii="Times New Roman" w:hAnsi="Times New Roman" w:eastAsia="PMingLiU" w:cs="Times New Roman"/>
          <w:b/>
          <w:bCs/>
          <w:kern w:val="0"/>
          <w:sz w:val="24"/>
          <w:szCs w:val="24"/>
          <w:lang w:val="en-US" w:eastAsia="zh-CN"/>
        </w:rPr>
        <w:t xml:space="preserve"> security strategic planning</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To address CoffeeBlend's current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issues, security governance and strategic planning based on the P2DR model was used. Also with a defense-in-depth mindset, the architecture design for its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is shown in the diagram.</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object>
          <v:shape id="_x0000_i1028" o:spt="75" type="#_x0000_t75" style="height:393.65pt;width:414.55pt;" o:ole="t" filled="f" o:preferrelative="t" stroked="f" coordsize="21600,21600">
            <v:path/>
            <v:fill on="f" focussize="0,0"/>
            <v:stroke on="f"/>
            <v:imagedata r:id="rId12" o:title=""/>
            <o:lock v:ext="edit" aspectratio="f"/>
            <w10:wrap type="none"/>
            <w10:anchorlock/>
          </v:shape>
          <o:OLEObject Type="Embed" ProgID="Visio.Drawing.15" ShapeID="_x0000_i1028" DrawAspect="Content" ObjectID="_1468075728" r:id="rId11">
            <o:LockedField>false</o:LockedField>
          </o:OLEObject>
        </w:objec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Figure 4 Network Security Protection System Architecture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The dynamic cycle of protection, detection and response is achieved from all angles through specific technical, management, engineering and personnel measures to continuously improve CoffeeBlend's </w:t>
      </w:r>
      <w:r>
        <w:rPr>
          <w:rFonts w:hint="eastAsia" w:ascii="Times New Roman" w:hAnsi="Times New Roman" w:eastAsia="宋体" w:cs="Times New Roman"/>
          <w:kern w:val="0"/>
          <w:sz w:val="24"/>
          <w:szCs w:val="24"/>
          <w:lang w:val="en-US" w:eastAsia="zh-CN"/>
        </w:rPr>
        <w:t>network</w:t>
      </w:r>
      <w:r>
        <w:rPr>
          <w:rFonts w:hint="default" w:ascii="Times New Roman" w:hAnsi="Times New Roman" w:eastAsia="宋体" w:cs="Times New Roman"/>
          <w:kern w:val="0"/>
          <w:sz w:val="24"/>
          <w:szCs w:val="24"/>
          <w:lang w:val="en-US" w:eastAsia="zh-CN"/>
        </w:rPr>
        <w:t xml:space="preserve"> security protection.</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4.4 Corporate Network Security Policies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With nearly 95% of CoffeeBlend's wireless network services, the company's network security system needed to have a level of protection against attacks. With a large number of employees and customers, the company needed to ensure the confidentiality of system data in transit and the security of the system platform at the system level. The company uses cloud services to provide IT services to employees and customers. Therefore, malicious attacks on the network or systems need to be detected in time and can be stopped.</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4.4.1 Access Control Policies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purpose of access control is to prevent illegal access and to achieve user identification and security control of important networks and servers. Measures such as the use of firewalls to control IP addresses, port numbers and so on, as well as the setting of application security proxies, enable the isolation of the internal protected network from the external network.</w:t>
      </w:r>
      <w:r>
        <w:rPr>
          <w:rFonts w:hint="eastAsia" w:ascii="Times New Roman" w:hAnsi="Times New Roman" w:eastAsia="宋体" w:cs="Times New Roman"/>
          <w:kern w:val="0"/>
          <w:sz w:val="24"/>
          <w:szCs w:val="24"/>
          <w:vertAlign w:val="superscript"/>
          <w:lang w:val="en-US" w:eastAsia="zh-CN"/>
        </w:rPr>
        <w:t>[8]</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Security rules are set according to the direction of information transmission in CoffeeBlend's cloud services, and also in the security rules, such as allow and deny operations. As CoffeeBlend allows employees and customers to access the company's network resources using their personal devices, it is necessary to set up access control according to the day of the week or specific times of the day. Access control focuses on ensuring that the company's network resources are not used illegally or accessed in an unlawful manner. Access policies are used to control which users can log on to the server and gain access to CoffeeBlend's network resources, and to control the amount of access time granted to users. If a hacker attempts to gain access to the network, the company's web server records the number of attempts to gain access and if the number of illegal accesses reaches a set value, the account is automatically locked out.</w:t>
      </w:r>
    </w:p>
    <w:p>
      <w:pPr>
        <w:widowControl/>
        <w:numPr>
          <w:ilvl w:val="0"/>
          <w:numId w:val="0"/>
        </w:numPr>
        <w:ind w:leftChars="0"/>
        <w:jc w:val="left"/>
        <w:rPr>
          <w:rFonts w:hint="eastAsia"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4.4.2 Intranet Interconnection Security Policy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Due to CoffeeBlend's multi-billion dollar portfolio of intellectual property, a robust security regime was required to protect intellectual property information and deter harmful attacks on intellectual property.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To ensure the security of CoffeeBlend's intellectual property information, firewall technology can be used. Firewall technology is used to prevent illegal and unauthorised access to intellectual property information, as well as to detect various intrusions, attacks and abnormal events and to inform the relevant company personnel in a responsive manner. Managers can use the alarm information to modify the corresponding security policies in a timely manner. The use of intrusion detection technology enables CoffeeBlend's system administrators to be aware of the network system at all times, providing a basis for the development of network security policies.</w:t>
      </w:r>
    </w:p>
    <w:p>
      <w:pPr>
        <w:widowControl/>
        <w:numPr>
          <w:ilvl w:val="0"/>
          <w:numId w:val="0"/>
        </w:numPr>
        <w:ind w:leftChars="0"/>
        <w:jc w:val="left"/>
        <w:rPr>
          <w:rFonts w:hint="eastAsia"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4.5 Risk management systems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ISO 27005 is the professional risk management guide in the ISO 27000 series. CoffeeBlend can therefore use an information security management process based on ISO 27005.</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pPr>
      <w:r>
        <w:object>
          <v:shape id="_x0000_i1029" o:spt="75" type="#_x0000_t75" style="height:499.8pt;width:415.15pt;" o:ole="t" filled="f" o:preferrelative="t" stroked="f" coordsize="21600,21600">
            <v:path/>
            <v:fill on="f" focussize="0,0"/>
            <v:stroke on="f"/>
            <v:imagedata r:id="rId14" o:title=""/>
            <o:lock v:ext="edit" aspectratio="f"/>
            <w10:wrap type="none"/>
            <w10:anchorlock/>
          </v:shape>
          <o:OLEObject Type="Embed" ProgID="Visio.Drawing.15" ShapeID="_x0000_i1029" DrawAspect="Content" ObjectID="_1468075729" r:id="rId13">
            <o:LockedField>false</o:LockedField>
          </o:OLEObject>
        </w:objec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eastAsia"/>
          <w:lang w:val="en-US" w:eastAsia="zh-CN"/>
        </w:rPr>
      </w:pPr>
      <w:r>
        <w:rPr>
          <w:rFonts w:hint="eastAsia" w:ascii="Times New Roman" w:hAnsi="Times New Roman" w:eastAsia="宋体" w:cs="Times New Roman"/>
          <w:kern w:val="0"/>
          <w:sz w:val="24"/>
          <w:szCs w:val="24"/>
          <w:lang w:val="en-US" w:eastAsia="zh-CN"/>
        </w:rPr>
        <w:t>Figure 5 Information security network risk management process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CoffeeBlend is exposed to the following risks: (1) public server security risk; (2) database service security risk; (3) virus attack security risk</w:t>
      </w:r>
      <w:r>
        <w:rPr>
          <w:rFonts w:hint="eastAsia" w:ascii="Times New Roman" w:hAnsi="Times New Roman" w:eastAsia="宋体" w:cs="Times New Roman"/>
          <w:kern w:val="0"/>
          <w:sz w:val="24"/>
          <w:szCs w:val="24"/>
          <w:lang w:val="en-US" w:eastAsia="zh-CN"/>
        </w:rPr>
        <w:t xml:space="preserve"> and so on</w:t>
      </w:r>
      <w:r>
        <w:rPr>
          <w:rFonts w:hint="default"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 CoffeeBlend allows access to company resources using personal devices, this could lead to a security risk for the public servers. Therefore it is necessary for the company to isolate the public server, the internal network and the external network to avoid leakage of information from the grid structure. Service requests to the external network should also be filtered so that only packets for normal communication reach the appropriate host, and other requested services should be rejected before they reach the host.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security risks to the database server include access by unauthorised users, gaining system administrator privileges through password guessing, vulnerability to attacks on the database server itself, and irrecoverability of data in the database due to accidents (hardware problems or software crashes). CoffeeBlend's database also contains valuable intellectual property information, so in order to prevent this information from being stolen from the database system, user authentication and access rights need to be set up.</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Virus programs can infiltrate the intranet through online downloads, e-mail, the use of pirated CDs or floppy disks, and artificial insertion. Therefore, the danger of viruses is not to be taken lightly. Once a host on the network is infected with a virus, it is entirely possible for the virus to spread rapidly to all hosts on the network within a very short period of time, potentially causing information leakage, file loss, machine crashes and other insecurity factors. For this reason, servers and clients need to install security patches for operating systems and major application software in a timely manner to reduce the possibility of viruses and trojans exploiting system vulnerabilities. Use higher versions of operating systems, newer versions of operating systems have a relatively higher threshold of attack, and strengthen staff awareness of network security protection and other protective measures.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Due to the presence of a large number of Internet users at CoffeeBlend, for individual users an encrypted disk software can be set up to open a separate area in the computer's hard drive to ensure file security through a variety of high-strength encryption technologies. Users can access the encrypted disk as easily as they would a normal partition with a password, encrypting private files such as personal photos, videos, internet logs, chat logs</w:t>
      </w:r>
      <w:r>
        <w:rPr>
          <w:rFonts w:hint="eastAsia" w:ascii="Times New Roman" w:hAnsi="Times New Roman" w:eastAsia="宋体" w:cs="Times New Roman"/>
          <w:kern w:val="0"/>
          <w:sz w:val="24"/>
          <w:szCs w:val="24"/>
          <w:lang w:val="en-US" w:eastAsia="zh-CN"/>
        </w:rPr>
        <w:t xml:space="preserve"> and so on</w:t>
      </w:r>
      <w:r>
        <w:rPr>
          <w:rFonts w:hint="default" w:ascii="Times New Roman" w:hAnsi="Times New Roman" w:eastAsia="宋体" w:cs="Times New Roman"/>
          <w:kern w:val="0"/>
          <w:sz w:val="24"/>
          <w:szCs w:val="24"/>
          <w:lang w:val="en-US" w:eastAsia="zh-CN"/>
        </w:rPr>
        <w:t>, completely eliminating the risk of personal privacy leaks.</w:t>
      </w:r>
    </w:p>
    <w:p>
      <w:pPr>
        <w:widowControl/>
        <w:numPr>
          <w:ilvl w:val="0"/>
          <w:numId w:val="0"/>
        </w:numPr>
        <w:ind w:leftChars="0"/>
        <w:jc w:val="left"/>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4.6 Information Security Management System</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In order to manage the information security of CoffeeBlend, an ISMS can be established through ISO27001 to achieve effective long-term management of security risks and to export the security risks or security requirements that exist as manageable security risks through the PDCA (Plan-Do-Check-Act) model applied to the ISMS.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object>
          <v:shape id="_x0000_i1030" o:spt="75" type="#_x0000_t75" style="height:240.4pt;width:414.85pt;" o:ole="t" filled="f" o:preferrelative="t" stroked="f" coordsize="21600,21600">
            <v:path/>
            <v:fill on="f" focussize="0,0"/>
            <v:stroke on="f"/>
            <v:imagedata r:id="rId16" o:title=""/>
            <o:lock v:ext="edit" aspectratio="f"/>
            <w10:wrap type="none"/>
            <w10:anchorlock/>
          </v:shape>
          <o:OLEObject Type="Embed" ProgID="Visio.Drawing.15" ShapeID="_x0000_i1030" DrawAspect="Content" ObjectID="_1468075730" r:id="rId15">
            <o:LockedField>false</o:LockedField>
          </o:OLEObject>
        </w:object>
      </w:r>
    </w:p>
    <w:p>
      <w:pPr>
        <w:keepNext w:val="0"/>
        <w:keepLines w:val="0"/>
        <w:pageBreakBefore w:val="0"/>
        <w:widowControl/>
        <w:kinsoku/>
        <w:wordWrap/>
        <w:overflowPunct/>
        <w:topLinePunct w:val="0"/>
        <w:autoSpaceDE/>
        <w:autoSpaceDN/>
        <w:bidi w:val="0"/>
        <w:adjustRightInd/>
        <w:snapToGrid/>
        <w:spacing w:line="400" w:lineRule="exact"/>
        <w:ind w:firstLine="0" w:firstLineChars="0"/>
        <w:jc w:val="center"/>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Figure 6 DCA model applied to the ISMS process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For the current information security problems of CoffeeBlend, they can be solved through the following four stages.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Planning to establish ISMS: Establishing an information security management system, including establishing a security management organisation and formulating an overall security strategy. And based on the current information security issues, propose security solutions.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Implementing and operating the ISMS: Implementing security solutions based on current information security issues and properly handling the security of such information.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Checking monitoring and reviewing ISMS: Checking whether information security issues are being managed effectively through professional security assessment.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(4) Maintain and improve the ISMS: Modify the information security management policy and adjust the scope of information security management based on the lessons learned from security incident handling and security risk assessment.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widowControl/>
        <w:jc w:val="both"/>
        <w:rPr>
          <w:rFonts w:hint="eastAsia" w:ascii="Times New Roman" w:hAnsi="Times New Roman" w:eastAsia="宋体" w:cs="Times New Roman"/>
          <w:b/>
          <w:bCs/>
          <w:kern w:val="0"/>
          <w:sz w:val="24"/>
          <w:szCs w:val="24"/>
          <w:lang w:val="en-US" w:eastAsia="zh-CN"/>
        </w:rPr>
      </w:pPr>
      <w:r>
        <w:rPr>
          <w:rFonts w:hint="eastAsia" w:ascii="Times New Roman" w:hAnsi="Times New Roman" w:eastAsia="宋体" w:cs="Times New Roman"/>
          <w:b/>
          <w:bCs/>
          <w:kern w:val="0"/>
          <w:sz w:val="24"/>
          <w:szCs w:val="24"/>
          <w:lang w:val="en-US" w:eastAsia="zh-CN"/>
        </w:rPr>
        <w:t>Reference</w:t>
      </w:r>
    </w:p>
    <w:p>
      <w:pPr>
        <w:widowControl/>
        <w:numPr>
          <w:ilvl w:val="0"/>
          <w:numId w:val="3"/>
        </w:numPr>
        <w:jc w:val="both"/>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Meng XJ, Shi G. A network security architecture based on P~2DR [J]. Computer Engineering,2004(04):99-101.</w:t>
      </w:r>
    </w:p>
    <w:p>
      <w:pPr>
        <w:widowControl/>
        <w:numPr>
          <w:ilvl w:val="0"/>
          <w:numId w:val="3"/>
        </w:numPr>
        <w:jc w:val="both"/>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Xu Zhongsheng, Luo Juanjuan. Research on the risk prevention and control system of logistics finance based on P2DR[J]. Journal of South China University (Social Science Edition),2014,15(06):33-39.DOI:10.13967/j.cnki.nhxb.2014.0058.</w:t>
      </w:r>
    </w:p>
    <w:p>
      <w:pPr>
        <w:widowControl/>
        <w:numPr>
          <w:ilvl w:val="0"/>
          <w:numId w:val="3"/>
        </w:numPr>
        <w:jc w:val="both"/>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Deng Diwen. Analysis of information security defense technology based on P2DR model[J]. Electronic Technology,2022,51(11):61-63.</w:t>
      </w:r>
    </w:p>
    <w:p>
      <w:pPr>
        <w:widowControl/>
        <w:numPr>
          <w:ilvl w:val="0"/>
          <w:numId w:val="3"/>
        </w:numPr>
        <w:jc w:val="both"/>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Jan Van Bon. ITIL-based IT Service Management Fundamentals. Tsinghua University Press, July 2007, P25-P153</w:t>
      </w:r>
    </w:p>
    <w:p>
      <w:pPr>
        <w:widowControl/>
        <w:numPr>
          <w:ilvl w:val="0"/>
          <w:numId w:val="3"/>
        </w:numPr>
        <w:jc w:val="both"/>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Chen Hongfeng,Zhang Liang,Huang Xinfeng et al. Hanwei ITIL V3 White Paper [M/OL]. Hanwei IT Management Research and Consulting Centre, 2007</w:t>
      </w:r>
    </w:p>
    <w:p>
      <w:pPr>
        <w:widowControl/>
        <w:numPr>
          <w:ilvl w:val="0"/>
          <w:numId w:val="3"/>
        </w:numPr>
        <w:jc w:val="both"/>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The ISO Survey of Management System Standard Certifications-2013［EB/OL］.［2015-08-17］.http://www.iso.org/iso/iso_sur vey_executive-summary.pdf?v2013</w:t>
      </w:r>
    </w:p>
    <w:p>
      <w:pPr>
        <w:widowControl/>
        <w:numPr>
          <w:ilvl w:val="0"/>
          <w:numId w:val="3"/>
        </w:numPr>
        <w:jc w:val="both"/>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Sinha M ,Gillies A. Improving the quality of information security management systems with ISO27000[J]. Tqm Journal, 2011, 23(4):367-376.</w:t>
      </w:r>
    </w:p>
    <w:p>
      <w:pPr>
        <w:widowControl/>
        <w:numPr>
          <w:ilvl w:val="0"/>
          <w:numId w:val="3"/>
        </w:numPr>
        <w:jc w:val="both"/>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Chunhua H U . A service trust negotiation and access control strategy based on SLA in cloud computin</w:t>
      </w:r>
      <w:bookmarkStart w:id="0" w:name="_GoBack"/>
      <w:bookmarkEnd w:id="0"/>
      <w:r>
        <w:rPr>
          <w:rFonts w:hint="eastAsia" w:ascii="Times New Roman" w:hAnsi="Times New Roman" w:eastAsia="宋体" w:cs="Times New Roman"/>
          <w:kern w:val="0"/>
          <w:sz w:val="24"/>
          <w:szCs w:val="24"/>
          <w:lang w:val="en-US" w:eastAsia="zh-CN"/>
        </w:rPr>
        <w:t>g[J]. entia Sinica, 2012, 42(3):314.</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MingLiU">
    <w:altName w:val="Microsoft JhengHei UI"/>
    <w:panose1 w:val="02010601000101010101"/>
    <w:charset w:val="88"/>
    <w:family w:val="roman"/>
    <w:pitch w:val="default"/>
    <w:sig w:usb0="00000000" w:usb1="00000000" w:usb2="00000016" w:usb3="00000000" w:csb0="00100001" w:csb1="00000000"/>
  </w:font>
  <w:font w:name="Cambria Math">
    <w:panose1 w:val="02040503050406030204"/>
    <w:charset w:val="00"/>
    <w:family w:val="auto"/>
    <w:pitch w:val="default"/>
    <w:sig w:usb0="E00006FF" w:usb1="420024FF" w:usb2="02000000" w:usb3="00000000" w:csb0="2000019F" w:csb1="00000000"/>
  </w:font>
  <w:font w:name="Microsoft JhengHei UI">
    <w:panose1 w:val="020B0604030504040204"/>
    <w:charset w:val="88"/>
    <w:family w:val="auto"/>
    <w:pitch w:val="default"/>
    <w:sig w:usb0="000002A7" w:usb1="28CF4400" w:usb2="00000016" w:usb3="00000000" w:csb0="00100009"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953C6CD"/>
    <w:multiLevelType w:val="singleLevel"/>
    <w:tmpl w:val="3953C6CD"/>
    <w:lvl w:ilvl="0" w:tentative="0">
      <w:start w:val="1"/>
      <w:numFmt w:val="decimal"/>
      <w:lvlText w:val="[%1]"/>
      <w:lvlJc w:val="left"/>
      <w:pPr>
        <w:tabs>
          <w:tab w:val="left" w:pos="312"/>
        </w:tabs>
      </w:pPr>
    </w:lvl>
  </w:abstractNum>
  <w:abstractNum w:abstractNumId="1">
    <w:nsid w:val="3ADE9B9F"/>
    <w:multiLevelType w:val="singleLevel"/>
    <w:tmpl w:val="3ADE9B9F"/>
    <w:lvl w:ilvl="0" w:tentative="0">
      <w:start w:val="1"/>
      <w:numFmt w:val="decimal"/>
      <w:suff w:val="space"/>
      <w:lvlText w:val="(%1)"/>
      <w:lvlJc w:val="left"/>
    </w:lvl>
  </w:abstractNum>
  <w:abstractNum w:abstractNumId="2">
    <w:nsid w:val="5CC3E67C"/>
    <w:multiLevelType w:val="multilevel"/>
    <w:tmpl w:val="5CC3E67C"/>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ViY2JkMjU3NGYzZTEwMzZmMGFkZWViYmNkYWU3NDIifQ=="/>
  </w:docVars>
  <w:rsids>
    <w:rsidRoot w:val="00000000"/>
    <w:rsid w:val="165C6608"/>
    <w:rsid w:val="3BB016B2"/>
    <w:rsid w:val="425B7544"/>
    <w:rsid w:val="62A260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spacing w:before="100" w:beforeAutospacing="1" w:after="100" w:afterAutospacing="1"/>
      <w:outlineLvl w:val="0"/>
    </w:pPr>
    <w:rPr>
      <w:rFonts w:ascii="宋体" w:hAnsi="宋体" w:cs="宋体"/>
      <w:b/>
      <w:bCs/>
      <w:kern w:val="36"/>
      <w:sz w:val="48"/>
      <w:szCs w:val="48"/>
      <w:lang w:val="en-US" w:eastAsia="zh-CN"/>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3.bin"/><Relationship Id="rId8" Type="http://schemas.openxmlformats.org/officeDocument/2006/relationships/image" Target="media/image3.emf"/><Relationship Id="rId7" Type="http://schemas.openxmlformats.org/officeDocument/2006/relationships/oleObject" Target="embeddings/oleObject2.bin"/><Relationship Id="rId6" Type="http://schemas.openxmlformats.org/officeDocument/2006/relationships/image" Target="media/image2.emf"/><Relationship Id="rId5" Type="http://schemas.openxmlformats.org/officeDocument/2006/relationships/oleObject" Target="embeddings/oleObject1.bin"/><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7.emf"/><Relationship Id="rId15" Type="http://schemas.openxmlformats.org/officeDocument/2006/relationships/oleObject" Target="embeddings/oleObject6.bin"/><Relationship Id="rId14" Type="http://schemas.openxmlformats.org/officeDocument/2006/relationships/image" Target="media/image6.emf"/><Relationship Id="rId13" Type="http://schemas.openxmlformats.org/officeDocument/2006/relationships/oleObject" Target="embeddings/oleObject5.bin"/><Relationship Id="rId12" Type="http://schemas.openxmlformats.org/officeDocument/2006/relationships/image" Target="media/image5.emf"/><Relationship Id="rId11" Type="http://schemas.openxmlformats.org/officeDocument/2006/relationships/oleObject" Target="embeddings/oleObject4.bin"/><Relationship Id="rId10" Type="http://schemas.openxmlformats.org/officeDocument/2006/relationships/image" Target="media/image4.e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2022-12-21T06:57:00Z</dcterms:created>
  <dc:creator>zwx</dc:creator>
  <cp:lastModifiedBy>曾文萱</cp:lastModifiedBy>
  <dcterms:modified xsi:type="dcterms:W3CDTF">2022-12-27T11:50:19Z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B92DB8E2FDCF45A6A6AF2F8BEE3D3F70</vt:lpwstr>
  </property>
</Properties>
</file>