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3648BE" w14:textId="3AAC58AD" w:rsidR="00B1217B" w:rsidRPr="00B1217B" w:rsidRDefault="00B1217B" w:rsidP="00B1217B">
      <w:pPr>
        <w:spacing w:line="278" w:lineRule="auto"/>
        <w:jc w:val="center"/>
        <w:rPr>
          <w:rFonts w:ascii="Arial" w:hAnsi="Arial" w:cs="Arial"/>
          <w:b/>
          <w:bCs/>
          <w:sz w:val="44"/>
          <w:szCs w:val="44"/>
        </w:rPr>
      </w:pPr>
      <w:r w:rsidRPr="00B1217B">
        <w:rPr>
          <w:rFonts w:ascii="Arial" w:hAnsi="Arial" w:cs="Arial"/>
          <w:b/>
          <w:bCs/>
          <w:sz w:val="44"/>
          <w:szCs w:val="44"/>
        </w:rPr>
        <w:t xml:space="preserve"> Master of Business Administration</w:t>
      </w:r>
    </w:p>
    <w:p w14:paraId="50E01AE1" w14:textId="679DE919" w:rsidR="00B1217B" w:rsidRDefault="00B1217B" w:rsidP="00B1217B">
      <w:pPr>
        <w:spacing w:line="278" w:lineRule="auto"/>
        <w:jc w:val="center"/>
        <w:rPr>
          <w:rFonts w:ascii="Arial" w:hAnsi="Arial" w:cs="Arial"/>
          <w:b/>
          <w:bCs/>
          <w:sz w:val="44"/>
          <w:szCs w:val="44"/>
        </w:rPr>
      </w:pPr>
      <w:r w:rsidRPr="00B1217B">
        <w:rPr>
          <w:rFonts w:ascii="Arial" w:hAnsi="Arial" w:cs="Arial"/>
          <w:b/>
          <w:bCs/>
          <w:sz w:val="44"/>
          <w:szCs w:val="44"/>
        </w:rPr>
        <w:t>Module: Dissertation</w:t>
      </w:r>
    </w:p>
    <w:p w14:paraId="47F9DB70" w14:textId="68538499" w:rsidR="00B1217B" w:rsidRPr="00B1217B" w:rsidRDefault="00B1217B" w:rsidP="00B1217B">
      <w:pPr>
        <w:spacing w:line="278" w:lineRule="auto"/>
        <w:jc w:val="center"/>
        <w:rPr>
          <w:rFonts w:ascii="Arial" w:hAnsi="Arial" w:cs="Arial"/>
          <w:b/>
          <w:bCs/>
          <w:sz w:val="44"/>
          <w:szCs w:val="44"/>
        </w:rPr>
      </w:pPr>
      <w:r w:rsidRPr="00B1217B">
        <w:rPr>
          <w:rFonts w:ascii="Arial" w:hAnsi="Arial" w:cs="Arial"/>
          <w:b/>
          <w:bCs/>
          <w:sz w:val="44"/>
          <w:szCs w:val="44"/>
        </w:rPr>
        <w:t>Student Id: 212683</w:t>
      </w:r>
      <w:r>
        <w:rPr>
          <w:rFonts w:ascii="Arial" w:hAnsi="Arial" w:cs="Arial"/>
          <w:b/>
          <w:bCs/>
          <w:sz w:val="44"/>
          <w:szCs w:val="44"/>
        </w:rPr>
        <w:t>3</w:t>
      </w:r>
    </w:p>
    <w:p w14:paraId="407409CC" w14:textId="758DFEDC" w:rsidR="00B1217B" w:rsidRPr="00B1217B" w:rsidRDefault="00B1217B" w:rsidP="00B1217B">
      <w:pPr>
        <w:spacing w:line="278" w:lineRule="auto"/>
        <w:jc w:val="center"/>
        <w:rPr>
          <w:rFonts w:ascii="Arial" w:hAnsi="Arial" w:cs="Arial"/>
          <w:b/>
          <w:bCs/>
          <w:sz w:val="44"/>
          <w:szCs w:val="44"/>
        </w:rPr>
      </w:pPr>
      <w:r w:rsidRPr="00B1217B">
        <w:rPr>
          <w:rFonts w:ascii="Arial" w:hAnsi="Arial" w:cs="Arial"/>
          <w:b/>
          <w:bCs/>
          <w:sz w:val="44"/>
          <w:szCs w:val="44"/>
        </w:rPr>
        <w:t xml:space="preserve">Student name: </w:t>
      </w:r>
      <w:r>
        <w:rPr>
          <w:rFonts w:ascii="Arial" w:hAnsi="Arial" w:cs="Arial"/>
          <w:b/>
          <w:bCs/>
          <w:sz w:val="44"/>
          <w:szCs w:val="44"/>
        </w:rPr>
        <w:t xml:space="preserve">Stefan Cristian Costache </w:t>
      </w:r>
    </w:p>
    <w:p w14:paraId="1F4F3D47" w14:textId="77777777" w:rsidR="00B1217B" w:rsidRDefault="00B1217B" w:rsidP="00B1217B">
      <w:pPr>
        <w:spacing w:line="278" w:lineRule="auto"/>
        <w:rPr>
          <w:rFonts w:ascii="Arial" w:hAnsi="Arial" w:cs="Arial"/>
          <w:b/>
          <w:bCs/>
          <w:sz w:val="44"/>
          <w:szCs w:val="44"/>
        </w:rPr>
      </w:pPr>
    </w:p>
    <w:p w14:paraId="046AA9D5" w14:textId="77777777" w:rsidR="00B1217B" w:rsidRDefault="00B1217B" w:rsidP="007F06F0">
      <w:pPr>
        <w:spacing w:line="278" w:lineRule="auto"/>
        <w:jc w:val="center"/>
        <w:rPr>
          <w:rFonts w:ascii="Arial" w:hAnsi="Arial" w:cs="Arial"/>
          <w:b/>
          <w:bCs/>
          <w:sz w:val="44"/>
          <w:szCs w:val="44"/>
        </w:rPr>
      </w:pPr>
    </w:p>
    <w:p w14:paraId="69298568" w14:textId="77777777" w:rsidR="00B1217B" w:rsidRDefault="00B1217B" w:rsidP="007F06F0">
      <w:pPr>
        <w:spacing w:line="278" w:lineRule="auto"/>
        <w:jc w:val="center"/>
        <w:rPr>
          <w:rFonts w:ascii="Arial" w:hAnsi="Arial" w:cs="Arial"/>
          <w:b/>
          <w:bCs/>
          <w:sz w:val="44"/>
          <w:szCs w:val="44"/>
        </w:rPr>
      </w:pPr>
    </w:p>
    <w:p w14:paraId="24B9D786" w14:textId="77777777" w:rsidR="00B1217B" w:rsidRDefault="00B1217B" w:rsidP="007F06F0">
      <w:pPr>
        <w:spacing w:line="278" w:lineRule="auto"/>
        <w:jc w:val="center"/>
        <w:rPr>
          <w:rFonts w:ascii="Arial" w:hAnsi="Arial" w:cs="Arial"/>
          <w:b/>
          <w:bCs/>
          <w:sz w:val="44"/>
          <w:szCs w:val="44"/>
        </w:rPr>
      </w:pPr>
    </w:p>
    <w:p w14:paraId="390DB189" w14:textId="78EFDB37" w:rsidR="001855E7" w:rsidRPr="006B6378" w:rsidRDefault="007F06F0" w:rsidP="007F06F0">
      <w:pPr>
        <w:spacing w:line="278" w:lineRule="auto"/>
        <w:jc w:val="center"/>
        <w:rPr>
          <w:rFonts w:ascii="Arial" w:hAnsi="Arial" w:cs="Arial"/>
          <w:b/>
          <w:bCs/>
          <w:sz w:val="44"/>
          <w:szCs w:val="44"/>
        </w:rPr>
      </w:pPr>
      <w:r w:rsidRPr="006B6378">
        <w:rPr>
          <w:rFonts w:ascii="Arial" w:hAnsi="Arial" w:cs="Arial"/>
          <w:b/>
          <w:bCs/>
          <w:sz w:val="44"/>
          <w:szCs w:val="44"/>
        </w:rPr>
        <w:t>The Role of Financial Risk Management in Enhancing the Performance of Forex Trading Investments</w:t>
      </w:r>
    </w:p>
    <w:p w14:paraId="5D65C9E5" w14:textId="77777777" w:rsidR="001855E7" w:rsidRPr="00E258A7" w:rsidRDefault="001855E7">
      <w:pPr>
        <w:spacing w:line="278" w:lineRule="auto"/>
        <w:jc w:val="left"/>
        <w:rPr>
          <w:rFonts w:ascii="Arial" w:hAnsi="Arial" w:cs="Arial"/>
          <w:b/>
          <w:bCs/>
          <w:i/>
          <w:iCs/>
          <w:sz w:val="44"/>
          <w:szCs w:val="44"/>
        </w:rPr>
      </w:pPr>
      <w:r w:rsidRPr="00E258A7">
        <w:rPr>
          <w:rFonts w:ascii="Arial" w:hAnsi="Arial" w:cs="Arial"/>
          <w:b/>
          <w:bCs/>
          <w:i/>
          <w:iCs/>
          <w:sz w:val="44"/>
          <w:szCs w:val="44"/>
        </w:rPr>
        <w:br w:type="page"/>
      </w:r>
    </w:p>
    <w:sdt>
      <w:sdtPr>
        <w:rPr>
          <w:rFonts w:ascii="Arial" w:eastAsiaTheme="minorHAnsi" w:hAnsi="Arial" w:cs="Arial"/>
          <w:b/>
          <w:bCs/>
          <w:color w:val="000000" w:themeColor="text1"/>
          <w:kern w:val="2"/>
          <w:sz w:val="24"/>
          <w:szCs w:val="24"/>
          <w:lang w:val="en-GB"/>
          <w14:ligatures w14:val="standardContextual"/>
        </w:rPr>
        <w:id w:val="-794373459"/>
        <w:docPartObj>
          <w:docPartGallery w:val="Table of Contents"/>
          <w:docPartUnique/>
        </w:docPartObj>
      </w:sdtPr>
      <w:sdtEndPr>
        <w:rPr>
          <w:rFonts w:eastAsiaTheme="minorEastAsia"/>
          <w:noProof/>
          <w:color w:val="auto"/>
        </w:rPr>
      </w:sdtEndPr>
      <w:sdtContent>
        <w:p w14:paraId="76094E5A" w14:textId="190ED023" w:rsidR="001855E7" w:rsidRPr="00E258A7" w:rsidRDefault="001855E7" w:rsidP="001855E7">
          <w:pPr>
            <w:pStyle w:val="TOCHeading"/>
            <w:spacing w:line="360" w:lineRule="auto"/>
            <w:rPr>
              <w:rFonts w:ascii="Arial" w:hAnsi="Arial" w:cs="Arial"/>
              <w:b/>
              <w:bCs/>
              <w:color w:val="000000" w:themeColor="text1"/>
            </w:rPr>
          </w:pPr>
          <w:r w:rsidRPr="00E258A7">
            <w:rPr>
              <w:rFonts w:ascii="Arial" w:hAnsi="Arial" w:cs="Arial"/>
              <w:b/>
              <w:bCs/>
              <w:color w:val="000000" w:themeColor="text1"/>
            </w:rPr>
            <w:t>Table of Contents</w:t>
          </w:r>
        </w:p>
        <w:p w14:paraId="507B299B" w14:textId="33474F17" w:rsidR="00EF2A9B" w:rsidRDefault="001855E7">
          <w:pPr>
            <w:pStyle w:val="TOC1"/>
            <w:tabs>
              <w:tab w:val="right" w:leader="dot" w:pos="9016"/>
            </w:tabs>
            <w:rPr>
              <w:rFonts w:asciiTheme="minorHAnsi" w:hAnsiTheme="minorHAnsi"/>
              <w:noProof/>
              <w:lang w:eastAsia="en-GB"/>
            </w:rPr>
          </w:pPr>
          <w:r w:rsidRPr="00E258A7">
            <w:rPr>
              <w:rFonts w:ascii="Arial" w:hAnsi="Arial" w:cs="Arial"/>
            </w:rPr>
            <w:fldChar w:fldCharType="begin"/>
          </w:r>
          <w:r w:rsidRPr="00E258A7">
            <w:rPr>
              <w:rFonts w:ascii="Arial" w:hAnsi="Arial" w:cs="Arial"/>
            </w:rPr>
            <w:instrText xml:space="preserve"> TOC \o "1-3" \h \z \u </w:instrText>
          </w:r>
          <w:r w:rsidRPr="00E258A7">
            <w:rPr>
              <w:rFonts w:ascii="Arial" w:hAnsi="Arial" w:cs="Arial"/>
            </w:rPr>
            <w:fldChar w:fldCharType="separate"/>
          </w:r>
          <w:hyperlink w:anchor="_Toc221799721" w:history="1">
            <w:r w:rsidR="00EF2A9B" w:rsidRPr="00754FFD">
              <w:rPr>
                <w:rStyle w:val="Hyperlink"/>
                <w:rFonts w:ascii="Arial" w:hAnsi="Arial" w:cs="Arial"/>
                <w:noProof/>
              </w:rPr>
              <w:t>1. Introduction / Background / Research Problem</w:t>
            </w:r>
            <w:r w:rsidR="00EF2A9B">
              <w:rPr>
                <w:noProof/>
                <w:webHidden/>
              </w:rPr>
              <w:tab/>
            </w:r>
            <w:r w:rsidR="00EF2A9B">
              <w:rPr>
                <w:noProof/>
                <w:webHidden/>
              </w:rPr>
              <w:fldChar w:fldCharType="begin"/>
            </w:r>
            <w:r w:rsidR="00EF2A9B">
              <w:rPr>
                <w:noProof/>
                <w:webHidden/>
              </w:rPr>
              <w:instrText xml:space="preserve"> PAGEREF _Toc221799721 \h </w:instrText>
            </w:r>
            <w:r w:rsidR="00EF2A9B">
              <w:rPr>
                <w:noProof/>
                <w:webHidden/>
              </w:rPr>
            </w:r>
            <w:r w:rsidR="00EF2A9B">
              <w:rPr>
                <w:noProof/>
                <w:webHidden/>
              </w:rPr>
              <w:fldChar w:fldCharType="separate"/>
            </w:r>
            <w:r w:rsidR="00EF2A9B">
              <w:rPr>
                <w:noProof/>
                <w:webHidden/>
              </w:rPr>
              <w:t>3</w:t>
            </w:r>
            <w:r w:rsidR="00EF2A9B">
              <w:rPr>
                <w:noProof/>
                <w:webHidden/>
              </w:rPr>
              <w:fldChar w:fldCharType="end"/>
            </w:r>
          </w:hyperlink>
        </w:p>
        <w:p w14:paraId="1FF80E94" w14:textId="353EAB56" w:rsidR="00EF2A9B" w:rsidRDefault="00EF2A9B">
          <w:pPr>
            <w:pStyle w:val="TOC1"/>
            <w:tabs>
              <w:tab w:val="right" w:leader="dot" w:pos="9016"/>
            </w:tabs>
            <w:rPr>
              <w:rFonts w:asciiTheme="minorHAnsi" w:hAnsiTheme="minorHAnsi"/>
              <w:noProof/>
              <w:lang w:eastAsia="en-GB"/>
            </w:rPr>
          </w:pPr>
          <w:hyperlink w:anchor="_Toc221799722" w:history="1">
            <w:r w:rsidRPr="00754FFD">
              <w:rPr>
                <w:rStyle w:val="Hyperlink"/>
                <w:rFonts w:ascii="Arial" w:hAnsi="Arial" w:cs="Arial"/>
                <w:noProof/>
              </w:rPr>
              <w:t>2. Research Aim, Objectives and Questions</w:t>
            </w:r>
            <w:r>
              <w:rPr>
                <w:noProof/>
                <w:webHidden/>
              </w:rPr>
              <w:tab/>
            </w:r>
            <w:r>
              <w:rPr>
                <w:noProof/>
                <w:webHidden/>
              </w:rPr>
              <w:fldChar w:fldCharType="begin"/>
            </w:r>
            <w:r>
              <w:rPr>
                <w:noProof/>
                <w:webHidden/>
              </w:rPr>
              <w:instrText xml:space="preserve"> PAGEREF _Toc221799722 \h </w:instrText>
            </w:r>
            <w:r>
              <w:rPr>
                <w:noProof/>
                <w:webHidden/>
              </w:rPr>
            </w:r>
            <w:r>
              <w:rPr>
                <w:noProof/>
                <w:webHidden/>
              </w:rPr>
              <w:fldChar w:fldCharType="separate"/>
            </w:r>
            <w:r>
              <w:rPr>
                <w:noProof/>
                <w:webHidden/>
              </w:rPr>
              <w:t>5</w:t>
            </w:r>
            <w:r>
              <w:rPr>
                <w:noProof/>
                <w:webHidden/>
              </w:rPr>
              <w:fldChar w:fldCharType="end"/>
            </w:r>
          </w:hyperlink>
        </w:p>
        <w:p w14:paraId="0A54137E" w14:textId="6B867356" w:rsidR="00EF2A9B" w:rsidRDefault="00EF2A9B">
          <w:pPr>
            <w:pStyle w:val="TOC1"/>
            <w:tabs>
              <w:tab w:val="right" w:leader="dot" w:pos="9016"/>
            </w:tabs>
            <w:rPr>
              <w:rFonts w:asciiTheme="minorHAnsi" w:hAnsiTheme="minorHAnsi"/>
              <w:noProof/>
              <w:lang w:eastAsia="en-GB"/>
            </w:rPr>
          </w:pPr>
          <w:hyperlink w:anchor="_Toc221799723" w:history="1">
            <w:r w:rsidRPr="00754FFD">
              <w:rPr>
                <w:rStyle w:val="Hyperlink"/>
                <w:rFonts w:ascii="Arial" w:hAnsi="Arial" w:cs="Arial"/>
                <w:noProof/>
              </w:rPr>
              <w:t>3. Preliminary Literature Search</w:t>
            </w:r>
            <w:r>
              <w:rPr>
                <w:noProof/>
                <w:webHidden/>
              </w:rPr>
              <w:tab/>
            </w:r>
            <w:r>
              <w:rPr>
                <w:noProof/>
                <w:webHidden/>
              </w:rPr>
              <w:fldChar w:fldCharType="begin"/>
            </w:r>
            <w:r>
              <w:rPr>
                <w:noProof/>
                <w:webHidden/>
              </w:rPr>
              <w:instrText xml:space="preserve"> PAGEREF _Toc221799723 \h </w:instrText>
            </w:r>
            <w:r>
              <w:rPr>
                <w:noProof/>
                <w:webHidden/>
              </w:rPr>
            </w:r>
            <w:r>
              <w:rPr>
                <w:noProof/>
                <w:webHidden/>
              </w:rPr>
              <w:fldChar w:fldCharType="separate"/>
            </w:r>
            <w:r>
              <w:rPr>
                <w:noProof/>
                <w:webHidden/>
              </w:rPr>
              <w:t>6</w:t>
            </w:r>
            <w:r>
              <w:rPr>
                <w:noProof/>
                <w:webHidden/>
              </w:rPr>
              <w:fldChar w:fldCharType="end"/>
            </w:r>
          </w:hyperlink>
        </w:p>
        <w:p w14:paraId="567C8670" w14:textId="43B516F1" w:rsidR="00EF2A9B" w:rsidRDefault="00EF2A9B">
          <w:pPr>
            <w:pStyle w:val="TOC1"/>
            <w:tabs>
              <w:tab w:val="right" w:leader="dot" w:pos="9016"/>
            </w:tabs>
            <w:rPr>
              <w:rFonts w:asciiTheme="minorHAnsi" w:hAnsiTheme="minorHAnsi"/>
              <w:noProof/>
              <w:lang w:eastAsia="en-GB"/>
            </w:rPr>
          </w:pPr>
          <w:hyperlink w:anchor="_Toc221799724" w:history="1">
            <w:r w:rsidRPr="00754FFD">
              <w:rPr>
                <w:rStyle w:val="Hyperlink"/>
                <w:rFonts w:ascii="Arial" w:hAnsi="Arial" w:cs="Arial"/>
                <w:noProof/>
              </w:rPr>
              <w:t>4. Research Methodology</w:t>
            </w:r>
            <w:r>
              <w:rPr>
                <w:noProof/>
                <w:webHidden/>
              </w:rPr>
              <w:tab/>
            </w:r>
            <w:r>
              <w:rPr>
                <w:noProof/>
                <w:webHidden/>
              </w:rPr>
              <w:fldChar w:fldCharType="begin"/>
            </w:r>
            <w:r>
              <w:rPr>
                <w:noProof/>
                <w:webHidden/>
              </w:rPr>
              <w:instrText xml:space="preserve"> PAGEREF _Toc221799724 \h </w:instrText>
            </w:r>
            <w:r>
              <w:rPr>
                <w:noProof/>
                <w:webHidden/>
              </w:rPr>
            </w:r>
            <w:r>
              <w:rPr>
                <w:noProof/>
                <w:webHidden/>
              </w:rPr>
              <w:fldChar w:fldCharType="separate"/>
            </w:r>
            <w:r>
              <w:rPr>
                <w:noProof/>
                <w:webHidden/>
              </w:rPr>
              <w:t>9</w:t>
            </w:r>
            <w:r>
              <w:rPr>
                <w:noProof/>
                <w:webHidden/>
              </w:rPr>
              <w:fldChar w:fldCharType="end"/>
            </w:r>
          </w:hyperlink>
        </w:p>
        <w:p w14:paraId="023E6356" w14:textId="061E21F1" w:rsidR="00EF2A9B" w:rsidRDefault="00EF2A9B">
          <w:pPr>
            <w:pStyle w:val="TOC1"/>
            <w:tabs>
              <w:tab w:val="right" w:leader="dot" w:pos="9016"/>
            </w:tabs>
            <w:rPr>
              <w:rFonts w:asciiTheme="minorHAnsi" w:hAnsiTheme="minorHAnsi"/>
              <w:noProof/>
              <w:lang w:eastAsia="en-GB"/>
            </w:rPr>
          </w:pPr>
          <w:hyperlink w:anchor="_Toc221799725" w:history="1">
            <w:r w:rsidRPr="00754FFD">
              <w:rPr>
                <w:rStyle w:val="Hyperlink"/>
                <w:rFonts w:ascii="Arial" w:hAnsi="Arial" w:cs="Arial"/>
                <w:noProof/>
              </w:rPr>
              <w:t>5. Risks and Limitations</w:t>
            </w:r>
            <w:r>
              <w:rPr>
                <w:noProof/>
                <w:webHidden/>
              </w:rPr>
              <w:tab/>
            </w:r>
            <w:r>
              <w:rPr>
                <w:noProof/>
                <w:webHidden/>
              </w:rPr>
              <w:fldChar w:fldCharType="begin"/>
            </w:r>
            <w:r>
              <w:rPr>
                <w:noProof/>
                <w:webHidden/>
              </w:rPr>
              <w:instrText xml:space="preserve"> PAGEREF _Toc221799725 \h </w:instrText>
            </w:r>
            <w:r>
              <w:rPr>
                <w:noProof/>
                <w:webHidden/>
              </w:rPr>
            </w:r>
            <w:r>
              <w:rPr>
                <w:noProof/>
                <w:webHidden/>
              </w:rPr>
              <w:fldChar w:fldCharType="separate"/>
            </w:r>
            <w:r>
              <w:rPr>
                <w:noProof/>
                <w:webHidden/>
              </w:rPr>
              <w:t>10</w:t>
            </w:r>
            <w:r>
              <w:rPr>
                <w:noProof/>
                <w:webHidden/>
              </w:rPr>
              <w:fldChar w:fldCharType="end"/>
            </w:r>
          </w:hyperlink>
        </w:p>
        <w:p w14:paraId="2E759C41" w14:textId="66A0CB08" w:rsidR="00EF2A9B" w:rsidRDefault="00EF2A9B">
          <w:pPr>
            <w:pStyle w:val="TOC1"/>
            <w:tabs>
              <w:tab w:val="right" w:leader="dot" w:pos="9016"/>
            </w:tabs>
            <w:rPr>
              <w:rFonts w:asciiTheme="minorHAnsi" w:hAnsiTheme="minorHAnsi"/>
              <w:noProof/>
              <w:lang w:eastAsia="en-GB"/>
            </w:rPr>
          </w:pPr>
          <w:hyperlink w:anchor="_Toc221799726" w:history="1">
            <w:r w:rsidRPr="00754FFD">
              <w:rPr>
                <w:rStyle w:val="Hyperlink"/>
                <w:rFonts w:ascii="Arial" w:hAnsi="Arial" w:cs="Arial"/>
                <w:noProof/>
              </w:rPr>
              <w:t>6. Timeline</w:t>
            </w:r>
            <w:r>
              <w:rPr>
                <w:noProof/>
                <w:webHidden/>
              </w:rPr>
              <w:tab/>
            </w:r>
            <w:r>
              <w:rPr>
                <w:noProof/>
                <w:webHidden/>
              </w:rPr>
              <w:fldChar w:fldCharType="begin"/>
            </w:r>
            <w:r>
              <w:rPr>
                <w:noProof/>
                <w:webHidden/>
              </w:rPr>
              <w:instrText xml:space="preserve"> PAGEREF _Toc221799726 \h </w:instrText>
            </w:r>
            <w:r>
              <w:rPr>
                <w:noProof/>
                <w:webHidden/>
              </w:rPr>
            </w:r>
            <w:r>
              <w:rPr>
                <w:noProof/>
                <w:webHidden/>
              </w:rPr>
              <w:fldChar w:fldCharType="separate"/>
            </w:r>
            <w:r>
              <w:rPr>
                <w:noProof/>
                <w:webHidden/>
              </w:rPr>
              <w:t>11</w:t>
            </w:r>
            <w:r>
              <w:rPr>
                <w:noProof/>
                <w:webHidden/>
              </w:rPr>
              <w:fldChar w:fldCharType="end"/>
            </w:r>
          </w:hyperlink>
        </w:p>
        <w:p w14:paraId="70F8446D" w14:textId="463DF822" w:rsidR="00EF2A9B" w:rsidRDefault="00EF2A9B">
          <w:pPr>
            <w:pStyle w:val="TOC1"/>
            <w:tabs>
              <w:tab w:val="right" w:leader="dot" w:pos="9016"/>
            </w:tabs>
            <w:rPr>
              <w:rFonts w:asciiTheme="minorHAnsi" w:hAnsiTheme="minorHAnsi"/>
              <w:noProof/>
              <w:lang w:eastAsia="en-GB"/>
            </w:rPr>
          </w:pPr>
          <w:hyperlink w:anchor="_Toc221799727" w:history="1">
            <w:r w:rsidRPr="00754FF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_Toc221799727 \h </w:instrText>
            </w:r>
            <w:r>
              <w:rPr>
                <w:noProof/>
                <w:webHidden/>
              </w:rPr>
            </w:r>
            <w:r>
              <w:rPr>
                <w:noProof/>
                <w:webHidden/>
              </w:rPr>
              <w:fldChar w:fldCharType="separate"/>
            </w:r>
            <w:r>
              <w:rPr>
                <w:noProof/>
                <w:webHidden/>
              </w:rPr>
              <w:t>12</w:t>
            </w:r>
            <w:r>
              <w:rPr>
                <w:noProof/>
                <w:webHidden/>
              </w:rPr>
              <w:fldChar w:fldCharType="end"/>
            </w:r>
          </w:hyperlink>
        </w:p>
        <w:p w14:paraId="5E0FC09D" w14:textId="7F660021" w:rsidR="001855E7" w:rsidRPr="00E258A7" w:rsidRDefault="001855E7" w:rsidP="001855E7">
          <w:pPr>
            <w:rPr>
              <w:rFonts w:ascii="Arial" w:hAnsi="Arial" w:cs="Arial"/>
            </w:rPr>
          </w:pPr>
          <w:r w:rsidRPr="00E258A7">
            <w:rPr>
              <w:rFonts w:ascii="Arial" w:hAnsi="Arial" w:cs="Arial"/>
              <w:b/>
              <w:bCs/>
              <w:noProof/>
            </w:rPr>
            <w:fldChar w:fldCharType="end"/>
          </w:r>
        </w:p>
      </w:sdtContent>
    </w:sdt>
    <w:p w14:paraId="53DDE5C3" w14:textId="5D6095F5" w:rsidR="00420FC9" w:rsidRPr="00E258A7" w:rsidRDefault="00420FC9" w:rsidP="001855E7">
      <w:pPr>
        <w:spacing w:line="278" w:lineRule="auto"/>
        <w:jc w:val="left"/>
        <w:rPr>
          <w:rFonts w:ascii="Arial" w:hAnsi="Arial" w:cs="Arial"/>
          <w:b/>
          <w:bCs/>
          <w:sz w:val="44"/>
          <w:szCs w:val="44"/>
        </w:rPr>
      </w:pPr>
      <w:r w:rsidRPr="00E258A7">
        <w:rPr>
          <w:rFonts w:ascii="Arial" w:hAnsi="Arial" w:cs="Arial"/>
          <w:b/>
          <w:bCs/>
          <w:sz w:val="44"/>
          <w:szCs w:val="44"/>
        </w:rPr>
        <w:br w:type="page"/>
      </w:r>
    </w:p>
    <w:p w14:paraId="41EA7C62" w14:textId="4F2F428C" w:rsidR="007F06F0" w:rsidRPr="00E258A7" w:rsidRDefault="007F06F0" w:rsidP="009E68D2">
      <w:pPr>
        <w:pStyle w:val="Heading1"/>
        <w:rPr>
          <w:rFonts w:ascii="Arial" w:hAnsi="Arial" w:cs="Arial"/>
        </w:rPr>
      </w:pPr>
      <w:bookmarkStart w:id="0" w:name="_Toc221799721"/>
      <w:r w:rsidRPr="00E258A7">
        <w:rPr>
          <w:rFonts w:ascii="Arial" w:hAnsi="Arial" w:cs="Arial"/>
        </w:rPr>
        <w:lastRenderedPageBreak/>
        <w:t>1. Introduction / Background / Research Problem</w:t>
      </w:r>
      <w:bookmarkEnd w:id="0"/>
    </w:p>
    <w:p w14:paraId="5778DB00" w14:textId="62F80F7D" w:rsidR="00B40E45" w:rsidRPr="00E258A7" w:rsidRDefault="00861462" w:rsidP="000E59D8">
      <w:pPr>
        <w:rPr>
          <w:rFonts w:ascii="Arial" w:hAnsi="Arial" w:cs="Arial"/>
        </w:rPr>
      </w:pPr>
      <w:r w:rsidRPr="00E258A7">
        <w:rPr>
          <w:rFonts w:ascii="Arial" w:hAnsi="Arial" w:cs="Arial"/>
        </w:rPr>
        <w:t>The foreign exchange (Forex) market represents the backbone of the global financial system, facilitating international trade, cross-border investment and multinational business operations.</w:t>
      </w:r>
      <w:r w:rsidR="007F06F0" w:rsidRPr="00E258A7">
        <w:rPr>
          <w:rFonts w:ascii="Arial" w:hAnsi="Arial" w:cs="Arial"/>
        </w:rPr>
        <w:t xml:space="preserve"> Currency markets are of strategic significance to international business and finance given that volumes of trading in the currency markets are higher than the trade in the combined global equity and bond markets. Although tremendously in-depth and liquid, the Forex market has a highly volatile nature that is leveraged and sensitive to both the macroeconomic, political and financial shocks, which make it a high</w:t>
      </w:r>
      <w:r w:rsidR="00257741" w:rsidRPr="00E258A7">
        <w:rPr>
          <w:rFonts w:ascii="Arial" w:hAnsi="Arial" w:cs="Arial"/>
        </w:rPr>
        <w:t>-</w:t>
      </w:r>
      <w:r w:rsidR="007F06F0" w:rsidRPr="00E258A7">
        <w:rPr>
          <w:rFonts w:ascii="Arial" w:hAnsi="Arial" w:cs="Arial"/>
        </w:rPr>
        <w:t xml:space="preserve">risk </w:t>
      </w:r>
      <w:r w:rsidR="00257741" w:rsidRPr="00E258A7">
        <w:rPr>
          <w:rFonts w:ascii="Arial" w:hAnsi="Arial" w:cs="Arial"/>
        </w:rPr>
        <w:t xml:space="preserve">environment </w:t>
      </w:r>
      <w:r w:rsidR="007F06F0" w:rsidRPr="00E258A7">
        <w:rPr>
          <w:rFonts w:ascii="Arial" w:hAnsi="Arial" w:cs="Arial"/>
        </w:rPr>
        <w:t xml:space="preserve">traders and investors. </w:t>
      </w:r>
    </w:p>
    <w:p w14:paraId="2EBA4654" w14:textId="14ACB6B9" w:rsidR="00B40E45" w:rsidRPr="00E258A7" w:rsidRDefault="007F06F0" w:rsidP="000E59D8">
      <w:pPr>
        <w:rPr>
          <w:rFonts w:ascii="Arial" w:hAnsi="Arial" w:cs="Arial"/>
        </w:rPr>
      </w:pPr>
      <w:r w:rsidRPr="00E258A7">
        <w:rPr>
          <w:rFonts w:ascii="Arial" w:hAnsi="Arial" w:cs="Arial"/>
        </w:rPr>
        <w:t xml:space="preserve">Other aspects that have increased financial uncertainty in the world in the past years include the COVID-19 pandemic, geopolitical </w:t>
      </w:r>
      <w:r w:rsidR="00257741" w:rsidRPr="00E258A7">
        <w:rPr>
          <w:rFonts w:ascii="Arial" w:hAnsi="Arial" w:cs="Arial"/>
        </w:rPr>
        <w:t>strife</w:t>
      </w:r>
      <w:r w:rsidRPr="00E258A7">
        <w:rPr>
          <w:rFonts w:ascii="Arial" w:hAnsi="Arial" w:cs="Arial"/>
        </w:rPr>
        <w:t xml:space="preserve">, inflationary pressures and tightening of money in circulation. Such advances have counteracted the exchange rate volatility and boosted the number of rough and severe market fluctuations. Empirical findings show that this volatility not only poses adverse impacts on the results of speculative trading but also has a wider economic performance of an economy, trade/finance flows/stability (Ahmed et al., 2024; Chikwira and Jahed, 2024). This has led to the emergence of effective financial risk management as a necessary factor to maintain sustainable Forex trading performance. </w:t>
      </w:r>
    </w:p>
    <w:p w14:paraId="2629E5CC" w14:textId="0AA5EC4D" w:rsidR="00B40E45" w:rsidRPr="00E258A7" w:rsidRDefault="007F06F0" w:rsidP="000E59D8">
      <w:pPr>
        <w:rPr>
          <w:rFonts w:ascii="Arial" w:hAnsi="Arial" w:cs="Arial"/>
        </w:rPr>
      </w:pPr>
      <w:r w:rsidRPr="00E258A7">
        <w:rPr>
          <w:rFonts w:ascii="Arial" w:hAnsi="Arial" w:cs="Arial"/>
        </w:rPr>
        <w:t xml:space="preserve">The financial risk in Forex trading is mainly as a result of the exchange rate volatility market tail risk, liquidity risk and systems spillover effects across markets. Research indicates that volatility clustering and spilling can also considerably raise downside risk, especially when leveraged and when these </w:t>
      </w:r>
      <w:r w:rsidR="00257741" w:rsidRPr="00E258A7">
        <w:rPr>
          <w:rFonts w:ascii="Arial" w:hAnsi="Arial" w:cs="Arial"/>
        </w:rPr>
        <w:t>positions</w:t>
      </w:r>
      <w:r w:rsidRPr="00E258A7">
        <w:rPr>
          <w:rFonts w:ascii="Arial" w:hAnsi="Arial" w:cs="Arial"/>
        </w:rPr>
        <w:t xml:space="preserve"> have short-term trading objectives (Nerantzidis, Stoupos and Tzeremes, 2024; Huynh, Nasir and Nguyen, 2023). The excessive drawdowns and failure of traders have been attributed to weak risk controls during times of financial stress (Ferdous et al., 2022). </w:t>
      </w:r>
    </w:p>
    <w:p w14:paraId="2A6D57DC" w14:textId="4F4A07CC" w:rsidR="00B40E45" w:rsidRPr="00E258A7" w:rsidRDefault="007F06F0" w:rsidP="000E59D8">
      <w:pPr>
        <w:rPr>
          <w:rFonts w:ascii="Arial" w:hAnsi="Arial" w:cs="Arial"/>
        </w:rPr>
      </w:pPr>
      <w:r w:rsidRPr="00E258A7">
        <w:rPr>
          <w:rFonts w:ascii="Arial" w:hAnsi="Arial" w:cs="Arial"/>
        </w:rPr>
        <w:t>In Forex trading, despite the existence of a vast variety of financial risk management instruments, including Value-at-Risk (VaR), Expected Shortfall, hedging options and volatility prediction frameworks, the tools are not adequately utili</w:t>
      </w:r>
      <w:r w:rsidR="000E59D8" w:rsidRPr="00E258A7">
        <w:rPr>
          <w:rFonts w:ascii="Arial" w:hAnsi="Arial" w:cs="Arial"/>
        </w:rPr>
        <w:t>s</w:t>
      </w:r>
      <w:r w:rsidRPr="00E258A7">
        <w:rPr>
          <w:rFonts w:ascii="Arial" w:hAnsi="Arial" w:cs="Arial"/>
        </w:rPr>
        <w:t>ed. Studies indicate that most traders mainly orient on the aspect of generating returns at the expense of failing to recogni</w:t>
      </w:r>
      <w:r w:rsidR="000E59D8" w:rsidRPr="00E258A7">
        <w:rPr>
          <w:rFonts w:ascii="Arial" w:hAnsi="Arial" w:cs="Arial"/>
        </w:rPr>
        <w:t>s</w:t>
      </w:r>
      <w:r w:rsidRPr="00E258A7">
        <w:rPr>
          <w:rFonts w:ascii="Arial" w:hAnsi="Arial" w:cs="Arial"/>
        </w:rPr>
        <w:t xml:space="preserve">e the significance of structured risk control approaches (Blom, Petter and Risstad, 2023). In addition, the scholarly work currently explores measurement of </w:t>
      </w:r>
      <w:r w:rsidRPr="00E258A7">
        <w:rPr>
          <w:rFonts w:ascii="Arial" w:hAnsi="Arial" w:cs="Arial"/>
        </w:rPr>
        <w:lastRenderedPageBreak/>
        <w:t xml:space="preserve">risks, forecasting or hedging strategies separately with limited focus on the ways that the practices can be integrated to result in improved trading performance. </w:t>
      </w:r>
    </w:p>
    <w:p w14:paraId="0E73D43C" w14:textId="4F09F54E" w:rsidR="007F06F0" w:rsidRPr="00E258A7" w:rsidRDefault="007F06F0" w:rsidP="000E59D8">
      <w:pPr>
        <w:rPr>
          <w:rFonts w:ascii="Arial" w:hAnsi="Arial" w:cs="Arial"/>
        </w:rPr>
      </w:pPr>
      <w:r w:rsidRPr="00E258A7">
        <w:rPr>
          <w:rFonts w:ascii="Arial" w:hAnsi="Arial" w:cs="Arial"/>
        </w:rPr>
        <w:t xml:space="preserve">The fundamental research problem to be examined in the present research is that there has not been a unified grasp on the relevance of the financial risk management approaches to the investment performance of Forex trading. It is apparent that a synthesised </w:t>
      </w:r>
      <w:r w:rsidR="00B40E45" w:rsidRPr="00E258A7">
        <w:rPr>
          <w:rFonts w:ascii="Arial" w:hAnsi="Arial" w:cs="Arial"/>
        </w:rPr>
        <w:t>performance-oriented</w:t>
      </w:r>
      <w:r w:rsidRPr="00E258A7">
        <w:rPr>
          <w:rFonts w:ascii="Arial" w:hAnsi="Arial" w:cs="Arial"/>
        </w:rPr>
        <w:t xml:space="preserve"> analysis which connects risk identification, mitigation, and measurement strategies to the outcomes of trading directly is required. It is especially important to discuss this gap in the framework of the international business where a currency risk management becomes a significant focus of the global decision-making processes and financial </w:t>
      </w:r>
      <w:r w:rsidR="00861462" w:rsidRPr="00E258A7">
        <w:rPr>
          <w:rFonts w:ascii="Arial" w:hAnsi="Arial" w:cs="Arial"/>
        </w:rPr>
        <w:t>sustainability</w:t>
      </w:r>
      <w:r w:rsidRPr="00E258A7">
        <w:rPr>
          <w:rFonts w:ascii="Arial" w:hAnsi="Arial" w:cs="Arial"/>
        </w:rPr>
        <w:t xml:space="preserve">. </w:t>
      </w:r>
    </w:p>
    <w:p w14:paraId="563C6DD0" w14:textId="77777777" w:rsidR="007F06F0" w:rsidRPr="00E258A7" w:rsidRDefault="007F06F0" w:rsidP="000E59D8">
      <w:pPr>
        <w:rPr>
          <w:rFonts w:ascii="Arial" w:hAnsi="Arial" w:cs="Arial"/>
        </w:rPr>
      </w:pPr>
      <w:r w:rsidRPr="00E258A7">
        <w:rPr>
          <w:rFonts w:ascii="Arial" w:hAnsi="Arial" w:cs="Arial"/>
        </w:rPr>
        <w:br w:type="page"/>
      </w:r>
    </w:p>
    <w:p w14:paraId="1921508E" w14:textId="77777777" w:rsidR="007F06F0" w:rsidRPr="00E258A7" w:rsidRDefault="007F06F0" w:rsidP="009E68D2">
      <w:pPr>
        <w:pStyle w:val="Heading1"/>
        <w:rPr>
          <w:rFonts w:ascii="Arial" w:hAnsi="Arial" w:cs="Arial"/>
        </w:rPr>
      </w:pPr>
      <w:bookmarkStart w:id="1" w:name="_Toc221799722"/>
      <w:r w:rsidRPr="00E258A7">
        <w:rPr>
          <w:rFonts w:ascii="Arial" w:hAnsi="Arial" w:cs="Arial"/>
        </w:rPr>
        <w:lastRenderedPageBreak/>
        <w:t>2. Research Aim, Objectives and Questions</w:t>
      </w:r>
      <w:bookmarkEnd w:id="1"/>
    </w:p>
    <w:p w14:paraId="40005082" w14:textId="58DD2E01" w:rsidR="00B40E45" w:rsidRPr="00E258A7" w:rsidRDefault="00B40E45" w:rsidP="000E59D8">
      <w:pPr>
        <w:rPr>
          <w:rFonts w:ascii="Arial" w:hAnsi="Arial" w:cs="Arial"/>
          <w:b/>
          <w:bCs/>
        </w:rPr>
      </w:pPr>
      <w:r w:rsidRPr="00E258A7">
        <w:rPr>
          <w:rFonts w:ascii="Arial" w:hAnsi="Arial" w:cs="Arial"/>
          <w:b/>
          <w:bCs/>
        </w:rPr>
        <w:t>Research Aim</w:t>
      </w:r>
    </w:p>
    <w:p w14:paraId="6C28A0F3" w14:textId="5158F81D" w:rsidR="00B40E45" w:rsidRPr="00E258A7" w:rsidRDefault="00EC73B2" w:rsidP="000E59D8">
      <w:pPr>
        <w:rPr>
          <w:rFonts w:ascii="Arial" w:hAnsi="Arial" w:cs="Arial"/>
        </w:rPr>
      </w:pPr>
      <w:r w:rsidRPr="00EC73B2">
        <w:rPr>
          <w:rFonts w:ascii="Arial" w:hAnsi="Arial" w:cs="Arial"/>
        </w:rPr>
        <w:t xml:space="preserve">This study aims to critically examine how financial risk management </w:t>
      </w:r>
      <w:r w:rsidR="0018651A" w:rsidRPr="0018651A">
        <w:rPr>
          <w:rFonts w:ascii="Arial" w:hAnsi="Arial" w:cs="Arial"/>
        </w:rPr>
        <w:t>contributes to improving</w:t>
      </w:r>
      <w:r w:rsidRPr="00EC73B2">
        <w:rPr>
          <w:rFonts w:ascii="Arial" w:hAnsi="Arial" w:cs="Arial"/>
        </w:rPr>
        <w:t xml:space="preserve"> Forex trading investment</w:t>
      </w:r>
      <w:r w:rsidR="0018651A">
        <w:rPr>
          <w:rFonts w:ascii="Arial" w:hAnsi="Arial" w:cs="Arial"/>
        </w:rPr>
        <w:t xml:space="preserve"> </w:t>
      </w:r>
      <w:r w:rsidR="0018651A" w:rsidRPr="0018651A">
        <w:rPr>
          <w:rFonts w:ascii="Arial" w:hAnsi="Arial" w:cs="Arial"/>
        </w:rPr>
        <w:t>outcomes through a systematic review of academic literature and published research.</w:t>
      </w:r>
    </w:p>
    <w:p w14:paraId="689CFC39" w14:textId="77777777" w:rsidR="00B40E45" w:rsidRPr="00E258A7" w:rsidRDefault="00B40E45" w:rsidP="000E59D8">
      <w:pPr>
        <w:rPr>
          <w:rFonts w:ascii="Arial" w:hAnsi="Arial" w:cs="Arial"/>
          <w:b/>
          <w:bCs/>
        </w:rPr>
      </w:pPr>
      <w:r w:rsidRPr="00E258A7">
        <w:rPr>
          <w:rFonts w:ascii="Arial" w:hAnsi="Arial" w:cs="Arial"/>
          <w:b/>
          <w:bCs/>
        </w:rPr>
        <w:t>Research Objectives</w:t>
      </w:r>
    </w:p>
    <w:p w14:paraId="2D9C8A8E" w14:textId="4A2ADB81" w:rsidR="00B40E45" w:rsidRPr="00E258A7" w:rsidRDefault="00EC73B2" w:rsidP="000E59D8">
      <w:pPr>
        <w:numPr>
          <w:ilvl w:val="0"/>
          <w:numId w:val="2"/>
        </w:numPr>
        <w:rPr>
          <w:rFonts w:ascii="Arial" w:hAnsi="Arial" w:cs="Arial"/>
        </w:rPr>
      </w:pPr>
      <w:r w:rsidRPr="00EC73B2">
        <w:rPr>
          <w:rFonts w:ascii="Arial" w:hAnsi="Arial" w:cs="Arial"/>
        </w:rPr>
        <w:t>To examine the financial risk analysis tools and techniques applied in Forex markets.</w:t>
      </w:r>
    </w:p>
    <w:p w14:paraId="697C4598" w14:textId="06D486DE" w:rsidR="00B40E45" w:rsidRDefault="00EC73B2" w:rsidP="000E59D8">
      <w:pPr>
        <w:numPr>
          <w:ilvl w:val="0"/>
          <w:numId w:val="2"/>
        </w:numPr>
        <w:rPr>
          <w:rFonts w:ascii="Arial" w:hAnsi="Arial" w:cs="Arial"/>
        </w:rPr>
      </w:pPr>
      <w:r w:rsidRPr="00EC73B2">
        <w:rPr>
          <w:rFonts w:ascii="Arial" w:hAnsi="Arial" w:cs="Arial"/>
        </w:rPr>
        <w:t>To determine the relationship between the financial risk management practises and Forex trading performance.</w:t>
      </w:r>
    </w:p>
    <w:p w14:paraId="0C45EC75" w14:textId="3B503CFD" w:rsidR="00EC73B2" w:rsidRPr="00E258A7" w:rsidRDefault="00EC73B2" w:rsidP="000E59D8">
      <w:pPr>
        <w:numPr>
          <w:ilvl w:val="0"/>
          <w:numId w:val="2"/>
        </w:numPr>
        <w:rPr>
          <w:rFonts w:ascii="Arial" w:hAnsi="Arial" w:cs="Arial"/>
        </w:rPr>
      </w:pPr>
      <w:r w:rsidRPr="00EC73B2">
        <w:rPr>
          <w:rFonts w:ascii="Arial" w:hAnsi="Arial" w:cs="Arial"/>
        </w:rPr>
        <w:t>To use the synthesising evidence that would identify the best practises in Forex risk management.</w:t>
      </w:r>
    </w:p>
    <w:p w14:paraId="3F2F1BCA" w14:textId="77777777" w:rsidR="00B40E45" w:rsidRPr="00E258A7" w:rsidRDefault="00B40E45" w:rsidP="000E59D8">
      <w:pPr>
        <w:rPr>
          <w:rFonts w:ascii="Arial" w:hAnsi="Arial" w:cs="Arial"/>
          <w:b/>
          <w:bCs/>
        </w:rPr>
      </w:pPr>
      <w:r w:rsidRPr="00E258A7">
        <w:rPr>
          <w:rFonts w:ascii="Arial" w:hAnsi="Arial" w:cs="Arial"/>
          <w:b/>
          <w:bCs/>
        </w:rPr>
        <w:t>Research Questions</w:t>
      </w:r>
    </w:p>
    <w:p w14:paraId="6989A3C3" w14:textId="36AEB81C" w:rsidR="00B40E45" w:rsidRPr="00E258A7" w:rsidRDefault="0018651A" w:rsidP="000E59D8">
      <w:pPr>
        <w:numPr>
          <w:ilvl w:val="0"/>
          <w:numId w:val="3"/>
        </w:numPr>
        <w:rPr>
          <w:rFonts w:ascii="Arial" w:hAnsi="Arial" w:cs="Arial"/>
        </w:rPr>
      </w:pPr>
      <w:r w:rsidRPr="0018651A">
        <w:rPr>
          <w:rFonts w:ascii="Arial" w:hAnsi="Arial" w:cs="Arial"/>
        </w:rPr>
        <w:t>What financial risk management tools and strategies are used in Forex markets?</w:t>
      </w:r>
    </w:p>
    <w:p w14:paraId="605C6A45" w14:textId="53C45102" w:rsidR="00B40E45" w:rsidRDefault="0018651A" w:rsidP="000E59D8">
      <w:pPr>
        <w:numPr>
          <w:ilvl w:val="0"/>
          <w:numId w:val="3"/>
        </w:numPr>
        <w:rPr>
          <w:rFonts w:ascii="Arial" w:hAnsi="Arial" w:cs="Arial"/>
        </w:rPr>
      </w:pPr>
      <w:r w:rsidRPr="0018651A">
        <w:rPr>
          <w:rFonts w:ascii="Arial" w:hAnsi="Arial" w:cs="Arial"/>
        </w:rPr>
        <w:t>What relationship exists between financial risk management practices and Forex trading performance?</w:t>
      </w:r>
    </w:p>
    <w:p w14:paraId="228A0CC2" w14:textId="3A8FF11E" w:rsidR="00EC73B2" w:rsidRPr="00E258A7" w:rsidRDefault="0018651A" w:rsidP="000E59D8">
      <w:pPr>
        <w:numPr>
          <w:ilvl w:val="0"/>
          <w:numId w:val="3"/>
        </w:numPr>
        <w:rPr>
          <w:rFonts w:ascii="Arial" w:hAnsi="Arial" w:cs="Arial"/>
        </w:rPr>
      </w:pPr>
      <w:r w:rsidRPr="0018651A">
        <w:rPr>
          <w:rFonts w:ascii="Arial" w:hAnsi="Arial" w:cs="Arial"/>
        </w:rPr>
        <w:t>Which risk management practices are most effective in improving trading outcomes?</w:t>
      </w:r>
    </w:p>
    <w:p w14:paraId="48A26E2B" w14:textId="2A1FEC6B" w:rsidR="00B40E45" w:rsidRPr="00E258A7" w:rsidRDefault="00B40E45" w:rsidP="000E59D8">
      <w:pPr>
        <w:rPr>
          <w:rFonts w:ascii="Arial" w:hAnsi="Arial" w:cs="Arial"/>
        </w:rPr>
      </w:pPr>
      <w:r w:rsidRPr="00E258A7">
        <w:rPr>
          <w:rFonts w:ascii="Arial" w:hAnsi="Arial" w:cs="Arial"/>
        </w:rPr>
        <w:t>The use of these objectives and questions also facilitates alignment between the research problem, the methodology and the expected outcomes whilst having a clear focus on the performance enhancement in Forex trading.</w:t>
      </w:r>
    </w:p>
    <w:p w14:paraId="6E04907A" w14:textId="77777777" w:rsidR="00B40E45" w:rsidRPr="00E258A7" w:rsidRDefault="00B40E45" w:rsidP="000E59D8">
      <w:pPr>
        <w:rPr>
          <w:rFonts w:ascii="Arial" w:hAnsi="Arial" w:cs="Arial"/>
        </w:rPr>
      </w:pPr>
    </w:p>
    <w:p w14:paraId="086EFD8E" w14:textId="671D5A93" w:rsidR="007F06F0" w:rsidRPr="00E258A7" w:rsidRDefault="007F06F0" w:rsidP="000E59D8">
      <w:pPr>
        <w:rPr>
          <w:rFonts w:ascii="Arial" w:hAnsi="Arial" w:cs="Arial"/>
        </w:rPr>
      </w:pPr>
      <w:r w:rsidRPr="00E258A7">
        <w:rPr>
          <w:rFonts w:ascii="Arial" w:hAnsi="Arial" w:cs="Arial"/>
        </w:rPr>
        <w:br w:type="page"/>
      </w:r>
    </w:p>
    <w:p w14:paraId="29E6F046" w14:textId="77777777" w:rsidR="007F06F0" w:rsidRPr="00E258A7" w:rsidRDefault="007F06F0" w:rsidP="009E68D2">
      <w:pPr>
        <w:pStyle w:val="Heading1"/>
        <w:rPr>
          <w:rFonts w:ascii="Arial" w:hAnsi="Arial" w:cs="Arial"/>
        </w:rPr>
      </w:pPr>
      <w:bookmarkStart w:id="2" w:name="_Toc221799723"/>
      <w:r w:rsidRPr="00E258A7">
        <w:rPr>
          <w:rFonts w:ascii="Arial" w:hAnsi="Arial" w:cs="Arial"/>
        </w:rPr>
        <w:lastRenderedPageBreak/>
        <w:t>3. Preliminary Literature Search</w:t>
      </w:r>
      <w:bookmarkEnd w:id="2"/>
    </w:p>
    <w:p w14:paraId="25978987" w14:textId="274C42E4" w:rsidR="001802E6" w:rsidRPr="00E258A7" w:rsidRDefault="001802E6" w:rsidP="001802E6">
      <w:pPr>
        <w:rPr>
          <w:rFonts w:ascii="Arial" w:hAnsi="Arial" w:cs="Arial"/>
        </w:rPr>
      </w:pPr>
      <w:r w:rsidRPr="00E258A7">
        <w:rPr>
          <w:rFonts w:ascii="Arial" w:hAnsi="Arial" w:cs="Arial"/>
        </w:rPr>
        <w:t>The global monetary system is known to have a very volatile and risky element in the form of foreign exchange (Forex) market. In contrast to equity or fixed-income markets, Forex trading is not only twenty-four hours a day, seven days a week but also reacts instantly to the announcements of macroeconomic policies, changes in global financial integration and politics and geopolitical events. Such structural features subject the participants in the market to endemic systemic types of financial risks, primarily exchange rate volatility, liquidity risk and tail risk. Empirical studies suggest that such risks have been aggravated by an increasing financial interconnectedness, and an increasing number of economic shocks across the world further support the inability of today’s currency markets to withstand sudden and destabilising changes (Haddad, 2023; Irani et al., 2025).</w:t>
      </w:r>
    </w:p>
    <w:p w14:paraId="78B25722" w14:textId="77777777" w:rsidR="001802E6" w:rsidRPr="00E258A7" w:rsidRDefault="001802E6" w:rsidP="001802E6">
      <w:pPr>
        <w:rPr>
          <w:rFonts w:ascii="Arial" w:hAnsi="Arial" w:cs="Arial"/>
        </w:rPr>
      </w:pPr>
      <w:r w:rsidRPr="00E258A7">
        <w:rPr>
          <w:rFonts w:ascii="Arial" w:hAnsi="Arial" w:cs="Arial"/>
        </w:rPr>
        <w:t>A significant amount of research found exchange rate volatility as the main risk that determines Forex market behaviour. Currency volatility is persistent as opposed to random fluctuations, has a clustering and spillover effect across markets. As Nerantzidis, Stoupos and Tzeremes (2024) show, volatility spillovers between major currencies become stronger in times of economic distress and hence undermine systemic risk and the time-honoured advantages of portfolio diversification. Equally, Huynh, Nasir and Nguyen (2023) demonstrate that market connectedness is high because of trade policy uncertainty, which propagates shock-induced through currency pairs faster. These results not only do not confirm classical portfolio theory, which dictates a weak interdependence among assets, but also demonstrate the need of a sophisticated risk management structure to offer systemic exposure in Forex markets.</w:t>
      </w:r>
    </w:p>
    <w:p w14:paraId="78EA904B" w14:textId="77777777" w:rsidR="001802E6" w:rsidRPr="00E258A7" w:rsidRDefault="001802E6" w:rsidP="001802E6">
      <w:pPr>
        <w:rPr>
          <w:rFonts w:ascii="Arial" w:hAnsi="Arial" w:cs="Arial"/>
        </w:rPr>
      </w:pPr>
      <w:r w:rsidRPr="00E258A7">
        <w:rPr>
          <w:rFonts w:ascii="Arial" w:hAnsi="Arial" w:cs="Arial"/>
        </w:rPr>
        <w:t xml:space="preserve">Due to increased volatility, financial risk management has emerged as a focal point of academic research and practise. Value-at-Risk (VaR) and Expected Shortfall are widely presented as a fundamental risk measurement technique to assess downside exposure. As illustrated by Blom, Petter and Risstad (2023), the addition of implied volatility values and machine learning to VaR enhanced the ability of major currency pairs to be estimated. Nevertheless, even with methodological improvements, VaR is not a true to capitalise upon extreme losses in times of intense market stress. To tackle this weakness, Jiang, Hu and Yu (2022) state that the expected shortfall offers a more </w:t>
      </w:r>
      <w:r w:rsidRPr="00E258A7">
        <w:rPr>
          <w:rFonts w:ascii="Arial" w:hAnsi="Arial" w:cs="Arial"/>
        </w:rPr>
        <w:lastRenderedPageBreak/>
        <w:t>consistent and trusted measure of tail risk, especially in Forex markets where regimes change and steep shifts in prices are frequent.</w:t>
      </w:r>
    </w:p>
    <w:p w14:paraId="179AD05B" w14:textId="77777777" w:rsidR="001802E6" w:rsidRPr="00E258A7" w:rsidRDefault="001802E6" w:rsidP="001802E6">
      <w:pPr>
        <w:rPr>
          <w:rFonts w:ascii="Arial" w:hAnsi="Arial" w:cs="Arial"/>
        </w:rPr>
      </w:pPr>
      <w:r w:rsidRPr="00E258A7">
        <w:rPr>
          <w:rFonts w:ascii="Arial" w:hAnsi="Arial" w:cs="Arial"/>
        </w:rPr>
        <w:t>The major limitation in the literature is its disproportionate focus on the accuracy of measurement, as opposed to trading performance, despite progress in the quantification of risks. Although correct nebulosis of risk is crucial, it is not necessarily associated with better investment results, unless it is part and parcel of institutionalised risk-taking and implementation. Malhotra et al. (2023) emphasize that active performance gains on the use of quantitative risk models in trading controls and policies, such as position sizing policies, explicit risk and behavioural discipline limits. This shows a deep disparity between the technical risk modelling and the operational processes by which performance is indeed boosted in Forex trading.</w:t>
      </w:r>
    </w:p>
    <w:p w14:paraId="627F7153" w14:textId="7C528F8E" w:rsidR="001802E6" w:rsidRPr="00E258A7" w:rsidRDefault="00F94701" w:rsidP="001802E6">
      <w:pPr>
        <w:rPr>
          <w:rFonts w:ascii="Arial" w:hAnsi="Arial" w:cs="Arial"/>
        </w:rPr>
      </w:pPr>
      <w:r w:rsidRPr="00F94701">
        <w:rPr>
          <w:rFonts w:ascii="Arial" w:hAnsi="Arial" w:cs="Arial"/>
        </w:rPr>
        <w:t>Hedging is another significant section of financial risk management. The authors concluded that diversification and hedging in derivatives can lower the volatility of the portfolio and stabilise the returns (Almeida and Goncalves, 2022b). A common finding by Zakaria (2023) is that the proper hedging enhances performance, particularly in the framework of the unpredictable market. These results cause problems with the classical view that only hedging restricts the potential of profits. Rather, risk management can be regarded as approach that would facilitate long term trading success.</w:t>
      </w:r>
    </w:p>
    <w:p w14:paraId="734456F2" w14:textId="77777777" w:rsidR="001802E6" w:rsidRPr="00E258A7" w:rsidRDefault="001802E6" w:rsidP="001802E6">
      <w:pPr>
        <w:rPr>
          <w:rFonts w:ascii="Arial" w:hAnsi="Arial" w:cs="Arial"/>
        </w:rPr>
      </w:pPr>
      <w:r w:rsidRPr="00E258A7">
        <w:rPr>
          <w:rFonts w:ascii="Arial" w:hAnsi="Arial" w:cs="Arial"/>
        </w:rPr>
        <w:t>Still, there are clear shortcomings of the practical use of hedging strategies as well that can be found in the literature. As Mansoori, Al Mheiri and Nobanee (2024) note, most market participants resort to reactive hedging strategies, where they establish defensive tactics once unfavourable trends have started. This behaviour makes hedging performance less effective and points to a general lack of ratios between theoretical models and actual trading strategies. Although academic models tend to focus on possible rational and systematic risk management behaviour, empirical trading choices are often subject to behavioural bias, information asymmetries and short-term performance pressure.</w:t>
      </w:r>
    </w:p>
    <w:p w14:paraId="312FB347" w14:textId="44EE9864" w:rsidR="001802E6" w:rsidRPr="00E258A7" w:rsidRDefault="001802E6" w:rsidP="001802E6">
      <w:pPr>
        <w:rPr>
          <w:rFonts w:ascii="Arial" w:hAnsi="Arial" w:cs="Arial"/>
        </w:rPr>
      </w:pPr>
      <w:r w:rsidRPr="00E258A7">
        <w:rPr>
          <w:rFonts w:ascii="Arial" w:hAnsi="Arial" w:cs="Arial"/>
        </w:rPr>
        <w:t xml:space="preserve">The recent literature dwells more and more on using the improved analysis methods, especially machine learning and deep learning, in the field of Forex risk management. As Iqbal et al. (2024) and Kim, Kim and Choi (2025) report, artificial intelligence-based models are better predictors of exchange rate behaviour and volatility than traditional </w:t>
      </w:r>
      <w:r w:rsidRPr="00E258A7">
        <w:rPr>
          <w:rFonts w:ascii="Arial" w:hAnsi="Arial" w:cs="Arial"/>
        </w:rPr>
        <w:lastRenderedPageBreak/>
        <w:t>econometric models. On the same note, Zitis, Potirakis and Alexandridis (2024) show that deep learning models considerably improve the accuracy of volatility forecasting and allow more proactive risk management.</w:t>
      </w:r>
      <w:r w:rsidR="00183715" w:rsidRPr="00E258A7">
        <w:rPr>
          <w:rFonts w:ascii="Arial" w:hAnsi="Arial" w:cs="Arial"/>
        </w:rPr>
        <w:t xml:space="preserve"> </w:t>
      </w:r>
      <w:r w:rsidRPr="00E258A7">
        <w:rPr>
          <w:rFonts w:ascii="Arial" w:hAnsi="Arial" w:cs="Arial"/>
        </w:rPr>
        <w:t>Although better forecasts may help to achieve higher performance, there is scanty empirical support of how advanced predictive models relate to improved Forex trading performance. It means that an excellent forecasting ability is ineffective when it is not supplemented with systematic financial risk management frameworks and regular feedback mechanisms.</w:t>
      </w:r>
    </w:p>
    <w:p w14:paraId="5001819A" w14:textId="77777777" w:rsidR="001802E6" w:rsidRPr="00E258A7" w:rsidRDefault="001802E6" w:rsidP="001802E6">
      <w:pPr>
        <w:rPr>
          <w:rFonts w:ascii="Arial" w:hAnsi="Arial" w:cs="Arial"/>
        </w:rPr>
      </w:pPr>
      <w:r w:rsidRPr="00E258A7">
        <w:rPr>
          <w:rFonts w:ascii="Arial" w:hAnsi="Arial" w:cs="Arial"/>
        </w:rPr>
        <w:t>The other notable weakness of the literature is the disjointed literature. Volatility modelling, hedging policies, prediction and systemic risk are frequently analysed separately, and there are few efforts to bring these components together in a single analytical view. All the aspects of financial risk management are well documented but there is a gap in synthesised models that explicitly relate risk identification, mitigation and measurement to Forex trading performance. Additionally, comparatively smaller studies engage in a holistic approach, putting financial risk management in the context of financial markets and international business operations (Ahmed et al., 2024; Haddad, 2023).</w:t>
      </w:r>
    </w:p>
    <w:p w14:paraId="59B73085" w14:textId="6981A3CF" w:rsidR="007F06F0" w:rsidRPr="00E258A7" w:rsidRDefault="001802E6" w:rsidP="001802E6">
      <w:pPr>
        <w:rPr>
          <w:rFonts w:ascii="Arial" w:hAnsi="Arial" w:cs="Arial"/>
        </w:rPr>
      </w:pPr>
      <w:r w:rsidRPr="00E258A7">
        <w:rPr>
          <w:rFonts w:ascii="Arial" w:hAnsi="Arial" w:cs="Arial"/>
        </w:rPr>
        <w:t>The proposed research proposes to fill these gaps by means of thorough secondary research that leads to the combination of various strands of available literature into a seamless, performance-based study. Instead of the single risk management tools or modelling techniques the research is critical in assessing the overall risk measurement, hedging strategies, and analytical methods used in enhancing Forex trading performance. Through the empirical evidence synthesis on these areas the study presents an integrated point of view that is yet to take shape in the current literature beyond the academic value, and that which can materially benefit the traders, financial institutions and policymakers in need of a higher degree of resilience in highly volatile global financial marketplaces.</w:t>
      </w:r>
      <w:r w:rsidR="007F06F0" w:rsidRPr="00E258A7">
        <w:rPr>
          <w:rFonts w:ascii="Arial" w:hAnsi="Arial" w:cs="Arial"/>
        </w:rPr>
        <w:br w:type="page"/>
      </w:r>
    </w:p>
    <w:p w14:paraId="55E6FAE8" w14:textId="77777777" w:rsidR="007F06F0" w:rsidRPr="00E258A7" w:rsidRDefault="007F06F0" w:rsidP="009E68D2">
      <w:pPr>
        <w:pStyle w:val="Heading1"/>
        <w:rPr>
          <w:rFonts w:ascii="Arial" w:hAnsi="Arial" w:cs="Arial"/>
        </w:rPr>
      </w:pPr>
      <w:bookmarkStart w:id="3" w:name="_Toc221799724"/>
      <w:r w:rsidRPr="00E258A7">
        <w:rPr>
          <w:rFonts w:ascii="Arial" w:hAnsi="Arial" w:cs="Arial"/>
        </w:rPr>
        <w:lastRenderedPageBreak/>
        <w:t>4. Research Methodology</w:t>
      </w:r>
      <w:bookmarkEnd w:id="3"/>
    </w:p>
    <w:p w14:paraId="296635D0" w14:textId="44986621" w:rsidR="000E59D8" w:rsidRPr="00E258A7" w:rsidRDefault="000E59D8" w:rsidP="000E59D8">
      <w:pPr>
        <w:rPr>
          <w:rFonts w:ascii="Arial" w:hAnsi="Arial" w:cs="Arial"/>
        </w:rPr>
      </w:pPr>
      <w:r w:rsidRPr="00E258A7">
        <w:rPr>
          <w:rFonts w:ascii="Arial" w:hAnsi="Arial" w:cs="Arial"/>
        </w:rPr>
        <w:t xml:space="preserve">This research has a qualitative method of secondary research through a systematic review of literature. The secondary research method will suit the study, since it does not aim to gather new data but </w:t>
      </w:r>
      <w:r w:rsidR="00861462" w:rsidRPr="00E258A7">
        <w:rPr>
          <w:rFonts w:ascii="Arial" w:hAnsi="Arial" w:cs="Arial"/>
        </w:rPr>
        <w:t>aims to synthesise and critically evaluate existing empirical and theoretical knowledge</w:t>
      </w:r>
      <w:r w:rsidRPr="00E258A7">
        <w:rPr>
          <w:rFonts w:ascii="Arial" w:hAnsi="Arial" w:cs="Arial"/>
        </w:rPr>
        <w:t xml:space="preserve"> on empirical and theoretical basis. As a primary source of data, peer-reviewed scholarly journal articles indicate relevance and quality of methods because the study should be performed within 2020-25. </w:t>
      </w:r>
    </w:p>
    <w:p w14:paraId="02AEE0D0" w14:textId="77777777" w:rsidR="000E59D8" w:rsidRPr="00E258A7" w:rsidRDefault="000E59D8" w:rsidP="000E59D8">
      <w:pPr>
        <w:rPr>
          <w:rFonts w:ascii="Arial" w:hAnsi="Arial" w:cs="Arial"/>
        </w:rPr>
      </w:pPr>
      <w:r w:rsidRPr="00E258A7">
        <w:rPr>
          <w:rFonts w:ascii="Arial" w:hAnsi="Arial" w:cs="Arial"/>
        </w:rPr>
        <w:t xml:space="preserve">The study is based on an interpretivist research philosophy which acknowledges the fact that the effectiveness of financial risk management is situational and depends on the market conditions, trading techniques and institutional arrangements. The research takes the form of inductive research methodology to arrive at insights and conceptual knowledge based on the available literature. </w:t>
      </w:r>
    </w:p>
    <w:p w14:paraId="521427D6" w14:textId="08318393" w:rsidR="000E59D8" w:rsidRPr="00E258A7" w:rsidRDefault="000E59D8" w:rsidP="000E59D8">
      <w:pPr>
        <w:rPr>
          <w:rFonts w:ascii="Arial" w:hAnsi="Arial" w:cs="Arial"/>
        </w:rPr>
      </w:pPr>
      <w:r w:rsidRPr="00E258A7">
        <w:rPr>
          <w:rFonts w:ascii="Arial" w:hAnsi="Arial" w:cs="Arial"/>
        </w:rPr>
        <w:t xml:space="preserve">The literature review is conducted on an organised procedure that includes searching databases, screening, analysis and inclusion criteria and thematic analysis. Strategic themes associated with the aspects of Forex risk, risk management instruments and performance response are elicited and woven together in coming up with a combined conceptual model. </w:t>
      </w:r>
    </w:p>
    <w:p w14:paraId="14625BC1" w14:textId="0FDA1477" w:rsidR="000E59D8" w:rsidRPr="00E258A7" w:rsidRDefault="000E59D8" w:rsidP="000E59D8">
      <w:pPr>
        <w:rPr>
          <w:rFonts w:ascii="Arial" w:hAnsi="Arial" w:cs="Arial"/>
        </w:rPr>
      </w:pPr>
      <w:r w:rsidRPr="00E258A7">
        <w:rPr>
          <w:rFonts w:ascii="Arial" w:hAnsi="Arial" w:cs="Arial"/>
        </w:rPr>
        <w:t>The ethical variables are not a major consideration since only secondary data are used. The integrity of academic integrity is ensured by proper citation, clear reporting and proper adherence to the rules of plagiarism. The study adheres to all institutional requirements of secondary research in terms of ethics.</w:t>
      </w:r>
    </w:p>
    <w:p w14:paraId="4C68C82F" w14:textId="77777777" w:rsidR="000E59D8" w:rsidRPr="00E258A7" w:rsidRDefault="000E59D8" w:rsidP="000E59D8">
      <w:pPr>
        <w:rPr>
          <w:rFonts w:ascii="Arial" w:hAnsi="Arial" w:cs="Arial"/>
        </w:rPr>
      </w:pPr>
    </w:p>
    <w:p w14:paraId="0DB2506F" w14:textId="77777777" w:rsidR="007F06F0" w:rsidRPr="00E258A7" w:rsidRDefault="007F06F0" w:rsidP="000E59D8">
      <w:pPr>
        <w:rPr>
          <w:rFonts w:ascii="Arial" w:hAnsi="Arial" w:cs="Arial"/>
        </w:rPr>
      </w:pPr>
      <w:r w:rsidRPr="00E258A7">
        <w:rPr>
          <w:rFonts w:ascii="Arial" w:hAnsi="Arial" w:cs="Arial"/>
        </w:rPr>
        <w:br w:type="page"/>
      </w:r>
    </w:p>
    <w:p w14:paraId="16109681" w14:textId="27970D2C" w:rsidR="007F06F0" w:rsidRDefault="007F06F0" w:rsidP="009E68D2">
      <w:pPr>
        <w:pStyle w:val="Heading1"/>
        <w:rPr>
          <w:rFonts w:ascii="Arial" w:hAnsi="Arial" w:cs="Arial"/>
        </w:rPr>
      </w:pPr>
      <w:bookmarkStart w:id="4" w:name="_Toc221799725"/>
      <w:r w:rsidRPr="00E258A7">
        <w:rPr>
          <w:rFonts w:ascii="Arial" w:hAnsi="Arial" w:cs="Arial"/>
        </w:rPr>
        <w:lastRenderedPageBreak/>
        <w:t>5. Risks</w:t>
      </w:r>
      <w:r w:rsidR="00EC73B2">
        <w:rPr>
          <w:rFonts w:ascii="Arial" w:hAnsi="Arial" w:cs="Arial"/>
        </w:rPr>
        <w:t xml:space="preserve"> </w:t>
      </w:r>
      <w:r w:rsidR="00EC73B2" w:rsidRPr="00EC73B2">
        <w:rPr>
          <w:rFonts w:ascii="Arial" w:hAnsi="Arial" w:cs="Arial"/>
        </w:rPr>
        <w:t>and Limitations</w:t>
      </w:r>
      <w:bookmarkEnd w:id="4"/>
      <w:r w:rsidR="00EC73B2" w:rsidRPr="00EC73B2">
        <w:rPr>
          <w:rFonts w:ascii="Arial" w:hAnsi="Arial" w:cs="Arial"/>
        </w:rPr>
        <w:t xml:space="preserve"> </w:t>
      </w:r>
    </w:p>
    <w:p w14:paraId="2C75645C" w14:textId="77777777" w:rsidR="00EC73B2" w:rsidRDefault="00EC73B2" w:rsidP="00EC73B2">
      <w:pPr>
        <w:rPr>
          <w:rFonts w:ascii="Arial" w:hAnsi="Arial" w:cs="Arial"/>
        </w:rPr>
      </w:pPr>
      <w:r w:rsidRPr="00EC73B2">
        <w:rPr>
          <w:rFonts w:ascii="Arial" w:hAnsi="Arial" w:cs="Arial"/>
        </w:rPr>
        <w:t xml:space="preserve">There are certain challenges that this study is exposed to and risks that can influence the validity and reliability of the results obtained. </w:t>
      </w:r>
    </w:p>
    <w:p w14:paraId="126C4B43" w14:textId="77777777" w:rsidR="00EC73B2" w:rsidRPr="00EC73B2" w:rsidRDefault="00EC73B2" w:rsidP="00EC73B2">
      <w:pPr>
        <w:rPr>
          <w:rFonts w:ascii="Arial" w:hAnsi="Arial" w:cs="Arial"/>
          <w:b/>
          <w:bCs/>
        </w:rPr>
      </w:pPr>
      <w:r w:rsidRPr="00EC73B2">
        <w:rPr>
          <w:rFonts w:ascii="Arial" w:hAnsi="Arial" w:cs="Arial"/>
          <w:b/>
          <w:bCs/>
        </w:rPr>
        <w:t xml:space="preserve">1. Limitations of Data </w:t>
      </w:r>
    </w:p>
    <w:p w14:paraId="2C4F8B21" w14:textId="77777777" w:rsidR="00EC73B2" w:rsidRDefault="00EC73B2" w:rsidP="00EC73B2">
      <w:pPr>
        <w:rPr>
          <w:rFonts w:ascii="Arial" w:hAnsi="Arial" w:cs="Arial"/>
        </w:rPr>
      </w:pPr>
      <w:r w:rsidRPr="00EC73B2">
        <w:rPr>
          <w:rFonts w:ascii="Arial" w:hAnsi="Arial" w:cs="Arial"/>
        </w:rPr>
        <w:t xml:space="preserve">The analysis involves previous journal records, which restricts manipulation of data quality, measures and situation. Since other purposes were being handled by collecting data, the same might not fully correspond to the present objectives. This limits causal inference as well since the majority of the sources are correlation-based. </w:t>
      </w:r>
    </w:p>
    <w:p w14:paraId="4E69A3E5" w14:textId="1DB4633B" w:rsidR="00EC73B2" w:rsidRPr="00EC73B2" w:rsidRDefault="00EC73B2" w:rsidP="00EC73B2">
      <w:pPr>
        <w:rPr>
          <w:rFonts w:ascii="Arial" w:hAnsi="Arial" w:cs="Arial"/>
          <w:b/>
          <w:bCs/>
        </w:rPr>
      </w:pPr>
      <w:r w:rsidRPr="00EC73B2">
        <w:rPr>
          <w:rFonts w:ascii="Arial" w:hAnsi="Arial" w:cs="Arial"/>
          <w:b/>
          <w:bCs/>
        </w:rPr>
        <w:t xml:space="preserve">2. Volatility and Dependency on a Market </w:t>
      </w:r>
    </w:p>
    <w:p w14:paraId="2910E51A" w14:textId="77777777" w:rsidR="00EC73B2" w:rsidRDefault="00EC73B2" w:rsidP="00EC73B2">
      <w:pPr>
        <w:rPr>
          <w:rFonts w:ascii="Arial" w:hAnsi="Arial" w:cs="Arial"/>
        </w:rPr>
      </w:pPr>
      <w:r w:rsidRPr="00EC73B2">
        <w:rPr>
          <w:rFonts w:ascii="Arial" w:hAnsi="Arial" w:cs="Arial"/>
        </w:rPr>
        <w:t xml:space="preserve">Forex markets are very volatile and determined by macroeconomic and geopolitical forces. Thus, historical evidence might no longer be applicable in the present situation and decreases generalisability. </w:t>
      </w:r>
    </w:p>
    <w:p w14:paraId="006C4AED" w14:textId="48D6725E" w:rsidR="00EC73B2" w:rsidRPr="00EC73B2" w:rsidRDefault="00EC73B2" w:rsidP="00EC73B2">
      <w:pPr>
        <w:rPr>
          <w:rFonts w:ascii="Arial" w:hAnsi="Arial" w:cs="Arial"/>
          <w:b/>
          <w:bCs/>
        </w:rPr>
      </w:pPr>
      <w:r w:rsidRPr="00EC73B2">
        <w:rPr>
          <w:rFonts w:ascii="Arial" w:hAnsi="Arial" w:cs="Arial"/>
          <w:b/>
          <w:bCs/>
        </w:rPr>
        <w:t xml:space="preserve">3. Selection Bias All-publication Bias </w:t>
      </w:r>
    </w:p>
    <w:p w14:paraId="072DCE00" w14:textId="77777777" w:rsidR="00EC73B2" w:rsidRDefault="00EC73B2" w:rsidP="00EC73B2">
      <w:pPr>
        <w:rPr>
          <w:rFonts w:ascii="Arial" w:hAnsi="Arial" w:cs="Arial"/>
        </w:rPr>
      </w:pPr>
      <w:r w:rsidRPr="00EC73B2">
        <w:rPr>
          <w:rFonts w:ascii="Arial" w:hAnsi="Arial" w:cs="Arial"/>
        </w:rPr>
        <w:t xml:space="preserve">Findings of studies, which are not significant are frequently underreported in published literature. There can also be bias of the researcher by virtue of literature selection. </w:t>
      </w:r>
    </w:p>
    <w:p w14:paraId="7677C935" w14:textId="77777777" w:rsidR="00EC73B2" w:rsidRPr="00EC73B2" w:rsidRDefault="00EC73B2" w:rsidP="00EC73B2">
      <w:pPr>
        <w:rPr>
          <w:rFonts w:ascii="Arial" w:hAnsi="Arial" w:cs="Arial"/>
          <w:b/>
          <w:bCs/>
        </w:rPr>
      </w:pPr>
      <w:r w:rsidRPr="00EC73B2">
        <w:rPr>
          <w:rFonts w:ascii="Arial" w:hAnsi="Arial" w:cs="Arial"/>
          <w:b/>
          <w:bCs/>
        </w:rPr>
        <w:t xml:space="preserve">4. Data Comparability Issues </w:t>
      </w:r>
    </w:p>
    <w:p w14:paraId="0DD49DFC" w14:textId="77777777" w:rsidR="00EC73B2" w:rsidRDefault="00EC73B2" w:rsidP="00EC73B2">
      <w:pPr>
        <w:rPr>
          <w:rFonts w:ascii="Arial" w:hAnsi="Arial" w:cs="Arial"/>
        </w:rPr>
      </w:pPr>
      <w:r w:rsidRPr="00EC73B2">
        <w:rPr>
          <w:rFonts w:ascii="Arial" w:hAnsi="Arial" w:cs="Arial"/>
        </w:rPr>
        <w:t xml:space="preserve">Studies differ in definitions and measurement tools which make it difficult to compare and synthesise. </w:t>
      </w:r>
    </w:p>
    <w:p w14:paraId="7D13D7E4" w14:textId="77777777" w:rsidR="00EC73B2" w:rsidRPr="00EC73B2" w:rsidRDefault="00EC73B2" w:rsidP="00EC73B2">
      <w:pPr>
        <w:rPr>
          <w:rFonts w:ascii="Arial" w:hAnsi="Arial" w:cs="Arial"/>
          <w:b/>
          <w:bCs/>
        </w:rPr>
      </w:pPr>
      <w:r w:rsidRPr="00EC73B2">
        <w:rPr>
          <w:rFonts w:ascii="Arial" w:hAnsi="Arial" w:cs="Arial"/>
          <w:b/>
          <w:bCs/>
        </w:rPr>
        <w:t xml:space="preserve">5. Time and Resource limitations </w:t>
      </w:r>
    </w:p>
    <w:p w14:paraId="0E332395" w14:textId="433255D6" w:rsidR="00EC73B2" w:rsidRPr="00EC73B2" w:rsidRDefault="00EC73B2" w:rsidP="00EC73B2">
      <w:pPr>
        <w:rPr>
          <w:rFonts w:ascii="Arial" w:hAnsi="Arial" w:cs="Arial"/>
        </w:rPr>
      </w:pPr>
      <w:r w:rsidRPr="00EC73B2">
        <w:rPr>
          <w:rFonts w:ascii="Arial" w:hAnsi="Arial" w:cs="Arial"/>
        </w:rPr>
        <w:t>The lack of time and access to databases might limit the possibility to conduct an in-depth review and exclude the scope of pertinent studies.</w:t>
      </w:r>
    </w:p>
    <w:p w14:paraId="5F136EE7" w14:textId="7FF187B1" w:rsidR="000E59D8" w:rsidRPr="00E258A7" w:rsidRDefault="000E59D8" w:rsidP="00861462">
      <w:pPr>
        <w:rPr>
          <w:rFonts w:ascii="Arial" w:hAnsi="Arial" w:cs="Arial"/>
        </w:rPr>
      </w:pPr>
    </w:p>
    <w:p w14:paraId="3656BF3F" w14:textId="77777777" w:rsidR="007F06F0" w:rsidRPr="00E258A7" w:rsidRDefault="007F06F0">
      <w:pPr>
        <w:spacing w:line="278" w:lineRule="auto"/>
        <w:jc w:val="left"/>
        <w:rPr>
          <w:rFonts w:ascii="Arial" w:hAnsi="Arial" w:cs="Arial"/>
        </w:rPr>
      </w:pPr>
      <w:r w:rsidRPr="00E258A7">
        <w:rPr>
          <w:rFonts w:ascii="Arial" w:hAnsi="Arial" w:cs="Arial"/>
        </w:rPr>
        <w:br w:type="page"/>
      </w:r>
    </w:p>
    <w:p w14:paraId="3E558899" w14:textId="77777777" w:rsidR="007F06F0" w:rsidRPr="00E258A7" w:rsidRDefault="007F06F0" w:rsidP="009E68D2">
      <w:pPr>
        <w:pStyle w:val="Heading1"/>
        <w:rPr>
          <w:rFonts w:ascii="Arial" w:hAnsi="Arial" w:cs="Arial"/>
        </w:rPr>
      </w:pPr>
      <w:bookmarkStart w:id="5" w:name="_Toc221799726"/>
      <w:r w:rsidRPr="00E258A7">
        <w:rPr>
          <w:rFonts w:ascii="Arial" w:hAnsi="Arial" w:cs="Arial"/>
        </w:rPr>
        <w:lastRenderedPageBreak/>
        <w:t>6. Timeline</w:t>
      </w:r>
      <w:bookmarkEnd w:id="5"/>
    </w:p>
    <w:tbl>
      <w:tblPr>
        <w:tblStyle w:val="TableGrid"/>
        <w:tblW w:w="0" w:type="auto"/>
        <w:jc w:val="center"/>
        <w:tblLook w:val="04A0" w:firstRow="1" w:lastRow="0" w:firstColumn="1" w:lastColumn="0" w:noHBand="0" w:noVBand="1"/>
      </w:tblPr>
      <w:tblGrid>
        <w:gridCol w:w="973"/>
        <w:gridCol w:w="5299"/>
      </w:tblGrid>
      <w:tr w:rsidR="007F06F0" w:rsidRPr="00E258A7" w14:paraId="06C6DABF" w14:textId="77777777" w:rsidTr="007F06F0">
        <w:trPr>
          <w:jc w:val="center"/>
        </w:trPr>
        <w:tc>
          <w:tcPr>
            <w:tcW w:w="0" w:type="auto"/>
            <w:hideMark/>
          </w:tcPr>
          <w:p w14:paraId="51F7FCFF" w14:textId="77777777" w:rsidR="007F06F0" w:rsidRPr="00E258A7" w:rsidRDefault="007F06F0" w:rsidP="007F06F0">
            <w:pPr>
              <w:spacing w:after="160" w:line="278" w:lineRule="auto"/>
              <w:jc w:val="left"/>
              <w:rPr>
                <w:rFonts w:ascii="Arial" w:hAnsi="Arial" w:cs="Arial"/>
                <w:b/>
                <w:bCs/>
              </w:rPr>
            </w:pPr>
            <w:r w:rsidRPr="00E258A7">
              <w:rPr>
                <w:rFonts w:ascii="Arial" w:hAnsi="Arial" w:cs="Arial"/>
                <w:b/>
                <w:bCs/>
              </w:rPr>
              <w:t>Weeks</w:t>
            </w:r>
          </w:p>
        </w:tc>
        <w:tc>
          <w:tcPr>
            <w:tcW w:w="0" w:type="auto"/>
            <w:hideMark/>
          </w:tcPr>
          <w:p w14:paraId="31B1A2FF" w14:textId="77777777" w:rsidR="007F06F0" w:rsidRPr="00E258A7" w:rsidRDefault="007F06F0" w:rsidP="007F06F0">
            <w:pPr>
              <w:spacing w:after="160" w:line="278" w:lineRule="auto"/>
              <w:jc w:val="left"/>
              <w:rPr>
                <w:rFonts w:ascii="Arial" w:hAnsi="Arial" w:cs="Arial"/>
                <w:b/>
                <w:bCs/>
              </w:rPr>
            </w:pPr>
            <w:r w:rsidRPr="00E258A7">
              <w:rPr>
                <w:rFonts w:ascii="Arial" w:hAnsi="Arial" w:cs="Arial"/>
                <w:b/>
                <w:bCs/>
              </w:rPr>
              <w:t>Activity</w:t>
            </w:r>
          </w:p>
        </w:tc>
      </w:tr>
      <w:tr w:rsidR="007F06F0" w:rsidRPr="00E258A7" w14:paraId="25335567" w14:textId="77777777" w:rsidTr="007F06F0">
        <w:trPr>
          <w:jc w:val="center"/>
        </w:trPr>
        <w:tc>
          <w:tcPr>
            <w:tcW w:w="0" w:type="auto"/>
            <w:hideMark/>
          </w:tcPr>
          <w:p w14:paraId="15C27727" w14:textId="77777777" w:rsidR="007F06F0" w:rsidRPr="00E258A7" w:rsidRDefault="007F06F0" w:rsidP="007F06F0">
            <w:pPr>
              <w:spacing w:after="160" w:line="278" w:lineRule="auto"/>
              <w:jc w:val="left"/>
              <w:rPr>
                <w:rFonts w:ascii="Arial" w:hAnsi="Arial" w:cs="Arial"/>
              </w:rPr>
            </w:pPr>
            <w:r w:rsidRPr="00E258A7">
              <w:rPr>
                <w:rFonts w:ascii="Arial" w:hAnsi="Arial" w:cs="Arial"/>
              </w:rPr>
              <w:t>1–2</w:t>
            </w:r>
          </w:p>
        </w:tc>
        <w:tc>
          <w:tcPr>
            <w:tcW w:w="0" w:type="auto"/>
            <w:hideMark/>
          </w:tcPr>
          <w:p w14:paraId="6061DB9F" w14:textId="77777777" w:rsidR="007F06F0" w:rsidRPr="00E258A7" w:rsidRDefault="007F06F0" w:rsidP="007F06F0">
            <w:pPr>
              <w:spacing w:after="160" w:line="278" w:lineRule="auto"/>
              <w:jc w:val="left"/>
              <w:rPr>
                <w:rFonts w:ascii="Arial" w:hAnsi="Arial" w:cs="Arial"/>
              </w:rPr>
            </w:pPr>
            <w:r w:rsidRPr="00E258A7">
              <w:rPr>
                <w:rFonts w:ascii="Arial" w:hAnsi="Arial" w:cs="Arial"/>
              </w:rPr>
              <w:t>Topic finalisation and proposal development</w:t>
            </w:r>
          </w:p>
        </w:tc>
      </w:tr>
      <w:tr w:rsidR="007F06F0" w:rsidRPr="00E258A7" w14:paraId="061F6DBA" w14:textId="77777777" w:rsidTr="007F06F0">
        <w:trPr>
          <w:jc w:val="center"/>
        </w:trPr>
        <w:tc>
          <w:tcPr>
            <w:tcW w:w="0" w:type="auto"/>
            <w:hideMark/>
          </w:tcPr>
          <w:p w14:paraId="3D6026D0" w14:textId="77777777" w:rsidR="007F06F0" w:rsidRPr="00E258A7" w:rsidRDefault="007F06F0" w:rsidP="007F06F0">
            <w:pPr>
              <w:spacing w:after="160" w:line="278" w:lineRule="auto"/>
              <w:jc w:val="left"/>
              <w:rPr>
                <w:rFonts w:ascii="Arial" w:hAnsi="Arial" w:cs="Arial"/>
              </w:rPr>
            </w:pPr>
            <w:r w:rsidRPr="00E258A7">
              <w:rPr>
                <w:rFonts w:ascii="Arial" w:hAnsi="Arial" w:cs="Arial"/>
              </w:rPr>
              <w:t>3–6</w:t>
            </w:r>
          </w:p>
        </w:tc>
        <w:tc>
          <w:tcPr>
            <w:tcW w:w="0" w:type="auto"/>
            <w:hideMark/>
          </w:tcPr>
          <w:p w14:paraId="2CBDBD99" w14:textId="77777777" w:rsidR="007F06F0" w:rsidRPr="00E258A7" w:rsidRDefault="007F06F0" w:rsidP="007F06F0">
            <w:pPr>
              <w:spacing w:after="160" w:line="278" w:lineRule="auto"/>
              <w:jc w:val="left"/>
              <w:rPr>
                <w:rFonts w:ascii="Arial" w:hAnsi="Arial" w:cs="Arial"/>
              </w:rPr>
            </w:pPr>
            <w:r w:rsidRPr="00E258A7">
              <w:rPr>
                <w:rFonts w:ascii="Arial" w:hAnsi="Arial" w:cs="Arial"/>
              </w:rPr>
              <w:t>Systematic literature review</w:t>
            </w:r>
          </w:p>
        </w:tc>
      </w:tr>
      <w:tr w:rsidR="007F06F0" w:rsidRPr="00E258A7" w14:paraId="46E7867C" w14:textId="77777777" w:rsidTr="007F06F0">
        <w:trPr>
          <w:jc w:val="center"/>
        </w:trPr>
        <w:tc>
          <w:tcPr>
            <w:tcW w:w="0" w:type="auto"/>
            <w:hideMark/>
          </w:tcPr>
          <w:p w14:paraId="7EC1358F" w14:textId="77777777" w:rsidR="007F06F0" w:rsidRPr="00E258A7" w:rsidRDefault="007F06F0" w:rsidP="007F06F0">
            <w:pPr>
              <w:spacing w:after="160" w:line="278" w:lineRule="auto"/>
              <w:jc w:val="left"/>
              <w:rPr>
                <w:rFonts w:ascii="Arial" w:hAnsi="Arial" w:cs="Arial"/>
              </w:rPr>
            </w:pPr>
            <w:r w:rsidRPr="00E258A7">
              <w:rPr>
                <w:rFonts w:ascii="Arial" w:hAnsi="Arial" w:cs="Arial"/>
              </w:rPr>
              <w:t>7–8</w:t>
            </w:r>
          </w:p>
        </w:tc>
        <w:tc>
          <w:tcPr>
            <w:tcW w:w="0" w:type="auto"/>
            <w:hideMark/>
          </w:tcPr>
          <w:p w14:paraId="5530A99B" w14:textId="77777777" w:rsidR="007F06F0" w:rsidRPr="00E258A7" w:rsidRDefault="007F06F0" w:rsidP="007F06F0">
            <w:pPr>
              <w:spacing w:after="160" w:line="278" w:lineRule="auto"/>
              <w:jc w:val="left"/>
              <w:rPr>
                <w:rFonts w:ascii="Arial" w:hAnsi="Arial" w:cs="Arial"/>
              </w:rPr>
            </w:pPr>
            <w:r w:rsidRPr="00E258A7">
              <w:rPr>
                <w:rFonts w:ascii="Arial" w:hAnsi="Arial" w:cs="Arial"/>
              </w:rPr>
              <w:t>Data synthesis and conceptual framework</w:t>
            </w:r>
          </w:p>
        </w:tc>
      </w:tr>
      <w:tr w:rsidR="007F06F0" w:rsidRPr="00E258A7" w14:paraId="7CBA0D6E" w14:textId="77777777" w:rsidTr="007F06F0">
        <w:trPr>
          <w:jc w:val="center"/>
        </w:trPr>
        <w:tc>
          <w:tcPr>
            <w:tcW w:w="0" w:type="auto"/>
            <w:hideMark/>
          </w:tcPr>
          <w:p w14:paraId="3B1F2175" w14:textId="77777777" w:rsidR="007F06F0" w:rsidRPr="00E258A7" w:rsidRDefault="007F06F0" w:rsidP="007F06F0">
            <w:pPr>
              <w:spacing w:after="160" w:line="278" w:lineRule="auto"/>
              <w:jc w:val="left"/>
              <w:rPr>
                <w:rFonts w:ascii="Arial" w:hAnsi="Arial" w:cs="Arial"/>
              </w:rPr>
            </w:pPr>
            <w:r w:rsidRPr="00E258A7">
              <w:rPr>
                <w:rFonts w:ascii="Arial" w:hAnsi="Arial" w:cs="Arial"/>
              </w:rPr>
              <w:t>9–10</w:t>
            </w:r>
          </w:p>
        </w:tc>
        <w:tc>
          <w:tcPr>
            <w:tcW w:w="0" w:type="auto"/>
            <w:hideMark/>
          </w:tcPr>
          <w:p w14:paraId="34535A40" w14:textId="77777777" w:rsidR="007F06F0" w:rsidRPr="00E258A7" w:rsidRDefault="007F06F0" w:rsidP="007F06F0">
            <w:pPr>
              <w:spacing w:after="160" w:line="278" w:lineRule="auto"/>
              <w:jc w:val="left"/>
              <w:rPr>
                <w:rFonts w:ascii="Arial" w:hAnsi="Arial" w:cs="Arial"/>
              </w:rPr>
            </w:pPr>
            <w:r w:rsidRPr="00E258A7">
              <w:rPr>
                <w:rFonts w:ascii="Arial" w:hAnsi="Arial" w:cs="Arial"/>
              </w:rPr>
              <w:t>Methodology refinement</w:t>
            </w:r>
          </w:p>
        </w:tc>
      </w:tr>
      <w:tr w:rsidR="007F06F0" w:rsidRPr="00E258A7" w14:paraId="780B3851" w14:textId="77777777" w:rsidTr="007F06F0">
        <w:trPr>
          <w:jc w:val="center"/>
        </w:trPr>
        <w:tc>
          <w:tcPr>
            <w:tcW w:w="0" w:type="auto"/>
            <w:hideMark/>
          </w:tcPr>
          <w:p w14:paraId="08A24068" w14:textId="77777777" w:rsidR="007F06F0" w:rsidRPr="00E258A7" w:rsidRDefault="007F06F0" w:rsidP="007F06F0">
            <w:pPr>
              <w:spacing w:after="160" w:line="278" w:lineRule="auto"/>
              <w:jc w:val="left"/>
              <w:rPr>
                <w:rFonts w:ascii="Arial" w:hAnsi="Arial" w:cs="Arial"/>
              </w:rPr>
            </w:pPr>
            <w:r w:rsidRPr="00E258A7">
              <w:rPr>
                <w:rFonts w:ascii="Arial" w:hAnsi="Arial" w:cs="Arial"/>
              </w:rPr>
              <w:t>11–12</w:t>
            </w:r>
          </w:p>
        </w:tc>
        <w:tc>
          <w:tcPr>
            <w:tcW w:w="0" w:type="auto"/>
            <w:hideMark/>
          </w:tcPr>
          <w:p w14:paraId="538D8A9B" w14:textId="77777777" w:rsidR="007F06F0" w:rsidRPr="00E258A7" w:rsidRDefault="007F06F0" w:rsidP="007F06F0">
            <w:pPr>
              <w:spacing w:after="160" w:line="278" w:lineRule="auto"/>
              <w:jc w:val="left"/>
              <w:rPr>
                <w:rFonts w:ascii="Arial" w:hAnsi="Arial" w:cs="Arial"/>
              </w:rPr>
            </w:pPr>
            <w:r w:rsidRPr="00E258A7">
              <w:rPr>
                <w:rFonts w:ascii="Arial" w:hAnsi="Arial" w:cs="Arial"/>
              </w:rPr>
              <w:t>Analysis and discussion</w:t>
            </w:r>
          </w:p>
        </w:tc>
      </w:tr>
      <w:tr w:rsidR="007F06F0" w:rsidRPr="00E258A7" w14:paraId="39ACF018" w14:textId="77777777" w:rsidTr="007F06F0">
        <w:trPr>
          <w:jc w:val="center"/>
        </w:trPr>
        <w:tc>
          <w:tcPr>
            <w:tcW w:w="0" w:type="auto"/>
            <w:hideMark/>
          </w:tcPr>
          <w:p w14:paraId="617C7DB9" w14:textId="77777777" w:rsidR="007F06F0" w:rsidRPr="00E258A7" w:rsidRDefault="007F06F0" w:rsidP="007F06F0">
            <w:pPr>
              <w:spacing w:after="160" w:line="278" w:lineRule="auto"/>
              <w:jc w:val="left"/>
              <w:rPr>
                <w:rFonts w:ascii="Arial" w:hAnsi="Arial" w:cs="Arial"/>
              </w:rPr>
            </w:pPr>
            <w:r w:rsidRPr="00E258A7">
              <w:rPr>
                <w:rFonts w:ascii="Arial" w:hAnsi="Arial" w:cs="Arial"/>
              </w:rPr>
              <w:t>13–14</w:t>
            </w:r>
          </w:p>
        </w:tc>
        <w:tc>
          <w:tcPr>
            <w:tcW w:w="0" w:type="auto"/>
            <w:hideMark/>
          </w:tcPr>
          <w:p w14:paraId="7FF01D9C" w14:textId="77777777" w:rsidR="007F06F0" w:rsidRPr="00E258A7" w:rsidRDefault="007F06F0" w:rsidP="007F06F0">
            <w:pPr>
              <w:spacing w:after="160" w:line="278" w:lineRule="auto"/>
              <w:jc w:val="left"/>
              <w:rPr>
                <w:rFonts w:ascii="Arial" w:hAnsi="Arial" w:cs="Arial"/>
              </w:rPr>
            </w:pPr>
            <w:r w:rsidRPr="00E258A7">
              <w:rPr>
                <w:rFonts w:ascii="Arial" w:hAnsi="Arial" w:cs="Arial"/>
              </w:rPr>
              <w:t>Conclusions, recommendations and submission</w:t>
            </w:r>
          </w:p>
        </w:tc>
      </w:tr>
    </w:tbl>
    <w:p w14:paraId="0D9E5E84" w14:textId="77777777" w:rsidR="00175096" w:rsidRPr="00E258A7" w:rsidRDefault="00175096">
      <w:pPr>
        <w:spacing w:line="278" w:lineRule="auto"/>
        <w:jc w:val="left"/>
        <w:rPr>
          <w:rFonts w:ascii="Arial" w:hAnsi="Arial" w:cs="Arial"/>
        </w:rPr>
      </w:pPr>
    </w:p>
    <w:p w14:paraId="05F1A20C" w14:textId="77777777" w:rsidR="009E68D2" w:rsidRPr="00E258A7" w:rsidRDefault="00175096" w:rsidP="009E68D2">
      <w:pPr>
        <w:keepNext/>
        <w:spacing w:line="278" w:lineRule="auto"/>
        <w:jc w:val="left"/>
        <w:rPr>
          <w:rFonts w:ascii="Arial" w:hAnsi="Arial" w:cs="Arial"/>
        </w:rPr>
      </w:pPr>
      <w:r w:rsidRPr="00E258A7">
        <w:rPr>
          <w:rFonts w:ascii="Arial" w:hAnsi="Arial" w:cs="Arial"/>
          <w:noProof/>
        </w:rPr>
        <w:drawing>
          <wp:inline distT="0" distB="0" distL="0" distR="0" wp14:anchorId="7BCCC624" wp14:editId="54FBD8F6">
            <wp:extent cx="6162675" cy="1453150"/>
            <wp:effectExtent l="19050" t="19050" r="9525" b="13970"/>
            <wp:docPr id="2302349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85517" cy="1458536"/>
                    </a:xfrm>
                    <a:prstGeom prst="rect">
                      <a:avLst/>
                    </a:prstGeom>
                    <a:noFill/>
                    <a:ln>
                      <a:solidFill>
                        <a:schemeClr val="tx1"/>
                      </a:solidFill>
                    </a:ln>
                  </pic:spPr>
                </pic:pic>
              </a:graphicData>
            </a:graphic>
          </wp:inline>
        </w:drawing>
      </w:r>
    </w:p>
    <w:p w14:paraId="21E26826" w14:textId="330B2BD5" w:rsidR="009E68D2" w:rsidRPr="00E258A7" w:rsidRDefault="009E68D2" w:rsidP="009E68D2">
      <w:pPr>
        <w:pStyle w:val="Caption"/>
        <w:jc w:val="center"/>
        <w:rPr>
          <w:rFonts w:ascii="Arial" w:hAnsi="Arial" w:cs="Arial"/>
        </w:rPr>
      </w:pPr>
      <w:r w:rsidRPr="00E258A7">
        <w:rPr>
          <w:rFonts w:ascii="Arial" w:hAnsi="Arial" w:cs="Arial"/>
        </w:rPr>
        <w:t xml:space="preserve">Figure </w:t>
      </w:r>
      <w:r w:rsidRPr="00E258A7">
        <w:rPr>
          <w:rFonts w:ascii="Arial" w:hAnsi="Arial" w:cs="Arial"/>
        </w:rPr>
        <w:fldChar w:fldCharType="begin"/>
      </w:r>
      <w:r w:rsidRPr="00E258A7">
        <w:rPr>
          <w:rFonts w:ascii="Arial" w:hAnsi="Arial" w:cs="Arial"/>
        </w:rPr>
        <w:instrText xml:space="preserve"> SEQ Figure \* ARABIC </w:instrText>
      </w:r>
      <w:r w:rsidRPr="00E258A7">
        <w:rPr>
          <w:rFonts w:ascii="Arial" w:hAnsi="Arial" w:cs="Arial"/>
        </w:rPr>
        <w:fldChar w:fldCharType="separate"/>
      </w:r>
      <w:r w:rsidRPr="00E258A7">
        <w:rPr>
          <w:rFonts w:ascii="Arial" w:hAnsi="Arial" w:cs="Arial"/>
          <w:noProof/>
        </w:rPr>
        <w:t>1</w:t>
      </w:r>
      <w:r w:rsidRPr="00E258A7">
        <w:rPr>
          <w:rFonts w:ascii="Arial" w:hAnsi="Arial" w:cs="Arial"/>
          <w:noProof/>
        </w:rPr>
        <w:fldChar w:fldCharType="end"/>
      </w:r>
      <w:r w:rsidRPr="00E258A7">
        <w:rPr>
          <w:rFonts w:ascii="Arial" w:hAnsi="Arial" w:cs="Arial"/>
        </w:rPr>
        <w:t>: Gantt Chart of activity</w:t>
      </w:r>
    </w:p>
    <w:p w14:paraId="098503F1" w14:textId="54A2D5D1" w:rsidR="00420FC9" w:rsidRPr="00E258A7" w:rsidRDefault="00420FC9">
      <w:pPr>
        <w:spacing w:line="278" w:lineRule="auto"/>
        <w:jc w:val="left"/>
        <w:rPr>
          <w:rFonts w:ascii="Arial" w:hAnsi="Arial" w:cs="Arial"/>
        </w:rPr>
      </w:pPr>
      <w:r w:rsidRPr="00E258A7">
        <w:rPr>
          <w:rFonts w:ascii="Arial" w:hAnsi="Arial" w:cs="Arial"/>
        </w:rPr>
        <w:br w:type="page"/>
      </w:r>
    </w:p>
    <w:p w14:paraId="25E615AA" w14:textId="6FC65ED4" w:rsidR="00A542D5" w:rsidRPr="00E258A7" w:rsidRDefault="00420FC9" w:rsidP="00637BED">
      <w:pPr>
        <w:pStyle w:val="Heading1"/>
        <w:rPr>
          <w:rFonts w:ascii="Arial" w:hAnsi="Arial" w:cs="Arial"/>
        </w:rPr>
      </w:pPr>
      <w:bookmarkStart w:id="6" w:name="_Toc221799727"/>
      <w:r w:rsidRPr="00E258A7">
        <w:rPr>
          <w:rFonts w:ascii="Arial" w:hAnsi="Arial" w:cs="Arial"/>
        </w:rPr>
        <w:lastRenderedPageBreak/>
        <w:t>References:</w:t>
      </w:r>
      <w:bookmarkEnd w:id="6"/>
    </w:p>
    <w:p w14:paraId="5E770F6C" w14:textId="26A14756" w:rsidR="00637BED" w:rsidRPr="00E258A7" w:rsidRDefault="00637BED" w:rsidP="00637BED">
      <w:pPr>
        <w:jc w:val="left"/>
        <w:rPr>
          <w:rFonts w:ascii="Arial" w:hAnsi="Arial" w:cs="Arial"/>
        </w:rPr>
      </w:pPr>
      <w:r w:rsidRPr="00E258A7">
        <w:rPr>
          <w:rFonts w:ascii="Arial" w:hAnsi="Arial" w:cs="Arial"/>
        </w:rPr>
        <w:t xml:space="preserve">Ahmed, Y.N., Alnafissa, M., Negm, M.M., Gharieb, Y.M., Algarini, A. and Hassouba, T.A.-A. (2024) ‘Analyzing exchange rate effects on trade: empirical evidence’, </w:t>
      </w:r>
      <w:r w:rsidRPr="00E258A7">
        <w:rPr>
          <w:rFonts w:ascii="Arial" w:hAnsi="Arial" w:cs="Arial"/>
          <w:i/>
          <w:iCs/>
        </w:rPr>
        <w:t>Sustainability</w:t>
      </w:r>
      <w:r w:rsidRPr="00E258A7">
        <w:rPr>
          <w:rFonts w:ascii="Arial" w:hAnsi="Arial" w:cs="Arial"/>
        </w:rPr>
        <w:t>, 16(10), article 4177. Available at: https://doi.org/10.3390/su16104177.</w:t>
      </w:r>
    </w:p>
    <w:p w14:paraId="1897952D" w14:textId="143A7F9E" w:rsidR="00637BED" w:rsidRPr="00E258A7" w:rsidRDefault="00637BED" w:rsidP="00637BED">
      <w:pPr>
        <w:jc w:val="left"/>
        <w:rPr>
          <w:rFonts w:ascii="Arial" w:hAnsi="Arial" w:cs="Arial"/>
        </w:rPr>
      </w:pPr>
      <w:r w:rsidRPr="00E258A7">
        <w:rPr>
          <w:rFonts w:ascii="Arial" w:hAnsi="Arial" w:cs="Arial"/>
        </w:rPr>
        <w:t xml:space="preserve">Alhattali, A.H., Alshamsi, N.S., Alnuaimi, R. and Nobanee, H. (2024) ‘Global currency risks and economic exposure: a systematic review of hedging strategies’, </w:t>
      </w:r>
      <w:r w:rsidRPr="00E258A7">
        <w:rPr>
          <w:rFonts w:ascii="Arial" w:hAnsi="Arial" w:cs="Arial"/>
          <w:i/>
          <w:iCs/>
        </w:rPr>
        <w:t>SSRN Electronic Journal</w:t>
      </w:r>
      <w:r w:rsidRPr="00E258A7">
        <w:rPr>
          <w:rFonts w:ascii="Arial" w:hAnsi="Arial" w:cs="Arial"/>
        </w:rPr>
        <w:t>. Available at: https://doi.org/10.2139/ssrn.4978886.</w:t>
      </w:r>
    </w:p>
    <w:p w14:paraId="0A42AB41" w14:textId="233E8DEB" w:rsidR="00637BED" w:rsidRPr="00E258A7" w:rsidRDefault="00637BED" w:rsidP="00637BED">
      <w:pPr>
        <w:jc w:val="left"/>
        <w:rPr>
          <w:rFonts w:ascii="Arial" w:hAnsi="Arial" w:cs="Arial"/>
        </w:rPr>
      </w:pPr>
      <w:r w:rsidRPr="00E258A7">
        <w:rPr>
          <w:rFonts w:ascii="Arial" w:hAnsi="Arial" w:cs="Arial"/>
        </w:rPr>
        <w:t xml:space="preserve">Aljarba, S., Naifar, N. and Almeshal, K. (2024) ‘Volatility spillovers among sovereign credit default swaps of emerging economies and their determinants’, </w:t>
      </w:r>
      <w:r w:rsidRPr="00E258A7">
        <w:rPr>
          <w:rFonts w:ascii="Arial" w:hAnsi="Arial" w:cs="Arial"/>
          <w:i/>
          <w:iCs/>
        </w:rPr>
        <w:t>Risks</w:t>
      </w:r>
      <w:r w:rsidRPr="00E258A7">
        <w:rPr>
          <w:rFonts w:ascii="Arial" w:hAnsi="Arial" w:cs="Arial"/>
        </w:rPr>
        <w:t>, 12(4), article 71. Available at: https://doi.org/10.3390/risks12040071.</w:t>
      </w:r>
    </w:p>
    <w:p w14:paraId="3AB0902A" w14:textId="77777777" w:rsidR="00637BED" w:rsidRPr="00E258A7" w:rsidRDefault="00637BED" w:rsidP="00637BED">
      <w:pPr>
        <w:jc w:val="left"/>
        <w:rPr>
          <w:rFonts w:ascii="Arial" w:hAnsi="Arial" w:cs="Arial"/>
        </w:rPr>
      </w:pPr>
      <w:r w:rsidRPr="00E258A7">
        <w:rPr>
          <w:rFonts w:ascii="Arial" w:hAnsi="Arial" w:cs="Arial"/>
        </w:rPr>
        <w:t xml:space="preserve">Almeida, J. and Gonçalves, T.C. (2022a) ‘A systematic literature review of volatility and risk management on cryptocurrency investment: a methodological point of view’, </w:t>
      </w:r>
      <w:r w:rsidRPr="00E258A7">
        <w:rPr>
          <w:rFonts w:ascii="Arial" w:hAnsi="Arial" w:cs="Arial"/>
          <w:i/>
          <w:iCs/>
        </w:rPr>
        <w:t>Risks</w:t>
      </w:r>
      <w:r w:rsidRPr="00E258A7">
        <w:rPr>
          <w:rFonts w:ascii="Arial" w:hAnsi="Arial" w:cs="Arial"/>
        </w:rPr>
        <w:t xml:space="preserve">, 10(5), article 107. Available at: </w:t>
      </w:r>
      <w:hyperlink r:id="rId9" w:history="1">
        <w:r w:rsidRPr="00E258A7">
          <w:rPr>
            <w:rStyle w:val="Hyperlink"/>
            <w:rFonts w:ascii="Arial" w:hAnsi="Arial" w:cs="Arial"/>
          </w:rPr>
          <w:t>https://www.mdpi.com/2227-9091/10/5/107</w:t>
        </w:r>
      </w:hyperlink>
    </w:p>
    <w:p w14:paraId="229773E6" w14:textId="77777777" w:rsidR="00637BED" w:rsidRPr="00E258A7" w:rsidRDefault="00637BED" w:rsidP="00637BED">
      <w:pPr>
        <w:jc w:val="left"/>
        <w:rPr>
          <w:rFonts w:ascii="Arial" w:hAnsi="Arial" w:cs="Arial"/>
        </w:rPr>
      </w:pPr>
      <w:r w:rsidRPr="00E258A7">
        <w:rPr>
          <w:rFonts w:ascii="Arial" w:hAnsi="Arial" w:cs="Arial"/>
        </w:rPr>
        <w:t xml:space="preserve">Almeida, J. and Gonçalves, T.C. (2022b) ‘Portfolio diversification, hedge and safe-haven properties in cryptocurrency investments and financial economics: a systematic literature review’, </w:t>
      </w:r>
      <w:r w:rsidRPr="00E258A7">
        <w:rPr>
          <w:rFonts w:ascii="Arial" w:hAnsi="Arial" w:cs="Arial"/>
          <w:i/>
          <w:iCs/>
        </w:rPr>
        <w:t>Journal of Risk and Financial Management</w:t>
      </w:r>
      <w:r w:rsidRPr="00E258A7">
        <w:rPr>
          <w:rFonts w:ascii="Arial" w:hAnsi="Arial" w:cs="Arial"/>
        </w:rPr>
        <w:t xml:space="preserve">, 16(1), article 3. Available at: </w:t>
      </w:r>
      <w:hyperlink r:id="rId10" w:history="1">
        <w:r w:rsidRPr="00E258A7">
          <w:rPr>
            <w:rStyle w:val="Hyperlink"/>
            <w:rFonts w:ascii="Arial" w:hAnsi="Arial" w:cs="Arial"/>
          </w:rPr>
          <w:t>https://www.mdpi.com/1911-8074/16/1/3</w:t>
        </w:r>
      </w:hyperlink>
    </w:p>
    <w:p w14:paraId="274613D3" w14:textId="31D728B8" w:rsidR="00637BED" w:rsidRPr="00E258A7" w:rsidRDefault="00637BED" w:rsidP="00637BED">
      <w:pPr>
        <w:jc w:val="left"/>
        <w:rPr>
          <w:rFonts w:ascii="Arial" w:hAnsi="Arial" w:cs="Arial"/>
        </w:rPr>
      </w:pPr>
      <w:r w:rsidRPr="00E258A7">
        <w:rPr>
          <w:rFonts w:ascii="Arial" w:hAnsi="Arial" w:cs="Arial"/>
        </w:rPr>
        <w:t xml:space="preserve">Ameziane, K. and Benyacoub, B. (2022) ‘Exchange rate volatility effect on economic growth under different exchange rate regimes: new evidence from emerging countries using panel CS-ARDL model’, </w:t>
      </w:r>
      <w:r w:rsidRPr="00E258A7">
        <w:rPr>
          <w:rFonts w:ascii="Arial" w:hAnsi="Arial" w:cs="Arial"/>
          <w:i/>
          <w:iCs/>
        </w:rPr>
        <w:t>Journal of Risk and Financial Management</w:t>
      </w:r>
      <w:r w:rsidRPr="00E258A7">
        <w:rPr>
          <w:rFonts w:ascii="Arial" w:hAnsi="Arial" w:cs="Arial"/>
        </w:rPr>
        <w:t>, 15(11), article 499. Available at: https://doi.org/10.3390/jrfm15110499.</w:t>
      </w:r>
    </w:p>
    <w:p w14:paraId="46735441" w14:textId="2641E519" w:rsidR="00637BED" w:rsidRPr="00E258A7" w:rsidRDefault="00637BED" w:rsidP="00637BED">
      <w:pPr>
        <w:jc w:val="left"/>
        <w:rPr>
          <w:rFonts w:ascii="Arial" w:hAnsi="Arial" w:cs="Arial"/>
        </w:rPr>
      </w:pPr>
      <w:r w:rsidRPr="00E258A7">
        <w:rPr>
          <w:rFonts w:ascii="Arial" w:hAnsi="Arial" w:cs="Arial"/>
        </w:rPr>
        <w:t xml:space="preserve">Arismendi-Zambrano, J., Belitsky, V., Sobreiro, V.A. and Kimura, H. (2022) ‘The implications of dependence, tail dependence, and bounds’ measures for counterparty credit risk pricing’, </w:t>
      </w:r>
      <w:r w:rsidRPr="00E258A7">
        <w:rPr>
          <w:rFonts w:ascii="Arial" w:hAnsi="Arial" w:cs="Arial"/>
          <w:i/>
          <w:iCs/>
        </w:rPr>
        <w:t>Journal of Financial Stability</w:t>
      </w:r>
      <w:r w:rsidRPr="00E258A7">
        <w:rPr>
          <w:rFonts w:ascii="Arial" w:hAnsi="Arial" w:cs="Arial"/>
        </w:rPr>
        <w:t>, 58, article 100969. Available at:  https://doi.org/10.1016/j.jfs.2021.100969.</w:t>
      </w:r>
    </w:p>
    <w:p w14:paraId="517409D8" w14:textId="48FECA25" w:rsidR="00637BED" w:rsidRPr="00E258A7" w:rsidRDefault="00637BED" w:rsidP="00637BED">
      <w:pPr>
        <w:jc w:val="left"/>
        <w:rPr>
          <w:rFonts w:ascii="Arial" w:hAnsi="Arial" w:cs="Arial"/>
        </w:rPr>
      </w:pPr>
      <w:r w:rsidRPr="00E258A7">
        <w:rPr>
          <w:rFonts w:ascii="Arial" w:hAnsi="Arial" w:cs="Arial"/>
        </w:rPr>
        <w:t xml:space="preserve">Ayitey Junior, M., Appiahene, P., Appiah, O. and Bombie, C.N. (2023) ‘Forex market forecasting using machine learning: systematic literature review and meta-analysis’, </w:t>
      </w:r>
      <w:r w:rsidRPr="00E258A7">
        <w:rPr>
          <w:rFonts w:ascii="Arial" w:hAnsi="Arial" w:cs="Arial"/>
          <w:i/>
          <w:iCs/>
        </w:rPr>
        <w:t>Journal of Big Data</w:t>
      </w:r>
      <w:r w:rsidRPr="00E258A7">
        <w:rPr>
          <w:rFonts w:ascii="Arial" w:hAnsi="Arial" w:cs="Arial"/>
        </w:rPr>
        <w:t>, 10(1). Available at: https://doi.org/10.1186/s40537-022-00676-2.</w:t>
      </w:r>
    </w:p>
    <w:p w14:paraId="6BAA8134" w14:textId="719DD404" w:rsidR="00637BED" w:rsidRPr="00E258A7" w:rsidRDefault="00637BED" w:rsidP="00637BED">
      <w:pPr>
        <w:jc w:val="left"/>
        <w:rPr>
          <w:rFonts w:ascii="Arial" w:hAnsi="Arial" w:cs="Arial"/>
        </w:rPr>
      </w:pPr>
      <w:r w:rsidRPr="00E258A7">
        <w:rPr>
          <w:rFonts w:ascii="Arial" w:hAnsi="Arial" w:cs="Arial"/>
        </w:rPr>
        <w:lastRenderedPageBreak/>
        <w:t xml:space="preserve">Bilis, E., Papadimitriou, T., Diamantaras, K. and Goulianas, K. (2025) ‘EXPERT: exchange rate prediction using encoder representation from transformers’, </w:t>
      </w:r>
      <w:r w:rsidRPr="00E258A7">
        <w:rPr>
          <w:rFonts w:ascii="Arial" w:hAnsi="Arial" w:cs="Arial"/>
          <w:i/>
          <w:iCs/>
        </w:rPr>
        <w:t>Forecasting</w:t>
      </w:r>
      <w:r w:rsidRPr="00E258A7">
        <w:rPr>
          <w:rFonts w:ascii="Arial" w:hAnsi="Arial" w:cs="Arial"/>
        </w:rPr>
        <w:t>, 7(4), article 65. Available at: https://doi.org/10.3390/forecast7040065.</w:t>
      </w:r>
    </w:p>
    <w:p w14:paraId="072B8AA6" w14:textId="4EDB90D8" w:rsidR="00637BED" w:rsidRPr="00E258A7" w:rsidRDefault="00637BED" w:rsidP="00637BED">
      <w:pPr>
        <w:jc w:val="left"/>
        <w:rPr>
          <w:rFonts w:ascii="Arial" w:hAnsi="Arial" w:cs="Arial"/>
        </w:rPr>
      </w:pPr>
      <w:r w:rsidRPr="00E258A7">
        <w:rPr>
          <w:rFonts w:ascii="Arial" w:hAnsi="Arial" w:cs="Arial"/>
        </w:rPr>
        <w:t xml:space="preserve">Blom, H.M., Petter, P. and Risstad, M. (2023) ‘Estimating value-at-risk in the EUR/USD currency cross from implied volatilities using machine learning methods and quantile regression’, </w:t>
      </w:r>
      <w:r w:rsidRPr="00E258A7">
        <w:rPr>
          <w:rFonts w:ascii="Arial" w:hAnsi="Arial" w:cs="Arial"/>
          <w:i/>
          <w:iCs/>
        </w:rPr>
        <w:t>Journal of Risk and Financial Management</w:t>
      </w:r>
      <w:r w:rsidRPr="00E258A7">
        <w:rPr>
          <w:rFonts w:ascii="Arial" w:hAnsi="Arial" w:cs="Arial"/>
        </w:rPr>
        <w:t>, 16(7), article 312. Available at: https://doi.org/10.3390/jrfm16070312.</w:t>
      </w:r>
    </w:p>
    <w:p w14:paraId="2C72C55E" w14:textId="58507DD1" w:rsidR="00637BED" w:rsidRPr="00E258A7" w:rsidRDefault="00637BED" w:rsidP="00637BED">
      <w:pPr>
        <w:jc w:val="left"/>
        <w:rPr>
          <w:rFonts w:ascii="Arial" w:hAnsi="Arial" w:cs="Arial"/>
        </w:rPr>
      </w:pPr>
      <w:r w:rsidRPr="00E258A7">
        <w:rPr>
          <w:rFonts w:ascii="Arial" w:hAnsi="Arial" w:cs="Arial"/>
        </w:rPr>
        <w:t xml:space="preserve">Chikwira, C. and Jahed, M.I. (2024) ‘Analysis of exchange rate stability on the economic growth process of a developing country: the case of South Africa from 2000 to 2023’, </w:t>
      </w:r>
      <w:r w:rsidRPr="00E258A7">
        <w:rPr>
          <w:rFonts w:ascii="Arial" w:hAnsi="Arial" w:cs="Arial"/>
          <w:i/>
          <w:iCs/>
        </w:rPr>
        <w:t>Economies</w:t>
      </w:r>
      <w:r w:rsidRPr="00E258A7">
        <w:rPr>
          <w:rFonts w:ascii="Arial" w:hAnsi="Arial" w:cs="Arial"/>
        </w:rPr>
        <w:t>, 12(11), article 296. Available at: https://doi.org/10.3390/economies12110296.</w:t>
      </w:r>
    </w:p>
    <w:p w14:paraId="4A0A706E" w14:textId="22F7A27B" w:rsidR="00637BED" w:rsidRPr="00E258A7" w:rsidRDefault="00637BED" w:rsidP="00637BED">
      <w:pPr>
        <w:jc w:val="left"/>
        <w:rPr>
          <w:rFonts w:ascii="Arial" w:hAnsi="Arial" w:cs="Arial"/>
        </w:rPr>
      </w:pPr>
      <w:r w:rsidRPr="00E258A7">
        <w:rPr>
          <w:rFonts w:ascii="Arial" w:hAnsi="Arial" w:cs="Arial"/>
        </w:rPr>
        <w:t xml:space="preserve">Eita, J.H. and Raoul, C. (2022) ‘Quantifying foreign exchange risk in selected listed sectors of the Johannesburg Stock Exchange: an SV-EVT pairwise copula approach’, </w:t>
      </w:r>
      <w:r w:rsidRPr="00E258A7">
        <w:rPr>
          <w:rFonts w:ascii="Arial" w:hAnsi="Arial" w:cs="Arial"/>
          <w:i/>
          <w:iCs/>
        </w:rPr>
        <w:t>International Journal of Financial Studies</w:t>
      </w:r>
      <w:r w:rsidRPr="00E258A7">
        <w:rPr>
          <w:rFonts w:ascii="Arial" w:hAnsi="Arial" w:cs="Arial"/>
        </w:rPr>
        <w:t>, 10(2), article 24. Available at: https://doi.org/10.3390/ijfs10020024.</w:t>
      </w:r>
    </w:p>
    <w:p w14:paraId="0D87F82B" w14:textId="1120FD36" w:rsidR="00637BED" w:rsidRPr="00E258A7" w:rsidRDefault="00637BED" w:rsidP="00637BED">
      <w:pPr>
        <w:jc w:val="left"/>
        <w:rPr>
          <w:rFonts w:ascii="Arial" w:hAnsi="Arial" w:cs="Arial"/>
        </w:rPr>
      </w:pPr>
      <w:r w:rsidRPr="00E258A7">
        <w:rPr>
          <w:rFonts w:ascii="Arial" w:hAnsi="Arial" w:cs="Arial"/>
        </w:rPr>
        <w:t xml:space="preserve">Fat, J., Moengin, P., Astuti, P. and Cahyati, S. (2025) ‘Sustainability in forex trading: a review in search of the SARSA–FIS hybrid method as a novelty’, </w:t>
      </w:r>
      <w:r w:rsidRPr="00E258A7">
        <w:rPr>
          <w:rFonts w:ascii="Arial" w:hAnsi="Arial" w:cs="Arial"/>
          <w:i/>
          <w:iCs/>
        </w:rPr>
        <w:t>Bulletin of Monetary Economics and Banking</w:t>
      </w:r>
      <w:r w:rsidRPr="00E258A7">
        <w:rPr>
          <w:rFonts w:ascii="Arial" w:hAnsi="Arial" w:cs="Arial"/>
        </w:rPr>
        <w:t>, 28, pp. 71–94. Available at: https://doi.org/10.59091/2460-9196.2369.</w:t>
      </w:r>
    </w:p>
    <w:p w14:paraId="344832AF" w14:textId="399EC0C2" w:rsidR="00637BED" w:rsidRPr="00E258A7" w:rsidRDefault="00637BED" w:rsidP="00637BED">
      <w:pPr>
        <w:jc w:val="left"/>
        <w:rPr>
          <w:rFonts w:ascii="Arial" w:hAnsi="Arial" w:cs="Arial"/>
        </w:rPr>
      </w:pPr>
      <w:r w:rsidRPr="00E258A7">
        <w:rPr>
          <w:rFonts w:ascii="Arial" w:hAnsi="Arial" w:cs="Arial"/>
        </w:rPr>
        <w:t xml:space="preserve">Fathi, M., Grobys, K. and Kolari, J.W. (2024) ‘On the realized risk of foreign exchange rates: a fractal perspective’, </w:t>
      </w:r>
      <w:r w:rsidRPr="00E258A7">
        <w:rPr>
          <w:rFonts w:ascii="Arial" w:hAnsi="Arial" w:cs="Arial"/>
          <w:i/>
          <w:iCs/>
        </w:rPr>
        <w:t>Journal of Risk and Financial Management</w:t>
      </w:r>
      <w:r w:rsidRPr="00E258A7">
        <w:rPr>
          <w:rFonts w:ascii="Arial" w:hAnsi="Arial" w:cs="Arial"/>
        </w:rPr>
        <w:t>, 17(2), article 79. Available at: https://doi.org/10.3390/jrfm17020079.</w:t>
      </w:r>
    </w:p>
    <w:p w14:paraId="50CD2BBB" w14:textId="1A55988A" w:rsidR="00637BED" w:rsidRPr="00E258A7" w:rsidRDefault="00637BED" w:rsidP="00637BED">
      <w:pPr>
        <w:jc w:val="left"/>
        <w:rPr>
          <w:rFonts w:ascii="Arial" w:hAnsi="Arial" w:cs="Arial"/>
        </w:rPr>
      </w:pPr>
      <w:r w:rsidRPr="00E258A7">
        <w:rPr>
          <w:rFonts w:ascii="Arial" w:hAnsi="Arial" w:cs="Arial"/>
        </w:rPr>
        <w:t xml:space="preserve">Ferdous, L.T., Mostafa, M., Ahsan, A., Thuy, H. and Samaduzzaman, M. (2022) ‘An early warning system for currency crises in emerging countries’, </w:t>
      </w:r>
      <w:r w:rsidRPr="00E258A7">
        <w:rPr>
          <w:rFonts w:ascii="Arial" w:hAnsi="Arial" w:cs="Arial"/>
          <w:i/>
          <w:iCs/>
        </w:rPr>
        <w:t>Journal of Risk and Financial Management</w:t>
      </w:r>
      <w:r w:rsidRPr="00E258A7">
        <w:rPr>
          <w:rFonts w:ascii="Arial" w:hAnsi="Arial" w:cs="Arial"/>
        </w:rPr>
        <w:t>, 15(4), article 167. Available at:  https://doi.org/10.3390/jrfm15040167.</w:t>
      </w:r>
    </w:p>
    <w:p w14:paraId="6A137BB3" w14:textId="60C9933D" w:rsidR="00637BED" w:rsidRPr="00E258A7" w:rsidRDefault="00637BED" w:rsidP="00637BED">
      <w:pPr>
        <w:jc w:val="left"/>
        <w:rPr>
          <w:rFonts w:ascii="Arial" w:hAnsi="Arial" w:cs="Arial"/>
        </w:rPr>
      </w:pPr>
      <w:r w:rsidRPr="00E258A7">
        <w:rPr>
          <w:rFonts w:ascii="Arial" w:hAnsi="Arial" w:cs="Arial"/>
        </w:rPr>
        <w:t xml:space="preserve">García, F., Guijarro, F., Oliver, J. and Tamošiūnienė, R. (2023) ‘Foreign exchange forecasting models: ARIMA and LSTM comparison’, </w:t>
      </w:r>
      <w:r w:rsidRPr="00E258A7">
        <w:rPr>
          <w:rFonts w:ascii="Arial" w:hAnsi="Arial" w:cs="Arial"/>
          <w:i/>
          <w:iCs/>
        </w:rPr>
        <w:t>Engineering Proceedings</w:t>
      </w:r>
      <w:r w:rsidRPr="00E258A7">
        <w:rPr>
          <w:rFonts w:ascii="Arial" w:hAnsi="Arial" w:cs="Arial"/>
        </w:rPr>
        <w:t>, 39, article 81. Available at: https://doi.org/10.3390/engproc2023039081.</w:t>
      </w:r>
    </w:p>
    <w:p w14:paraId="087D68E8" w14:textId="30227256" w:rsidR="00637BED" w:rsidRPr="00E258A7" w:rsidRDefault="00637BED" w:rsidP="00637BED">
      <w:pPr>
        <w:jc w:val="left"/>
        <w:rPr>
          <w:rFonts w:ascii="Arial" w:hAnsi="Arial" w:cs="Arial"/>
        </w:rPr>
      </w:pPr>
      <w:r w:rsidRPr="00E258A7">
        <w:rPr>
          <w:rFonts w:ascii="Arial" w:hAnsi="Arial" w:cs="Arial"/>
        </w:rPr>
        <w:lastRenderedPageBreak/>
        <w:t xml:space="preserve">Haddad, S. (2023) ‘Global financial market integration: a literature survey’, </w:t>
      </w:r>
      <w:r w:rsidRPr="00E258A7">
        <w:rPr>
          <w:rFonts w:ascii="Arial" w:hAnsi="Arial" w:cs="Arial"/>
          <w:i/>
          <w:iCs/>
        </w:rPr>
        <w:t>Journal of Risk and Financial Management</w:t>
      </w:r>
      <w:r w:rsidRPr="00E258A7">
        <w:rPr>
          <w:rFonts w:ascii="Arial" w:hAnsi="Arial" w:cs="Arial"/>
        </w:rPr>
        <w:t>, 16(12), article 495. Available at: https://doi.org/10.3390/jrfm16120495.</w:t>
      </w:r>
    </w:p>
    <w:p w14:paraId="4E2E4ED1" w14:textId="34892BA7" w:rsidR="00637BED" w:rsidRPr="00E258A7" w:rsidRDefault="00637BED" w:rsidP="00637BED">
      <w:pPr>
        <w:jc w:val="left"/>
        <w:rPr>
          <w:rFonts w:ascii="Arial" w:hAnsi="Arial" w:cs="Arial"/>
        </w:rPr>
      </w:pPr>
      <w:r w:rsidRPr="00E258A7">
        <w:rPr>
          <w:rFonts w:ascii="Arial" w:hAnsi="Arial" w:cs="Arial"/>
        </w:rPr>
        <w:t xml:space="preserve">Huynh, T.L.D., Nasir, M.A. and Nguyen, D.K. (2023) ‘Spillovers and connectedness in foreign exchange markets: the role of trade policy uncertainty’, </w:t>
      </w:r>
      <w:r w:rsidRPr="00E258A7">
        <w:rPr>
          <w:rFonts w:ascii="Arial" w:hAnsi="Arial" w:cs="Arial"/>
          <w:i/>
          <w:iCs/>
        </w:rPr>
        <w:t>The Quarterly Review of Economics and Finance</w:t>
      </w:r>
      <w:r w:rsidRPr="00E258A7">
        <w:rPr>
          <w:rFonts w:ascii="Arial" w:hAnsi="Arial" w:cs="Arial"/>
        </w:rPr>
        <w:t>, 87, pp. 191–199. Available at https://doi.org/10.1016/j.qref.2020.09.001.</w:t>
      </w:r>
    </w:p>
    <w:p w14:paraId="61928D27" w14:textId="77777777" w:rsidR="00637BED" w:rsidRPr="00E258A7" w:rsidRDefault="00637BED" w:rsidP="00637BED">
      <w:pPr>
        <w:jc w:val="left"/>
        <w:rPr>
          <w:rFonts w:ascii="Arial" w:hAnsi="Arial" w:cs="Arial"/>
        </w:rPr>
      </w:pPr>
      <w:r w:rsidRPr="00E258A7">
        <w:rPr>
          <w:rFonts w:ascii="Arial" w:hAnsi="Arial" w:cs="Arial"/>
        </w:rPr>
        <w:t xml:space="preserve">Ifeanyi, E., Eniekeye, M.E., Eniekeye, N.L. and Njoku, J. (2026) ‘Foreign exchange rate volatility and its effect on bank performance’, </w:t>
      </w:r>
      <w:r w:rsidRPr="00E258A7">
        <w:rPr>
          <w:rFonts w:ascii="Arial" w:hAnsi="Arial" w:cs="Arial"/>
          <w:i/>
          <w:iCs/>
        </w:rPr>
        <w:t>IMT International Journal of the Arts and Sciences</w:t>
      </w:r>
      <w:r w:rsidRPr="00E258A7">
        <w:rPr>
          <w:rFonts w:ascii="Arial" w:hAnsi="Arial" w:cs="Arial"/>
        </w:rPr>
        <w:t>, 7(1). Available at: http://imtijotas.org.ng/index.php/about/article/view/99 [Accessed 23 Jan. 2026].</w:t>
      </w:r>
    </w:p>
    <w:p w14:paraId="4E3DFA38" w14:textId="0D5C7A6A" w:rsidR="00637BED" w:rsidRPr="00E258A7" w:rsidRDefault="00637BED" w:rsidP="00637BED">
      <w:pPr>
        <w:jc w:val="left"/>
        <w:rPr>
          <w:rFonts w:ascii="Arial" w:hAnsi="Arial" w:cs="Arial"/>
        </w:rPr>
      </w:pPr>
      <w:r w:rsidRPr="00E258A7">
        <w:rPr>
          <w:rFonts w:ascii="Arial" w:hAnsi="Arial" w:cs="Arial"/>
        </w:rPr>
        <w:t xml:space="preserve">Iqbal, F., Koutmos, D., Ahmed, E.A. and Al-Essa, L.M. (2024) ‘A novel hybrid deep learning method for accurate exchange rate prediction’, </w:t>
      </w:r>
      <w:r w:rsidRPr="00E258A7">
        <w:rPr>
          <w:rFonts w:ascii="Arial" w:hAnsi="Arial" w:cs="Arial"/>
          <w:i/>
          <w:iCs/>
        </w:rPr>
        <w:t>Risks</w:t>
      </w:r>
      <w:r w:rsidRPr="00E258A7">
        <w:rPr>
          <w:rFonts w:ascii="Arial" w:hAnsi="Arial" w:cs="Arial"/>
        </w:rPr>
        <w:t>, 12(9), article 139. Available at: https://doi.org/10.3390/risks12090139.</w:t>
      </w:r>
    </w:p>
    <w:p w14:paraId="3AB50325" w14:textId="2FD0F8B2" w:rsidR="00637BED" w:rsidRPr="00E258A7" w:rsidRDefault="00637BED" w:rsidP="00637BED">
      <w:pPr>
        <w:jc w:val="left"/>
        <w:rPr>
          <w:rFonts w:ascii="Arial" w:hAnsi="Arial" w:cs="Arial"/>
        </w:rPr>
      </w:pPr>
      <w:r w:rsidRPr="00E258A7">
        <w:rPr>
          <w:rFonts w:ascii="Arial" w:hAnsi="Arial" w:cs="Arial"/>
        </w:rPr>
        <w:t xml:space="preserve">Irani, F., Hadood, A.A.A., Gökmenoğlu, K.K. and Athari, S.A. (2025) ‘Impact of financial market uncertainty and financial crises on dynamic stock–foreign exchange market correlations: a new perspective’, </w:t>
      </w:r>
      <w:r w:rsidRPr="00E258A7">
        <w:rPr>
          <w:rFonts w:ascii="Arial" w:hAnsi="Arial" w:cs="Arial"/>
          <w:i/>
          <w:iCs/>
        </w:rPr>
        <w:t>SAGE Open</w:t>
      </w:r>
      <w:r w:rsidRPr="00E258A7">
        <w:rPr>
          <w:rFonts w:ascii="Arial" w:hAnsi="Arial" w:cs="Arial"/>
        </w:rPr>
        <w:t>, 15(1). Available at: https://doi.org/10.1177/21582440251314719.</w:t>
      </w:r>
    </w:p>
    <w:p w14:paraId="4D468340" w14:textId="7EE18360" w:rsidR="00637BED" w:rsidRPr="00E258A7" w:rsidRDefault="00637BED" w:rsidP="00637BED">
      <w:pPr>
        <w:jc w:val="left"/>
        <w:rPr>
          <w:rFonts w:ascii="Arial" w:hAnsi="Arial" w:cs="Arial"/>
        </w:rPr>
      </w:pPr>
      <w:r w:rsidRPr="00E258A7">
        <w:rPr>
          <w:rFonts w:ascii="Arial" w:hAnsi="Arial" w:cs="Arial"/>
        </w:rPr>
        <w:t xml:space="preserve">Jiang, R., Hu, X. and Yu, K. (2022) ‘Single-index expectile models for estimating conditional value at risk and expected shortfall’, </w:t>
      </w:r>
      <w:r w:rsidRPr="00E258A7">
        <w:rPr>
          <w:rFonts w:ascii="Arial" w:hAnsi="Arial" w:cs="Arial"/>
          <w:i/>
          <w:iCs/>
        </w:rPr>
        <w:t>Journal of Financial Econometrics</w:t>
      </w:r>
      <w:r w:rsidRPr="00E258A7">
        <w:rPr>
          <w:rFonts w:ascii="Arial" w:hAnsi="Arial" w:cs="Arial"/>
        </w:rPr>
        <w:t>, 20(2), pp. 345–366. Available at: </w:t>
      </w:r>
      <w:hyperlink r:id="rId11" w:history="1">
        <w:r w:rsidRPr="00E258A7">
          <w:rPr>
            <w:rStyle w:val="Hyperlink"/>
            <w:rFonts w:ascii="Arial" w:hAnsi="Arial" w:cs="Arial"/>
          </w:rPr>
          <w:t>https://doi.org/10.1093/jjfinec/nbaa016</w:t>
        </w:r>
      </w:hyperlink>
    </w:p>
    <w:p w14:paraId="2525FBCE" w14:textId="2C79FB5A" w:rsidR="00637BED" w:rsidRPr="00E258A7" w:rsidRDefault="00637BED" w:rsidP="00637BED">
      <w:pPr>
        <w:jc w:val="left"/>
        <w:rPr>
          <w:rFonts w:ascii="Arial" w:hAnsi="Arial" w:cs="Arial"/>
        </w:rPr>
      </w:pPr>
      <w:r w:rsidRPr="00E258A7">
        <w:rPr>
          <w:rFonts w:ascii="Arial" w:hAnsi="Arial" w:cs="Arial"/>
        </w:rPr>
        <w:t xml:space="preserve">Jongadsayakul, W. (2024) ‘Foreign exchange futures trading and spot market volatility in Thailand’, </w:t>
      </w:r>
      <w:r w:rsidRPr="00E258A7">
        <w:rPr>
          <w:rFonts w:ascii="Arial" w:hAnsi="Arial" w:cs="Arial"/>
          <w:i/>
          <w:iCs/>
        </w:rPr>
        <w:t>Risks</w:t>
      </w:r>
      <w:r w:rsidRPr="00E258A7">
        <w:rPr>
          <w:rFonts w:ascii="Arial" w:hAnsi="Arial" w:cs="Arial"/>
        </w:rPr>
        <w:t>, 12(7), article 107. Available at: https://doi.org/10.3390/risks12070107.</w:t>
      </w:r>
    </w:p>
    <w:p w14:paraId="3D39C13D" w14:textId="5EAC80BD" w:rsidR="00637BED" w:rsidRPr="00E258A7" w:rsidRDefault="00637BED" w:rsidP="00637BED">
      <w:pPr>
        <w:jc w:val="left"/>
        <w:rPr>
          <w:rFonts w:ascii="Arial" w:hAnsi="Arial" w:cs="Arial"/>
        </w:rPr>
      </w:pPr>
      <w:r w:rsidRPr="00E258A7">
        <w:rPr>
          <w:rFonts w:ascii="Arial" w:hAnsi="Arial" w:cs="Arial"/>
        </w:rPr>
        <w:t xml:space="preserve">Kim, D.-J., Kim, D.-H. and Choi, S.-Y. (2025) ‘Modeling stylized facts in FX markets with FINGAN-BiLSTM: a deep learning approach to financial time series’, </w:t>
      </w:r>
      <w:r w:rsidRPr="00E258A7">
        <w:rPr>
          <w:rFonts w:ascii="Arial" w:hAnsi="Arial" w:cs="Arial"/>
          <w:i/>
          <w:iCs/>
        </w:rPr>
        <w:t>Entropy</w:t>
      </w:r>
      <w:r w:rsidRPr="00E258A7">
        <w:rPr>
          <w:rFonts w:ascii="Arial" w:hAnsi="Arial" w:cs="Arial"/>
        </w:rPr>
        <w:t>, 27(6), article 635. Available at: https://doi.org/10.3390/e27060635.</w:t>
      </w:r>
    </w:p>
    <w:p w14:paraId="6BB70BDC" w14:textId="77777777" w:rsidR="00637BED" w:rsidRPr="00E258A7" w:rsidRDefault="00637BED" w:rsidP="00637BED">
      <w:pPr>
        <w:jc w:val="left"/>
        <w:rPr>
          <w:rFonts w:ascii="Arial" w:hAnsi="Arial" w:cs="Arial"/>
        </w:rPr>
      </w:pPr>
      <w:r w:rsidRPr="00E258A7">
        <w:rPr>
          <w:rFonts w:ascii="Arial" w:hAnsi="Arial" w:cs="Arial"/>
        </w:rPr>
        <w:t xml:space="preserve">Kuznyetsova, A., Kulish, D., Prykhodko, B. and Kuznyetsov, O. (2024) ‘Innovative approaches to improving the process of risk management in the context of developing a strategy for the foreign economic activity of enterprises’, </w:t>
      </w:r>
      <w:r w:rsidRPr="00E258A7">
        <w:rPr>
          <w:rFonts w:ascii="Arial" w:hAnsi="Arial" w:cs="Arial"/>
          <w:i/>
          <w:iCs/>
        </w:rPr>
        <w:t xml:space="preserve">Marketing and </w:t>
      </w:r>
      <w:r w:rsidRPr="00E258A7">
        <w:rPr>
          <w:rFonts w:ascii="Arial" w:hAnsi="Arial" w:cs="Arial"/>
          <w:i/>
          <w:iCs/>
        </w:rPr>
        <w:lastRenderedPageBreak/>
        <w:t>Management of Innovations</w:t>
      </w:r>
      <w:r w:rsidRPr="00E258A7">
        <w:rPr>
          <w:rFonts w:ascii="Arial" w:hAnsi="Arial" w:cs="Arial"/>
        </w:rPr>
        <w:t xml:space="preserve">, 15(1), pp. 210–228. Available at: </w:t>
      </w:r>
      <w:hyperlink r:id="rId12" w:history="1">
        <w:r w:rsidRPr="00E258A7">
          <w:rPr>
            <w:rStyle w:val="Hyperlink"/>
            <w:rFonts w:ascii="Arial" w:hAnsi="Arial" w:cs="Arial"/>
          </w:rPr>
          <w:t>https://savearchive.zbw.eu/bitstream/11159/654487/1/1895450764_0.pdf</w:t>
        </w:r>
      </w:hyperlink>
    </w:p>
    <w:p w14:paraId="684EFACB" w14:textId="1AD3B2B9" w:rsidR="00637BED" w:rsidRPr="00E258A7" w:rsidRDefault="00637BED" w:rsidP="00637BED">
      <w:pPr>
        <w:jc w:val="left"/>
        <w:rPr>
          <w:rFonts w:ascii="Arial" w:hAnsi="Arial" w:cs="Arial"/>
        </w:rPr>
      </w:pPr>
      <w:r w:rsidRPr="00E258A7">
        <w:rPr>
          <w:rFonts w:ascii="Arial" w:hAnsi="Arial" w:cs="Arial"/>
        </w:rPr>
        <w:t xml:space="preserve">Ling, J.Z.B., Tsui, A.K. and Zhang, Z. (2021) ‘Trading macro-cycles of foreign exchange markets using hybrid models’, </w:t>
      </w:r>
      <w:r w:rsidRPr="00E258A7">
        <w:rPr>
          <w:rFonts w:ascii="Arial" w:hAnsi="Arial" w:cs="Arial"/>
          <w:i/>
          <w:iCs/>
        </w:rPr>
        <w:t>Sustainability</w:t>
      </w:r>
      <w:r w:rsidRPr="00E258A7">
        <w:rPr>
          <w:rFonts w:ascii="Arial" w:hAnsi="Arial" w:cs="Arial"/>
        </w:rPr>
        <w:t>, 13(17), article 9820. Available at: https://doi.org/10.3390/su13179820.</w:t>
      </w:r>
    </w:p>
    <w:p w14:paraId="38F831F6" w14:textId="467C1170" w:rsidR="00637BED" w:rsidRPr="00E258A7" w:rsidRDefault="00637BED" w:rsidP="00637BED">
      <w:pPr>
        <w:jc w:val="left"/>
        <w:rPr>
          <w:rFonts w:ascii="Arial" w:hAnsi="Arial" w:cs="Arial"/>
        </w:rPr>
      </w:pPr>
      <w:r w:rsidRPr="00E258A7">
        <w:rPr>
          <w:rFonts w:ascii="Arial" w:hAnsi="Arial" w:cs="Arial"/>
        </w:rPr>
        <w:t xml:space="preserve">Liu, J., Cheng, Y., Li, X. and Sriboonchitta, S. (2022) ‘The role of risk forecast and risk tolerance in portfolio management: a case study of the Chinese financial sector’, </w:t>
      </w:r>
      <w:r w:rsidRPr="00E258A7">
        <w:rPr>
          <w:rFonts w:ascii="Arial" w:hAnsi="Arial" w:cs="Arial"/>
          <w:i/>
          <w:iCs/>
        </w:rPr>
        <w:t>Axioms</w:t>
      </w:r>
      <w:r w:rsidRPr="00E258A7">
        <w:rPr>
          <w:rFonts w:ascii="Arial" w:hAnsi="Arial" w:cs="Arial"/>
        </w:rPr>
        <w:t>, 11(3), article 134. Available at: https://doi.org/10.3390/axioms11030134.</w:t>
      </w:r>
    </w:p>
    <w:p w14:paraId="24A179A5" w14:textId="20B5D24D" w:rsidR="00637BED" w:rsidRPr="00E258A7" w:rsidRDefault="00637BED" w:rsidP="00637BED">
      <w:pPr>
        <w:jc w:val="left"/>
        <w:rPr>
          <w:rFonts w:ascii="Arial" w:hAnsi="Arial" w:cs="Arial"/>
        </w:rPr>
      </w:pPr>
      <w:r w:rsidRPr="00E258A7">
        <w:rPr>
          <w:rFonts w:ascii="Arial" w:hAnsi="Arial" w:cs="Arial"/>
        </w:rPr>
        <w:t xml:space="preserve">Loh, L., Kueh, H., Parikh, N., Chan, H., Ho, N. and Chua, M. (2022) ‘An ensembling architecture incorporating machine learning models and genetic algorithm optimization for forex trading’, </w:t>
      </w:r>
      <w:r w:rsidRPr="00E258A7">
        <w:rPr>
          <w:rFonts w:ascii="Arial" w:hAnsi="Arial" w:cs="Arial"/>
          <w:i/>
          <w:iCs/>
        </w:rPr>
        <w:t>FinTech</w:t>
      </w:r>
      <w:r w:rsidRPr="00E258A7">
        <w:rPr>
          <w:rFonts w:ascii="Arial" w:hAnsi="Arial" w:cs="Arial"/>
        </w:rPr>
        <w:t>, 1(2), pp. 100–124. https://doi.org/10.3390/fintech1020008.</w:t>
      </w:r>
    </w:p>
    <w:p w14:paraId="61C46929" w14:textId="7A519AED" w:rsidR="00637BED" w:rsidRPr="00E258A7" w:rsidRDefault="00637BED" w:rsidP="00637BED">
      <w:pPr>
        <w:jc w:val="left"/>
        <w:rPr>
          <w:rFonts w:ascii="Arial" w:hAnsi="Arial" w:cs="Arial"/>
        </w:rPr>
      </w:pPr>
      <w:r w:rsidRPr="00E258A7">
        <w:rPr>
          <w:rFonts w:ascii="Arial" w:hAnsi="Arial" w:cs="Arial"/>
        </w:rPr>
        <w:t xml:space="preserve">Makore, I. and Chikutuma, C.N. (2025) ‘Exchange rate volatility and its impact on international trade: evidence from Zimbabwe’, </w:t>
      </w:r>
      <w:r w:rsidRPr="00E258A7">
        <w:rPr>
          <w:rFonts w:ascii="Arial" w:hAnsi="Arial" w:cs="Arial"/>
          <w:i/>
          <w:iCs/>
        </w:rPr>
        <w:t>Journal of Risk and Financial Management</w:t>
      </w:r>
      <w:r w:rsidRPr="00E258A7">
        <w:rPr>
          <w:rFonts w:ascii="Arial" w:hAnsi="Arial" w:cs="Arial"/>
        </w:rPr>
        <w:t>, 18(7), article 376. Available at:  https://doi.org/10.3390/jrfm18070376.</w:t>
      </w:r>
    </w:p>
    <w:p w14:paraId="470328E7" w14:textId="27B176D4" w:rsidR="00637BED" w:rsidRPr="00E258A7" w:rsidRDefault="00637BED" w:rsidP="00637BED">
      <w:pPr>
        <w:jc w:val="left"/>
        <w:rPr>
          <w:rFonts w:ascii="Arial" w:hAnsi="Arial" w:cs="Arial"/>
        </w:rPr>
      </w:pPr>
      <w:r w:rsidRPr="00E258A7">
        <w:rPr>
          <w:rFonts w:ascii="Arial" w:hAnsi="Arial" w:cs="Arial"/>
        </w:rPr>
        <w:t xml:space="preserve">Malhotra, D.K., Mooney, T., Poteau, R. and Russel, P. (2023) ‘Assessing the performance and risk-adjusted returns of financial mutual funds’, </w:t>
      </w:r>
      <w:r w:rsidRPr="00E258A7">
        <w:rPr>
          <w:rFonts w:ascii="Arial" w:hAnsi="Arial" w:cs="Arial"/>
          <w:i/>
          <w:iCs/>
        </w:rPr>
        <w:t>International Journal of Financial Studies</w:t>
      </w:r>
      <w:r w:rsidRPr="00E258A7">
        <w:rPr>
          <w:rFonts w:ascii="Arial" w:hAnsi="Arial" w:cs="Arial"/>
        </w:rPr>
        <w:t>, 11(4), article 136. Available at: https://doi.org/10.3390/ijfs11040136.</w:t>
      </w:r>
    </w:p>
    <w:p w14:paraId="5F450C0B" w14:textId="5E2858E3" w:rsidR="00637BED" w:rsidRPr="00E258A7" w:rsidRDefault="00637BED" w:rsidP="00637BED">
      <w:pPr>
        <w:jc w:val="left"/>
        <w:rPr>
          <w:rFonts w:ascii="Arial" w:hAnsi="Arial" w:cs="Arial"/>
        </w:rPr>
      </w:pPr>
      <w:r w:rsidRPr="00E258A7">
        <w:rPr>
          <w:rFonts w:ascii="Arial" w:hAnsi="Arial" w:cs="Arial"/>
        </w:rPr>
        <w:t xml:space="preserve">Mansoori, A., Al Mheiri, A. and Nobanee, H. (2024) ‘Foreign exchange risk management: a comprehensive literature review and mitigation strategies in floating exchange rate regimes’, </w:t>
      </w:r>
      <w:r w:rsidRPr="00E258A7">
        <w:rPr>
          <w:rFonts w:ascii="Arial" w:hAnsi="Arial" w:cs="Arial"/>
          <w:i/>
          <w:iCs/>
        </w:rPr>
        <w:t>SSRN Electronic Journal</w:t>
      </w:r>
      <w:r w:rsidRPr="00E258A7">
        <w:rPr>
          <w:rFonts w:ascii="Arial" w:hAnsi="Arial" w:cs="Arial"/>
        </w:rPr>
        <w:t>. https://doi.org/10.2139/ssrn.4979859.</w:t>
      </w:r>
    </w:p>
    <w:p w14:paraId="76EBF1F0" w14:textId="4CE6ED4E" w:rsidR="00637BED" w:rsidRPr="00E258A7" w:rsidRDefault="00637BED" w:rsidP="00637BED">
      <w:pPr>
        <w:jc w:val="left"/>
        <w:rPr>
          <w:rFonts w:ascii="Arial" w:hAnsi="Arial" w:cs="Arial"/>
        </w:rPr>
      </w:pPr>
      <w:r w:rsidRPr="00E258A7">
        <w:rPr>
          <w:rFonts w:ascii="Arial" w:hAnsi="Arial" w:cs="Arial"/>
        </w:rPr>
        <w:t xml:space="preserve">Martial, E. and Mbodja Mougoué (2021) ‘Return and volatility spillovers to African currencies markets’, </w:t>
      </w:r>
      <w:r w:rsidRPr="00E258A7">
        <w:rPr>
          <w:rFonts w:ascii="Arial" w:hAnsi="Arial" w:cs="Arial"/>
          <w:i/>
          <w:iCs/>
        </w:rPr>
        <w:t>Journal of International Financial Markets, Institutions &amp; Money</w:t>
      </w:r>
      <w:r w:rsidRPr="00E258A7">
        <w:rPr>
          <w:rFonts w:ascii="Arial" w:hAnsi="Arial" w:cs="Arial"/>
        </w:rPr>
        <w:t>, 73, article 101348. Available at: https://doi.org/10.1016/j.intfin.2021.101348.</w:t>
      </w:r>
    </w:p>
    <w:p w14:paraId="54AD6C43" w14:textId="522AB84E" w:rsidR="00637BED" w:rsidRPr="00E258A7" w:rsidRDefault="00637BED" w:rsidP="00637BED">
      <w:pPr>
        <w:jc w:val="left"/>
        <w:rPr>
          <w:rFonts w:ascii="Arial" w:hAnsi="Arial" w:cs="Arial"/>
        </w:rPr>
      </w:pPr>
      <w:r w:rsidRPr="00E258A7">
        <w:rPr>
          <w:rFonts w:ascii="Arial" w:hAnsi="Arial" w:cs="Arial"/>
        </w:rPr>
        <w:t xml:space="preserve">Mezghani, T., Boujelbène, M. and Boutouria, S. (2023) ‘Forecasting the impact of financial stress on hedging between the oil market and GCC financial markets’, </w:t>
      </w:r>
      <w:r w:rsidRPr="00E258A7">
        <w:rPr>
          <w:rFonts w:ascii="Arial" w:hAnsi="Arial" w:cs="Arial"/>
          <w:i/>
          <w:iCs/>
        </w:rPr>
        <w:t>Managerial Finance</w:t>
      </w:r>
      <w:r w:rsidRPr="00E258A7">
        <w:rPr>
          <w:rFonts w:ascii="Arial" w:hAnsi="Arial" w:cs="Arial"/>
        </w:rPr>
        <w:t>, 50(3), pp. 558–577. Available at: https://doi.org/10.1108/mf-10-2022-0472.</w:t>
      </w:r>
    </w:p>
    <w:p w14:paraId="1C1F2BB8" w14:textId="4BED628D" w:rsidR="00637BED" w:rsidRPr="00E258A7" w:rsidRDefault="00637BED" w:rsidP="00637BED">
      <w:pPr>
        <w:jc w:val="left"/>
        <w:rPr>
          <w:rFonts w:ascii="Arial" w:hAnsi="Arial" w:cs="Arial"/>
        </w:rPr>
      </w:pPr>
      <w:r w:rsidRPr="00E258A7">
        <w:rPr>
          <w:rFonts w:ascii="Arial" w:hAnsi="Arial" w:cs="Arial"/>
        </w:rPr>
        <w:lastRenderedPageBreak/>
        <w:t xml:space="preserve">Mudiangombe, B.M. and Weirstrass, J. (2022) ‘Dynamic asymmetric effect of currency risk pricing of exchange rate on equity markets: a regime-switching based C-vine copulas method’, </w:t>
      </w:r>
      <w:r w:rsidRPr="00E258A7">
        <w:rPr>
          <w:rFonts w:ascii="Arial" w:hAnsi="Arial" w:cs="Arial"/>
          <w:i/>
          <w:iCs/>
        </w:rPr>
        <w:t>International Journal of Financial Studies</w:t>
      </w:r>
      <w:r w:rsidRPr="00E258A7">
        <w:rPr>
          <w:rFonts w:ascii="Arial" w:hAnsi="Arial" w:cs="Arial"/>
        </w:rPr>
        <w:t>, 10(3), article 72. Available at: https://doi.org/10.3390/ijfs10030072.</w:t>
      </w:r>
    </w:p>
    <w:p w14:paraId="72DD0277" w14:textId="6CEA895F" w:rsidR="00637BED" w:rsidRPr="00E258A7" w:rsidRDefault="00637BED" w:rsidP="00637BED">
      <w:pPr>
        <w:jc w:val="left"/>
        <w:rPr>
          <w:rFonts w:ascii="Arial" w:hAnsi="Arial" w:cs="Arial"/>
        </w:rPr>
      </w:pPr>
      <w:r w:rsidRPr="00E258A7">
        <w:rPr>
          <w:rFonts w:ascii="Arial" w:hAnsi="Arial" w:cs="Arial"/>
        </w:rPr>
        <w:t xml:space="preserve">Nerantzidis, M., Stoupos, N. and Tzeremes, P. (2024) ‘Realized volatility spillover connectedness among the leading European currencies after the end of the sovereign-debt crisis: a QVAR approach’, </w:t>
      </w:r>
      <w:r w:rsidRPr="00E258A7">
        <w:rPr>
          <w:rFonts w:ascii="Arial" w:hAnsi="Arial" w:cs="Arial"/>
          <w:i/>
          <w:iCs/>
        </w:rPr>
        <w:t>Journal of Risk and Financial Management</w:t>
      </w:r>
      <w:r w:rsidRPr="00E258A7">
        <w:rPr>
          <w:rFonts w:ascii="Arial" w:hAnsi="Arial" w:cs="Arial"/>
        </w:rPr>
        <w:t>, 17(8), article 337. Available at: https://doi.org/10.3390/jrfm17080337.</w:t>
      </w:r>
    </w:p>
    <w:p w14:paraId="23B47A28" w14:textId="7CA4ECA8" w:rsidR="00637BED" w:rsidRPr="00E258A7" w:rsidRDefault="00637BED" w:rsidP="00637BED">
      <w:pPr>
        <w:jc w:val="left"/>
        <w:rPr>
          <w:rFonts w:ascii="Arial" w:hAnsi="Arial" w:cs="Arial"/>
        </w:rPr>
      </w:pPr>
      <w:r w:rsidRPr="00E258A7">
        <w:rPr>
          <w:rFonts w:ascii="Arial" w:hAnsi="Arial" w:cs="Arial"/>
        </w:rPr>
        <w:t xml:space="preserve">Nowicki, J., Ratajczak, P. and Szutowski, D. (2024) ‘Influence of macroeconomic factors on financial liquidity of companies: evidence from Poland’, </w:t>
      </w:r>
      <w:r w:rsidRPr="00E258A7">
        <w:rPr>
          <w:rFonts w:ascii="Arial" w:hAnsi="Arial" w:cs="Arial"/>
          <w:i/>
          <w:iCs/>
        </w:rPr>
        <w:t>Risks</w:t>
      </w:r>
      <w:r w:rsidRPr="00E258A7">
        <w:rPr>
          <w:rFonts w:ascii="Arial" w:hAnsi="Arial" w:cs="Arial"/>
        </w:rPr>
        <w:t>, 12(7), article 114. Available at: https://doi.org/10.3390/risks12070114.</w:t>
      </w:r>
    </w:p>
    <w:p w14:paraId="5DBF0BCC" w14:textId="5E17DFA4" w:rsidR="00637BED" w:rsidRPr="00E258A7" w:rsidRDefault="00637BED" w:rsidP="00637BED">
      <w:pPr>
        <w:jc w:val="left"/>
        <w:rPr>
          <w:rFonts w:ascii="Arial" w:hAnsi="Arial" w:cs="Arial"/>
        </w:rPr>
      </w:pPr>
      <w:r w:rsidRPr="00E258A7">
        <w:rPr>
          <w:rFonts w:ascii="Arial" w:hAnsi="Arial" w:cs="Arial"/>
        </w:rPr>
        <w:t xml:space="preserve">Nsengiyumva, E., Mung’atu, J.K. and Ruranga, C. (2025) ‘Hybrid GARCH-LSTM forecasting for foreign exchange risk’, </w:t>
      </w:r>
      <w:r w:rsidRPr="00E258A7">
        <w:rPr>
          <w:rFonts w:ascii="Arial" w:hAnsi="Arial" w:cs="Arial"/>
          <w:i/>
          <w:iCs/>
        </w:rPr>
        <w:t>FinTech</w:t>
      </w:r>
      <w:r w:rsidRPr="00E258A7">
        <w:rPr>
          <w:rFonts w:ascii="Arial" w:hAnsi="Arial" w:cs="Arial"/>
        </w:rPr>
        <w:t>, 4(2), article 22. Available at: https://doi.org/10.3390/fintech4020022.</w:t>
      </w:r>
    </w:p>
    <w:p w14:paraId="053484F4" w14:textId="54EB8519" w:rsidR="00637BED" w:rsidRPr="00E258A7" w:rsidRDefault="00637BED" w:rsidP="00637BED">
      <w:pPr>
        <w:jc w:val="left"/>
        <w:rPr>
          <w:rFonts w:ascii="Arial" w:hAnsi="Arial" w:cs="Arial"/>
        </w:rPr>
      </w:pPr>
      <w:r w:rsidRPr="00E258A7">
        <w:rPr>
          <w:rFonts w:ascii="Arial" w:hAnsi="Arial" w:cs="Arial"/>
        </w:rPr>
        <w:t xml:space="preserve">Putri Ayu Lestari and Adekunle, A.O. (2024) ‘The impact of monetary policies on corporate foreign exchange risk management: a systematic literature review across emerging economies’, </w:t>
      </w:r>
      <w:r w:rsidRPr="00E258A7">
        <w:rPr>
          <w:rFonts w:ascii="Arial" w:hAnsi="Arial" w:cs="Arial"/>
          <w:i/>
          <w:iCs/>
        </w:rPr>
        <w:t>Sinergi International Journal of Accounting and Taxation</w:t>
      </w:r>
      <w:r w:rsidRPr="00E258A7">
        <w:rPr>
          <w:rFonts w:ascii="Arial" w:hAnsi="Arial" w:cs="Arial"/>
        </w:rPr>
        <w:t>, 2(3), pp. 1–14. Available at: https://doi.org/10.61194/ijat.v2i3.481.</w:t>
      </w:r>
    </w:p>
    <w:p w14:paraId="4ADD3113" w14:textId="6A5DE6D9" w:rsidR="00637BED" w:rsidRPr="00E258A7" w:rsidRDefault="00637BED" w:rsidP="00637BED">
      <w:pPr>
        <w:jc w:val="left"/>
        <w:rPr>
          <w:rFonts w:ascii="Arial" w:hAnsi="Arial" w:cs="Arial"/>
        </w:rPr>
      </w:pPr>
      <w:r w:rsidRPr="00E258A7">
        <w:rPr>
          <w:rFonts w:ascii="Arial" w:hAnsi="Arial" w:cs="Arial"/>
        </w:rPr>
        <w:t xml:space="preserve">Reyad, H.M., Zariyawati, M.A., Ong, T.S. and Muhamad, H. (2022) ‘The impact of macroeconomic risk factors, the adoption of financial derivatives on working capital management, and firm performance’, </w:t>
      </w:r>
      <w:r w:rsidRPr="00E258A7">
        <w:rPr>
          <w:rFonts w:ascii="Arial" w:hAnsi="Arial" w:cs="Arial"/>
          <w:i/>
          <w:iCs/>
        </w:rPr>
        <w:t>Sustainability</w:t>
      </w:r>
      <w:r w:rsidRPr="00E258A7">
        <w:rPr>
          <w:rFonts w:ascii="Arial" w:hAnsi="Arial" w:cs="Arial"/>
        </w:rPr>
        <w:t>, 14(21), article 14447. Available at: https://doi.org/10.3390/su142114447.</w:t>
      </w:r>
    </w:p>
    <w:p w14:paraId="22B074BB" w14:textId="2F6DF9B6" w:rsidR="00637BED" w:rsidRPr="00E258A7" w:rsidRDefault="00637BED" w:rsidP="00637BED">
      <w:pPr>
        <w:jc w:val="left"/>
        <w:rPr>
          <w:rFonts w:ascii="Arial" w:hAnsi="Arial" w:cs="Arial"/>
        </w:rPr>
      </w:pPr>
      <w:r w:rsidRPr="00E258A7">
        <w:rPr>
          <w:rFonts w:ascii="Arial" w:hAnsi="Arial" w:cs="Arial"/>
        </w:rPr>
        <w:t xml:space="preserve">Salisu, A.A., Gupta, R. and Ogbonna, A.E. (2020) ‘A moving average heterogeneous autoregressive model for forecasting realized volatility’, </w:t>
      </w:r>
      <w:r w:rsidRPr="00E258A7">
        <w:rPr>
          <w:rFonts w:ascii="Arial" w:hAnsi="Arial" w:cs="Arial"/>
          <w:i/>
          <w:iCs/>
        </w:rPr>
        <w:t>International Journal of Finance &amp; Economics</w:t>
      </w:r>
      <w:r w:rsidRPr="00E258A7">
        <w:rPr>
          <w:rFonts w:ascii="Arial" w:hAnsi="Arial" w:cs="Arial"/>
        </w:rPr>
        <w:t>, 27(1), pp. 384–400. Available at: https://doi.org/10.1002/ijfe.2158.</w:t>
      </w:r>
    </w:p>
    <w:p w14:paraId="667AE0B4" w14:textId="29117DA8" w:rsidR="00637BED" w:rsidRPr="00E258A7" w:rsidRDefault="00637BED" w:rsidP="00637BED">
      <w:pPr>
        <w:jc w:val="left"/>
        <w:rPr>
          <w:rFonts w:ascii="Arial" w:hAnsi="Arial" w:cs="Arial"/>
        </w:rPr>
      </w:pPr>
      <w:r w:rsidRPr="00E258A7">
        <w:rPr>
          <w:rFonts w:ascii="Arial" w:hAnsi="Arial" w:cs="Arial"/>
        </w:rPr>
        <w:t xml:space="preserve">Shakourloo, A. and Azimli, A. (2025) ‘The impact of foreign exchange shocks on tail-risk and volatility regimes in Bitcoin’, </w:t>
      </w:r>
      <w:r w:rsidRPr="00E258A7">
        <w:rPr>
          <w:rFonts w:ascii="Arial" w:hAnsi="Arial" w:cs="Arial"/>
          <w:i/>
          <w:iCs/>
        </w:rPr>
        <w:t>SSRN Electronic Journal</w:t>
      </w:r>
      <w:r w:rsidRPr="00E258A7">
        <w:rPr>
          <w:rFonts w:ascii="Arial" w:hAnsi="Arial" w:cs="Arial"/>
        </w:rPr>
        <w:t>. Available at: https://doi.org/10.2139/ssrn.5441600.</w:t>
      </w:r>
    </w:p>
    <w:p w14:paraId="130B5121" w14:textId="1F0E54E6" w:rsidR="00637BED" w:rsidRPr="00E258A7" w:rsidRDefault="00637BED" w:rsidP="00637BED">
      <w:pPr>
        <w:jc w:val="left"/>
        <w:rPr>
          <w:rFonts w:ascii="Arial" w:hAnsi="Arial" w:cs="Arial"/>
        </w:rPr>
      </w:pPr>
      <w:r w:rsidRPr="00E258A7">
        <w:rPr>
          <w:rFonts w:ascii="Arial" w:hAnsi="Arial" w:cs="Arial"/>
        </w:rPr>
        <w:lastRenderedPageBreak/>
        <w:t xml:space="preserve">Syed, A.A., Ullah, A., Grima, S., Kamal, M.A. and Sood, K. (2025) ‘Modeling exchange rate volatility in India in relation to COVID-19 and lockdown stringency: a wavelet coherence and quantile causality approach’, </w:t>
      </w:r>
      <w:r w:rsidRPr="00E258A7">
        <w:rPr>
          <w:rFonts w:ascii="Arial" w:hAnsi="Arial" w:cs="Arial"/>
          <w:i/>
          <w:iCs/>
        </w:rPr>
        <w:t>Risks</w:t>
      </w:r>
      <w:r w:rsidRPr="00E258A7">
        <w:rPr>
          <w:rFonts w:ascii="Arial" w:hAnsi="Arial" w:cs="Arial"/>
        </w:rPr>
        <w:t>, 13(9), article 182. Available at: https://doi.org/10.3390/risks13090182.</w:t>
      </w:r>
    </w:p>
    <w:p w14:paraId="34341C81" w14:textId="03DBBE3F" w:rsidR="00637BED" w:rsidRPr="00E258A7" w:rsidRDefault="00637BED" w:rsidP="00637BED">
      <w:pPr>
        <w:jc w:val="left"/>
        <w:rPr>
          <w:rFonts w:ascii="Arial" w:hAnsi="Arial" w:cs="Arial"/>
        </w:rPr>
      </w:pPr>
      <w:r w:rsidRPr="00E258A7">
        <w:rPr>
          <w:rFonts w:ascii="Arial" w:hAnsi="Arial" w:cs="Arial"/>
        </w:rPr>
        <w:t xml:space="preserve">Tabash, M.I., Ahmed, A., Issa, S.S., Mansour, M., Varma, M. and Saif, M. (2024) ‘Multiple behavioral conditions of the forward exchange rates and stock market return in the South Asian stock markets during COVID-19: a novel MT-QARDL approach’, </w:t>
      </w:r>
      <w:r w:rsidRPr="00E258A7">
        <w:rPr>
          <w:rFonts w:ascii="Arial" w:hAnsi="Arial" w:cs="Arial"/>
          <w:i/>
          <w:iCs/>
        </w:rPr>
        <w:t>Computation</w:t>
      </w:r>
      <w:r w:rsidRPr="00E258A7">
        <w:rPr>
          <w:rFonts w:ascii="Arial" w:hAnsi="Arial" w:cs="Arial"/>
        </w:rPr>
        <w:t>, 12(12), article 233. Available at: https://doi.org/10.3390/computation12120233.</w:t>
      </w:r>
    </w:p>
    <w:p w14:paraId="4E365F92" w14:textId="201E1D54" w:rsidR="00637BED" w:rsidRPr="00E258A7" w:rsidRDefault="00637BED" w:rsidP="00637BED">
      <w:pPr>
        <w:jc w:val="left"/>
        <w:rPr>
          <w:rFonts w:ascii="Arial" w:hAnsi="Arial" w:cs="Arial"/>
        </w:rPr>
      </w:pPr>
      <w:r w:rsidRPr="00E258A7">
        <w:rPr>
          <w:rFonts w:ascii="Arial" w:hAnsi="Arial" w:cs="Arial"/>
        </w:rPr>
        <w:t xml:space="preserve">Tabash, M.I., AsadUllah, M., Siddiq, Q., Mansour, M., Daniel, L.N. and Saif, M. (2024) ‘Symmetries or asymmetries: how MSCI index advanced European markets’ exchange rates respond to macro-economic fundamentals’, </w:t>
      </w:r>
      <w:r w:rsidRPr="00E258A7">
        <w:rPr>
          <w:rFonts w:ascii="Arial" w:hAnsi="Arial" w:cs="Arial"/>
          <w:i/>
          <w:iCs/>
        </w:rPr>
        <w:t>Economies</w:t>
      </w:r>
      <w:r w:rsidRPr="00E258A7">
        <w:rPr>
          <w:rFonts w:ascii="Arial" w:hAnsi="Arial" w:cs="Arial"/>
        </w:rPr>
        <w:t>, 12(12), article 326. Available at: https://doi.org/10.3390/economies12120326.</w:t>
      </w:r>
    </w:p>
    <w:p w14:paraId="16FD54A9" w14:textId="77777777" w:rsidR="00637BED" w:rsidRPr="00E258A7" w:rsidRDefault="00637BED" w:rsidP="00637BED">
      <w:pPr>
        <w:jc w:val="left"/>
        <w:rPr>
          <w:rFonts w:ascii="Arial" w:hAnsi="Arial" w:cs="Arial"/>
        </w:rPr>
      </w:pPr>
      <w:r w:rsidRPr="00E258A7">
        <w:rPr>
          <w:rFonts w:ascii="Arial" w:hAnsi="Arial" w:cs="Arial"/>
        </w:rPr>
        <w:t xml:space="preserve">Vidiati, C., Al-Ghozali, M.I., Faturrizky, I., Selasi, D., Munajim, A. and Tardjono, T. (2022) ‘Effects of the money market and the need for knowledge of interest rates and the foreign exchange market for benefit: evidence in Indonesia’, </w:t>
      </w:r>
      <w:r w:rsidRPr="00E258A7">
        <w:rPr>
          <w:rFonts w:ascii="Arial" w:hAnsi="Arial" w:cs="Arial"/>
          <w:i/>
          <w:iCs/>
        </w:rPr>
        <w:t>IJOBBA: International Journal of Bunga Bangsa Cirebon</w:t>
      </w:r>
      <w:r w:rsidRPr="00E258A7">
        <w:rPr>
          <w:rFonts w:ascii="Arial" w:hAnsi="Arial" w:cs="Arial"/>
        </w:rPr>
        <w:t>, 1(1), pp. 37–60. Available at: https://jurnal.uibbc.ac.id/index.php/ijobba/article/view/1235 [Accessed 23 Jan. 2026].</w:t>
      </w:r>
    </w:p>
    <w:p w14:paraId="0FA58B19" w14:textId="3E57D9F6" w:rsidR="00637BED" w:rsidRPr="00E258A7" w:rsidRDefault="00637BED" w:rsidP="00637BED">
      <w:pPr>
        <w:jc w:val="left"/>
        <w:rPr>
          <w:rFonts w:ascii="Arial" w:hAnsi="Arial" w:cs="Arial"/>
        </w:rPr>
      </w:pPr>
      <w:r w:rsidRPr="00E258A7">
        <w:rPr>
          <w:rFonts w:ascii="Arial" w:hAnsi="Arial" w:cs="Arial"/>
        </w:rPr>
        <w:t xml:space="preserve">Wang, X., Wu, X. and Zhou, Y. (2022) ‘Conditional dynamic dependence and risk spillover between crude oil prices and foreign exchange rates: new evidence from a dynamic factor copula model’, </w:t>
      </w:r>
      <w:r w:rsidRPr="00E258A7">
        <w:rPr>
          <w:rFonts w:ascii="Arial" w:hAnsi="Arial" w:cs="Arial"/>
          <w:i/>
          <w:iCs/>
        </w:rPr>
        <w:t>Energies</w:t>
      </w:r>
      <w:r w:rsidRPr="00E258A7">
        <w:rPr>
          <w:rFonts w:ascii="Arial" w:hAnsi="Arial" w:cs="Arial"/>
        </w:rPr>
        <w:t>, 15(14), article 5220. Available at: https://doi.org/10.3390/en15145220.</w:t>
      </w:r>
    </w:p>
    <w:p w14:paraId="5CD5FE4B" w14:textId="77777777" w:rsidR="00637BED" w:rsidRPr="00E258A7" w:rsidRDefault="00637BED" w:rsidP="00637BED">
      <w:pPr>
        <w:jc w:val="left"/>
        <w:rPr>
          <w:rFonts w:ascii="Arial" w:hAnsi="Arial" w:cs="Arial"/>
        </w:rPr>
      </w:pPr>
      <w:r w:rsidRPr="00E258A7">
        <w:rPr>
          <w:rFonts w:ascii="Arial" w:hAnsi="Arial" w:cs="Arial"/>
        </w:rPr>
        <w:t xml:space="preserve">Yensu, J., Nkrumah, S.K., Amankwah, S. and Ledi, K.K. (2022) ‘The effect of exchange rate volatility on economic growth’, </w:t>
      </w:r>
      <w:r w:rsidRPr="00E258A7">
        <w:rPr>
          <w:rFonts w:ascii="Arial" w:hAnsi="Arial" w:cs="Arial"/>
          <w:i/>
          <w:iCs/>
        </w:rPr>
        <w:t>Risk Governance and Control: Financial Markets &amp; Institutions</w:t>
      </w:r>
      <w:r w:rsidRPr="00E258A7">
        <w:rPr>
          <w:rFonts w:ascii="Arial" w:hAnsi="Arial" w:cs="Arial"/>
        </w:rPr>
        <w:t>, 12(4), article 33. Available at:  https://virtusinterpress.org/The-effect-of-exchange-rate-volatility-on-economic-growth.html [Accessed 23 Jan. 2026].</w:t>
      </w:r>
    </w:p>
    <w:p w14:paraId="188976A3" w14:textId="4B517FEB" w:rsidR="00637BED" w:rsidRPr="00E258A7" w:rsidRDefault="00637BED" w:rsidP="00637BED">
      <w:pPr>
        <w:jc w:val="left"/>
        <w:rPr>
          <w:rFonts w:ascii="Arial" w:hAnsi="Arial" w:cs="Arial"/>
        </w:rPr>
      </w:pPr>
      <w:r w:rsidRPr="00E258A7">
        <w:rPr>
          <w:rFonts w:ascii="Arial" w:hAnsi="Arial" w:cs="Arial"/>
        </w:rPr>
        <w:t xml:space="preserve">Zakaria, S. (2023) ‘Hedging effectiveness as an international financial risk management strategy’, </w:t>
      </w:r>
      <w:r w:rsidRPr="00E258A7">
        <w:rPr>
          <w:rFonts w:ascii="Arial" w:hAnsi="Arial" w:cs="Arial"/>
          <w:i/>
          <w:iCs/>
        </w:rPr>
        <w:t>Golden Ratio of Mapping Idea and Literature Format</w:t>
      </w:r>
      <w:r w:rsidRPr="00E258A7">
        <w:rPr>
          <w:rFonts w:ascii="Arial" w:hAnsi="Arial" w:cs="Arial"/>
        </w:rPr>
        <w:t>, 3(1), pp. 1–22. Available at: https://doi.org/10.52970/grmilf.v3i1.352.</w:t>
      </w:r>
    </w:p>
    <w:p w14:paraId="6C991A90" w14:textId="10A53423" w:rsidR="00637BED" w:rsidRPr="00E258A7" w:rsidRDefault="00637BED" w:rsidP="00637BED">
      <w:pPr>
        <w:jc w:val="left"/>
        <w:rPr>
          <w:rFonts w:ascii="Arial" w:hAnsi="Arial" w:cs="Arial"/>
        </w:rPr>
      </w:pPr>
      <w:r w:rsidRPr="00E258A7">
        <w:rPr>
          <w:rFonts w:ascii="Arial" w:hAnsi="Arial" w:cs="Arial"/>
        </w:rPr>
        <w:lastRenderedPageBreak/>
        <w:t xml:space="preserve">Zhang, Y.-W. (2025) ‘High-frequency volatility and risk assessment in foreign exchange markets’, </w:t>
      </w:r>
      <w:r w:rsidRPr="00E258A7">
        <w:rPr>
          <w:rFonts w:ascii="Arial" w:hAnsi="Arial" w:cs="Arial"/>
          <w:i/>
          <w:iCs/>
        </w:rPr>
        <w:t>Proceedings of the 2nd International Conference on Digital Economy and Computer Science</w:t>
      </w:r>
      <w:r w:rsidRPr="00E258A7">
        <w:rPr>
          <w:rFonts w:ascii="Arial" w:hAnsi="Arial" w:cs="Arial"/>
        </w:rPr>
        <w:t>, pp. 183–187. Available at: https://doi.org/10.1145/3785706.3785734.</w:t>
      </w:r>
    </w:p>
    <w:p w14:paraId="489CEDDD" w14:textId="148AA9D0" w:rsidR="00637BED" w:rsidRPr="00E258A7" w:rsidRDefault="00637BED" w:rsidP="00637BED">
      <w:pPr>
        <w:jc w:val="left"/>
        <w:rPr>
          <w:rFonts w:ascii="Arial" w:hAnsi="Arial" w:cs="Arial"/>
        </w:rPr>
      </w:pPr>
      <w:r w:rsidRPr="00E258A7">
        <w:rPr>
          <w:rFonts w:ascii="Arial" w:hAnsi="Arial" w:cs="Arial"/>
        </w:rPr>
        <w:t xml:space="preserve">Zhao, L. and Yan, W.Q. (2024) ‘Prediction of currency exchange rate based on transformers’, </w:t>
      </w:r>
      <w:r w:rsidRPr="00E258A7">
        <w:rPr>
          <w:rFonts w:ascii="Arial" w:hAnsi="Arial" w:cs="Arial"/>
          <w:i/>
          <w:iCs/>
        </w:rPr>
        <w:t>Journal of Risk and Financial Management</w:t>
      </w:r>
      <w:r w:rsidRPr="00E258A7">
        <w:rPr>
          <w:rFonts w:ascii="Arial" w:hAnsi="Arial" w:cs="Arial"/>
        </w:rPr>
        <w:t>, 17(8), article 332. Available at: https://doi.org/10.3390/jrfm17080332.</w:t>
      </w:r>
    </w:p>
    <w:p w14:paraId="0DCAE993" w14:textId="49403467" w:rsidR="00420FC9" w:rsidRPr="00E258A7" w:rsidRDefault="00637BED" w:rsidP="00637BED">
      <w:pPr>
        <w:jc w:val="left"/>
        <w:rPr>
          <w:rFonts w:ascii="Arial" w:hAnsi="Arial" w:cs="Arial"/>
        </w:rPr>
      </w:pPr>
      <w:r w:rsidRPr="00E258A7">
        <w:rPr>
          <w:rFonts w:ascii="Arial" w:hAnsi="Arial" w:cs="Arial"/>
        </w:rPr>
        <w:t xml:space="preserve">Zitis, P.I., Potirakis, S.M. and Alexandridis, A. (2024) ‘Forecasting forex market volatility using deep learning models and complexity measures’, </w:t>
      </w:r>
      <w:r w:rsidRPr="00E258A7">
        <w:rPr>
          <w:rFonts w:ascii="Arial" w:hAnsi="Arial" w:cs="Arial"/>
          <w:i/>
          <w:iCs/>
        </w:rPr>
        <w:t>Journal of Risk and Financial Management</w:t>
      </w:r>
      <w:r w:rsidRPr="00E258A7">
        <w:rPr>
          <w:rFonts w:ascii="Arial" w:hAnsi="Arial" w:cs="Arial"/>
        </w:rPr>
        <w:t>, 17(12), article 557. Available at: https://doi.org/10.3390/jrfm17120557.</w:t>
      </w:r>
    </w:p>
    <w:p w14:paraId="3F4E32D4" w14:textId="3C6F5A2F" w:rsidR="00420FC9" w:rsidRPr="00E258A7" w:rsidRDefault="00420FC9" w:rsidP="00420FC9">
      <w:pPr>
        <w:rPr>
          <w:rFonts w:ascii="Arial" w:hAnsi="Arial" w:cs="Arial"/>
        </w:rPr>
      </w:pPr>
    </w:p>
    <w:p w14:paraId="761E0B4E" w14:textId="3600B41A" w:rsidR="00420FC9" w:rsidRPr="00E258A7" w:rsidRDefault="00420FC9" w:rsidP="00420FC9">
      <w:pPr>
        <w:rPr>
          <w:rFonts w:ascii="Arial" w:hAnsi="Arial" w:cs="Arial"/>
        </w:rPr>
      </w:pPr>
    </w:p>
    <w:p w14:paraId="489A9EA9" w14:textId="79A49396" w:rsidR="00420FC9" w:rsidRPr="00E258A7" w:rsidRDefault="00420FC9" w:rsidP="00420FC9">
      <w:pPr>
        <w:rPr>
          <w:rFonts w:ascii="Arial" w:hAnsi="Arial" w:cs="Arial"/>
        </w:rPr>
      </w:pPr>
    </w:p>
    <w:p w14:paraId="3E119FCB" w14:textId="6EC59EC5" w:rsidR="00420FC9" w:rsidRPr="00E258A7" w:rsidRDefault="00420FC9" w:rsidP="00420FC9">
      <w:pPr>
        <w:rPr>
          <w:rFonts w:ascii="Arial" w:hAnsi="Arial" w:cs="Arial"/>
        </w:rPr>
      </w:pPr>
    </w:p>
    <w:p w14:paraId="375EE4CA" w14:textId="452C0CAB" w:rsidR="00420FC9" w:rsidRPr="00E258A7" w:rsidRDefault="00420FC9" w:rsidP="00420FC9">
      <w:pPr>
        <w:rPr>
          <w:rFonts w:ascii="Arial" w:hAnsi="Arial" w:cs="Arial"/>
        </w:rPr>
      </w:pPr>
    </w:p>
    <w:p w14:paraId="795F2B5F" w14:textId="4E7BD9BF" w:rsidR="00420FC9" w:rsidRPr="00E258A7" w:rsidRDefault="00420FC9" w:rsidP="00420FC9">
      <w:pPr>
        <w:rPr>
          <w:rFonts w:ascii="Arial" w:hAnsi="Arial" w:cs="Arial"/>
        </w:rPr>
      </w:pPr>
    </w:p>
    <w:p w14:paraId="75D86CCC" w14:textId="77777777" w:rsidR="00420FC9" w:rsidRPr="00E258A7" w:rsidRDefault="00420FC9" w:rsidP="00420FC9">
      <w:pPr>
        <w:rPr>
          <w:rFonts w:ascii="Arial" w:hAnsi="Arial" w:cs="Arial"/>
        </w:rPr>
      </w:pPr>
    </w:p>
    <w:p w14:paraId="12EF2BC9" w14:textId="530FE4DB" w:rsidR="00420FC9" w:rsidRPr="00E258A7" w:rsidRDefault="00420FC9" w:rsidP="00420FC9">
      <w:pPr>
        <w:rPr>
          <w:rFonts w:ascii="Arial" w:hAnsi="Arial" w:cs="Arial"/>
        </w:rPr>
      </w:pPr>
    </w:p>
    <w:p w14:paraId="1A530C70" w14:textId="77777777" w:rsidR="00420FC9" w:rsidRPr="00E258A7" w:rsidRDefault="00420FC9" w:rsidP="00420FC9">
      <w:pPr>
        <w:rPr>
          <w:rFonts w:ascii="Arial" w:hAnsi="Arial" w:cs="Arial"/>
        </w:rPr>
      </w:pPr>
    </w:p>
    <w:p w14:paraId="77E4D347" w14:textId="77777777" w:rsidR="00420FC9" w:rsidRPr="00E258A7" w:rsidRDefault="00420FC9">
      <w:pPr>
        <w:rPr>
          <w:rFonts w:ascii="Arial" w:hAnsi="Arial" w:cs="Arial"/>
        </w:rPr>
      </w:pPr>
    </w:p>
    <w:p w14:paraId="7C78409D" w14:textId="77777777" w:rsidR="00420FC9" w:rsidRPr="00E258A7" w:rsidRDefault="00420FC9">
      <w:pPr>
        <w:rPr>
          <w:rFonts w:ascii="Arial" w:hAnsi="Arial" w:cs="Arial"/>
        </w:rPr>
      </w:pPr>
    </w:p>
    <w:sectPr w:rsidR="00420FC9" w:rsidRPr="00E258A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1D3A13" w14:textId="77777777" w:rsidR="00610047" w:rsidRDefault="00610047" w:rsidP="001855E7">
      <w:pPr>
        <w:spacing w:after="0" w:line="240" w:lineRule="auto"/>
      </w:pPr>
      <w:r>
        <w:separator/>
      </w:r>
    </w:p>
  </w:endnote>
  <w:endnote w:type="continuationSeparator" w:id="0">
    <w:p w14:paraId="7627890A" w14:textId="77777777" w:rsidR="00610047" w:rsidRDefault="00610047" w:rsidP="00185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8687302"/>
      <w:docPartObj>
        <w:docPartGallery w:val="Page Numbers (Bottom of Page)"/>
        <w:docPartUnique/>
      </w:docPartObj>
    </w:sdtPr>
    <w:sdtEndPr>
      <w:rPr>
        <w:noProof/>
      </w:rPr>
    </w:sdtEndPr>
    <w:sdtContent>
      <w:p w14:paraId="3F5E8EA9" w14:textId="2AE5ABF9" w:rsidR="001855E7" w:rsidRDefault="001855E7" w:rsidP="001855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BC125B" w14:textId="77777777" w:rsidR="001855E7" w:rsidRDefault="00185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A5783" w14:textId="77777777" w:rsidR="00610047" w:rsidRDefault="00610047" w:rsidP="001855E7">
      <w:pPr>
        <w:spacing w:after="0" w:line="240" w:lineRule="auto"/>
      </w:pPr>
      <w:r>
        <w:separator/>
      </w:r>
    </w:p>
  </w:footnote>
  <w:footnote w:type="continuationSeparator" w:id="0">
    <w:p w14:paraId="4E9637D2" w14:textId="77777777" w:rsidR="00610047" w:rsidRDefault="00610047" w:rsidP="001855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71A50"/>
    <w:multiLevelType w:val="multilevel"/>
    <w:tmpl w:val="26504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D83DC9"/>
    <w:multiLevelType w:val="multilevel"/>
    <w:tmpl w:val="F48E8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7A5A55"/>
    <w:multiLevelType w:val="hybridMultilevel"/>
    <w:tmpl w:val="52C234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DD2064"/>
    <w:multiLevelType w:val="multilevel"/>
    <w:tmpl w:val="85DE2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1236859">
    <w:abstractNumId w:val="3"/>
  </w:num>
  <w:num w:numId="2" w16cid:durableId="812720830">
    <w:abstractNumId w:val="0"/>
  </w:num>
  <w:num w:numId="3" w16cid:durableId="912817911">
    <w:abstractNumId w:val="1"/>
  </w:num>
  <w:num w:numId="4" w16cid:durableId="1955479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FC9"/>
    <w:rsid w:val="00045154"/>
    <w:rsid w:val="000A215A"/>
    <w:rsid w:val="000B14E9"/>
    <w:rsid w:val="000E3DB7"/>
    <w:rsid w:val="000E59D8"/>
    <w:rsid w:val="000E623A"/>
    <w:rsid w:val="00115437"/>
    <w:rsid w:val="00175096"/>
    <w:rsid w:val="001802E6"/>
    <w:rsid w:val="00183715"/>
    <w:rsid w:val="001855E7"/>
    <w:rsid w:val="0018651A"/>
    <w:rsid w:val="001A6608"/>
    <w:rsid w:val="002077ED"/>
    <w:rsid w:val="00242BB2"/>
    <w:rsid w:val="00257741"/>
    <w:rsid w:val="00282D75"/>
    <w:rsid w:val="00335161"/>
    <w:rsid w:val="003F1690"/>
    <w:rsid w:val="00420975"/>
    <w:rsid w:val="00420FC9"/>
    <w:rsid w:val="00577581"/>
    <w:rsid w:val="0059708E"/>
    <w:rsid w:val="005B2786"/>
    <w:rsid w:val="005C3508"/>
    <w:rsid w:val="005F07AC"/>
    <w:rsid w:val="00600144"/>
    <w:rsid w:val="00610047"/>
    <w:rsid w:val="00637BED"/>
    <w:rsid w:val="00644F0D"/>
    <w:rsid w:val="00670754"/>
    <w:rsid w:val="00691EED"/>
    <w:rsid w:val="006A1E5A"/>
    <w:rsid w:val="006A3CD6"/>
    <w:rsid w:val="006B6378"/>
    <w:rsid w:val="00737893"/>
    <w:rsid w:val="00742810"/>
    <w:rsid w:val="00750E3E"/>
    <w:rsid w:val="00785D37"/>
    <w:rsid w:val="00791FF9"/>
    <w:rsid w:val="007C5D40"/>
    <w:rsid w:val="007D6F02"/>
    <w:rsid w:val="007E16B5"/>
    <w:rsid w:val="007F06F0"/>
    <w:rsid w:val="007F0FA1"/>
    <w:rsid w:val="007F54FA"/>
    <w:rsid w:val="00804972"/>
    <w:rsid w:val="00861462"/>
    <w:rsid w:val="008804B3"/>
    <w:rsid w:val="00894B3D"/>
    <w:rsid w:val="0092530C"/>
    <w:rsid w:val="0094032E"/>
    <w:rsid w:val="009B53E4"/>
    <w:rsid w:val="009C361A"/>
    <w:rsid w:val="009E68D2"/>
    <w:rsid w:val="00A52C72"/>
    <w:rsid w:val="00A542D5"/>
    <w:rsid w:val="00B1217B"/>
    <w:rsid w:val="00B208DD"/>
    <w:rsid w:val="00B40E45"/>
    <w:rsid w:val="00BA7111"/>
    <w:rsid w:val="00BA7345"/>
    <w:rsid w:val="00CB60B1"/>
    <w:rsid w:val="00CD66DA"/>
    <w:rsid w:val="00D319D3"/>
    <w:rsid w:val="00DD30A7"/>
    <w:rsid w:val="00E04633"/>
    <w:rsid w:val="00E258A7"/>
    <w:rsid w:val="00E479C8"/>
    <w:rsid w:val="00E7376D"/>
    <w:rsid w:val="00EB0A07"/>
    <w:rsid w:val="00EC73B2"/>
    <w:rsid w:val="00EF2A9B"/>
    <w:rsid w:val="00F80293"/>
    <w:rsid w:val="00F947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5B7DC"/>
  <w15:chartTrackingRefBased/>
  <w15:docId w15:val="{F6868DD6-23E5-4D55-BF05-8957542E0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2D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A542D5"/>
    <w:pPr>
      <w:keepNext/>
      <w:keepLines/>
      <w:spacing w:before="20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9C361A"/>
    <w:pPr>
      <w:keepNext/>
      <w:keepLines/>
      <w:spacing w:before="120" w:after="120" w:line="240" w:lineRule="auto"/>
      <w:outlineLvl w:val="1"/>
    </w:pPr>
    <w:rPr>
      <w:rFonts w:eastAsiaTheme="majorEastAsia" w:cstheme="majorBidi"/>
      <w:b/>
      <w:sz w:val="26"/>
      <w:szCs w:val="28"/>
    </w:rPr>
  </w:style>
  <w:style w:type="paragraph" w:styleId="Heading3">
    <w:name w:val="heading 3"/>
    <w:basedOn w:val="Normal"/>
    <w:next w:val="Normal"/>
    <w:link w:val="Heading3Char"/>
    <w:uiPriority w:val="9"/>
    <w:unhideWhenUsed/>
    <w:qFormat/>
    <w:rsid w:val="009C361A"/>
    <w:pPr>
      <w:keepNext/>
      <w:keepLines/>
      <w:spacing w:before="80" w:after="80"/>
      <w:outlineLvl w:val="2"/>
    </w:pPr>
    <w:rPr>
      <w:rFonts w:eastAsiaTheme="majorEastAsia" w:cstheme="majorBidi"/>
      <w:b/>
      <w:color w:val="000000" w:themeColor="text1"/>
      <w:kern w:val="0"/>
      <w:szCs w:val="28"/>
      <w14:ligatures w14:val="none"/>
    </w:rPr>
  </w:style>
  <w:style w:type="paragraph" w:styleId="Heading4">
    <w:name w:val="heading 4"/>
    <w:basedOn w:val="Normal"/>
    <w:next w:val="Normal"/>
    <w:link w:val="Heading4Char"/>
    <w:uiPriority w:val="9"/>
    <w:semiHidden/>
    <w:unhideWhenUsed/>
    <w:qFormat/>
    <w:rsid w:val="00420FC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20FC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20FC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20FC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20FC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20FC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2D5"/>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9C361A"/>
    <w:rPr>
      <w:rFonts w:ascii="Times New Roman" w:eastAsiaTheme="majorEastAsia" w:hAnsi="Times New Roman" w:cstheme="majorBidi"/>
      <w:b/>
      <w:sz w:val="26"/>
      <w:szCs w:val="28"/>
    </w:rPr>
  </w:style>
  <w:style w:type="character" w:customStyle="1" w:styleId="Heading3Char">
    <w:name w:val="Heading 3 Char"/>
    <w:basedOn w:val="DefaultParagraphFont"/>
    <w:link w:val="Heading3"/>
    <w:uiPriority w:val="9"/>
    <w:rsid w:val="009C361A"/>
    <w:rPr>
      <w:rFonts w:ascii="Times New Roman" w:eastAsiaTheme="majorEastAsia" w:hAnsi="Times New Roman"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420F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0F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0F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0F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0F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0FC9"/>
    <w:rPr>
      <w:rFonts w:eastAsiaTheme="majorEastAsia" w:cstheme="majorBidi"/>
      <w:color w:val="272727" w:themeColor="text1" w:themeTint="D8"/>
    </w:rPr>
  </w:style>
  <w:style w:type="paragraph" w:styleId="Title">
    <w:name w:val="Title"/>
    <w:basedOn w:val="Normal"/>
    <w:next w:val="Normal"/>
    <w:link w:val="TitleChar"/>
    <w:uiPriority w:val="10"/>
    <w:qFormat/>
    <w:rsid w:val="00420F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0F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0FC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0F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0FC9"/>
    <w:pPr>
      <w:spacing w:before="160"/>
      <w:jc w:val="center"/>
    </w:pPr>
    <w:rPr>
      <w:i/>
      <w:iCs/>
      <w:color w:val="404040" w:themeColor="text1" w:themeTint="BF"/>
    </w:rPr>
  </w:style>
  <w:style w:type="character" w:customStyle="1" w:styleId="QuoteChar">
    <w:name w:val="Quote Char"/>
    <w:basedOn w:val="DefaultParagraphFont"/>
    <w:link w:val="Quote"/>
    <w:uiPriority w:val="29"/>
    <w:rsid w:val="00420FC9"/>
    <w:rPr>
      <w:rFonts w:ascii="Times New Roman" w:hAnsi="Times New Roman"/>
      <w:i/>
      <w:iCs/>
      <w:color w:val="404040" w:themeColor="text1" w:themeTint="BF"/>
    </w:rPr>
  </w:style>
  <w:style w:type="paragraph" w:styleId="ListParagraph">
    <w:name w:val="List Paragraph"/>
    <w:basedOn w:val="Normal"/>
    <w:uiPriority w:val="34"/>
    <w:qFormat/>
    <w:rsid w:val="00420FC9"/>
    <w:pPr>
      <w:ind w:left="720"/>
      <w:contextualSpacing/>
    </w:pPr>
  </w:style>
  <w:style w:type="character" w:styleId="IntenseEmphasis">
    <w:name w:val="Intense Emphasis"/>
    <w:basedOn w:val="DefaultParagraphFont"/>
    <w:uiPriority w:val="21"/>
    <w:qFormat/>
    <w:rsid w:val="00420FC9"/>
    <w:rPr>
      <w:i/>
      <w:iCs/>
      <w:color w:val="2F5496" w:themeColor="accent1" w:themeShade="BF"/>
    </w:rPr>
  </w:style>
  <w:style w:type="paragraph" w:styleId="IntenseQuote">
    <w:name w:val="Intense Quote"/>
    <w:basedOn w:val="Normal"/>
    <w:next w:val="Normal"/>
    <w:link w:val="IntenseQuoteChar"/>
    <w:uiPriority w:val="30"/>
    <w:qFormat/>
    <w:rsid w:val="00420F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0FC9"/>
    <w:rPr>
      <w:rFonts w:ascii="Times New Roman" w:hAnsi="Times New Roman"/>
      <w:i/>
      <w:iCs/>
      <w:color w:val="2F5496" w:themeColor="accent1" w:themeShade="BF"/>
    </w:rPr>
  </w:style>
  <w:style w:type="character" w:styleId="IntenseReference">
    <w:name w:val="Intense Reference"/>
    <w:basedOn w:val="DefaultParagraphFont"/>
    <w:uiPriority w:val="32"/>
    <w:qFormat/>
    <w:rsid w:val="00420FC9"/>
    <w:rPr>
      <w:b/>
      <w:bCs/>
      <w:smallCaps/>
      <w:color w:val="2F5496" w:themeColor="accent1" w:themeShade="BF"/>
      <w:spacing w:val="5"/>
    </w:rPr>
  </w:style>
  <w:style w:type="paragraph" w:styleId="NormalWeb">
    <w:name w:val="Normal (Web)"/>
    <w:basedOn w:val="Normal"/>
    <w:uiPriority w:val="99"/>
    <w:semiHidden/>
    <w:unhideWhenUsed/>
    <w:rsid w:val="00420FC9"/>
    <w:rPr>
      <w:rFonts w:cs="Times New Roman"/>
    </w:rPr>
  </w:style>
  <w:style w:type="character" w:styleId="Hyperlink">
    <w:name w:val="Hyperlink"/>
    <w:basedOn w:val="DefaultParagraphFont"/>
    <w:uiPriority w:val="99"/>
    <w:unhideWhenUsed/>
    <w:rsid w:val="00577581"/>
    <w:rPr>
      <w:color w:val="0563C1" w:themeColor="hyperlink"/>
      <w:u w:val="single"/>
    </w:rPr>
  </w:style>
  <w:style w:type="character" w:styleId="UnresolvedMention">
    <w:name w:val="Unresolved Mention"/>
    <w:basedOn w:val="DefaultParagraphFont"/>
    <w:uiPriority w:val="99"/>
    <w:semiHidden/>
    <w:unhideWhenUsed/>
    <w:rsid w:val="00577581"/>
    <w:rPr>
      <w:color w:val="605E5C"/>
      <w:shd w:val="clear" w:color="auto" w:fill="E1DFDD"/>
    </w:rPr>
  </w:style>
  <w:style w:type="table" w:styleId="TableGrid">
    <w:name w:val="Table Grid"/>
    <w:basedOn w:val="TableNormal"/>
    <w:uiPriority w:val="39"/>
    <w:rsid w:val="007F06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9E68D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855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5E7"/>
    <w:rPr>
      <w:rFonts w:ascii="Times New Roman" w:hAnsi="Times New Roman"/>
    </w:rPr>
  </w:style>
  <w:style w:type="paragraph" w:styleId="Footer">
    <w:name w:val="footer"/>
    <w:basedOn w:val="Normal"/>
    <w:link w:val="FooterChar"/>
    <w:uiPriority w:val="99"/>
    <w:unhideWhenUsed/>
    <w:rsid w:val="001855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5E7"/>
    <w:rPr>
      <w:rFonts w:ascii="Times New Roman" w:hAnsi="Times New Roman"/>
    </w:rPr>
  </w:style>
  <w:style w:type="paragraph" w:styleId="TOCHeading">
    <w:name w:val="TOC Heading"/>
    <w:basedOn w:val="Heading1"/>
    <w:next w:val="Normal"/>
    <w:uiPriority w:val="39"/>
    <w:unhideWhenUsed/>
    <w:qFormat/>
    <w:rsid w:val="001855E7"/>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855E7"/>
    <w:pPr>
      <w:spacing w:after="100"/>
    </w:pPr>
  </w:style>
  <w:style w:type="character" w:styleId="CommentReference">
    <w:name w:val="annotation reference"/>
    <w:basedOn w:val="DefaultParagraphFont"/>
    <w:uiPriority w:val="99"/>
    <w:semiHidden/>
    <w:unhideWhenUsed/>
    <w:rsid w:val="005B2786"/>
    <w:rPr>
      <w:sz w:val="21"/>
      <w:szCs w:val="21"/>
    </w:rPr>
  </w:style>
  <w:style w:type="paragraph" w:styleId="CommentText">
    <w:name w:val="annotation text"/>
    <w:basedOn w:val="Normal"/>
    <w:link w:val="CommentTextChar"/>
    <w:uiPriority w:val="99"/>
    <w:semiHidden/>
    <w:unhideWhenUsed/>
    <w:rsid w:val="005B2786"/>
    <w:pPr>
      <w:jc w:val="left"/>
    </w:pPr>
  </w:style>
  <w:style w:type="character" w:customStyle="1" w:styleId="CommentTextChar">
    <w:name w:val="Comment Text Char"/>
    <w:basedOn w:val="DefaultParagraphFont"/>
    <w:link w:val="CommentText"/>
    <w:uiPriority w:val="99"/>
    <w:semiHidden/>
    <w:rsid w:val="005B2786"/>
    <w:rPr>
      <w:rFonts w:ascii="Times New Roman" w:hAnsi="Times New Roman"/>
    </w:rPr>
  </w:style>
  <w:style w:type="paragraph" w:styleId="CommentSubject">
    <w:name w:val="annotation subject"/>
    <w:basedOn w:val="CommentText"/>
    <w:next w:val="CommentText"/>
    <w:link w:val="CommentSubjectChar"/>
    <w:uiPriority w:val="99"/>
    <w:semiHidden/>
    <w:unhideWhenUsed/>
    <w:rsid w:val="005B2786"/>
    <w:rPr>
      <w:b/>
      <w:bCs/>
    </w:rPr>
  </w:style>
  <w:style w:type="character" w:customStyle="1" w:styleId="CommentSubjectChar">
    <w:name w:val="Comment Subject Char"/>
    <w:basedOn w:val="CommentTextChar"/>
    <w:link w:val="CommentSubject"/>
    <w:uiPriority w:val="99"/>
    <w:semiHidden/>
    <w:rsid w:val="005B2786"/>
    <w:rPr>
      <w:rFonts w:ascii="Times New Roman" w:hAnsi="Times New Roma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avearchive.zbw.eu/bitstream/11159/654487/1/1895450764_0.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jjfinec/nbaa01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dpi.com/1911-8074/16/1/3" TargetMode="External"/><Relationship Id="rId4" Type="http://schemas.openxmlformats.org/officeDocument/2006/relationships/settings" Target="settings.xml"/><Relationship Id="rId9" Type="http://schemas.openxmlformats.org/officeDocument/2006/relationships/hyperlink" Target="https://www.mdpi.com/2227-9091/10/5/10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16E2C-BBA3-4114-A34C-4CE226AE3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4371</Words>
  <Characters>24919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Costache (2126833)</cp:lastModifiedBy>
  <cp:revision>3</cp:revision>
  <dcterms:created xsi:type="dcterms:W3CDTF">2026-01-23T08:12:00Z</dcterms:created>
  <dcterms:modified xsi:type="dcterms:W3CDTF">2026-02-17T01:37:00Z</dcterms:modified>
</cp:coreProperties>
</file>