
<file path=[Content_Types].xml><?xml version="1.0" encoding="utf-8"?>
<Types xmlns="http://schemas.openxmlformats.org/package/2006/content-types">
  <Override PartName="/_rels/.rels" ContentType="application/vnd.openxmlformats-package.relationship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Override PartName="/word/styles.xml" ContentType="application/vnd.openxmlformats-officedocument.wordprocessingml.styl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rPr/>
      </w:pPr>
      <w:r>
        <w:rPr>
          <w:b/>
          <w:bCs/>
          <w:u w:val="single"/>
        </w:rPr>
        <w:t>Critically evaluate the main arguments used by the Chinese government to dispute the diplomatic and legal foundations of Tibetan independence between 1912 and 1950.</w:t>
      </w:r>
    </w:p>
    <w:p>
      <w:pPr>
        <w:pStyle w:val="TextBody"/>
        <w:rPr>
          <w:u w:val="single"/>
        </w:rPr>
      </w:pPr>
      <w:r>
        <w:rPr>
          <w:u w:val="single"/>
        </w:rPr>
      </w:r>
    </w:p>
    <w:p>
      <w:pPr>
        <w:pStyle w:val="TextBody"/>
        <w:rPr/>
      </w:pPr>
      <w:r>
        <w:rPr>
          <w:u w:val="single"/>
        </w:rPr>
        <w:t>Introduction</w:t>
      </w:r>
    </w:p>
    <w:p>
      <w:pPr>
        <w:pStyle w:val="TextBody"/>
        <w:rPr/>
      </w:pPr>
      <w:r>
        <w:rPr/>
        <w:t>Chinese military forces managed to conquer Tibet in 1949 and since then, China has been occupying that territory. There is many human rights abuse that has been witnessed towards the Tibetan people by the Chinese government. Thousands of Tibetans have been killed and millions forced to flee their own country, and monasteries destroyed by the Chinese authorities (Free Tibet). China has also imposed Communist philosophies on the Tibetans and managed to alter their cultural values permanently. Despite that Tibet has been receiving external support from the UN and other western countries such as United State (U.S), there are not sufficient t to secure them independence from China (</w:t>
      </w:r>
      <w:r>
        <w:rPr>
          <w:lang w:val="en-AU" w:eastAsia="en-AU"/>
        </w:rPr>
        <w:t>Goldstein 1995, p 17)</w:t>
      </w:r>
      <w:r>
        <w:rPr/>
        <w:t xml:space="preserve">. The Chinese authority has also maintained that Tibet would continue to be within the territory of China because the region was under Mongol rule and its standing has never changed. Tibetans have also remained firm that for the historical independence of their country as being undeniable and they have the right to be an independent state (Sperling 2008, n.p). However, the Chinese government has equipped itself with primary arguments which they have been propagating to dispute the diplomatic and legal foundations of Tibetan independence between 1912 and 1950. </w:t>
      </w:r>
    </w:p>
    <w:p>
      <w:pPr>
        <w:pStyle w:val="TextBody"/>
        <w:rPr>
          <w:u w:val="single"/>
        </w:rPr>
      </w:pPr>
      <w:r>
        <w:rPr>
          <w:u w:val="single"/>
        </w:rPr>
        <w:t>Tibet is an Essential Part of China</w:t>
      </w:r>
    </w:p>
    <w:p>
      <w:pPr>
        <w:pStyle w:val="TextBody"/>
        <w:rPr/>
      </w:pPr>
      <w:r>
        <w:rPr/>
        <w:t xml:space="preserve">The Chinese government is claiming that the region is an extension part of China’s territory. The government has continuously been stating that Tibet is a region that was conquered in the past 800 years during Yuan Dynasty and since then, it has never been separated from China (Free Tibet). Further, Chinese authority is arguing that no other nation across the world has ever declared Tibet as an independent state, besides never a country initially. </w:t>
      </w:r>
    </w:p>
    <w:p>
      <w:pPr>
        <w:pStyle w:val="TextBody"/>
        <w:rPr/>
      </w:pPr>
      <w:r>
        <w:rPr/>
        <w:t>In the early 19th Century, various foreign powers including China, Britain and Mongols have had an opportunity to influence Tibet. For instance, the Ming Dynasty ruled China in the periods between 13th and 16th Centuries and it maintained limited ties and no authority over Tibet. However, in 17th century Qing Dynasty was established by Manchus in China and they embraced Tibetan Buddhism (Makley 2007, p. 34). In the same period, Mongols developed a close relationship with Tibetans. Despite that some powerful emperors from Manchu succeeded in imposing some level of influence over Tibet, they were unable to integrate Tibet into their Kingdom, not even China. The control ceased later in 1904 during the British invasion due to its ineffectiveness.</w:t>
      </w:r>
    </w:p>
    <w:p>
      <w:pPr>
        <w:pStyle w:val="TextBody"/>
        <w:rPr/>
      </w:pPr>
      <w:r>
        <w:rPr/>
        <w:t>The Chinese government views the misunderstandings of the Western countries on the nature of China. The westerners have do no acknowledge that China has been an integrated multinational state for a long time in the past with all the nationalities and the conquerors, Mongols could identify themselves as Chinese (BBC News 2011, nap). Therefore, the Mongols subjection of Tibet can also be viewed as Chinese Subjection.</w:t>
      </w:r>
    </w:p>
    <w:p>
      <w:pPr>
        <w:pStyle w:val="TextBody"/>
        <w:rPr/>
      </w:pPr>
      <w:r>
        <w:rPr/>
        <w:t>Nevertheless, there are limited proofs that Tibet has been part of the China’s territory from the past 800 years as claimed by the Chinese authority (Lin 2011, p.1932). The Chinese government did not rule Tibet before the invasion that occurred in 1950. The 13th Dalai Lama, a Tibetan who was a political and spiritual leader in 1912 issued a declaration reaffirming the independence of the country.</w:t>
      </w:r>
    </w:p>
    <w:p>
      <w:pPr>
        <w:pStyle w:val="TextBody"/>
        <w:rPr/>
      </w:pPr>
      <w:r>
        <w:rPr/>
        <w:t>The first invasion of People’s Liberation Army of PRC in 1949 led to imposition of “Seventeen-Point Agreement for the Peaceful Liberation of Tibet” against Tibetan authority after two years when their troops were defeated. Fortunately, the agreement was declared null and void under the international law as it was signed under duress (Saul 2013, p. 211). The nullification was due to the threat of occupying Lhasa, the presence of more than 40,000 Chinese troops in Tibet and prospect of complete annihilation of the Tibetan state which compelled forced Tibetans government to sign that treaty.</w:t>
      </w:r>
    </w:p>
    <w:p>
      <w:pPr>
        <w:pStyle w:val="TextBody"/>
        <w:rPr/>
      </w:pPr>
      <w:r>
        <w:rPr/>
        <w:t>Moreover, one of the major view used by the Chinese government is that before establishment of the PRC, there was a vassal and overlord relationship between Tibet and late imperial China. The association is usually described by the Chinese authority as a piece of the territory which is regarded an “integral part” of the nation (Free Tibet). The writers of Republic have described the relationship between the Qing and Tibet as that of a dependent or tributary state. However, during the Qing Empire, the terms that were being used to describe the Tibetans territory are those that describe Tibet being part of the empire and not an “integral part” (Sperling 2008). Therefore, Tibet remains as an independent state under illegal occupation and the Chinese government should disregard its official histories.</w:t>
      </w:r>
    </w:p>
    <w:p>
      <w:pPr>
        <w:pStyle w:val="TextBody"/>
        <w:rPr>
          <w:u w:val="single"/>
        </w:rPr>
      </w:pPr>
      <w:r>
        <w:rPr>
          <w:u w:val="single"/>
        </w:rPr>
        <w:t>Chinese Governance</w:t>
      </w:r>
    </w:p>
    <w:p>
      <w:pPr>
        <w:pStyle w:val="TextBody"/>
        <w:rPr/>
      </w:pPr>
      <w:r>
        <w:rPr/>
        <w:t>According to China, Tibet has to witness significant development since it was peacefully liberated by the Chinese government. The locals have been elevated from poverty, hunger and diseases which have eventually improved their life expectancy tremendously.  The level of literacy has increased from 5% in 1951 to currently at 85% and former slaves have been allocated land (Stokes 2010, n.p). Further, there has been an enormous infrastructural development in the country which has created more job opportunities for the Tibetans. There is also the widespread construction of housings, schools and hospitals across the region to enhance the accessibility of basic needs.</w:t>
      </w:r>
    </w:p>
    <w:p>
      <w:pPr>
        <w:pStyle w:val="TextBody"/>
        <w:rPr/>
      </w:pPr>
      <w:r>
        <w:rPr/>
        <w:t>However, this development in Tibet is merely propaganda images that are designed by the Chinese government show the happiness that Tibetans are experiencing under their rule. The facts are that Tibetans are people who have been left to suffer in their own country (Stokes 2010). The infrastructure development projects witness in Tibet are being used by the Chinese military for operational activities, Chinese tourism and to facilitate mass immigration of Chinese workers into the country. The projects are also used to access the abundant natural resources in Tibet and to promote the control of China over the Tibet.</w:t>
      </w:r>
    </w:p>
    <w:p>
      <w:pPr>
        <w:pStyle w:val="TextBody"/>
        <w:rPr/>
      </w:pPr>
      <w:r>
        <w:rPr/>
        <w:t>The Chinese government is also using the economic growth in Tibet to benefit workers and businesses from China and even the booming tourism sector in the country with an objective of legitimizing its occupation (Blonde and Buffetrille 2008, p.53). There are millions of Tibetan pastoralists’ communities who have been evicted from their ancestral lands which have eventually forced them to cease their centuries-old lifestyle. The absence of land has made them lose their livelihood and they depend on the state as a second-class citizen in their nation.</w:t>
      </w:r>
    </w:p>
    <w:p>
      <w:pPr>
        <w:pStyle w:val="TextBody"/>
        <w:rPr/>
      </w:pPr>
      <w:r>
        <w:rPr/>
        <w:t>The Chinese government has also encouraged the migrations of ethnic Han into Tibet through tax incentives, which has resulted in an increased population of Han people in the region (Sperling 2008). Although that Chinese Communist Party has denied this claim, it is evident that more than 60% of the Lhasa’s populations are currently Han.</w:t>
      </w:r>
    </w:p>
    <w:p>
      <w:pPr>
        <w:pStyle w:val="TextBody"/>
        <w:rPr/>
      </w:pPr>
      <w:r>
        <w:rPr/>
        <w:t>Further, the Tibetans are people who can only learn through their native dialect as a second language, which makes the education system that is being offered to them in the form of Chinese not to be useful (Saul 2013, p. 204). There are also numerous cases of human rights abuses done by the Chinese government against Tibetans including making Tibet as a region with a high number of malnutrition children in China despite being repeatedly challenged by the United Nation (UN).</w:t>
      </w:r>
    </w:p>
    <w:p>
      <w:pPr>
        <w:pStyle w:val="TextBody"/>
        <w:rPr/>
      </w:pPr>
      <w:r>
        <w:rPr/>
        <w:t>Moreover, more than 130 Tibetans have perished on inferno inside Tibet from the beginning of March 2011 in protests against the repression of the Chinese regime. There is also widespread of the “Tibet needs freedom” slogan across the streets from the Tibetans during demonstrations to resist the draconian policies of Chinese administration (Barnett 2009, p.6). The resistance of China in Tibet has remained undiminished and prevalent despite more than 60 years of occupation. Tibetans have been receiving less benefits than the Chinese immigrants despite the economic progress witnessed as one of the most countries in the previous sixty years (Saul 2013, p. 209). The economic development has not daunted Tibetans from opposing Chinese rule as they were not ready to be “happy” under the China’s control.</w:t>
      </w:r>
    </w:p>
    <w:p>
      <w:pPr>
        <w:pStyle w:val="TextBody"/>
        <w:rPr>
          <w:u w:val="single"/>
        </w:rPr>
      </w:pPr>
      <w:r>
        <w:rPr>
          <w:u w:val="single"/>
        </w:rPr>
        <w:t>Ancient Tibet needed Chinese Liberation</w:t>
      </w:r>
    </w:p>
    <w:p>
      <w:pPr>
        <w:pStyle w:val="TextBody"/>
        <w:rPr/>
      </w:pPr>
      <w:r>
        <w:rPr/>
        <w:t>The Chinese government claims that the old Tibet needed the assistant of China to liberate it from primitivism. Tibet was peacefully liberated and reformed democratically by the Chinese during the 1950s which ended the ancient feudal serfdom where there were widespread cases of brutality, as more backward mass of the locals being enslaved by the priests and landlords (Schwartz 1992, p. 11). Tibetan government was declared illegal in March 1959 after liberation which resulted into Serf Emancipation Day.</w:t>
      </w:r>
    </w:p>
    <w:p>
      <w:pPr>
        <w:pStyle w:val="TextBody"/>
        <w:rPr/>
      </w:pPr>
      <w:r>
        <w:rPr/>
        <w:t>However, the assertions from the Chinese administration are ruthless. Many stable democratic states in Tibet today were undemocratic in 1950 and human rights were massively violated. At the time Tibet was invaded by the Chinese troops, 14th Dalai Lama was still a teenager with less capacity to govern the country independently (Blonde and Buffetrille 2008, p.48). The 14th Dalai Lama has successfully democratized the exiled Tibetan government which led to his winning a Noble Peace Prize. In contrast, undemocratic authority is still being exercised by the Chinese government in Tibet.</w:t>
      </w:r>
    </w:p>
    <w:p>
      <w:pPr>
        <w:pStyle w:val="TextBody"/>
        <w:rPr/>
      </w:pPr>
      <w:r>
        <w:rPr/>
        <w:t>Tibet was invaded by the newly formed Communist administration in China as the country had precious natural resources and strategically located as it shares a boundary with India (Saul 2013, p. 198). Tibetan government was forced into “Seventeen Point Agreement” with stipulations that the country shall recognize the rule of China in exchange for protection on Tibetan Buddhism and their political system.</w:t>
      </w:r>
    </w:p>
    <w:p>
      <w:pPr>
        <w:pStyle w:val="TextBody"/>
        <w:rPr/>
      </w:pPr>
      <w:r>
        <w:rPr/>
        <w:t>The Tibetans are far from recognizing Chinese as liberators, as the armed forces from China are experienced a continued resistance, and they respond with rife brutality. The resistance ended on 10th of March 1959 when more than 300, 00 Tibetans decided to protected Dalai Lama by surrounding the Potable Palace (BBC News 2011). Tibetans and their supporters celebrate that date as National Uprising Day.</w:t>
      </w:r>
    </w:p>
    <w:p>
      <w:pPr>
        <w:pStyle w:val="TextBody"/>
        <w:rPr/>
      </w:pPr>
      <w:r>
        <w:rPr/>
        <w:t>China argues that its vision of historical brutality in Tibet to continue controlling Tibet territory. However, Tibetans has experienced enormous brutality under the rule of Chinese, which ranges from the killing of people exceeding one million during Mao’s era (Free Tibet). Further, there is the destruction of numerous monasteries, arbitrary arrests, torture and deprivation of the fundamental freedoms in the modern day.</w:t>
      </w:r>
    </w:p>
    <w:p>
      <w:pPr>
        <w:pStyle w:val="TextBody"/>
        <w:rPr>
          <w:u w:val="single"/>
        </w:rPr>
      </w:pPr>
      <w:r>
        <w:rPr>
          <w:u w:val="single"/>
        </w:rPr>
        <w:t>The Dalai Lama Wants Power and not Peace</w:t>
      </w:r>
    </w:p>
    <w:p>
      <w:pPr>
        <w:pStyle w:val="TextBody"/>
        <w:rPr/>
      </w:pPr>
      <w:r>
        <w:rPr/>
        <w:t>China has continuously argued that Dalai Lama is the recent in “God King Dictators” lineage. Meaning that Dalai Lama is a politician in Monk’s clothing that whose goals is to champion for Tibet’s independence so that he can take over the leadership of the country (Free Tibet). Tibetans and its supporters globally have been embracing these fabrications that are being propagated by the “Dalai Lama Clique.”</w:t>
      </w:r>
    </w:p>
    <w:p>
      <w:pPr>
        <w:pStyle w:val="TextBody"/>
        <w:rPr/>
      </w:pPr>
      <w:r>
        <w:rPr/>
        <w:t>Despite all the criticisms fueled by the Chinese government against Dalai Lama, He has emerged as a leader who is respected by the people across the world including the majority of Tibetans. While in exile, he has consistently advocated for dialogue with the Chinese authorities and friendship with the Chinese people as he decentralized his political leadership into a democratic institution (Goldstein 1997, p.67). The truth is that Dalai Lama is not seeking for Tibet independence, but pursuing a consensus approach which is aimed at securing greater freedom for the Tibetans without attaining independent. The worldwide support that Tibet is currently receiving is due to the popularity of the Dalai Lama. Tibetan people within Tibet remain committed to him despite the oppression that they are experiencing from the China’s rule (Stokes 2010). Therefore, with the desperation of maintaining its control over Tibetans people, Chinese authorities are desperate to undermine the credibility of Dalai Lama.</w:t>
      </w:r>
    </w:p>
    <w:p>
      <w:pPr>
        <w:pStyle w:val="TextBody"/>
        <w:rPr/>
      </w:pPr>
      <w:r>
        <w:rPr/>
      </w:r>
    </w:p>
    <w:p>
      <w:pPr>
        <w:pStyle w:val="TextBody"/>
        <w:rPr/>
      </w:pPr>
      <w:r>
        <w:rPr/>
      </w:r>
    </w:p>
    <w:p>
      <w:pPr>
        <w:pStyle w:val="TextBody"/>
        <w:rPr>
          <w:u w:val="single"/>
        </w:rPr>
      </w:pPr>
      <w:r>
        <w:rPr>
          <w:u w:val="single"/>
        </w:rPr>
        <w:t>Free Tibet supporters are against China</w:t>
      </w:r>
    </w:p>
    <w:p>
      <w:pPr>
        <w:pStyle w:val="TextBody"/>
        <w:rPr/>
      </w:pPr>
      <w:r>
        <w:rPr/>
        <w:t>Stokes (2010) asserts that the Chinese government believes that Western anti-China forces such as the United are supporting the Free Tibet movement. China argues that issues related to Human rights are internal affairs of the country and foreigners such as the Americans and Britain have no right to concern themselves with Chinese policies in Tibet.</w:t>
      </w:r>
    </w:p>
    <w:p>
      <w:pPr>
        <w:pStyle w:val="TextBody"/>
        <w:rPr/>
      </w:pPr>
      <w:r>
        <w:rPr/>
        <w:t>However, the supporters of Free Tibet have no dispute with the Chinese government and they are simply helping the Tibetan who are victims of autocratic regime as they feel that their firm struggle for independence is well justified (Norbu 2012, p. 49). The Chinese Communist Party regime also victimizes Chinese people as many faces severe reprimands in resisting its policies. It is believed that the day Chinese people would discover the reasons behind their government’s propaganda, many will also join the Tibetans to fight for their freedom.</w:t>
      </w:r>
    </w:p>
    <w:p>
      <w:pPr>
        <w:pStyle w:val="TextBody"/>
        <w:rPr/>
      </w:pPr>
      <w:r>
        <w:rPr/>
        <w:t>The narratives of Tibetans who resist China’s rule and those of the victims of human rights abuses are shared by the Free Tibet as the central government is using its official communications to conceal the voices of the victims (BBC News 2011). The movement is also not receiving any support from any political or government institution which is the reason why many people globally choose to provide support to Tibetans after realizing the truth.</w:t>
      </w:r>
    </w:p>
    <w:p>
      <w:pPr>
        <w:pStyle w:val="TextBody"/>
        <w:rPr>
          <w:u w:val="single"/>
        </w:rPr>
      </w:pPr>
      <w:r>
        <w:rPr>
          <w:u w:val="single"/>
        </w:rPr>
        <w:t>Tibet already has Autonomy</w:t>
      </w:r>
    </w:p>
    <w:p>
      <w:pPr>
        <w:pStyle w:val="TextBody"/>
        <w:rPr/>
      </w:pPr>
      <w:r>
        <w:rPr/>
        <w:t>The Chinese authorities are arguing that there is no need for Tibet to have independent have they already have the autonomy as the Tibet Autonomous Region of PRC (Blonde and Buffetrille 2008, p.51).Chinese government states that Tibetans have freedom of adhering to their traditional beliefs and their Buddhism is protected.</w:t>
      </w:r>
    </w:p>
    <w:p>
      <w:pPr>
        <w:pStyle w:val="TextBody"/>
        <w:rPr/>
      </w:pPr>
      <w:r>
        <w:rPr/>
        <w:t>The Critiques has however argued that autonomy that exists in Tibet is only the name “Tibet Autonomous Region.” The truth is that no Tibetan has ever occupied critical positions in the political systems as Beijing is always at the helm of leadership (Norgay 2015, n.p). Further, many Tibetan children are losing their ability to either speak or write in their native as the official language is in Chinese.</w:t>
      </w:r>
    </w:p>
    <w:p>
      <w:pPr>
        <w:pStyle w:val="TextBody"/>
        <w:rPr/>
      </w:pPr>
      <w:r>
        <w:rPr/>
        <w:t>Despite that Chinese government are claiming that Tibetans have the right to follow their Buddhism, the Communist Party conducts a constant monitoring and control of monasteries (Norgay 2015). The nuns and monks are also feared, and the Chinese regime is often persecuting them and anyone posing Dalai Lama’s image would risks being imprisoned.</w:t>
      </w:r>
    </w:p>
    <w:p>
      <w:pPr>
        <w:pStyle w:val="TextBody"/>
        <w:rPr/>
      </w:pPr>
      <w:r>
        <w:rPr/>
        <w:t>The argument that Tibetans have autonomy is a fabrication as more veto powers are based in Beijing. Tibetans are represented in both local and central government levels. However, representation with limited powers is not helpful (Smith 2008, p. 26). There is less than 1% percent of the Tibetan population in China, but they occupies more than 25% percent of the total landmass and they have less powers to feel secure in perpetuating their values.</w:t>
      </w:r>
    </w:p>
    <w:p>
      <w:pPr>
        <w:pStyle w:val="TextBody"/>
        <w:rPr/>
      </w:pPr>
      <w:r>
        <w:rPr/>
        <w:t>Tibetan are facing societal and state-sponsored Chinese racisms inequality which has resulted in regular resistance. Makley (2007, p.39) states that various studies done on racial issues in China have further revealed that racism inequality is deeply entrenched in both political and society system with the minority populations such as Tibetans facing significant challenges. Racial nationalisms played an essential role in consolidating control over Tibet by the Chinese authority (Norbu 2012, p. 39).Therefore, the extreme policies of the central government are clear indications of deeply-rooted ethnic racism and prejudice that is at the centre of the modern Chinese society.</w:t>
      </w:r>
    </w:p>
    <w:p>
      <w:pPr>
        <w:pStyle w:val="TextBody"/>
        <w:rPr>
          <w:u w:val="single"/>
        </w:rPr>
      </w:pPr>
      <w:r>
        <w:rPr>
          <w:u w:val="single"/>
        </w:rPr>
        <w:t>Security and Sovereignity</w:t>
      </w:r>
    </w:p>
    <w:p>
      <w:pPr>
        <w:pStyle w:val="TextBody"/>
        <w:rPr/>
      </w:pPr>
      <w:r>
        <w:rPr/>
        <w:t>The Chinese government is using the issue of security and sovereignty to dispute the diplomatic independence of Tibetan (Goldstein 1997, p. 26). The Chinese are viewing themselves as the victims of the western imperialism as they have felt humiliation in the past and therefore they must remain firm on the issues related to sovereignty in territories such as  Tibet.</w:t>
      </w:r>
    </w:p>
    <w:p>
      <w:pPr>
        <w:pStyle w:val="TextBody"/>
        <w:rPr/>
      </w:pPr>
      <w:r>
        <w:rPr/>
        <w:t xml:space="preserve">The independent of Tibet is also believed by the Chinese </w:t>
      </w:r>
      <w:r>
        <w:rPr/>
        <w:t>government</w:t>
      </w:r>
      <w:r>
        <w:rPr/>
        <w:t xml:space="preserve"> that it could inspire similar succession revolutions in Inner Mongolia, Xinjiang and Taiwan. The three countries act as buffers against foreign invasion and significant border territories, and most importantly they are critical to the chinese sense of identity (Saul 2013, p. 203). In the last two centuries, the sense of identity has been devastated as China was once had a proud, imperial history.</w:t>
      </w:r>
    </w:p>
    <w:p>
      <w:pPr>
        <w:pStyle w:val="TextBody"/>
        <w:rPr/>
      </w:pPr>
      <w:r>
        <w:rPr/>
        <w:t>In the early 1900s, China claims that no nation recognized the diplomatic independence of Tibet and therefore, Republic of China regime should continue to retain sovereignty over the territory (Barnett 2009, p.6). China claims that Tibet’s leaders themselves recognized the Chinese sovereignty over the region by sending their delegates to  various critical internal conventions in China. For example, representatives from Tibet were among the committee members in 1925 during the drafting of a Republic of China's new constitution.</w:t>
      </w:r>
    </w:p>
    <w:p>
      <w:pPr>
        <w:pStyle w:val="TextBody"/>
        <w:rPr/>
      </w:pPr>
      <w:r>
        <w:rPr/>
        <w:t>However, the security and sovereignty of the Chinese territory do no rely on the independence of Tibet as it is being claimed. The U.S policies are having devastating effect on the stability of China (Sperling 2008). For instance, under the George W. Bush regime between the 1950s and 1960s, the Central Intelligent Agency (CIA) has been involved in Tibet which has reinforced the sovereignty fears that Chinese government has been having in the past.</w:t>
      </w:r>
    </w:p>
    <w:p>
      <w:pPr>
        <w:pStyle w:val="TextBody"/>
        <w:rPr/>
      </w:pPr>
      <w:r>
        <w:rPr/>
        <w:t xml:space="preserve">Further, the recent U.S policies have inspired the Tibetans who are in exile to continue lobbying for their liberation and also maintain the moderation of the Chinese policy. The actions of the US in Tibet has continued to intensify the China’s fear of being destabilized by the western forces (Norbu 2012, p.73). The position has weakened the willingness of the Chinese government to work with Tibetans as they increasingly become tyrants and does nothing to alleviate the challenges being felt by the victims. </w:t>
      </w:r>
    </w:p>
    <w:p>
      <w:pPr>
        <w:pStyle w:val="TextBody"/>
        <w:rPr/>
      </w:pPr>
      <w:r>
        <w:rPr/>
      </w:r>
    </w:p>
    <w:p>
      <w:pPr>
        <w:pStyle w:val="TextBody"/>
        <w:rPr/>
      </w:pPr>
      <w:r>
        <w:rPr/>
      </w:r>
    </w:p>
    <w:p>
      <w:pPr>
        <w:pStyle w:val="TextBody"/>
        <w:rPr>
          <w:u w:val="single"/>
        </w:rPr>
      </w:pPr>
      <w:r>
        <w:rPr>
          <w:u w:val="single"/>
        </w:rPr>
        <w:t>Conclusion</w:t>
      </w:r>
    </w:p>
    <w:p>
      <w:pPr>
        <w:pStyle w:val="TextBody"/>
        <w:rPr/>
      </w:pPr>
      <w:bookmarkStart w:id="0" w:name="__DdeLink__485_3346518023"/>
      <w:bookmarkEnd w:id="0"/>
      <w:r>
        <w:rPr/>
        <w:t>The legal and diplomatic framework of Tibetan independence between 1912 and 1950 has been disputed by the Chinese authority to legitimize their occupation. The central government claims that Tibet has been a Chinese territory from their history without considering that they invaded the country in 1949. The issue of Tibetans being prosperous and happy under China’s rule is fictional as the development projects are only benefiting Chinese citizens. The claim that supporters of Free Tibet against China is untrue because the struggle for freedom is justified. The Dalai Lama is pushing for a dialogue between China and Tibet governments despite being undermined as a leader who is possessed with power. Further, Tibetans have no autonomy as they are being denied opportunities to pursue their values. The security and sovereignty of China do not also depend on the occupation of Tibet as the Chinese government has been receiving adverse impact from the westerners’ policies. Moreover, the old Tibet was not liberated by the Chinese as the central authority is currently autocratic while the exiled Tibet government has an adopted a democracy. Therefore, China should declare Tibet an independent territory.</w:t>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pPr>
      <w:r>
        <w:rPr/>
      </w:r>
    </w:p>
    <w:p>
      <w:pPr>
        <w:pStyle w:val="TextBody"/>
        <w:rPr>
          <w:b/>
          <w:b/>
          <w:bCs/>
          <w:u w:val="single"/>
        </w:rPr>
      </w:pPr>
      <w:r>
        <w:rPr>
          <w:b/>
          <w:bCs/>
          <w:u w:val="single"/>
        </w:rPr>
        <w:t>Bibliography</w:t>
      </w:r>
    </w:p>
    <w:p>
      <w:pPr>
        <w:pStyle w:val="TextBody"/>
        <w:rPr/>
      </w:pPr>
      <w:r>
        <w:rPr/>
        <w:t>Barnett, R., 2009. The Tibet protests of spring, 2008. China Perspectives, (3), p.6.</w:t>
      </w:r>
    </w:p>
    <w:p>
      <w:pPr>
        <w:pStyle w:val="TextBody"/>
        <w:rPr/>
      </w:pPr>
      <w:r>
        <w:rPr/>
        <w:t>BBC News., 2011. China and the Tibetans. Retrieved from http://www.bbc.com/news/world-asia-pacific-14533879 [Accessed 24 October 2017].</w:t>
      </w:r>
    </w:p>
    <w:p>
      <w:pPr>
        <w:pStyle w:val="TextBody"/>
        <w:rPr/>
      </w:pPr>
      <w:r>
        <w:rPr/>
        <w:t>Blonde au, A.M. and Buffetrille, K. eds., 2008. Authenticating Tibet: answers to China's 100 questions. Univ of California Press.</w:t>
      </w:r>
    </w:p>
    <w:p>
      <w:pPr>
        <w:pStyle w:val="TextBody"/>
        <w:rPr/>
      </w:pPr>
      <w:r>
        <w:rPr/>
        <w:t>Free Tibet, Is Tibet a country. Retrieved from https://freetibet.org/about/legal-status-tibet [Accessed 24 October 2017].</w:t>
      </w:r>
    </w:p>
    <w:p>
      <w:pPr>
        <w:pStyle w:val="TextBody"/>
        <w:rPr/>
      </w:pPr>
      <w:r>
        <w:rPr/>
        <w:t>Goldstein, M.C., 1995. Tibet, China and the United States: reflections on the Tibet question. Atlantic Council of the United States.</w:t>
      </w:r>
    </w:p>
    <w:p>
      <w:pPr>
        <w:pStyle w:val="TextBody"/>
        <w:rPr/>
      </w:pPr>
      <w:r>
        <w:rPr/>
        <w:t>Goldstein, M.C., 1997. The snow lion and the dragon: China, Tibet, and the Dalai Lama. Univ of California Press.</w:t>
      </w:r>
    </w:p>
    <w:p>
      <w:pPr>
        <w:pStyle w:val="TextBody"/>
        <w:rPr/>
      </w:pPr>
      <w:r>
        <w:rPr/>
        <w:t>Lin, H.T., 2011. Tibet and nationalist China's frontier: intrigues and ethnopolitics, 1928-49. UBC Press.</w:t>
      </w:r>
    </w:p>
    <w:p>
      <w:pPr>
        <w:pStyle w:val="TextBody"/>
        <w:rPr/>
      </w:pPr>
      <w:r>
        <w:rPr/>
        <w:t>Makley, C.E., 2007. The violence of liberation: Gender and Tibetan Buddhist revival in post-Mao China. Univ of California Press.</w:t>
      </w:r>
    </w:p>
    <w:p>
      <w:pPr>
        <w:pStyle w:val="TextBody"/>
        <w:rPr/>
      </w:pPr>
      <w:r>
        <w:rPr/>
        <w:t>Norbu, D., 2012. China's Tibet policy. Routledge.</w:t>
      </w:r>
    </w:p>
    <w:p>
      <w:pPr>
        <w:pStyle w:val="TextBody"/>
        <w:rPr/>
      </w:pPr>
      <w:r>
        <w:rPr/>
        <w:t>Norgay, T., 2015. The Tibetan Argument for Autonomy. Retrieved from https://thediplomat.com/2015/09/the-tibetan-argument-for-autonomy/[Accessed 24 October 2017]</w:t>
      </w:r>
    </w:p>
    <w:p>
      <w:pPr>
        <w:pStyle w:val="TextBody"/>
        <w:rPr/>
      </w:pPr>
      <w:r>
        <w:rPr/>
        <w:t>Saul, B., 2013. China, natural resources, sovereignty and international law. Asian Studies Review, 37(2), pp.196-214.</w:t>
      </w:r>
    </w:p>
    <w:p>
      <w:pPr>
        <w:pStyle w:val="TextBody"/>
        <w:rPr/>
      </w:pPr>
      <w:r>
        <w:rPr/>
        <w:t>Schwartz, R., 1992. Democracy, Tibetan Independence, and Protest under Chinese Rule. The Tibet Journal, 17(2), pp.3-27.</w:t>
      </w:r>
    </w:p>
    <w:p>
      <w:pPr>
        <w:pStyle w:val="TextBody"/>
        <w:rPr/>
      </w:pPr>
      <w:r>
        <w:rPr/>
        <w:t>Smith Jr, W.W., 2008. China's Tibet? Autonomy or assimilation. Rowman &amp; Littlefield Publishers.</w:t>
      </w:r>
    </w:p>
    <w:p>
      <w:pPr>
        <w:pStyle w:val="TextBody"/>
        <w:rPr/>
      </w:pPr>
      <w:r>
        <w:rPr/>
        <w:t>Sperling, E., 2008. Don’t Know much About Tibetan History. The New York Times. Retrieved from http://www.nytimes.com/2008/04/13/opinion/13sperling.html [Accessed 24 October 2017]</w:t>
      </w:r>
    </w:p>
    <w:p>
      <w:pPr>
        <w:pStyle w:val="TextBody"/>
        <w:spacing w:lineRule="auto" w:line="288" w:before="0" w:after="140"/>
        <w:rPr/>
      </w:pPr>
      <w:r>
        <w:rPr/>
        <w:t>Stokes, D., 2010. Conflict over Tibet: Core Causes and Possible Solutions. Retrieved from http://www.beyondintractability.org/casestudy/stokes-tibet [Accessed 24 October 2017].</w:t>
      </w:r>
    </w:p>
    <w:sectPr>
      <w:type w:val="nextPage"/>
      <w:pgSz w:w="11906" w:h="16838"/>
      <w:pgMar w:left="1440" w:right="1440" w:header="0" w:top="72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Calibri Light">
    <w:charset w:val="01"/>
    <w:family w:val="roman"/>
    <w:pitch w:val="variable"/>
  </w:font>
  <w:font w:name="Times New Roman">
    <w:charset w:val="01"/>
    <w:family w:val="roman"/>
    <w:pitch w:val="variable"/>
  </w:font>
  <w:font w:name="Liberation Sans">
    <w:altName w:val="Arial"/>
    <w:charset w:val="01"/>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AU"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AU"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00000A"/>
      <w:kern w:val="0"/>
      <w:sz w:val="22"/>
      <w:szCs w:val="22"/>
      <w:lang w:val="en-US" w:eastAsia="en-US" w:bidi="ar-SA"/>
    </w:rPr>
  </w:style>
  <w:style w:type="paragraph" w:styleId="Heading1">
    <w:name w:val="Heading 1"/>
    <w:basedOn w:val="Normal"/>
    <w:next w:val="Normal"/>
    <w:link w:val="Heading1Char"/>
    <w:uiPriority w:val="9"/>
    <w:qFormat/>
    <w:rsid w:val="002c0a3c"/>
    <w:pPr>
      <w:keepNext/>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link w:val="Heading2Char"/>
    <w:uiPriority w:val="9"/>
    <w:qFormat/>
    <w:rsid w:val="008a0dc0"/>
    <w:pPr>
      <w:spacing w:lineRule="auto" w:line="240" w:beforeAutospacing="1" w:afterAutospacing="1"/>
      <w:outlineLvl w:val="1"/>
    </w:pPr>
    <w:rPr>
      <w:rFonts w:ascii="Times New Roman" w:hAnsi="Times New Roman" w:eastAsia="Times New Roman" w:cs="Times New Roman"/>
      <w:b/>
      <w:bCs/>
      <w:sz w:val="36"/>
      <w:szCs w:val="36"/>
      <w:lang w:val="en-AU" w:eastAsia="en-AU"/>
    </w:rPr>
  </w:style>
  <w:style w:type="paragraph" w:styleId="Heading3">
    <w:name w:val="Heading 3"/>
    <w:basedOn w:val="Normal"/>
    <w:next w:val="Normal"/>
    <w:link w:val="Heading3Char"/>
    <w:uiPriority w:val="9"/>
    <w:semiHidden/>
    <w:unhideWhenUsed/>
    <w:qFormat/>
    <w:rsid w:val="00c97d6e"/>
    <w:pPr>
      <w:keepNext/>
      <w:keepLines/>
      <w:spacing w:before="40" w:after="0"/>
      <w:outlineLvl w:val="2"/>
    </w:pPr>
    <w:rPr>
      <w:rFonts w:ascii="Calibri Light" w:hAnsi="Calibri Light" w:eastAsia="" w:cs="" w:asciiTheme="majorHAnsi" w:cstheme="majorBidi" w:eastAsiaTheme="majorEastAsia" w:hAnsiTheme="majorHAnsi"/>
      <w:color w:val="1F4D78" w:themeColor="accent1" w:themeShade="7f"/>
      <w:sz w:val="24"/>
      <w:szCs w:val="24"/>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uiPriority w:val="9"/>
    <w:qFormat/>
    <w:rsid w:val="008a0dc0"/>
    <w:rPr>
      <w:rFonts w:ascii="Times New Roman" w:hAnsi="Times New Roman" w:eastAsia="Times New Roman" w:cs="Times New Roman"/>
      <w:b/>
      <w:bCs/>
      <w:sz w:val="36"/>
      <w:szCs w:val="36"/>
      <w:lang w:eastAsia="en-AU"/>
    </w:rPr>
  </w:style>
  <w:style w:type="character" w:styleId="Strong">
    <w:name w:val="Strong"/>
    <w:basedOn w:val="DefaultParagraphFont"/>
    <w:uiPriority w:val="22"/>
    <w:qFormat/>
    <w:rsid w:val="008a0dc0"/>
    <w:rPr>
      <w:b/>
      <w:bCs/>
    </w:rPr>
  </w:style>
  <w:style w:type="character" w:styleId="InternetLink">
    <w:name w:val="Internet Link"/>
    <w:basedOn w:val="DefaultParagraphFont"/>
    <w:uiPriority w:val="99"/>
    <w:unhideWhenUsed/>
    <w:rsid w:val="006a42e6"/>
    <w:rPr>
      <w:color w:val="0000FF"/>
      <w:u w:val="single"/>
    </w:rPr>
  </w:style>
  <w:style w:type="character" w:styleId="Heading3Char" w:customStyle="1">
    <w:name w:val="Heading 3 Char"/>
    <w:basedOn w:val="DefaultParagraphFont"/>
    <w:link w:val="Heading3"/>
    <w:uiPriority w:val="9"/>
    <w:semiHidden/>
    <w:qFormat/>
    <w:rsid w:val="00c97d6e"/>
    <w:rPr>
      <w:rFonts w:ascii="Calibri Light" w:hAnsi="Calibri Light" w:eastAsia="" w:cs="" w:asciiTheme="majorHAnsi" w:cstheme="majorBidi" w:eastAsiaTheme="majorEastAsia" w:hAnsiTheme="majorHAnsi"/>
      <w:color w:val="1F4D78" w:themeColor="accent1" w:themeShade="7f"/>
      <w:sz w:val="24"/>
      <w:szCs w:val="24"/>
      <w:lang w:val="en-US"/>
    </w:rPr>
  </w:style>
  <w:style w:type="character" w:styleId="HeaderChar" w:customStyle="1">
    <w:name w:val="Header Char"/>
    <w:basedOn w:val="DefaultParagraphFont"/>
    <w:link w:val="Header"/>
    <w:uiPriority w:val="99"/>
    <w:qFormat/>
    <w:rsid w:val="00f91fe7"/>
    <w:rPr>
      <w:lang w:val="en-US"/>
    </w:rPr>
  </w:style>
  <w:style w:type="character" w:styleId="FooterChar" w:customStyle="1">
    <w:name w:val="Footer Char"/>
    <w:basedOn w:val="DefaultParagraphFont"/>
    <w:link w:val="Footer"/>
    <w:uiPriority w:val="99"/>
    <w:qFormat/>
    <w:rsid w:val="00f91fe7"/>
    <w:rPr>
      <w:lang w:val="en-US"/>
    </w:rPr>
  </w:style>
  <w:style w:type="character" w:styleId="Heading1Char" w:customStyle="1">
    <w:name w:val="Heading 1 Char"/>
    <w:basedOn w:val="DefaultParagraphFont"/>
    <w:link w:val="Heading1"/>
    <w:uiPriority w:val="9"/>
    <w:qFormat/>
    <w:rsid w:val="002c0a3c"/>
    <w:rPr>
      <w:rFonts w:ascii="Calibri Light" w:hAnsi="Calibri Light" w:eastAsia="" w:cs="" w:asciiTheme="majorHAnsi" w:cstheme="majorBidi" w:eastAsiaTheme="majorEastAsia" w:hAnsiTheme="majorHAnsi"/>
      <w:color w:val="2E74B5" w:themeColor="accent1" w:themeShade="bf"/>
      <w:sz w:val="32"/>
      <w:szCs w:val="32"/>
      <w:lang w:val="en-US"/>
    </w:rPr>
  </w:style>
  <w:style w:type="character" w:styleId="Byline" w:customStyle="1">
    <w:name w:val="byline"/>
    <w:basedOn w:val="DefaultParagraphFont"/>
    <w:qFormat/>
    <w:rsid w:val="00c90568"/>
    <w:rPr/>
  </w:style>
  <w:style w:type="character" w:styleId="Bylineauthor" w:customStyle="1">
    <w:name w:val="byline-author"/>
    <w:basedOn w:val="DefaultParagraphFont"/>
    <w:qFormat/>
    <w:rsid w:val="00c90568"/>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paragraph" w:styleId="Heading">
    <w:name w:val="Heading"/>
    <w:basedOn w:val="Normal"/>
    <w:next w:val="TextBody"/>
    <w:qFormat/>
    <w:pPr>
      <w:keepNext/>
      <w:spacing w:before="240" w:after="120"/>
    </w:pPr>
    <w:rPr>
      <w:rFonts w:ascii="Liberation Sans" w:hAnsi="Liberation Sans" w:eastAsia="Noto Sans CJK SC Regular" w:cs="FreeSans"/>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NormalWeb">
    <w:name w:val="Normal (Web)"/>
    <w:basedOn w:val="Normal"/>
    <w:uiPriority w:val="99"/>
    <w:unhideWhenUsed/>
    <w:qFormat/>
    <w:rsid w:val="008a0dc0"/>
    <w:pPr>
      <w:spacing w:lineRule="auto" w:line="240" w:beforeAutospacing="1" w:afterAutospacing="1"/>
    </w:pPr>
    <w:rPr>
      <w:rFonts w:ascii="Times New Roman" w:hAnsi="Times New Roman" w:eastAsia="Times New Roman" w:cs="Times New Roman"/>
      <w:sz w:val="24"/>
      <w:szCs w:val="24"/>
      <w:lang w:val="en-AU" w:eastAsia="en-AU"/>
    </w:rPr>
  </w:style>
  <w:style w:type="paragraph" w:styleId="Storybodytext" w:customStyle="1">
    <w:name w:val="story-body-text"/>
    <w:basedOn w:val="Normal"/>
    <w:qFormat/>
    <w:rsid w:val="00ff6d76"/>
    <w:pPr>
      <w:spacing w:lineRule="auto" w:line="240" w:beforeAutospacing="1" w:afterAutospacing="1"/>
    </w:pPr>
    <w:rPr>
      <w:rFonts w:ascii="Times New Roman" w:hAnsi="Times New Roman" w:eastAsia="Times New Roman" w:cs="Times New Roman"/>
      <w:sz w:val="24"/>
      <w:szCs w:val="24"/>
      <w:lang w:val="en-AU" w:eastAsia="en-AU"/>
    </w:rPr>
  </w:style>
  <w:style w:type="paragraph" w:styleId="Header">
    <w:name w:val="Header"/>
    <w:basedOn w:val="Normal"/>
    <w:link w:val="HeaderChar"/>
    <w:uiPriority w:val="99"/>
    <w:unhideWhenUsed/>
    <w:rsid w:val="00f91fe7"/>
    <w:pPr>
      <w:tabs>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f91fe7"/>
    <w:pPr>
      <w:tabs>
        <w:tab w:val="center" w:pos="4513" w:leader="none"/>
        <w:tab w:val="right" w:pos="9026" w:leader="none"/>
      </w:tabs>
      <w:spacing w:lineRule="auto" w:line="240" w:before="0" w:after="0"/>
    </w:pPr>
    <w:rPr/>
  </w:style>
  <w:style w:type="paragraph" w:styleId="Casestudytitle" w:customStyle="1">
    <w:name w:val="casestudy-title"/>
    <w:basedOn w:val="Normal"/>
    <w:qFormat/>
    <w:rsid w:val="002c0a3c"/>
    <w:pPr>
      <w:spacing w:lineRule="auto" w:line="240" w:beforeAutospacing="1" w:afterAutospacing="1"/>
    </w:pPr>
    <w:rPr>
      <w:rFonts w:ascii="Times New Roman" w:hAnsi="Times New Roman" w:eastAsia="Times New Roman" w:cs="Times New Roman"/>
      <w:sz w:val="24"/>
      <w:szCs w:val="24"/>
      <w:lang w:val="en-AU" w:eastAsia="en-AU"/>
    </w:rPr>
  </w:style>
  <w:style w:type="paragraph" w:styleId="Bylinedateline" w:customStyle="1">
    <w:name w:val="byline-dateline"/>
    <w:basedOn w:val="Normal"/>
    <w:qFormat/>
    <w:rsid w:val="00c90568"/>
    <w:pPr>
      <w:spacing w:lineRule="auto" w:line="240" w:beforeAutospacing="1" w:afterAutospacing="1"/>
    </w:pPr>
    <w:rPr>
      <w:rFonts w:ascii="Times New Roman" w:hAnsi="Times New Roman" w:eastAsia="Times New Roman" w:cs="Times New Roman"/>
      <w:sz w:val="24"/>
      <w:szCs w:val="24"/>
      <w:lang w:val="en-AU" w:eastAsia="en-AU"/>
    </w:rPr>
  </w:style>
  <w:style w:type="paragraph" w:styleId="ListParagraph">
    <w:name w:val="List Paragraph"/>
    <w:basedOn w:val="Normal"/>
    <w:qFormat/>
    <w:pPr>
      <w:spacing w:lineRule="auto" w:line="240"/>
      <w:ind w:left="720" w:hanging="0"/>
      <w:jc w:val="left"/>
    </w:pPr>
    <w:rPr>
      <w:rFonts w:ascii="Times New Roman" w:hAnsi="Times New Roman" w:eastAsia="Times New Roman"/>
      <w:sz w:val="24"/>
      <w:szCs w:val="24"/>
      <w:lang w:val="cy-GB" w:eastAsia="en-GB"/>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9B7FC-3F61-45A2-8045-CE458D148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Application>LibreOffice/5.4.1.2$Linux_X86_64 LibreOffice_project/40m0$Build-2</Application>
  <Pages>8</Pages>
  <Words>3282</Words>
  <Characters>18016</Characters>
  <CharactersWithSpaces>21244</CharactersWithSpaces>
  <Paragraphs>60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2017-10-31T04:35:00Z</dcterms:created>
  <dc:creator/>
  <dc:description/>
  <dc:language>en-GB</dc:language>
  <cp:lastModifiedBy/>
  <dcterms:modified xsi:type="dcterms:W3CDTF">2017-12-08T12:32:07Z</dcterms:modified>
  <cp:revision>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