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rPr>
          <w:rFonts w:ascii="Arial" w:eastAsia="Times New Roman" w:hAnsi="Arial" w:cs="Arial"/>
        </w:rPr>
      </w:pPr>
      <w:r>
        <w:rPr>
          <w:rFonts w:ascii="Arial" w:eastAsia="Times New Roman" w:hAnsi="Arial" w:cs="Arial"/>
        </w:rPr>
        <w:t>Predicting the Impact of Database Schema Changes on Python Codebases Using Static Analysis and Version-History Mining</w:t>
      </w:r>
    </w:p>
    <w:p>
      <w:pPr>
        <w:spacing w:before="240" w:after="160"/>
      </w:pPr>
      <w:r>
        <w:rPr>
          <w:rFonts w:ascii="Arial" w:hAnsi="Arial" w:cs="Arial"/>
          <w:b/>
          <w:bCs/>
          <w:sz w:val="26"/>
          <w:szCs w:val="26"/>
        </w:rPr>
        <w:t>Contents</w:t>
      </w:r>
    </w:p>
    <w:p>
      <w:pPr>
        <w:pStyle w:val="TOC2"/>
      </w:pPr>
      <w:r>
        <w:rPr>
          <w:rFonts w:ascii="Arial" w:hAnsi="Arial" w:cs="Arial"/>
          <w:sz w:val="22"/>
          <w:szCs w:val="22"/>
        </w:rPr>
        <w:fldChar w:fldCharType="begin"/>
        <w:instrText xml:space="preserve"> TOC \o "2-3" \h \z \u </w:instrText>
        <w:fldChar w:fldCharType="separate"/>
      </w:r>
      <w:hyperlink w:anchor="_Toc101" w:history="1">
        <w:r>
          <w:rPr>
            <w:rFonts w:ascii="Arial" w:hAnsi="Arial" w:cs="Arial"/>
            <w:sz w:val="22"/>
            <w:szCs w:val="22"/>
          </w:rPr>
          <w:t xml:space="preserve">1. Introduction and Background</w:t>
          <w:tab/>
          <w:fldChar w:fldCharType="begin"/>
          <w:instrText xml:space="preserve"> PAGEREF _Toc101 \h </w:instrText>
          <w:fldChar w:fldCharType="separate"/>
          <w:t>2</w:t>
          <w:fldChar w:fldCharType="end"/>
        </w:r>
      </w:hyperlink>
    </w:p>
    <w:p>
      <w:pPr>
        <w:pStyle w:val="TOC2"/>
      </w:pPr>
      <w:hyperlink w:anchor="_Toc102" w:history="1">
        <w:r>
          <w:rPr>
            <w:rFonts w:ascii="Arial" w:hAnsi="Arial" w:cs="Arial"/>
            <w:sz w:val="22"/>
            <w:szCs w:val="22"/>
          </w:rPr>
          <w:t xml:space="preserve">2. Problem Statement</w:t>
          <w:tab/>
          <w:fldChar w:fldCharType="begin"/>
          <w:instrText xml:space="preserve"> PAGEREF _Toc102 \h </w:instrText>
          <w:fldChar w:fldCharType="separate"/>
          <w:t>2</w:t>
          <w:fldChar w:fldCharType="end"/>
        </w:r>
      </w:hyperlink>
    </w:p>
    <w:p>
      <w:pPr>
        <w:pStyle w:val="TOC2"/>
      </w:pPr>
      <w:hyperlink w:anchor="_Toc103" w:history="1">
        <w:r>
          <w:rPr>
            <w:rFonts w:ascii="Arial" w:hAnsi="Arial" w:cs="Arial"/>
            <w:sz w:val="22"/>
            <w:szCs w:val="22"/>
          </w:rPr>
          <w:t xml:space="preserve">3. Aim, Research Question and Hypotheses</w:t>
          <w:tab/>
          <w:fldChar w:fldCharType="begin"/>
          <w:instrText xml:space="preserve"> PAGEREF _Toc103 \h </w:instrText>
          <w:fldChar w:fldCharType="separate"/>
          <w:t>2</w:t>
          <w:fldChar w:fldCharType="end"/>
        </w:r>
      </w:hyperlink>
    </w:p>
    <w:p>
      <w:pPr>
        <w:pStyle w:val="TOC2"/>
      </w:pPr>
      <w:hyperlink w:anchor="_Toc104" w:history="1">
        <w:r>
          <w:rPr>
            <w:rFonts w:ascii="Arial" w:hAnsi="Arial" w:cs="Arial"/>
            <w:sz w:val="22"/>
            <w:szCs w:val="22"/>
          </w:rPr>
          <w:t xml:space="preserve">4. Literature Review</w:t>
          <w:tab/>
          <w:fldChar w:fldCharType="begin"/>
          <w:instrText xml:space="preserve"> PAGEREF _Toc104 \h </w:instrText>
          <w:fldChar w:fldCharType="separate"/>
          <w:t>3</w:t>
          <w:fldChar w:fldCharType="end"/>
        </w:r>
      </w:hyperlink>
    </w:p>
    <w:p>
      <w:pPr>
        <w:pStyle w:val="TOC2"/>
      </w:pPr>
      <w:hyperlink w:anchor="_Toc105" w:history="1">
        <w:r>
          <w:rPr>
            <w:rFonts w:ascii="Arial" w:hAnsi="Arial" w:cs="Arial"/>
            <w:sz w:val="22"/>
            <w:szCs w:val="22"/>
          </w:rPr>
          <w:t xml:space="preserve">5. Methodology</w:t>
          <w:tab/>
          <w:fldChar w:fldCharType="begin"/>
          <w:instrText xml:space="preserve"> PAGEREF _Toc105 \h </w:instrText>
          <w:fldChar w:fldCharType="separate"/>
          <w:t>3</w:t>
          <w:fldChar w:fldCharType="end"/>
        </w:r>
      </w:hyperlink>
    </w:p>
    <w:p>
      <w:pPr>
        <w:pStyle w:val="TOC3"/>
      </w:pPr>
      <w:hyperlink w:anchor="_Toc106" w:history="1">
        <w:r>
          <w:rPr>
            <w:rFonts w:ascii="Arial" w:hAnsi="Arial" w:cs="Arial"/>
            <w:sz w:val="22"/>
            <w:szCs w:val="22"/>
          </w:rPr>
          <w:t xml:space="preserve">5.1 Approach and Evaluation</w:t>
          <w:tab/>
          <w:fldChar w:fldCharType="begin"/>
          <w:instrText xml:space="preserve"> PAGEREF _Toc106 \h </w:instrText>
          <w:fldChar w:fldCharType="separate"/>
          <w:t>3</w:t>
          <w:fldChar w:fldCharType="end"/>
        </w:r>
      </w:hyperlink>
    </w:p>
    <w:p>
      <w:pPr>
        <w:pStyle w:val="TOC3"/>
      </w:pPr>
      <w:hyperlink w:anchor="_Toc107" w:history="1">
        <w:r>
          <w:rPr>
            <w:rFonts w:ascii="Arial" w:hAnsi="Arial" w:cs="Arial"/>
            <w:sz w:val="22"/>
            <w:szCs w:val="22"/>
          </w:rPr>
          <w:t xml:space="preserve">5.2 Resources</w:t>
          <w:tab/>
          <w:fldChar w:fldCharType="begin"/>
          <w:instrText xml:space="preserve"> PAGEREF _Toc107 \h </w:instrText>
          <w:fldChar w:fldCharType="separate"/>
          <w:t>4</w:t>
          <w:fldChar w:fldCharType="end"/>
        </w:r>
      </w:hyperlink>
    </w:p>
    <w:p>
      <w:pPr>
        <w:pStyle w:val="TOC3"/>
      </w:pPr>
      <w:hyperlink w:anchor="_Toc108" w:history="1">
        <w:r>
          <w:rPr>
            <w:rFonts w:ascii="Arial" w:hAnsi="Arial" w:cs="Arial"/>
            <w:sz w:val="22"/>
            <w:szCs w:val="22"/>
          </w:rPr>
          <w:t xml:space="preserve">5.3 Risks and Limitations</w:t>
          <w:tab/>
          <w:fldChar w:fldCharType="begin"/>
          <w:instrText xml:space="preserve"> PAGEREF _Toc108 \h </w:instrText>
          <w:fldChar w:fldCharType="separate"/>
          <w:t>4</w:t>
          <w:fldChar w:fldCharType="end"/>
        </w:r>
      </w:hyperlink>
    </w:p>
    <w:p>
      <w:pPr>
        <w:pStyle w:val="TOC2"/>
      </w:pPr>
      <w:hyperlink w:anchor="_Toc109" w:history="1">
        <w:r>
          <w:rPr>
            <w:rFonts w:ascii="Arial" w:hAnsi="Arial" w:cs="Arial"/>
            <w:sz w:val="22"/>
            <w:szCs w:val="22"/>
          </w:rPr>
          <w:t xml:space="preserve">6. Deliverables and Project Plan</w:t>
          <w:tab/>
          <w:fldChar w:fldCharType="begin"/>
          <w:instrText xml:space="preserve"> PAGEREF _Toc109 \h </w:instrText>
          <w:fldChar w:fldCharType="separate"/>
          <w:t>4</w:t>
          <w:fldChar w:fldCharType="end"/>
        </w:r>
      </w:hyperlink>
    </w:p>
    <w:p>
      <w:pPr>
        <w:pStyle w:val="TOC2"/>
      </w:pPr>
      <w:hyperlink w:anchor="_Toc110" w:history="1">
        <w:r>
          <w:rPr>
            <w:rFonts w:ascii="Arial" w:hAnsi="Arial" w:cs="Arial"/>
            <w:sz w:val="22"/>
            <w:szCs w:val="22"/>
          </w:rPr>
          <w:t xml:space="preserve">7. Ethics</w:t>
          <w:tab/>
          <w:fldChar w:fldCharType="begin"/>
          <w:instrText xml:space="preserve"> PAGEREF _Toc110 \h </w:instrText>
          <w:fldChar w:fldCharType="separate"/>
          <w:t>5</w:t>
          <w:fldChar w:fldCharType="end"/>
        </w:r>
      </w:hyperlink>
    </w:p>
    <w:p>
      <w:pPr>
        <w:pStyle w:val="TOC2"/>
      </w:pPr>
      <w:hyperlink w:anchor="_Toc111" w:history="1">
        <w:r>
          <w:rPr>
            <w:rFonts w:ascii="Arial" w:hAnsi="Arial" w:cs="Arial"/>
            <w:sz w:val="22"/>
            <w:szCs w:val="22"/>
          </w:rPr>
          <w:t xml:space="preserve">References</w:t>
          <w:tab/>
          <w:fldChar w:fldCharType="begin"/>
          <w:instrText xml:space="preserve"> PAGEREF _Toc111 \h </w:instrText>
          <w:fldChar w:fldCharType="separate"/>
          <w:t>5</w:t>
          <w:fldChar w:fldCharType="end"/>
        </w:r>
      </w:hyperlink>
    </w:p>
    <w:p>
      <w:r>
        <w:rPr>
          <w:rFonts w:ascii="Arial" w:hAnsi="Arial" w:cs="Arial"/>
          <w:sz w:val="22"/>
          <w:szCs w:val="22"/>
        </w:rPr>
        <w:fldChar w:fldCharType="end"/>
      </w:r>
    </w:p>
    <w:p>
      <w:r>
        <w:br w:type="page"/>
      </w:r>
    </w:p>
    <w:p>
      <w:pPr>
        <w:pStyle w:val="Heading2"/>
        <w:rPr>
          <w:rFonts w:ascii="Arial" w:eastAsia="Times New Roman" w:hAnsi="Arial" w:cs="Arial"/>
        </w:rPr>
      </w:pPr>
      <w:bookmarkStart w:id="101" w:name="_Toc101"/>
      <w:r>
        <w:rPr>
          <w:rFonts w:ascii="Arial" w:eastAsia="Times New Roman" w:hAnsi="Arial" w:cs="Arial"/>
        </w:rPr>
        <w:t>1. Introduction and Background</w:t>
      </w:r>
      <w:bookmarkEnd w:id="101"/>
    </w:p>
    <w:p>
      <w:pPr>
        <w:pStyle w:val="NormalWeb"/>
        <w:rPr>
          <w:rFonts w:ascii="Arial" w:hAnsi="Arial" w:cs="Arial"/>
          <w:sz w:val="22"/>
          <w:szCs w:val="22"/>
        </w:rPr>
      </w:pPr>
      <w:r>
        <w:rPr>
          <w:rFonts w:ascii="Arial" w:hAnsi="Arial" w:cs="Arial"/>
          <w:sz w:val="22"/>
          <w:szCs w:val="22"/>
        </w:rPr>
        <w:t xml:space="preserve">Web applications depend on a database whose design seldom stays fixed: tables are created, columns renamed or retyped, fields removed. The code relying on it is spread across ORM models, raw SQL, serialisers and templates, so even a minor change can leave it inconsistent with the schema [1], [2].</w:t>
      </w:r>
    </w:p>
    <w:p>
      <w:pPr>
        <w:pStyle w:val="NormalWeb"/>
        <w:rPr>
          <w:rFonts w:ascii="Arial" w:hAnsi="Arial" w:cs="Arial"/>
          <w:sz w:val="22"/>
          <w:szCs w:val="22"/>
        </w:rPr>
      </w:pPr>
      <w:r>
        <w:rPr>
          <w:rFonts w:ascii="Arial" w:hAnsi="Arial" w:cs="Arial"/>
          <w:sz w:val="22"/>
          <w:szCs w:val="22"/>
        </w:rPr>
        <w:t xml:space="preserve">Estimating a change’s reach is called change impact analysis [3], [4]. Developers commonly search the text, which is noisy and overlooks indirect dependencies, or run static analysis, which is blind to hidden couplings such as a template relying on a table’s layout without naming any column. Files that changed together in the past are also likely to do so again [5]. This project uses both signals.</w:t>
      </w:r>
    </w:p>
    <w:p>
      <w:pPr>
        <w:pStyle w:val="Heading2"/>
        <w:rPr>
          <w:rFonts w:ascii="Arial" w:eastAsia="Times New Roman" w:hAnsi="Arial" w:cs="Arial"/>
        </w:rPr>
      </w:pPr>
      <w:bookmarkStart w:id="102" w:name="_Toc102"/>
      <w:r>
        <w:rPr>
          <w:rFonts w:ascii="Arial" w:eastAsia="Times New Roman" w:hAnsi="Arial" w:cs="Arial"/>
        </w:rPr>
        <w:t>2. Problem Statement</w:t>
      </w:r>
      <w:bookmarkEnd w:id="102"/>
    </w:p>
    <w:p>
      <w:pPr>
        <w:pStyle w:val="NormalWeb"/>
        <w:rPr>
          <w:rFonts w:ascii="Arial" w:hAnsi="Arial" w:cs="Arial"/>
          <w:sz w:val="22"/>
          <w:szCs w:val="22"/>
        </w:rPr>
      </w:pPr>
      <w:r>
        <w:rPr>
          <w:rFonts w:ascii="Arial" w:hAnsi="Arial" w:cs="Arial"/>
          <w:sz w:val="22"/>
          <w:szCs w:val="22"/>
        </w:rPr>
        <w:t xml:space="preserve">Smaller Python teams lack an open-source, easy-to-adopt tool that flags, before a schema change is merged, the code most likely to break. Python’s dynamism makes runtime-built queries hard to trace, and implicit dependencies escape static analysis while history mining cannot explain them. Noise matters too: developers abandon tools that raise many uncertain warnings [6].</w:t>
      </w:r>
    </w:p>
    <w:p>
      <w:pPr>
        <w:pStyle w:val="NormalWeb"/>
        <w:rPr>
          <w:rFonts w:ascii="Arial" w:hAnsi="Arial" w:cs="Arial"/>
          <w:sz w:val="22"/>
          <w:szCs w:val="22"/>
        </w:rPr>
      </w:pPr>
      <w:r>
        <w:rPr>
          <w:rFonts w:ascii="Arial" w:hAnsi="Arial" w:cs="Arial"/>
          <w:sz w:val="22"/>
          <w:szCs w:val="22"/>
        </w:rPr>
        <w:t xml:space="preserve">Large companies build their own prediction systems [7]; smaller teams cannot. Open tools cover only fragments: colref checks Django and Rails column references [8], laravel-xray targets PHP [9] and Oopsie type-checks Java JDBC access [10]. None uses project history or reports confidence, the gap this project addresses.</w:t>
      </w:r>
    </w:p>
    <w:p>
      <w:pPr>
        <w:pStyle w:val="Heading2"/>
        <w:rPr>
          <w:rFonts w:ascii="Arial" w:eastAsia="Times New Roman" w:hAnsi="Arial" w:cs="Arial"/>
        </w:rPr>
      </w:pPr>
      <w:bookmarkStart w:id="103" w:name="_Toc103"/>
      <w:r>
        <w:rPr>
          <w:rFonts w:ascii="Arial" w:eastAsia="Times New Roman" w:hAnsi="Arial" w:cs="Arial"/>
        </w:rPr>
        <w:t>3. Aim, Research Question and Hypotheses</w:t>
      </w:r>
      <w:bookmarkEnd w:id="103"/>
    </w:p>
    <w:p>
      <w:pPr>
        <w:pStyle w:val="NormalWeb"/>
        <w:rPr>
          <w:rFonts w:ascii="Arial" w:hAnsi="Arial" w:cs="Arial"/>
          <w:sz w:val="22"/>
          <w:szCs w:val="22"/>
        </w:rPr>
      </w:pPr>
      <w:r>
        <w:rPr>
          <w:rFonts w:ascii="Arial" w:hAnsi="Arial" w:cs="Arial"/>
          <w:sz w:val="22"/>
          <w:szCs w:val="22"/>
        </w:rPr>
        <w:t xml:space="preserve">The aim is to design, build and evaluate an open-source tool that predicts which files in a Python codebase must change when a database table or column changes, scores each prediction's confidence, and posts the results on the GitHub pull request.</w:t>
      </w:r>
    </w:p>
    <w:p>
      <w:pPr>
        <w:pStyle w:val="NormalWeb"/>
        <w:rPr>
          <w:rFonts w:ascii="Arial" w:hAnsi="Arial" w:cs="Arial"/>
          <w:sz w:val="22"/>
          <w:szCs w:val="22"/>
        </w:rPr>
      </w:pPr>
      <w:r>
        <w:rPr>
          <w:rFonts w:ascii="Arial" w:hAnsi="Arial" w:cs="Arial"/>
          <w:b/>
          <w:bCs/>
          <w:sz w:val="22"/>
          <w:szCs w:val="22"/>
        </w:rPr>
        <w:t xml:space="preserve">RQ:</w:t>
      </w:r>
      <w:r>
        <w:rPr>
          <w:rFonts w:ascii="Arial" w:hAnsi="Arial" w:cs="Arial"/>
          <w:sz w:val="22"/>
          <w:szCs w:val="22"/>
        </w:rPr>
        <w:t xml:space="preserve"> Does combining static analysis with version-history mining predict the impact of a schema change more accurately than either technique alone?</w:t>
      </w:r>
    </w:p>
    <w:p>
      <w:pPr>
        <w:pStyle w:val="NormalWeb"/>
        <w:rPr>
          <w:rFonts w:ascii="Arial" w:hAnsi="Arial" w:cs="Arial"/>
          <w:sz w:val="22"/>
          <w:szCs w:val="22"/>
        </w:rPr>
      </w:pPr>
      <w:r>
        <w:rPr>
          <w:rFonts w:ascii="Arial" w:hAnsi="Arial" w:cs="Arial"/>
          <w:b/>
          <w:bCs/>
          <w:sz w:val="22"/>
          <w:szCs w:val="22"/>
        </w:rPr>
        <w:t xml:space="preserve">H0:</w:t>
      </w:r>
      <w:r>
        <w:rPr>
          <w:rFonts w:ascii="Arial" w:hAnsi="Arial" w:cs="Arial"/>
          <w:sz w:val="22"/>
          <w:szCs w:val="22"/>
        </w:rPr>
        <w:t xml:space="preserve"> The combined approach's median F1 score is not significantly higher than that of the better single-signal approach.</w:t>
      </w:r>
    </w:p>
    <w:p>
      <w:pPr>
        <w:pStyle w:val="NormalWeb"/>
        <w:rPr>
          <w:rFonts w:ascii="Arial" w:hAnsi="Arial" w:cs="Arial"/>
          <w:sz w:val="22"/>
          <w:szCs w:val="22"/>
        </w:rPr>
      </w:pPr>
      <w:r>
        <w:rPr>
          <w:rFonts w:ascii="Arial" w:hAnsi="Arial" w:cs="Arial"/>
          <w:b/>
          <w:bCs/>
          <w:sz w:val="22"/>
          <w:szCs w:val="22"/>
        </w:rPr>
        <w:t xml:space="preserve">H1:</w:t>
      </w:r>
      <w:r>
        <w:rPr>
          <w:rFonts w:ascii="Arial" w:hAnsi="Arial" w:cs="Arial"/>
          <w:sz w:val="22"/>
          <w:szCs w:val="22"/>
        </w:rPr>
        <w:t xml:space="preserve"> The combined approach's median F1 score is significantly higher than that of both single-signal approaches.</w:t>
      </w:r>
    </w:p>
    <w:p>
      <w:pPr>
        <w:pStyle w:val="NormalWeb"/>
        <w:rPr>
          <w:rFonts w:ascii="Arial" w:hAnsi="Arial" w:cs="Arial"/>
          <w:sz w:val="22"/>
          <w:szCs w:val="22"/>
        </w:rPr>
      </w:pPr>
      <w:r>
        <w:rPr>
          <w:rFonts w:ascii="Arial" w:hAnsi="Arial" w:cs="Arial"/>
          <w:sz w:val="22"/>
          <w:szCs w:val="22"/>
        </w:rPr>
        <w:t xml:space="preserve">Each data point is one schema-change commit, with one F1 score per method.</w:t>
      </w:r>
    </w:p>
    <w:p>
      <w:pPr>
        <w:pStyle w:val="NormalWeb"/>
        <w:rPr>
          <w:rFonts w:ascii="Arial" w:hAnsi="Arial" w:cs="Arial"/>
          <w:sz w:val="22"/>
          <w:szCs w:val="22"/>
        </w:rPr>
      </w:pPr>
      <w:r>
        <w:rPr>
          <w:rFonts w:ascii="Arial" w:hAnsi="Arial" w:cs="Arial"/>
          <w:sz w:val="22"/>
          <w:szCs w:val="22"/>
        </w:rPr>
        <w:t xml:space="preserve">The objectives are:</w:t>
      </w:r>
    </w:p>
    <w:p>
      <w:pPr>
        <w:pStyle w:val="NormalWeb"/>
        <w:numPr>
          <w:ilvl w:val="0"/>
          <w:numId w:val="2"/>
        </w:numPr>
        <w:spacing w:after="60"/>
        <w:rPr>
          <w:rFonts w:ascii="Arial" w:hAnsi="Arial" w:cs="Arial"/>
          <w:sz w:val="22"/>
          <w:szCs w:val="22"/>
        </w:rPr>
      </w:pPr>
      <w:r>
        <w:rPr>
          <w:rFonts w:ascii="Arial" w:hAnsi="Arial" w:cs="Arial"/>
          <w:sz w:val="22"/>
          <w:szCs w:val="22"/>
        </w:rPr>
        <w:t xml:space="preserve">To build a dataset of at least 200 schema-change commits from 20–30 open-source projects by early January 2027 (O2).</w:t>
      </w:r>
    </w:p>
    <w:p>
      <w:pPr>
        <w:pStyle w:val="NormalWeb"/>
        <w:numPr>
          <w:ilvl w:val="0"/>
          <w:numId w:val="2"/>
        </w:numPr>
        <w:spacing w:after="60"/>
        <w:rPr>
          <w:rFonts w:ascii="Arial" w:hAnsi="Arial" w:cs="Arial"/>
          <w:sz w:val="22"/>
          <w:szCs w:val="22"/>
        </w:rPr>
      </w:pPr>
      <w:r>
        <w:rPr>
          <w:rFonts w:ascii="Arial" w:hAnsi="Arial" w:cs="Arial"/>
          <w:sz w:val="22"/>
          <w:szCs w:val="22"/>
        </w:rPr>
        <w:t xml:space="preserve">To design and develop a static analyser, co-change miner and scorer that predict files affected by a schema change, by mid-March 2027 (O3–O5).</w:t>
      </w:r>
    </w:p>
    <w:p>
      <w:pPr>
        <w:pStyle w:val="NormalWeb"/>
        <w:numPr>
          <w:ilvl w:val="0"/>
          <w:numId w:val="2"/>
        </w:numPr>
        <w:spacing w:after="60"/>
        <w:rPr>
          <w:rFonts w:ascii="Arial" w:hAnsi="Arial" w:cs="Arial"/>
          <w:sz w:val="22"/>
          <w:szCs w:val="22"/>
        </w:rPr>
      </w:pPr>
      <w:r>
        <w:rPr>
          <w:rFonts w:ascii="Arial" w:hAnsi="Arial" w:cs="Arial"/>
          <w:sz w:val="22"/>
          <w:szCs w:val="22"/>
        </w:rPr>
        <w:t xml:space="preserve">To develop a GitHub Action bot that comments on migration pull requests, by mid-March 2027 (O5, bot only).</w:t>
      </w:r>
    </w:p>
    <w:p>
      <w:pPr>
        <w:pStyle w:val="NormalWeb"/>
        <w:numPr>
          <w:ilvl w:val="0"/>
          <w:numId w:val="2"/>
        </w:numPr>
        <w:spacing w:after="60"/>
        <w:rPr>
          <w:rFonts w:ascii="Arial" w:hAnsi="Arial" w:cs="Arial"/>
          <w:sz w:val="22"/>
          <w:szCs w:val="22"/>
        </w:rPr>
      </w:pPr>
      <w:r>
        <w:rPr>
          <w:rFonts w:ascii="Arial" w:hAnsi="Arial" w:cs="Arial"/>
          <w:sz w:val="22"/>
          <w:szCs w:val="22"/>
        </w:rPr>
        <w:t xml:space="preserve">To evaluate, by early April 2027, whether the combined approach achieves a significantly higher median F1 than each single-signal approach (O6).</w:t>
      </w:r>
    </w:p>
    <w:p>
      <w:pPr>
        <w:pStyle w:val="Heading2"/>
        <w:rPr>
          <w:rFonts w:ascii="Arial" w:eastAsia="Times New Roman" w:hAnsi="Arial" w:cs="Arial"/>
        </w:rPr>
      </w:pPr>
      <w:bookmarkStart w:id="104" w:name="_Toc104"/>
      <w:r>
        <w:rPr>
          <w:rFonts w:ascii="Arial" w:eastAsia="Times New Roman" w:hAnsi="Arial" w:cs="Arial"/>
        </w:rPr>
        <w:t>4. Literature Review</w:t>
      </w:r>
      <w:bookmarkEnd w:id="104"/>
    </w:p>
    <w:p>
      <w:pPr>
        <w:pStyle w:val="NormalWeb"/>
        <w:rPr>
          <w:rFonts w:ascii="Arial" w:hAnsi="Arial" w:cs="Arial"/>
          <w:sz w:val="22"/>
          <w:szCs w:val="22"/>
        </w:rPr>
      </w:pPr>
      <w:r>
        <w:rPr>
          <w:rFonts w:ascii="Arial" w:hAnsi="Arial" w:cs="Arial"/>
          <w:sz w:val="22"/>
          <w:szCs w:val="22"/>
        </w:rPr>
        <w:t xml:space="preserve">Change impact analysis began with program slicing [11], which is precise but hard to apply to dynamic languages such as Python. Li et al.’s survey [4] shows a recurring trade-off: finding more of the real impact usually means flagging more unaffected files. Code-based techniques rely on explicit dependencies, so they miss links that never appear in source, such as configuration, templates and naming conventions, which motivates learning from change history.</w:t>
      </w:r>
    </w:p>
    <w:p>
      <w:pPr>
        <w:pStyle w:val="NormalWeb"/>
        <w:rPr>
          <w:rFonts w:ascii="Arial" w:hAnsi="Arial" w:cs="Arial"/>
          <w:sz w:val="22"/>
          <w:szCs w:val="22"/>
        </w:rPr>
      </w:pPr>
      <w:r>
        <w:rPr>
          <w:rFonts w:ascii="Arial" w:hAnsi="Arial" w:cs="Arial"/>
          <w:sz w:val="22"/>
          <w:szCs w:val="22"/>
        </w:rPr>
        <w:t xml:space="preserve">Zimmermann et al. [5] mined version histories for files that change together and used the rules to suggest further edits once a developer changed one of them. Ying et al. [12] and Hassan and Holt [13] showed that historical co-change predicts related files and change propagation well. PyDriller [14] makes such mining straightforward in Python, but it shows that files change together, not why, and says nothing about new files.</w:t>
      </w:r>
    </w:p>
    <w:p>
      <w:pPr>
        <w:pStyle w:val="NormalWeb"/>
        <w:rPr>
          <w:rFonts w:ascii="Arial" w:hAnsi="Arial" w:cs="Arial"/>
          <w:sz w:val="22"/>
          <w:szCs w:val="22"/>
        </w:rPr>
      </w:pPr>
      <w:r>
        <w:rPr>
          <w:rFonts w:ascii="Arial" w:hAnsi="Arial" w:cs="Arial"/>
          <w:sz w:val="22"/>
          <w:szCs w:val="22"/>
        </w:rPr>
        <w:t xml:space="preserve">Combining both kinds of evidence helps. Kagdi et al. [15] found that joining historical co-change with conceptual coupling, derived from code text, outperformed either alone. Signals that fail differently complement each other; this project applies that idea to database schemas.</w:t>
      </w:r>
    </w:p>
    <w:p>
      <w:pPr>
        <w:pStyle w:val="NormalWeb"/>
        <w:rPr>
          <w:rFonts w:ascii="Arial" w:hAnsi="Arial" w:cs="Arial"/>
          <w:sz w:val="22"/>
          <w:szCs w:val="22"/>
        </w:rPr>
      </w:pPr>
      <w:r>
        <w:rPr>
          <w:rFonts w:ascii="Arial" w:hAnsi="Arial" w:cs="Arial"/>
          <w:sz w:val="22"/>
          <w:szCs w:val="22"/>
        </w:rPr>
        <w:t xml:space="preserve">For databases, Sjøberg [16] showed that schema changes are frequent, and Qiu et al. [1] found their effects on application code hard to trace. Meurice et al. detected the resulting inconsistencies [2] and recovered code-to-table links in Java systems [17]. Neither targets Python, where queries are often built from strings and ORMs hide the SQL. Django’s migration framework, however, records each schema change as a Python file, so schema-changing commits are easy to identify.</w:t>
      </w:r>
    </w:p>
    <w:p>
      <w:pPr>
        <w:pStyle w:val="NormalWeb"/>
        <w:rPr>
          <w:rFonts w:ascii="Arial" w:hAnsi="Arial" w:cs="Arial"/>
          <w:sz w:val="22"/>
          <w:szCs w:val="22"/>
        </w:rPr>
      </w:pPr>
      <w:r>
        <w:rPr>
          <w:rFonts w:ascii="Arial" w:hAnsi="Arial" w:cs="Arial"/>
          <w:sz w:val="22"/>
          <w:szCs w:val="22"/>
        </w:rPr>
        <w:t xml:space="preserve">Industry offers two lessons. Machalica et al. [7] show that probability-based prediction works at scale in continuous integration, and Johnson et al. [6] warn that tools with many false positives get abandoned, hence the confidence score and tuned threshold here. Existing open tools [8]–[10] each cover one slice of the problem; none combines static and historical evidence for Python web projects or reports during code review. The search terms and dates behind this claim will be recorded.</w:t>
      </w:r>
    </w:p>
    <w:p>
      <w:pPr>
        <w:pStyle w:val="Heading2"/>
        <w:rPr>
          <w:rFonts w:ascii="Arial" w:eastAsia="Times New Roman" w:hAnsi="Arial" w:cs="Arial"/>
        </w:rPr>
      </w:pPr>
      <w:bookmarkStart w:id="105" w:name="_Toc105"/>
      <w:r>
        <w:rPr>
          <w:rFonts w:ascii="Arial" w:eastAsia="Times New Roman" w:hAnsi="Arial" w:cs="Arial"/>
        </w:rPr>
        <w:t>5. Methodology</w:t>
      </w:r>
      <w:bookmarkEnd w:id="105"/>
    </w:p>
    <w:p>
      <w:pPr>
        <w:pStyle w:val="Heading3"/>
        <w:rPr>
          <w:rFonts w:ascii="Arial" w:eastAsia="Times New Roman" w:hAnsi="Arial" w:cs="Arial"/>
        </w:rPr>
      </w:pPr>
      <w:bookmarkStart w:id="106" w:name="_Toc106"/>
      <w:r>
        <w:rPr>
          <w:rFonts w:ascii="Arial" w:eastAsia="Times New Roman" w:hAnsi="Arial" w:cs="Arial"/>
        </w:rPr>
        <w:t>5.1 Approach and Evaluation</w:t>
      </w:r>
      <w:bookmarkEnd w:id="106"/>
    </w:p>
    <w:p>
      <w:pPr>
        <w:pStyle w:val="NormalWeb"/>
        <w:rPr>
          <w:rFonts w:ascii="Arial" w:hAnsi="Arial" w:cs="Arial"/>
          <w:sz w:val="22"/>
          <w:szCs w:val="22"/>
        </w:rPr>
      </w:pPr>
      <w:r>
        <w:rPr>
          <w:rFonts w:ascii="Arial" w:hAnsi="Arial" w:cs="Arial"/>
          <w:sz w:val="22"/>
          <w:szCs w:val="22"/>
        </w:rPr>
        <w:t xml:space="preserve">This is a quantitative, experimental study on existing open-source repositories, built in two-week sprints.</w:t>
      </w:r>
    </w:p>
    <w:p>
      <w:pPr>
        <w:pStyle w:val="NormalWeb"/>
        <w:rPr>
          <w:rFonts w:ascii="Arial" w:hAnsi="Arial" w:cs="Arial"/>
          <w:sz w:val="22"/>
          <w:szCs w:val="22"/>
        </w:rPr>
      </w:pPr>
      <w:r>
        <w:rPr>
          <w:rFonts w:ascii="Arial" w:hAnsi="Arial" w:cs="Arial"/>
          <w:b/>
          <w:bCs/>
          <w:sz w:val="22"/>
          <w:szCs w:val="22"/>
        </w:rPr>
        <w:t xml:space="preserve">Static analysis.</w:t>
      </w:r>
      <w:r>
        <w:rPr>
          <w:rFonts w:ascii="Arial" w:hAnsi="Arial" w:cs="Arial"/>
          <w:sz w:val="22"/>
          <w:szCs w:val="22"/>
        </w:rPr>
        <w:t xml:space="preserve"> Python's </w:t>
      </w:r>
      <w:r>
        <w:rPr>
          <w:rFonts w:ascii="Consolas" w:hAnsi="Consolas" w:cs="Arial"/>
          <w:sz w:val="22"/>
          <w:szCs w:val="22"/>
        </w:rPr>
        <w:t xml:space="preserve">ast</w:t>
      </w:r>
      <w:r>
        <w:rPr>
          <w:rFonts w:ascii="Arial" w:hAnsi="Arial" w:cs="Arial"/>
          <w:sz w:val="22"/>
          <w:szCs w:val="22"/>
        </w:rPr>
        <w:t xml:space="preserve"> module finds Django ORM models and where their fields are used, and </w:t>
      </w:r>
      <w:r>
        <w:rPr>
          <w:rFonts w:ascii="Consolas" w:hAnsi="Consolas" w:cs="Arial"/>
          <w:sz w:val="22"/>
          <w:szCs w:val="22"/>
        </w:rPr>
        <w:t xml:space="preserve">sqlglot</w:t>
      </w:r>
      <w:r>
        <w:rPr>
          <w:rFonts w:ascii="Arial" w:hAnsi="Arial" w:cs="Arial"/>
          <w:sz w:val="22"/>
          <w:szCs w:val="22"/>
        </w:rPr>
        <w:t xml:space="preserve"> parses raw SQL. The result links every table and column to the files and lines that refer to it.</w:t>
      </w:r>
    </w:p>
    <w:p>
      <w:pPr>
        <w:pStyle w:val="NormalWeb"/>
        <w:rPr>
          <w:rFonts w:ascii="Arial" w:hAnsi="Arial" w:cs="Arial"/>
          <w:sz w:val="22"/>
          <w:szCs w:val="22"/>
        </w:rPr>
      </w:pPr>
      <w:r>
        <w:rPr>
          <w:rFonts w:ascii="Arial" w:hAnsi="Arial" w:cs="Arial"/>
          <w:b/>
          <w:bCs/>
          <w:sz w:val="22"/>
          <w:szCs w:val="22"/>
        </w:rPr>
        <w:t xml:space="preserve">History mining.</w:t>
      </w:r>
      <w:r>
        <w:rPr>
          <w:rFonts w:ascii="Arial" w:hAnsi="Arial" w:cs="Arial"/>
          <w:sz w:val="22"/>
          <w:szCs w:val="22"/>
        </w:rPr>
        <w:t xml:space="preserve"> PyDriller [14] measures how often pairs of files change together (support) and how reliably one change implies the other (confidence), using commits that involve migrations [5]. The miner sees only history preceding the commit being evaluated, and author names and emails are never extracted.</w:t>
      </w:r>
    </w:p>
    <w:p>
      <w:pPr>
        <w:pStyle w:val="NormalWeb"/>
        <w:rPr>
          <w:rFonts w:ascii="Arial" w:hAnsi="Arial" w:cs="Arial"/>
          <w:sz w:val="22"/>
          <w:szCs w:val="22"/>
        </w:rPr>
      </w:pPr>
      <w:r>
        <w:rPr>
          <w:rFonts w:ascii="Arial" w:hAnsi="Arial" w:cs="Arial"/>
          <w:b/>
          <w:bCs/>
          <w:sz w:val="22"/>
          <w:szCs w:val="22"/>
        </w:rPr>
        <w:t xml:space="preserve">Scoring and delivery.</w:t>
      </w:r>
      <w:r>
        <w:rPr>
          <w:rFonts w:ascii="Arial" w:hAnsi="Arial" w:cs="Arial"/>
          <w:sz w:val="22"/>
          <w:szCs w:val="22"/>
        </w:rPr>
        <w:t xml:space="preserve"> The two signals are merged into one calibrated score for every file. The bot is packaged as a GitHub Action written with </w:t>
      </w:r>
      <w:r>
        <w:rPr>
          <w:rFonts w:ascii="Consolas" w:hAnsi="Consolas" w:cs="Arial"/>
          <w:sz w:val="22"/>
          <w:szCs w:val="22"/>
        </w:rPr>
        <w:t xml:space="preserve">PyGithub</w:t>
      </w:r>
      <w:r>
        <w:rPr>
          <w:rFonts w:ascii="Arial" w:hAnsi="Arial" w:cs="Arial"/>
          <w:sz w:val="22"/>
          <w:szCs w:val="22"/>
        </w:rPr>
        <w:t xml:space="preserve"> and </w:t>
      </w:r>
      <w:r>
        <w:rPr>
          <w:rFonts w:ascii="Consolas" w:hAnsi="Consolas" w:cs="Arial"/>
          <w:sz w:val="22"/>
          <w:szCs w:val="22"/>
        </w:rPr>
        <w:t xml:space="preserve">Typer</w:t>
      </w:r>
      <w:r>
        <w:rPr>
          <w:rFonts w:ascii="Arial" w:hAnsi="Arial" w:cs="Arial"/>
          <w:sz w:val="22"/>
          <w:szCs w:val="22"/>
        </w:rPr>
        <w:t xml:space="preserve">. Whenever a pull request touches a migration, it posts a comment naming each file whose score exceeds a user-set cut-off. It will only run on the author’s own repositories.</w:t>
      </w:r>
    </w:p>
    <w:p>
      <w:pPr>
        <w:pStyle w:val="NormalWeb"/>
        <w:rPr>
          <w:rFonts w:ascii="Arial" w:hAnsi="Arial" w:cs="Arial"/>
          <w:sz w:val="22"/>
          <w:szCs w:val="22"/>
        </w:rPr>
      </w:pPr>
      <w:r>
        <w:rPr>
          <w:rFonts w:ascii="Arial" w:hAnsi="Arial" w:cs="Arial"/>
          <w:b/>
          <w:bCs/>
          <w:sz w:val="22"/>
          <w:szCs w:val="22"/>
        </w:rPr>
        <w:t xml:space="preserve">Data.</w:t>
      </w:r>
      <w:r>
        <w:rPr>
          <w:rFonts w:ascii="Arial" w:hAnsi="Arial" w:cs="Arial"/>
          <w:sz w:val="22"/>
          <w:szCs w:val="22"/>
        </w:rPr>
        <w:t xml:space="preserve"> 20–30 openly licensed Python projects supply at least 200 schema-change commits, capped per project.</w:t>
      </w:r>
    </w:p>
    <w:p>
      <w:pPr>
        <w:pStyle w:val="NormalWeb"/>
        <w:rPr>
          <w:rFonts w:ascii="Arial" w:hAnsi="Arial" w:cs="Arial"/>
          <w:sz w:val="22"/>
          <w:szCs w:val="22"/>
        </w:rPr>
      </w:pPr>
      <w:r>
        <w:rPr>
          <w:rFonts w:ascii="Arial" w:hAnsi="Arial" w:cs="Arial"/>
          <w:b/>
          <w:bCs/>
          <w:sz w:val="22"/>
          <w:szCs w:val="22"/>
        </w:rPr>
        <w:t xml:space="preserve">Experiment 1 (replaying history).</w:t>
      </w:r>
      <w:r>
        <w:rPr>
          <w:rFonts w:ascii="Arial" w:hAnsi="Arial" w:cs="Arial"/>
          <w:sz w:val="22"/>
          <w:szCs w:val="22"/>
        </w:rPr>
        <w:t xml:space="preserve"> Each schema-change commit is replayed from the repository as it was just before, and the predicted files are compared with those actually changed (excluding the migration and edited model). Precision, recall and F1 are computed for a grep baseline, static-only, history-only and combined methods. Predicting nothing scores 0; commits with nothing to predict are excluded and counted, and those with little prior history are reported separately.</w:t>
      </w:r>
    </w:p>
    <w:p>
      <w:pPr>
        <w:pStyle w:val="NormalWeb"/>
        <w:rPr>
          <w:rFonts w:ascii="Arial" w:hAnsi="Arial" w:cs="Arial"/>
          <w:sz w:val="22"/>
          <w:szCs w:val="22"/>
        </w:rPr>
      </w:pPr>
      <w:r>
        <w:rPr>
          <w:rFonts w:ascii="Arial" w:hAnsi="Arial" w:cs="Arial"/>
          <w:b/>
          <w:bCs/>
          <w:sz w:val="22"/>
          <w:szCs w:val="22"/>
        </w:rPr>
        <w:t xml:space="preserve">Experiment 2 (planted changes).</w:t>
      </w:r>
      <w:r>
        <w:rPr>
          <w:rFonts w:ascii="Arial" w:hAnsi="Arial" w:cs="Arial"/>
          <w:sz w:val="22"/>
          <w:szCs w:val="22"/>
        </w:rPr>
        <w:t xml:space="preserve"> On local copies of some projects, columns are renamed or dropped and the test suite is run, using the failures as independent ground truth.</w:t>
      </w:r>
    </w:p>
    <w:p>
      <w:pPr>
        <w:pStyle w:val="NormalWeb"/>
        <w:rPr>
          <w:rFonts w:ascii="Arial" w:hAnsi="Arial" w:cs="Arial"/>
          <w:sz w:val="22"/>
          <w:szCs w:val="22"/>
        </w:rPr>
      </w:pPr>
      <w:r>
        <w:rPr>
          <w:rFonts w:ascii="Arial" w:hAnsi="Arial" w:cs="Arial"/>
          <w:b/>
          <w:bCs/>
          <w:sz w:val="22"/>
          <w:szCs w:val="22"/>
        </w:rPr>
        <w:t xml:space="preserve">Experiment 3 (threshold tuning).</w:t>
      </w:r>
      <w:r>
        <w:rPr>
          <w:rFonts w:ascii="Arial" w:hAnsi="Arial" w:cs="Arial"/>
          <w:sz w:val="22"/>
          <w:szCs w:val="22"/>
        </w:rPr>
        <w:t xml:space="preserve"> Thresholds from 0.50 to 0.95 are judged by impacts caught against false alarms per 100 pull requests, tuned on earlier commits and tested on later ones.</w:t>
      </w:r>
    </w:p>
    <w:p>
      <w:pPr>
        <w:pStyle w:val="NormalWeb"/>
        <w:rPr>
          <w:rFonts w:ascii="Arial" w:hAnsi="Arial" w:cs="Arial"/>
          <w:sz w:val="22"/>
          <w:szCs w:val="22"/>
        </w:rPr>
      </w:pPr>
      <w:r>
        <w:rPr>
          <w:rFonts w:ascii="Arial" w:hAnsi="Arial" w:cs="Arial"/>
          <w:sz w:val="22"/>
          <w:szCs w:val="22"/>
        </w:rPr>
        <w:t xml:space="preserve">Software metrics are usually skewed, so medians and interquartile ranges are reported. A Friedman test is followed by one-sided Wilcoxon signed-rank tests of the combined approach against each other method, with Holm correction and bootstrap 95% confidence intervals, repeated on per-project medians because commits within a project are not independent. A key validity concern is that a file edited alongside a migration may not have needed it, which favours history-based methods; Experiment 2 is the independent check.</w:t>
      </w:r>
    </w:p>
    <w:p>
      <w:pPr>
        <w:pStyle w:val="Heading3"/>
        <w:rPr>
          <w:rFonts w:ascii="Arial" w:eastAsia="Times New Roman" w:hAnsi="Arial" w:cs="Arial"/>
        </w:rPr>
      </w:pPr>
      <w:bookmarkStart w:id="107" w:name="_Toc107"/>
      <w:r>
        <w:rPr>
          <w:rFonts w:ascii="Arial" w:eastAsia="Times New Roman" w:hAnsi="Arial" w:cs="Arial"/>
        </w:rPr>
        <w:t>5.2 Resources</w:t>
      </w:r>
      <w:bookmarkEnd w:id="107"/>
    </w:p>
    <w:p>
      <w:pPr>
        <w:pStyle w:val="NormalWeb"/>
        <w:rPr>
          <w:rFonts w:ascii="Arial" w:hAnsi="Arial" w:cs="Arial"/>
          <w:sz w:val="22"/>
          <w:szCs w:val="22"/>
        </w:rPr>
      </w:pPr>
      <w:r>
        <w:rPr>
          <w:rFonts w:ascii="Arial" w:hAnsi="Arial" w:cs="Arial"/>
          <w:sz w:val="22"/>
          <w:szCs w:val="22"/>
        </w:rPr>
        <w:t xml:space="preserve">Work runs on one encrypted laptop using Python, Git, Docker and the free open-source libraries named above, with private GitHub hosting and Actions and University OneDrive backup.</w:t>
      </w:r>
    </w:p>
    <w:p>
      <w:pPr>
        <w:pStyle w:val="Heading3"/>
        <w:rPr>
          <w:rFonts w:ascii="Arial" w:hAnsi="Arial" w:cs="Arial"/>
        </w:rPr>
      </w:pPr>
      <w:bookmarkStart w:id="108" w:name="_Toc108"/>
      <w:r>
        <w:rPr>
          <w:rFonts w:ascii="Arial" w:hAnsi="Arial" w:cs="Arial"/>
        </w:rPr>
        <w:t>5.3 Risks and Limitations</w:t>
      </w:r>
      <w:bookmarkEnd w:id="108"/>
    </w:p>
    <w:p>
      <w:pPr>
        <w:pStyle w:val="NormalWeb"/>
        <w:rPr>
          <w:rFonts w:ascii="Arial" w:hAnsi="Arial" w:cs="Arial"/>
          <w:sz w:val="22"/>
          <w:szCs w:val="22"/>
        </w:rPr>
      </w:pPr>
      <w:r>
        <w:rPr>
          <w:rFonts w:ascii="Arial" w:hAnsi="Arial" w:cs="Arial"/>
          <w:sz w:val="22"/>
          <w:szCs w:val="22"/>
        </w:rPr>
        <w:t xml:space="preserve">Two practical risks are likely. If a project’s test suite will not run, it is swapped for one from a reserve list and the losses are reported. If usable commits are too few, the pool is widened, or per-project results are reported with wider intervals. Results may not generalise beyond Django and raw SQL; the dissertation will say so.</w:t>
      </w:r>
    </w:p>
    <w:p>
      <w:pPr>
        <w:pStyle w:val="Heading2"/>
        <w:rPr>
          <w:rFonts w:ascii="Arial" w:eastAsia="Times New Roman" w:hAnsi="Arial" w:cs="Arial"/>
        </w:rPr>
      </w:pPr>
      <w:bookmarkStart w:id="109" w:name="_Toc109"/>
      <w:r>
        <w:rPr>
          <w:rFonts w:ascii="Arial" w:eastAsia="Times New Roman" w:hAnsi="Arial" w:cs="Arial"/>
        </w:rPr>
        <w:t>6. Deliverables and Project Plan</w:t>
      </w:r>
      <w:bookmarkEnd w:id="109"/>
    </w:p>
    <w:p>
      <w:pPr>
        <w:pStyle w:val="NormalWeb"/>
        <w:rPr>
          <w:rFonts w:ascii="Arial" w:hAnsi="Arial" w:cs="Arial"/>
          <w:sz w:val="22"/>
          <w:szCs w:val="22"/>
        </w:rPr>
      </w:pPr>
      <w:r>
        <w:rPr>
          <w:rFonts w:ascii="Arial" w:hAnsi="Arial" w:cs="Arial"/>
          <w:sz w:val="22"/>
          <w:szCs w:val="22"/>
        </w:rPr>
        <w:t xml:space="preserve">Table I sets out the deliverables and plan. Core work is Django and raw SQL, Experiments 1 and 3, and the bot; SQLAlchemy, extra projects and a full Experiment 2 are stretch goals.</w:t>
      </w:r>
    </w:p>
    <w:p>
      <w:pPr>
        <w:pStyle w:val="NormalWeb"/>
        <w:keepNext/>
        <w:jc w:val="center"/>
      </w:pPr>
      <w:r>
        <w:rPr>
          <w:rFonts w:ascii="Arial" w:hAnsi="Arial" w:cs="Arial"/>
          <w:smallCaps/>
          <w:sz w:val="18"/>
          <w:szCs w:val="18"/>
        </w:rPr>
        <w:t>TABLE I</w:t>
        <w:br/>
        <w:t>DELIVERABLES AND PROJECT PLAN</w:t>
      </w:r>
    </w:p>
    <w:tbl>
      <w:tblPr>
        <w:tblW w:w="5000" w:type="pct"/>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287"/>
        <w:gridCol w:w="4303"/>
        <w:gridCol w:w="3754"/>
      </w:tblGrid>
      <w:tr w:rsidR="00000000" w14:paraId="2E02203D" w14:textId="77777777">
        <w:tc>
          <w:tcPr>
            <w:tcW w:w="0" w:type="auto"/>
            <w:tcBorders>
              <w:top w:val="outset" w:sz="6" w:space="0" w:color="auto"/>
              <w:left w:val="outset" w:sz="6" w:space="0" w:color="auto"/>
              <w:bottom w:val="outset" w:sz="6" w:space="0" w:color="auto"/>
              <w:right w:val="outset" w:sz="6" w:space="0" w:color="auto"/>
            </w:tcBorders>
            <w:shd w:val="clear" w:color="auto" w:fill="E7E6E6"/>
            <w:vAlign w:val="center"/>
            <w:hideMark/>
          </w:tcPr>
          <w:p w14:paraId="0DAB944F" w14:textId="77777777" w:rsidR="00AA5AC4" w:rsidRDefault="00AA5AC4">
            <w:pPr>
              <w:rPr>
                <w:rFonts w:ascii="Arial" w:eastAsia="Times New Roman" w:hAnsi="Arial" w:cs="Arial"/>
                <w:b/>
                <w:bCs/>
                <w:sz w:val="21"/>
                <w:szCs w:val="21"/>
              </w:rPr>
            </w:pPr>
            <w:r>
              <w:rPr>
                <w:rFonts w:ascii="Arial" w:eastAsia="Times New Roman" w:hAnsi="Arial" w:cs="Arial"/>
                <w:b/>
                <w:bCs/>
                <w:sz w:val="21"/>
                <w:szCs w:val="21"/>
              </w:rPr>
              <w:t>Ref.</w:t>
            </w:r>
          </w:p>
        </w:tc>
        <w:tc>
          <w:tcPr>
            <w:tcW w:w="0" w:type="auto"/>
            <w:tcBorders>
              <w:top w:val="outset" w:sz="6" w:space="0" w:color="auto"/>
              <w:left w:val="outset" w:sz="6" w:space="0" w:color="auto"/>
              <w:bottom w:val="outset" w:sz="6" w:space="0" w:color="auto"/>
              <w:right w:val="outset" w:sz="6" w:space="0" w:color="auto"/>
            </w:tcBorders>
            <w:shd w:val="clear" w:color="auto" w:fill="E7E6E6"/>
            <w:vAlign w:val="center"/>
            <w:hideMark/>
          </w:tcPr>
          <w:p w14:paraId="0A654ABB" w14:textId="77777777" w:rsidR="00AA5AC4" w:rsidRDefault="00AA5AC4">
            <w:pPr>
              <w:rPr>
                <w:rFonts w:ascii="Arial" w:eastAsia="Times New Roman" w:hAnsi="Arial" w:cs="Arial"/>
                <w:b/>
                <w:bCs/>
                <w:sz w:val="21"/>
                <w:szCs w:val="21"/>
              </w:rPr>
            </w:pPr>
            <w:r>
              <w:rPr>
                <w:rFonts w:ascii="Arial" w:eastAsia="Times New Roman" w:hAnsi="Arial" w:cs="Arial"/>
                <w:b/>
                <w:bCs/>
                <w:sz w:val="21"/>
                <w:szCs w:val="21"/>
              </w:rPr>
              <w:t>Deliverable</w:t>
            </w:r>
          </w:p>
        </w:tc>
        <w:tc>
          <w:tcPr>
            <w:tcW w:w="0" w:type="auto"/>
            <w:tcBorders>
              <w:top w:val="outset" w:sz="6" w:space="0" w:color="auto"/>
              <w:left w:val="outset" w:sz="6" w:space="0" w:color="auto"/>
              <w:bottom w:val="outset" w:sz="6" w:space="0" w:color="auto"/>
              <w:right w:val="outset" w:sz="6" w:space="0" w:color="auto"/>
            </w:tcBorders>
            <w:shd w:val="clear" w:color="auto" w:fill="E7E6E6"/>
            <w:vAlign w:val="center"/>
            <w:hideMark/>
          </w:tcPr>
          <w:p w14:paraId="6AF0ABF7" w14:textId="77777777" w:rsidR="00AA5AC4" w:rsidRDefault="00AA5AC4">
            <w:pPr>
              <w:rPr>
                <w:rFonts w:ascii="Arial" w:eastAsia="Times New Roman" w:hAnsi="Arial" w:cs="Arial"/>
                <w:b/>
                <w:bCs/>
                <w:sz w:val="21"/>
                <w:szCs w:val="21"/>
              </w:rPr>
            </w:pPr>
            <w:r>
              <w:rPr>
                <w:rFonts w:ascii="Arial" w:eastAsia="Times New Roman" w:hAnsi="Arial" w:cs="Arial"/>
                <w:b/>
                <w:bCs/>
                <w:sz w:val="21"/>
                <w:szCs w:val="21"/>
              </w:rPr>
              <w:t>Dates</w:t>
            </w:r>
          </w:p>
        </w:tc>
      </w:tr>
      <w:tr w:rsidR="00000000" w14:paraId="5E2F03B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29B813B" w14:textId="77777777" w:rsidR="00AA5AC4" w:rsidRDefault="00AA5AC4">
            <w:pPr>
              <w:rPr>
                <w:rFonts w:ascii="Arial" w:eastAsia="Times New Roman" w:hAnsi="Arial" w:cs="Arial"/>
                <w:sz w:val="21"/>
                <w:szCs w:val="21"/>
              </w:rPr>
            </w:pPr>
            <w:r>
              <w:rPr>
                <w:rFonts w:ascii="Arial" w:eastAsia="Times New Roman" w:hAnsi="Arial" w:cs="Arial"/>
                <w:sz w:val="21"/>
                <w:szCs w:val="21"/>
              </w:rPr>
              <w:t>O1</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96955" w14:textId="77777777" w:rsidR="00AA5AC4" w:rsidRDefault="00AA5AC4">
            <w:pPr>
              <w:rPr>
                <w:rFonts w:ascii="Arial" w:eastAsia="Times New Roman" w:hAnsi="Arial" w:cs="Arial"/>
                <w:sz w:val="21"/>
                <w:szCs w:val="21"/>
              </w:rPr>
            </w:pPr>
            <w:r>
              <w:rPr>
                <w:rFonts w:ascii="Arial" w:eastAsia="Times New Roman" w:hAnsi="Arial" w:cs="Arial"/>
                <w:sz w:val="21"/>
                <w:szCs w:val="21"/>
              </w:rPr>
              <w:t>Literature review</w:t>
            </w:r>
          </w:p>
        </w:tc>
        <w:tc>
          <w:tcPr>
            <w:tcW w:w="0" w:type="auto"/>
            <w:tcBorders>
              <w:top w:val="outset" w:sz="6" w:space="0" w:color="auto"/>
              <w:left w:val="outset" w:sz="6" w:space="0" w:color="auto"/>
              <w:bottom w:val="outset" w:sz="6" w:space="0" w:color="auto"/>
              <w:right w:val="outset" w:sz="6" w:space="0" w:color="auto"/>
            </w:tcBorders>
            <w:vAlign w:val="center"/>
            <w:hideMark/>
          </w:tcPr>
          <w:p w14:paraId="5E0AC4DC" w14:textId="77777777" w:rsidR="00AA5AC4" w:rsidRDefault="00AA5AC4">
            <w:pPr>
              <w:rPr>
                <w:rFonts w:ascii="Arial" w:eastAsia="Times New Roman" w:hAnsi="Arial" w:cs="Arial"/>
                <w:sz w:val="21"/>
                <w:szCs w:val="21"/>
              </w:rPr>
            </w:pPr>
            <w:r>
              <w:rPr>
                <w:rFonts w:ascii="Arial" w:eastAsia="Times New Roman" w:hAnsi="Arial" w:cs="Arial"/>
                <w:sz w:val="21"/>
                <w:szCs w:val="21"/>
              </w:rPr>
              <w:t>Mid-Oct – mid-Dec 2026</w:t>
            </w:r>
          </w:p>
        </w:tc>
      </w:tr>
      <w:tr w:rsidR="00000000" w14:paraId="1EF2C103"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4CAF3F01" w14:textId="77777777" w:rsidR="00AA5AC4" w:rsidRDefault="00AA5AC4">
            <w:pPr>
              <w:rPr>
                <w:rFonts w:ascii="Arial" w:eastAsia="Times New Roman" w:hAnsi="Arial" w:cs="Arial"/>
                <w:sz w:val="21"/>
                <w:szCs w:val="21"/>
              </w:rPr>
            </w:pPr>
            <w:r>
              <w:rPr>
                <w:rFonts w:ascii="Arial" w:eastAsia="Times New Roman" w:hAnsi="Arial" w:cs="Arial"/>
                <w:sz w:val="21"/>
                <w:szCs w:val="21"/>
              </w:rPr>
              <w:t>O2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10DEEE" w14:textId="77777777" w:rsidR="00AA5AC4" w:rsidRDefault="00AA5AC4">
            <w:pPr>
              <w:rPr>
                <w:rFonts w:ascii="Arial" w:eastAsia="Times New Roman" w:hAnsi="Arial" w:cs="Arial"/>
                <w:sz w:val="21"/>
                <w:szCs w:val="21"/>
              </w:rPr>
            </w:pPr>
            <w:r>
              <w:rPr>
                <w:rFonts w:ascii="Arial" w:eastAsia="Times New Roman" w:hAnsi="Arial" w:cs="Arial"/>
                <w:sz w:val="21"/>
                <w:szCs w:val="21"/>
              </w:rPr>
              <w:t>Commit dataset</w:t>
            </w:r>
          </w:p>
        </w:tc>
        <w:tc>
          <w:tcPr>
            <w:tcW w:w="0" w:type="auto"/>
            <w:tcBorders>
              <w:top w:val="outset" w:sz="6" w:space="0" w:color="auto"/>
              <w:left w:val="outset" w:sz="6" w:space="0" w:color="auto"/>
              <w:bottom w:val="outset" w:sz="6" w:space="0" w:color="auto"/>
              <w:right w:val="outset" w:sz="6" w:space="0" w:color="auto"/>
            </w:tcBorders>
            <w:vAlign w:val="center"/>
            <w:hideMark/>
          </w:tcPr>
          <w:p w14:paraId="74453AEE" w14:textId="77777777" w:rsidR="00AA5AC4" w:rsidRDefault="00AA5AC4">
            <w:pPr>
              <w:rPr>
                <w:rFonts w:ascii="Arial" w:eastAsia="Times New Roman" w:hAnsi="Arial" w:cs="Arial"/>
                <w:sz w:val="21"/>
                <w:szCs w:val="21"/>
              </w:rPr>
            </w:pPr>
            <w:r>
              <w:rPr>
                <w:rFonts w:ascii="Arial" w:eastAsia="Times New Roman" w:hAnsi="Arial" w:cs="Arial"/>
                <w:sz w:val="21"/>
                <w:szCs w:val="21"/>
              </w:rPr>
              <w:t>Early Nov 2026 – early Jan 2027</w:t>
            </w:r>
          </w:p>
        </w:tc>
      </w:tr>
      <w:tr w:rsidR="00000000" w14:paraId="6C65D717"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61E35000" w14:textId="77777777" w:rsidR="00AA5AC4" w:rsidRDefault="00AA5AC4">
            <w:pPr>
              <w:rPr>
                <w:rFonts w:ascii="Arial" w:eastAsia="Times New Roman" w:hAnsi="Arial" w:cs="Arial"/>
                <w:sz w:val="21"/>
                <w:szCs w:val="21"/>
              </w:rPr>
            </w:pPr>
            <w:r>
              <w:rPr>
                <w:rFonts w:ascii="Arial" w:eastAsia="Times New Roman" w:hAnsi="Arial" w:cs="Arial"/>
                <w:sz w:val="21"/>
                <w:szCs w:val="21"/>
              </w:rPr>
              <w:t>O3</w:t>
            </w:r>
          </w:p>
        </w:tc>
        <w:tc>
          <w:tcPr>
            <w:tcW w:w="0" w:type="auto"/>
            <w:tcBorders>
              <w:top w:val="outset" w:sz="6" w:space="0" w:color="auto"/>
              <w:left w:val="outset" w:sz="6" w:space="0" w:color="auto"/>
              <w:bottom w:val="outset" w:sz="6" w:space="0" w:color="auto"/>
              <w:right w:val="outset" w:sz="6" w:space="0" w:color="auto"/>
            </w:tcBorders>
            <w:vAlign w:val="center"/>
            <w:hideMark/>
          </w:tcPr>
          <w:p w14:paraId="68810DE1" w14:textId="77777777" w:rsidR="00AA5AC4" w:rsidRDefault="00AA5AC4">
            <w:pPr>
              <w:rPr>
                <w:rFonts w:ascii="Arial" w:eastAsia="Times New Roman" w:hAnsi="Arial" w:cs="Arial"/>
                <w:sz w:val="21"/>
                <w:szCs w:val="21"/>
              </w:rPr>
            </w:pPr>
            <w:r>
              <w:rPr>
                <w:rFonts w:ascii="Arial" w:eastAsia="Times New Roman" w:hAnsi="Arial" w:cs="Arial"/>
                <w:sz w:val="21"/>
                <w:szCs w:val="21"/>
              </w:rPr>
              <w:t>Static analyser (interim viva, mid-Jan)</w:t>
            </w:r>
          </w:p>
        </w:tc>
        <w:tc>
          <w:tcPr>
            <w:tcW w:w="0" w:type="auto"/>
            <w:tcBorders>
              <w:top w:val="outset" w:sz="6" w:space="0" w:color="auto"/>
              <w:left w:val="outset" w:sz="6" w:space="0" w:color="auto"/>
              <w:bottom w:val="outset" w:sz="6" w:space="0" w:color="auto"/>
              <w:right w:val="outset" w:sz="6" w:space="0" w:color="auto"/>
            </w:tcBorders>
            <w:vAlign w:val="center"/>
            <w:hideMark/>
          </w:tcPr>
          <w:p w14:paraId="39FE5092" w14:textId="77777777" w:rsidR="00AA5AC4" w:rsidRDefault="00AA5AC4">
            <w:pPr>
              <w:rPr>
                <w:rFonts w:ascii="Arial" w:eastAsia="Times New Roman" w:hAnsi="Arial" w:cs="Arial"/>
                <w:sz w:val="21"/>
                <w:szCs w:val="21"/>
              </w:rPr>
            </w:pPr>
            <w:r>
              <w:rPr>
                <w:rFonts w:ascii="Arial" w:eastAsia="Times New Roman" w:hAnsi="Arial" w:cs="Arial"/>
                <w:sz w:val="21"/>
                <w:szCs w:val="21"/>
              </w:rPr>
              <w:t>Mid-Nov 2026 – late Jan 2027</w:t>
            </w:r>
          </w:p>
        </w:tc>
      </w:tr>
      <w:tr w:rsidR="00000000" w14:paraId="1F5F026E"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9F97655" w14:textId="77777777" w:rsidR="00AA5AC4" w:rsidRDefault="00AA5AC4">
            <w:pPr>
              <w:rPr>
                <w:rFonts w:ascii="Arial" w:eastAsia="Times New Roman" w:hAnsi="Arial" w:cs="Arial"/>
                <w:sz w:val="21"/>
                <w:szCs w:val="21"/>
              </w:rPr>
            </w:pPr>
            <w:r>
              <w:rPr>
                <w:rFonts w:ascii="Arial" w:eastAsia="Times New Roman" w:hAnsi="Arial" w:cs="Arial"/>
                <w:sz w:val="21"/>
                <w:szCs w:val="21"/>
              </w:rPr>
              <w:t>O4</w:t>
            </w:r>
          </w:p>
        </w:tc>
        <w:tc>
          <w:tcPr>
            <w:tcW w:w="0" w:type="auto"/>
            <w:tcBorders>
              <w:top w:val="outset" w:sz="6" w:space="0" w:color="auto"/>
              <w:left w:val="outset" w:sz="6" w:space="0" w:color="auto"/>
              <w:bottom w:val="outset" w:sz="6" w:space="0" w:color="auto"/>
              <w:right w:val="outset" w:sz="6" w:space="0" w:color="auto"/>
            </w:tcBorders>
            <w:vAlign w:val="center"/>
            <w:hideMark/>
          </w:tcPr>
          <w:p w14:paraId="123D60CA" w14:textId="77777777" w:rsidR="00AA5AC4" w:rsidRDefault="00AA5AC4">
            <w:pPr>
              <w:rPr>
                <w:rFonts w:ascii="Arial" w:eastAsia="Times New Roman" w:hAnsi="Arial" w:cs="Arial"/>
                <w:sz w:val="21"/>
                <w:szCs w:val="21"/>
              </w:rPr>
            </w:pPr>
            <w:r>
              <w:rPr>
                <w:rFonts w:ascii="Arial" w:eastAsia="Times New Roman" w:hAnsi="Arial" w:cs="Arial"/>
                <w:sz w:val="21"/>
                <w:szCs w:val="21"/>
              </w:rPr>
              <w:t>Co-change miner</w:t>
            </w:r>
          </w:p>
        </w:tc>
        <w:tc>
          <w:tcPr>
            <w:tcW w:w="0" w:type="auto"/>
            <w:tcBorders>
              <w:top w:val="outset" w:sz="6" w:space="0" w:color="auto"/>
              <w:left w:val="outset" w:sz="6" w:space="0" w:color="auto"/>
              <w:bottom w:val="outset" w:sz="6" w:space="0" w:color="auto"/>
              <w:right w:val="outset" w:sz="6" w:space="0" w:color="auto"/>
            </w:tcBorders>
            <w:vAlign w:val="center"/>
            <w:hideMark/>
          </w:tcPr>
          <w:p w14:paraId="57B6EAEA" w14:textId="77777777" w:rsidR="00AA5AC4" w:rsidRDefault="00AA5AC4">
            <w:pPr>
              <w:rPr>
                <w:rFonts w:ascii="Arial" w:eastAsia="Times New Roman" w:hAnsi="Arial" w:cs="Arial"/>
                <w:sz w:val="21"/>
                <w:szCs w:val="21"/>
              </w:rPr>
            </w:pPr>
            <w:r>
              <w:rPr>
                <w:rFonts w:ascii="Arial" w:eastAsia="Times New Roman" w:hAnsi="Arial" w:cs="Arial"/>
                <w:sz w:val="21"/>
                <w:szCs w:val="21"/>
              </w:rPr>
              <w:t>Mid-Jan – mid-Feb 2027</w:t>
            </w:r>
          </w:p>
        </w:tc>
      </w:tr>
      <w:tr w:rsidR="00000000" w14:paraId="42B14521"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AECED43" w14:textId="77777777" w:rsidR="00AA5AC4" w:rsidRDefault="00AA5AC4">
            <w:pPr>
              <w:rPr>
                <w:rFonts w:ascii="Arial" w:eastAsia="Times New Roman" w:hAnsi="Arial" w:cs="Arial"/>
                <w:sz w:val="21"/>
                <w:szCs w:val="21"/>
              </w:rPr>
            </w:pPr>
            <w:r>
              <w:rPr>
                <w:rFonts w:ascii="Arial" w:eastAsia="Times New Roman" w:hAnsi="Arial" w:cs="Arial"/>
                <w:sz w:val="21"/>
                <w:szCs w:val="21"/>
              </w:rPr>
              <w:t>O5</w:t>
            </w:r>
          </w:p>
        </w:tc>
        <w:tc>
          <w:tcPr>
            <w:tcW w:w="0" w:type="auto"/>
            <w:tcBorders>
              <w:top w:val="outset" w:sz="6" w:space="0" w:color="auto"/>
              <w:left w:val="outset" w:sz="6" w:space="0" w:color="auto"/>
              <w:bottom w:val="outset" w:sz="6" w:space="0" w:color="auto"/>
              <w:right w:val="outset" w:sz="6" w:space="0" w:color="auto"/>
            </w:tcBorders>
            <w:vAlign w:val="center"/>
            <w:hideMark/>
          </w:tcPr>
          <w:p w14:paraId="0E56D8C4" w14:textId="77777777" w:rsidR="00AA5AC4" w:rsidRDefault="00AA5AC4">
            <w:pPr>
              <w:rPr>
                <w:rFonts w:ascii="Arial" w:eastAsia="Times New Roman" w:hAnsi="Arial" w:cs="Arial"/>
                <w:sz w:val="21"/>
                <w:szCs w:val="21"/>
              </w:rPr>
            </w:pPr>
            <w:r>
              <w:rPr>
                <w:rFonts w:ascii="Arial" w:eastAsia="Times New Roman" w:hAnsi="Arial" w:cs="Arial"/>
                <w:sz w:val="21"/>
                <w:szCs w:val="21"/>
              </w:rPr>
              <w:t>Scorer and bot</w:t>
            </w:r>
          </w:p>
        </w:tc>
        <w:tc>
          <w:tcPr>
            <w:tcW w:w="0" w:type="auto"/>
            <w:tcBorders>
              <w:top w:val="outset" w:sz="6" w:space="0" w:color="auto"/>
              <w:left w:val="outset" w:sz="6" w:space="0" w:color="auto"/>
              <w:bottom w:val="outset" w:sz="6" w:space="0" w:color="auto"/>
              <w:right w:val="outset" w:sz="6" w:space="0" w:color="auto"/>
            </w:tcBorders>
            <w:vAlign w:val="center"/>
            <w:hideMark/>
          </w:tcPr>
          <w:p w14:paraId="34C69E3C" w14:textId="77777777" w:rsidR="00AA5AC4" w:rsidRDefault="00AA5AC4">
            <w:pPr>
              <w:rPr>
                <w:rFonts w:ascii="Arial" w:eastAsia="Times New Roman" w:hAnsi="Arial" w:cs="Arial"/>
                <w:sz w:val="21"/>
                <w:szCs w:val="21"/>
              </w:rPr>
            </w:pPr>
            <w:r>
              <w:rPr>
                <w:rFonts w:ascii="Arial" w:eastAsia="Times New Roman" w:hAnsi="Arial" w:cs="Arial"/>
                <w:sz w:val="21"/>
                <w:szCs w:val="21"/>
              </w:rPr>
              <w:t>Mid-Feb – mid-Mar 2027</w:t>
            </w:r>
          </w:p>
        </w:tc>
      </w:tr>
      <w:tr w:rsidR="00000000" w14:paraId="478856A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5B5DAF5" w14:textId="77777777" w:rsidR="00AA5AC4" w:rsidRDefault="00AA5AC4">
            <w:pPr>
              <w:rPr>
                <w:rFonts w:ascii="Arial" w:eastAsia="Times New Roman" w:hAnsi="Arial" w:cs="Arial"/>
                <w:sz w:val="21"/>
                <w:szCs w:val="21"/>
              </w:rPr>
            </w:pPr>
            <w:r>
              <w:rPr>
                <w:rFonts w:ascii="Arial" w:eastAsia="Times New Roman" w:hAnsi="Arial" w:cs="Arial"/>
                <w:sz w:val="21"/>
                <w:szCs w:val="21"/>
              </w:rPr>
              <w:t>O6</w:t>
            </w:r>
          </w:p>
        </w:tc>
        <w:tc>
          <w:tcPr>
            <w:tcW w:w="0" w:type="auto"/>
            <w:tcBorders>
              <w:top w:val="outset" w:sz="6" w:space="0" w:color="auto"/>
              <w:left w:val="outset" w:sz="6" w:space="0" w:color="auto"/>
              <w:bottom w:val="outset" w:sz="6" w:space="0" w:color="auto"/>
              <w:right w:val="outset" w:sz="6" w:space="0" w:color="auto"/>
            </w:tcBorders>
            <w:vAlign w:val="center"/>
            <w:hideMark/>
          </w:tcPr>
          <w:p w14:paraId="4C9DA5EC" w14:textId="77777777" w:rsidR="00AA5AC4" w:rsidRDefault="00AA5AC4">
            <w:pPr>
              <w:rPr>
                <w:rFonts w:ascii="Arial" w:eastAsia="Times New Roman" w:hAnsi="Arial" w:cs="Arial"/>
                <w:sz w:val="21"/>
                <w:szCs w:val="21"/>
              </w:rPr>
            </w:pPr>
            <w:r>
              <w:rPr>
                <w:rFonts w:ascii="Arial" w:eastAsia="Times New Roman" w:hAnsi="Arial" w:cs="Arial"/>
                <w:sz w:val="21"/>
                <w:szCs w:val="21"/>
              </w:rPr>
              <w:t>Evaluation results</w:t>
            </w:r>
          </w:p>
        </w:tc>
        <w:tc>
          <w:tcPr>
            <w:tcW w:w="0" w:type="auto"/>
            <w:tcBorders>
              <w:top w:val="outset" w:sz="6" w:space="0" w:color="auto"/>
              <w:left w:val="outset" w:sz="6" w:space="0" w:color="auto"/>
              <w:bottom w:val="outset" w:sz="6" w:space="0" w:color="auto"/>
              <w:right w:val="outset" w:sz="6" w:space="0" w:color="auto"/>
            </w:tcBorders>
            <w:vAlign w:val="center"/>
            <w:hideMark/>
          </w:tcPr>
          <w:p w14:paraId="56F31C0F" w14:textId="77777777" w:rsidR="00AA5AC4" w:rsidRDefault="00AA5AC4">
            <w:pPr>
              <w:rPr>
                <w:rFonts w:ascii="Arial" w:eastAsia="Times New Roman" w:hAnsi="Arial" w:cs="Arial"/>
                <w:sz w:val="21"/>
                <w:szCs w:val="21"/>
              </w:rPr>
            </w:pPr>
            <w:r>
              <w:rPr>
                <w:rFonts w:ascii="Arial" w:eastAsia="Times New Roman" w:hAnsi="Arial" w:cs="Arial"/>
                <w:sz w:val="21"/>
                <w:szCs w:val="21"/>
              </w:rPr>
              <w:t>Early Mar – early Apr 2027</w:t>
            </w:r>
          </w:p>
        </w:tc>
      </w:tr>
      <w:tr w:rsidR="00000000" w14:paraId="1A78D3B9"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471DB8D" w14:textId="77777777" w:rsidR="00AA5AC4" w:rsidRDefault="00AA5AC4">
            <w:pPr>
              <w:rPr>
                <w:rFonts w:ascii="Arial" w:eastAsia="Times New Roman" w:hAnsi="Arial" w:cs="Arial"/>
                <w:sz w:val="21"/>
                <w:szCs w:val="21"/>
              </w:rPr>
            </w:pPr>
            <w:r>
              <w:rPr>
                <w:rFonts w:ascii="Arial" w:eastAsia="Times New Roman" w:hAnsi="Arial" w:cs="Arial"/>
                <w:sz w:val="21"/>
                <w:szCs w:val="21"/>
              </w:rPr>
              <w:t>O7</w:t>
            </w:r>
          </w:p>
        </w:tc>
        <w:tc>
          <w:tcPr>
            <w:tcW w:w="0" w:type="auto"/>
            <w:tcBorders>
              <w:top w:val="outset" w:sz="6" w:space="0" w:color="auto"/>
              <w:left w:val="outset" w:sz="6" w:space="0" w:color="auto"/>
              <w:bottom w:val="outset" w:sz="6" w:space="0" w:color="auto"/>
              <w:right w:val="outset" w:sz="6" w:space="0" w:color="auto"/>
            </w:tcBorders>
            <w:vAlign w:val="center"/>
            <w:hideMark/>
          </w:tcPr>
          <w:p w14:paraId="2F008C9C" w14:textId="77777777" w:rsidR="00AA5AC4" w:rsidRDefault="00AA5AC4">
            <w:pPr>
              <w:rPr>
                <w:rFonts w:ascii="Arial" w:eastAsia="Times New Roman" w:hAnsi="Arial" w:cs="Arial"/>
                <w:sz w:val="21"/>
                <w:szCs w:val="21"/>
              </w:rPr>
            </w:pPr>
            <w:r>
              <w:rPr>
                <w:rFonts w:ascii="Arial" w:eastAsia="Times New Roman" w:hAnsi="Arial" w:cs="Arial"/>
                <w:sz w:val="21"/>
                <w:szCs w:val="21"/>
              </w:rPr>
              <w:t>Dissertation and viva</w:t>
            </w:r>
          </w:p>
        </w:tc>
        <w:tc>
          <w:tcPr>
            <w:tcW w:w="0" w:type="auto"/>
            <w:tcBorders>
              <w:top w:val="outset" w:sz="6" w:space="0" w:color="auto"/>
              <w:left w:val="outset" w:sz="6" w:space="0" w:color="auto"/>
              <w:bottom w:val="outset" w:sz="6" w:space="0" w:color="auto"/>
              <w:right w:val="outset" w:sz="6" w:space="0" w:color="auto"/>
            </w:tcBorders>
            <w:vAlign w:val="center"/>
            <w:hideMark/>
          </w:tcPr>
          <w:p w14:paraId="431F1516" w14:textId="77777777" w:rsidR="00AA5AC4" w:rsidRDefault="00AA5AC4">
            <w:pPr>
              <w:rPr>
                <w:rFonts w:ascii="Arial" w:eastAsia="Times New Roman" w:hAnsi="Arial" w:cs="Arial"/>
                <w:sz w:val="21"/>
                <w:szCs w:val="21"/>
              </w:rPr>
            </w:pPr>
            <w:r>
              <w:rPr>
                <w:rFonts w:ascii="Arial" w:eastAsia="Times New Roman" w:hAnsi="Arial" w:cs="Arial"/>
                <w:sz w:val="21"/>
                <w:szCs w:val="21"/>
              </w:rPr>
              <w:t>Early Mar – mid-Apr 2027</w:t>
            </w:r>
          </w:p>
        </w:tc>
      </w:tr>
      <w:tr w:rsidR="00000000" w14:paraId="061F091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85F14CF" w14:textId="77777777" w:rsidR="00AA5AC4" w:rsidRDefault="00AA5AC4">
            <w:pPr>
              <w:rPr>
                <w:rFonts w:ascii="Arial" w:eastAsia="Times New Roman" w:hAnsi="Arial" w:cs="Arial"/>
                <w:sz w:val="21"/>
                <w:szCs w:val="21"/>
              </w:rPr>
            </w:pPr>
            <w:r>
              <w:rPr>
                <w:rFonts w:ascii="Arial" w:eastAsia="Times New Roman" w:hAnsi="Arial" w:cs="Arial"/>
                <w:sz w:val="21"/>
                <w:szCs w:val="21"/>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62AE104E" w14:textId="77777777" w:rsidR="00AA5AC4" w:rsidRDefault="00AA5AC4">
            <w:pPr>
              <w:rPr>
                <w:rFonts w:ascii="Arial" w:eastAsia="Times New Roman" w:hAnsi="Arial" w:cs="Arial"/>
                <w:sz w:val="21"/>
                <w:szCs w:val="21"/>
              </w:rPr>
            </w:pPr>
            <w:r>
              <w:rPr>
                <w:rFonts w:ascii="Arial" w:eastAsia="Times New Roman" w:hAnsi="Arial" w:cs="Arial"/>
                <w:sz w:val="21"/>
                <w:szCs w:val="21"/>
              </w:rPr>
              <w:t>Buffer and submission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4AB468A3" w14:textId="77777777" w:rsidR="00AA5AC4" w:rsidRDefault="00AA5AC4">
            <w:pPr>
              <w:rPr>
                <w:rFonts w:ascii="Arial" w:eastAsia="Times New Roman" w:hAnsi="Arial" w:cs="Arial"/>
                <w:sz w:val="21"/>
                <w:szCs w:val="21"/>
              </w:rPr>
            </w:pPr>
            <w:r>
              <w:rPr>
                <w:rFonts w:ascii="Arial" w:eastAsia="Times New Roman" w:hAnsi="Arial" w:cs="Arial"/>
                <w:sz w:val="21"/>
                <w:szCs w:val="21"/>
              </w:rPr>
              <w:t>Mid-Apr – 30 Apr 2027</w:t>
            </w:r>
          </w:p>
        </w:tc>
      </w:tr>
    </w:tbl>
    <w:p>
      <w:pPr>
        <w:pStyle w:val="Heading2"/>
        <w:rPr>
          <w:rFonts w:ascii="Arial" w:eastAsia="Times New Roman" w:hAnsi="Arial" w:cs="Arial"/>
        </w:rPr>
      </w:pPr>
      <w:bookmarkStart w:id="110" w:name="_Toc110"/>
      <w:r>
        <w:rPr>
          <w:rFonts w:ascii="Arial" w:eastAsia="Times New Roman" w:hAnsi="Arial" w:cs="Arial"/>
        </w:rPr>
        <w:t>7. Ethics</w:t>
      </w:r>
      <w:bookmarkEnd w:id="110"/>
    </w:p>
    <w:p>
      <w:pPr>
        <w:pStyle w:val="NormalWeb"/>
        <w:rPr>
          <w:rFonts w:ascii="Arial" w:hAnsi="Arial" w:cs="Arial"/>
          <w:sz w:val="22"/>
          <w:szCs w:val="22"/>
        </w:rPr>
      </w:pPr>
      <w:r>
        <w:rPr>
          <w:rFonts w:ascii="Arial" w:hAnsi="Arial" w:cs="Arial"/>
          <w:sz w:val="22"/>
          <w:szCs w:val="22"/>
        </w:rPr>
        <w:t xml:space="preserve">There are no human participants. Only public, openly licensed code and commit history are used, developers' names and emails are not collected, results concern files and projects, not people, and code from other projects is run only in isolated containers.</w:t>
      </w:r>
    </w:p>
    <w:p>
      <w:pPr>
        <w:pStyle w:val="Heading2"/>
        <w:rPr>
          <w:rFonts w:ascii="Arial" w:eastAsia="Times New Roman" w:hAnsi="Arial" w:cs="Arial"/>
        </w:rPr>
      </w:pPr>
      <w:bookmarkStart w:id="111" w:name="_Toc111"/>
      <w:r>
        <w:rPr>
          <w:rFonts w:ascii="Arial" w:eastAsia="Times New Roman" w:hAnsi="Arial" w:cs="Arial"/>
        </w:rPr>
        <w:t>References</w:t>
      </w:r>
      <w:bookmarkEnd w:id="111"/>
    </w:p>
    <w:p>
      <w:pPr>
        <w:pStyle w:val="NormalWeb"/>
        <w:ind w:left="567" w:hanging="567"/>
        <w:rPr>
          <w:rFonts w:ascii="Arial" w:hAnsi="Arial" w:cs="Arial"/>
          <w:sz w:val="22"/>
          <w:szCs w:val="22"/>
        </w:rPr>
      </w:pPr>
      <w:r>
        <w:rPr>
          <w:rFonts w:ascii="Arial" w:hAnsi="Arial" w:cs="Arial"/>
          <w:sz w:val="22"/>
          <w:szCs w:val="22"/>
        </w:rPr>
        <w:t xml:space="preserve">[1] D. Qiu, B. Li, and Z. Su, “An empirical analysis of the co-evolution of schema and code in database applications,” in </w:t>
      </w:r>
      <w:r>
        <w:rPr>
          <w:rFonts w:ascii="Arial" w:hAnsi="Arial" w:cs="Arial"/>
          <w:i/>
          <w:iCs/>
          <w:sz w:val="22"/>
          <w:szCs w:val="22"/>
        </w:rPr>
        <w:t xml:space="preserve">Proc. 9th Joint Meeting Found. Softw. Eng. (ESEC/FSE)</w:t>
      </w:r>
      <w:r>
        <w:rPr>
          <w:rFonts w:ascii="Arial" w:hAnsi="Arial" w:cs="Arial"/>
          <w:sz w:val="22"/>
          <w:szCs w:val="22"/>
        </w:rPr>
        <w:t xml:space="preserve">, Saint Petersburg, Russia, Aug. 2013, pp. 125–135.</w:t>
      </w:r>
    </w:p>
    <w:p>
      <w:pPr>
        <w:pStyle w:val="NormalWeb"/>
        <w:ind w:left="567" w:hanging="567"/>
        <w:rPr>
          <w:rFonts w:ascii="Arial" w:hAnsi="Arial" w:cs="Arial"/>
          <w:sz w:val="22"/>
          <w:szCs w:val="22"/>
        </w:rPr>
      </w:pPr>
      <w:r>
        <w:rPr>
          <w:rFonts w:ascii="Arial" w:hAnsi="Arial" w:cs="Arial"/>
          <w:sz w:val="22"/>
          <w:szCs w:val="22"/>
        </w:rPr>
        <w:t xml:space="preserve">[2] L. Meurice, C. Nagy, and A. Cleve, “Detecting and preventing program inconsistencies under database schema evolution,” in </w:t>
      </w:r>
      <w:r>
        <w:rPr>
          <w:rFonts w:ascii="Arial" w:hAnsi="Arial" w:cs="Arial"/>
          <w:i/>
          <w:iCs/>
          <w:sz w:val="22"/>
          <w:szCs w:val="22"/>
        </w:rPr>
        <w:t xml:space="preserve">Proc. IEEE Int. Conf. Softw. Quality, Rel. Secur. (QRS)</w:t>
      </w:r>
      <w:r>
        <w:rPr>
          <w:rFonts w:ascii="Arial" w:hAnsi="Arial" w:cs="Arial"/>
          <w:sz w:val="22"/>
          <w:szCs w:val="22"/>
        </w:rPr>
        <w:t xml:space="preserve">, Vienna, Austria, Aug. 2016, pp. 45–54.</w:t>
      </w:r>
    </w:p>
    <w:p>
      <w:pPr>
        <w:pStyle w:val="NormalWeb"/>
        <w:ind w:left="567" w:hanging="567"/>
        <w:rPr>
          <w:rFonts w:ascii="Arial" w:hAnsi="Arial" w:cs="Arial"/>
          <w:sz w:val="22"/>
          <w:szCs w:val="22"/>
        </w:rPr>
      </w:pPr>
      <w:r>
        <w:rPr>
          <w:rFonts w:ascii="Arial" w:hAnsi="Arial" w:cs="Arial"/>
          <w:sz w:val="22"/>
          <w:szCs w:val="22"/>
        </w:rPr>
        <w:t xml:space="preserve">[3] S. A. Bohner and R. S. Arnold, </w:t>
      </w:r>
      <w:r>
        <w:rPr>
          <w:rFonts w:ascii="Arial" w:hAnsi="Arial" w:cs="Arial"/>
          <w:i/>
          <w:iCs/>
          <w:sz w:val="22"/>
          <w:szCs w:val="22"/>
        </w:rPr>
        <w:t xml:space="preserve">Software Change Impact Analysis</w:t>
      </w:r>
      <w:r>
        <w:rPr>
          <w:rFonts w:ascii="Arial" w:hAnsi="Arial" w:cs="Arial"/>
          <w:sz w:val="22"/>
          <w:szCs w:val="22"/>
        </w:rPr>
        <w:t xml:space="preserve">. Los Alamitos, CA, USA: IEEE Comput. Soc. Press, 1996.</w:t>
      </w:r>
    </w:p>
    <w:p>
      <w:pPr>
        <w:pStyle w:val="NormalWeb"/>
        <w:ind w:left="567" w:hanging="567"/>
        <w:rPr>
          <w:rFonts w:ascii="Arial" w:hAnsi="Arial" w:cs="Arial"/>
          <w:sz w:val="22"/>
          <w:szCs w:val="22"/>
        </w:rPr>
      </w:pPr>
      <w:r>
        <w:rPr>
          <w:rFonts w:ascii="Arial" w:hAnsi="Arial" w:cs="Arial"/>
          <w:sz w:val="22"/>
          <w:szCs w:val="22"/>
        </w:rPr>
        <w:t xml:space="preserve">[4] B. Li, X. Sun, H. Leung, and S. Zhang, “A survey of code-based change impact analysis techniques,” </w:t>
      </w:r>
      <w:r>
        <w:rPr>
          <w:rFonts w:ascii="Arial" w:hAnsi="Arial" w:cs="Arial"/>
          <w:i/>
          <w:iCs/>
          <w:sz w:val="22"/>
          <w:szCs w:val="22"/>
        </w:rPr>
        <w:t xml:space="preserve">Softw. Test., Verif. Rel.</w:t>
      </w:r>
      <w:r>
        <w:rPr>
          <w:rFonts w:ascii="Arial" w:hAnsi="Arial" w:cs="Arial"/>
          <w:sz w:val="22"/>
          <w:szCs w:val="22"/>
        </w:rPr>
        <w:t xml:space="preserve">, vol. 23, no. 8, pp. 613–646, Dec. 2013.</w:t>
      </w:r>
    </w:p>
    <w:p>
      <w:pPr>
        <w:pStyle w:val="NormalWeb"/>
        <w:ind w:left="567" w:hanging="567"/>
        <w:rPr>
          <w:rFonts w:ascii="Arial" w:hAnsi="Arial" w:cs="Arial"/>
          <w:sz w:val="22"/>
          <w:szCs w:val="22"/>
        </w:rPr>
      </w:pPr>
      <w:r>
        <w:rPr>
          <w:rFonts w:ascii="Arial" w:hAnsi="Arial" w:cs="Arial"/>
          <w:sz w:val="22"/>
          <w:szCs w:val="22"/>
        </w:rPr>
        <w:t xml:space="preserve">[5] T. Zimmermann, P. Weißgerber, S. Diehl, and A. Zeller, “Mining version histories to guide software changes,” in </w:t>
      </w:r>
      <w:r>
        <w:rPr>
          <w:rFonts w:ascii="Arial" w:hAnsi="Arial" w:cs="Arial"/>
          <w:i/>
          <w:iCs/>
          <w:sz w:val="22"/>
          <w:szCs w:val="22"/>
        </w:rPr>
        <w:t xml:space="preserve">Proc. 26th Int. Conf. Softw. Eng. (ICSE)</w:t>
      </w:r>
      <w:r>
        <w:rPr>
          <w:rFonts w:ascii="Arial" w:hAnsi="Arial" w:cs="Arial"/>
          <w:sz w:val="22"/>
          <w:szCs w:val="22"/>
        </w:rPr>
        <w:t xml:space="preserve">, Edinburgh, U.K., May 2004, pp. 563–572.</w:t>
      </w:r>
    </w:p>
    <w:p>
      <w:pPr>
        <w:pStyle w:val="NormalWeb"/>
        <w:ind w:left="567" w:hanging="567"/>
        <w:rPr>
          <w:rFonts w:ascii="Arial" w:hAnsi="Arial" w:cs="Arial"/>
          <w:sz w:val="22"/>
          <w:szCs w:val="22"/>
        </w:rPr>
      </w:pPr>
      <w:r>
        <w:rPr>
          <w:rFonts w:ascii="Arial" w:hAnsi="Arial" w:cs="Arial"/>
          <w:sz w:val="22"/>
          <w:szCs w:val="22"/>
        </w:rPr>
        <w:t xml:space="preserve">[6] B. Johnson, Y. Song, E. Murphy-Hill, and R. Bowdidge, “Why don’t software developers use static analysis tools to find bugs?” in </w:t>
      </w:r>
      <w:r>
        <w:rPr>
          <w:rFonts w:ascii="Arial" w:hAnsi="Arial" w:cs="Arial"/>
          <w:i/>
          <w:iCs/>
          <w:sz w:val="22"/>
          <w:szCs w:val="22"/>
        </w:rPr>
        <w:t xml:space="preserve">Proc. 35th Int. Conf. Softw. Eng. (ICSE)</w:t>
      </w:r>
      <w:r>
        <w:rPr>
          <w:rFonts w:ascii="Arial" w:hAnsi="Arial" w:cs="Arial"/>
          <w:sz w:val="22"/>
          <w:szCs w:val="22"/>
        </w:rPr>
        <w:t xml:space="preserve">, San Francisco, CA, USA, May 2013, pp. 672–681.</w:t>
      </w:r>
    </w:p>
    <w:p>
      <w:pPr>
        <w:pStyle w:val="NormalWeb"/>
        <w:ind w:left="567" w:hanging="567"/>
        <w:rPr>
          <w:rFonts w:ascii="Arial" w:hAnsi="Arial" w:cs="Arial"/>
          <w:sz w:val="22"/>
          <w:szCs w:val="22"/>
        </w:rPr>
      </w:pPr>
      <w:r>
        <w:rPr>
          <w:rFonts w:ascii="Arial" w:hAnsi="Arial" w:cs="Arial"/>
          <w:sz w:val="22"/>
          <w:szCs w:val="22"/>
        </w:rPr>
        <w:t xml:space="preserve">[7] M. Machalica, A. Samylkin, M. Porth, and S. Chandra, “Predictive test selection,” in </w:t>
      </w:r>
      <w:r>
        <w:rPr>
          <w:rFonts w:ascii="Arial" w:hAnsi="Arial" w:cs="Arial"/>
          <w:i/>
          <w:iCs/>
          <w:sz w:val="22"/>
          <w:szCs w:val="22"/>
        </w:rPr>
        <w:t xml:space="preserve">Proc. 41st Int. Conf. Softw. Eng.: Softw. Eng. Pract. (ICSE-SEIP)</w:t>
      </w:r>
      <w:r>
        <w:rPr>
          <w:rFonts w:ascii="Arial" w:hAnsi="Arial" w:cs="Arial"/>
          <w:sz w:val="22"/>
          <w:szCs w:val="22"/>
        </w:rPr>
        <w:t xml:space="preserve">, Montreal, QC, Canada, May 2019, pp. 91–100.</w:t>
      </w:r>
    </w:p>
    <w:p>
      <w:pPr>
        <w:pStyle w:val="NormalWeb"/>
        <w:ind w:left="567" w:hanging="567"/>
        <w:rPr>
          <w:rFonts w:ascii="Arial" w:hAnsi="Arial" w:cs="Arial"/>
          <w:sz w:val="22"/>
          <w:szCs w:val="22"/>
        </w:rPr>
      </w:pPr>
      <w:r>
        <w:rPr>
          <w:rFonts w:ascii="Arial" w:hAnsi="Arial" w:cs="Arial"/>
          <w:sz w:val="22"/>
          <w:szCs w:val="22"/>
        </w:rPr>
        <w:t xml:space="preserve">[8] “colref: Check whether a database column is still referenced in your codebase,” PyPI. Accessed: Oct. 5, 2026. [Online]. Available: https://pypi.org/project/colref/</w:t>
      </w:r>
    </w:p>
    <w:p>
      <w:pPr>
        <w:pStyle w:val="NormalWeb"/>
        <w:ind w:left="567" w:hanging="567"/>
        <w:rPr>
          <w:rFonts w:ascii="Arial" w:hAnsi="Arial" w:cs="Arial"/>
          <w:sz w:val="22"/>
          <w:szCs w:val="22"/>
        </w:rPr>
      </w:pPr>
      <w:r>
        <w:rPr>
          <w:rFonts w:ascii="Arial" w:hAnsi="Arial" w:cs="Arial"/>
          <w:sz w:val="22"/>
          <w:szCs w:val="22"/>
        </w:rPr>
        <w:t xml:space="preserve">[9] “laravel-xray,” Laraplugins. Accessed: Oct. 5, 2026. [Online]. Available: https://laraplugins.io/plugins/ikabalzam/laravel-xray</w:t>
      </w:r>
    </w:p>
    <w:p>
      <w:pPr>
        <w:pStyle w:val="NormalWeb"/>
        <w:ind w:left="567" w:hanging="567"/>
        <w:rPr>
          <w:rFonts w:ascii="Arial" w:hAnsi="Arial" w:cs="Arial"/>
          <w:sz w:val="22"/>
          <w:szCs w:val="22"/>
        </w:rPr>
      </w:pPr>
      <w:r>
        <w:rPr>
          <w:rFonts w:ascii="Arial" w:hAnsi="Arial" w:cs="Arial"/>
          <w:sz w:val="22"/>
          <w:szCs w:val="22"/>
        </w:rPr>
        <w:t xml:space="preserve">[10] T. J. Kirz, M. Ulbrich, W. Dietl, and S. Scherzinger, “Static type checking for database access code,” May 2026, arXiv:2605.02569.</w:t>
      </w:r>
    </w:p>
    <w:p>
      <w:pPr>
        <w:pStyle w:val="NormalWeb"/>
        <w:ind w:left="567" w:hanging="567"/>
        <w:rPr>
          <w:rFonts w:ascii="Arial" w:hAnsi="Arial" w:cs="Arial"/>
          <w:sz w:val="22"/>
          <w:szCs w:val="22"/>
        </w:rPr>
      </w:pPr>
      <w:r>
        <w:rPr>
          <w:rFonts w:ascii="Arial" w:hAnsi="Arial" w:cs="Arial"/>
          <w:sz w:val="22"/>
          <w:szCs w:val="22"/>
        </w:rPr>
        <w:t xml:space="preserve">[11] M. Weiser, “Program slicing,” </w:t>
      </w:r>
      <w:r>
        <w:rPr>
          <w:rFonts w:ascii="Arial" w:hAnsi="Arial" w:cs="Arial"/>
          <w:i/>
          <w:iCs/>
          <w:sz w:val="22"/>
          <w:szCs w:val="22"/>
        </w:rPr>
        <w:t xml:space="preserve">IEEE Trans. Softw. Eng.</w:t>
      </w:r>
      <w:r>
        <w:rPr>
          <w:rFonts w:ascii="Arial" w:hAnsi="Arial" w:cs="Arial"/>
          <w:sz w:val="22"/>
          <w:szCs w:val="22"/>
        </w:rPr>
        <w:t xml:space="preserve">, vol. SE-10, no. 4, pp. 352–357, Jul. 1984.</w:t>
      </w:r>
    </w:p>
    <w:p>
      <w:pPr>
        <w:pStyle w:val="NormalWeb"/>
        <w:ind w:left="567" w:hanging="567"/>
        <w:rPr>
          <w:rFonts w:ascii="Arial" w:hAnsi="Arial" w:cs="Arial"/>
          <w:sz w:val="22"/>
          <w:szCs w:val="22"/>
        </w:rPr>
      </w:pPr>
      <w:r>
        <w:rPr>
          <w:rFonts w:ascii="Arial" w:hAnsi="Arial" w:cs="Arial"/>
          <w:sz w:val="22"/>
          <w:szCs w:val="22"/>
        </w:rPr>
        <w:t xml:space="preserve">[12] A. T. T. Ying, G. C. Murphy, R. Ng, and M. C. Chu-Carroll, “Predicting source code changes by mining change history,” </w:t>
      </w:r>
      <w:r>
        <w:rPr>
          <w:rFonts w:ascii="Arial" w:hAnsi="Arial" w:cs="Arial"/>
          <w:i/>
          <w:iCs/>
          <w:sz w:val="22"/>
          <w:szCs w:val="22"/>
        </w:rPr>
        <w:t xml:space="preserve">IEEE Trans. Softw. Eng.</w:t>
      </w:r>
      <w:r>
        <w:rPr>
          <w:rFonts w:ascii="Arial" w:hAnsi="Arial" w:cs="Arial"/>
          <w:sz w:val="22"/>
          <w:szCs w:val="22"/>
        </w:rPr>
        <w:t xml:space="preserve">, vol. 30, no. 9, pp. 574–586, Sep. 2004.</w:t>
      </w:r>
    </w:p>
    <w:p>
      <w:pPr>
        <w:pStyle w:val="NormalWeb"/>
        <w:ind w:left="567" w:hanging="567"/>
        <w:rPr>
          <w:rFonts w:ascii="Arial" w:hAnsi="Arial" w:cs="Arial"/>
          <w:sz w:val="22"/>
          <w:szCs w:val="22"/>
        </w:rPr>
      </w:pPr>
      <w:r>
        <w:rPr>
          <w:rFonts w:ascii="Arial" w:hAnsi="Arial" w:cs="Arial"/>
          <w:sz w:val="22"/>
          <w:szCs w:val="22"/>
        </w:rPr>
        <w:t xml:space="preserve">[13] A. E. Hassan and R. C. Holt, “Predicting change propagation in software systems,” in </w:t>
      </w:r>
      <w:r>
        <w:rPr>
          <w:rFonts w:ascii="Arial" w:hAnsi="Arial" w:cs="Arial"/>
          <w:i/>
          <w:iCs/>
          <w:sz w:val="22"/>
          <w:szCs w:val="22"/>
        </w:rPr>
        <w:t xml:space="preserve">Proc. 20th IEEE Int. Conf. Softw. Maintenance (ICSM)</w:t>
      </w:r>
      <w:r>
        <w:rPr>
          <w:rFonts w:ascii="Arial" w:hAnsi="Arial" w:cs="Arial"/>
          <w:sz w:val="22"/>
          <w:szCs w:val="22"/>
        </w:rPr>
        <w:t xml:space="preserve">, Chicago, IL, USA, Sep. 2004, pp. 284–293.</w:t>
      </w:r>
    </w:p>
    <w:p>
      <w:pPr>
        <w:pStyle w:val="NormalWeb"/>
        <w:ind w:left="567" w:hanging="567"/>
        <w:rPr>
          <w:rFonts w:ascii="Arial" w:hAnsi="Arial" w:cs="Arial"/>
          <w:sz w:val="22"/>
          <w:szCs w:val="22"/>
        </w:rPr>
      </w:pPr>
      <w:r>
        <w:rPr>
          <w:rFonts w:ascii="Arial" w:hAnsi="Arial" w:cs="Arial"/>
          <w:sz w:val="22"/>
          <w:szCs w:val="22"/>
        </w:rPr>
        <w:t xml:space="preserve">[14] D. Spadini, M. Aniche, and A. Bacchelli, “PyDriller: Python framework for mining software repositories,” in </w:t>
      </w:r>
      <w:r>
        <w:rPr>
          <w:rFonts w:ascii="Arial" w:hAnsi="Arial" w:cs="Arial"/>
          <w:i/>
          <w:iCs/>
          <w:sz w:val="22"/>
          <w:szCs w:val="22"/>
        </w:rPr>
        <w:t xml:space="preserve">Proc. 26th ACM Joint Meeting Eur. Softw. Eng. Conf. Symp. Found. Softw. Eng. (ESEC/FSE)</w:t>
      </w:r>
      <w:r>
        <w:rPr>
          <w:rFonts w:ascii="Arial" w:hAnsi="Arial" w:cs="Arial"/>
          <w:sz w:val="22"/>
          <w:szCs w:val="22"/>
        </w:rPr>
        <w:t xml:space="preserve">, Lake Buena Vista, FL, USA, Nov. 2018, pp. 908–911.</w:t>
      </w:r>
    </w:p>
    <w:p>
      <w:pPr>
        <w:pStyle w:val="NormalWeb"/>
        <w:ind w:left="567" w:hanging="567"/>
        <w:rPr>
          <w:rFonts w:ascii="Arial" w:hAnsi="Arial" w:cs="Arial"/>
          <w:sz w:val="22"/>
          <w:szCs w:val="22"/>
        </w:rPr>
      </w:pPr>
      <w:r>
        <w:rPr>
          <w:rFonts w:ascii="Arial" w:hAnsi="Arial" w:cs="Arial"/>
          <w:sz w:val="22"/>
          <w:szCs w:val="22"/>
        </w:rPr>
        <w:t xml:space="preserve">[15] H. Kagdi, M. Gethers, and D. Poshyvanyk, “Integrating conceptual and logical couplings for change impact analysis in software,” </w:t>
      </w:r>
      <w:r>
        <w:rPr>
          <w:rFonts w:ascii="Arial" w:hAnsi="Arial" w:cs="Arial"/>
          <w:i/>
          <w:iCs/>
          <w:sz w:val="22"/>
          <w:szCs w:val="22"/>
        </w:rPr>
        <w:t xml:space="preserve">Empir. Softw. Eng.</w:t>
      </w:r>
      <w:r>
        <w:rPr>
          <w:rFonts w:ascii="Arial" w:hAnsi="Arial" w:cs="Arial"/>
          <w:sz w:val="22"/>
          <w:szCs w:val="22"/>
        </w:rPr>
        <w:t xml:space="preserve">, vol. 18, no. 5, pp. 933–969, Oct. 2013.</w:t>
      </w:r>
    </w:p>
    <w:p>
      <w:pPr>
        <w:pStyle w:val="NormalWeb"/>
        <w:ind w:left="567" w:hanging="567"/>
        <w:rPr>
          <w:rFonts w:ascii="Arial" w:hAnsi="Arial" w:cs="Arial"/>
          <w:sz w:val="22"/>
          <w:szCs w:val="22"/>
        </w:rPr>
      </w:pPr>
      <w:r>
        <w:rPr>
          <w:rFonts w:ascii="Arial" w:hAnsi="Arial" w:cs="Arial"/>
          <w:sz w:val="22"/>
          <w:szCs w:val="22"/>
        </w:rPr>
        <w:t xml:space="preserve">[16] D. I. K. Sjøberg, “Quantifying schema evolution,” </w:t>
      </w:r>
      <w:r>
        <w:rPr>
          <w:rFonts w:ascii="Arial" w:hAnsi="Arial" w:cs="Arial"/>
          <w:i/>
          <w:iCs/>
          <w:sz w:val="22"/>
          <w:szCs w:val="22"/>
        </w:rPr>
        <w:t xml:space="preserve">Inf. Softw. Technol.</w:t>
      </w:r>
      <w:r>
        <w:rPr>
          <w:rFonts w:ascii="Arial" w:hAnsi="Arial" w:cs="Arial"/>
          <w:sz w:val="22"/>
          <w:szCs w:val="22"/>
        </w:rPr>
        <w:t xml:space="preserve">, vol. 35, no. 1, pp. 35–44, Jan. 1993.</w:t>
      </w:r>
    </w:p>
    <w:p>
      <w:pPr>
        <w:pStyle w:val="NormalWeb"/>
        <w:ind w:left="567" w:hanging="567"/>
        <w:rPr>
          <w:rFonts w:ascii="Arial" w:hAnsi="Arial" w:cs="Arial"/>
          <w:sz w:val="22"/>
          <w:szCs w:val="22"/>
        </w:rPr>
      </w:pPr>
      <w:r>
        <w:rPr>
          <w:rFonts w:ascii="Arial" w:hAnsi="Arial" w:cs="Arial"/>
          <w:sz w:val="22"/>
          <w:szCs w:val="22"/>
        </w:rPr>
        <w:t xml:space="preserve">[17] L. Meurice, C. Nagy, and A. Cleve, “Static analysis of dynamic database usage in Java systems,” in </w:t>
      </w:r>
      <w:r>
        <w:rPr>
          <w:rFonts w:ascii="Arial" w:hAnsi="Arial" w:cs="Arial"/>
          <w:i/>
          <w:iCs/>
          <w:sz w:val="22"/>
          <w:szCs w:val="22"/>
        </w:rPr>
        <w:t xml:space="preserve">Proc. 28th Int. Conf. Adv. Inf. Syst. Eng. (CAiSE)</w:t>
      </w:r>
      <w:r>
        <w:rPr>
          <w:rFonts w:ascii="Arial" w:hAnsi="Arial" w:cs="Arial"/>
          <w:sz w:val="22"/>
          <w:szCs w:val="22"/>
        </w:rPr>
        <w:t xml:space="preserve">, Ljubljana, Slovenia, Jun. 2016, pp. 491–506.</w:t>
      </w:r>
    </w:p>
    <w:sectPr w:rsidR="00AA5A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1E0EC1"/>
    <w:multiLevelType w:val="multilevel"/>
    <w:tmpl w:val="05A2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multiLevelType w:val="singleLevel"/>
    <w:lvl w:ilvl="0">
      <w:start w:val="1"/>
      <w:numFmt w:val="decimal"/>
      <w:lvlText w:val="%1."/>
      <w:lvlJc w:val="left"/>
      <w:pPr>
        <w:ind w:left="720" w:hanging="360"/>
      </w:pPr>
    </w:lvl>
  </w:abstractNum>
  <w:num w:numId="1" w16cid:durableId="391082626">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870621"/>
    <w:rsid w:val="00870621"/>
    <w:rsid w:val="00AA5AC4"/>
    <w:rsid w:val="00E402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90D8F0"/>
  <w15:chartTrackingRefBased/>
  <w15:docId w15:val="{8FE4133A-B247-4826-BFD0-2D652EDD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32"/>
      <w:szCs w:val="32"/>
    </w:rPr>
  </w:style>
  <w:style w:type="paragraph" w:styleId="Heading2">
    <w:name w:val="heading 2"/>
    <w:basedOn w:val="Normal"/>
    <w:link w:val="Heading2Char"/>
    <w:uiPriority w:val="9"/>
    <w:qFormat/>
    <w:pPr>
      <w:spacing w:before="360" w:after="100" w:afterAutospacing="1"/>
      <w:outlineLvl w:val="1"/>
    </w:pPr>
    <w:rPr>
      <w:b/>
      <w:bCs/>
      <w:sz w:val="26"/>
      <w:szCs w:val="26"/>
    </w:rPr>
  </w:style>
  <w:style w:type="paragraph" w:styleId="Heading3">
    <w:name w:val="heading 3"/>
    <w:basedOn w:val="Normal"/>
    <w:link w:val="Heading3Char"/>
    <w:uiPriority w:val="9"/>
    <w:qFormat/>
    <w:pPr>
      <w:spacing w:before="100" w:beforeAutospacing="1" w:after="100" w:afterAutospacing="1"/>
      <w:outlineLvl w:val="2"/>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paragraph" w:customStyle="1" w:styleId="msonormal0">
    <w:name w:val="msonormal"/>
    <w:basedOn w:val="Normal"/>
    <w:pPr>
      <w:spacing w:after="160"/>
    </w:pPr>
  </w:style>
  <w:style w:type="paragraph" w:styleId="NormalWeb">
    <w:name w:val="Normal (Web)"/>
    <w:basedOn w:val="Normal"/>
    <w:uiPriority w:val="99"/>
    <w:semiHidden/>
    <w:unhideWhenUsed/>
    <w:pPr>
      <w:spacing w:after="160"/>
    </w:pPr>
  </w:style>
  <w:style w:type="paragraph" w:styleId="TOC2">
    <w:name w:val="toc 2"/>
    <w:basedOn w:val="Normal"/>
    <w:next w:val="Normal"/>
    <w:uiPriority w:val="39"/>
    <w:unhideWhenUsed/>
    <w:pPr>
      <w:tabs>
        <w:tab w:val="right" w:leader="dot" w:pos="9350"/>
      </w:tabs>
      <w:spacing w:after="80"/>
    </w:pPr>
    <w:rPr>
      <w:sz w:val="22"/>
      <w:szCs w:val="22"/>
    </w:rPr>
  </w:style>
  <w:style w:type="paragraph" w:styleId="TOC3">
    <w:name w:val="toc 3"/>
    <w:basedOn w:val="Normal"/>
    <w:next w:val="Normal"/>
    <w:uiPriority w:val="39"/>
    <w:unhideWhenUsed/>
    <w:pPr>
      <w:tabs>
        <w:tab w:val="right" w:leader="dot" w:pos="9350"/>
      </w:tabs>
      <w:spacing w:after="60"/>
      <w:ind w:left="36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1542</Words>
  <Characters>8796</Characters>
  <Application>Microsoft Office Word</Application>
  <DocSecurity>0</DocSecurity>
  <Lines>73</Lines>
  <Paragraphs>20</Paragraphs>
  <ScaleCrop>false</ScaleCrop>
  <Company/>
  <LinksUpToDate>false</LinksUpToDate>
  <CharactersWithSpaces>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Tonio George (2312861)</dc:creator>
  <cp:keywords/>
  <dc:description/>
  <cp:lastModifiedBy>Tonio George (2312861)</cp:lastModifiedBy>
  <cp:revision>2</cp:revision>
  <dcterms:created xsi:type="dcterms:W3CDTF">2026-10-20T10:46:00Z</dcterms:created>
  <dcterms:modified xsi:type="dcterms:W3CDTF">2026-10-20T10:46:00Z</dcterms:modified>
</cp:coreProperties>
</file>