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header1.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drawing>
          <wp:inline distT="0" distB="0" distL="114935" distR="114935">
            <wp:extent cx="5943600" cy="2486025"/>
            <wp:effectExtent l="0" t="0" r="0" b="0"/>
            <wp:docPr id="1" name="drawi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awing" descr=""/>
                    <pic:cNvPicPr>
                      <a:picLocks noChangeAspect="1" noChangeArrowheads="1"/>
                    </pic:cNvPicPr>
                  </pic:nvPicPr>
                  <pic:blipFill>
                    <a:blip r:embed="rId2"/>
                    <a:stretch>
                      <a:fillRect/>
                    </a:stretch>
                  </pic:blipFill>
                  <pic:spPr bwMode="auto">
                    <a:xfrm>
                      <a:off x="0" y="0"/>
                      <a:ext cx="5943600" cy="2486025"/>
                    </a:xfrm>
                    <a:prstGeom prst="rect">
                      <a:avLst/>
                    </a:prstGeom>
                  </pic:spPr>
                </pic:pic>
              </a:graphicData>
            </a:graphic>
          </wp:inline>
        </w:drawing>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HR PRACTICES REPORT: PRET A MANGER</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Student Name</w:t>
      </w: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 Yasir Ibrahem</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Student Number</w:t>
      </w: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 2429666</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Module Code &amp; Title</w:t>
      </w: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 LCLM5002 – Developing and Managing Individuals and Teams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Lecturer Name</w:t>
      </w: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 Faizu Edu</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Assignment Title</w:t>
      </w: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 Addressing Strategic HR Challenges at Pret A Manger</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r>
    </w:p>
    <w:p>
      <w:pPr>
        <w:pStyle w:val="Normal"/>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TABLE OF CONTENTS</w:t>
      </w:r>
    </w:p>
    <w:p>
      <w:pPr>
        <w:pStyle w:val="Normal"/>
        <w:shd w:val="clear" w:color="auto" w:fill="FFFFFF" w:themeFill="background1"/>
        <w:spacing w:lineRule="auto" w:line="300"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strike w:val="false"/>
          <w:dstrike w:val="false"/>
          <w:color w:val="FFFFFF" w:themeColor="background1" w:themeShade="ff" w:themeTint="ff"/>
          <w:sz w:val="22"/>
          <w:szCs w:val="22"/>
          <w:u w:val="none"/>
          <w:lang w:val="en-US"/>
        </w:rPr>
      </w:pPr>
      <w:r>
        <w:rPr>
          <w:rFonts w:eastAsia="Arial" w:cs="Arial" w:cstheme="minorAscii" w:eastAsiaTheme="minorAscii"/>
          <w:b w:val="false"/>
          <w:bCs w:val="false"/>
          <w:i w:val="false"/>
          <w:iCs w:val="false"/>
          <w:caps w:val="false"/>
          <w:smallCaps w:val="false"/>
          <w:strike w:val="false"/>
          <w:dstrike w:val="false"/>
          <w:color w:val="FFFFFF" w:themeColor="background1" w:themeShade="ff" w:themeTint="ff"/>
          <w:sz w:val="22"/>
          <w:szCs w:val="22"/>
          <w:u w:val="none"/>
          <w:lang w:val="en-US"/>
        </w:rPr>
        <w:t></w:t>
      </w:r>
    </w:p>
    <w:tbl>
      <w:tblPr>
        <w:tblStyle w:val="TableNormal"/>
        <w:tblW w:w="6120" w:type="dxa"/>
        <w:jc w:val="left"/>
        <w:tblInd w:w="0" w:type="dxa"/>
        <w:tblLayout w:type="fixed"/>
        <w:tblCellMar>
          <w:top w:w="60" w:type="dxa"/>
          <w:left w:w="60" w:type="dxa"/>
          <w:bottom w:w="60" w:type="dxa"/>
          <w:right w:w="60" w:type="dxa"/>
        </w:tblCellMar>
        <w:tblLook w:firstRow="1" w:noVBand="1" w:lastRow="0" w:firstColumn="1" w:lastColumn="0" w:noHBand="1" w:val="06a0"/>
      </w:tblPr>
      <w:tblGrid>
        <w:gridCol w:w="840"/>
        <w:gridCol w:w="4065"/>
        <w:gridCol w:w="959"/>
        <w:gridCol w:w="255"/>
      </w:tblGrid>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Section</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Title</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Page No.</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1.0</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Introduction</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bidi w:val="0"/>
              <w:spacing w:lineRule="auto" w:line="278" w:beforeAutospacing="0" w:before="0" w:afterAutospacing="0" w:after="0"/>
              <w:ind w:left="0" w:right="0" w:hanging="0"/>
              <w:jc w:val="left"/>
              <w:rPr>
                <w:kern w:val="0"/>
                <w:lang w:val="en-US" w:eastAsia="ja-JP" w:bidi="ar-SA"/>
              </w:rPr>
            </w:pPr>
            <w:r>
              <w:rPr>
                <w:rFonts w:eastAsia="Arial" w:cs="Arial" w:cstheme="minorAscii" w:eastAsiaTheme="minorAscii"/>
                <w:color w:val="000000" w:themeColor="text1" w:themeShade="ff" w:themeTint="ff"/>
                <w:kern w:val="0"/>
                <w:sz w:val="22"/>
                <w:szCs w:val="22"/>
                <w:lang w:val="en-US" w:eastAsia="ja-JP" w:bidi="ar-SA"/>
              </w:rPr>
              <w:t>2</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2.0</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Strategic HR Factors</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3</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2.1</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Meeting Technological Advancement</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3</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2.2</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Talent Acquisition and Retention</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4</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2.3</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Diversity, Equity and Inclusion (DEI)</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4</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3.0</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Evaluation of Contemporary HR Practices</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4</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3.1</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Addressing Technological Advancement</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4</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3.2</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Enhancing Talent Acquisition and Retention</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4</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3.3</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Advancing Diversity, Equity and Inclusion</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5</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4.0</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Critical Evaluation of Departmental Managers’ Role</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5</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4.1</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Driving Technological Implementation</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5</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4.2</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Improving Talent Outcomes</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6</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4.3</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Embedding Inclusive Cultures</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6</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4.4</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Overcoming Barriers</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6</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5.0</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Conclusion and Recommendations</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6</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5.1</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Conclusion</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6</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5.2</w:t>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Recommendations</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6</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r>
      <w:tr>
        <w:trPr>
          <w:trHeight w:val="300" w:hRule="atLeast"/>
        </w:trPr>
        <w:tc>
          <w:tcPr>
            <w:tcW w:w="840"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sz w:val="22"/>
                <w:szCs w:val="22"/>
              </w:rPr>
            </w:pPr>
            <w:r>
              <w:rPr>
                <w:rFonts w:eastAsia="Arial" w:cs="Arial" w:cstheme="minorAscii" w:eastAsiaTheme="minorAscii"/>
                <w:kern w:val="0"/>
                <w:sz w:val="24"/>
                <w:szCs w:val="24"/>
                <w:lang w:val="en-US" w:eastAsia="ja-JP" w:bidi="ar-SA"/>
              </w:rPr>
            </w:r>
          </w:p>
        </w:tc>
        <w:tc>
          <w:tcPr>
            <w:tcW w:w="406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References</w:t>
            </w:r>
          </w:p>
        </w:tc>
        <w:tc>
          <w:tcPr>
            <w:tcW w:w="959"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2"/>
                <w:szCs w:val="22"/>
                <w:lang w:val="en-US" w:eastAsia="ja-JP" w:bidi="ar-SA"/>
              </w:rPr>
              <w:t>7</w:t>
            </w:r>
          </w:p>
        </w:tc>
        <w:tc>
          <w:tcPr>
            <w:tcW w:w="255" w:type="dxa"/>
            <w:tcBorders>
              <w:top w:val="single" w:sz="6" w:space="0" w:color="D0D0D0"/>
              <w:left w:val="single" w:sz="6" w:space="0" w:color="D0D0D0"/>
              <w:bottom w:val="single" w:sz="6" w:space="0" w:color="D0D0D0"/>
              <w:right w:val="single" w:sz="6" w:space="0" w:color="D0D0D0"/>
            </w:tcBorders>
            <w:vAlign w:val="center"/>
          </w:tcPr>
          <w:p>
            <w:pPr>
              <w:pStyle w:val="Normal"/>
              <w:widowControl/>
              <w:shd w:val="clear" w:color="auto" w:fill="FFFFFF" w:themeFill="background1"/>
              <w:spacing w:lineRule="auto" w:line="278" w:beforeAutospacing="0" w:before="0" w:afterAutospacing="0" w:after="0"/>
              <w:jc w:val="left"/>
              <w:rPr>
                <w:rFonts w:ascii="Arial" w:hAnsi="Arial" w:eastAsia="Arial" w:cs="Arial" w:asciiTheme="minorAscii" w:cstheme="minorAscii" w:eastAsiaTheme="minorAscii" w:hAnsiTheme="minorAscii"/>
                <w:color w:val="000000" w:themeColor="text1" w:themeShade="ff" w:themeTint="ff"/>
                <w:sz w:val="22"/>
                <w:szCs w:val="22"/>
              </w:rPr>
            </w:pPr>
            <w:r>
              <w:rPr>
                <w:rFonts w:eastAsia="Arial" w:cs="Arial" w:cstheme="minorAscii" w:eastAsiaTheme="minorAscii"/>
                <w:color w:val="000000" w:themeColor="text1" w:themeShade="ff" w:themeTint="ff"/>
                <w:kern w:val="0"/>
                <w:sz w:val="24"/>
                <w:szCs w:val="24"/>
                <w:lang w:val="en-US" w:eastAsia="ja-JP" w:bidi="ar-SA"/>
              </w:rPr>
            </w:r>
          </w:p>
        </w:tc>
      </w:tr>
    </w:tbl>
    <w:p>
      <w:pPr>
        <w:pStyle w:val="Normal"/>
        <w:shd w:val="clear" w:color="auto" w:fill="FFFFFF" w:themeFill="background1"/>
        <w:bidi w:val="0"/>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bidi w:val="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1.0 Introduction</w:t>
      </w: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 xml:space="preserve"> </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Pret A Manger is a leading UK-based fresh food retailer with over 400 stores nationwide and a global workforce exceeding 12,000 employees (Pret A Manger, 2024). Operating in a fast-paced, customer-centric sector, the company’s HR function faces evolving challenges shaped by digital transformation, shifting labour markets, and growing demands for inclusive workplaces. This report analyses three key strategic factors: technological advancement, talent acquisition and retention, and Diversity, Equity and Inclusion (DEI). It evaluates contemporary HR practices to address these factors, assesses the role of departmental managers in driving implementation, and provides actionable recommendations for sustainable organizational success.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2.0 Strategic HR Factors</w:t>
      </w: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 xml:space="preserve"> </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2.1 Meeting Technological Advancement</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The UK food retail sector has undergone rapid digitalization, and Pret must adapt to remain competitive. Technological shifts directly impact HR operations and workforce requirements. The Chartered Institute of Personnel and Development (CIPD, 2023a) notes that digital transformation changes job roles, requiring employees to develop new technical and cognitive skills. For Pret, the introduction of self-service kiosks, mobile ordering apps, and automated inventory systems means frontline staff now need digital literacy alongside traditional customer service skills, creating a noticeable skills gap among long-serving employees.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Furthermore, the use of Human Resource Information Systems (HRIS) and workforce analytics allows data-driven decision-making, but this requires HR teams to build capabilities in data management and compliance with the General Data Protection Regulation (GDPR) (Taylor et al., 2022). Even in store-based roles, collaborative tools and communication platforms are increasingly used, altering how teams interact and perform. While Artificial Intelligence (AI) offers opportunities to streamline processes, scholars warn that unregulated use can conflict with Pret’s brand identity, which relies heavily on human connection and personal interaction (Stone et al., 2023).</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2.2 Talent Acquisition and Retention</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The hospitality sector faces average annual turnover rates of 60%, presenting a major operational and financial challenge for Pret (UK Hospitality, 2023). Post-Brexit immigration reforms have restricted access to international labour, a group that has historically made up a significant proportion of the company’s workforce (Forde et al., 2022). Simultaneously, competition for staff has intensified, as supermarkets and delivery platforms offer comparable wages with perceived better working conditions.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Changing employee expectations also drives retention challenges. According to CIPD (2024), modern workers prioritize career progression, flexible working arrangements, and organizational purposes over basic pay alone. Many entry-level roles at Pret are still viewed as temporary positions, partly due to historical reliance on zero-hours contracts, which has impacted employer reputation. Additionally, as business operations become more complex, there is growing demand for staff with leadership, digital, and problem-solving skills, yet traditional training pathways remain informal and inconsistent across locations (Kersley et al., 2023).</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2.3 Diversity, Equity and Inclusion (DEI)</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While Pret employs staff from over 110 nationalities, reflecting the diversity of its customer base, meaningful inclusion remains a key priority. ACAS (2023) highlights that diversity without equity creates gaps in opportunity, and this is evident in Pret’s structure: while frontline teams are highly diverse, leadership and management roles remain dominated by white British nationals, women, and disabled employees are underrepresented in senior positions.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Equity issues also persist, particularly for migrant and part-time workers, who may face language barriers or cultural biases that limit access to training and promotions (Oswick &amp; Grant, 2022). Fast-paced store environments can inadvertently create exclusionary cultures, where communication styles and working norms leave some employees feeling undervalued. Moreover, in an era where consumers judge brands on ethical standards, research shows that strong DEI practices directly correlate with customer loyalty and brand reputation (Robinson et al., 2023).</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3.0 Evaluation of Contemporary HR Practices</w:t>
      </w: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 xml:space="preserve"> </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3.1 Addressing Technological Advancement</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To manage digital change, Pret has adopted several contemporary HR practices. Digital upskilling programmers combine in-store training and e-learning modules to build staff capability. CIPD (2023b) supports this approach, noting that blended learning is most effective for operational staff. However, evaluation suggests that time constraints during peak hours limit participation, meaning skills development remains inconsistent.</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The implementation of integrated HRIS, such as Workday, has streamlined payroll, performance tracking, and workforce planning. Taylor et al. (2022) argue that these systems improve efficiency and accuracy, but also introduce risks related to data security and employee surveillance, which can reduce trust if not managed transparently. AI-powered recruitment tools have also been introduced to screen applications faster; while this reduces administrative burden, Stone et al. (2023) caution that algorithms trained on historical data can perpetuate bias, potentially overlooking candidates with strong interpersonal skills vital to Pret’s culture. Overall, these practices are effective for operational goals but require human oversight to protect organizational values.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3.2 Enhancing Talent Acquisition and Retention</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Pret has transformed its approach to talent management through employer branding and structured development. The “Feel Good, Do Good” campaign highlights community involvement and employee wellbeing, aligning recruitment with organizational values. Forde et al. (2022) confirm that value-based recruitment attracts candidates with higher engagement levels, though delivery must match marketing to avoid disillusionment.</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The “Pret Pathway” programmer provides clear progression routes from team member to manager, with accredited training and financial support. Internal data shows this reduces turnover by 20% among participants, yet access is largely restricted to full-time staff, creating inequity (Pret A Manger, 2024). Moving away from zero-hours contracts to guaranteed-hour contracts has also improved job security. However, UK Hospitality (2023) notes that flexibility remains a key requirement for many workers, meaning shift-sharing options must be balanced with operational needs. These strategies have strengthened retention, but inclusivity must be extended to all contract types.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3.3 Advancing Diversity, Equity and Inclusion</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Contemporary DEI practices at Pret include blind recruitment, bias training, and employee networks. Removing names and educational details from initial applications has increased shortlist diversity, though ACAS (2023) notes that bias often re-emerges in face-to-face interviews. Mandatory unconscious bias training raises awareness, but critics argue that one-off workshops rarely drive long-term behavioral change (Oswick &amp; Grant, 2022).</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Employee Resource Groups (ERGs) such as Pret Pride and the Ethnic Diversity Forum provide peer support and advise senior leaders. Robinson et al. (2023) find that ERGs are successful when backed by budget and leadership influence, though this support varies across regions. Regular pay equity audits identify gaps based on gender and ethnicity, leading to targeted salary adjustments. While this builds transparency, structural segregation of roles means progress remains slow. Collectively, these practices establish a strong foundation, but embedding DEI requires integration into every HR process, from induction to exit interviews.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4.0 Critical Evaluation of Departmental Managers’ Role</w:t>
      </w: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 xml:space="preserve"> </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Departmental managers—including store managers and regional leads—act as the critical interface between HR policy and daily practice, making their role essential in delivering results with urgency.</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4.1 Driving Technological Implementation</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Managers are responsible for introducing new systems and supporting staff through change. However, many lack training in digital leadership, leading to inconsistent adoption. CIPD (2023b) states that change fails without frontline leadership; if managers view technology only as an efficient tool rather than a development opportunity, staff resistance grows. Urgent action is required to upskill managers, enabling them to create protected learning time and foster peer-support networks. When managed well, technology can reduce administrative burden and create more time for customer service and team engagement.</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4.2 Improving Talent Outcomes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Research consistently shows that employees leave managers, not organizations (Kersley et al., 2023). At Pret, store managers directly influence retention through communication, recognition, and career guidance. However, pressure to meet sales targets often shifts focus away from people management. To address this, HR must make people metrics—such as turnover and engagement—core components of manager performance reviews. Urgency is critical, as high turnover increases recruitment costs and reduces service quality. Empowered managers can turn workplaces into environments where employees feel valued and motivated to stay.</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4.3 Embedding Inclusive Cultures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Managers shape workplace norms and are responsible for addressing discrimination or exclusion. Oswick &amp; Grant (2022) argue that DEI policies remain symbolic unless managers actively enforce them. Many managers hold unconscious biases, so ongoing training and accountability frameworks are necessary. Managers must ensure equal access to shifts, training, and promotions, regardless of background or contract type. This requires urgent cultural change, as inclusive environments not only improve employee wellbeing but also enhance innovation and understanding of diverse customer needs.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4.4 Overcoming Barriers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Common challenges include limited time, resource constraints, and conflicting priorities. Senior leadership must communicate clearly that people's practices are as important as financial targets. When managers are given the authority and support to adapt practices to their team’s needs, implementation becomes smoother and more effective.</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5.0 Conclusion and Recommendations</w:t>
      </w: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 xml:space="preserve"> </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5.1 Conclusion</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Pret A Manger’s HR challenges mirror sector-wide trends but are amplified by its unique brand promise. While contemporary practices provide strong solutions, their success relies on consistent implementation and leadership commitment. Technological advancement, talent management, and DEI are interconnected; addressing one requires progress in the others to build a resilient, engaged workforce.</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5.2 Recommendations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1. Integrate digital training with career pathways to ensure all staff benefit from new technologies.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2. Extend progression opportunities and benefits to part-time and temporary employees.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3. Deliver ongoing leadership training focused on inclusive management and leadership.</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4. Establish clear KPIs to measure progress and hold managers accountable for people's outcomes.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b/>
          <w:bCs/>
          <w:i w:val="false"/>
          <w:i w:val="false"/>
          <w:iCs w:val="false"/>
          <w:caps w:val="false"/>
          <w:smallCaps w:val="false"/>
          <w:color w:val="000000" w:themeColor="text1" w:themeShade="ff" w:themeTint="ff"/>
          <w:sz w:val="22"/>
          <w:szCs w:val="22"/>
          <w:lang w:val="en-US"/>
        </w:rPr>
      </w:pPr>
      <w:r>
        <w:rPr>
          <w:rFonts w:eastAsia="Arial" w:cs="Arial" w:cstheme="minorAscii" w:eastAsiaTheme="minorAscii"/>
          <w:b/>
          <w:bCs/>
          <w:i w:val="false"/>
          <w:iCs w:val="false"/>
          <w:caps w:val="false"/>
          <w:smallCaps w:val="false"/>
          <w:color w:val="000000" w:themeColor="text1" w:themeShade="ff" w:themeTint="ff"/>
          <w:sz w:val="22"/>
          <w:szCs w:val="22"/>
          <w:lang w:val="en-US"/>
        </w:rPr>
        <w:t>References</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sz w:val="22"/>
          <w:szCs w:val="22"/>
        </w:rPr>
      </w:pPr>
      <w:r>
        <w:rPr>
          <w:rFonts w:eastAsia="Arial" w:cs="Arial" w:cstheme="minorAscii" w:eastAsiaTheme="minorAscii"/>
          <w:sz w:val="22"/>
          <w:szCs w:val="22"/>
        </w:rPr>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ACAS (2023) Equality, Diversity, and Inclusion in the Workplace. London: Advisory, Conciliation and Arbitration Service.</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CIPD (2023) Technology and the Future of Work. London: Chartered Institute of Personnel and Development.</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CIPD (2023b) Learning and Development at Work. London: Chartered Institute of Personnel and Development.</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CIPD (2024) Employee Outlook Report. London: Chartered Institute of Personnel and Development.</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Forde, C., et al. (2022) Labour Market Changes and Hospitality Work. Work, Employment and Society, 36(2), pp. 245–262.</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Kersley, B., et al. (2023) Inside the Workplace: Findings from the Employment Relations Survey. London: Routledge.</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Oswick, C. and Grant, D. (2022). Rethinking Diversity Management. Human Resource Management Journal, 32(1), pp. 1–18.</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Pret A Manger (2024) Responsible Business Report. London: Pret A Manger Ltd.</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Robinson, S., et al. (2023) DEI and Brand Performance. Journal of Strategic Marketing, 31(4), pp. 421–438.</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Stone, D., et al. (2023). AI in HR: Opportunities and Risks. Human Resource Management Review, 33(2), p.100924.</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Taylor, S., et al. (2022). Human Resource Management: An Introduction. London: CIPD/Kogan Page.</w:t>
      </w:r>
    </w:p>
    <w:p>
      <w:pPr>
        <w:pStyle w:val="Normal"/>
        <w:shd w:val="clear" w:color="auto" w:fill="FFFFFF" w:themeFill="background1"/>
        <w:spacing w:beforeAutospacing="0" w:before="0" w:afterAutospacing="0" w:after="0"/>
        <w:rPr>
          <w:rFonts w:ascii="Arial" w:hAnsi="Arial" w:eastAsia="Arial" w:cs="Arial" w:asciiTheme="minorAscii" w:cstheme="minorAscii" w:eastAsiaTheme="minorAscii" w:hAnsiTheme="minorAscii"/>
          <w:b w:val="false"/>
          <w:b w:val="false"/>
          <w:bCs w:val="false"/>
          <w:i w:val="false"/>
          <w:i w:val="false"/>
          <w:iCs w:val="false"/>
          <w:caps w:val="false"/>
          <w:smallCaps w:val="false"/>
          <w:color w:val="000000" w:themeColor="text1" w:themeShade="ff" w:themeTint="ff"/>
          <w:sz w:val="22"/>
          <w:szCs w:val="22"/>
          <w:lang w:val="en-US"/>
        </w:rPr>
      </w:pPr>
      <w:r>
        <w:rPr>
          <w:rFonts w:eastAsia="Arial" w:cs="Arial" w:cstheme="minorAscii" w:eastAsiaTheme="minorAscii"/>
          <w:b w:val="false"/>
          <w:bCs w:val="false"/>
          <w:i w:val="false"/>
          <w:iCs w:val="false"/>
          <w:caps w:val="false"/>
          <w:smallCaps w:val="false"/>
          <w:color w:val="000000" w:themeColor="text1" w:themeShade="ff" w:themeTint="ff"/>
          <w:sz w:val="22"/>
          <w:szCs w:val="22"/>
          <w:lang w:val="en-US"/>
        </w:rPr>
        <w:t>UK Hospitality (2023) State of the Sector Report. London: UK Hospitality.</w:t>
      </w:r>
    </w:p>
    <w:p>
      <w:pPr>
        <w:pStyle w:val="Normal"/>
        <w:widowControl/>
        <w:bidi w:val="0"/>
        <w:spacing w:lineRule="auto" w:line="278" w:before="0" w:after="160"/>
        <w:jc w:val="left"/>
        <w:rPr/>
      </w:pPr>
      <w:r>
        <w:rPr/>
      </w:r>
    </w:p>
    <w:sectPr>
      <w:headerReference w:type="default" r:id="rId3"/>
      <w:footerReference w:type="default" r:id="rId4"/>
      <w:type w:val="nextPage"/>
      <w:pgSz w:w="12240" w:h="15840"/>
      <w:pgMar w:left="1440" w:right="1440" w:gutter="0" w:header="720" w:top="1440" w:footer="72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Liberation Sans">
    <w:altName w:val="Arial"/>
    <w:charset w:val="00"/>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9360" w:type="dxa"/>
      <w:jc w:val="left"/>
      <w:tblInd w:w="0" w:type="dxa"/>
      <w:tblLayout w:type="fixed"/>
      <w:tblCellMar>
        <w:top w:w="0" w:type="dxa"/>
        <w:left w:w="108" w:type="dxa"/>
        <w:bottom w:w="0" w:type="dxa"/>
        <w:right w:w="108" w:type="dxa"/>
      </w:tblCellMar>
      <w:tblLook w:firstRow="1" w:noVBand="1" w:lastRow="0" w:firstColumn="1" w:lastColumn="0" w:noHBand="1" w:val="06a0"/>
    </w:tblPr>
    <w:tblGrid>
      <w:gridCol w:w="3120"/>
      <w:gridCol w:w="3120"/>
      <w:gridCol w:w="3120"/>
    </w:tblGrid>
    <w:tr>
      <w:trPr>
        <w:trHeight w:val="300" w:hRule="atLeast"/>
      </w:trPr>
      <w:tc>
        <w:tcPr>
          <w:tcW w:w="3120" w:type="dxa"/>
          <w:tcBorders/>
        </w:tcPr>
        <w:p>
          <w:pPr>
            <w:pStyle w:val="Header"/>
            <w:widowControl/>
            <w:bidi w:val="0"/>
            <w:spacing w:before="0" w:after="0"/>
            <w:ind w:left="-115" w:hanging="0"/>
            <w:jc w:val="left"/>
            <w:rPr>
              <w:rFonts w:ascii="Arial" w:hAnsi="Arial" w:eastAsia="" w:cs=""/>
              <w:kern w:val="0"/>
              <w:sz w:val="24"/>
              <w:szCs w:val="24"/>
              <w:lang w:val="en-US" w:eastAsia="ja-JP" w:bidi="ar-SA"/>
            </w:rPr>
          </w:pPr>
          <w:r>
            <w:rPr>
              <w:rFonts w:eastAsia="" w:cs=""/>
              <w:kern w:val="0"/>
              <w:sz w:val="24"/>
              <w:szCs w:val="24"/>
              <w:lang w:val="en-US" w:eastAsia="ja-JP" w:bidi="ar-SA"/>
            </w:rPr>
          </w:r>
        </w:p>
      </w:tc>
      <w:tc>
        <w:tcPr>
          <w:tcW w:w="3120" w:type="dxa"/>
          <w:tcBorders/>
        </w:tcPr>
        <w:p>
          <w:pPr>
            <w:pStyle w:val="Header"/>
            <w:widowControl/>
            <w:bidi w:val="0"/>
            <w:spacing w:before="0" w:after="0"/>
            <w:jc w:val="center"/>
            <w:rPr>
              <w:rFonts w:ascii="Arial" w:hAnsi="Arial" w:eastAsia="" w:cs=""/>
              <w:kern w:val="0"/>
              <w:sz w:val="24"/>
              <w:szCs w:val="24"/>
              <w:lang w:val="en-US" w:eastAsia="ja-JP" w:bidi="ar-SA"/>
            </w:rPr>
          </w:pPr>
          <w:r>
            <w:rPr>
              <w:rFonts w:eastAsia="" w:cs=""/>
              <w:kern w:val="0"/>
              <w:sz w:val="24"/>
              <w:szCs w:val="24"/>
              <w:lang w:val="en-US" w:eastAsia="ja-JP" w:bidi="ar-SA"/>
            </w:rPr>
          </w:r>
        </w:p>
      </w:tc>
      <w:tc>
        <w:tcPr>
          <w:tcW w:w="3120" w:type="dxa"/>
          <w:tcBorders/>
        </w:tcPr>
        <w:p>
          <w:pPr>
            <w:pStyle w:val="Header"/>
            <w:widowControl/>
            <w:bidi w:val="0"/>
            <w:spacing w:before="0" w:after="0"/>
            <w:ind w:right="-115" w:hanging="0"/>
            <w:jc w:val="right"/>
            <w:rPr>
              <w:rFonts w:ascii="Arial" w:hAnsi="Arial" w:eastAsia="" w:cs=""/>
              <w:kern w:val="0"/>
              <w:sz w:val="24"/>
              <w:szCs w:val="24"/>
              <w:lang w:val="en-US" w:eastAsia="ja-JP" w:bidi="ar-SA"/>
            </w:rPr>
          </w:pPr>
          <w:r>
            <w:rPr>
              <w:rFonts w:eastAsia="" w:cs=""/>
              <w:kern w:val="0"/>
              <w:sz w:val="24"/>
              <w:szCs w:val="24"/>
              <w:lang w:val="en-US" w:eastAsia="ja-JP" w:bidi="ar-SA"/>
            </w:rPr>
            <w:fldChar w:fldCharType="begin"/>
          </w:r>
          <w:r>
            <w:rPr>
              <w:sz w:val="24"/>
              <w:kern w:val="0"/>
              <w:szCs w:val="24"/>
              <w:rFonts w:eastAsia="" w:cs=""/>
              <w:lang w:val="en-US" w:eastAsia="ja-JP" w:bidi="ar-SA"/>
            </w:rPr>
            <w:instrText> PAGE </w:instrText>
          </w:r>
          <w:r>
            <w:rPr>
              <w:sz w:val="24"/>
              <w:kern w:val="0"/>
              <w:szCs w:val="24"/>
              <w:rFonts w:eastAsia="" w:cs=""/>
              <w:lang w:val="en-US" w:eastAsia="ja-JP" w:bidi="ar-SA"/>
            </w:rPr>
            <w:fldChar w:fldCharType="separate"/>
          </w:r>
          <w:r>
            <w:rPr>
              <w:sz w:val="24"/>
              <w:kern w:val="0"/>
              <w:szCs w:val="24"/>
              <w:rFonts w:eastAsia="" w:cs=""/>
              <w:lang w:val="en-US" w:eastAsia="ja-JP" w:bidi="ar-SA"/>
            </w:rPr>
            <w:t>7</w:t>
          </w:r>
          <w:r>
            <w:rPr>
              <w:sz w:val="24"/>
              <w:kern w:val="0"/>
              <w:szCs w:val="24"/>
              <w:rFonts w:eastAsia="" w:cs=""/>
              <w:lang w:val="en-US" w:eastAsia="ja-JP" w:bidi="ar-SA"/>
            </w:rPr>
            <w:fldChar w:fldCharType="end"/>
          </w:r>
        </w:p>
      </w:tc>
    </w:tr>
  </w:tbl>
  <w:p>
    <w:pPr>
      <w:pStyle w:val="Footer"/>
      <w:bidi w:val="0"/>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9360" w:type="dxa"/>
      <w:jc w:val="left"/>
      <w:tblInd w:w="0" w:type="dxa"/>
      <w:tblLayout w:type="fixed"/>
      <w:tblCellMar>
        <w:top w:w="0" w:type="dxa"/>
        <w:left w:w="108" w:type="dxa"/>
        <w:bottom w:w="0" w:type="dxa"/>
        <w:right w:w="108" w:type="dxa"/>
      </w:tblCellMar>
      <w:tblLook w:firstRow="1" w:noVBand="1" w:lastRow="0" w:firstColumn="1" w:lastColumn="0" w:noHBand="1" w:val="06a0"/>
    </w:tblPr>
    <w:tblGrid>
      <w:gridCol w:w="3120"/>
      <w:gridCol w:w="3120"/>
      <w:gridCol w:w="3120"/>
    </w:tblGrid>
    <w:tr>
      <w:trPr>
        <w:trHeight w:val="300" w:hRule="atLeast"/>
      </w:trPr>
      <w:tc>
        <w:tcPr>
          <w:tcW w:w="3120" w:type="dxa"/>
          <w:tcBorders/>
        </w:tcPr>
        <w:p>
          <w:pPr>
            <w:pStyle w:val="Header"/>
            <w:widowControl/>
            <w:bidi w:val="0"/>
            <w:spacing w:before="0" w:after="0"/>
            <w:ind w:left="-115" w:hanging="0"/>
            <w:jc w:val="left"/>
            <w:rPr>
              <w:rFonts w:ascii="Arial" w:hAnsi="Arial" w:eastAsia="" w:cs=""/>
              <w:kern w:val="0"/>
              <w:sz w:val="24"/>
              <w:szCs w:val="24"/>
              <w:lang w:val="en-US" w:eastAsia="ja-JP" w:bidi="ar-SA"/>
            </w:rPr>
          </w:pPr>
          <w:r>
            <w:rPr>
              <w:rFonts w:eastAsia="" w:cs=""/>
              <w:kern w:val="0"/>
              <w:sz w:val="24"/>
              <w:szCs w:val="24"/>
              <w:lang w:val="en-US" w:eastAsia="ja-JP" w:bidi="ar-SA"/>
            </w:rPr>
          </w:r>
        </w:p>
      </w:tc>
      <w:tc>
        <w:tcPr>
          <w:tcW w:w="3120" w:type="dxa"/>
          <w:tcBorders/>
        </w:tcPr>
        <w:p>
          <w:pPr>
            <w:pStyle w:val="Header"/>
            <w:widowControl/>
            <w:bidi w:val="0"/>
            <w:spacing w:before="0" w:after="0"/>
            <w:jc w:val="center"/>
            <w:rPr>
              <w:rFonts w:ascii="Arial" w:hAnsi="Arial" w:eastAsia="" w:cs=""/>
              <w:kern w:val="0"/>
              <w:sz w:val="24"/>
              <w:szCs w:val="24"/>
              <w:lang w:val="en-US" w:eastAsia="ja-JP" w:bidi="ar-SA"/>
            </w:rPr>
          </w:pPr>
          <w:r>
            <w:rPr>
              <w:rFonts w:eastAsia="" w:cs=""/>
              <w:kern w:val="0"/>
              <w:sz w:val="24"/>
              <w:szCs w:val="24"/>
              <w:lang w:val="en-US" w:eastAsia="ja-JP" w:bidi="ar-SA"/>
            </w:rPr>
          </w:r>
        </w:p>
      </w:tc>
      <w:tc>
        <w:tcPr>
          <w:tcW w:w="3120" w:type="dxa"/>
          <w:tcBorders/>
        </w:tcPr>
        <w:p>
          <w:pPr>
            <w:pStyle w:val="Header"/>
            <w:widowControl/>
            <w:bidi w:val="0"/>
            <w:spacing w:before="0" w:after="0"/>
            <w:ind w:right="-115" w:hanging="0"/>
            <w:jc w:val="right"/>
            <w:rPr>
              <w:rFonts w:ascii="Arial" w:hAnsi="Arial" w:eastAsia="" w:cs=""/>
              <w:kern w:val="0"/>
              <w:sz w:val="24"/>
              <w:szCs w:val="24"/>
              <w:lang w:val="en-US" w:eastAsia="ja-JP" w:bidi="ar-SA"/>
            </w:rPr>
          </w:pPr>
          <w:r>
            <w:rPr>
              <w:rFonts w:eastAsia="" w:cs=""/>
              <w:kern w:val="0"/>
              <w:sz w:val="24"/>
              <w:szCs w:val="24"/>
              <w:lang w:val="en-US" w:eastAsia="ja-JP" w:bidi="ar-SA"/>
            </w:rPr>
          </w:r>
        </w:p>
      </w:tc>
    </w:tr>
  </w:tbl>
  <w:p>
    <w:pPr>
      <w:pStyle w:val="Header"/>
      <w:bidi w:val="0"/>
      <w:rPr/>
    </w:pPr>
    <w:r>
      <w:rPr/>
    </w:r>
  </w:p>
</w:hd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 w:cs="" w:asciiTheme="minorHAnsi" w:cstheme="minorBidi" w:eastAsiaTheme="minorEastAsia" w:hAnsiTheme="minorHAnsi"/>
        <w:sz w:val="24"/>
        <w:szCs w:val="24"/>
        <w:lang w:val="en-US" w:eastAsia="ja-JP"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78" w:before="0" w:after="160"/>
      <w:jc w:val="left"/>
    </w:pPr>
    <w:rPr>
      <w:rFonts w:ascii="Arial" w:hAnsi="Arial" w:eastAsia="" w:cs="" w:asciiTheme="minorHAnsi" w:cstheme="minorBidi" w:eastAsiaTheme="minorEastAsia" w:hAnsiTheme="minorHAnsi"/>
      <w:color w:val="auto"/>
      <w:kern w:val="0"/>
      <w:sz w:val="24"/>
      <w:szCs w:val="24"/>
      <w:lang w:val="en-US" w:eastAsia="ja-JP" w:bidi="ar-SA"/>
    </w:rPr>
  </w:style>
  <w:style w:type="character" w:styleId="DefaultParagraphFont" w:default="1">
    <w:name w:val="Default Paragraph Font"/>
    <w:uiPriority w:val="1"/>
    <w:semiHidden/>
    <w:unhideWhenUsed/>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HeaderandFooter">
    <w:name w:val="Header and Footer"/>
    <w:basedOn w:val="Normal"/>
    <w:qFormat/>
    <w:pPr/>
    <w:rPr/>
  </w:style>
  <w:style w:type="paragraph" w:styleId="Header">
    <w:name w:val="Header"/>
    <w:basedOn w:val="Normal"/>
    <w:uiPriority w:val="99"/>
    <w:unhideWhenUsed/>
    <w:rsid w:val="00fb0e76"/>
    <w:pPr>
      <w:tabs>
        <w:tab w:val="clear" w:pos="720"/>
        <w:tab w:val="center" w:pos="4680" w:leader="none"/>
        <w:tab w:val="right" w:pos="9360" w:leader="none"/>
      </w:tabs>
      <w:spacing w:lineRule="auto" w:line="240" w:before="0" w:after="0"/>
    </w:pPr>
    <w:rPr/>
  </w:style>
  <w:style w:type="paragraph" w:styleId="Footer">
    <w:name w:val="Footer"/>
    <w:basedOn w:val="Normal"/>
    <w:uiPriority w:val="99"/>
    <w:unhideWhenUsed/>
    <w:rsid w:val="00fb0e76"/>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footer" Target="footer1.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Application>LibreOffice/7.2.4.1$Windows_X86_64 LibreOffice_project/27d75539669ac387bb498e35313b970b7fe9c4f9</Application>
  <AppVersion>15.0000</AppVersion>
  <Pages>7</Pages>
  <Words>1833</Words>
  <Characters>11678</Characters>
  <CharactersWithSpaces>13392</CharactersWithSpaces>
  <Paragraphs>119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2026-04-27T15:57:08Z</dcterms:created>
  <dc:creator>yasir ibrahem</dc:creator>
  <dc:description/>
  <dc:language>en-GB</dc:language>
  <cp:lastModifiedBy>yasir ibrahem</cp:lastModifiedBy>
  <dcterms:modified xsi:type="dcterms:W3CDTF">2026-04-27T16:18:03Z</dcterms:modified>
  <cp:revision>0</cp:revision>
  <dc:subject/>
  <dc:title/>
</cp:coreProperties>
</file>

<file path=docProps/custom.xml><?xml version="1.0" encoding="utf-8"?>
<Properties xmlns="http://schemas.openxmlformats.org/officeDocument/2006/custom-properties" xmlns:vt="http://schemas.openxmlformats.org/officeDocument/2006/docPropsVTypes"/>
</file>