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754789986"/>
        <w:docPartObj>
          <w:docPartGallery w:val="Cover Pages"/>
          <w:docPartUnique/>
        </w:docPartObj>
      </w:sdtPr>
      <w:sdtContent>
        <w:p w14:paraId="13219F19" w14:textId="06200C26" w:rsidR="00316B41" w:rsidRDefault="00316B41">
          <w:pPr>
            <w:rPr>
              <w:rFonts w:ascii="Arial" w:hAnsi="Arial" w:cs="Arial"/>
              <w:sz w:val="24"/>
              <w:szCs w:val="24"/>
            </w:rPr>
          </w:pPr>
          <w:r w:rsidRPr="00316B41">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4A0F0567" wp14:editId="3D4F190F">
                    <wp:simplePos x="0" y="0"/>
                    <wp:positionH relativeFrom="page">
                      <wp:align>center</wp:align>
                    </wp:positionH>
                    <wp:positionV relativeFrom="page">
                      <wp:align>center</wp:align>
                    </wp:positionV>
                    <wp:extent cx="6858000" cy="9144000"/>
                    <wp:effectExtent l="0" t="0" r="2540" b="635"/>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582267" w14:textId="6D2DFB5A" w:rsidR="00316B41" w:rsidRDefault="00316B4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C2CB876" w14:textId="323C9563" w:rsidR="00316B41" w:rsidRDefault="00316B41">
                                      <w:pPr>
                                        <w:pStyle w:val="NoSpacing"/>
                                        <w:rPr>
                                          <w:color w:val="FFFFFF" w:themeColor="background1"/>
                                          <w:sz w:val="28"/>
                                          <w:szCs w:val="28"/>
                                        </w:rPr>
                                      </w:pPr>
                                      <w:proofErr w:type="spellStart"/>
                                      <w:r w:rsidRPr="00316B41">
                                        <w:rPr>
                                          <w:color w:val="FFFFFF" w:themeColor="background1"/>
                                          <w:sz w:val="28"/>
                                          <w:szCs w:val="28"/>
                                        </w:rPr>
                                        <w:t>Shail</w:t>
                                      </w:r>
                                      <w:proofErr w:type="spellEnd"/>
                                      <w:r w:rsidRPr="00316B41">
                                        <w:rPr>
                                          <w:color w:val="FFFFFF" w:themeColor="background1"/>
                                          <w:sz w:val="28"/>
                                          <w:szCs w:val="28"/>
                                        </w:rPr>
                                        <w:t xml:space="preserve"> Preet Kaur - 2225484</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AA546" w14:textId="294CFB92" w:rsidR="00316B41" w:rsidRDefault="00316B41" w:rsidP="00316B41">
                                  <w:pPr>
                                    <w:pStyle w:val="NoSpacing"/>
                                    <w:rPr>
                                      <w:color w:val="FFFFFF" w:themeColor="background1"/>
                                      <w:sz w:val="18"/>
                                      <w:szCs w:val="18"/>
                                    </w:rPr>
                                  </w:pPr>
                                  <w:r w:rsidRPr="00316B41">
                                    <w:rPr>
                                      <w:color w:val="FFFFFF" w:themeColor="background1"/>
                                      <w:sz w:val="18"/>
                                      <w:szCs w:val="18"/>
                                    </w:rPr>
                                    <w:t>Environmental Sustainability in the Hospitality Industry - BMMB7004</w:t>
                                  </w:r>
                                </w:p>
                                <w:p w14:paraId="65844EFE" w14:textId="77777777" w:rsidR="00316B41" w:rsidRDefault="00316B41" w:rsidP="00316B41">
                                  <w:pPr>
                                    <w:pStyle w:val="NoSpacing"/>
                                    <w:rPr>
                                      <w:color w:val="FFFFFF" w:themeColor="background1"/>
                                      <w:sz w:val="18"/>
                                      <w:szCs w:val="18"/>
                                    </w:rPr>
                                  </w:pPr>
                                </w:p>
                                <w:p w14:paraId="2F71F8BC" w14:textId="4DEF153F" w:rsidR="00316B41" w:rsidRDefault="00316B41" w:rsidP="00316B41">
                                  <w:pPr>
                                    <w:pStyle w:val="NoSpacing"/>
                                    <w:rPr>
                                      <w:color w:val="FFFFFF" w:themeColor="background1"/>
                                      <w:sz w:val="18"/>
                                      <w:szCs w:val="18"/>
                                    </w:rPr>
                                  </w:pPr>
                                  <w:r>
                                    <w:rPr>
                                      <w:color w:val="FFFFFF" w:themeColor="background1"/>
                                      <w:sz w:val="18"/>
                                      <w:szCs w:val="18"/>
                                    </w:rPr>
                                    <w:t>Words: 5153</w:t>
                                  </w:r>
                                </w:p>
                                <w:p w14:paraId="634B7C80" w14:textId="77777777" w:rsidR="00316B41" w:rsidRDefault="00316B41" w:rsidP="00316B41">
                                  <w:pPr>
                                    <w:pStyle w:val="NoSpacing"/>
                                    <w:rPr>
                                      <w:color w:val="FFFFFF" w:themeColor="background1"/>
                                      <w:sz w:val="18"/>
                                      <w:szCs w:val="18"/>
                                    </w:rPr>
                                  </w:pPr>
                                </w:p>
                                <w:p w14:paraId="6FDC0FD0" w14:textId="436BFFA3" w:rsidR="00316B41" w:rsidRDefault="00316B41" w:rsidP="00316B41">
                                  <w:pPr>
                                    <w:pStyle w:val="NoSpacing"/>
                                    <w:rPr>
                                      <w:color w:val="FFFFFF" w:themeColor="background1"/>
                                      <w:sz w:val="18"/>
                                      <w:szCs w:val="18"/>
                                    </w:rPr>
                                  </w:pPr>
                                  <w:r>
                                    <w:rPr>
                                      <w:color w:val="FFFFFF" w:themeColor="background1"/>
                                      <w:sz w:val="18"/>
                                      <w:szCs w:val="18"/>
                                    </w:rPr>
                                    <w:t xml:space="preserve">Lecturer: </w:t>
                                  </w:r>
                                  <w:r w:rsidRPr="00316B41">
                                    <w:rPr>
                                      <w:color w:val="FFFFFF" w:themeColor="background1"/>
                                      <w:sz w:val="18"/>
                                      <w:szCs w:val="18"/>
                                    </w:rPr>
                                    <w:t>Dr Jayne Griffith-Parry</w:t>
                                  </w:r>
                                </w:p>
                                <w:p w14:paraId="3941A5EC" w14:textId="77777777" w:rsidR="00316B41" w:rsidRDefault="00316B41" w:rsidP="00316B41">
                                  <w:pPr>
                                    <w:pStyle w:val="NoSpacing"/>
                                    <w:rPr>
                                      <w:color w:val="FFFFFF" w:themeColor="background1"/>
                                      <w:sz w:val="18"/>
                                      <w:szCs w:val="18"/>
                                    </w:rPr>
                                  </w:pPr>
                                </w:p>
                                <w:p w14:paraId="29F003CB" w14:textId="77777777" w:rsidR="00316B41" w:rsidRDefault="00316B41" w:rsidP="00316B41">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A0F0567" id="Group 6"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5C582267" w14:textId="6D2DFB5A" w:rsidR="00316B41" w:rsidRDefault="00316B41">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Portfolio</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3C2CB876" w14:textId="323C9563" w:rsidR="00316B41" w:rsidRDefault="00316B41">
                                <w:pPr>
                                  <w:pStyle w:val="NoSpacing"/>
                                  <w:rPr>
                                    <w:color w:val="FFFFFF" w:themeColor="background1"/>
                                    <w:sz w:val="28"/>
                                    <w:szCs w:val="28"/>
                                  </w:rPr>
                                </w:pPr>
                                <w:proofErr w:type="spellStart"/>
                                <w:r w:rsidRPr="00316B41">
                                  <w:rPr>
                                    <w:color w:val="FFFFFF" w:themeColor="background1"/>
                                    <w:sz w:val="28"/>
                                    <w:szCs w:val="28"/>
                                  </w:rPr>
                                  <w:t>Shail</w:t>
                                </w:r>
                                <w:proofErr w:type="spellEnd"/>
                                <w:r w:rsidRPr="00316B41">
                                  <w:rPr>
                                    <w:color w:val="FFFFFF" w:themeColor="background1"/>
                                    <w:sz w:val="28"/>
                                    <w:szCs w:val="28"/>
                                  </w:rPr>
                                  <w:t xml:space="preserve"> Preet Kaur - 2225484</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p w14:paraId="2F5AA546" w14:textId="294CFB92" w:rsidR="00316B41" w:rsidRDefault="00316B41" w:rsidP="00316B41">
                            <w:pPr>
                              <w:pStyle w:val="NoSpacing"/>
                              <w:rPr>
                                <w:color w:val="FFFFFF" w:themeColor="background1"/>
                                <w:sz w:val="18"/>
                                <w:szCs w:val="18"/>
                              </w:rPr>
                            </w:pPr>
                            <w:r w:rsidRPr="00316B41">
                              <w:rPr>
                                <w:color w:val="FFFFFF" w:themeColor="background1"/>
                                <w:sz w:val="18"/>
                                <w:szCs w:val="18"/>
                              </w:rPr>
                              <w:t>Environmental Sustainability in the Hospitality Industry - BMMB7004</w:t>
                            </w:r>
                          </w:p>
                          <w:p w14:paraId="65844EFE" w14:textId="77777777" w:rsidR="00316B41" w:rsidRDefault="00316B41" w:rsidP="00316B41">
                            <w:pPr>
                              <w:pStyle w:val="NoSpacing"/>
                              <w:rPr>
                                <w:color w:val="FFFFFF" w:themeColor="background1"/>
                                <w:sz w:val="18"/>
                                <w:szCs w:val="18"/>
                              </w:rPr>
                            </w:pPr>
                          </w:p>
                          <w:p w14:paraId="2F71F8BC" w14:textId="4DEF153F" w:rsidR="00316B41" w:rsidRDefault="00316B41" w:rsidP="00316B41">
                            <w:pPr>
                              <w:pStyle w:val="NoSpacing"/>
                              <w:rPr>
                                <w:color w:val="FFFFFF" w:themeColor="background1"/>
                                <w:sz w:val="18"/>
                                <w:szCs w:val="18"/>
                              </w:rPr>
                            </w:pPr>
                            <w:r>
                              <w:rPr>
                                <w:color w:val="FFFFFF" w:themeColor="background1"/>
                                <w:sz w:val="18"/>
                                <w:szCs w:val="18"/>
                              </w:rPr>
                              <w:t>Words: 5153</w:t>
                            </w:r>
                          </w:p>
                          <w:p w14:paraId="634B7C80" w14:textId="77777777" w:rsidR="00316B41" w:rsidRDefault="00316B41" w:rsidP="00316B41">
                            <w:pPr>
                              <w:pStyle w:val="NoSpacing"/>
                              <w:rPr>
                                <w:color w:val="FFFFFF" w:themeColor="background1"/>
                                <w:sz w:val="18"/>
                                <w:szCs w:val="18"/>
                              </w:rPr>
                            </w:pPr>
                          </w:p>
                          <w:p w14:paraId="6FDC0FD0" w14:textId="436BFFA3" w:rsidR="00316B41" w:rsidRDefault="00316B41" w:rsidP="00316B41">
                            <w:pPr>
                              <w:pStyle w:val="NoSpacing"/>
                              <w:rPr>
                                <w:color w:val="FFFFFF" w:themeColor="background1"/>
                                <w:sz w:val="18"/>
                                <w:szCs w:val="18"/>
                              </w:rPr>
                            </w:pPr>
                            <w:r>
                              <w:rPr>
                                <w:color w:val="FFFFFF" w:themeColor="background1"/>
                                <w:sz w:val="18"/>
                                <w:szCs w:val="18"/>
                              </w:rPr>
                              <w:t xml:space="preserve">Lecturer: </w:t>
                            </w:r>
                            <w:r w:rsidRPr="00316B41">
                              <w:rPr>
                                <w:color w:val="FFFFFF" w:themeColor="background1"/>
                                <w:sz w:val="18"/>
                                <w:szCs w:val="18"/>
                              </w:rPr>
                              <w:t>Dr Jayne Griffith-Parry</w:t>
                            </w:r>
                          </w:p>
                          <w:p w14:paraId="3941A5EC" w14:textId="77777777" w:rsidR="00316B41" w:rsidRDefault="00316B41" w:rsidP="00316B41">
                            <w:pPr>
                              <w:pStyle w:val="NoSpacing"/>
                              <w:rPr>
                                <w:color w:val="FFFFFF" w:themeColor="background1"/>
                                <w:sz w:val="18"/>
                                <w:szCs w:val="18"/>
                              </w:rPr>
                            </w:pPr>
                          </w:p>
                          <w:p w14:paraId="29F003CB" w14:textId="77777777" w:rsidR="00316B41" w:rsidRDefault="00316B41" w:rsidP="00316B41">
                            <w:pPr>
                              <w:pStyle w:val="NoSpacing"/>
                              <w:rPr>
                                <w:color w:val="FFFFFF" w:themeColor="background1"/>
                                <w:sz w:val="18"/>
                                <w:szCs w:val="18"/>
                              </w:rPr>
                            </w:pPr>
                          </w:p>
                        </w:txbxContent>
                      </v:textbox>
                    </v:shape>
                    <w10:wrap anchorx="page" anchory="page"/>
                  </v:group>
                </w:pict>
              </mc:Fallback>
            </mc:AlternateContent>
          </w:r>
          <w:r>
            <w:rPr>
              <w:rFonts w:ascii="Arial" w:hAnsi="Arial" w:cs="Arial"/>
              <w:sz w:val="24"/>
              <w:szCs w:val="24"/>
            </w:rPr>
            <w:br w:type="page"/>
          </w:r>
        </w:p>
      </w:sdtContent>
    </w:sdt>
    <w:sdt>
      <w:sdtPr>
        <w:id w:val="113873692"/>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42533709" w14:textId="2FC3BE35" w:rsidR="00316B41" w:rsidRDefault="00316B41">
          <w:pPr>
            <w:pStyle w:val="TOCHeading"/>
          </w:pPr>
          <w:r>
            <w:t>Table of Contents</w:t>
          </w:r>
        </w:p>
        <w:p w14:paraId="65D131F7" w14:textId="153407F8" w:rsidR="00316B41" w:rsidRDefault="00316B41">
          <w:pPr>
            <w:pStyle w:val="TOC1"/>
            <w:tabs>
              <w:tab w:val="left" w:pos="440"/>
              <w:tab w:val="right" w:leader="dot" w:pos="9350"/>
            </w:tabs>
            <w:rPr>
              <w:rFonts w:eastAsiaTheme="minorEastAsia"/>
              <w:noProof/>
              <w:kern w:val="0"/>
              <w:lang w:eastAsia="en-GB"/>
              <w14:ligatures w14:val="none"/>
            </w:rPr>
          </w:pPr>
          <w:r>
            <w:fldChar w:fldCharType="begin"/>
          </w:r>
          <w:r>
            <w:instrText xml:space="preserve"> TOC \o "1-3" \h \z \u </w:instrText>
          </w:r>
          <w:r>
            <w:fldChar w:fldCharType="separate"/>
          </w:r>
          <w:hyperlink w:anchor="_Toc133443224" w:history="1">
            <w:r w:rsidRPr="004B1DC2">
              <w:rPr>
                <w:rStyle w:val="Hyperlink"/>
                <w:rFonts w:ascii="Arial" w:hAnsi="Arial" w:cs="Arial"/>
                <w:noProof/>
              </w:rPr>
              <w:t>1.</w:t>
            </w:r>
            <w:r>
              <w:rPr>
                <w:rFonts w:eastAsiaTheme="minorEastAsia"/>
                <w:noProof/>
                <w:kern w:val="0"/>
                <w:lang w:eastAsia="en-GB"/>
                <w14:ligatures w14:val="none"/>
              </w:rPr>
              <w:tab/>
            </w:r>
            <w:r w:rsidRPr="004B1DC2">
              <w:rPr>
                <w:rStyle w:val="Hyperlink"/>
                <w:rFonts w:ascii="Arial" w:hAnsi="Arial" w:cs="Arial"/>
                <w:noProof/>
              </w:rPr>
              <w:t>Essay: Environmental Experience - 530 words</w:t>
            </w:r>
            <w:r>
              <w:rPr>
                <w:noProof/>
                <w:webHidden/>
              </w:rPr>
              <w:tab/>
            </w:r>
            <w:r>
              <w:rPr>
                <w:noProof/>
                <w:webHidden/>
              </w:rPr>
              <w:fldChar w:fldCharType="begin"/>
            </w:r>
            <w:r>
              <w:rPr>
                <w:noProof/>
                <w:webHidden/>
              </w:rPr>
              <w:instrText xml:space="preserve"> PAGEREF _Toc133443224 \h </w:instrText>
            </w:r>
            <w:r>
              <w:rPr>
                <w:noProof/>
                <w:webHidden/>
              </w:rPr>
            </w:r>
            <w:r>
              <w:rPr>
                <w:noProof/>
                <w:webHidden/>
              </w:rPr>
              <w:fldChar w:fldCharType="separate"/>
            </w:r>
            <w:r>
              <w:rPr>
                <w:noProof/>
                <w:webHidden/>
              </w:rPr>
              <w:t>2</w:t>
            </w:r>
            <w:r>
              <w:rPr>
                <w:noProof/>
                <w:webHidden/>
              </w:rPr>
              <w:fldChar w:fldCharType="end"/>
            </w:r>
          </w:hyperlink>
        </w:p>
        <w:p w14:paraId="2576CD90" w14:textId="0ECD238E" w:rsidR="00316B41" w:rsidRDefault="00316B41">
          <w:pPr>
            <w:pStyle w:val="TOC1"/>
            <w:tabs>
              <w:tab w:val="left" w:pos="440"/>
              <w:tab w:val="right" w:leader="dot" w:pos="9350"/>
            </w:tabs>
            <w:rPr>
              <w:rFonts w:eastAsiaTheme="minorEastAsia"/>
              <w:noProof/>
              <w:kern w:val="0"/>
              <w:lang w:eastAsia="en-GB"/>
              <w14:ligatures w14:val="none"/>
            </w:rPr>
          </w:pPr>
          <w:hyperlink w:anchor="_Toc133443225" w:history="1">
            <w:r w:rsidRPr="004B1DC2">
              <w:rPr>
                <w:rStyle w:val="Hyperlink"/>
                <w:rFonts w:ascii="Arial" w:hAnsi="Arial" w:cs="Arial"/>
                <w:noProof/>
              </w:rPr>
              <w:t>2.</w:t>
            </w:r>
            <w:r>
              <w:rPr>
                <w:rFonts w:eastAsiaTheme="minorEastAsia"/>
                <w:noProof/>
                <w:kern w:val="0"/>
                <w:lang w:eastAsia="en-GB"/>
                <w14:ligatures w14:val="none"/>
              </w:rPr>
              <w:tab/>
            </w:r>
            <w:r w:rsidRPr="004B1DC2">
              <w:rPr>
                <w:rStyle w:val="Hyperlink"/>
                <w:rFonts w:ascii="Arial" w:hAnsi="Arial" w:cs="Arial"/>
                <w:noProof/>
              </w:rPr>
              <w:t>Report: Fiscal and Economic Incentives – 843 words</w:t>
            </w:r>
            <w:r>
              <w:rPr>
                <w:noProof/>
                <w:webHidden/>
              </w:rPr>
              <w:tab/>
            </w:r>
            <w:r>
              <w:rPr>
                <w:noProof/>
                <w:webHidden/>
              </w:rPr>
              <w:fldChar w:fldCharType="begin"/>
            </w:r>
            <w:r>
              <w:rPr>
                <w:noProof/>
                <w:webHidden/>
              </w:rPr>
              <w:instrText xml:space="preserve"> PAGEREF _Toc133443225 \h </w:instrText>
            </w:r>
            <w:r>
              <w:rPr>
                <w:noProof/>
                <w:webHidden/>
              </w:rPr>
            </w:r>
            <w:r>
              <w:rPr>
                <w:noProof/>
                <w:webHidden/>
              </w:rPr>
              <w:fldChar w:fldCharType="separate"/>
            </w:r>
            <w:r>
              <w:rPr>
                <w:noProof/>
                <w:webHidden/>
              </w:rPr>
              <w:t>5</w:t>
            </w:r>
            <w:r>
              <w:rPr>
                <w:noProof/>
                <w:webHidden/>
              </w:rPr>
              <w:fldChar w:fldCharType="end"/>
            </w:r>
          </w:hyperlink>
        </w:p>
        <w:p w14:paraId="59B8E3C7" w14:textId="587650C7" w:rsidR="00316B41" w:rsidRDefault="00316B41">
          <w:pPr>
            <w:pStyle w:val="TOC1"/>
            <w:tabs>
              <w:tab w:val="left" w:pos="440"/>
              <w:tab w:val="right" w:leader="dot" w:pos="9350"/>
            </w:tabs>
            <w:rPr>
              <w:rFonts w:eastAsiaTheme="minorEastAsia"/>
              <w:noProof/>
              <w:kern w:val="0"/>
              <w:lang w:eastAsia="en-GB"/>
              <w14:ligatures w14:val="none"/>
            </w:rPr>
          </w:pPr>
          <w:hyperlink w:anchor="_Toc133443226" w:history="1">
            <w:r w:rsidRPr="004B1DC2">
              <w:rPr>
                <w:rStyle w:val="Hyperlink"/>
                <w:rFonts w:ascii="Arial" w:hAnsi="Arial" w:cs="Arial"/>
                <w:noProof/>
              </w:rPr>
              <w:t>3.</w:t>
            </w:r>
            <w:r>
              <w:rPr>
                <w:rFonts w:eastAsiaTheme="minorEastAsia"/>
                <w:noProof/>
                <w:kern w:val="0"/>
                <w:lang w:eastAsia="en-GB"/>
                <w14:ligatures w14:val="none"/>
              </w:rPr>
              <w:tab/>
            </w:r>
            <w:r w:rsidRPr="004B1DC2">
              <w:rPr>
                <w:rStyle w:val="Hyperlink"/>
                <w:rFonts w:ascii="Arial" w:hAnsi="Arial" w:cs="Arial"/>
                <w:noProof/>
              </w:rPr>
              <w:t>Case Study: Regulatory Affairs - 464</w:t>
            </w:r>
            <w:r>
              <w:rPr>
                <w:noProof/>
                <w:webHidden/>
              </w:rPr>
              <w:tab/>
            </w:r>
            <w:r>
              <w:rPr>
                <w:noProof/>
                <w:webHidden/>
              </w:rPr>
              <w:fldChar w:fldCharType="begin"/>
            </w:r>
            <w:r>
              <w:rPr>
                <w:noProof/>
                <w:webHidden/>
              </w:rPr>
              <w:instrText xml:space="preserve"> PAGEREF _Toc133443226 \h </w:instrText>
            </w:r>
            <w:r>
              <w:rPr>
                <w:noProof/>
                <w:webHidden/>
              </w:rPr>
            </w:r>
            <w:r>
              <w:rPr>
                <w:noProof/>
                <w:webHidden/>
              </w:rPr>
              <w:fldChar w:fldCharType="separate"/>
            </w:r>
            <w:r>
              <w:rPr>
                <w:noProof/>
                <w:webHidden/>
              </w:rPr>
              <w:t>9</w:t>
            </w:r>
            <w:r>
              <w:rPr>
                <w:noProof/>
                <w:webHidden/>
              </w:rPr>
              <w:fldChar w:fldCharType="end"/>
            </w:r>
          </w:hyperlink>
        </w:p>
        <w:p w14:paraId="25073AA9" w14:textId="1DD72222" w:rsidR="00316B41" w:rsidRDefault="00316B41">
          <w:pPr>
            <w:pStyle w:val="TOC1"/>
            <w:tabs>
              <w:tab w:val="left" w:pos="440"/>
              <w:tab w:val="right" w:leader="dot" w:pos="9350"/>
            </w:tabs>
            <w:rPr>
              <w:rFonts w:eastAsiaTheme="minorEastAsia"/>
              <w:noProof/>
              <w:kern w:val="0"/>
              <w:lang w:eastAsia="en-GB"/>
              <w14:ligatures w14:val="none"/>
            </w:rPr>
          </w:pPr>
          <w:hyperlink w:anchor="_Toc133443227" w:history="1">
            <w:r w:rsidRPr="004B1DC2">
              <w:rPr>
                <w:rStyle w:val="Hyperlink"/>
                <w:rFonts w:ascii="Arial" w:hAnsi="Arial" w:cs="Arial"/>
                <w:noProof/>
              </w:rPr>
              <w:t>4.</w:t>
            </w:r>
            <w:r>
              <w:rPr>
                <w:rFonts w:eastAsiaTheme="minorEastAsia"/>
                <w:noProof/>
                <w:kern w:val="0"/>
                <w:lang w:eastAsia="en-GB"/>
                <w14:ligatures w14:val="none"/>
              </w:rPr>
              <w:tab/>
            </w:r>
            <w:r w:rsidRPr="004B1DC2">
              <w:rPr>
                <w:rStyle w:val="Hyperlink"/>
                <w:rFonts w:ascii="Arial" w:hAnsi="Arial" w:cs="Arial"/>
                <w:noProof/>
              </w:rPr>
              <w:t>Journal Entry. Guest Experience – 414 words</w:t>
            </w:r>
            <w:r>
              <w:rPr>
                <w:noProof/>
                <w:webHidden/>
              </w:rPr>
              <w:tab/>
            </w:r>
            <w:r>
              <w:rPr>
                <w:noProof/>
                <w:webHidden/>
              </w:rPr>
              <w:fldChar w:fldCharType="begin"/>
            </w:r>
            <w:r>
              <w:rPr>
                <w:noProof/>
                <w:webHidden/>
              </w:rPr>
              <w:instrText xml:space="preserve"> PAGEREF _Toc133443227 \h </w:instrText>
            </w:r>
            <w:r>
              <w:rPr>
                <w:noProof/>
                <w:webHidden/>
              </w:rPr>
            </w:r>
            <w:r>
              <w:rPr>
                <w:noProof/>
                <w:webHidden/>
              </w:rPr>
              <w:fldChar w:fldCharType="separate"/>
            </w:r>
            <w:r>
              <w:rPr>
                <w:noProof/>
                <w:webHidden/>
              </w:rPr>
              <w:t>12</w:t>
            </w:r>
            <w:r>
              <w:rPr>
                <w:noProof/>
                <w:webHidden/>
              </w:rPr>
              <w:fldChar w:fldCharType="end"/>
            </w:r>
          </w:hyperlink>
        </w:p>
        <w:p w14:paraId="2162386B" w14:textId="7F552605" w:rsidR="00316B41" w:rsidRDefault="00316B41">
          <w:pPr>
            <w:pStyle w:val="TOC1"/>
            <w:tabs>
              <w:tab w:val="left" w:pos="440"/>
              <w:tab w:val="right" w:leader="dot" w:pos="9350"/>
            </w:tabs>
            <w:rPr>
              <w:rFonts w:eastAsiaTheme="minorEastAsia"/>
              <w:noProof/>
              <w:kern w:val="0"/>
              <w:lang w:eastAsia="en-GB"/>
              <w14:ligatures w14:val="none"/>
            </w:rPr>
          </w:pPr>
          <w:hyperlink w:anchor="_Toc133443228" w:history="1">
            <w:r w:rsidRPr="004B1DC2">
              <w:rPr>
                <w:rStyle w:val="Hyperlink"/>
                <w:rFonts w:ascii="Arial" w:hAnsi="Arial" w:cs="Arial"/>
                <w:noProof/>
              </w:rPr>
              <w:t>5.</w:t>
            </w:r>
            <w:r>
              <w:rPr>
                <w:rFonts w:eastAsiaTheme="minorEastAsia"/>
                <w:noProof/>
                <w:kern w:val="0"/>
                <w:lang w:eastAsia="en-GB"/>
                <w14:ligatures w14:val="none"/>
              </w:rPr>
              <w:tab/>
            </w:r>
            <w:r w:rsidRPr="004B1DC2">
              <w:rPr>
                <w:rStyle w:val="Hyperlink"/>
                <w:rFonts w:ascii="Arial" w:hAnsi="Arial" w:cs="Arial"/>
                <w:noProof/>
              </w:rPr>
              <w:t>Literature Review: Brand Image - 656</w:t>
            </w:r>
            <w:r>
              <w:rPr>
                <w:noProof/>
                <w:webHidden/>
              </w:rPr>
              <w:tab/>
            </w:r>
            <w:r>
              <w:rPr>
                <w:noProof/>
                <w:webHidden/>
              </w:rPr>
              <w:fldChar w:fldCharType="begin"/>
            </w:r>
            <w:r>
              <w:rPr>
                <w:noProof/>
                <w:webHidden/>
              </w:rPr>
              <w:instrText xml:space="preserve"> PAGEREF _Toc133443228 \h </w:instrText>
            </w:r>
            <w:r>
              <w:rPr>
                <w:noProof/>
                <w:webHidden/>
              </w:rPr>
            </w:r>
            <w:r>
              <w:rPr>
                <w:noProof/>
                <w:webHidden/>
              </w:rPr>
              <w:fldChar w:fldCharType="separate"/>
            </w:r>
            <w:r>
              <w:rPr>
                <w:noProof/>
                <w:webHidden/>
              </w:rPr>
              <w:t>14</w:t>
            </w:r>
            <w:r>
              <w:rPr>
                <w:noProof/>
                <w:webHidden/>
              </w:rPr>
              <w:fldChar w:fldCharType="end"/>
            </w:r>
          </w:hyperlink>
        </w:p>
        <w:p w14:paraId="501B1E3D" w14:textId="6DBCFB2F" w:rsidR="00316B41" w:rsidRDefault="00316B41">
          <w:pPr>
            <w:pStyle w:val="TOC1"/>
            <w:tabs>
              <w:tab w:val="left" w:pos="440"/>
              <w:tab w:val="right" w:leader="dot" w:pos="9350"/>
            </w:tabs>
            <w:rPr>
              <w:rFonts w:eastAsiaTheme="minorEastAsia"/>
              <w:noProof/>
              <w:kern w:val="0"/>
              <w:lang w:eastAsia="en-GB"/>
              <w14:ligatures w14:val="none"/>
            </w:rPr>
          </w:pPr>
          <w:hyperlink w:anchor="_Toc133443229" w:history="1">
            <w:r w:rsidRPr="004B1DC2">
              <w:rPr>
                <w:rStyle w:val="Hyperlink"/>
                <w:rFonts w:ascii="Arial" w:hAnsi="Arial" w:cs="Arial"/>
                <w:noProof/>
              </w:rPr>
              <w:t>6.</w:t>
            </w:r>
            <w:r>
              <w:rPr>
                <w:rFonts w:eastAsiaTheme="minorEastAsia"/>
                <w:noProof/>
                <w:kern w:val="0"/>
                <w:lang w:eastAsia="en-GB"/>
                <w14:ligatures w14:val="none"/>
              </w:rPr>
              <w:tab/>
            </w:r>
            <w:r w:rsidRPr="004B1DC2">
              <w:rPr>
                <w:rStyle w:val="Hyperlink"/>
                <w:rFonts w:ascii="Arial" w:hAnsi="Arial" w:cs="Arial"/>
                <w:noProof/>
              </w:rPr>
              <w:t>Presentation: Staff Experience: 868 words</w:t>
            </w:r>
            <w:r>
              <w:rPr>
                <w:noProof/>
                <w:webHidden/>
              </w:rPr>
              <w:tab/>
            </w:r>
            <w:r>
              <w:rPr>
                <w:noProof/>
                <w:webHidden/>
              </w:rPr>
              <w:fldChar w:fldCharType="begin"/>
            </w:r>
            <w:r>
              <w:rPr>
                <w:noProof/>
                <w:webHidden/>
              </w:rPr>
              <w:instrText xml:space="preserve"> PAGEREF _Toc133443229 \h </w:instrText>
            </w:r>
            <w:r>
              <w:rPr>
                <w:noProof/>
                <w:webHidden/>
              </w:rPr>
            </w:r>
            <w:r>
              <w:rPr>
                <w:noProof/>
                <w:webHidden/>
              </w:rPr>
              <w:fldChar w:fldCharType="separate"/>
            </w:r>
            <w:r>
              <w:rPr>
                <w:noProof/>
                <w:webHidden/>
              </w:rPr>
              <w:t>17</w:t>
            </w:r>
            <w:r>
              <w:rPr>
                <w:noProof/>
                <w:webHidden/>
              </w:rPr>
              <w:fldChar w:fldCharType="end"/>
            </w:r>
          </w:hyperlink>
        </w:p>
        <w:p w14:paraId="3B63DAEF" w14:textId="4E6A5B88" w:rsidR="00316B41" w:rsidRDefault="00316B41">
          <w:pPr>
            <w:pStyle w:val="TOC1"/>
            <w:tabs>
              <w:tab w:val="left" w:pos="440"/>
              <w:tab w:val="right" w:leader="dot" w:pos="9350"/>
            </w:tabs>
            <w:rPr>
              <w:rFonts w:eastAsiaTheme="minorEastAsia"/>
              <w:noProof/>
              <w:kern w:val="0"/>
              <w:lang w:eastAsia="en-GB"/>
              <w14:ligatures w14:val="none"/>
            </w:rPr>
          </w:pPr>
          <w:hyperlink w:anchor="_Toc133443230" w:history="1">
            <w:r w:rsidRPr="004B1DC2">
              <w:rPr>
                <w:rStyle w:val="Hyperlink"/>
                <w:rFonts w:ascii="Arial" w:hAnsi="Arial" w:cs="Arial"/>
                <w:noProof/>
              </w:rPr>
              <w:t>7.</w:t>
            </w:r>
            <w:r>
              <w:rPr>
                <w:rFonts w:eastAsiaTheme="minorEastAsia"/>
                <w:noProof/>
                <w:kern w:val="0"/>
                <w:lang w:eastAsia="en-GB"/>
                <w14:ligatures w14:val="none"/>
              </w:rPr>
              <w:tab/>
            </w:r>
            <w:r w:rsidRPr="004B1DC2">
              <w:rPr>
                <w:rStyle w:val="Hyperlink"/>
                <w:rFonts w:ascii="Arial" w:hAnsi="Arial" w:cs="Arial"/>
                <w:noProof/>
              </w:rPr>
              <w:t>Reflection: 787</w:t>
            </w:r>
            <w:r>
              <w:rPr>
                <w:noProof/>
                <w:webHidden/>
              </w:rPr>
              <w:tab/>
            </w:r>
            <w:r>
              <w:rPr>
                <w:noProof/>
                <w:webHidden/>
              </w:rPr>
              <w:fldChar w:fldCharType="begin"/>
            </w:r>
            <w:r>
              <w:rPr>
                <w:noProof/>
                <w:webHidden/>
              </w:rPr>
              <w:instrText xml:space="preserve"> PAGEREF _Toc133443230 \h </w:instrText>
            </w:r>
            <w:r>
              <w:rPr>
                <w:noProof/>
                <w:webHidden/>
              </w:rPr>
            </w:r>
            <w:r>
              <w:rPr>
                <w:noProof/>
                <w:webHidden/>
              </w:rPr>
              <w:fldChar w:fldCharType="separate"/>
            </w:r>
            <w:r>
              <w:rPr>
                <w:noProof/>
                <w:webHidden/>
              </w:rPr>
              <w:t>18</w:t>
            </w:r>
            <w:r>
              <w:rPr>
                <w:noProof/>
                <w:webHidden/>
              </w:rPr>
              <w:fldChar w:fldCharType="end"/>
            </w:r>
          </w:hyperlink>
        </w:p>
        <w:p w14:paraId="00D2D553" w14:textId="1724F4E9" w:rsidR="00316B41" w:rsidRDefault="00316B41">
          <w:pPr>
            <w:pStyle w:val="TOC1"/>
            <w:tabs>
              <w:tab w:val="left" w:pos="440"/>
              <w:tab w:val="right" w:leader="dot" w:pos="9350"/>
            </w:tabs>
            <w:rPr>
              <w:rFonts w:eastAsiaTheme="minorEastAsia"/>
              <w:noProof/>
              <w:kern w:val="0"/>
              <w:lang w:eastAsia="en-GB"/>
              <w14:ligatures w14:val="none"/>
            </w:rPr>
          </w:pPr>
          <w:hyperlink w:anchor="_Toc133443231" w:history="1">
            <w:r w:rsidRPr="004B1DC2">
              <w:rPr>
                <w:rStyle w:val="Hyperlink"/>
                <w:rFonts w:ascii="Arial" w:hAnsi="Arial" w:cs="Arial"/>
                <w:noProof/>
              </w:rPr>
              <w:t>8.</w:t>
            </w:r>
            <w:r>
              <w:rPr>
                <w:rFonts w:eastAsiaTheme="minorEastAsia"/>
                <w:noProof/>
                <w:kern w:val="0"/>
                <w:lang w:eastAsia="en-GB"/>
                <w14:ligatures w14:val="none"/>
              </w:rPr>
              <w:tab/>
            </w:r>
            <w:r w:rsidRPr="004B1DC2">
              <w:rPr>
                <w:rStyle w:val="Hyperlink"/>
                <w:rFonts w:ascii="Arial" w:hAnsi="Arial" w:cs="Arial"/>
                <w:noProof/>
              </w:rPr>
              <w:t>Report: - 591</w:t>
            </w:r>
            <w:r>
              <w:rPr>
                <w:noProof/>
                <w:webHidden/>
              </w:rPr>
              <w:tab/>
            </w:r>
            <w:r>
              <w:rPr>
                <w:noProof/>
                <w:webHidden/>
              </w:rPr>
              <w:fldChar w:fldCharType="begin"/>
            </w:r>
            <w:r>
              <w:rPr>
                <w:noProof/>
                <w:webHidden/>
              </w:rPr>
              <w:instrText xml:space="preserve"> PAGEREF _Toc133443231 \h </w:instrText>
            </w:r>
            <w:r>
              <w:rPr>
                <w:noProof/>
                <w:webHidden/>
              </w:rPr>
            </w:r>
            <w:r>
              <w:rPr>
                <w:noProof/>
                <w:webHidden/>
              </w:rPr>
              <w:fldChar w:fldCharType="separate"/>
            </w:r>
            <w:r>
              <w:rPr>
                <w:noProof/>
                <w:webHidden/>
              </w:rPr>
              <w:t>22</w:t>
            </w:r>
            <w:r>
              <w:rPr>
                <w:noProof/>
                <w:webHidden/>
              </w:rPr>
              <w:fldChar w:fldCharType="end"/>
            </w:r>
          </w:hyperlink>
        </w:p>
        <w:p w14:paraId="0D732293" w14:textId="334E841B" w:rsidR="00316B41" w:rsidRDefault="00316B41">
          <w:r>
            <w:rPr>
              <w:b/>
              <w:bCs/>
            </w:rPr>
            <w:fldChar w:fldCharType="end"/>
          </w:r>
        </w:p>
      </w:sdtContent>
    </w:sdt>
    <w:p w14:paraId="76C0473C" w14:textId="77777777" w:rsidR="00B525C4" w:rsidRPr="00C9576A" w:rsidRDefault="00B525C4" w:rsidP="00C9576A">
      <w:pPr>
        <w:spacing w:line="480" w:lineRule="auto"/>
        <w:rPr>
          <w:rFonts w:ascii="Arial" w:hAnsi="Arial" w:cs="Arial"/>
          <w:sz w:val="24"/>
          <w:szCs w:val="24"/>
        </w:rPr>
      </w:pPr>
    </w:p>
    <w:p w14:paraId="1BB8CC75" w14:textId="77777777" w:rsidR="00A96FCA" w:rsidRDefault="00A96FCA" w:rsidP="00C9576A">
      <w:pPr>
        <w:spacing w:line="480" w:lineRule="auto"/>
        <w:rPr>
          <w:rFonts w:ascii="Arial" w:hAnsi="Arial" w:cs="Arial"/>
          <w:sz w:val="24"/>
          <w:szCs w:val="24"/>
        </w:rPr>
      </w:pPr>
    </w:p>
    <w:p w14:paraId="02AB6B13" w14:textId="00D8E43E" w:rsidR="00F80808" w:rsidRPr="00C9576A" w:rsidRDefault="00F80808" w:rsidP="00C9576A">
      <w:pPr>
        <w:spacing w:line="480" w:lineRule="auto"/>
        <w:rPr>
          <w:rFonts w:ascii="Arial" w:hAnsi="Arial" w:cs="Arial"/>
          <w:sz w:val="24"/>
          <w:szCs w:val="24"/>
        </w:rPr>
      </w:pPr>
      <w:r w:rsidRPr="00C9576A">
        <w:rPr>
          <w:rFonts w:ascii="Arial" w:hAnsi="Arial" w:cs="Arial"/>
          <w:sz w:val="24"/>
          <w:szCs w:val="24"/>
        </w:rPr>
        <w:br w:type="page"/>
      </w:r>
    </w:p>
    <w:p w14:paraId="37F82E1E" w14:textId="479F0064" w:rsidR="00F80808" w:rsidRPr="00C9576A" w:rsidRDefault="00F80808" w:rsidP="00C9576A">
      <w:pPr>
        <w:pStyle w:val="Heading1"/>
        <w:numPr>
          <w:ilvl w:val="0"/>
          <w:numId w:val="1"/>
        </w:numPr>
        <w:spacing w:line="480" w:lineRule="auto"/>
        <w:rPr>
          <w:rFonts w:ascii="Arial" w:hAnsi="Arial" w:cs="Arial"/>
        </w:rPr>
      </w:pPr>
      <w:bookmarkStart w:id="0" w:name="_Toc133443224"/>
      <w:r w:rsidRPr="00C9576A">
        <w:rPr>
          <w:rFonts w:ascii="Arial" w:hAnsi="Arial" w:cs="Arial"/>
        </w:rPr>
        <w:lastRenderedPageBreak/>
        <w:t>Essay</w:t>
      </w:r>
      <w:r w:rsidR="00EE2ED7" w:rsidRPr="00C9576A">
        <w:rPr>
          <w:rFonts w:ascii="Arial" w:hAnsi="Arial" w:cs="Arial"/>
        </w:rPr>
        <w:t xml:space="preserve">: </w:t>
      </w:r>
      <w:r w:rsidR="00400407" w:rsidRPr="00C9576A">
        <w:rPr>
          <w:rFonts w:ascii="Arial" w:hAnsi="Arial" w:cs="Arial"/>
        </w:rPr>
        <w:t xml:space="preserve">Environmental Experience - </w:t>
      </w:r>
      <w:r w:rsidR="00337D24" w:rsidRPr="00C9576A">
        <w:rPr>
          <w:rFonts w:ascii="Arial" w:hAnsi="Arial" w:cs="Arial"/>
        </w:rPr>
        <w:t>530</w:t>
      </w:r>
      <w:r w:rsidR="00EE2ED7" w:rsidRPr="00C9576A">
        <w:rPr>
          <w:rFonts w:ascii="Arial" w:hAnsi="Arial" w:cs="Arial"/>
        </w:rPr>
        <w:t xml:space="preserve"> words</w:t>
      </w:r>
      <w:bookmarkEnd w:id="0"/>
      <w:r w:rsidR="00EE2ED7" w:rsidRPr="00C9576A">
        <w:rPr>
          <w:rFonts w:ascii="Arial" w:hAnsi="Arial" w:cs="Arial"/>
        </w:rPr>
        <w:t xml:space="preserve"> </w:t>
      </w:r>
    </w:p>
    <w:p w14:paraId="660ECA8C" w14:textId="051B15AF" w:rsidR="00073949" w:rsidRPr="00C9576A" w:rsidRDefault="00073949" w:rsidP="00C9576A">
      <w:pPr>
        <w:spacing w:line="480" w:lineRule="auto"/>
        <w:jc w:val="center"/>
        <w:rPr>
          <w:rFonts w:ascii="Arial" w:hAnsi="Arial" w:cs="Arial"/>
          <w:i/>
          <w:iCs/>
          <w:sz w:val="24"/>
          <w:szCs w:val="24"/>
        </w:rPr>
      </w:pPr>
      <w:r w:rsidRPr="00C9576A">
        <w:rPr>
          <w:rFonts w:ascii="Arial" w:hAnsi="Arial" w:cs="Arial"/>
          <w:i/>
          <w:iCs/>
          <w:sz w:val="24"/>
          <w:szCs w:val="24"/>
        </w:rPr>
        <w:t>The Importance of Sustainable Agriculture in Promoting a positive Environmental Experience for marginalised communities in South Asia</w:t>
      </w:r>
    </w:p>
    <w:p w14:paraId="607D5AE3" w14:textId="2E697BA6" w:rsidR="00073949"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Marginalised communities in South Asia face numerous environmental and socio-economic challenges, including poverty, food insecurity, and lack of access to resources. Sustainable agriculture has the potential to address these challenges by promoting a positive environmental experience for marginalised communities </w:t>
      </w:r>
      <w:r w:rsidRPr="00C9576A">
        <w:rPr>
          <w:rFonts w:ascii="Arial" w:hAnsi="Arial" w:cs="Arial"/>
          <w:sz w:val="24"/>
          <w:szCs w:val="24"/>
        </w:rPr>
        <w:fldChar w:fldCharType="begin"/>
      </w:r>
      <w:r w:rsidRPr="00C9576A">
        <w:rPr>
          <w:rFonts w:ascii="Arial" w:hAnsi="Arial" w:cs="Arial"/>
          <w:sz w:val="24"/>
          <w:szCs w:val="24"/>
        </w:rPr>
        <w:instrText xml:space="preserve"> ADDIN ZOTERO_ITEM CSL_CITATION {"citationID":"uvY3eG4d","properties":{"formattedCitation":"(Jhariya {\\i{}et al.}, 2019)","plainCitation":"(Jhariya et al., 2019)","noteIndex":0},"citationItems":[{"id":23227,"uris":["http://zotero.org/users/local/F9lgrfjK/items/47S5JKTA"],"itemData":{"id":23227,"type":"book","publisher":"Springer","source":"Google Scholar","title":"Sustainable agriculture, forest and environmental management","author":[{"family":"Jhariya","given":"Manoj Kumar"},{"family":"Banerjee","given":"Arnab"},{"family":"Meena","given":"Ram Swaroop"},{"family":"Yadav","given":"Dhiraj Kumar"}],"issued":{"date-parts":[["2019"]]}}}],"schema":"https://github.com/citation-style-language/schema/raw/master/csl-citation.json"} </w:instrText>
      </w:r>
      <w:r w:rsidRPr="00C9576A">
        <w:rPr>
          <w:rFonts w:ascii="Arial" w:hAnsi="Arial" w:cs="Arial"/>
          <w:sz w:val="24"/>
          <w:szCs w:val="24"/>
        </w:rPr>
        <w:fldChar w:fldCharType="separate"/>
      </w:r>
      <w:r w:rsidRPr="00C9576A">
        <w:rPr>
          <w:rFonts w:ascii="Arial" w:hAnsi="Arial" w:cs="Arial"/>
          <w:sz w:val="24"/>
          <w:szCs w:val="24"/>
        </w:rPr>
        <w:t xml:space="preserve">(Jhariya </w:t>
      </w:r>
      <w:r w:rsidRPr="00C9576A">
        <w:rPr>
          <w:rFonts w:ascii="Arial" w:hAnsi="Arial" w:cs="Arial"/>
          <w:i/>
          <w:iCs/>
          <w:sz w:val="24"/>
          <w:szCs w:val="24"/>
        </w:rPr>
        <w:t>et al.</w:t>
      </w:r>
      <w:r w:rsidRPr="00C9576A">
        <w:rPr>
          <w:rFonts w:ascii="Arial" w:hAnsi="Arial" w:cs="Arial"/>
          <w:sz w:val="24"/>
          <w:szCs w:val="24"/>
        </w:rPr>
        <w:t>, 2019)</w:t>
      </w:r>
      <w:r w:rsidRPr="00C9576A">
        <w:rPr>
          <w:rFonts w:ascii="Arial" w:hAnsi="Arial" w:cs="Arial"/>
          <w:sz w:val="24"/>
          <w:szCs w:val="24"/>
        </w:rPr>
        <w:fldChar w:fldCharType="end"/>
      </w:r>
      <w:r w:rsidRPr="00C9576A">
        <w:rPr>
          <w:rFonts w:ascii="Arial" w:hAnsi="Arial" w:cs="Arial"/>
          <w:sz w:val="24"/>
          <w:szCs w:val="24"/>
        </w:rPr>
        <w:t>. This essay explores the importance of sustainable agriculture in promoting a positive environmental experience for marginalised communities in South Asia, with a focus on critical discussion and real-life examples.</w:t>
      </w:r>
    </w:p>
    <w:p w14:paraId="5F0D4887" w14:textId="09E219A7" w:rsidR="00073949"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Sustainable agriculture can promote a positive environmental experience for marginalised communities in several ways. First, sustainable agriculture practices can help to improve soil health and fertility, leading to higher crop yields and better food security </w:t>
      </w:r>
      <w:r w:rsidRPr="00C9576A">
        <w:rPr>
          <w:rFonts w:ascii="Arial" w:hAnsi="Arial" w:cs="Arial"/>
          <w:sz w:val="24"/>
          <w:szCs w:val="24"/>
        </w:rPr>
        <w:fldChar w:fldCharType="begin"/>
      </w:r>
      <w:r w:rsidRPr="00C9576A">
        <w:rPr>
          <w:rFonts w:ascii="Arial" w:hAnsi="Arial" w:cs="Arial"/>
          <w:sz w:val="24"/>
          <w:szCs w:val="24"/>
        </w:rPr>
        <w:instrText xml:space="preserve"> ADDIN ZOTERO_ITEM CSL_CITATION {"citationID":"8lHRuXKt","properties":{"formattedCitation":"(M. Tahat {\\i{}et al.}, 2020)","plainCitation":"(M. Tahat et al., 2020)","noteIndex":0},"citationItems":[{"id":23235,"uris":["http://zotero.org/users/local/F9lgrfjK/items/PPDB8KR2"],"itemData":{"id":23235,"type":"article-journal","container-title":"Sustainability","issue":"12","note":"publisher: MDPI","page":"4859","source":"Google Scholar","title":"Soil health and sustainable agriculture","volume":"12","author":[{"family":"M. Tahat","given":"Monther"},{"family":"M. Alananbeh","given":"Kholoud"},{"family":"A. Othman","given":"Yahia"},{"family":"I. Leskovar","given":"Daniel"}],"issued":{"date-parts":[["2020"]]}}}],"schema":"https://github.com/citation-style-language/schema/raw/master/csl-citation.json"} </w:instrText>
      </w:r>
      <w:r w:rsidRPr="00C9576A">
        <w:rPr>
          <w:rFonts w:ascii="Arial" w:hAnsi="Arial" w:cs="Arial"/>
          <w:sz w:val="24"/>
          <w:szCs w:val="24"/>
        </w:rPr>
        <w:fldChar w:fldCharType="separate"/>
      </w:r>
      <w:r w:rsidRPr="00C9576A">
        <w:rPr>
          <w:rFonts w:ascii="Arial" w:hAnsi="Arial" w:cs="Arial"/>
          <w:sz w:val="24"/>
          <w:szCs w:val="24"/>
        </w:rPr>
        <w:t xml:space="preserve">(M. Tahat </w:t>
      </w:r>
      <w:r w:rsidRPr="00C9576A">
        <w:rPr>
          <w:rFonts w:ascii="Arial" w:hAnsi="Arial" w:cs="Arial"/>
          <w:i/>
          <w:iCs/>
          <w:sz w:val="24"/>
          <w:szCs w:val="24"/>
        </w:rPr>
        <w:t>et al.</w:t>
      </w:r>
      <w:r w:rsidRPr="00C9576A">
        <w:rPr>
          <w:rFonts w:ascii="Arial" w:hAnsi="Arial" w:cs="Arial"/>
          <w:sz w:val="24"/>
          <w:szCs w:val="24"/>
        </w:rPr>
        <w:t>, 2020)</w:t>
      </w:r>
      <w:r w:rsidRPr="00C9576A">
        <w:rPr>
          <w:rFonts w:ascii="Arial" w:hAnsi="Arial" w:cs="Arial"/>
          <w:sz w:val="24"/>
          <w:szCs w:val="24"/>
        </w:rPr>
        <w:fldChar w:fldCharType="end"/>
      </w:r>
      <w:r w:rsidRPr="00C9576A">
        <w:rPr>
          <w:rFonts w:ascii="Arial" w:hAnsi="Arial" w:cs="Arial"/>
          <w:sz w:val="24"/>
          <w:szCs w:val="24"/>
        </w:rPr>
        <w:t xml:space="preserve">. </w:t>
      </w:r>
      <w:r w:rsidR="00337D24" w:rsidRPr="00C9576A">
        <w:rPr>
          <w:rFonts w:ascii="Arial" w:hAnsi="Arial" w:cs="Arial"/>
          <w:sz w:val="24"/>
          <w:szCs w:val="24"/>
        </w:rPr>
        <w:t>Bhagat et al., (2021) show that t</w:t>
      </w:r>
      <w:r w:rsidRPr="00C9576A">
        <w:rPr>
          <w:rFonts w:ascii="Arial" w:hAnsi="Arial" w:cs="Arial"/>
          <w:sz w:val="24"/>
          <w:szCs w:val="24"/>
        </w:rPr>
        <w:t>his is particularly important for marginalised communities, who often rely on agriculture as their primary source of livelihood. Sustainable agriculture practices such as crop rotation, conservation tillage, and organic farming can enhance soil health and reduce soil erosion, leading to improved crop yields and greater resilience to climate change</w:t>
      </w:r>
      <w:r w:rsidR="00337D24" w:rsidRPr="00C9576A">
        <w:rPr>
          <w:rFonts w:ascii="Arial" w:hAnsi="Arial" w:cs="Arial"/>
          <w:sz w:val="24"/>
          <w:szCs w:val="24"/>
        </w:rPr>
        <w:t>.</w:t>
      </w:r>
    </w:p>
    <w:p w14:paraId="56E8278F" w14:textId="41454565" w:rsidR="00337D24"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Similarly, </w:t>
      </w:r>
      <w:r w:rsidR="00EE2ED7" w:rsidRPr="00C9576A">
        <w:rPr>
          <w:rFonts w:ascii="Arial" w:hAnsi="Arial" w:cs="Arial"/>
          <w:sz w:val="24"/>
          <w:szCs w:val="24"/>
        </w:rPr>
        <w:t>s</w:t>
      </w:r>
      <w:r w:rsidRPr="00C9576A">
        <w:rPr>
          <w:rFonts w:ascii="Arial" w:hAnsi="Arial" w:cs="Arial"/>
          <w:sz w:val="24"/>
          <w:szCs w:val="24"/>
        </w:rPr>
        <w:t>ustainable agriculture practices such as rainwater harvesting, drip irrigation, and conservation tillage can help to conserve water resources and improve water quality, benefiting both the environment and the community (Lal et al., 2020).</w:t>
      </w:r>
      <w:r w:rsidR="00EE2ED7" w:rsidRPr="00C9576A">
        <w:rPr>
          <w:rFonts w:ascii="Arial" w:hAnsi="Arial" w:cs="Arial"/>
          <w:sz w:val="24"/>
          <w:szCs w:val="24"/>
        </w:rPr>
        <w:t xml:space="preserve"> Sustainable</w:t>
      </w:r>
      <w:r w:rsidRPr="00C9576A">
        <w:rPr>
          <w:rFonts w:ascii="Arial" w:hAnsi="Arial" w:cs="Arial"/>
          <w:sz w:val="24"/>
          <w:szCs w:val="24"/>
        </w:rPr>
        <w:t xml:space="preserve"> practices such as agroforestry, intercropping, and crop diversification can </w:t>
      </w:r>
      <w:r w:rsidRPr="00C9576A">
        <w:rPr>
          <w:rFonts w:ascii="Arial" w:hAnsi="Arial" w:cs="Arial"/>
          <w:sz w:val="24"/>
          <w:szCs w:val="24"/>
        </w:rPr>
        <w:lastRenderedPageBreak/>
        <w:t>help to promote biodiversity and ecosystem health, leading to improved soil quality, pest management, and climate resilience (Rai et al., 2020).</w:t>
      </w:r>
      <w:r w:rsidR="00337D24" w:rsidRPr="00C9576A">
        <w:rPr>
          <w:rFonts w:ascii="Arial" w:hAnsi="Arial" w:cs="Arial"/>
          <w:sz w:val="24"/>
          <w:szCs w:val="24"/>
        </w:rPr>
        <w:t xml:space="preserve"> For instance, in Indonesia, sustainable rice farming has helped to reduce greenhouse gas emissions and conserve water resources (Pandey et al., 2020). The adoption of conservation tillage, integrated pest management, and organic farming practices has resulted in higher crop yields, reduced fertilizer use, and improved soil quality. </w:t>
      </w:r>
    </w:p>
    <w:p w14:paraId="31333033" w14:textId="27E9F2AE" w:rsidR="00073949"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Sustainable agriculture practices have been successfully implemented in several South Asian countries, with positive results for marginalised communities. For instance, in </w:t>
      </w:r>
      <w:r w:rsidR="00EE2ED7" w:rsidRPr="00C9576A">
        <w:rPr>
          <w:rFonts w:ascii="Arial" w:hAnsi="Arial" w:cs="Arial"/>
          <w:sz w:val="24"/>
          <w:szCs w:val="24"/>
        </w:rPr>
        <w:t>Thailand and China</w:t>
      </w:r>
      <w:r w:rsidRPr="00C9576A">
        <w:rPr>
          <w:rFonts w:ascii="Arial" w:hAnsi="Arial" w:cs="Arial"/>
          <w:sz w:val="24"/>
          <w:szCs w:val="24"/>
        </w:rPr>
        <w:t xml:space="preserve">, sustainable agriculture practices </w:t>
      </w:r>
      <w:r w:rsidR="00EE2ED7" w:rsidRPr="00C9576A">
        <w:rPr>
          <w:rFonts w:ascii="Arial" w:hAnsi="Arial" w:cs="Arial"/>
          <w:sz w:val="24"/>
          <w:szCs w:val="24"/>
        </w:rPr>
        <w:t xml:space="preserve">such as rice-fish cultivation has helped farmers by increasing economic benefit and reducing harmful pesticide and fertiliser use </w:t>
      </w:r>
      <w:r w:rsidR="00EE2ED7" w:rsidRPr="00C9576A">
        <w:rPr>
          <w:rFonts w:ascii="Arial" w:hAnsi="Arial" w:cs="Arial"/>
          <w:sz w:val="24"/>
          <w:szCs w:val="24"/>
        </w:rPr>
        <w:fldChar w:fldCharType="begin"/>
      </w:r>
      <w:r w:rsidR="00EE2ED7" w:rsidRPr="00C9576A">
        <w:rPr>
          <w:rFonts w:ascii="Arial" w:hAnsi="Arial" w:cs="Arial"/>
          <w:sz w:val="24"/>
          <w:szCs w:val="24"/>
        </w:rPr>
        <w:instrText xml:space="preserve"> ADDIN ZOTERO_ITEM CSL_CITATION {"citationID":"9UyK1FRu","properties":{"formattedCitation":"(Ahmed and Turchini, 2021)","plainCitation":"(Ahmed and Turchini, 2021)","noteIndex":0},"citationItems":[{"id":23238,"uris":["http://zotero.org/users/local/F9lgrfjK/items/II79CCRF"],"itemData":{"id":23238,"type":"article-journal","container-title":"Sustainability Science","note":"publisher: Springer","page":"1375–1390","source":"Google Scholar","title":"The evolution of the blue-green revolution of rice-fish cultivation for sustainable food production","volume":"16","author":[{"family":"Ahmed","given":"Nesar"},{"family":"Turchini","given":"Giovanni M."}],"issued":{"date-parts":[["2021"]]}}}],"schema":"https://github.com/citation-style-language/schema/raw/master/csl-citation.json"} </w:instrText>
      </w:r>
      <w:r w:rsidR="00EE2ED7" w:rsidRPr="00C9576A">
        <w:rPr>
          <w:rFonts w:ascii="Arial" w:hAnsi="Arial" w:cs="Arial"/>
          <w:sz w:val="24"/>
          <w:szCs w:val="24"/>
        </w:rPr>
        <w:fldChar w:fldCharType="separate"/>
      </w:r>
      <w:r w:rsidR="00EE2ED7" w:rsidRPr="00C9576A">
        <w:rPr>
          <w:rFonts w:ascii="Arial" w:hAnsi="Arial" w:cs="Arial"/>
          <w:sz w:val="24"/>
        </w:rPr>
        <w:t>(Ahmed and Turchini, 2021)</w:t>
      </w:r>
      <w:r w:rsidR="00EE2ED7" w:rsidRPr="00C9576A">
        <w:rPr>
          <w:rFonts w:ascii="Arial" w:hAnsi="Arial" w:cs="Arial"/>
          <w:sz w:val="24"/>
          <w:szCs w:val="24"/>
        </w:rPr>
        <w:fldChar w:fldCharType="end"/>
      </w:r>
      <w:r w:rsidR="00EE2ED7" w:rsidRPr="00C9576A">
        <w:rPr>
          <w:rFonts w:ascii="Arial" w:hAnsi="Arial" w:cs="Arial"/>
          <w:sz w:val="24"/>
          <w:szCs w:val="24"/>
        </w:rPr>
        <w:t xml:space="preserve">. </w:t>
      </w:r>
      <w:r w:rsidRPr="00C9576A">
        <w:rPr>
          <w:rFonts w:ascii="Arial" w:hAnsi="Arial" w:cs="Arial"/>
          <w:sz w:val="24"/>
          <w:szCs w:val="24"/>
        </w:rPr>
        <w:t>In India, sustainable agriculture practices have been successfully implemented in the drylands of Rajasthan, benefiting marginalised communities. The implementation of conservation tillage, intercropping, and rainwater harvesting has led to increased crop yields, improved soil fertility, and better water management, leading to improved livelihoods and greater resilience to climate change (Kumawat et al., 2020).</w:t>
      </w:r>
    </w:p>
    <w:p w14:paraId="3341131B" w14:textId="4AF180A4" w:rsidR="00073949" w:rsidRPr="00C9576A" w:rsidRDefault="00073949" w:rsidP="00C9576A">
      <w:pPr>
        <w:spacing w:line="480" w:lineRule="auto"/>
        <w:rPr>
          <w:rFonts w:ascii="Arial" w:hAnsi="Arial" w:cs="Arial"/>
          <w:sz w:val="24"/>
          <w:szCs w:val="24"/>
        </w:rPr>
      </w:pPr>
      <w:r w:rsidRPr="00C9576A">
        <w:rPr>
          <w:rFonts w:ascii="Arial" w:hAnsi="Arial" w:cs="Arial"/>
          <w:sz w:val="24"/>
          <w:szCs w:val="24"/>
        </w:rPr>
        <w:t>Despite the potential benefits of sustainable agriculture for marginalised communities in South Asia, several challenges exist. First, access to resources and information can be a barrier to the adoption of sustainable agriculture practices. Marginalised communities often lack access to credit, inputs, and markets, which limits their ability to adopt sustainable agriculture practices (Ramakrishnan et al., 2019).</w:t>
      </w:r>
    </w:p>
    <w:p w14:paraId="6286AFB9" w14:textId="77777777" w:rsidR="00073949"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Second, policy support for sustainable agriculture is often lacking. Governments in South Asia often prioritize conventional agriculture over sustainable agriculture, leading </w:t>
      </w:r>
      <w:r w:rsidRPr="00C9576A">
        <w:rPr>
          <w:rFonts w:ascii="Arial" w:hAnsi="Arial" w:cs="Arial"/>
          <w:sz w:val="24"/>
          <w:szCs w:val="24"/>
        </w:rPr>
        <w:lastRenderedPageBreak/>
        <w:t>to a lack of policy support and investment in sustainable agriculture practices (Nayak et al., 2021).</w:t>
      </w:r>
    </w:p>
    <w:p w14:paraId="015CA63D" w14:textId="4BB9A6DF" w:rsidR="00F80808" w:rsidRPr="00C9576A" w:rsidRDefault="00073949" w:rsidP="00C9576A">
      <w:pPr>
        <w:spacing w:line="480" w:lineRule="auto"/>
        <w:rPr>
          <w:rFonts w:ascii="Arial" w:hAnsi="Arial" w:cs="Arial"/>
          <w:sz w:val="24"/>
          <w:szCs w:val="24"/>
        </w:rPr>
      </w:pPr>
      <w:r w:rsidRPr="00C9576A">
        <w:rPr>
          <w:rFonts w:ascii="Arial" w:hAnsi="Arial" w:cs="Arial"/>
          <w:sz w:val="24"/>
          <w:szCs w:val="24"/>
        </w:rPr>
        <w:t xml:space="preserve">In </w:t>
      </w:r>
      <w:r w:rsidR="00EE2ED7" w:rsidRPr="00C9576A">
        <w:rPr>
          <w:rFonts w:ascii="Arial" w:hAnsi="Arial" w:cs="Arial"/>
          <w:sz w:val="24"/>
          <w:szCs w:val="24"/>
        </w:rPr>
        <w:t>sum</w:t>
      </w:r>
      <w:r w:rsidRPr="00C9576A">
        <w:rPr>
          <w:rFonts w:ascii="Arial" w:hAnsi="Arial" w:cs="Arial"/>
          <w:sz w:val="24"/>
          <w:szCs w:val="24"/>
        </w:rPr>
        <w:t xml:space="preserve">, </w:t>
      </w:r>
      <w:r w:rsidR="00EE2ED7" w:rsidRPr="00C9576A">
        <w:rPr>
          <w:rFonts w:ascii="Arial" w:hAnsi="Arial" w:cs="Arial"/>
          <w:sz w:val="24"/>
          <w:szCs w:val="24"/>
        </w:rPr>
        <w:t>s</w:t>
      </w:r>
      <w:r w:rsidRPr="00C9576A">
        <w:rPr>
          <w:rFonts w:ascii="Arial" w:hAnsi="Arial" w:cs="Arial"/>
          <w:sz w:val="24"/>
          <w:szCs w:val="24"/>
        </w:rPr>
        <w:t xml:space="preserve">ustainable agriculture can play a critical role in promoting a positive environmental experience for marginalised communities in South Asia. Sustainable agriculture practices </w:t>
      </w:r>
      <w:r w:rsidR="00EE2ED7" w:rsidRPr="00C9576A">
        <w:rPr>
          <w:rFonts w:ascii="Arial" w:hAnsi="Arial" w:cs="Arial"/>
          <w:sz w:val="24"/>
          <w:szCs w:val="24"/>
        </w:rPr>
        <w:t>can</w:t>
      </w:r>
      <w:r w:rsidRPr="00C9576A">
        <w:rPr>
          <w:rFonts w:ascii="Arial" w:hAnsi="Arial" w:cs="Arial"/>
          <w:sz w:val="24"/>
          <w:szCs w:val="24"/>
        </w:rPr>
        <w:t xml:space="preserve"> promote biodiversity and ecosystem health. However, several challenges exist</w:t>
      </w:r>
      <w:r w:rsidR="00EE2ED7" w:rsidRPr="00C9576A">
        <w:rPr>
          <w:rFonts w:ascii="Arial" w:hAnsi="Arial" w:cs="Arial"/>
          <w:sz w:val="24"/>
          <w:szCs w:val="24"/>
        </w:rPr>
        <w:t xml:space="preserve"> in implementation. To </w:t>
      </w:r>
      <w:r w:rsidRPr="00C9576A">
        <w:rPr>
          <w:rFonts w:ascii="Arial" w:hAnsi="Arial" w:cs="Arial"/>
          <w:sz w:val="24"/>
          <w:szCs w:val="24"/>
        </w:rPr>
        <w:t xml:space="preserve">promote sustainable agriculture and a positive environmental experience for marginalised communities, a concerted effort is needed from </w:t>
      </w:r>
      <w:r w:rsidR="00EE2ED7" w:rsidRPr="00C9576A">
        <w:rPr>
          <w:rFonts w:ascii="Arial" w:hAnsi="Arial" w:cs="Arial"/>
          <w:sz w:val="24"/>
          <w:szCs w:val="24"/>
        </w:rPr>
        <w:t>all stakeholders.</w:t>
      </w:r>
    </w:p>
    <w:p w14:paraId="061619F5" w14:textId="76CCEADF" w:rsidR="00EE2ED7" w:rsidRPr="00C9576A" w:rsidRDefault="00EE2ED7" w:rsidP="00C9576A">
      <w:pPr>
        <w:spacing w:line="480" w:lineRule="auto"/>
        <w:rPr>
          <w:rFonts w:ascii="Arial" w:hAnsi="Arial" w:cs="Arial"/>
          <w:sz w:val="24"/>
          <w:szCs w:val="24"/>
        </w:rPr>
      </w:pPr>
      <w:r w:rsidRPr="00C9576A">
        <w:rPr>
          <w:rFonts w:ascii="Arial" w:hAnsi="Arial" w:cs="Arial"/>
          <w:sz w:val="24"/>
          <w:szCs w:val="24"/>
        </w:rPr>
        <w:br w:type="page"/>
      </w:r>
    </w:p>
    <w:p w14:paraId="494A6CFA" w14:textId="2D82CEFE" w:rsidR="00EE2ED7" w:rsidRPr="00C9576A" w:rsidRDefault="00400407" w:rsidP="00C9576A">
      <w:pPr>
        <w:pStyle w:val="Heading1"/>
        <w:numPr>
          <w:ilvl w:val="0"/>
          <w:numId w:val="1"/>
        </w:numPr>
        <w:spacing w:line="480" w:lineRule="auto"/>
        <w:rPr>
          <w:rFonts w:ascii="Arial" w:hAnsi="Arial" w:cs="Arial"/>
        </w:rPr>
      </w:pPr>
      <w:bookmarkStart w:id="1" w:name="_Toc133443225"/>
      <w:r w:rsidRPr="00C9576A">
        <w:rPr>
          <w:rFonts w:ascii="Arial" w:hAnsi="Arial" w:cs="Arial"/>
        </w:rPr>
        <w:lastRenderedPageBreak/>
        <w:t xml:space="preserve">Report: Fiscal and Economic Incentives </w:t>
      </w:r>
      <w:r w:rsidR="00AA3C42" w:rsidRPr="00C9576A">
        <w:rPr>
          <w:rFonts w:ascii="Arial" w:hAnsi="Arial" w:cs="Arial"/>
        </w:rPr>
        <w:t xml:space="preserve">– </w:t>
      </w:r>
      <w:r w:rsidR="00067CA2" w:rsidRPr="00C9576A">
        <w:rPr>
          <w:rFonts w:ascii="Arial" w:hAnsi="Arial" w:cs="Arial"/>
        </w:rPr>
        <w:t>843</w:t>
      </w:r>
      <w:r w:rsidR="00AA3C42" w:rsidRPr="00C9576A">
        <w:rPr>
          <w:rFonts w:ascii="Arial" w:hAnsi="Arial" w:cs="Arial"/>
        </w:rPr>
        <w:t xml:space="preserve"> words</w:t>
      </w:r>
      <w:bookmarkEnd w:id="1"/>
    </w:p>
    <w:p w14:paraId="639E1581" w14:textId="24BC2771" w:rsidR="00400407" w:rsidRPr="00C9576A" w:rsidRDefault="00400407" w:rsidP="00C9576A">
      <w:pPr>
        <w:spacing w:line="480" w:lineRule="auto"/>
        <w:jc w:val="center"/>
        <w:rPr>
          <w:rFonts w:ascii="Arial" w:hAnsi="Arial" w:cs="Arial"/>
          <w:i/>
          <w:iCs/>
          <w:sz w:val="24"/>
          <w:szCs w:val="24"/>
        </w:rPr>
      </w:pPr>
      <w:r w:rsidRPr="00C9576A">
        <w:rPr>
          <w:rFonts w:ascii="Arial" w:hAnsi="Arial" w:cs="Arial"/>
          <w:i/>
          <w:iCs/>
          <w:sz w:val="24"/>
          <w:szCs w:val="24"/>
        </w:rPr>
        <w:t>The Effectiveness of Fiscal and Economic Incentives in Promoting Environmentally Sustainable Practices in the UK</w:t>
      </w:r>
    </w:p>
    <w:p w14:paraId="72467A42" w14:textId="6A38EBD5" w:rsidR="00FD6EDC" w:rsidRPr="00C9576A" w:rsidRDefault="00FD6EDC" w:rsidP="00C9576A">
      <w:pPr>
        <w:spacing w:line="480" w:lineRule="auto"/>
        <w:rPr>
          <w:rFonts w:ascii="Arial" w:hAnsi="Arial" w:cs="Arial"/>
          <w:b/>
          <w:bCs/>
          <w:i/>
          <w:iCs/>
          <w:sz w:val="24"/>
          <w:szCs w:val="24"/>
        </w:rPr>
      </w:pPr>
      <w:r w:rsidRPr="00C9576A">
        <w:rPr>
          <w:rFonts w:ascii="Arial" w:hAnsi="Arial" w:cs="Arial"/>
          <w:b/>
          <w:bCs/>
          <w:i/>
          <w:iCs/>
          <w:sz w:val="24"/>
          <w:szCs w:val="24"/>
        </w:rPr>
        <w:t>Executive Summary</w:t>
      </w:r>
    </w:p>
    <w:p w14:paraId="1E9EC027" w14:textId="1A743AB5" w:rsidR="00FD6EDC" w:rsidRPr="00C9576A" w:rsidRDefault="00FD6EDC" w:rsidP="00C9576A">
      <w:pPr>
        <w:spacing w:line="480" w:lineRule="auto"/>
        <w:rPr>
          <w:rFonts w:ascii="Arial" w:hAnsi="Arial" w:cs="Arial"/>
          <w:sz w:val="24"/>
          <w:szCs w:val="24"/>
        </w:rPr>
      </w:pPr>
      <w:r w:rsidRPr="00C9576A">
        <w:rPr>
          <w:rFonts w:ascii="Arial" w:hAnsi="Arial" w:cs="Arial"/>
          <w:sz w:val="24"/>
          <w:szCs w:val="24"/>
        </w:rPr>
        <w:t xml:space="preserve">Fiscal and economic incentives are important tools for promoting environmentally sustainable practices in the UK. This report explores the effectiveness of </w:t>
      </w:r>
      <w:r w:rsidR="003C6CA2" w:rsidRPr="00C9576A">
        <w:rPr>
          <w:rFonts w:ascii="Arial" w:hAnsi="Arial" w:cs="Arial"/>
          <w:sz w:val="24"/>
          <w:szCs w:val="24"/>
        </w:rPr>
        <w:t>carbon pricing</w:t>
      </w:r>
      <w:r w:rsidR="00337D24" w:rsidRPr="00C9576A">
        <w:rPr>
          <w:rFonts w:ascii="Arial" w:hAnsi="Arial" w:cs="Arial"/>
          <w:sz w:val="24"/>
          <w:szCs w:val="24"/>
        </w:rPr>
        <w:t xml:space="preserve">, </w:t>
      </w:r>
      <w:r w:rsidR="003C6CA2" w:rsidRPr="00C9576A">
        <w:rPr>
          <w:rFonts w:ascii="Arial" w:hAnsi="Arial" w:cs="Arial"/>
          <w:sz w:val="24"/>
          <w:szCs w:val="24"/>
        </w:rPr>
        <w:t xml:space="preserve">green taxes and </w:t>
      </w:r>
      <w:r w:rsidR="00337D24" w:rsidRPr="00C9576A">
        <w:rPr>
          <w:rFonts w:ascii="Arial" w:hAnsi="Arial" w:cs="Arial"/>
          <w:sz w:val="24"/>
          <w:szCs w:val="24"/>
        </w:rPr>
        <w:t xml:space="preserve">subsidies for renewable energy and </w:t>
      </w:r>
      <w:r w:rsidRPr="00C9576A">
        <w:rPr>
          <w:rFonts w:ascii="Arial" w:hAnsi="Arial" w:cs="Arial"/>
          <w:sz w:val="24"/>
          <w:szCs w:val="24"/>
        </w:rPr>
        <w:t>finds</w:t>
      </w:r>
      <w:r w:rsidR="00337D24" w:rsidRPr="00C9576A">
        <w:rPr>
          <w:rFonts w:ascii="Arial" w:hAnsi="Arial" w:cs="Arial"/>
          <w:sz w:val="24"/>
          <w:szCs w:val="24"/>
        </w:rPr>
        <w:t xml:space="preserve"> that</w:t>
      </w:r>
      <w:r w:rsidRPr="00C9576A">
        <w:rPr>
          <w:rFonts w:ascii="Arial" w:hAnsi="Arial" w:cs="Arial"/>
          <w:sz w:val="24"/>
          <w:szCs w:val="24"/>
        </w:rPr>
        <w:t xml:space="preserve"> </w:t>
      </w:r>
      <w:r w:rsidR="003C6CA2" w:rsidRPr="00C9576A">
        <w:rPr>
          <w:rFonts w:ascii="Arial" w:hAnsi="Arial" w:cs="Arial"/>
          <w:sz w:val="24"/>
          <w:szCs w:val="24"/>
        </w:rPr>
        <w:t>these</w:t>
      </w:r>
      <w:r w:rsidRPr="00C9576A">
        <w:rPr>
          <w:rFonts w:ascii="Arial" w:hAnsi="Arial" w:cs="Arial"/>
          <w:sz w:val="24"/>
          <w:szCs w:val="24"/>
        </w:rPr>
        <w:t xml:space="preserve"> fiscal and economic incentives have been effective in promoting sustainable practices</w:t>
      </w:r>
      <w:r w:rsidR="003C6CA2" w:rsidRPr="00C9576A">
        <w:rPr>
          <w:rFonts w:ascii="Arial" w:hAnsi="Arial" w:cs="Arial"/>
          <w:sz w:val="24"/>
          <w:szCs w:val="24"/>
        </w:rPr>
        <w:t xml:space="preserve"> in the United Kingdom. </w:t>
      </w:r>
    </w:p>
    <w:p w14:paraId="344CB80C" w14:textId="525A1661" w:rsidR="00FD6EDC" w:rsidRPr="00C9576A" w:rsidRDefault="00FD6EDC" w:rsidP="00C9576A">
      <w:pPr>
        <w:spacing w:line="480" w:lineRule="auto"/>
        <w:rPr>
          <w:rFonts w:ascii="Arial" w:hAnsi="Arial" w:cs="Arial"/>
          <w:b/>
          <w:bCs/>
          <w:i/>
          <w:iCs/>
          <w:sz w:val="24"/>
          <w:szCs w:val="24"/>
        </w:rPr>
      </w:pPr>
      <w:r w:rsidRPr="00C9576A">
        <w:rPr>
          <w:rFonts w:ascii="Arial" w:hAnsi="Arial" w:cs="Arial"/>
          <w:b/>
          <w:bCs/>
          <w:i/>
          <w:iCs/>
          <w:sz w:val="24"/>
          <w:szCs w:val="24"/>
        </w:rPr>
        <w:t>Introduction</w:t>
      </w:r>
    </w:p>
    <w:p w14:paraId="180B1D1B" w14:textId="40F640AD" w:rsidR="00FD6EDC" w:rsidRPr="00C9576A" w:rsidRDefault="00FD6EDC" w:rsidP="00C9576A">
      <w:pPr>
        <w:spacing w:line="480" w:lineRule="auto"/>
        <w:rPr>
          <w:rFonts w:ascii="Arial" w:hAnsi="Arial" w:cs="Arial"/>
          <w:sz w:val="24"/>
          <w:szCs w:val="24"/>
        </w:rPr>
      </w:pPr>
      <w:r w:rsidRPr="00C9576A">
        <w:rPr>
          <w:rFonts w:ascii="Arial" w:hAnsi="Arial" w:cs="Arial"/>
          <w:sz w:val="24"/>
          <w:szCs w:val="24"/>
        </w:rPr>
        <w:t xml:space="preserve">Fiscal and economic incentives are important tools for encouraging sustainable </w:t>
      </w:r>
      <w:r w:rsidR="006F3747" w:rsidRPr="00C9576A">
        <w:rPr>
          <w:rFonts w:ascii="Arial" w:hAnsi="Arial" w:cs="Arial"/>
          <w:sz w:val="24"/>
          <w:szCs w:val="24"/>
        </w:rPr>
        <w:t>behaviours</w:t>
      </w:r>
      <w:r w:rsidRPr="00C9576A">
        <w:rPr>
          <w:rFonts w:ascii="Arial" w:hAnsi="Arial" w:cs="Arial"/>
          <w:sz w:val="24"/>
          <w:szCs w:val="24"/>
        </w:rPr>
        <w:t xml:space="preserve"> by providing financial benefits or imposing financial penalties. </w:t>
      </w:r>
      <w:r w:rsidR="003C6CA2" w:rsidRPr="00C9576A">
        <w:rPr>
          <w:rFonts w:ascii="Arial" w:hAnsi="Arial" w:cs="Arial"/>
          <w:sz w:val="24"/>
          <w:szCs w:val="24"/>
        </w:rPr>
        <w:t>Therefore, this</w:t>
      </w:r>
      <w:r w:rsidRPr="00C9576A">
        <w:rPr>
          <w:rFonts w:ascii="Arial" w:hAnsi="Arial" w:cs="Arial"/>
          <w:sz w:val="24"/>
          <w:szCs w:val="24"/>
        </w:rPr>
        <w:t xml:space="preserve"> report examines the </w:t>
      </w:r>
      <w:r w:rsidR="00067CA2" w:rsidRPr="00C9576A">
        <w:rPr>
          <w:rFonts w:ascii="Arial" w:hAnsi="Arial" w:cs="Arial"/>
          <w:sz w:val="24"/>
          <w:szCs w:val="24"/>
        </w:rPr>
        <w:t xml:space="preserve">carbon pricing, green taxes and subsidies for renewable energy </w:t>
      </w:r>
      <w:r w:rsidRPr="00C9576A">
        <w:rPr>
          <w:rFonts w:ascii="Arial" w:hAnsi="Arial" w:cs="Arial"/>
          <w:sz w:val="24"/>
          <w:szCs w:val="24"/>
        </w:rPr>
        <w:t>in promoting environmentally sustainable practices in the UK</w:t>
      </w:r>
      <w:r w:rsidR="006F3747" w:rsidRPr="00C9576A">
        <w:rPr>
          <w:rFonts w:ascii="Arial" w:hAnsi="Arial" w:cs="Arial"/>
          <w:sz w:val="24"/>
          <w:szCs w:val="24"/>
        </w:rPr>
        <w:t>.</w:t>
      </w:r>
    </w:p>
    <w:p w14:paraId="28EE390D" w14:textId="7B96E6DB" w:rsidR="00FD6EDC" w:rsidRPr="00C9576A" w:rsidRDefault="00FD6EDC" w:rsidP="00C9576A">
      <w:pPr>
        <w:spacing w:line="480" w:lineRule="auto"/>
        <w:rPr>
          <w:rFonts w:ascii="Arial" w:hAnsi="Arial" w:cs="Arial"/>
          <w:b/>
          <w:bCs/>
          <w:i/>
          <w:iCs/>
          <w:sz w:val="24"/>
          <w:szCs w:val="24"/>
        </w:rPr>
      </w:pPr>
      <w:r w:rsidRPr="00C9576A">
        <w:rPr>
          <w:rFonts w:ascii="Arial" w:hAnsi="Arial" w:cs="Arial"/>
          <w:b/>
          <w:bCs/>
          <w:i/>
          <w:iCs/>
          <w:sz w:val="24"/>
          <w:szCs w:val="24"/>
        </w:rPr>
        <w:t>Fiscal and Economic Incentives</w:t>
      </w:r>
    </w:p>
    <w:p w14:paraId="4986757C" w14:textId="51E7EC49" w:rsidR="006F3747" w:rsidRPr="00C9576A" w:rsidRDefault="00FD6EDC" w:rsidP="00C9576A">
      <w:pPr>
        <w:spacing w:line="480" w:lineRule="auto"/>
        <w:rPr>
          <w:rFonts w:ascii="Arial" w:hAnsi="Arial" w:cs="Arial"/>
          <w:sz w:val="24"/>
          <w:szCs w:val="24"/>
        </w:rPr>
      </w:pPr>
      <w:r w:rsidRPr="00C9576A">
        <w:rPr>
          <w:rFonts w:ascii="Arial" w:hAnsi="Arial" w:cs="Arial"/>
          <w:sz w:val="24"/>
          <w:szCs w:val="24"/>
        </w:rPr>
        <w:t xml:space="preserve">Fiscal and economic incentives </w:t>
      </w:r>
      <w:r w:rsidR="006F3747" w:rsidRPr="00C9576A">
        <w:rPr>
          <w:rFonts w:ascii="Arial" w:hAnsi="Arial" w:cs="Arial"/>
          <w:sz w:val="24"/>
          <w:szCs w:val="24"/>
        </w:rPr>
        <w:t>such as carbon pricing, green taxes, subsidies for renewable energy can help promote environmentally sustainable practices in the UK</w:t>
      </w:r>
    </w:p>
    <w:p w14:paraId="6A1D066B" w14:textId="171028A9" w:rsidR="006F3747" w:rsidRPr="00C9576A" w:rsidRDefault="006F3747" w:rsidP="00C9576A">
      <w:pPr>
        <w:spacing w:line="480" w:lineRule="auto"/>
        <w:rPr>
          <w:rFonts w:ascii="Arial" w:hAnsi="Arial" w:cs="Arial"/>
          <w:b/>
          <w:bCs/>
          <w:i/>
          <w:iCs/>
          <w:sz w:val="24"/>
          <w:szCs w:val="24"/>
        </w:rPr>
      </w:pPr>
      <w:r w:rsidRPr="00C9576A">
        <w:rPr>
          <w:rFonts w:ascii="Arial" w:hAnsi="Arial" w:cs="Arial"/>
          <w:b/>
          <w:bCs/>
          <w:i/>
          <w:iCs/>
          <w:sz w:val="24"/>
          <w:szCs w:val="24"/>
        </w:rPr>
        <w:t>Carbon Pricing</w:t>
      </w:r>
    </w:p>
    <w:p w14:paraId="2E937ED5" w14:textId="58C5876E" w:rsidR="00B27D85" w:rsidRPr="00C9576A" w:rsidRDefault="00FD6EDC" w:rsidP="00C9576A">
      <w:pPr>
        <w:spacing w:line="480" w:lineRule="auto"/>
        <w:rPr>
          <w:rFonts w:ascii="Arial" w:hAnsi="Arial" w:cs="Arial"/>
          <w:sz w:val="24"/>
          <w:szCs w:val="24"/>
        </w:rPr>
      </w:pPr>
      <w:r w:rsidRPr="00C9576A">
        <w:rPr>
          <w:rFonts w:ascii="Arial" w:hAnsi="Arial" w:cs="Arial"/>
          <w:sz w:val="24"/>
          <w:szCs w:val="24"/>
        </w:rPr>
        <w:t xml:space="preserve">Carbon pricing is a fiscal incentive that aims to put a price on carbon emissions to encourage individuals and organizations to reduce their carbon footprint. </w:t>
      </w:r>
      <w:r w:rsidR="00B27D85" w:rsidRPr="00C9576A">
        <w:rPr>
          <w:rFonts w:ascii="Arial" w:hAnsi="Arial" w:cs="Arial"/>
          <w:sz w:val="24"/>
          <w:szCs w:val="24"/>
        </w:rPr>
        <w:t xml:space="preserve">The UK has implemented a carbon price floor, which is a form of carbon pricing. Introduced in 2013 </w:t>
      </w:r>
      <w:r w:rsidR="00B27D85" w:rsidRPr="00C9576A">
        <w:rPr>
          <w:rFonts w:ascii="Arial" w:hAnsi="Arial" w:cs="Arial"/>
          <w:sz w:val="24"/>
          <w:szCs w:val="24"/>
        </w:rPr>
        <w:lastRenderedPageBreak/>
        <w:t xml:space="preserve">it sets a minimum price for carbon emissions from electricity generation. It has been gradually increased over the years and currently stands at £18.08 per tonne of carbon dioxide. The carbon price floor has been effective in reducing carbon emissions from electricity generation in the UK. According to government data, carbon emissions from electricity generation fell by 61% between 2012 and 2020. However, there has been aggressive lobbying against it by several major oil companies as this asks companies to act in fiscally responsible manner </w:t>
      </w:r>
      <w:r w:rsidR="003C6CA2" w:rsidRPr="00C9576A">
        <w:rPr>
          <w:rFonts w:ascii="Arial" w:hAnsi="Arial" w:cs="Arial"/>
          <w:sz w:val="24"/>
          <w:szCs w:val="24"/>
        </w:rPr>
        <w:fldChar w:fldCharType="begin"/>
      </w:r>
      <w:r w:rsidR="003C6CA2" w:rsidRPr="00C9576A">
        <w:rPr>
          <w:rFonts w:ascii="Arial" w:hAnsi="Arial" w:cs="Arial"/>
          <w:sz w:val="24"/>
          <w:szCs w:val="24"/>
        </w:rPr>
        <w:instrText xml:space="preserve"> ADDIN ZOTERO_ITEM CSL_CITATION {"citationID":"9nY7ctsa","properties":{"formattedCitation":"(Laville, 2019)","plainCitation":"(Laville, 2019)","noteIndex":0},"citationItems":[{"id":23242,"uris":["http://zotero.org/users/local/F9lgrfjK/items/I3ARS86H"],"itemData":{"id":23242,"type":"article-newspaper","abstract":"Ad campaigns hide investment in a huge expansion of oil and gas extraction, says InfluenceMap","container-title":"The Guardian","ISSN":"0261-3077","language":"en-GB","section":"Business","source":"The Guardian","title":"Top oil firms spending millions lobbying to block climate change policies, says report","URL":"https://www.theguardian.com/business/2019/mar/22/top-oil-firms-spending-millions-lobbying-to-block-climate-change-policies-says-report","author":[{"family":"Laville","given":"Sandra"}],"accessed":{"date-parts":[["2023",4,26]]},"issued":{"date-parts":[["2019",3,22]]}}}],"schema":"https://github.com/citation-style-language/schema/raw/master/csl-citation.json"} </w:instrText>
      </w:r>
      <w:r w:rsidR="003C6CA2" w:rsidRPr="00C9576A">
        <w:rPr>
          <w:rFonts w:ascii="Arial" w:hAnsi="Arial" w:cs="Arial"/>
          <w:sz w:val="24"/>
          <w:szCs w:val="24"/>
        </w:rPr>
        <w:fldChar w:fldCharType="separate"/>
      </w:r>
      <w:r w:rsidR="003C6CA2" w:rsidRPr="00C9576A">
        <w:rPr>
          <w:rFonts w:ascii="Arial" w:hAnsi="Arial" w:cs="Arial"/>
          <w:sz w:val="24"/>
        </w:rPr>
        <w:t>(Laville, 2019)</w:t>
      </w:r>
      <w:r w:rsidR="003C6CA2" w:rsidRPr="00C9576A">
        <w:rPr>
          <w:rFonts w:ascii="Arial" w:hAnsi="Arial" w:cs="Arial"/>
          <w:sz w:val="24"/>
          <w:szCs w:val="24"/>
        </w:rPr>
        <w:fldChar w:fldCharType="end"/>
      </w:r>
      <w:r w:rsidR="00B27D85" w:rsidRPr="00C9576A">
        <w:rPr>
          <w:rFonts w:ascii="Arial" w:hAnsi="Arial" w:cs="Arial"/>
          <w:sz w:val="24"/>
          <w:szCs w:val="24"/>
        </w:rPr>
        <w:t xml:space="preserve">. </w:t>
      </w:r>
    </w:p>
    <w:p w14:paraId="46781CF4" w14:textId="77777777" w:rsidR="003C6CA2" w:rsidRPr="00C9576A" w:rsidRDefault="003C6CA2" w:rsidP="00C9576A">
      <w:pPr>
        <w:keepNext/>
        <w:spacing w:line="480" w:lineRule="auto"/>
        <w:jc w:val="center"/>
        <w:rPr>
          <w:rFonts w:ascii="Arial" w:hAnsi="Arial" w:cs="Arial"/>
        </w:rPr>
      </w:pPr>
      <w:r w:rsidRPr="00C9576A">
        <w:rPr>
          <w:rFonts w:ascii="Arial" w:hAnsi="Arial" w:cs="Arial"/>
          <w:noProof/>
        </w:rPr>
        <w:drawing>
          <wp:inline distT="0" distB="0" distL="0" distR="0" wp14:anchorId="79A2D522" wp14:editId="3A127578">
            <wp:extent cx="5943600" cy="2139950"/>
            <wp:effectExtent l="0" t="0" r="0" b="0"/>
            <wp:docPr id="777900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00176" name=""/>
                    <pic:cNvPicPr/>
                  </pic:nvPicPr>
                  <pic:blipFill>
                    <a:blip r:embed="rId8"/>
                    <a:stretch>
                      <a:fillRect/>
                    </a:stretch>
                  </pic:blipFill>
                  <pic:spPr>
                    <a:xfrm>
                      <a:off x="0" y="0"/>
                      <a:ext cx="5943600" cy="2139950"/>
                    </a:xfrm>
                    <a:prstGeom prst="rect">
                      <a:avLst/>
                    </a:prstGeom>
                  </pic:spPr>
                </pic:pic>
              </a:graphicData>
            </a:graphic>
          </wp:inline>
        </w:drawing>
      </w:r>
    </w:p>
    <w:p w14:paraId="49CD36EA" w14:textId="1523F78A" w:rsidR="003C6CA2" w:rsidRPr="00C9576A" w:rsidRDefault="003C6CA2" w:rsidP="00C9576A">
      <w:pPr>
        <w:pStyle w:val="Caption"/>
        <w:spacing w:line="480" w:lineRule="auto"/>
        <w:jc w:val="center"/>
        <w:rPr>
          <w:rFonts w:ascii="Arial" w:hAnsi="Arial" w:cs="Arial"/>
          <w:sz w:val="24"/>
          <w:szCs w:val="24"/>
        </w:rPr>
      </w:pPr>
      <w:r w:rsidRPr="00C9576A">
        <w:rPr>
          <w:rFonts w:ascii="Arial" w:hAnsi="Arial" w:cs="Arial"/>
        </w:rPr>
        <w:t xml:space="preserve">Figure </w:t>
      </w:r>
      <w:r w:rsidRPr="00C9576A">
        <w:rPr>
          <w:rFonts w:ascii="Arial" w:hAnsi="Arial" w:cs="Arial"/>
        </w:rPr>
        <w:fldChar w:fldCharType="begin"/>
      </w:r>
      <w:r w:rsidRPr="00C9576A">
        <w:rPr>
          <w:rFonts w:ascii="Arial" w:hAnsi="Arial" w:cs="Arial"/>
        </w:rPr>
        <w:instrText xml:space="preserve"> SEQ Figure \* ARABIC </w:instrText>
      </w:r>
      <w:r w:rsidRPr="00C9576A">
        <w:rPr>
          <w:rFonts w:ascii="Arial" w:hAnsi="Arial" w:cs="Arial"/>
        </w:rPr>
        <w:fldChar w:fldCharType="separate"/>
      </w:r>
      <w:r w:rsidRPr="00C9576A">
        <w:rPr>
          <w:rFonts w:ascii="Arial" w:hAnsi="Arial" w:cs="Arial"/>
          <w:noProof/>
        </w:rPr>
        <w:t>1</w:t>
      </w:r>
      <w:r w:rsidRPr="00C9576A">
        <w:rPr>
          <w:rFonts w:ascii="Arial" w:hAnsi="Arial" w:cs="Arial"/>
          <w:noProof/>
        </w:rPr>
        <w:fldChar w:fldCharType="end"/>
      </w:r>
      <w:r w:rsidRPr="00C9576A">
        <w:rPr>
          <w:rFonts w:ascii="Arial" w:hAnsi="Arial" w:cs="Arial"/>
        </w:rPr>
        <w:t>: Lobbying Spend by Oil Companies. Source: (</w:t>
      </w:r>
      <w:proofErr w:type="spellStart"/>
      <w:r w:rsidRPr="00C9576A">
        <w:rPr>
          <w:rFonts w:ascii="Arial" w:hAnsi="Arial" w:cs="Arial"/>
        </w:rPr>
        <w:t>Laville</w:t>
      </w:r>
      <w:proofErr w:type="spellEnd"/>
      <w:r w:rsidRPr="00C9576A">
        <w:rPr>
          <w:rFonts w:ascii="Arial" w:hAnsi="Arial" w:cs="Arial"/>
        </w:rPr>
        <w:t>, 2019).</w:t>
      </w:r>
    </w:p>
    <w:p w14:paraId="235DD6FD" w14:textId="3FA8FB6D" w:rsidR="00FD6EDC" w:rsidRPr="00C9576A" w:rsidRDefault="00FD6EDC" w:rsidP="00C9576A">
      <w:pPr>
        <w:spacing w:line="480" w:lineRule="auto"/>
        <w:rPr>
          <w:rFonts w:ascii="Arial" w:hAnsi="Arial" w:cs="Arial"/>
          <w:sz w:val="24"/>
          <w:szCs w:val="24"/>
        </w:rPr>
      </w:pPr>
      <w:r w:rsidRPr="00C9576A">
        <w:rPr>
          <w:rFonts w:ascii="Arial" w:hAnsi="Arial" w:cs="Arial"/>
          <w:sz w:val="24"/>
          <w:szCs w:val="24"/>
        </w:rPr>
        <w:t xml:space="preserve">Green taxes are another form of fiscal incentive that aim to discourage environmentally harmful practices by imposing taxes on activities that generate negative externalities. </w:t>
      </w:r>
      <w:r w:rsidR="00B27D85" w:rsidRPr="00C9576A">
        <w:rPr>
          <w:rFonts w:ascii="Arial" w:hAnsi="Arial" w:cs="Arial"/>
          <w:sz w:val="24"/>
          <w:szCs w:val="24"/>
        </w:rPr>
        <w:t>For instance, the introduction of the plastic bag tax in 2015 has led to a significant reduction in plastic bag usage, with an estimated 90% reduction in single-use plastic bag consumption since the tax was introduced</w:t>
      </w:r>
      <w:r w:rsidR="003C6CA2" w:rsidRPr="00C9576A">
        <w:rPr>
          <w:rFonts w:ascii="Arial" w:hAnsi="Arial" w:cs="Arial"/>
          <w:sz w:val="24"/>
          <w:szCs w:val="24"/>
        </w:rPr>
        <w:t xml:space="preserve"> </w:t>
      </w:r>
      <w:r w:rsidR="003C6CA2" w:rsidRPr="00C9576A">
        <w:rPr>
          <w:rFonts w:ascii="Arial" w:hAnsi="Arial" w:cs="Arial"/>
          <w:sz w:val="24"/>
          <w:szCs w:val="24"/>
        </w:rPr>
        <w:fldChar w:fldCharType="begin"/>
      </w:r>
      <w:r w:rsidR="003C6CA2" w:rsidRPr="00C9576A">
        <w:rPr>
          <w:rFonts w:ascii="Arial" w:hAnsi="Arial" w:cs="Arial"/>
          <w:sz w:val="24"/>
          <w:szCs w:val="24"/>
        </w:rPr>
        <w:instrText xml:space="preserve"> ADDIN ZOTERO_ITEM CSL_CITATION {"citationID":"GGbrrbHQ","properties":{"formattedCitation":"(Smithers, 2016)","plainCitation":"(Smithers, 2016)","noteIndex":0},"citationItems":[{"id":23244,"uris":["http://zotero.org/users/local/F9lgrfjK/items/MTL2SKE3"],"itemData":{"id":23244,"type":"article-newspaper","abstract":"Number of single-use bags handed out dropped to 500m in first six months since charge, compared with 7bn the previous year","container-title":"The Guardian","ISSN":"0261-3077","language":"en-GB","section":"Environment","source":"The Guardian","title":"England's plastic bag usage drops  85% since 5p charge introduced","URL":"https://www.theguardian.com/environment/2016/jul/30/england-plastic-bag-usage-drops-85-per-cent-since-5p-charged-introduced","author":[{"family":"Smithers","given":"Rebecca"}],"accessed":{"date-parts":[["2023",4,26]]},"issued":{"date-parts":[["2016",7,29]]}}}],"schema":"https://github.com/citation-style-language/schema/raw/master/csl-citation.json"} </w:instrText>
      </w:r>
      <w:r w:rsidR="003C6CA2" w:rsidRPr="00C9576A">
        <w:rPr>
          <w:rFonts w:ascii="Arial" w:hAnsi="Arial" w:cs="Arial"/>
          <w:sz w:val="24"/>
          <w:szCs w:val="24"/>
        </w:rPr>
        <w:fldChar w:fldCharType="separate"/>
      </w:r>
      <w:r w:rsidR="003C6CA2" w:rsidRPr="00C9576A">
        <w:rPr>
          <w:rFonts w:ascii="Arial" w:hAnsi="Arial" w:cs="Arial"/>
          <w:sz w:val="24"/>
        </w:rPr>
        <w:t>(Smithers, 2016)</w:t>
      </w:r>
      <w:r w:rsidR="003C6CA2" w:rsidRPr="00C9576A">
        <w:rPr>
          <w:rFonts w:ascii="Arial" w:hAnsi="Arial" w:cs="Arial"/>
          <w:sz w:val="24"/>
          <w:szCs w:val="24"/>
        </w:rPr>
        <w:fldChar w:fldCharType="end"/>
      </w:r>
      <w:r w:rsidR="00B27D85" w:rsidRPr="00C9576A">
        <w:rPr>
          <w:rFonts w:ascii="Arial" w:hAnsi="Arial" w:cs="Arial"/>
          <w:sz w:val="24"/>
          <w:szCs w:val="24"/>
        </w:rPr>
        <w:t>.</w:t>
      </w:r>
      <w:r w:rsidR="003C6CA2" w:rsidRPr="00C9576A">
        <w:rPr>
          <w:rFonts w:ascii="Arial" w:hAnsi="Arial" w:cs="Arial"/>
          <w:sz w:val="24"/>
          <w:szCs w:val="24"/>
        </w:rPr>
        <w:t xml:space="preserve"> The problem is various stakeholder mainly companies are still not on-board and have campaigned for the reversal of plastic bag ban </w:t>
      </w:r>
      <w:r w:rsidR="00AA3C42" w:rsidRPr="00C9576A">
        <w:rPr>
          <w:rFonts w:ascii="Arial" w:hAnsi="Arial" w:cs="Arial"/>
          <w:sz w:val="24"/>
          <w:szCs w:val="24"/>
        </w:rPr>
        <w:fldChar w:fldCharType="begin"/>
      </w:r>
      <w:r w:rsidR="00AA3C42" w:rsidRPr="00C9576A">
        <w:rPr>
          <w:rFonts w:ascii="Arial" w:hAnsi="Arial" w:cs="Arial"/>
          <w:sz w:val="24"/>
          <w:szCs w:val="24"/>
        </w:rPr>
        <w:instrText xml:space="preserve"> ADDIN ZOTERO_ITEM CSL_CITATION {"citationID":"kxfWDlYc","properties":{"formattedCitation":"(Jasi, 2020)","plainCitation":"(Jasi, 2020)","noteIndex":0},"citationItems":[{"id":23246,"uris":["http://zotero.org/users/local/F9lgrfjK/items/QVMZV4T5"],"itemData":{"id":23246,"type":"webpage","title":"UK Government warned against plastic lobbyist efforts during the coronavirus crisis","URL":"https://www.thechemicalengineer.com/news/uk-government-warned-against-plastic-lobbyist-efforts-during-the-coronavirus-crisis/","author":[{"family":"Jasi","given":"Amanda"}],"accessed":{"date-parts":[["2023",4,26]]},"issued":{"date-parts":[["2020",5,14]]}}}],"schema":"https://github.com/citation-style-language/schema/raw/master/csl-citation.json"} </w:instrText>
      </w:r>
      <w:r w:rsidR="00AA3C42" w:rsidRPr="00C9576A">
        <w:rPr>
          <w:rFonts w:ascii="Arial" w:hAnsi="Arial" w:cs="Arial"/>
          <w:sz w:val="24"/>
          <w:szCs w:val="24"/>
        </w:rPr>
        <w:fldChar w:fldCharType="separate"/>
      </w:r>
      <w:r w:rsidR="00AA3C42" w:rsidRPr="00C9576A">
        <w:rPr>
          <w:rFonts w:ascii="Arial" w:hAnsi="Arial" w:cs="Arial"/>
          <w:sz w:val="24"/>
        </w:rPr>
        <w:t>(Jasi, 2020)</w:t>
      </w:r>
      <w:r w:rsidR="00AA3C42" w:rsidRPr="00C9576A">
        <w:rPr>
          <w:rFonts w:ascii="Arial" w:hAnsi="Arial" w:cs="Arial"/>
          <w:sz w:val="24"/>
          <w:szCs w:val="24"/>
        </w:rPr>
        <w:fldChar w:fldCharType="end"/>
      </w:r>
      <w:r w:rsidR="003C6CA2" w:rsidRPr="00C9576A">
        <w:rPr>
          <w:rFonts w:ascii="Arial" w:hAnsi="Arial" w:cs="Arial"/>
          <w:sz w:val="24"/>
          <w:szCs w:val="24"/>
        </w:rPr>
        <w:t xml:space="preserve">. </w:t>
      </w:r>
    </w:p>
    <w:p w14:paraId="13BC5042" w14:textId="01539BB2" w:rsidR="00FD6EDC" w:rsidRPr="00C9576A" w:rsidRDefault="00FD6EDC" w:rsidP="00C9576A">
      <w:pPr>
        <w:spacing w:line="480" w:lineRule="auto"/>
        <w:rPr>
          <w:rFonts w:ascii="Arial" w:hAnsi="Arial" w:cs="Arial"/>
          <w:sz w:val="24"/>
          <w:szCs w:val="24"/>
        </w:rPr>
      </w:pPr>
      <w:r w:rsidRPr="00C9576A">
        <w:rPr>
          <w:rFonts w:ascii="Arial" w:hAnsi="Arial" w:cs="Arial"/>
          <w:sz w:val="24"/>
          <w:szCs w:val="24"/>
        </w:rPr>
        <w:lastRenderedPageBreak/>
        <w:t xml:space="preserve">While </w:t>
      </w:r>
      <w:r w:rsidR="00AA3C42" w:rsidRPr="00C9576A">
        <w:rPr>
          <w:rFonts w:ascii="Arial" w:hAnsi="Arial" w:cs="Arial"/>
          <w:sz w:val="24"/>
          <w:szCs w:val="24"/>
        </w:rPr>
        <w:t xml:space="preserve">these </w:t>
      </w:r>
      <w:r w:rsidRPr="00C9576A">
        <w:rPr>
          <w:rFonts w:ascii="Arial" w:hAnsi="Arial" w:cs="Arial"/>
          <w:sz w:val="24"/>
          <w:szCs w:val="24"/>
        </w:rPr>
        <w:t>incentives have been effective in promoting environmentally sustainable practices, they also face challenges</w:t>
      </w:r>
      <w:r w:rsidR="00AA3C42" w:rsidRPr="00C9576A">
        <w:rPr>
          <w:rFonts w:ascii="Arial" w:hAnsi="Arial" w:cs="Arial"/>
          <w:sz w:val="24"/>
          <w:szCs w:val="24"/>
        </w:rPr>
        <w:t xml:space="preserve"> such as </w:t>
      </w:r>
      <w:r w:rsidRPr="00C9576A">
        <w:rPr>
          <w:rFonts w:ascii="Arial" w:hAnsi="Arial" w:cs="Arial"/>
          <w:sz w:val="24"/>
          <w:szCs w:val="24"/>
        </w:rPr>
        <w:t>policy reversal. For example, the UK government's decision to freeze the carbon price floor in 2014 led to a reduction in investment in low-carbon technologies, undermining the effectiveness of the policy</w:t>
      </w:r>
      <w:r w:rsidR="00AA3C42" w:rsidRPr="00C9576A">
        <w:rPr>
          <w:rFonts w:ascii="Arial" w:hAnsi="Arial" w:cs="Arial"/>
          <w:sz w:val="24"/>
          <w:szCs w:val="24"/>
        </w:rPr>
        <w:t xml:space="preserve"> </w:t>
      </w:r>
      <w:r w:rsidR="00AA3C42" w:rsidRPr="00C9576A">
        <w:rPr>
          <w:rFonts w:ascii="Arial" w:hAnsi="Arial" w:cs="Arial"/>
          <w:sz w:val="24"/>
          <w:szCs w:val="24"/>
        </w:rPr>
        <w:fldChar w:fldCharType="begin"/>
      </w:r>
      <w:r w:rsidR="00AA3C42" w:rsidRPr="00C9576A">
        <w:rPr>
          <w:rFonts w:ascii="Arial" w:hAnsi="Arial" w:cs="Arial"/>
          <w:sz w:val="24"/>
          <w:szCs w:val="24"/>
        </w:rPr>
        <w:instrText xml:space="preserve"> ADDIN ZOTERO_ITEM CSL_CITATION {"citationID":"l67Dlx03","properties":{"formattedCitation":"(Carbon Brief, 2014)","plainCitation":"(Carbon Brief, 2014)","noteIndex":0},"citationItems":[{"id":23248,"uris":["http://zotero.org/users/local/F9lgrfjK/items/4MGPATP2"],"itemData":{"id":23248,"type":"webpage","title":"Budget 2014: Why freezing the carbon price floor is a symbolic blow to UK's climate commitment - Carbon Brief","URL":"https://www.carbonbrief.org/budget-2014-why-freezing-the-carbon-price-floor-is-a-symbolic-blow-to-uks-climate-commitment/","author":[{"family":"Carbon Brief","given":""}],"accessed":{"date-parts":[["2023",4,26]]},"issued":{"date-parts":[["2014",3,18]]}}}],"schema":"https://github.com/citation-style-language/schema/raw/master/csl-citation.json"} </w:instrText>
      </w:r>
      <w:r w:rsidR="00AA3C42" w:rsidRPr="00C9576A">
        <w:rPr>
          <w:rFonts w:ascii="Arial" w:hAnsi="Arial" w:cs="Arial"/>
          <w:sz w:val="24"/>
          <w:szCs w:val="24"/>
        </w:rPr>
        <w:fldChar w:fldCharType="separate"/>
      </w:r>
      <w:r w:rsidR="00AA3C42" w:rsidRPr="00C9576A">
        <w:rPr>
          <w:rFonts w:ascii="Arial" w:hAnsi="Arial" w:cs="Arial"/>
          <w:sz w:val="24"/>
        </w:rPr>
        <w:t>(Carbon Brief, 2014)</w:t>
      </w:r>
      <w:r w:rsidR="00AA3C42" w:rsidRPr="00C9576A">
        <w:rPr>
          <w:rFonts w:ascii="Arial" w:hAnsi="Arial" w:cs="Arial"/>
          <w:sz w:val="24"/>
          <w:szCs w:val="24"/>
        </w:rPr>
        <w:fldChar w:fldCharType="end"/>
      </w:r>
      <w:r w:rsidRPr="00C9576A">
        <w:rPr>
          <w:rFonts w:ascii="Arial" w:hAnsi="Arial" w:cs="Arial"/>
          <w:sz w:val="24"/>
          <w:szCs w:val="24"/>
        </w:rPr>
        <w:t>.</w:t>
      </w:r>
    </w:p>
    <w:p w14:paraId="451A4390" w14:textId="0E5D10CC" w:rsidR="00067CA2" w:rsidRPr="00C9576A" w:rsidRDefault="00067CA2" w:rsidP="00C9576A">
      <w:pPr>
        <w:spacing w:line="480" w:lineRule="auto"/>
        <w:rPr>
          <w:rFonts w:ascii="Arial" w:hAnsi="Arial" w:cs="Arial"/>
          <w:b/>
          <w:bCs/>
          <w:i/>
          <w:iCs/>
          <w:sz w:val="24"/>
          <w:szCs w:val="24"/>
        </w:rPr>
      </w:pPr>
      <w:r w:rsidRPr="00C9576A">
        <w:rPr>
          <w:rFonts w:ascii="Arial" w:hAnsi="Arial" w:cs="Arial"/>
          <w:b/>
          <w:bCs/>
          <w:i/>
          <w:iCs/>
          <w:sz w:val="24"/>
          <w:szCs w:val="24"/>
        </w:rPr>
        <w:t>Subsidies for Renewable Energy</w:t>
      </w:r>
    </w:p>
    <w:p w14:paraId="5159F468" w14:textId="2B318D1C" w:rsidR="00067CA2" w:rsidRPr="00C9576A" w:rsidRDefault="00067CA2" w:rsidP="00C9576A">
      <w:pPr>
        <w:spacing w:line="480" w:lineRule="auto"/>
        <w:rPr>
          <w:rFonts w:ascii="Arial" w:hAnsi="Arial" w:cs="Arial"/>
          <w:sz w:val="24"/>
          <w:szCs w:val="24"/>
        </w:rPr>
      </w:pPr>
      <w:r w:rsidRPr="00C9576A">
        <w:rPr>
          <w:rFonts w:ascii="Arial" w:hAnsi="Arial" w:cs="Arial"/>
          <w:sz w:val="24"/>
          <w:szCs w:val="24"/>
        </w:rPr>
        <w:t>Subsidies for renewable energy are an economic incentive that aim to promote the use of sustainable energy sources by providing financial support for renewable energy technologies. The UK government has implemented a range of subsidies for renewable energy, such as the Feed-in Tariff and the Renewable Heat Incentive, which have encouraged the development of renewable energy infrastructure and reduced dependence on fossil fuels (Gross et al., 2020).</w:t>
      </w:r>
    </w:p>
    <w:p w14:paraId="43C5BECE" w14:textId="523D555A" w:rsidR="00067CA2" w:rsidRPr="00C9576A" w:rsidRDefault="00067CA2" w:rsidP="00C9576A">
      <w:pPr>
        <w:spacing w:line="480" w:lineRule="auto"/>
        <w:rPr>
          <w:rFonts w:ascii="Arial" w:hAnsi="Arial" w:cs="Arial"/>
          <w:sz w:val="24"/>
          <w:szCs w:val="24"/>
        </w:rPr>
      </w:pPr>
      <w:r w:rsidRPr="00C9576A">
        <w:rPr>
          <w:rFonts w:ascii="Arial" w:hAnsi="Arial" w:cs="Arial"/>
          <w:sz w:val="24"/>
          <w:szCs w:val="24"/>
        </w:rPr>
        <w:t>While these policies have been successful in increasing the deployment of renewable energy systems in the UK, there are also some issues and challenges associated with them. One problem with the FIT is that it has been criticized for its high cost to the government and consumers. The FIT requires energy suppliers to pay a premium price for the renewable energy generated by small-scale installations, which is then passed on to consumers through higher energy bills. While the FIT has successfully encouraged the uptake of renewable energy, the cost of the scheme has been criticized by some who argue that it places an unfair burden on energy consumers (DECC, 2016).</w:t>
      </w:r>
    </w:p>
    <w:p w14:paraId="1CC348E8" w14:textId="723D5C9E" w:rsidR="00067CA2" w:rsidRPr="00C9576A" w:rsidRDefault="00067CA2" w:rsidP="00C9576A">
      <w:pPr>
        <w:spacing w:line="480" w:lineRule="auto"/>
        <w:rPr>
          <w:rFonts w:ascii="Arial" w:hAnsi="Arial" w:cs="Arial"/>
          <w:sz w:val="24"/>
          <w:szCs w:val="24"/>
        </w:rPr>
      </w:pPr>
      <w:r w:rsidRPr="00C9576A">
        <w:rPr>
          <w:rFonts w:ascii="Arial" w:hAnsi="Arial" w:cs="Arial"/>
          <w:sz w:val="24"/>
          <w:szCs w:val="24"/>
        </w:rPr>
        <w:t xml:space="preserve">Similarly, the RHI has also faced some challenges in its implementation. The RHI provides financial incentives to households and businesses to install renewable heating </w:t>
      </w:r>
      <w:r w:rsidRPr="00C9576A">
        <w:rPr>
          <w:rFonts w:ascii="Arial" w:hAnsi="Arial" w:cs="Arial"/>
          <w:sz w:val="24"/>
          <w:szCs w:val="24"/>
        </w:rPr>
        <w:lastRenderedPageBreak/>
        <w:t>systems such as biomass boilers, heat pumps, and solar thermal systems. However, the RHI has been criticized for its complex and bureaucratic application process, which has deterred many potential beneficiaries from applying for the scheme (BEIS, 2019).</w:t>
      </w:r>
    </w:p>
    <w:p w14:paraId="0BCC6FC4" w14:textId="7A8CFBAC" w:rsidR="00067CA2" w:rsidRPr="00C9576A" w:rsidRDefault="00067CA2" w:rsidP="00C9576A">
      <w:pPr>
        <w:spacing w:line="480" w:lineRule="auto"/>
        <w:rPr>
          <w:rFonts w:ascii="Arial" w:hAnsi="Arial" w:cs="Arial"/>
          <w:sz w:val="24"/>
          <w:szCs w:val="24"/>
        </w:rPr>
      </w:pPr>
      <w:r w:rsidRPr="00C9576A">
        <w:rPr>
          <w:rFonts w:ascii="Arial" w:hAnsi="Arial" w:cs="Arial"/>
          <w:sz w:val="24"/>
          <w:szCs w:val="24"/>
        </w:rPr>
        <w:t>Despite the challenges and issues associated with the FIT and RHI, both policies have been successful in promoting the uptake of renewable energy technologies in the UK, and their long-term impact has been positive. The Feed-in Tariff (FIT) and Renewable Heat Incentive (RHI) policies have been successful in promoting renewable energy technologies in the UK, despite some challenges. FIT has incentivized over 900,000 renewable energy systems, such as solar panels and wind turbines, since 2010. The FIT scheme has been replaced by the Smart Export Guarantee, which incentivizes the export of surplus energy (Ofgem, 2021). Similarly, the RHI has supported over 93,000 renewable heating systems, including biomass boilers and heat pumps, since 2011. The RHI has been replaced by the Clean Heat Grant, which offers simplified application processes and higher levels of funding. Both policies have reduced carbon emissions, improved air quality, and created jobs in the renewable energy sector (BEIS, 2021).</w:t>
      </w:r>
    </w:p>
    <w:p w14:paraId="04068F0A" w14:textId="3BD8599B" w:rsidR="00FD6EDC" w:rsidRPr="00C9576A" w:rsidRDefault="00FD6EDC" w:rsidP="00C9576A">
      <w:pPr>
        <w:spacing w:line="480" w:lineRule="auto"/>
        <w:rPr>
          <w:rFonts w:ascii="Arial" w:hAnsi="Arial" w:cs="Arial"/>
          <w:b/>
          <w:bCs/>
          <w:i/>
          <w:iCs/>
          <w:sz w:val="24"/>
          <w:szCs w:val="24"/>
        </w:rPr>
      </w:pPr>
      <w:r w:rsidRPr="00C9576A">
        <w:rPr>
          <w:rFonts w:ascii="Arial" w:hAnsi="Arial" w:cs="Arial"/>
          <w:b/>
          <w:bCs/>
          <w:i/>
          <w:iCs/>
          <w:sz w:val="24"/>
          <w:szCs w:val="24"/>
        </w:rPr>
        <w:t>Conclusion</w:t>
      </w:r>
    </w:p>
    <w:p w14:paraId="57769997" w14:textId="12C9463D" w:rsidR="00AA3C42" w:rsidRPr="00C9576A" w:rsidRDefault="00AA3C42" w:rsidP="00C9576A">
      <w:pPr>
        <w:spacing w:line="480" w:lineRule="auto"/>
        <w:rPr>
          <w:rFonts w:ascii="Arial" w:hAnsi="Arial" w:cs="Arial"/>
          <w:sz w:val="24"/>
          <w:szCs w:val="24"/>
        </w:rPr>
      </w:pPr>
      <w:r w:rsidRPr="00C9576A">
        <w:rPr>
          <w:rFonts w:ascii="Arial" w:hAnsi="Arial" w:cs="Arial"/>
          <w:sz w:val="24"/>
          <w:szCs w:val="24"/>
        </w:rPr>
        <w:t>F</w:t>
      </w:r>
      <w:r w:rsidR="00FD6EDC" w:rsidRPr="00C9576A">
        <w:rPr>
          <w:rFonts w:ascii="Arial" w:hAnsi="Arial" w:cs="Arial"/>
          <w:sz w:val="24"/>
          <w:szCs w:val="24"/>
        </w:rPr>
        <w:t xml:space="preserve">iscal and economic incentives have been effective in promoting environmentally sustainable practices in the UK. However, challenges such as </w:t>
      </w:r>
      <w:r w:rsidRPr="00C9576A">
        <w:rPr>
          <w:rFonts w:ascii="Arial" w:hAnsi="Arial" w:cs="Arial"/>
          <w:sz w:val="24"/>
          <w:szCs w:val="24"/>
        </w:rPr>
        <w:t>lobbying</w:t>
      </w:r>
      <w:r w:rsidR="00FD6EDC" w:rsidRPr="00C9576A">
        <w:rPr>
          <w:rFonts w:ascii="Arial" w:hAnsi="Arial" w:cs="Arial"/>
          <w:sz w:val="24"/>
          <w:szCs w:val="24"/>
        </w:rPr>
        <w:t xml:space="preserve"> and policy reversal</w:t>
      </w:r>
      <w:r w:rsidRPr="00C9576A">
        <w:rPr>
          <w:rFonts w:ascii="Arial" w:hAnsi="Arial" w:cs="Arial"/>
          <w:sz w:val="24"/>
          <w:szCs w:val="24"/>
        </w:rPr>
        <w:t xml:space="preserve"> can be counterproductive</w:t>
      </w:r>
      <w:r w:rsidR="00FD6EDC" w:rsidRPr="00C9576A">
        <w:rPr>
          <w:rFonts w:ascii="Arial" w:hAnsi="Arial" w:cs="Arial"/>
          <w:sz w:val="24"/>
          <w:szCs w:val="24"/>
        </w:rPr>
        <w:t>. To ensure the continued effectiveness of fiscal and economic incentives, a coordinated and long-term approach is needed, involving collaboration between government, businesses, and individuals.</w:t>
      </w:r>
    </w:p>
    <w:p w14:paraId="4E985119" w14:textId="77777777" w:rsidR="00AA3C42" w:rsidRPr="00C9576A" w:rsidRDefault="00AA3C42" w:rsidP="00C9576A">
      <w:pPr>
        <w:spacing w:line="480" w:lineRule="auto"/>
        <w:rPr>
          <w:rFonts w:ascii="Arial" w:hAnsi="Arial" w:cs="Arial"/>
          <w:sz w:val="24"/>
          <w:szCs w:val="24"/>
        </w:rPr>
      </w:pPr>
      <w:r w:rsidRPr="00C9576A">
        <w:rPr>
          <w:rFonts w:ascii="Arial" w:hAnsi="Arial" w:cs="Arial"/>
          <w:sz w:val="24"/>
          <w:szCs w:val="24"/>
        </w:rPr>
        <w:br w:type="page"/>
      </w:r>
    </w:p>
    <w:p w14:paraId="4198823D" w14:textId="360F6652" w:rsidR="00400407" w:rsidRPr="00C9576A" w:rsidRDefault="002F6FF7" w:rsidP="00C9576A">
      <w:pPr>
        <w:pStyle w:val="Heading1"/>
        <w:numPr>
          <w:ilvl w:val="0"/>
          <w:numId w:val="1"/>
        </w:numPr>
        <w:spacing w:line="480" w:lineRule="auto"/>
        <w:rPr>
          <w:rFonts w:ascii="Arial" w:hAnsi="Arial" w:cs="Arial"/>
        </w:rPr>
      </w:pPr>
      <w:bookmarkStart w:id="2" w:name="_Toc133443226"/>
      <w:r w:rsidRPr="00C9576A">
        <w:rPr>
          <w:rFonts w:ascii="Arial" w:hAnsi="Arial" w:cs="Arial"/>
        </w:rPr>
        <w:lastRenderedPageBreak/>
        <w:t xml:space="preserve">Case Study: Regulatory Affairs - </w:t>
      </w:r>
      <w:r w:rsidR="00067CA2" w:rsidRPr="00C9576A">
        <w:rPr>
          <w:rFonts w:ascii="Arial" w:hAnsi="Arial" w:cs="Arial"/>
        </w:rPr>
        <w:t>464</w:t>
      </w:r>
      <w:bookmarkEnd w:id="2"/>
    </w:p>
    <w:p w14:paraId="4581586B" w14:textId="3F7D8686" w:rsidR="002F6FF7" w:rsidRPr="00C9576A" w:rsidRDefault="002F6FF7" w:rsidP="00C9576A">
      <w:pPr>
        <w:spacing w:line="480" w:lineRule="auto"/>
        <w:jc w:val="center"/>
        <w:rPr>
          <w:rFonts w:ascii="Arial" w:hAnsi="Arial" w:cs="Arial"/>
          <w:i/>
          <w:iCs/>
          <w:sz w:val="24"/>
          <w:szCs w:val="24"/>
        </w:rPr>
      </w:pPr>
      <w:r w:rsidRPr="00C9576A">
        <w:rPr>
          <w:rFonts w:ascii="Arial" w:hAnsi="Arial" w:cs="Arial"/>
          <w:i/>
          <w:iCs/>
          <w:sz w:val="24"/>
          <w:szCs w:val="24"/>
        </w:rPr>
        <w:t>The Impact of Environmental Regulations on Sustainable Practices in the Hospitality Industry: A Case Study of a Hilton Hotels</w:t>
      </w:r>
    </w:p>
    <w:p w14:paraId="09E67C3F" w14:textId="0C723873" w:rsidR="002F6FF7" w:rsidRPr="00C9576A" w:rsidRDefault="002F6FF7" w:rsidP="00C9576A">
      <w:pPr>
        <w:spacing w:line="480" w:lineRule="auto"/>
        <w:rPr>
          <w:rFonts w:ascii="Arial" w:hAnsi="Arial" w:cs="Arial"/>
          <w:b/>
          <w:bCs/>
          <w:i/>
          <w:iCs/>
          <w:sz w:val="24"/>
          <w:szCs w:val="24"/>
        </w:rPr>
      </w:pPr>
      <w:r w:rsidRPr="00C9576A">
        <w:rPr>
          <w:rFonts w:ascii="Arial" w:hAnsi="Arial" w:cs="Arial"/>
          <w:b/>
          <w:bCs/>
          <w:i/>
          <w:iCs/>
          <w:sz w:val="24"/>
          <w:szCs w:val="24"/>
        </w:rPr>
        <w:t>Introduction</w:t>
      </w:r>
    </w:p>
    <w:p w14:paraId="312ED85E" w14:textId="0D46BA0C"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Environmental regulations have become increasingly important in promoting sustainable practices in the hospitality industry. Hilton Hotels, one of the world's largest hotel chains, has made a commitment to sustainability by implementing various measures to reduce its environmental impact (Hilton Worldwide Holdings, 2020). This case study examines how Hilton Hotels has responded to environmental regulations and the impact that these responses have had on their sustainable practices.</w:t>
      </w:r>
    </w:p>
    <w:p w14:paraId="4F8F9CC1" w14:textId="6D5C1A00" w:rsidR="002F6FF7" w:rsidRPr="00C9576A" w:rsidRDefault="002F6FF7" w:rsidP="00C9576A">
      <w:pPr>
        <w:spacing w:line="480" w:lineRule="auto"/>
        <w:rPr>
          <w:rFonts w:ascii="Arial" w:hAnsi="Arial" w:cs="Arial"/>
          <w:b/>
          <w:bCs/>
          <w:i/>
          <w:iCs/>
          <w:sz w:val="24"/>
          <w:szCs w:val="24"/>
        </w:rPr>
      </w:pPr>
      <w:r w:rsidRPr="00C9576A">
        <w:rPr>
          <w:rFonts w:ascii="Arial" w:hAnsi="Arial" w:cs="Arial"/>
          <w:b/>
          <w:bCs/>
          <w:i/>
          <w:iCs/>
          <w:sz w:val="24"/>
          <w:szCs w:val="24"/>
        </w:rPr>
        <w:t>Environmental Regulations and Compliance</w:t>
      </w:r>
    </w:p>
    <w:p w14:paraId="0D8C7AB2" w14:textId="5A959AC6"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 xml:space="preserve">Hilton Hotels has had to comply with various environmental regulations in order to promote sustainable practices. For example, the UK government has introduced regulations on waste management - Waste (England and Wales) Regulations 2011. These require businesses to separate and recycle different types of waste </w:t>
      </w:r>
      <w:r w:rsidRPr="00C9576A">
        <w:rPr>
          <w:rFonts w:ascii="Arial" w:hAnsi="Arial" w:cs="Arial"/>
          <w:sz w:val="24"/>
          <w:szCs w:val="24"/>
        </w:rPr>
        <w:fldChar w:fldCharType="begin"/>
      </w:r>
      <w:r w:rsidRPr="00C9576A">
        <w:rPr>
          <w:rFonts w:ascii="Arial" w:hAnsi="Arial" w:cs="Arial"/>
          <w:sz w:val="24"/>
          <w:szCs w:val="24"/>
        </w:rPr>
        <w:instrText xml:space="preserve"> ADDIN ZOTERO_ITEM CSL_CITATION {"citationID":"LSLug4cG","properties":{"formattedCitation":"(GOV.UK, 2011)","plainCitation":"(GOV.UK, 2011)","noteIndex":0},"citationItems":[{"id":23250,"uris":["http://zotero.org/users/local/F9lgrfjK/items/UMNJCC3N"],"itemData":{"id":23250,"type":"webpage","abstract":"These Regulations transpose, for England and Wales, Directive 2008/98/EC of the European Parliament and of the Council on waste (OJ No. L 312, 22.11.2008, p3).","language":"eng","note":"publisher: King's Printer of Acts of Parliament","title":"The Waste (England and Wales) Regulations 2011","URL":"https://www.legislation.gov.uk/uksi/2011/988/contents/made","author":[{"family":"GOV.UK","given":""}],"accessed":{"date-parts":[["2023",4,26]]},"issued":{"date-parts":[["2011"]]}}}],"schema":"https://github.com/citation-style-language/schema/raw/master/csl-citation.json"} </w:instrText>
      </w:r>
      <w:r w:rsidRPr="00C9576A">
        <w:rPr>
          <w:rFonts w:ascii="Arial" w:hAnsi="Arial" w:cs="Arial"/>
          <w:sz w:val="24"/>
          <w:szCs w:val="24"/>
        </w:rPr>
        <w:fldChar w:fldCharType="separate"/>
      </w:r>
      <w:r w:rsidRPr="00C9576A">
        <w:rPr>
          <w:rFonts w:ascii="Arial" w:hAnsi="Arial" w:cs="Arial"/>
          <w:sz w:val="24"/>
        </w:rPr>
        <w:t>(GOV.UK, 2011)</w:t>
      </w:r>
      <w:r w:rsidRPr="00C9576A">
        <w:rPr>
          <w:rFonts w:ascii="Arial" w:hAnsi="Arial" w:cs="Arial"/>
          <w:sz w:val="24"/>
          <w:szCs w:val="24"/>
        </w:rPr>
        <w:fldChar w:fldCharType="end"/>
      </w:r>
      <w:r w:rsidRPr="00C9576A">
        <w:rPr>
          <w:rFonts w:ascii="Arial" w:hAnsi="Arial" w:cs="Arial"/>
          <w:sz w:val="24"/>
          <w:szCs w:val="24"/>
        </w:rPr>
        <w:t>. In response, Hilton Hotels has implemented recycling programs in its hotels, which have led to significant reductions in waste sent to landfill (Hilton Worldwide Holdings, 2020).</w:t>
      </w:r>
    </w:p>
    <w:p w14:paraId="32878386" w14:textId="7784E766"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 xml:space="preserve">Similarly, the UK government has introduced energy efficiency standards, which require businesses to reduce their energy consumption and carbon emissions including The Energy Savings Opportunity Scheme, The Minimum Energy Efficiency Standards, The Climate Change Levy, and The Carbon Reduction Commitment (CRC) Energy </w:t>
      </w:r>
      <w:r w:rsidRPr="00C9576A">
        <w:rPr>
          <w:rFonts w:ascii="Arial" w:hAnsi="Arial" w:cs="Arial"/>
          <w:sz w:val="24"/>
          <w:szCs w:val="24"/>
        </w:rPr>
        <w:lastRenderedPageBreak/>
        <w:t>Efficiency Scheme (GOV.UK, 2021). In response, Hilton Hotels has implemented energy-efficient measures in its hotels, such as LED lighting and smart thermostats, which have led to significant reductions in energy consumption and carbon emissions (Hilton Worldwide Holdings, 2020).</w:t>
      </w:r>
    </w:p>
    <w:p w14:paraId="4CDEA421" w14:textId="40AE245F" w:rsidR="002F6FF7" w:rsidRPr="00C9576A" w:rsidRDefault="002F6FF7" w:rsidP="00C9576A">
      <w:pPr>
        <w:spacing w:line="480" w:lineRule="auto"/>
        <w:rPr>
          <w:rFonts w:ascii="Arial" w:hAnsi="Arial" w:cs="Arial"/>
          <w:b/>
          <w:bCs/>
          <w:i/>
          <w:iCs/>
          <w:sz w:val="24"/>
          <w:szCs w:val="24"/>
        </w:rPr>
      </w:pPr>
      <w:r w:rsidRPr="00C9576A">
        <w:rPr>
          <w:rFonts w:ascii="Arial" w:hAnsi="Arial" w:cs="Arial"/>
          <w:b/>
          <w:bCs/>
          <w:i/>
          <w:iCs/>
          <w:sz w:val="24"/>
          <w:szCs w:val="24"/>
        </w:rPr>
        <w:t>Impact on Sustainable Practices</w:t>
      </w:r>
    </w:p>
    <w:p w14:paraId="2A016131" w14:textId="73B63523"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Hilton Hotels' response to environmental regulations has had a positive impact on its sustainable practices. By complying with regulations on waste management and energy efficiency, Hilton Hotels has been able to reduce its environmental impact and promote sustainable practices.</w:t>
      </w:r>
    </w:p>
    <w:p w14:paraId="4AF58EFB" w14:textId="30217DBF"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For example, Hilton Hotels' recycling program has led to significant reductions in waste sent to landfill. According to the company's sustainability report, Hilton Hotels diverted over 35,000 tonnes of waste from landfill in 2020, with a recycling rate of over 50% (Hilton Worldwide Holdings, 2020).</w:t>
      </w:r>
    </w:p>
    <w:p w14:paraId="107033B3" w14:textId="0FE1CFF2"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Similarly, Hilton Hotels' energy-efficient measures have led to significant reductions in energy consumption and carbon emissions. According to the company's sustainability report, Hilton Hotels reduced its energy consumption by 8.4% and its carbon emissions by 9.8% in 2020, compared to 2019 (Hilton Worldwide Holdings, 2020).</w:t>
      </w:r>
    </w:p>
    <w:p w14:paraId="23244842" w14:textId="64F33C4C" w:rsidR="002F6FF7" w:rsidRPr="00C9576A" w:rsidRDefault="002F6FF7" w:rsidP="00C9576A">
      <w:pPr>
        <w:spacing w:line="480" w:lineRule="auto"/>
        <w:rPr>
          <w:rFonts w:ascii="Arial" w:hAnsi="Arial" w:cs="Arial"/>
          <w:b/>
          <w:bCs/>
          <w:i/>
          <w:iCs/>
          <w:sz w:val="24"/>
          <w:szCs w:val="24"/>
        </w:rPr>
      </w:pPr>
      <w:r w:rsidRPr="00C9576A">
        <w:rPr>
          <w:rFonts w:ascii="Arial" w:hAnsi="Arial" w:cs="Arial"/>
          <w:b/>
          <w:bCs/>
          <w:i/>
          <w:iCs/>
          <w:sz w:val="24"/>
          <w:szCs w:val="24"/>
        </w:rPr>
        <w:t>Impact on Customer Perceptions</w:t>
      </w:r>
    </w:p>
    <w:p w14:paraId="04626E5A" w14:textId="77777777"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t>Hilton Hotels' sustainable practices, in response to environmental regulations, have had a positive impact on customer perceptions. According to a survey conducted by Hilton Hotels, 62% of customers said that sustainability was important to them when choosing a hotel (Hilton Worldwide Holdings, 2020).</w:t>
      </w:r>
    </w:p>
    <w:p w14:paraId="208545A6" w14:textId="45C3D22A" w:rsidR="002F6FF7" w:rsidRPr="00C9576A" w:rsidRDefault="002F6FF7" w:rsidP="00C9576A">
      <w:pPr>
        <w:spacing w:line="480" w:lineRule="auto"/>
        <w:rPr>
          <w:rFonts w:ascii="Arial" w:hAnsi="Arial" w:cs="Arial"/>
          <w:b/>
          <w:bCs/>
          <w:i/>
          <w:iCs/>
          <w:sz w:val="24"/>
          <w:szCs w:val="24"/>
        </w:rPr>
      </w:pPr>
      <w:r w:rsidRPr="00C9576A">
        <w:rPr>
          <w:rFonts w:ascii="Arial" w:hAnsi="Arial" w:cs="Arial"/>
          <w:b/>
          <w:bCs/>
          <w:i/>
          <w:iCs/>
          <w:sz w:val="24"/>
          <w:szCs w:val="24"/>
        </w:rPr>
        <w:lastRenderedPageBreak/>
        <w:t>Conclusion</w:t>
      </w:r>
    </w:p>
    <w:p w14:paraId="55C21056" w14:textId="77777777" w:rsidR="006A0C9E" w:rsidRPr="00C9576A" w:rsidRDefault="002F6FF7" w:rsidP="00C9576A">
      <w:pPr>
        <w:spacing w:line="480" w:lineRule="auto"/>
        <w:rPr>
          <w:rFonts w:ascii="Arial" w:hAnsi="Arial" w:cs="Arial"/>
          <w:sz w:val="24"/>
          <w:szCs w:val="24"/>
        </w:rPr>
      </w:pPr>
      <w:r w:rsidRPr="00C9576A">
        <w:rPr>
          <w:rFonts w:ascii="Arial" w:hAnsi="Arial" w:cs="Arial"/>
          <w:sz w:val="24"/>
          <w:szCs w:val="24"/>
        </w:rPr>
        <w:t>Environmental regulations have played a key role in promoting sustainable practices in the hospitality industry, and Hilton Hotels has responded to these regulations with measures to reduce its environmental impact. By complying with regulations on waste management and energy efficiency, Hilton Hotels has been able to promote sustainable practices, reduce its environmental impact, and appeal to environmentally conscious customers.</w:t>
      </w:r>
    </w:p>
    <w:p w14:paraId="50D14E5C" w14:textId="77777777"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br w:type="page"/>
      </w:r>
    </w:p>
    <w:p w14:paraId="00C53850" w14:textId="452C147D" w:rsidR="006A0C9E" w:rsidRPr="00C9576A" w:rsidRDefault="006A0C9E" w:rsidP="00C9576A">
      <w:pPr>
        <w:pStyle w:val="Heading1"/>
        <w:numPr>
          <w:ilvl w:val="0"/>
          <w:numId w:val="1"/>
        </w:numPr>
        <w:spacing w:line="480" w:lineRule="auto"/>
        <w:rPr>
          <w:rFonts w:ascii="Arial" w:hAnsi="Arial" w:cs="Arial"/>
        </w:rPr>
      </w:pPr>
      <w:bookmarkStart w:id="3" w:name="_Toc133443227"/>
      <w:r w:rsidRPr="00C9576A">
        <w:rPr>
          <w:rFonts w:ascii="Arial" w:hAnsi="Arial" w:cs="Arial"/>
        </w:rPr>
        <w:lastRenderedPageBreak/>
        <w:t xml:space="preserve">Journal Entry. Guest Experience – </w:t>
      </w:r>
      <w:r w:rsidR="00164AB8" w:rsidRPr="00C9576A">
        <w:rPr>
          <w:rFonts w:ascii="Arial" w:hAnsi="Arial" w:cs="Arial"/>
        </w:rPr>
        <w:t>414</w:t>
      </w:r>
      <w:r w:rsidRPr="00C9576A">
        <w:rPr>
          <w:rFonts w:ascii="Arial" w:hAnsi="Arial" w:cs="Arial"/>
        </w:rPr>
        <w:t xml:space="preserve"> words</w:t>
      </w:r>
      <w:bookmarkEnd w:id="3"/>
      <w:r w:rsidRPr="00C9576A">
        <w:rPr>
          <w:rFonts w:ascii="Arial" w:hAnsi="Arial" w:cs="Arial"/>
        </w:rPr>
        <w:t xml:space="preserve"> </w:t>
      </w:r>
    </w:p>
    <w:p w14:paraId="3F9A7A85" w14:textId="0F7B1430" w:rsidR="006A0C9E" w:rsidRPr="00C9576A" w:rsidRDefault="006A0C9E" w:rsidP="00C9576A">
      <w:pPr>
        <w:spacing w:line="480" w:lineRule="auto"/>
        <w:jc w:val="center"/>
        <w:rPr>
          <w:rFonts w:ascii="Arial" w:hAnsi="Arial" w:cs="Arial"/>
          <w:i/>
          <w:iCs/>
          <w:sz w:val="24"/>
          <w:szCs w:val="24"/>
        </w:rPr>
      </w:pPr>
      <w:r w:rsidRPr="00C9576A">
        <w:rPr>
          <w:rFonts w:ascii="Arial" w:hAnsi="Arial" w:cs="Arial"/>
          <w:i/>
          <w:iCs/>
          <w:sz w:val="24"/>
          <w:szCs w:val="24"/>
        </w:rPr>
        <w:t>Sustainable Changes at Hilton Hotels</w:t>
      </w:r>
    </w:p>
    <w:p w14:paraId="361244E6" w14:textId="57CC8C31"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 xml:space="preserve">The traveller checked into their room at the Hilton hotel and immediately noticed the hotel's efforts to promote sustainability. The room featured energy-efficient lighting, and there was a note on the desk encouraging guests to recycle and turn off lights when leaving the room. </w:t>
      </w:r>
      <w:r w:rsidR="00337D24" w:rsidRPr="00C9576A">
        <w:rPr>
          <w:rFonts w:ascii="Arial" w:hAnsi="Arial" w:cs="Arial"/>
          <w:sz w:val="24"/>
          <w:szCs w:val="24"/>
        </w:rPr>
        <w:t xml:space="preserve">The hotel had also installed motion sensors in common areas, ensuring that lights were only on when people were present, reducing unnecessary energy usage. The hotel had also implemented a towel and linen reuse program, encouraging guests to reuse their towels and linens rather than having them replaced every day. This not only reduced the hotel's energy usage but also helped to conserve water. </w:t>
      </w:r>
      <w:r w:rsidRPr="00C9576A">
        <w:rPr>
          <w:rFonts w:ascii="Arial" w:hAnsi="Arial" w:cs="Arial"/>
          <w:sz w:val="24"/>
          <w:szCs w:val="24"/>
        </w:rPr>
        <w:t>The traveller appreciated the hotel's commitment to sustainability and made a mental note to be mindful of their energy usage during their stay.</w:t>
      </w:r>
    </w:p>
    <w:p w14:paraId="2BCFBD08" w14:textId="69A598BA"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As the traveller explored the hotel, they noticed other sustainable practices in place. The hotel had a recycling bin in the lobby, and there were signs encouraging guests to reuse towels and linens to conserve water. The traveller was impressed by these efforts and felt that the hotel was doing its part to reduce its environmental impact.</w:t>
      </w:r>
    </w:p>
    <w:p w14:paraId="4AAAC956" w14:textId="3664B4B4"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The traveller also appreciated the sustainable options available at the hotel's restaurant. The menu featured locally sourced and organic ingredients, and there were vegetarian and vegan options available. The traveller enjoyed their meal and felt good knowing that they were supporting sustainable practices by choosing to dine at the hotel.</w:t>
      </w:r>
    </w:p>
    <w:p w14:paraId="7C8C6936" w14:textId="07D525B8" w:rsidR="00337D24" w:rsidRPr="00C9576A" w:rsidRDefault="00337D24" w:rsidP="00C9576A">
      <w:pPr>
        <w:spacing w:line="480" w:lineRule="auto"/>
        <w:rPr>
          <w:rFonts w:ascii="Arial" w:hAnsi="Arial" w:cs="Arial"/>
          <w:sz w:val="24"/>
          <w:szCs w:val="24"/>
        </w:rPr>
      </w:pPr>
      <w:r w:rsidRPr="00C9576A">
        <w:rPr>
          <w:rFonts w:ascii="Arial" w:hAnsi="Arial" w:cs="Arial"/>
          <w:sz w:val="24"/>
          <w:szCs w:val="24"/>
        </w:rPr>
        <w:t xml:space="preserve">During their stay, the traveller also noticed that the hotel had taken steps to reduce their use of single-use plastics. The hotel provided reusable metal water bottles for guests to </w:t>
      </w:r>
      <w:r w:rsidRPr="00C9576A">
        <w:rPr>
          <w:rFonts w:ascii="Arial" w:hAnsi="Arial" w:cs="Arial"/>
          <w:sz w:val="24"/>
          <w:szCs w:val="24"/>
        </w:rPr>
        <w:lastRenderedPageBreak/>
        <w:t>use during their stay, rather than relying on disposable plastic bottles. The observer also noticed that the hotel's restaurant had replaced plastic straws with paper straws, further reducing their use of single-use plastics.</w:t>
      </w:r>
    </w:p>
    <w:p w14:paraId="04D628B4" w14:textId="1B34A12D" w:rsidR="00164AB8" w:rsidRPr="00C9576A" w:rsidRDefault="00164AB8" w:rsidP="00C9576A">
      <w:pPr>
        <w:spacing w:line="480" w:lineRule="auto"/>
        <w:rPr>
          <w:rFonts w:ascii="Arial" w:hAnsi="Arial" w:cs="Arial"/>
          <w:sz w:val="24"/>
          <w:szCs w:val="24"/>
        </w:rPr>
      </w:pPr>
      <w:r w:rsidRPr="00C9576A">
        <w:rPr>
          <w:rFonts w:ascii="Arial" w:hAnsi="Arial" w:cs="Arial"/>
          <w:sz w:val="24"/>
          <w:szCs w:val="24"/>
        </w:rPr>
        <w:t>The observer was pleased to see that the Hilton hotel was not only focused on reducing their environmental impact but also on supporting local communities. The hotel had partnered with local organizations to provide guests with opportunities to engage in sustainable activities during their stay. The hotel also provided information about local sustainable businesses and attractions, encouraging guests to support these initiatives.</w:t>
      </w:r>
    </w:p>
    <w:p w14:paraId="5D4FFC91" w14:textId="35A4665C" w:rsidR="00337D24" w:rsidRPr="00C9576A" w:rsidRDefault="00337D24" w:rsidP="00C9576A">
      <w:pPr>
        <w:spacing w:line="480" w:lineRule="auto"/>
        <w:rPr>
          <w:rFonts w:ascii="Arial" w:hAnsi="Arial" w:cs="Arial"/>
          <w:sz w:val="24"/>
          <w:szCs w:val="24"/>
        </w:rPr>
      </w:pPr>
      <w:r w:rsidRPr="00C9576A">
        <w:rPr>
          <w:rFonts w:ascii="Arial" w:hAnsi="Arial" w:cs="Arial"/>
          <w:sz w:val="24"/>
          <w:szCs w:val="24"/>
        </w:rPr>
        <w:t>Overall, the observer was impressed by the Hilton hotel's commitment to sustainability. The hotel's efforts to reduce waste, conserve energy, and support local communities demonstrated their dedication to environmental responsibility. As a guest, the observer felt good about staying at a hotel that was taking steps towards a more sustainable future.</w:t>
      </w:r>
    </w:p>
    <w:p w14:paraId="0AB48113" w14:textId="276809E2" w:rsidR="002F6FF7" w:rsidRPr="00C9576A" w:rsidRDefault="002F6FF7" w:rsidP="00C9576A">
      <w:pPr>
        <w:spacing w:line="480" w:lineRule="auto"/>
        <w:rPr>
          <w:rFonts w:ascii="Arial" w:hAnsi="Arial" w:cs="Arial"/>
          <w:sz w:val="24"/>
          <w:szCs w:val="24"/>
        </w:rPr>
      </w:pPr>
      <w:r w:rsidRPr="00C9576A">
        <w:rPr>
          <w:rFonts w:ascii="Arial" w:hAnsi="Arial" w:cs="Arial"/>
          <w:sz w:val="24"/>
          <w:szCs w:val="24"/>
        </w:rPr>
        <w:br w:type="page"/>
      </w:r>
    </w:p>
    <w:p w14:paraId="082806A9" w14:textId="792D1015" w:rsidR="002F6FF7" w:rsidRPr="00C9576A" w:rsidRDefault="006A0C9E" w:rsidP="00C9576A">
      <w:pPr>
        <w:pStyle w:val="Heading1"/>
        <w:numPr>
          <w:ilvl w:val="0"/>
          <w:numId w:val="1"/>
        </w:numPr>
        <w:spacing w:line="480" w:lineRule="auto"/>
        <w:rPr>
          <w:rFonts w:ascii="Arial" w:hAnsi="Arial" w:cs="Arial"/>
        </w:rPr>
      </w:pPr>
      <w:bookmarkStart w:id="4" w:name="_Toc133443228"/>
      <w:r w:rsidRPr="00C9576A">
        <w:rPr>
          <w:rFonts w:ascii="Arial" w:hAnsi="Arial" w:cs="Arial"/>
        </w:rPr>
        <w:lastRenderedPageBreak/>
        <w:t xml:space="preserve">Literature Review: Brand Image </w:t>
      </w:r>
      <w:r w:rsidR="00241505" w:rsidRPr="00C9576A">
        <w:rPr>
          <w:rFonts w:ascii="Arial" w:hAnsi="Arial" w:cs="Arial"/>
        </w:rPr>
        <w:t xml:space="preserve">- </w:t>
      </w:r>
      <w:r w:rsidR="00164AB8" w:rsidRPr="00C9576A">
        <w:rPr>
          <w:rFonts w:ascii="Arial" w:hAnsi="Arial" w:cs="Arial"/>
        </w:rPr>
        <w:t>656</w:t>
      </w:r>
      <w:bookmarkEnd w:id="4"/>
    </w:p>
    <w:p w14:paraId="64A52C57" w14:textId="57C09F46" w:rsidR="006A0C9E" w:rsidRPr="00C9576A" w:rsidRDefault="006A0C9E" w:rsidP="00C9576A">
      <w:pPr>
        <w:spacing w:line="480" w:lineRule="auto"/>
        <w:jc w:val="center"/>
        <w:rPr>
          <w:rFonts w:ascii="Arial" w:hAnsi="Arial" w:cs="Arial"/>
          <w:i/>
          <w:iCs/>
          <w:sz w:val="24"/>
          <w:szCs w:val="24"/>
        </w:rPr>
      </w:pPr>
      <w:r w:rsidRPr="00C9576A">
        <w:rPr>
          <w:rFonts w:ascii="Arial" w:hAnsi="Arial" w:cs="Arial"/>
          <w:i/>
          <w:iCs/>
          <w:sz w:val="24"/>
          <w:szCs w:val="24"/>
        </w:rPr>
        <w:t>Impact of Sustainability on Brand Image</w:t>
      </w:r>
    </w:p>
    <w:p w14:paraId="59B65EBC" w14:textId="058A2AF9" w:rsidR="006A0C9E" w:rsidRPr="00C9576A" w:rsidRDefault="006A0C9E" w:rsidP="00C9576A">
      <w:pPr>
        <w:spacing w:line="480" w:lineRule="auto"/>
        <w:rPr>
          <w:rFonts w:ascii="Arial" w:hAnsi="Arial" w:cs="Arial"/>
          <w:b/>
          <w:bCs/>
          <w:i/>
          <w:iCs/>
          <w:sz w:val="24"/>
          <w:szCs w:val="24"/>
        </w:rPr>
      </w:pPr>
      <w:r w:rsidRPr="00C9576A">
        <w:rPr>
          <w:rFonts w:ascii="Arial" w:hAnsi="Arial" w:cs="Arial"/>
          <w:b/>
          <w:bCs/>
          <w:i/>
          <w:iCs/>
          <w:sz w:val="24"/>
          <w:szCs w:val="24"/>
        </w:rPr>
        <w:t>Introduction</w:t>
      </w:r>
    </w:p>
    <w:p w14:paraId="49559FA4" w14:textId="209F463C"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Sustainability has become an increasingly important factor in shaping brand image. Consumers are increasingly aware of the environmental impact of their purchases and are actively seeking out sustainable brands. This literature review examines the impact of sustainability on brand image and the factors that influence this impact.</w:t>
      </w:r>
    </w:p>
    <w:p w14:paraId="7077D670" w14:textId="195632FB" w:rsidR="006A0C9E" w:rsidRPr="00C9576A" w:rsidRDefault="006A0C9E" w:rsidP="00C9576A">
      <w:pPr>
        <w:spacing w:line="480" w:lineRule="auto"/>
        <w:rPr>
          <w:rFonts w:ascii="Arial" w:hAnsi="Arial" w:cs="Arial"/>
          <w:b/>
          <w:bCs/>
          <w:i/>
          <w:iCs/>
          <w:sz w:val="24"/>
          <w:szCs w:val="24"/>
        </w:rPr>
      </w:pPr>
      <w:r w:rsidRPr="00C9576A">
        <w:rPr>
          <w:rFonts w:ascii="Arial" w:hAnsi="Arial" w:cs="Arial"/>
          <w:b/>
          <w:bCs/>
          <w:i/>
          <w:iCs/>
          <w:sz w:val="24"/>
          <w:szCs w:val="24"/>
        </w:rPr>
        <w:t>Literature Review</w:t>
      </w:r>
    </w:p>
    <w:p w14:paraId="4AC25AF7" w14:textId="4D1A9214" w:rsidR="006A0C9E" w:rsidRPr="00C9576A" w:rsidRDefault="006A0C9E" w:rsidP="00C9576A">
      <w:pPr>
        <w:spacing w:line="480" w:lineRule="auto"/>
        <w:rPr>
          <w:rFonts w:ascii="Arial" w:hAnsi="Arial" w:cs="Arial"/>
          <w:sz w:val="24"/>
          <w:szCs w:val="24"/>
        </w:rPr>
      </w:pPr>
      <w:proofErr w:type="spellStart"/>
      <w:r w:rsidRPr="00C9576A">
        <w:rPr>
          <w:rFonts w:ascii="Arial" w:hAnsi="Arial" w:cs="Arial"/>
          <w:sz w:val="24"/>
          <w:szCs w:val="24"/>
        </w:rPr>
        <w:t>Burmann</w:t>
      </w:r>
      <w:proofErr w:type="spellEnd"/>
      <w:r w:rsidRPr="00C9576A">
        <w:rPr>
          <w:rFonts w:ascii="Arial" w:hAnsi="Arial" w:cs="Arial"/>
          <w:sz w:val="24"/>
          <w:szCs w:val="24"/>
        </w:rPr>
        <w:t xml:space="preserve"> et al. (2018) conducted a study on the impact of sustainable branding on brand image. They found that brands that were perceived as more sustainable had a more positive brand image, which in turn led to increased customer loyalty and willingness to pay a premium price for the product.</w:t>
      </w:r>
    </w:p>
    <w:p w14:paraId="3B126371" w14:textId="0F62ED4C"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Chang and Liu (2009) argue that brand equity, which includes perceptions of brand image, plays an important role in shaping consumer preferences and purchase intentions. They suggest that brands that are seen as socially responsible and committed to sustainability are more likely to be positively perceived by consumers, which can lead to increased purchase intentions.</w:t>
      </w:r>
    </w:p>
    <w:p w14:paraId="2F771F30" w14:textId="613642E4"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 xml:space="preserve">Hsu and Chang (2012) conducted a study on the impact of corporate social responsibility on brand performance. They found that corporate social responsibility had a positive impact on brand performance, which was mediated by industrial brand equity and corporate reputation. They suggest that brands that are seen as socially </w:t>
      </w:r>
      <w:r w:rsidRPr="00C9576A">
        <w:rPr>
          <w:rFonts w:ascii="Arial" w:hAnsi="Arial" w:cs="Arial"/>
          <w:sz w:val="24"/>
          <w:szCs w:val="24"/>
        </w:rPr>
        <w:lastRenderedPageBreak/>
        <w:t>responsible are more likely to be positively perceived by consumers, which can lead to increased brand equity and reputation.</w:t>
      </w:r>
    </w:p>
    <w:p w14:paraId="26831616" w14:textId="07F433AE" w:rsidR="006A0C9E" w:rsidRPr="00C9576A" w:rsidRDefault="006A0C9E" w:rsidP="00C9576A">
      <w:pPr>
        <w:spacing w:line="480" w:lineRule="auto"/>
        <w:rPr>
          <w:rFonts w:ascii="Arial" w:hAnsi="Arial" w:cs="Arial"/>
          <w:sz w:val="24"/>
          <w:szCs w:val="24"/>
        </w:rPr>
      </w:pPr>
      <w:r w:rsidRPr="00C9576A">
        <w:rPr>
          <w:rFonts w:ascii="Arial" w:hAnsi="Arial" w:cs="Arial"/>
          <w:sz w:val="24"/>
          <w:szCs w:val="24"/>
        </w:rPr>
        <w:t>Pérez-Aranda et al. (2018) conducted a study on the impact of sustainable packaging on perceived product quality. They found that sustainable packaging positively influenced perceived product quality, which in turn led to increased brand image and purchase intentions. They suggest that sustainability can be an important factor in shaping brand image, even at the packaging level.</w:t>
      </w:r>
    </w:p>
    <w:p w14:paraId="5B5625B3" w14:textId="77777777" w:rsidR="00241505" w:rsidRPr="00C9576A" w:rsidRDefault="00241505" w:rsidP="00C9576A">
      <w:pPr>
        <w:spacing w:line="480" w:lineRule="auto"/>
        <w:rPr>
          <w:rFonts w:ascii="Arial" w:hAnsi="Arial" w:cs="Arial"/>
          <w:sz w:val="24"/>
          <w:szCs w:val="24"/>
        </w:rPr>
      </w:pPr>
      <w:r w:rsidRPr="00C9576A">
        <w:rPr>
          <w:rFonts w:ascii="Arial" w:hAnsi="Arial" w:cs="Arial"/>
          <w:sz w:val="24"/>
          <w:szCs w:val="24"/>
        </w:rPr>
        <w:t xml:space="preserve">Oksana et al. (2021) examine the impact of sustainability on brand reputation management. They found that sustainability can positively impact brand reputation, and that it can serve as an important factor in shaping consumer attitudes towards a brand.    </w:t>
      </w:r>
    </w:p>
    <w:p w14:paraId="1B477817" w14:textId="77777777" w:rsidR="00241505" w:rsidRPr="00C9576A" w:rsidRDefault="00241505" w:rsidP="00C9576A">
      <w:pPr>
        <w:spacing w:line="480" w:lineRule="auto"/>
        <w:rPr>
          <w:rFonts w:ascii="Arial" w:hAnsi="Arial" w:cs="Arial"/>
          <w:sz w:val="24"/>
          <w:szCs w:val="24"/>
        </w:rPr>
      </w:pPr>
      <w:proofErr w:type="spellStart"/>
      <w:r w:rsidRPr="00C9576A">
        <w:rPr>
          <w:rFonts w:ascii="Arial" w:hAnsi="Arial" w:cs="Arial"/>
          <w:sz w:val="24"/>
          <w:szCs w:val="24"/>
        </w:rPr>
        <w:t>Su</w:t>
      </w:r>
      <w:proofErr w:type="spellEnd"/>
      <w:r w:rsidRPr="00C9576A">
        <w:rPr>
          <w:rFonts w:ascii="Arial" w:hAnsi="Arial" w:cs="Arial"/>
          <w:sz w:val="24"/>
          <w:szCs w:val="24"/>
        </w:rPr>
        <w:t xml:space="preserve"> and Swanson (2020) conducted a systematic literature review on the impact of corporate sustainability on brand equity. They found that sustainability can positively impact brand equity, and that it can lead to increased customer loyalty, improved reputation, and increased market share. </w:t>
      </w:r>
    </w:p>
    <w:p w14:paraId="100EC596" w14:textId="479A1E87" w:rsidR="00241505" w:rsidRPr="00C9576A" w:rsidRDefault="00241505" w:rsidP="00C9576A">
      <w:pPr>
        <w:spacing w:line="480" w:lineRule="auto"/>
        <w:rPr>
          <w:rFonts w:ascii="Arial" w:hAnsi="Arial" w:cs="Arial"/>
          <w:sz w:val="24"/>
          <w:szCs w:val="24"/>
        </w:rPr>
      </w:pPr>
      <w:r w:rsidRPr="00C9576A">
        <w:rPr>
          <w:rFonts w:ascii="Arial" w:hAnsi="Arial" w:cs="Arial"/>
          <w:sz w:val="24"/>
          <w:szCs w:val="24"/>
        </w:rPr>
        <w:t>Wu and Li (2021) examine the impact of sustainability on brand loyalty. They found that sustainability can positively impact brand loyalty, and that this impact is mediated by brand reputation and brand trust. They suggest that brands can benefit from investing in sustainability initiatives to improve brand reputation and trust, which can lead to increased customer loyalty.</w:t>
      </w:r>
    </w:p>
    <w:p w14:paraId="56D0CFA2" w14:textId="0A02E8E8" w:rsidR="00164AB8" w:rsidRPr="00C9576A" w:rsidRDefault="00164AB8" w:rsidP="00C9576A">
      <w:pPr>
        <w:spacing w:line="480" w:lineRule="auto"/>
        <w:rPr>
          <w:rFonts w:ascii="Arial" w:hAnsi="Arial" w:cs="Arial"/>
          <w:sz w:val="24"/>
          <w:szCs w:val="24"/>
        </w:rPr>
      </w:pPr>
      <w:r w:rsidRPr="00C9576A">
        <w:rPr>
          <w:rFonts w:ascii="Arial" w:hAnsi="Arial" w:cs="Arial"/>
          <w:sz w:val="24"/>
          <w:szCs w:val="24"/>
        </w:rPr>
        <w:t xml:space="preserve">Sustainability has been found to have a positive impact on brand image in the hospitality industry (Kang &amp; Hustvedt, 2021; Kim &amp; Lee, 2021; Liang et al., 2020). Kim and Lee (2021) found that sustainability practices such as energy and water </w:t>
      </w:r>
      <w:r w:rsidRPr="00C9576A">
        <w:rPr>
          <w:rFonts w:ascii="Arial" w:hAnsi="Arial" w:cs="Arial"/>
          <w:sz w:val="24"/>
          <w:szCs w:val="24"/>
        </w:rPr>
        <w:lastRenderedPageBreak/>
        <w:t>conservation, waste management, and eco-friendly amenities positively influenced brand image, which in turn led to customer satisfaction and loyalty. Similarly, Liang et al. (2020) found that sustainability practices positively impacted the perceived quality of the hotel and its brand image. Kang and Hustvedt (2021) also found that sustainable practices had a positive impact on brand image, particularly among millennial consumers who value sustainability.</w:t>
      </w:r>
    </w:p>
    <w:p w14:paraId="3E65DC42" w14:textId="77777777" w:rsidR="00164AB8" w:rsidRPr="00C9576A" w:rsidRDefault="00164AB8" w:rsidP="00C9576A">
      <w:pPr>
        <w:spacing w:line="480" w:lineRule="auto"/>
        <w:rPr>
          <w:rFonts w:ascii="Arial" w:hAnsi="Arial" w:cs="Arial"/>
          <w:sz w:val="24"/>
          <w:szCs w:val="24"/>
        </w:rPr>
      </w:pPr>
      <w:r w:rsidRPr="00C9576A">
        <w:rPr>
          <w:rFonts w:ascii="Arial" w:hAnsi="Arial" w:cs="Arial"/>
          <w:sz w:val="24"/>
          <w:szCs w:val="24"/>
        </w:rPr>
        <w:t>While sustainability practices have a positive impact on brand image, it is important for hotels to communicate these practices effectively to customers (Lee &amp; Hwang, 2020; Kim &amp; Lee, 2021). Lee and Hwang (2020) found that customers were more likely to support sustainable hotels if they were aware of their sustainability practices, indicating the importance of effective communication. Kim and Lee (2021) also found that effective communication of sustainability practices positively influenced brand image.</w:t>
      </w:r>
    </w:p>
    <w:p w14:paraId="69BA38B1" w14:textId="34F083F4" w:rsidR="00164AB8" w:rsidRPr="00C9576A" w:rsidRDefault="00164AB8" w:rsidP="00C9576A">
      <w:pPr>
        <w:spacing w:line="480" w:lineRule="auto"/>
        <w:rPr>
          <w:rFonts w:ascii="Arial" w:hAnsi="Arial" w:cs="Arial"/>
          <w:sz w:val="24"/>
          <w:szCs w:val="24"/>
        </w:rPr>
      </w:pPr>
      <w:r w:rsidRPr="00C9576A">
        <w:rPr>
          <w:rFonts w:ascii="Arial" w:hAnsi="Arial" w:cs="Arial"/>
          <w:sz w:val="24"/>
          <w:szCs w:val="24"/>
        </w:rPr>
        <w:t xml:space="preserve">Brand image has been found to play a significant role in consumer </w:t>
      </w:r>
      <w:proofErr w:type="spellStart"/>
      <w:r w:rsidRPr="00C9576A">
        <w:rPr>
          <w:rFonts w:ascii="Arial" w:hAnsi="Arial" w:cs="Arial"/>
          <w:sz w:val="24"/>
          <w:szCs w:val="24"/>
        </w:rPr>
        <w:t>behavior</w:t>
      </w:r>
      <w:proofErr w:type="spellEnd"/>
      <w:r w:rsidRPr="00C9576A">
        <w:rPr>
          <w:rFonts w:ascii="Arial" w:hAnsi="Arial" w:cs="Arial"/>
          <w:sz w:val="24"/>
          <w:szCs w:val="24"/>
        </w:rPr>
        <w:t xml:space="preserve"> in the hospitality industry (Liang et al., 2020; Kim &amp; Lee, 2021). Liang et al. (2020) found that a positive brand image increased customers’ willingness to pay for a hotel room, while Kim and Lee (2021) found that brand image had a significant impact on customer satisfaction and loyalty.</w:t>
      </w:r>
    </w:p>
    <w:p w14:paraId="18789FE1" w14:textId="77777777" w:rsidR="00164AB8" w:rsidRPr="00C9576A" w:rsidRDefault="00164AB8" w:rsidP="00C9576A">
      <w:pPr>
        <w:spacing w:line="480" w:lineRule="auto"/>
        <w:rPr>
          <w:rFonts w:ascii="Arial" w:hAnsi="Arial" w:cs="Arial"/>
          <w:sz w:val="24"/>
          <w:szCs w:val="24"/>
        </w:rPr>
      </w:pPr>
    </w:p>
    <w:p w14:paraId="4791FB9F" w14:textId="77777777" w:rsidR="00164AB8" w:rsidRPr="00C9576A" w:rsidRDefault="00164AB8" w:rsidP="00C9576A">
      <w:pPr>
        <w:spacing w:line="480" w:lineRule="auto"/>
        <w:rPr>
          <w:rFonts w:ascii="Arial" w:hAnsi="Arial" w:cs="Arial"/>
          <w:sz w:val="24"/>
          <w:szCs w:val="24"/>
        </w:rPr>
      </w:pPr>
    </w:p>
    <w:p w14:paraId="7E91F4B2" w14:textId="77777777" w:rsidR="00241505" w:rsidRPr="00C9576A" w:rsidRDefault="00241505" w:rsidP="00C9576A">
      <w:pPr>
        <w:spacing w:line="480" w:lineRule="auto"/>
        <w:rPr>
          <w:rFonts w:ascii="Arial" w:hAnsi="Arial" w:cs="Arial"/>
          <w:sz w:val="24"/>
          <w:szCs w:val="24"/>
        </w:rPr>
      </w:pPr>
      <w:r w:rsidRPr="00C9576A">
        <w:rPr>
          <w:rFonts w:ascii="Arial" w:hAnsi="Arial" w:cs="Arial"/>
          <w:sz w:val="24"/>
          <w:szCs w:val="24"/>
        </w:rPr>
        <w:br w:type="page"/>
      </w:r>
    </w:p>
    <w:p w14:paraId="4703E495" w14:textId="32224C07" w:rsidR="00241505" w:rsidRPr="00C9576A" w:rsidRDefault="00241505" w:rsidP="00C9576A">
      <w:pPr>
        <w:pStyle w:val="Heading1"/>
        <w:numPr>
          <w:ilvl w:val="0"/>
          <w:numId w:val="1"/>
        </w:numPr>
        <w:spacing w:line="480" w:lineRule="auto"/>
        <w:rPr>
          <w:rFonts w:ascii="Arial" w:hAnsi="Arial" w:cs="Arial"/>
        </w:rPr>
      </w:pPr>
      <w:bookmarkStart w:id="5" w:name="_Toc133443229"/>
      <w:r w:rsidRPr="00C9576A">
        <w:rPr>
          <w:rFonts w:ascii="Arial" w:hAnsi="Arial" w:cs="Arial"/>
        </w:rPr>
        <w:lastRenderedPageBreak/>
        <w:t>Presentation: Staff Experience</w:t>
      </w:r>
      <w:r w:rsidR="00337D24" w:rsidRPr="00C9576A">
        <w:rPr>
          <w:rFonts w:ascii="Arial" w:hAnsi="Arial" w:cs="Arial"/>
        </w:rPr>
        <w:t xml:space="preserve">: </w:t>
      </w:r>
      <w:r w:rsidR="00164AB8" w:rsidRPr="00C9576A">
        <w:rPr>
          <w:rFonts w:ascii="Arial" w:hAnsi="Arial" w:cs="Arial"/>
        </w:rPr>
        <w:t>868</w:t>
      </w:r>
      <w:r w:rsidR="00337D24" w:rsidRPr="00C9576A">
        <w:rPr>
          <w:rFonts w:ascii="Arial" w:hAnsi="Arial" w:cs="Arial"/>
        </w:rPr>
        <w:t xml:space="preserve"> words</w:t>
      </w:r>
      <w:bookmarkEnd w:id="5"/>
      <w:r w:rsidR="00337D24" w:rsidRPr="00C9576A">
        <w:rPr>
          <w:rFonts w:ascii="Arial" w:hAnsi="Arial" w:cs="Arial"/>
        </w:rPr>
        <w:t xml:space="preserve"> </w:t>
      </w:r>
    </w:p>
    <w:p w14:paraId="03B73B36" w14:textId="200293B6" w:rsidR="00241505" w:rsidRPr="00C9576A" w:rsidRDefault="00241505" w:rsidP="00C9576A">
      <w:pPr>
        <w:spacing w:line="480" w:lineRule="auto"/>
        <w:jc w:val="center"/>
        <w:rPr>
          <w:rFonts w:ascii="Arial" w:hAnsi="Arial" w:cs="Arial"/>
          <w:i/>
          <w:iCs/>
          <w:sz w:val="24"/>
          <w:szCs w:val="24"/>
        </w:rPr>
      </w:pPr>
      <w:r w:rsidRPr="00C9576A">
        <w:rPr>
          <w:rFonts w:ascii="Arial" w:hAnsi="Arial" w:cs="Arial"/>
          <w:i/>
          <w:iCs/>
          <w:sz w:val="24"/>
          <w:szCs w:val="24"/>
        </w:rPr>
        <w:t>Lack of sustainability awareness and poor Staff Experience in fast fashion industry</w:t>
      </w:r>
    </w:p>
    <w:p w14:paraId="1FF458D2" w14:textId="1FC68E2E" w:rsidR="00241505" w:rsidRPr="00C9576A" w:rsidRDefault="00B40E7B" w:rsidP="00C9576A">
      <w:pPr>
        <w:spacing w:line="480" w:lineRule="auto"/>
        <w:rPr>
          <w:rFonts w:ascii="Arial" w:hAnsi="Arial" w:cs="Arial"/>
          <w:sz w:val="24"/>
          <w:szCs w:val="24"/>
        </w:rPr>
      </w:pPr>
      <w:r w:rsidRPr="00C9576A">
        <w:rPr>
          <w:rFonts w:ascii="Arial" w:hAnsi="Arial" w:cs="Arial"/>
          <w:noProof/>
        </w:rPr>
        <w:drawing>
          <wp:inline distT="0" distB="0" distL="0" distR="0" wp14:anchorId="1F49335C" wp14:editId="75D5C9F2">
            <wp:extent cx="5943600" cy="1661160"/>
            <wp:effectExtent l="0" t="0" r="0" b="0"/>
            <wp:docPr id="553391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391763" name=""/>
                    <pic:cNvPicPr/>
                  </pic:nvPicPr>
                  <pic:blipFill>
                    <a:blip r:embed="rId9"/>
                    <a:stretch>
                      <a:fillRect/>
                    </a:stretch>
                  </pic:blipFill>
                  <pic:spPr>
                    <a:xfrm>
                      <a:off x="0" y="0"/>
                      <a:ext cx="5943600" cy="1661160"/>
                    </a:xfrm>
                    <a:prstGeom prst="rect">
                      <a:avLst/>
                    </a:prstGeom>
                  </pic:spPr>
                </pic:pic>
              </a:graphicData>
            </a:graphic>
          </wp:inline>
        </w:drawing>
      </w:r>
    </w:p>
    <w:p w14:paraId="1B382DB4" w14:textId="1FDE021B" w:rsidR="00B40E7B" w:rsidRPr="00C9576A" w:rsidRDefault="00337D24" w:rsidP="00C9576A">
      <w:pPr>
        <w:spacing w:line="480" w:lineRule="auto"/>
        <w:rPr>
          <w:rFonts w:ascii="Arial" w:hAnsi="Arial" w:cs="Arial"/>
          <w:sz w:val="24"/>
          <w:szCs w:val="24"/>
        </w:rPr>
      </w:pPr>
      <w:r w:rsidRPr="00C9576A">
        <w:rPr>
          <w:rFonts w:ascii="Arial" w:hAnsi="Arial" w:cs="Arial"/>
          <w:noProof/>
        </w:rPr>
        <w:drawing>
          <wp:inline distT="0" distB="0" distL="0" distR="0" wp14:anchorId="23037A09" wp14:editId="3F89CED7">
            <wp:extent cx="5943600" cy="1701165"/>
            <wp:effectExtent l="0" t="0" r="0" b="0"/>
            <wp:docPr id="65224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24125" name=""/>
                    <pic:cNvPicPr/>
                  </pic:nvPicPr>
                  <pic:blipFill>
                    <a:blip r:embed="rId10"/>
                    <a:stretch>
                      <a:fillRect/>
                    </a:stretch>
                  </pic:blipFill>
                  <pic:spPr>
                    <a:xfrm>
                      <a:off x="0" y="0"/>
                      <a:ext cx="5943600" cy="1701165"/>
                    </a:xfrm>
                    <a:prstGeom prst="rect">
                      <a:avLst/>
                    </a:prstGeom>
                  </pic:spPr>
                </pic:pic>
              </a:graphicData>
            </a:graphic>
          </wp:inline>
        </w:drawing>
      </w:r>
    </w:p>
    <w:p w14:paraId="0F24EDBD" w14:textId="07D57640" w:rsidR="002F6FF7" w:rsidRPr="00C9576A" w:rsidRDefault="00164AB8" w:rsidP="00C9576A">
      <w:pPr>
        <w:spacing w:line="480" w:lineRule="auto"/>
        <w:rPr>
          <w:rFonts w:ascii="Arial" w:hAnsi="Arial" w:cs="Arial"/>
          <w:sz w:val="24"/>
          <w:szCs w:val="24"/>
        </w:rPr>
      </w:pPr>
      <w:r w:rsidRPr="00C9576A">
        <w:rPr>
          <w:rFonts w:ascii="Arial" w:hAnsi="Arial" w:cs="Arial"/>
          <w:noProof/>
        </w:rPr>
        <w:drawing>
          <wp:inline distT="0" distB="0" distL="0" distR="0" wp14:anchorId="2326225C" wp14:editId="277202A0">
            <wp:extent cx="5943600" cy="1774190"/>
            <wp:effectExtent l="0" t="0" r="0" b="0"/>
            <wp:docPr id="181553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33847" name=""/>
                    <pic:cNvPicPr/>
                  </pic:nvPicPr>
                  <pic:blipFill>
                    <a:blip r:embed="rId11"/>
                    <a:stretch>
                      <a:fillRect/>
                    </a:stretch>
                  </pic:blipFill>
                  <pic:spPr>
                    <a:xfrm>
                      <a:off x="0" y="0"/>
                      <a:ext cx="5943600" cy="1774190"/>
                    </a:xfrm>
                    <a:prstGeom prst="rect">
                      <a:avLst/>
                    </a:prstGeom>
                  </pic:spPr>
                </pic:pic>
              </a:graphicData>
            </a:graphic>
          </wp:inline>
        </w:drawing>
      </w:r>
    </w:p>
    <w:p w14:paraId="10A890FE" w14:textId="5280C2F8" w:rsidR="00164AB8" w:rsidRPr="00C9576A" w:rsidRDefault="00164AB8" w:rsidP="00C9576A">
      <w:pPr>
        <w:spacing w:line="480" w:lineRule="auto"/>
        <w:rPr>
          <w:rFonts w:ascii="Arial" w:hAnsi="Arial" w:cs="Arial"/>
          <w:sz w:val="24"/>
          <w:szCs w:val="24"/>
        </w:rPr>
      </w:pPr>
    </w:p>
    <w:p w14:paraId="30C48C9F" w14:textId="77777777" w:rsidR="00164AB8" w:rsidRPr="00C9576A" w:rsidRDefault="00164AB8" w:rsidP="00C9576A">
      <w:pPr>
        <w:spacing w:line="480" w:lineRule="auto"/>
        <w:rPr>
          <w:rFonts w:ascii="Arial" w:hAnsi="Arial" w:cs="Arial"/>
          <w:sz w:val="24"/>
          <w:szCs w:val="24"/>
        </w:rPr>
      </w:pPr>
      <w:r w:rsidRPr="00C9576A">
        <w:rPr>
          <w:rFonts w:ascii="Arial" w:hAnsi="Arial" w:cs="Arial"/>
          <w:sz w:val="24"/>
          <w:szCs w:val="24"/>
        </w:rPr>
        <w:br w:type="page"/>
      </w:r>
    </w:p>
    <w:p w14:paraId="7CFEB55E" w14:textId="15A1F24B" w:rsidR="00164AB8" w:rsidRPr="00C9576A" w:rsidRDefault="00091C4E" w:rsidP="00A96FCA">
      <w:pPr>
        <w:pStyle w:val="Heading1"/>
        <w:numPr>
          <w:ilvl w:val="0"/>
          <w:numId w:val="1"/>
        </w:numPr>
        <w:spacing w:line="480" w:lineRule="auto"/>
        <w:rPr>
          <w:rFonts w:ascii="Arial" w:hAnsi="Arial" w:cs="Arial"/>
        </w:rPr>
      </w:pPr>
      <w:bookmarkStart w:id="6" w:name="_Toc133443230"/>
      <w:r w:rsidRPr="00C9576A">
        <w:rPr>
          <w:rFonts w:ascii="Arial" w:hAnsi="Arial" w:cs="Arial"/>
        </w:rPr>
        <w:lastRenderedPageBreak/>
        <w:t xml:space="preserve">Reflection: </w:t>
      </w:r>
      <w:r w:rsidR="00DE44F5" w:rsidRPr="00C9576A">
        <w:rPr>
          <w:rFonts w:ascii="Arial" w:hAnsi="Arial" w:cs="Arial"/>
        </w:rPr>
        <w:t>787</w:t>
      </w:r>
      <w:bookmarkEnd w:id="6"/>
    </w:p>
    <w:p w14:paraId="324764BB" w14:textId="6926AF40" w:rsidR="00DE44F5" w:rsidRPr="00C9576A" w:rsidRDefault="00DE44F5" w:rsidP="00C9576A">
      <w:pPr>
        <w:spacing w:line="480" w:lineRule="auto"/>
        <w:jc w:val="center"/>
        <w:rPr>
          <w:rFonts w:ascii="Arial" w:hAnsi="Arial" w:cs="Arial"/>
          <w:i/>
          <w:iCs/>
          <w:sz w:val="24"/>
          <w:szCs w:val="24"/>
        </w:rPr>
      </w:pPr>
      <w:r w:rsidRPr="00C9576A">
        <w:rPr>
          <w:rFonts w:ascii="Arial" w:hAnsi="Arial" w:cs="Arial"/>
          <w:i/>
          <w:iCs/>
          <w:sz w:val="24"/>
          <w:szCs w:val="24"/>
        </w:rPr>
        <w:t>On Portfolio Writing Exercise</w:t>
      </w:r>
    </w:p>
    <w:p w14:paraId="69C683DB" w14:textId="77777777"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Description</w:t>
      </w:r>
    </w:p>
    <w:p w14:paraId="1E7788E3" w14:textId="71A3FAEF"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t>As a student of Environmental Sustainability, I was tasked with creating a portfolio containing eight types of writing, including essays, case studies, reports, presentations, journal entries, and literature reviews. Each piece of writing focused on a different aspect of environmental sustainability, such as the impact of sustainability on brand image, the effectiveness of fiscal and economic incentives, and the lack of sustainability awareness in the fast fashion industry. The portfolio required extensive research and critical thinking, and each piece of writing presented its own unique challenges.</w:t>
      </w:r>
    </w:p>
    <w:p w14:paraId="6ACB35F8" w14:textId="77777777"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Feelings</w:t>
      </w:r>
    </w:p>
    <w:p w14:paraId="549229F3" w14:textId="275E8F16"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t>At the beginning of the exercise, I felt overwhelmed by the sheer amount of work required to complete the portfolio. However, as I started working on each piece of writing, I began to feel a sense of satisfaction and accomplishment as I delved deeper into each topic and learned more about environmental sustainability. Writing the literature review was particularly challenging, as it required a thorough understanding of the existing research on the topic and the ability to critically evaluate the findings (Kahneman &amp; Tversky, 1979). Overall, I felt that the exercise was a valuable learning experience that helped me to develop my research and writing skills.</w:t>
      </w:r>
    </w:p>
    <w:p w14:paraId="06603EED" w14:textId="77777777"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Evaluation</w:t>
      </w:r>
    </w:p>
    <w:p w14:paraId="731C599C" w14:textId="3785E993"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lastRenderedPageBreak/>
        <w:t xml:space="preserve">Creating the portfolio was a challenging yet rewarding exercise that allowed me to explore various aspects of environmental sustainability. The different types of writing provided me with a broad range of skills, including the ability to present information in a clear and concise manner, conduct thorough research, and critically evaluate existing literature. However, I also found that some types of writing were more challenging than others, such as the case study, which required the ability to </w:t>
      </w:r>
      <w:proofErr w:type="spellStart"/>
      <w:r w:rsidRPr="00C9576A">
        <w:rPr>
          <w:rFonts w:ascii="Arial" w:hAnsi="Arial" w:cs="Arial"/>
          <w:sz w:val="24"/>
          <w:szCs w:val="24"/>
        </w:rPr>
        <w:t>analyze</w:t>
      </w:r>
      <w:proofErr w:type="spellEnd"/>
      <w:r w:rsidRPr="00C9576A">
        <w:rPr>
          <w:rFonts w:ascii="Arial" w:hAnsi="Arial" w:cs="Arial"/>
          <w:sz w:val="24"/>
          <w:szCs w:val="24"/>
        </w:rPr>
        <w:t xml:space="preserve"> real-life situations and apply theoretical concepts to them (Rogers, 1995). Overall, I felt that the portfolio was a valuable learning experience that helped me to develop my skills as a student of environmental sustainability.</w:t>
      </w:r>
    </w:p>
    <w:p w14:paraId="21A6A431" w14:textId="77777777"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Analysis</w:t>
      </w:r>
    </w:p>
    <w:p w14:paraId="3F38FB6C" w14:textId="38DDFED4"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t>Reflecting on the portfolio exercise, I realized that it was not just about completing a series of writing assignments but also about developing a deeper understanding of environmental sustainability. Each piece of writing required me to think critically about environmental issues and consider their impact on society and the environment. Additionally, I found that the exercise helped me to develop my communication skills, as I had to present my findings in various formats, including written reports and oral presentations (Gibbs, 1988).</w:t>
      </w:r>
    </w:p>
    <w:p w14:paraId="08124304" w14:textId="77777777"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Conclusion</w:t>
      </w:r>
    </w:p>
    <w:p w14:paraId="50C91519" w14:textId="3FA1AFB1"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t xml:space="preserve">Completing the environmental sustainability portfolio was a challenging yet rewarding exercise that helped me to develop my research and writing skills. The exercise allowed me to explore various aspects of environmental sustainability and develop a deeper understanding of the challenges and opportunities associated with sustainable </w:t>
      </w:r>
      <w:r w:rsidRPr="00C9576A">
        <w:rPr>
          <w:rFonts w:ascii="Arial" w:hAnsi="Arial" w:cs="Arial"/>
          <w:sz w:val="24"/>
          <w:szCs w:val="24"/>
        </w:rPr>
        <w:lastRenderedPageBreak/>
        <w:t>development. Overall, I feel that the portfolio has equipped me with the skills and knowledge necessary to become an effective communicator and advocate for environmental sustainability.</w:t>
      </w:r>
    </w:p>
    <w:p w14:paraId="784A641C" w14:textId="5972F0CA" w:rsidR="00DE44F5" w:rsidRPr="00C9576A" w:rsidRDefault="00DE44F5" w:rsidP="00C9576A">
      <w:pPr>
        <w:spacing w:line="480" w:lineRule="auto"/>
        <w:rPr>
          <w:rFonts w:ascii="Arial" w:hAnsi="Arial" w:cs="Arial"/>
          <w:b/>
          <w:bCs/>
          <w:i/>
          <w:iCs/>
          <w:sz w:val="24"/>
          <w:szCs w:val="24"/>
        </w:rPr>
      </w:pPr>
      <w:r w:rsidRPr="00C9576A">
        <w:rPr>
          <w:rFonts w:ascii="Arial" w:hAnsi="Arial" w:cs="Arial"/>
          <w:b/>
          <w:bCs/>
          <w:i/>
          <w:iCs/>
          <w:sz w:val="24"/>
          <w:szCs w:val="24"/>
        </w:rPr>
        <w:t>Action Plan</w:t>
      </w:r>
    </w:p>
    <w:p w14:paraId="342CCAA8" w14:textId="443C358C" w:rsidR="00DE44F5" w:rsidRPr="00C9576A" w:rsidRDefault="00DE44F5" w:rsidP="00C9576A">
      <w:pPr>
        <w:spacing w:line="480" w:lineRule="auto"/>
        <w:rPr>
          <w:rFonts w:ascii="Arial" w:hAnsi="Arial" w:cs="Arial"/>
          <w:sz w:val="24"/>
          <w:szCs w:val="24"/>
        </w:rPr>
      </w:pPr>
      <w:r w:rsidRPr="00C9576A">
        <w:rPr>
          <w:rFonts w:ascii="Arial" w:hAnsi="Arial" w:cs="Arial"/>
          <w:sz w:val="24"/>
          <w:szCs w:val="24"/>
        </w:rPr>
        <w:t>Having reflected on my experiences creating the environmental sustainability portfolio, I have identified several weaknesses in my research and writing skills that need improvement. Below is an action plan to address these weaknesses.</w:t>
      </w:r>
    </w:p>
    <w:p w14:paraId="59D05476" w14:textId="091AD4DE" w:rsidR="00DE44F5" w:rsidRPr="00C9576A" w:rsidRDefault="00DE44F5" w:rsidP="00C9576A">
      <w:pPr>
        <w:spacing w:line="480" w:lineRule="auto"/>
        <w:rPr>
          <w:rFonts w:ascii="Arial" w:hAnsi="Arial" w:cs="Arial"/>
          <w:sz w:val="24"/>
          <w:szCs w:val="24"/>
        </w:rPr>
      </w:pPr>
      <w:r w:rsidRPr="00C9576A">
        <w:rPr>
          <w:rFonts w:ascii="Arial" w:hAnsi="Arial" w:cs="Arial"/>
          <w:i/>
          <w:iCs/>
          <w:sz w:val="24"/>
          <w:szCs w:val="24"/>
          <w:u w:val="single"/>
        </w:rPr>
        <w:t>Conducting thorough research</w:t>
      </w:r>
      <w:r w:rsidRPr="00C9576A">
        <w:rPr>
          <w:rFonts w:ascii="Arial" w:hAnsi="Arial" w:cs="Arial"/>
          <w:b/>
          <w:bCs/>
          <w:i/>
          <w:iCs/>
          <w:sz w:val="24"/>
          <w:szCs w:val="24"/>
        </w:rPr>
        <w:t>:</w:t>
      </w:r>
      <w:r w:rsidRPr="00C9576A">
        <w:rPr>
          <w:rFonts w:ascii="Arial" w:hAnsi="Arial" w:cs="Arial"/>
          <w:sz w:val="24"/>
          <w:szCs w:val="24"/>
        </w:rPr>
        <w:t xml:space="preserve"> To improve my research skills, I plan to spend more time reviewing the literature and identifying key sources of information. This will involve using a wider range of academic databases and search engines, as well as consulting with experts in the field to ensure that I have a comprehensive understanding of the topic.</w:t>
      </w:r>
    </w:p>
    <w:p w14:paraId="7C8F4737" w14:textId="5DC5D21F" w:rsidR="00DE44F5" w:rsidRPr="00C9576A" w:rsidRDefault="00DE44F5" w:rsidP="00C9576A">
      <w:pPr>
        <w:spacing w:line="480" w:lineRule="auto"/>
        <w:rPr>
          <w:rFonts w:ascii="Arial" w:hAnsi="Arial" w:cs="Arial"/>
          <w:sz w:val="24"/>
          <w:szCs w:val="24"/>
        </w:rPr>
      </w:pPr>
      <w:r w:rsidRPr="00C9576A">
        <w:rPr>
          <w:rFonts w:ascii="Arial" w:hAnsi="Arial" w:cs="Arial"/>
          <w:i/>
          <w:iCs/>
          <w:sz w:val="24"/>
          <w:szCs w:val="24"/>
          <w:u w:val="single"/>
        </w:rPr>
        <w:t>Developing critical thinking skills</w:t>
      </w:r>
      <w:r w:rsidRPr="00C9576A">
        <w:rPr>
          <w:rFonts w:ascii="Arial" w:hAnsi="Arial" w:cs="Arial"/>
          <w:b/>
          <w:bCs/>
          <w:i/>
          <w:iCs/>
          <w:sz w:val="24"/>
          <w:szCs w:val="24"/>
        </w:rPr>
        <w:t>:</w:t>
      </w:r>
      <w:r w:rsidRPr="00C9576A">
        <w:rPr>
          <w:rFonts w:ascii="Arial" w:hAnsi="Arial" w:cs="Arial"/>
          <w:sz w:val="24"/>
          <w:szCs w:val="24"/>
        </w:rPr>
        <w:t xml:space="preserve"> To improve my critical thinking skills, I plan to practice </w:t>
      </w:r>
      <w:proofErr w:type="spellStart"/>
      <w:r w:rsidRPr="00C9576A">
        <w:rPr>
          <w:rFonts w:ascii="Arial" w:hAnsi="Arial" w:cs="Arial"/>
          <w:sz w:val="24"/>
          <w:szCs w:val="24"/>
        </w:rPr>
        <w:t>analyzing</w:t>
      </w:r>
      <w:proofErr w:type="spellEnd"/>
      <w:r w:rsidRPr="00C9576A">
        <w:rPr>
          <w:rFonts w:ascii="Arial" w:hAnsi="Arial" w:cs="Arial"/>
          <w:sz w:val="24"/>
          <w:szCs w:val="24"/>
        </w:rPr>
        <w:t xml:space="preserve"> and evaluating arguments and evidence more systematically. This will involve developing a set of criteria for assessing the validity and reliability of sources, as well as engaging in more active reading and note-taking to better understand the key concepts and ideas presented in the literature.</w:t>
      </w:r>
    </w:p>
    <w:p w14:paraId="24F1ECF2" w14:textId="22381D39" w:rsidR="00DE44F5" w:rsidRPr="00C9576A" w:rsidRDefault="00DE44F5" w:rsidP="00C9576A">
      <w:pPr>
        <w:spacing w:line="480" w:lineRule="auto"/>
        <w:rPr>
          <w:rFonts w:ascii="Arial" w:hAnsi="Arial" w:cs="Arial"/>
          <w:sz w:val="24"/>
          <w:szCs w:val="24"/>
        </w:rPr>
      </w:pPr>
      <w:r w:rsidRPr="00C9576A">
        <w:rPr>
          <w:rFonts w:ascii="Arial" w:hAnsi="Arial" w:cs="Arial"/>
          <w:i/>
          <w:iCs/>
          <w:sz w:val="24"/>
          <w:szCs w:val="24"/>
          <w:u w:val="single"/>
        </w:rPr>
        <w:t>Writing more clearly and concisely</w:t>
      </w:r>
      <w:r w:rsidRPr="00C9576A">
        <w:rPr>
          <w:rFonts w:ascii="Arial" w:hAnsi="Arial" w:cs="Arial"/>
          <w:b/>
          <w:bCs/>
          <w:i/>
          <w:iCs/>
          <w:sz w:val="24"/>
          <w:szCs w:val="24"/>
        </w:rPr>
        <w:t>:</w:t>
      </w:r>
      <w:r w:rsidRPr="00C9576A">
        <w:rPr>
          <w:rFonts w:ascii="Arial" w:hAnsi="Arial" w:cs="Arial"/>
          <w:sz w:val="24"/>
          <w:szCs w:val="24"/>
        </w:rPr>
        <w:t xml:space="preserve"> To improve my writing skills, I plan to work on developing more effective writing strategies, such as outlining, drafting, and editing. This will involve breaking down complex ideas into smaller, more manageable parts and organizing my writing around a clear and coherent structure. I also plan to focus on using more concise language and avoiding jargon or overly technical terminology.</w:t>
      </w:r>
    </w:p>
    <w:p w14:paraId="741699F8" w14:textId="679A36E0" w:rsidR="00DE44F5" w:rsidRPr="00C9576A" w:rsidRDefault="00DE44F5" w:rsidP="00C9576A">
      <w:pPr>
        <w:spacing w:line="480" w:lineRule="auto"/>
        <w:rPr>
          <w:rFonts w:ascii="Arial" w:hAnsi="Arial" w:cs="Arial"/>
          <w:sz w:val="24"/>
          <w:szCs w:val="24"/>
        </w:rPr>
      </w:pPr>
      <w:r w:rsidRPr="00C9576A">
        <w:rPr>
          <w:rFonts w:ascii="Arial" w:hAnsi="Arial" w:cs="Arial"/>
          <w:i/>
          <w:iCs/>
          <w:sz w:val="24"/>
          <w:szCs w:val="24"/>
          <w:u w:val="single"/>
        </w:rPr>
        <w:lastRenderedPageBreak/>
        <w:t>Improving communication skills</w:t>
      </w:r>
      <w:r w:rsidRPr="00C9576A">
        <w:rPr>
          <w:rFonts w:ascii="Arial" w:hAnsi="Arial" w:cs="Arial"/>
          <w:sz w:val="24"/>
          <w:szCs w:val="24"/>
        </w:rPr>
        <w:t>: To improve my communication skills, I plan to work on presenting my ideas and findings more effectively to different audiences. This will involve practicing oral presentations, developing more engaging visual aids, and learning to adapt my communication style to different contexts and audiences.</w:t>
      </w:r>
    </w:p>
    <w:p w14:paraId="068E91F8" w14:textId="586C1F8B" w:rsidR="00C9576A" w:rsidRPr="00C9576A" w:rsidRDefault="00DE44F5" w:rsidP="00C9576A">
      <w:pPr>
        <w:spacing w:line="480" w:lineRule="auto"/>
        <w:rPr>
          <w:rFonts w:ascii="Arial" w:hAnsi="Arial" w:cs="Arial"/>
          <w:sz w:val="24"/>
          <w:szCs w:val="24"/>
        </w:rPr>
      </w:pPr>
      <w:r w:rsidRPr="00C9576A">
        <w:rPr>
          <w:rFonts w:ascii="Arial" w:hAnsi="Arial" w:cs="Arial"/>
          <w:i/>
          <w:iCs/>
          <w:sz w:val="24"/>
          <w:szCs w:val="24"/>
          <w:u w:val="single"/>
        </w:rPr>
        <w:t>Staying informed and up-to-date</w:t>
      </w:r>
      <w:r w:rsidRPr="00C9576A">
        <w:rPr>
          <w:rFonts w:ascii="Arial" w:hAnsi="Arial" w:cs="Arial"/>
          <w:b/>
          <w:bCs/>
          <w:i/>
          <w:iCs/>
          <w:sz w:val="24"/>
          <w:szCs w:val="24"/>
        </w:rPr>
        <w:t>:</w:t>
      </w:r>
      <w:r w:rsidRPr="00C9576A">
        <w:rPr>
          <w:rFonts w:ascii="Arial" w:hAnsi="Arial" w:cs="Arial"/>
          <w:sz w:val="24"/>
          <w:szCs w:val="24"/>
        </w:rPr>
        <w:t xml:space="preserve"> To stay informed and up-to-date on developments in the field of environmental sustainability, I plan to attend conferences, seminars, and workshops, as well as subscribing to relevant academic journals and online publications. This will help me to stay abreast of new research, trends, and best practices in the field, and to develop a more nuanced and sophisticated understanding of environmental sustainability.</w:t>
      </w:r>
    </w:p>
    <w:p w14:paraId="47030DCF" w14:textId="77777777"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br w:type="page"/>
      </w:r>
    </w:p>
    <w:p w14:paraId="45AB51C0" w14:textId="1E0A6123" w:rsidR="00DE44F5" w:rsidRPr="00C9576A" w:rsidRDefault="00C9576A" w:rsidP="00A96FCA">
      <w:pPr>
        <w:pStyle w:val="Heading1"/>
        <w:numPr>
          <w:ilvl w:val="0"/>
          <w:numId w:val="1"/>
        </w:numPr>
        <w:spacing w:line="480" w:lineRule="auto"/>
        <w:rPr>
          <w:rFonts w:ascii="Arial" w:hAnsi="Arial" w:cs="Arial"/>
        </w:rPr>
      </w:pPr>
      <w:bookmarkStart w:id="7" w:name="_Toc133443231"/>
      <w:r w:rsidRPr="00C9576A">
        <w:rPr>
          <w:rFonts w:ascii="Arial" w:hAnsi="Arial" w:cs="Arial"/>
        </w:rPr>
        <w:lastRenderedPageBreak/>
        <w:t xml:space="preserve">Report: </w:t>
      </w:r>
      <w:r w:rsidR="00A96FCA">
        <w:rPr>
          <w:rFonts w:ascii="Arial" w:hAnsi="Arial" w:cs="Arial"/>
        </w:rPr>
        <w:t>- 591</w:t>
      </w:r>
      <w:bookmarkEnd w:id="7"/>
    </w:p>
    <w:p w14:paraId="594EC066" w14:textId="79ABC9AB" w:rsidR="00C9576A" w:rsidRDefault="00C9576A" w:rsidP="00C9576A">
      <w:pPr>
        <w:spacing w:line="480" w:lineRule="auto"/>
        <w:rPr>
          <w:rFonts w:ascii="Arial" w:hAnsi="Arial" w:cs="Arial"/>
          <w:sz w:val="24"/>
          <w:szCs w:val="24"/>
        </w:rPr>
      </w:pPr>
      <w:r w:rsidRPr="00C9576A">
        <w:rPr>
          <w:rFonts w:ascii="Arial" w:hAnsi="Arial" w:cs="Arial"/>
          <w:sz w:val="24"/>
          <w:szCs w:val="24"/>
        </w:rPr>
        <w:t>Circular Economy: It’s Benefits and Challenges</w:t>
      </w:r>
    </w:p>
    <w:p w14:paraId="247D2D74" w14:textId="5CA934BC" w:rsidR="00C9576A" w:rsidRPr="00A96FCA" w:rsidRDefault="00C9576A" w:rsidP="00C9576A">
      <w:pPr>
        <w:spacing w:line="480" w:lineRule="auto"/>
        <w:rPr>
          <w:rFonts w:ascii="Arial" w:hAnsi="Arial" w:cs="Arial"/>
          <w:b/>
          <w:bCs/>
          <w:i/>
          <w:iCs/>
          <w:sz w:val="24"/>
          <w:szCs w:val="24"/>
        </w:rPr>
      </w:pPr>
      <w:r w:rsidRPr="00A96FCA">
        <w:rPr>
          <w:rFonts w:ascii="Arial" w:hAnsi="Arial" w:cs="Arial"/>
          <w:b/>
          <w:bCs/>
          <w:i/>
          <w:iCs/>
          <w:sz w:val="24"/>
          <w:szCs w:val="24"/>
        </w:rPr>
        <w:t>Executive Summary</w:t>
      </w:r>
    </w:p>
    <w:p w14:paraId="081B1264" w14:textId="37774436" w:rsidR="00C9576A" w:rsidRPr="00C9576A" w:rsidRDefault="00A96FCA" w:rsidP="00C9576A">
      <w:pPr>
        <w:spacing w:line="480" w:lineRule="auto"/>
        <w:rPr>
          <w:rFonts w:ascii="Arial" w:hAnsi="Arial" w:cs="Arial"/>
          <w:sz w:val="24"/>
          <w:szCs w:val="24"/>
        </w:rPr>
      </w:pPr>
      <w:r w:rsidRPr="00A96FCA">
        <w:rPr>
          <w:rFonts w:ascii="Arial" w:hAnsi="Arial" w:cs="Arial"/>
          <w:sz w:val="24"/>
          <w:szCs w:val="24"/>
        </w:rPr>
        <w:t>This report examines the effectiveness of circular economy in promoting environmentally sustainable practices in the UK. The benefits of circular economy include reducing waste and greenhouse gas emissions, creating economic opportunities, and supporting job creation. The challenges of implementing circular economy include the need for a shift in mindset and behaviour, lack of infrastructure and investment, and adoption of new business models. The effectiveness of circular economy is dependent on changes in mindset and behaviour, investment in infrastructure and research and development, and adoption of new business models.</w:t>
      </w:r>
    </w:p>
    <w:p w14:paraId="22937ACA" w14:textId="603B8DDE" w:rsidR="00C9576A" w:rsidRPr="00C9576A" w:rsidRDefault="00C9576A" w:rsidP="00C9576A">
      <w:pPr>
        <w:spacing w:line="480" w:lineRule="auto"/>
        <w:rPr>
          <w:rFonts w:ascii="Arial" w:hAnsi="Arial" w:cs="Arial"/>
          <w:b/>
          <w:bCs/>
          <w:i/>
          <w:iCs/>
          <w:sz w:val="24"/>
          <w:szCs w:val="24"/>
        </w:rPr>
      </w:pPr>
      <w:r w:rsidRPr="00C9576A">
        <w:rPr>
          <w:rFonts w:ascii="Arial" w:hAnsi="Arial" w:cs="Arial"/>
          <w:b/>
          <w:bCs/>
          <w:i/>
          <w:iCs/>
          <w:sz w:val="24"/>
          <w:szCs w:val="24"/>
        </w:rPr>
        <w:t>Introduction:</w:t>
      </w:r>
    </w:p>
    <w:p w14:paraId="67348E91" w14:textId="4270661D"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t>The concept of circular economy has gained significant attention in recent years as a means of promoting environmentally sustainable practices. This report examines the effectiveness of circular economy in promoting environmentally sustainable practices in the UK. It critically discusses the benefits and challenges of implementing circular economy principles and provides real-life examples of circular economy initiatives in the UK.</w:t>
      </w:r>
    </w:p>
    <w:p w14:paraId="62655D3B" w14:textId="5A6524E0" w:rsidR="00C9576A" w:rsidRPr="00C9576A" w:rsidRDefault="00C9576A" w:rsidP="00C9576A">
      <w:pPr>
        <w:spacing w:line="480" w:lineRule="auto"/>
        <w:rPr>
          <w:rFonts w:ascii="Arial" w:hAnsi="Arial" w:cs="Arial"/>
          <w:b/>
          <w:bCs/>
          <w:i/>
          <w:iCs/>
          <w:sz w:val="24"/>
          <w:szCs w:val="24"/>
        </w:rPr>
      </w:pPr>
      <w:r w:rsidRPr="00C9576A">
        <w:rPr>
          <w:rFonts w:ascii="Arial" w:hAnsi="Arial" w:cs="Arial"/>
          <w:b/>
          <w:bCs/>
          <w:i/>
          <w:iCs/>
          <w:sz w:val="24"/>
          <w:szCs w:val="24"/>
        </w:rPr>
        <w:t>Benefits of Circular Economy:</w:t>
      </w:r>
    </w:p>
    <w:p w14:paraId="28C4CFD5" w14:textId="441AFCE8"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t xml:space="preserve">One of the main benefits of circular economy is its potential to reduce waste and greenhouse gas emissions. By keeping products and materials in use for as long as </w:t>
      </w:r>
      <w:r w:rsidRPr="00C9576A">
        <w:rPr>
          <w:rFonts w:ascii="Arial" w:hAnsi="Arial" w:cs="Arial"/>
          <w:sz w:val="24"/>
          <w:szCs w:val="24"/>
        </w:rPr>
        <w:lastRenderedPageBreak/>
        <w:t>possible, circular economy can help to reduce the amount of waste that is generated and the associated environmental impacts. Additionally, circular economy can help to reduce the demand for virgin materials, which can help to preserve natural resources and reduce carbon emissions associated with extraction and processing (</w:t>
      </w:r>
      <w:proofErr w:type="spellStart"/>
      <w:r w:rsidRPr="00C9576A">
        <w:rPr>
          <w:rFonts w:ascii="Arial" w:hAnsi="Arial" w:cs="Arial"/>
          <w:sz w:val="24"/>
          <w:szCs w:val="24"/>
        </w:rPr>
        <w:t>Kirchherr</w:t>
      </w:r>
      <w:proofErr w:type="spellEnd"/>
      <w:r w:rsidRPr="00C9576A">
        <w:rPr>
          <w:rFonts w:ascii="Arial" w:hAnsi="Arial" w:cs="Arial"/>
          <w:sz w:val="24"/>
          <w:szCs w:val="24"/>
        </w:rPr>
        <w:t xml:space="preserve"> et al., 2018).</w:t>
      </w:r>
    </w:p>
    <w:p w14:paraId="5A89AC38" w14:textId="2F21F0AE" w:rsidR="00C9576A" w:rsidRDefault="00C9576A" w:rsidP="00C9576A">
      <w:pPr>
        <w:spacing w:line="480" w:lineRule="auto"/>
        <w:rPr>
          <w:rFonts w:ascii="Arial" w:hAnsi="Arial" w:cs="Arial"/>
          <w:sz w:val="24"/>
          <w:szCs w:val="24"/>
        </w:rPr>
      </w:pPr>
      <w:r w:rsidRPr="00C9576A">
        <w:rPr>
          <w:rFonts w:ascii="Arial" w:hAnsi="Arial" w:cs="Arial"/>
          <w:sz w:val="24"/>
          <w:szCs w:val="24"/>
        </w:rPr>
        <w:t>Another benefit of circular economy is its potential to create economic opportunities and support job creation. By promoting resource efficiency and reducing waste, circular economy can help to stimulate innovation and create new markets for recycled and remanufactured products. This can help to support the growth of green industries and create jobs in areas such as recycling, repair, and refurbishment (Ellen MacArthur Foundation, 2017).</w:t>
      </w:r>
    </w:p>
    <w:p w14:paraId="3C686B68" w14:textId="07FC2F48"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t>There are several real-life examples of circular economy initiatives in the UK. One example is the “closed loop” initiative by H&amp;M, which involves collecting old clothes from customers and recycling them into new products (H&amp;M, 2021). Another example is the “circular cars” initiative by Renault, which involves remanufacturing cars and their components to extend their lifespan and reduce waste (Renault, 2021). These initiatives demonstrate the potential of circular economy to create economic opportunities while reducing waste and environmental impacts.</w:t>
      </w:r>
    </w:p>
    <w:p w14:paraId="2ADC232A" w14:textId="40704C0A" w:rsidR="00C9576A" w:rsidRPr="00C9576A" w:rsidRDefault="00C9576A" w:rsidP="00C9576A">
      <w:pPr>
        <w:spacing w:line="480" w:lineRule="auto"/>
        <w:rPr>
          <w:rFonts w:ascii="Arial" w:hAnsi="Arial" w:cs="Arial"/>
          <w:b/>
          <w:bCs/>
          <w:i/>
          <w:iCs/>
          <w:sz w:val="24"/>
          <w:szCs w:val="24"/>
        </w:rPr>
      </w:pPr>
      <w:r w:rsidRPr="00C9576A">
        <w:rPr>
          <w:rFonts w:ascii="Arial" w:hAnsi="Arial" w:cs="Arial"/>
          <w:b/>
          <w:bCs/>
          <w:i/>
          <w:iCs/>
          <w:sz w:val="24"/>
          <w:szCs w:val="24"/>
        </w:rPr>
        <w:t>Challenges of Circular Economy:</w:t>
      </w:r>
    </w:p>
    <w:p w14:paraId="10FB0AB9" w14:textId="37F4ABD1"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t xml:space="preserve">Despite the potential benefits of circular economy, there are several challenges associated with its implementation. One of the main challenges is the need for a shift in mindset and </w:t>
      </w:r>
      <w:proofErr w:type="spellStart"/>
      <w:r w:rsidRPr="00C9576A">
        <w:rPr>
          <w:rFonts w:ascii="Arial" w:hAnsi="Arial" w:cs="Arial"/>
          <w:sz w:val="24"/>
          <w:szCs w:val="24"/>
        </w:rPr>
        <w:t>behavior</w:t>
      </w:r>
      <w:proofErr w:type="spellEnd"/>
      <w:r w:rsidRPr="00C9576A">
        <w:rPr>
          <w:rFonts w:ascii="Arial" w:hAnsi="Arial" w:cs="Arial"/>
          <w:sz w:val="24"/>
          <w:szCs w:val="24"/>
        </w:rPr>
        <w:t xml:space="preserve">. To effectively implement circular economy principles, there needs </w:t>
      </w:r>
      <w:r w:rsidRPr="00C9576A">
        <w:rPr>
          <w:rFonts w:ascii="Arial" w:hAnsi="Arial" w:cs="Arial"/>
          <w:sz w:val="24"/>
          <w:szCs w:val="24"/>
        </w:rPr>
        <w:lastRenderedPageBreak/>
        <w:t xml:space="preserve">to be a shift away from the traditional linear model of production and consumption towards a more circular model. This requires a change in consumer </w:t>
      </w:r>
      <w:proofErr w:type="spellStart"/>
      <w:r w:rsidRPr="00C9576A">
        <w:rPr>
          <w:rFonts w:ascii="Arial" w:hAnsi="Arial" w:cs="Arial"/>
          <w:sz w:val="24"/>
          <w:szCs w:val="24"/>
        </w:rPr>
        <w:t>behavior</w:t>
      </w:r>
      <w:proofErr w:type="spellEnd"/>
      <w:r w:rsidRPr="00C9576A">
        <w:rPr>
          <w:rFonts w:ascii="Arial" w:hAnsi="Arial" w:cs="Arial"/>
          <w:sz w:val="24"/>
          <w:szCs w:val="24"/>
        </w:rPr>
        <w:t>, as well as changes in the way that businesses operate (European Commission, 2019).</w:t>
      </w:r>
    </w:p>
    <w:p w14:paraId="1DBF3A31" w14:textId="337F5BE2" w:rsidR="00C9576A" w:rsidRPr="00C9576A" w:rsidRDefault="00C9576A" w:rsidP="00C9576A">
      <w:pPr>
        <w:spacing w:line="480" w:lineRule="auto"/>
        <w:rPr>
          <w:rFonts w:ascii="Arial" w:hAnsi="Arial" w:cs="Arial"/>
          <w:sz w:val="24"/>
          <w:szCs w:val="24"/>
        </w:rPr>
      </w:pPr>
      <w:r w:rsidRPr="00C9576A">
        <w:rPr>
          <w:rFonts w:ascii="Arial" w:hAnsi="Arial" w:cs="Arial"/>
          <w:sz w:val="24"/>
          <w:szCs w:val="24"/>
        </w:rPr>
        <w:t>Another challenge is the lack of infrastructure and investment in circular economy initiatives. To effectively implement circular economy principles, there needs to be investment in infrastructure such as recycling facilities and remanufacturing plants. Additionally, there needs to be investment in research and development to support the development of new technologies and business models that enable a circular economy (</w:t>
      </w:r>
      <w:proofErr w:type="spellStart"/>
      <w:r w:rsidRPr="00C9576A">
        <w:rPr>
          <w:rFonts w:ascii="Arial" w:hAnsi="Arial" w:cs="Arial"/>
          <w:sz w:val="24"/>
          <w:szCs w:val="24"/>
        </w:rPr>
        <w:t>Kirchherr</w:t>
      </w:r>
      <w:proofErr w:type="spellEnd"/>
      <w:r w:rsidRPr="00C9576A">
        <w:rPr>
          <w:rFonts w:ascii="Arial" w:hAnsi="Arial" w:cs="Arial"/>
          <w:sz w:val="24"/>
          <w:szCs w:val="24"/>
        </w:rPr>
        <w:t xml:space="preserve"> et al., 2018).</w:t>
      </w:r>
    </w:p>
    <w:p w14:paraId="711A6189" w14:textId="15E89FC7" w:rsidR="00C9576A" w:rsidRPr="00A96FCA" w:rsidRDefault="00C9576A" w:rsidP="00C9576A">
      <w:pPr>
        <w:spacing w:line="480" w:lineRule="auto"/>
        <w:rPr>
          <w:rFonts w:ascii="Arial" w:hAnsi="Arial" w:cs="Arial"/>
          <w:b/>
          <w:bCs/>
          <w:i/>
          <w:iCs/>
          <w:sz w:val="24"/>
          <w:szCs w:val="24"/>
        </w:rPr>
      </w:pPr>
      <w:r w:rsidRPr="00A96FCA">
        <w:rPr>
          <w:rFonts w:ascii="Arial" w:hAnsi="Arial" w:cs="Arial"/>
          <w:b/>
          <w:bCs/>
          <w:i/>
          <w:iCs/>
          <w:sz w:val="24"/>
          <w:szCs w:val="24"/>
        </w:rPr>
        <w:t>Conclusion:</w:t>
      </w:r>
    </w:p>
    <w:p w14:paraId="24B1D53C" w14:textId="1C5AA42F" w:rsidR="00316B41" w:rsidRDefault="00C9576A" w:rsidP="00C9576A">
      <w:pPr>
        <w:spacing w:line="480" w:lineRule="auto"/>
        <w:rPr>
          <w:rFonts w:ascii="Arial" w:hAnsi="Arial" w:cs="Arial"/>
          <w:sz w:val="24"/>
          <w:szCs w:val="24"/>
        </w:rPr>
      </w:pPr>
      <w:r w:rsidRPr="00C9576A">
        <w:rPr>
          <w:rFonts w:ascii="Arial" w:hAnsi="Arial" w:cs="Arial"/>
          <w:sz w:val="24"/>
          <w:szCs w:val="24"/>
        </w:rPr>
        <w:t xml:space="preserve">Overall, the effectiveness of circular economy in promoting environmentally sustainable practices in the UK is dependent on a range of factors, including changes in mindset and </w:t>
      </w:r>
      <w:proofErr w:type="spellStart"/>
      <w:r w:rsidRPr="00C9576A">
        <w:rPr>
          <w:rFonts w:ascii="Arial" w:hAnsi="Arial" w:cs="Arial"/>
          <w:sz w:val="24"/>
          <w:szCs w:val="24"/>
        </w:rPr>
        <w:t>behavior</w:t>
      </w:r>
      <w:proofErr w:type="spellEnd"/>
      <w:r w:rsidRPr="00C9576A">
        <w:rPr>
          <w:rFonts w:ascii="Arial" w:hAnsi="Arial" w:cs="Arial"/>
          <w:sz w:val="24"/>
          <w:szCs w:val="24"/>
        </w:rPr>
        <w:t xml:space="preserve">, investment in infrastructure and research and development, and the adoption of new business models. Despite the challenges associated with its implementation, circular economy has the potential to reduce waste, greenhouse gas emissions, and resource depletion while creating economic opportunities and supporting job creation. </w:t>
      </w:r>
    </w:p>
    <w:p w14:paraId="5C596907" w14:textId="77777777" w:rsidR="00316B41" w:rsidRDefault="00316B41">
      <w:pPr>
        <w:rPr>
          <w:rFonts w:ascii="Arial" w:hAnsi="Arial" w:cs="Arial"/>
          <w:sz w:val="24"/>
          <w:szCs w:val="24"/>
        </w:rPr>
      </w:pPr>
      <w:r>
        <w:rPr>
          <w:rFonts w:ascii="Arial" w:hAnsi="Arial" w:cs="Arial"/>
          <w:sz w:val="24"/>
          <w:szCs w:val="24"/>
        </w:rPr>
        <w:br w:type="page"/>
      </w:r>
    </w:p>
    <w:p w14:paraId="0CE551D8" w14:textId="28F5460B" w:rsidR="00316B41" w:rsidRDefault="00316B41" w:rsidP="00C9576A">
      <w:pPr>
        <w:spacing w:line="480" w:lineRule="auto"/>
        <w:rPr>
          <w:rFonts w:ascii="Arial" w:hAnsi="Arial" w:cs="Arial"/>
          <w:sz w:val="24"/>
          <w:szCs w:val="24"/>
        </w:rPr>
      </w:pPr>
      <w:r>
        <w:rPr>
          <w:rFonts w:ascii="Arial" w:hAnsi="Arial" w:cs="Arial"/>
          <w:sz w:val="24"/>
          <w:szCs w:val="24"/>
        </w:rPr>
        <w:lastRenderedPageBreak/>
        <w:t>References</w:t>
      </w:r>
    </w:p>
    <w:p w14:paraId="4071C9E8" w14:textId="0B0D94D1"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 xml:space="preserve">Ahmed, N. and </w:t>
      </w:r>
      <w:proofErr w:type="spellStart"/>
      <w:r w:rsidRPr="00316B41">
        <w:rPr>
          <w:rFonts w:ascii="Arial" w:hAnsi="Arial" w:cs="Arial"/>
          <w:sz w:val="24"/>
          <w:szCs w:val="24"/>
        </w:rPr>
        <w:t>Turchini</w:t>
      </w:r>
      <w:proofErr w:type="spellEnd"/>
      <w:r w:rsidRPr="00316B41">
        <w:rPr>
          <w:rFonts w:ascii="Arial" w:hAnsi="Arial" w:cs="Arial"/>
          <w:sz w:val="24"/>
          <w:szCs w:val="24"/>
        </w:rPr>
        <w:t>, G.M. (2021) ‘The evolution of the blue-green revolution of rice-fish cultivation for sustainable food production’, Sustainability Science, 16, pp. 1375–1390.</w:t>
      </w:r>
    </w:p>
    <w:p w14:paraId="1BBF0E44" w14:textId="5ECA1ED4"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Bhagat, R., Kumar, A., &amp; Sharma, S. (2021) ‘Sustainable Agriculture for Sustainable Development: A Review of Practices and Challenges in South Asia’, International Journal of Agriculture and Biology, 26(3), pp. 491-501.</w:t>
      </w:r>
    </w:p>
    <w:p w14:paraId="256E5084" w14:textId="1CCF7BB9" w:rsidR="00316B41" w:rsidRPr="00316B41" w:rsidRDefault="00316B41" w:rsidP="00316B41">
      <w:pPr>
        <w:spacing w:line="480" w:lineRule="auto"/>
        <w:rPr>
          <w:rFonts w:ascii="Arial" w:hAnsi="Arial" w:cs="Arial"/>
          <w:sz w:val="24"/>
          <w:szCs w:val="24"/>
        </w:rPr>
      </w:pPr>
      <w:proofErr w:type="spellStart"/>
      <w:r w:rsidRPr="00316B41">
        <w:rPr>
          <w:rFonts w:ascii="Arial" w:hAnsi="Arial" w:cs="Arial"/>
          <w:sz w:val="24"/>
          <w:szCs w:val="24"/>
        </w:rPr>
        <w:t>Burmann</w:t>
      </w:r>
      <w:proofErr w:type="spellEnd"/>
      <w:r w:rsidRPr="00316B41">
        <w:rPr>
          <w:rFonts w:ascii="Arial" w:hAnsi="Arial" w:cs="Arial"/>
          <w:sz w:val="24"/>
          <w:szCs w:val="24"/>
        </w:rPr>
        <w:t xml:space="preserve">, C., Schaefer, K., Maloney, M., &amp; </w:t>
      </w:r>
      <w:proofErr w:type="spellStart"/>
      <w:r w:rsidRPr="00316B41">
        <w:rPr>
          <w:rFonts w:ascii="Arial" w:hAnsi="Arial" w:cs="Arial"/>
          <w:sz w:val="24"/>
          <w:szCs w:val="24"/>
        </w:rPr>
        <w:t>Wiedmann</w:t>
      </w:r>
      <w:proofErr w:type="spellEnd"/>
      <w:r w:rsidRPr="00316B41">
        <w:rPr>
          <w:rFonts w:ascii="Arial" w:hAnsi="Arial" w:cs="Arial"/>
          <w:sz w:val="24"/>
          <w:szCs w:val="24"/>
        </w:rPr>
        <w:t>, K. P. (2018) ‘Sustainable Branding: An Empirical Analysis’, Journal of Brand Management, 25(6), pp. 611-628.</w:t>
      </w:r>
    </w:p>
    <w:p w14:paraId="50316618" w14:textId="2C82464B"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Carbon Brief (2014) ‘Budget 2014: Why freezing the carbon price floor is a symbolic blow to UK’s climate commitment’, Carbon Brief. Available at: https://www.carbonbrief.org/budget-2014-why-freezing-the-carbon-price-floor-is-a-symbolic-blow-to-uks-climate-commitment/ (Accessed: 26 April 2023).</w:t>
      </w:r>
    </w:p>
    <w:p w14:paraId="69FC412C" w14:textId="1488D1B5"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Chang, H. H. &amp; Liu, Y. M. (2009) ‘The Impact of Brand Equity on Brand Preference and Purchase Intentions in the Service Industries’, The Service Industries Journal, 29(12), pp. 1687–1706.</w:t>
      </w:r>
    </w:p>
    <w:p w14:paraId="47A6B3F6" w14:textId="4F55E014" w:rsidR="00316B41" w:rsidRDefault="00316B41" w:rsidP="00316B41">
      <w:pPr>
        <w:spacing w:line="480" w:lineRule="auto"/>
        <w:rPr>
          <w:rFonts w:ascii="Arial" w:hAnsi="Arial" w:cs="Arial"/>
          <w:sz w:val="24"/>
          <w:szCs w:val="24"/>
        </w:rPr>
      </w:pPr>
      <w:r w:rsidRPr="00316B41">
        <w:rPr>
          <w:rFonts w:ascii="Arial" w:hAnsi="Arial" w:cs="Arial"/>
          <w:sz w:val="24"/>
          <w:szCs w:val="24"/>
        </w:rPr>
        <w:t>DECC. (2016) ‘The Feed-in Tariffs scheme’. Available at: https://www.gov.uk/guidance/feed-in-tariffs (Accessed: 26 April 2023).</w:t>
      </w:r>
    </w:p>
    <w:p w14:paraId="6F482D0C" w14:textId="77777777" w:rsidR="00590759" w:rsidRPr="00590759" w:rsidRDefault="00590759" w:rsidP="00590759">
      <w:pPr>
        <w:spacing w:line="480" w:lineRule="auto"/>
        <w:rPr>
          <w:rFonts w:ascii="Arial" w:hAnsi="Arial" w:cs="Arial"/>
          <w:sz w:val="24"/>
          <w:szCs w:val="24"/>
        </w:rPr>
      </w:pPr>
      <w:r w:rsidRPr="00590759">
        <w:rPr>
          <w:rFonts w:ascii="Arial" w:hAnsi="Arial" w:cs="Arial"/>
          <w:sz w:val="24"/>
          <w:szCs w:val="24"/>
        </w:rPr>
        <w:t>Ethical Trading Initiative. (2021). India: Child and forced labour in cotton seed production. Retrieved from https://www.ethicaltrade.org/issues/human-rights-and-labour-rights/india-child-and-forced-labour-cotton-seed-production</w:t>
      </w:r>
    </w:p>
    <w:p w14:paraId="1639F1F8" w14:textId="2A4F89BD" w:rsidR="00590759" w:rsidRPr="00316B41" w:rsidRDefault="00590759" w:rsidP="00316B41">
      <w:pPr>
        <w:spacing w:line="480" w:lineRule="auto"/>
        <w:rPr>
          <w:rFonts w:ascii="Arial" w:hAnsi="Arial" w:cs="Arial"/>
          <w:sz w:val="24"/>
          <w:szCs w:val="24"/>
        </w:rPr>
      </w:pPr>
      <w:r w:rsidRPr="00590759">
        <w:rPr>
          <w:rFonts w:ascii="Arial" w:hAnsi="Arial" w:cs="Arial"/>
          <w:sz w:val="24"/>
          <w:szCs w:val="24"/>
        </w:rPr>
        <w:lastRenderedPageBreak/>
        <w:t xml:space="preserve">Ethical Fashion Forum. (2013). Bangladesh building collapse: Fashion brands respond. Retrieved from </w:t>
      </w:r>
      <w:hyperlink r:id="rId12" w:history="1">
        <w:r w:rsidRPr="001F69EC">
          <w:rPr>
            <w:rStyle w:val="Hyperlink"/>
            <w:rFonts w:ascii="Arial" w:hAnsi="Arial" w:cs="Arial"/>
            <w:sz w:val="24"/>
            <w:szCs w:val="24"/>
          </w:rPr>
          <w:t>https://www.ethicalfashionforum.com/the-issues/bangladesh-building-collapse-fashion-brands-respond</w:t>
        </w:r>
      </w:hyperlink>
    </w:p>
    <w:p w14:paraId="3CD0DA84" w14:textId="7C93DB6D"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Gibbs, G. (1988) Learning by doing: A guide to teaching and learning methods. Further Education Unit, Oxford Polytechnic.</w:t>
      </w:r>
    </w:p>
    <w:p w14:paraId="6288BF0F" w14:textId="0ED42B75"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GOV.UK (2011) The Waste (England and Wales) Regulations 2011. King’s Printer of Acts of Parliament. Available at: https://www.legislation.gov.uk/uksi/2011/988/contents/made (Accessed: 26 April 2023).</w:t>
      </w:r>
    </w:p>
    <w:p w14:paraId="01576CCD" w14:textId="48F8E0C8" w:rsidR="00316B41" w:rsidRDefault="00316B41" w:rsidP="00316B41">
      <w:pPr>
        <w:spacing w:line="480" w:lineRule="auto"/>
        <w:rPr>
          <w:rFonts w:ascii="Arial" w:hAnsi="Arial" w:cs="Arial"/>
          <w:sz w:val="24"/>
          <w:szCs w:val="24"/>
        </w:rPr>
      </w:pPr>
      <w:r w:rsidRPr="00316B41">
        <w:rPr>
          <w:rFonts w:ascii="Arial" w:hAnsi="Arial" w:cs="Arial"/>
          <w:sz w:val="24"/>
          <w:szCs w:val="24"/>
        </w:rPr>
        <w:t>GOV.UK. (2021) ‘Environmental permits: waste management’. Available at: https://www.gov.uk/topic/environmental-permits/waste-management (Accessed: 26 April 2023).</w:t>
      </w:r>
    </w:p>
    <w:p w14:paraId="504BA8AA" w14:textId="12F05DEA" w:rsidR="00590759" w:rsidRPr="00316B41" w:rsidRDefault="00590759" w:rsidP="00316B41">
      <w:pPr>
        <w:spacing w:line="480" w:lineRule="auto"/>
        <w:rPr>
          <w:rFonts w:ascii="Arial" w:hAnsi="Arial" w:cs="Arial"/>
          <w:sz w:val="24"/>
          <w:szCs w:val="24"/>
        </w:rPr>
      </w:pPr>
      <w:r w:rsidRPr="00590759">
        <w:rPr>
          <w:rFonts w:ascii="Arial" w:hAnsi="Arial" w:cs="Arial"/>
          <w:sz w:val="24"/>
          <w:szCs w:val="24"/>
        </w:rPr>
        <w:t>Greenpeace India. (2021). Fashion at the crossroads. Retrieved from https://storage.googleapis.com/p4-production-content/international/wp-content/uploads/2021/03/9f9aee99-fashion-at-the-crossroads.pdf</w:t>
      </w:r>
    </w:p>
    <w:p w14:paraId="15984537" w14:textId="0126CFA7"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Hilton Worldwide Holdings Inc. (2020) ‘Environmental, Social, and Governance Report’. Available at: https://www.hilton.com/en/corporate/responsibility/ESG-report-2020.pdf (Accessed: 26 April 2023).</w:t>
      </w:r>
    </w:p>
    <w:p w14:paraId="6F49A47B" w14:textId="68443C7A" w:rsidR="00590759" w:rsidRPr="00316B41" w:rsidRDefault="00316B41" w:rsidP="00316B41">
      <w:pPr>
        <w:spacing w:line="480" w:lineRule="auto"/>
        <w:rPr>
          <w:rFonts w:ascii="Arial" w:hAnsi="Arial" w:cs="Arial"/>
          <w:sz w:val="24"/>
          <w:szCs w:val="24"/>
        </w:rPr>
      </w:pPr>
      <w:r w:rsidRPr="00316B41">
        <w:rPr>
          <w:rFonts w:ascii="Arial" w:hAnsi="Arial" w:cs="Arial"/>
          <w:sz w:val="24"/>
          <w:szCs w:val="24"/>
        </w:rPr>
        <w:t>Hsu, C. L. &amp; Chang, K. C. (2012) ‘The Effects of Corporate Social Responsibility on Brand Performance: The Mediating Effect of Industrial Brand Equity and Corporate Reputation’, Journal of Business Ethics, 110(3), pp. 387–401.</w:t>
      </w:r>
    </w:p>
    <w:p w14:paraId="4C11D406" w14:textId="0DA890F8" w:rsidR="00316B41" w:rsidRPr="00316B41" w:rsidRDefault="00316B41" w:rsidP="00316B41">
      <w:pPr>
        <w:spacing w:line="480" w:lineRule="auto"/>
        <w:rPr>
          <w:rFonts w:ascii="Arial" w:hAnsi="Arial" w:cs="Arial"/>
          <w:sz w:val="24"/>
          <w:szCs w:val="24"/>
        </w:rPr>
      </w:pPr>
      <w:proofErr w:type="spellStart"/>
      <w:r w:rsidRPr="00316B41">
        <w:rPr>
          <w:rFonts w:ascii="Arial" w:hAnsi="Arial" w:cs="Arial"/>
          <w:sz w:val="24"/>
          <w:szCs w:val="24"/>
        </w:rPr>
        <w:lastRenderedPageBreak/>
        <w:t>Jasi</w:t>
      </w:r>
      <w:proofErr w:type="spellEnd"/>
      <w:r w:rsidRPr="00316B41">
        <w:rPr>
          <w:rFonts w:ascii="Arial" w:hAnsi="Arial" w:cs="Arial"/>
          <w:sz w:val="24"/>
          <w:szCs w:val="24"/>
        </w:rPr>
        <w:t>, A. (2020) ‘UK Government warned against plastic lobbyist efforts during the coronavirus crisis’, The Chemical Engineer. Available at: https://www.thechemicalengineer.com/news/uk-government-warned-against-plastic-lobbyist-efforts-during-the-coronavirus-crisis/ (Accessed: 26 April 2023).</w:t>
      </w:r>
    </w:p>
    <w:p w14:paraId="0A8B346C" w14:textId="36A5B1F3" w:rsidR="00316B41" w:rsidRPr="00316B41" w:rsidRDefault="00316B41" w:rsidP="00316B41">
      <w:pPr>
        <w:spacing w:line="480" w:lineRule="auto"/>
        <w:rPr>
          <w:rFonts w:ascii="Arial" w:hAnsi="Arial" w:cs="Arial"/>
          <w:sz w:val="24"/>
          <w:szCs w:val="24"/>
        </w:rPr>
      </w:pPr>
      <w:proofErr w:type="spellStart"/>
      <w:r w:rsidRPr="00316B41">
        <w:rPr>
          <w:rFonts w:ascii="Arial" w:hAnsi="Arial" w:cs="Arial"/>
          <w:sz w:val="24"/>
          <w:szCs w:val="24"/>
        </w:rPr>
        <w:t>Jhariya</w:t>
      </w:r>
      <w:proofErr w:type="spellEnd"/>
      <w:r w:rsidRPr="00316B41">
        <w:rPr>
          <w:rFonts w:ascii="Arial" w:hAnsi="Arial" w:cs="Arial"/>
          <w:sz w:val="24"/>
          <w:szCs w:val="24"/>
        </w:rPr>
        <w:t>, M.K. et al. (2019) Sustainable agriculture, forest and environmental management. Springer.</w:t>
      </w:r>
    </w:p>
    <w:p w14:paraId="15C85277" w14:textId="6FD0C1BF"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Kang, M. &amp; Hustvedt, G. (2021) ‘Millennials’ Perception of Sustainable Hotel Practices and Their Impact on Hotel Brand Image’, Journal of Hospitality and Tourism Research, 45(2), pp. 238-256.</w:t>
      </w:r>
    </w:p>
    <w:p w14:paraId="2D389949" w14:textId="1512082F"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 xml:space="preserve">Kahneman, D. &amp; Tversky, A. (1979) ‘Prospect theory: An analysis of decision under risk’, </w:t>
      </w:r>
      <w:proofErr w:type="spellStart"/>
      <w:r w:rsidRPr="00316B41">
        <w:rPr>
          <w:rFonts w:ascii="Arial" w:hAnsi="Arial" w:cs="Arial"/>
          <w:sz w:val="24"/>
          <w:szCs w:val="24"/>
        </w:rPr>
        <w:t>Econometrica</w:t>
      </w:r>
      <w:proofErr w:type="spellEnd"/>
      <w:r w:rsidRPr="00316B41">
        <w:rPr>
          <w:rFonts w:ascii="Arial" w:hAnsi="Arial" w:cs="Arial"/>
          <w:sz w:val="24"/>
          <w:szCs w:val="24"/>
        </w:rPr>
        <w:t>: Journal of the Econometric Society, 263-291.</w:t>
      </w:r>
    </w:p>
    <w:p w14:paraId="69FDF6AA" w14:textId="04C1ACE2"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Kim, H. &amp; Lee, Y. (2021) ‘The impact of green practices on brand image and customer loyalty: The mediating role of customer satisfaction’, International Journal of Hospitality Management, 95, 102917.</w:t>
      </w:r>
    </w:p>
    <w:p w14:paraId="6BB071DE" w14:textId="6FED7C2D" w:rsidR="00316B41" w:rsidRDefault="00316B41" w:rsidP="00316B41">
      <w:pPr>
        <w:spacing w:line="480" w:lineRule="auto"/>
        <w:rPr>
          <w:rFonts w:ascii="Arial" w:hAnsi="Arial" w:cs="Arial"/>
          <w:sz w:val="24"/>
          <w:szCs w:val="24"/>
        </w:rPr>
      </w:pPr>
      <w:r w:rsidRPr="00316B41">
        <w:rPr>
          <w:rFonts w:ascii="Arial" w:hAnsi="Arial" w:cs="Arial"/>
          <w:sz w:val="24"/>
          <w:szCs w:val="24"/>
        </w:rPr>
        <w:t xml:space="preserve">Kumawat, S., Jat, S. L., Choudhary, V., &amp; </w:t>
      </w:r>
      <w:proofErr w:type="spellStart"/>
      <w:r w:rsidRPr="00316B41">
        <w:rPr>
          <w:rFonts w:ascii="Arial" w:hAnsi="Arial" w:cs="Arial"/>
          <w:sz w:val="24"/>
          <w:szCs w:val="24"/>
        </w:rPr>
        <w:t>Khepar</w:t>
      </w:r>
      <w:proofErr w:type="spellEnd"/>
      <w:r w:rsidRPr="00316B41">
        <w:rPr>
          <w:rFonts w:ascii="Arial" w:hAnsi="Arial" w:cs="Arial"/>
          <w:sz w:val="24"/>
          <w:szCs w:val="24"/>
        </w:rPr>
        <w:t>, S. D. (2020) ‘Sustainable Agriculture for Livelihood Security and Climate Resilience in Drylands of Rajasthan’, Journal of Sustainable Agriculture, 44(4), pp. 387-402.</w:t>
      </w:r>
    </w:p>
    <w:p w14:paraId="588BCC26" w14:textId="21EBAAB8" w:rsidR="00590759" w:rsidRPr="00316B41" w:rsidRDefault="00590759" w:rsidP="00316B41">
      <w:pPr>
        <w:spacing w:line="480" w:lineRule="auto"/>
        <w:rPr>
          <w:rFonts w:ascii="Arial" w:hAnsi="Arial" w:cs="Arial"/>
          <w:sz w:val="24"/>
          <w:szCs w:val="24"/>
        </w:rPr>
      </w:pPr>
      <w:proofErr w:type="spellStart"/>
      <w:r w:rsidRPr="00590759">
        <w:rPr>
          <w:rFonts w:ascii="Arial" w:hAnsi="Arial" w:cs="Arial"/>
          <w:sz w:val="24"/>
          <w:szCs w:val="24"/>
        </w:rPr>
        <w:t>Labowitz</w:t>
      </w:r>
      <w:proofErr w:type="spellEnd"/>
      <w:r w:rsidRPr="00590759">
        <w:rPr>
          <w:rFonts w:ascii="Arial" w:hAnsi="Arial" w:cs="Arial"/>
          <w:sz w:val="24"/>
          <w:szCs w:val="24"/>
        </w:rPr>
        <w:t xml:space="preserve">, S., &amp; Baumann-Pauly, D. (2019). Business as usual is not an option: Supply chains and sustainability in the fast fashion industry. Business Horizons, 62(6), 767-777. </w:t>
      </w:r>
      <w:proofErr w:type="spellStart"/>
      <w:r w:rsidRPr="00590759">
        <w:rPr>
          <w:rFonts w:ascii="Arial" w:hAnsi="Arial" w:cs="Arial"/>
          <w:sz w:val="24"/>
          <w:szCs w:val="24"/>
        </w:rPr>
        <w:t>doi</w:t>
      </w:r>
      <w:proofErr w:type="spellEnd"/>
      <w:r w:rsidRPr="00590759">
        <w:rPr>
          <w:rFonts w:ascii="Arial" w:hAnsi="Arial" w:cs="Arial"/>
          <w:sz w:val="24"/>
          <w:szCs w:val="24"/>
        </w:rPr>
        <w:t>: 10.1016/j.bushor.2019.07.002</w:t>
      </w:r>
    </w:p>
    <w:p w14:paraId="79772506" w14:textId="1E925C59"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lastRenderedPageBreak/>
        <w:t>Lal, R., Gautam, P., Mandal, B., &amp; Adhya, T. K. (2020) ‘Enhancing Water Use Efficiency through Conservation Agriculture in South Asia’, in Conservation Agriculture: Global Prospects and Challenges (pp. 201-213). Springer.</w:t>
      </w:r>
    </w:p>
    <w:p w14:paraId="6FAD5666" w14:textId="4887D8BB" w:rsidR="00316B41" w:rsidRPr="00316B41" w:rsidRDefault="00316B41" w:rsidP="00316B41">
      <w:pPr>
        <w:spacing w:line="480" w:lineRule="auto"/>
        <w:rPr>
          <w:rFonts w:ascii="Arial" w:hAnsi="Arial" w:cs="Arial"/>
          <w:sz w:val="24"/>
          <w:szCs w:val="24"/>
        </w:rPr>
      </w:pPr>
      <w:proofErr w:type="spellStart"/>
      <w:r w:rsidRPr="00316B41">
        <w:rPr>
          <w:rFonts w:ascii="Arial" w:hAnsi="Arial" w:cs="Arial"/>
          <w:sz w:val="24"/>
          <w:szCs w:val="24"/>
        </w:rPr>
        <w:t>Laville</w:t>
      </w:r>
      <w:proofErr w:type="spellEnd"/>
      <w:r w:rsidRPr="00316B41">
        <w:rPr>
          <w:rFonts w:ascii="Arial" w:hAnsi="Arial" w:cs="Arial"/>
          <w:sz w:val="24"/>
          <w:szCs w:val="24"/>
        </w:rPr>
        <w:t>, S. (2019) ‘Top oil firms spending millions lobbying to block climate change policies, says report’, The Guardian, 22 March. Available at: https://www.theguardian.com/business/2019/mar/22/top-oil-firms-spending-millions-lobbying-to-block-climate-change-policies-says-report (Accessed: 26 April 2023).</w:t>
      </w:r>
    </w:p>
    <w:p w14:paraId="745D33AD" w14:textId="00FEC2E7"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Lee, J. S. &amp; Hwang, H. (2020) ‘Assessing hotel customers’ preferences for sustainable hotel attributes: Role of information provision’, Journal of Sustainable Tourism, 28(10), pp. 1525-1542.</w:t>
      </w:r>
    </w:p>
    <w:p w14:paraId="4DA48458" w14:textId="7DB75FB3" w:rsidR="00590759" w:rsidRPr="00316B41" w:rsidRDefault="00316B41" w:rsidP="00316B41">
      <w:pPr>
        <w:spacing w:line="480" w:lineRule="auto"/>
        <w:rPr>
          <w:rFonts w:ascii="Arial" w:hAnsi="Arial" w:cs="Arial"/>
          <w:sz w:val="24"/>
          <w:szCs w:val="24"/>
        </w:rPr>
      </w:pPr>
      <w:r w:rsidRPr="00316B41">
        <w:rPr>
          <w:rFonts w:ascii="Arial" w:hAnsi="Arial" w:cs="Arial"/>
          <w:sz w:val="24"/>
          <w:szCs w:val="24"/>
        </w:rPr>
        <w:t>Liang, S., Qian, L., Zhang, X., &amp; He, Y. (2020) ‘Influence of environmental sustainability practices on the perceived quality of the hotel and the willingness to pay for a room: The mediating role of brand image’, Journal of Hospitality and Tourism Management, 45, pp. 53-61.</w:t>
      </w:r>
    </w:p>
    <w:p w14:paraId="4E3F837D" w14:textId="30DC13A3"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 xml:space="preserve">M. </w:t>
      </w:r>
      <w:proofErr w:type="spellStart"/>
      <w:r w:rsidRPr="00316B41">
        <w:rPr>
          <w:rFonts w:ascii="Arial" w:hAnsi="Arial" w:cs="Arial"/>
          <w:sz w:val="24"/>
          <w:szCs w:val="24"/>
        </w:rPr>
        <w:t>Tahat</w:t>
      </w:r>
      <w:proofErr w:type="spellEnd"/>
      <w:r w:rsidRPr="00316B41">
        <w:rPr>
          <w:rFonts w:ascii="Arial" w:hAnsi="Arial" w:cs="Arial"/>
          <w:sz w:val="24"/>
          <w:szCs w:val="24"/>
        </w:rPr>
        <w:t>, M. et al. (2020) ‘Soil health and sustainable agriculture’, Sustainability, 12(12), p. 4859.</w:t>
      </w:r>
    </w:p>
    <w:p w14:paraId="34F2140E" w14:textId="6A1E8B8A"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Nayak, B., Mishra, A. K., &amp; Ramakrishnan, P. S. (2021) ‘Strengthening Policies and Institutions for Sustainable Agriculture in South Asia’, in Sustainable Agriculture Reviews (pp. 399-415). Springer.</w:t>
      </w:r>
    </w:p>
    <w:p w14:paraId="5BD650FF" w14:textId="59353AD3"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Oksana, G., Vladimir, V., &amp; Oleksandr, K. (2021) ‘Brand reputation management: Conceptualization, measurements, and impact of sustainability’, Sustainability, 13(3), p. 1123.</w:t>
      </w:r>
    </w:p>
    <w:p w14:paraId="16E7A868" w14:textId="2F011FFF"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lastRenderedPageBreak/>
        <w:t>Ofgem. (2021) ‘Smart Export Guarantee’. Available at: https://www.ofgem.gov.uk/environmental-programmes/fit/about-fit-scheme/smart-export-guarantee (Accessed: 26 April 2023).</w:t>
      </w:r>
    </w:p>
    <w:p w14:paraId="044BC990" w14:textId="62749EE8"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Pérez-Aranda, J., Rodríguez del Bosque, I., &amp; Sánchez García, I. (2018) ‘The Impact of Sustainable Packaging on Perceived Product Quality’, Journal of Cleaner Production, 201, pp. 573-582.</w:t>
      </w:r>
    </w:p>
    <w:p w14:paraId="57E9293A" w14:textId="6DDA156B"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 xml:space="preserve">Rai, N., Raghavendra, G., Lal, R., &amp; </w:t>
      </w:r>
      <w:proofErr w:type="spellStart"/>
      <w:r w:rsidRPr="00316B41">
        <w:rPr>
          <w:rFonts w:ascii="Arial" w:hAnsi="Arial" w:cs="Arial"/>
          <w:sz w:val="24"/>
          <w:szCs w:val="24"/>
        </w:rPr>
        <w:t>Dhyani</w:t>
      </w:r>
      <w:proofErr w:type="spellEnd"/>
      <w:r w:rsidRPr="00316B41">
        <w:rPr>
          <w:rFonts w:ascii="Arial" w:hAnsi="Arial" w:cs="Arial"/>
          <w:sz w:val="24"/>
          <w:szCs w:val="24"/>
        </w:rPr>
        <w:t>, S. K. (2020) ‘Sustainable Agriculture for Sustainable Development: A Review’, in Sustainable Agriculture Reviews (pp. 173-189). Springer.</w:t>
      </w:r>
    </w:p>
    <w:p w14:paraId="63D25AF4" w14:textId="19410143"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Ramakrishnan, P. S., Mishra, A. K., Nayak, B., &amp; Pandey, D. N. (2019) ‘Sustainable Agriculture and Rural Livelihoods in South Asia: A Research Agenda’, Journal of Rural Studies, 70, pp. 1-14.</w:t>
      </w:r>
    </w:p>
    <w:p w14:paraId="282F40E7" w14:textId="72B80913" w:rsidR="00316B41" w:rsidRDefault="00316B41" w:rsidP="00316B41">
      <w:pPr>
        <w:spacing w:line="480" w:lineRule="auto"/>
        <w:rPr>
          <w:rFonts w:ascii="Arial" w:hAnsi="Arial" w:cs="Arial"/>
          <w:sz w:val="24"/>
          <w:szCs w:val="24"/>
        </w:rPr>
      </w:pPr>
      <w:r w:rsidRPr="00316B41">
        <w:rPr>
          <w:rFonts w:ascii="Arial" w:hAnsi="Arial" w:cs="Arial"/>
          <w:sz w:val="24"/>
          <w:szCs w:val="24"/>
        </w:rPr>
        <w:t>Rogers, E. M. (1995) Diffusion of innovations. Simon and Schuster.</w:t>
      </w:r>
    </w:p>
    <w:p w14:paraId="17616027" w14:textId="68E5A3FA" w:rsidR="00590759" w:rsidRPr="00316B41" w:rsidRDefault="00590759" w:rsidP="00316B41">
      <w:pPr>
        <w:spacing w:line="480" w:lineRule="auto"/>
        <w:rPr>
          <w:rFonts w:ascii="Arial" w:hAnsi="Arial" w:cs="Arial"/>
          <w:sz w:val="24"/>
          <w:szCs w:val="24"/>
        </w:rPr>
      </w:pPr>
      <w:r w:rsidRPr="00590759">
        <w:rPr>
          <w:rFonts w:ascii="Arial" w:hAnsi="Arial" w:cs="Arial"/>
          <w:sz w:val="24"/>
          <w:szCs w:val="24"/>
        </w:rPr>
        <w:t xml:space="preserve">Roy, A., &amp; </w:t>
      </w:r>
      <w:proofErr w:type="spellStart"/>
      <w:r w:rsidRPr="00590759">
        <w:rPr>
          <w:rFonts w:ascii="Arial" w:hAnsi="Arial" w:cs="Arial"/>
          <w:sz w:val="24"/>
          <w:szCs w:val="24"/>
        </w:rPr>
        <w:t>Moitra</w:t>
      </w:r>
      <w:proofErr w:type="spellEnd"/>
      <w:r w:rsidRPr="00590759">
        <w:rPr>
          <w:rFonts w:ascii="Arial" w:hAnsi="Arial" w:cs="Arial"/>
          <w:sz w:val="24"/>
          <w:szCs w:val="24"/>
        </w:rPr>
        <w:t xml:space="preserve">, S. (2021). A systematic review on sustainable practices in Indian fashion industry. Journal of Cleaner Production, 283, 124688. </w:t>
      </w:r>
      <w:proofErr w:type="spellStart"/>
      <w:r w:rsidRPr="00590759">
        <w:rPr>
          <w:rFonts w:ascii="Arial" w:hAnsi="Arial" w:cs="Arial"/>
          <w:sz w:val="24"/>
          <w:szCs w:val="24"/>
        </w:rPr>
        <w:t>doi</w:t>
      </w:r>
      <w:proofErr w:type="spellEnd"/>
      <w:r w:rsidRPr="00590759">
        <w:rPr>
          <w:rFonts w:ascii="Arial" w:hAnsi="Arial" w:cs="Arial"/>
          <w:sz w:val="24"/>
          <w:szCs w:val="24"/>
        </w:rPr>
        <w:t>: 10.1016/j.jclepro.2020.124688</w:t>
      </w:r>
    </w:p>
    <w:p w14:paraId="35D02622" w14:textId="11011CBC"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Smithers, R. (2016) ‘England’s plastic bag usage drops 85% since 5p charge introduced’, The Guardian, 29 July. Available at: https://www.theguardian.com/environment/2016/jul/30/england-plastic-bag-usage-drops-85-per-cent-since-5p-charged-introduced (Accessed: 26 April 2023).</w:t>
      </w:r>
    </w:p>
    <w:p w14:paraId="5FCA7770" w14:textId="7DDC8C59" w:rsidR="00316B41" w:rsidRPr="00316B41" w:rsidRDefault="00316B41" w:rsidP="00316B41">
      <w:pPr>
        <w:spacing w:line="480" w:lineRule="auto"/>
        <w:rPr>
          <w:rFonts w:ascii="Arial" w:hAnsi="Arial" w:cs="Arial"/>
          <w:sz w:val="24"/>
          <w:szCs w:val="24"/>
        </w:rPr>
      </w:pPr>
      <w:proofErr w:type="spellStart"/>
      <w:r w:rsidRPr="00316B41">
        <w:rPr>
          <w:rFonts w:ascii="Arial" w:hAnsi="Arial" w:cs="Arial"/>
          <w:sz w:val="24"/>
          <w:szCs w:val="24"/>
        </w:rPr>
        <w:lastRenderedPageBreak/>
        <w:t>Su</w:t>
      </w:r>
      <w:proofErr w:type="spellEnd"/>
      <w:r w:rsidRPr="00316B41">
        <w:rPr>
          <w:rFonts w:ascii="Arial" w:hAnsi="Arial" w:cs="Arial"/>
          <w:sz w:val="24"/>
          <w:szCs w:val="24"/>
        </w:rPr>
        <w:t>, L. &amp; Swanson, S. R. (2020) ‘Corporate sustainability and brand equity: A systematic literature review and future research directions’, Journal of Cleaner Production, 257, 120433.</w:t>
      </w:r>
    </w:p>
    <w:p w14:paraId="57276EA8" w14:textId="3C32A479" w:rsidR="00316B41" w:rsidRPr="00316B41" w:rsidRDefault="00316B41" w:rsidP="00316B41">
      <w:pPr>
        <w:spacing w:line="480" w:lineRule="auto"/>
        <w:rPr>
          <w:rFonts w:ascii="Arial" w:hAnsi="Arial" w:cs="Arial"/>
          <w:sz w:val="24"/>
          <w:szCs w:val="24"/>
        </w:rPr>
      </w:pPr>
      <w:r w:rsidRPr="00316B41">
        <w:rPr>
          <w:rFonts w:ascii="Arial" w:hAnsi="Arial" w:cs="Arial"/>
          <w:sz w:val="24"/>
          <w:szCs w:val="24"/>
        </w:rPr>
        <w:t>United Nations. (2015) Sustainable Development Goals. Available at: https://www.un.org/sustainabledevelopment/sustainable-development-goals/ (Accessed: 26 April 2023).</w:t>
      </w:r>
    </w:p>
    <w:p w14:paraId="0B7094BB" w14:textId="5DF55D0E" w:rsidR="00316B41" w:rsidRDefault="00316B41" w:rsidP="00316B41">
      <w:pPr>
        <w:spacing w:line="480" w:lineRule="auto"/>
        <w:rPr>
          <w:rFonts w:ascii="Arial" w:hAnsi="Arial" w:cs="Arial"/>
          <w:sz w:val="24"/>
          <w:szCs w:val="24"/>
        </w:rPr>
      </w:pPr>
      <w:r w:rsidRPr="00316B41">
        <w:rPr>
          <w:rFonts w:ascii="Arial" w:hAnsi="Arial" w:cs="Arial"/>
          <w:sz w:val="24"/>
          <w:szCs w:val="24"/>
        </w:rPr>
        <w:t>Wu, J. &amp; Li, C. (2021) ‘The impact of sustainability on brand loyalty: A mediation analysis of brand reputation and brand trust’, Journal of Cleaner Production, 312, 127983.</w:t>
      </w:r>
    </w:p>
    <w:p w14:paraId="28FFC61E" w14:textId="77777777" w:rsidR="00316B41" w:rsidRDefault="00316B41">
      <w:pPr>
        <w:rPr>
          <w:rFonts w:ascii="Arial" w:hAnsi="Arial" w:cs="Arial"/>
          <w:sz w:val="24"/>
          <w:szCs w:val="24"/>
        </w:rPr>
      </w:pPr>
      <w:r>
        <w:rPr>
          <w:rFonts w:ascii="Arial" w:hAnsi="Arial" w:cs="Arial"/>
          <w:sz w:val="24"/>
          <w:szCs w:val="24"/>
        </w:rPr>
        <w:br w:type="page"/>
      </w:r>
    </w:p>
    <w:p w14:paraId="1146A35A" w14:textId="1196ABF4" w:rsidR="00316B41" w:rsidRDefault="00316B41" w:rsidP="00590759">
      <w:pPr>
        <w:pStyle w:val="Heading1"/>
      </w:pPr>
      <w:r>
        <w:lastRenderedPageBreak/>
        <w:t>Appendix</w:t>
      </w:r>
    </w:p>
    <w:p w14:paraId="6BFF0E8D" w14:textId="6F2D4970" w:rsidR="00316B41" w:rsidRDefault="00316B41" w:rsidP="00316B41">
      <w:pPr>
        <w:spacing w:line="480" w:lineRule="auto"/>
        <w:rPr>
          <w:rFonts w:ascii="Arial" w:hAnsi="Arial" w:cs="Arial"/>
          <w:sz w:val="24"/>
          <w:szCs w:val="24"/>
        </w:rPr>
      </w:pPr>
      <w:r>
        <w:rPr>
          <w:rFonts w:ascii="Arial" w:hAnsi="Arial" w:cs="Arial"/>
          <w:sz w:val="24"/>
          <w:szCs w:val="24"/>
        </w:rPr>
        <w:t>Notes for Presentation</w:t>
      </w:r>
    </w:p>
    <w:p w14:paraId="0A240141" w14:textId="1195B256" w:rsidR="00316B41" w:rsidRDefault="00590759" w:rsidP="00C9576A">
      <w:pPr>
        <w:spacing w:line="480" w:lineRule="auto"/>
        <w:rPr>
          <w:rFonts w:ascii="Arial" w:hAnsi="Arial" w:cs="Arial"/>
          <w:sz w:val="24"/>
          <w:szCs w:val="24"/>
        </w:rPr>
      </w:pPr>
      <w:r>
        <w:rPr>
          <w:noProof/>
        </w:rPr>
        <w:drawing>
          <wp:inline distT="0" distB="0" distL="0" distR="0" wp14:anchorId="36E74570" wp14:editId="24F5A3EE">
            <wp:extent cx="6278796" cy="975360"/>
            <wp:effectExtent l="0" t="0" r="8255" b="0"/>
            <wp:docPr id="791151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1151157" name=""/>
                    <pic:cNvPicPr/>
                  </pic:nvPicPr>
                  <pic:blipFill>
                    <a:blip r:embed="rId13"/>
                    <a:stretch>
                      <a:fillRect/>
                    </a:stretch>
                  </pic:blipFill>
                  <pic:spPr>
                    <a:xfrm>
                      <a:off x="0" y="0"/>
                      <a:ext cx="6284845" cy="976300"/>
                    </a:xfrm>
                    <a:prstGeom prst="rect">
                      <a:avLst/>
                    </a:prstGeom>
                  </pic:spPr>
                </pic:pic>
              </a:graphicData>
            </a:graphic>
          </wp:inline>
        </w:drawing>
      </w:r>
    </w:p>
    <w:p w14:paraId="11F3068C" w14:textId="02504D85" w:rsidR="00590759" w:rsidRDefault="00590759" w:rsidP="00C9576A">
      <w:pPr>
        <w:spacing w:line="480" w:lineRule="auto"/>
        <w:rPr>
          <w:rFonts w:ascii="Arial" w:hAnsi="Arial" w:cs="Arial"/>
          <w:sz w:val="24"/>
          <w:szCs w:val="24"/>
        </w:rPr>
      </w:pPr>
      <w:r>
        <w:rPr>
          <w:noProof/>
        </w:rPr>
        <w:drawing>
          <wp:inline distT="0" distB="0" distL="0" distR="0" wp14:anchorId="5DBA916D" wp14:editId="2AF5E1AB">
            <wp:extent cx="6285008" cy="1028700"/>
            <wp:effectExtent l="0" t="0" r="1905" b="0"/>
            <wp:docPr id="426648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648426" name=""/>
                    <pic:cNvPicPr/>
                  </pic:nvPicPr>
                  <pic:blipFill>
                    <a:blip r:embed="rId14"/>
                    <a:stretch>
                      <a:fillRect/>
                    </a:stretch>
                  </pic:blipFill>
                  <pic:spPr>
                    <a:xfrm>
                      <a:off x="0" y="0"/>
                      <a:ext cx="6299441" cy="1031062"/>
                    </a:xfrm>
                    <a:prstGeom prst="rect">
                      <a:avLst/>
                    </a:prstGeom>
                  </pic:spPr>
                </pic:pic>
              </a:graphicData>
            </a:graphic>
          </wp:inline>
        </w:drawing>
      </w:r>
    </w:p>
    <w:p w14:paraId="63CAAFBE" w14:textId="652CCBC0" w:rsidR="00590759" w:rsidRDefault="00590759" w:rsidP="00C9576A">
      <w:pPr>
        <w:spacing w:line="480" w:lineRule="auto"/>
        <w:rPr>
          <w:rFonts w:ascii="Arial" w:hAnsi="Arial" w:cs="Arial"/>
          <w:sz w:val="24"/>
          <w:szCs w:val="24"/>
        </w:rPr>
      </w:pPr>
      <w:r>
        <w:rPr>
          <w:noProof/>
        </w:rPr>
        <w:drawing>
          <wp:inline distT="0" distB="0" distL="0" distR="0" wp14:anchorId="02917539" wp14:editId="21951011">
            <wp:extent cx="6343756" cy="1097280"/>
            <wp:effectExtent l="0" t="0" r="0" b="7620"/>
            <wp:docPr id="1433409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409078" name=""/>
                    <pic:cNvPicPr/>
                  </pic:nvPicPr>
                  <pic:blipFill>
                    <a:blip r:embed="rId15"/>
                    <a:stretch>
                      <a:fillRect/>
                    </a:stretch>
                  </pic:blipFill>
                  <pic:spPr>
                    <a:xfrm>
                      <a:off x="0" y="0"/>
                      <a:ext cx="6346305" cy="1097721"/>
                    </a:xfrm>
                    <a:prstGeom prst="rect">
                      <a:avLst/>
                    </a:prstGeom>
                  </pic:spPr>
                </pic:pic>
              </a:graphicData>
            </a:graphic>
          </wp:inline>
        </w:drawing>
      </w:r>
    </w:p>
    <w:p w14:paraId="3BE4BB8F" w14:textId="3E397798" w:rsidR="00590759" w:rsidRDefault="00590759" w:rsidP="00C9576A">
      <w:pPr>
        <w:spacing w:line="480" w:lineRule="auto"/>
        <w:rPr>
          <w:rFonts w:ascii="Arial" w:hAnsi="Arial" w:cs="Arial"/>
          <w:sz w:val="24"/>
          <w:szCs w:val="24"/>
        </w:rPr>
      </w:pPr>
      <w:r>
        <w:rPr>
          <w:noProof/>
        </w:rPr>
        <w:drawing>
          <wp:inline distT="0" distB="0" distL="0" distR="0" wp14:anchorId="3DADD0BE" wp14:editId="4BF4FE93">
            <wp:extent cx="6332220" cy="827383"/>
            <wp:effectExtent l="0" t="0" r="0" b="0"/>
            <wp:docPr id="394862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62699" name=""/>
                    <pic:cNvPicPr/>
                  </pic:nvPicPr>
                  <pic:blipFill>
                    <a:blip r:embed="rId16"/>
                    <a:stretch>
                      <a:fillRect/>
                    </a:stretch>
                  </pic:blipFill>
                  <pic:spPr>
                    <a:xfrm>
                      <a:off x="0" y="0"/>
                      <a:ext cx="6374475" cy="832904"/>
                    </a:xfrm>
                    <a:prstGeom prst="rect">
                      <a:avLst/>
                    </a:prstGeom>
                  </pic:spPr>
                </pic:pic>
              </a:graphicData>
            </a:graphic>
          </wp:inline>
        </w:drawing>
      </w:r>
    </w:p>
    <w:p w14:paraId="7C0E6339" w14:textId="77777777" w:rsidR="00590759" w:rsidRPr="00C9576A" w:rsidRDefault="00590759" w:rsidP="00C9576A">
      <w:pPr>
        <w:spacing w:line="480" w:lineRule="auto"/>
        <w:rPr>
          <w:rFonts w:ascii="Arial" w:hAnsi="Arial" w:cs="Arial"/>
          <w:sz w:val="24"/>
          <w:szCs w:val="24"/>
        </w:rPr>
      </w:pPr>
    </w:p>
    <w:p w14:paraId="0DBAA0EB" w14:textId="77777777" w:rsidR="00DE44F5" w:rsidRPr="00C9576A" w:rsidRDefault="00DE44F5" w:rsidP="00C9576A">
      <w:pPr>
        <w:spacing w:line="480" w:lineRule="auto"/>
        <w:rPr>
          <w:rFonts w:ascii="Arial" w:hAnsi="Arial" w:cs="Arial"/>
          <w:sz w:val="24"/>
          <w:szCs w:val="24"/>
        </w:rPr>
      </w:pPr>
    </w:p>
    <w:sectPr w:rsidR="00DE44F5" w:rsidRPr="00C9576A" w:rsidSect="00316B41">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B759C" w14:textId="77777777" w:rsidR="003843BC" w:rsidRDefault="003843BC" w:rsidP="00316B41">
      <w:pPr>
        <w:spacing w:after="0" w:line="240" w:lineRule="auto"/>
      </w:pPr>
      <w:r>
        <w:separator/>
      </w:r>
    </w:p>
  </w:endnote>
  <w:endnote w:type="continuationSeparator" w:id="0">
    <w:p w14:paraId="2C48EA06" w14:textId="77777777" w:rsidR="003843BC" w:rsidRDefault="003843BC" w:rsidP="00316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9879074"/>
      <w:docPartObj>
        <w:docPartGallery w:val="Page Numbers (Bottom of Page)"/>
        <w:docPartUnique/>
      </w:docPartObj>
    </w:sdtPr>
    <w:sdtContent>
      <w:p w14:paraId="451D6C87" w14:textId="394576CD" w:rsidR="00316B41" w:rsidRDefault="00316B41">
        <w:pPr>
          <w:pStyle w:val="Footer"/>
          <w:jc w:val="right"/>
        </w:pPr>
        <w:r>
          <w:fldChar w:fldCharType="begin"/>
        </w:r>
        <w:r>
          <w:instrText>PAGE   \* MERGEFORMAT</w:instrText>
        </w:r>
        <w:r>
          <w:fldChar w:fldCharType="separate"/>
        </w:r>
        <w:r>
          <w:t>2</w:t>
        </w:r>
        <w:r>
          <w:fldChar w:fldCharType="end"/>
        </w:r>
      </w:p>
    </w:sdtContent>
  </w:sdt>
  <w:p w14:paraId="6AF10607" w14:textId="77777777" w:rsidR="00316B41" w:rsidRDefault="00316B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7F942" w14:textId="77777777" w:rsidR="003843BC" w:rsidRDefault="003843BC" w:rsidP="00316B41">
      <w:pPr>
        <w:spacing w:after="0" w:line="240" w:lineRule="auto"/>
      </w:pPr>
      <w:r>
        <w:separator/>
      </w:r>
    </w:p>
  </w:footnote>
  <w:footnote w:type="continuationSeparator" w:id="0">
    <w:p w14:paraId="3AD74246" w14:textId="77777777" w:rsidR="003843BC" w:rsidRDefault="003843BC" w:rsidP="00316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DB3140"/>
    <w:multiLevelType w:val="hybridMultilevel"/>
    <w:tmpl w:val="72908D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157569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0MDKwNDUxMDGxMDBQ0lEKTi0uzszPAykwqQUAMtLq9ywAAAA="/>
  </w:docVars>
  <w:rsids>
    <w:rsidRoot w:val="00AC3308"/>
    <w:rsid w:val="00067CA2"/>
    <w:rsid w:val="00073949"/>
    <w:rsid w:val="00091C4E"/>
    <w:rsid w:val="001517D7"/>
    <w:rsid w:val="00164AB8"/>
    <w:rsid w:val="00241505"/>
    <w:rsid w:val="00271956"/>
    <w:rsid w:val="002F6FF7"/>
    <w:rsid w:val="00316B41"/>
    <w:rsid w:val="00337D24"/>
    <w:rsid w:val="00354CA0"/>
    <w:rsid w:val="003843BC"/>
    <w:rsid w:val="00391E20"/>
    <w:rsid w:val="003C6CA2"/>
    <w:rsid w:val="00400407"/>
    <w:rsid w:val="00590759"/>
    <w:rsid w:val="006A0C9E"/>
    <w:rsid w:val="006F3747"/>
    <w:rsid w:val="007408F3"/>
    <w:rsid w:val="0078698A"/>
    <w:rsid w:val="00A96FCA"/>
    <w:rsid w:val="00A9705F"/>
    <w:rsid w:val="00AA3C42"/>
    <w:rsid w:val="00AC3308"/>
    <w:rsid w:val="00B256C3"/>
    <w:rsid w:val="00B27D85"/>
    <w:rsid w:val="00B40E7B"/>
    <w:rsid w:val="00B525C4"/>
    <w:rsid w:val="00C9576A"/>
    <w:rsid w:val="00DE44F5"/>
    <w:rsid w:val="00EE2ED7"/>
    <w:rsid w:val="00F175EA"/>
    <w:rsid w:val="00F80808"/>
    <w:rsid w:val="00F868A1"/>
    <w:rsid w:val="00FD6E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9710"/>
  <w15:chartTrackingRefBased/>
  <w15:docId w15:val="{4383D50B-FA8E-4FDA-8F15-A4DE8FCAB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2E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E2ED7"/>
    <w:pPr>
      <w:spacing w:after="0" w:line="240" w:lineRule="auto"/>
    </w:pPr>
  </w:style>
  <w:style w:type="character" w:customStyle="1" w:styleId="Heading1Char">
    <w:name w:val="Heading 1 Char"/>
    <w:basedOn w:val="DefaultParagraphFont"/>
    <w:link w:val="Heading1"/>
    <w:uiPriority w:val="9"/>
    <w:rsid w:val="00EE2ED7"/>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EE2ED7"/>
    <w:pPr>
      <w:spacing w:after="240" w:line="240" w:lineRule="auto"/>
    </w:pPr>
  </w:style>
  <w:style w:type="paragraph" w:styleId="Caption">
    <w:name w:val="caption"/>
    <w:basedOn w:val="Normal"/>
    <w:next w:val="Normal"/>
    <w:uiPriority w:val="35"/>
    <w:unhideWhenUsed/>
    <w:qFormat/>
    <w:rsid w:val="003C6CA2"/>
    <w:pPr>
      <w:spacing w:after="200" w:line="240" w:lineRule="auto"/>
    </w:pPr>
    <w:rPr>
      <w:i/>
      <w:iCs/>
      <w:color w:val="44546A" w:themeColor="text2"/>
      <w:sz w:val="18"/>
      <w:szCs w:val="18"/>
    </w:rPr>
  </w:style>
  <w:style w:type="character" w:customStyle="1" w:styleId="NoSpacingChar">
    <w:name w:val="No Spacing Char"/>
    <w:basedOn w:val="DefaultParagraphFont"/>
    <w:link w:val="NoSpacing"/>
    <w:uiPriority w:val="1"/>
    <w:rsid w:val="00A96FCA"/>
  </w:style>
  <w:style w:type="paragraph" w:styleId="TOCHeading">
    <w:name w:val="TOC Heading"/>
    <w:basedOn w:val="Heading1"/>
    <w:next w:val="Normal"/>
    <w:uiPriority w:val="39"/>
    <w:unhideWhenUsed/>
    <w:qFormat/>
    <w:rsid w:val="00316B41"/>
    <w:pPr>
      <w:outlineLvl w:val="9"/>
    </w:pPr>
    <w:rPr>
      <w:kern w:val="0"/>
      <w:lang w:eastAsia="en-GB"/>
      <w14:ligatures w14:val="none"/>
    </w:rPr>
  </w:style>
  <w:style w:type="paragraph" w:styleId="TOC1">
    <w:name w:val="toc 1"/>
    <w:basedOn w:val="Normal"/>
    <w:next w:val="Normal"/>
    <w:autoRedefine/>
    <w:uiPriority w:val="39"/>
    <w:unhideWhenUsed/>
    <w:rsid w:val="00316B41"/>
    <w:pPr>
      <w:spacing w:after="100"/>
    </w:pPr>
  </w:style>
  <w:style w:type="character" w:styleId="Hyperlink">
    <w:name w:val="Hyperlink"/>
    <w:basedOn w:val="DefaultParagraphFont"/>
    <w:uiPriority w:val="99"/>
    <w:unhideWhenUsed/>
    <w:rsid w:val="00316B41"/>
    <w:rPr>
      <w:color w:val="0563C1" w:themeColor="hyperlink"/>
      <w:u w:val="single"/>
    </w:rPr>
  </w:style>
  <w:style w:type="paragraph" w:styleId="Header">
    <w:name w:val="header"/>
    <w:basedOn w:val="Normal"/>
    <w:link w:val="HeaderChar"/>
    <w:uiPriority w:val="99"/>
    <w:unhideWhenUsed/>
    <w:rsid w:val="00316B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6B41"/>
  </w:style>
  <w:style w:type="paragraph" w:styleId="Footer">
    <w:name w:val="footer"/>
    <w:basedOn w:val="Normal"/>
    <w:link w:val="FooterChar"/>
    <w:uiPriority w:val="99"/>
    <w:unhideWhenUsed/>
    <w:rsid w:val="00316B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6B41"/>
  </w:style>
  <w:style w:type="character" w:styleId="UnresolvedMention">
    <w:name w:val="Unresolved Mention"/>
    <w:basedOn w:val="DefaultParagraphFont"/>
    <w:uiPriority w:val="99"/>
    <w:semiHidden/>
    <w:unhideWhenUsed/>
    <w:rsid w:val="00590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thicalfashionforum.com/the-issues/bangladesh-building-collapse-fashion-brands-respon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DEE1B-3F2D-4434-B89E-8BBCD680A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6814</Words>
  <Characters>38840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Shail Preet Kaur - 2225484</dc:subject>
  <dc:creator/>
  <cp:keywords/>
  <dc:description/>
  <cp:lastModifiedBy>User</cp:lastModifiedBy>
  <cp:revision>9</cp:revision>
  <dcterms:created xsi:type="dcterms:W3CDTF">2023-04-25T13:14:00Z</dcterms:created>
  <dcterms:modified xsi:type="dcterms:W3CDTF">2023-04-26T18:26:00Z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id="vKtBUtXa"/&gt;&lt;style id="http://www.zotero.org/styles/harvard-cite-them-right" hasBibliography="1" bibliographyStyleHasBeenSet="1"/&gt;&lt;prefs&gt;&lt;pref name="fieldType" value="Field"/&gt;&lt;/prefs&gt;&lt;/data&gt;</vt:lpwstr>
  </property>
</Properties>
</file>