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19C94" w14:textId="77777777" w:rsidR="0082400F" w:rsidRDefault="00000000" w:rsidP="00AB249C">
      <w:pPr>
        <w:spacing w:after="120" w:line="480" w:lineRule="auto"/>
        <w:jc w:val="center"/>
        <w:rPr>
          <w:b/>
          <w:bCs/>
          <w:sz w:val="32"/>
          <w:szCs w:val="32"/>
        </w:rPr>
      </w:pPr>
      <w:r>
        <w:rPr>
          <w:b/>
          <w:bCs/>
          <w:sz w:val="32"/>
          <w:szCs w:val="32"/>
        </w:rPr>
        <w:t>Critical Review Presentation Script</w:t>
      </w:r>
    </w:p>
    <w:p w14:paraId="6315529C" w14:textId="7EB6CFF6" w:rsidR="00496266" w:rsidRDefault="00496266" w:rsidP="00496266">
      <w:pPr>
        <w:spacing w:after="120" w:line="480" w:lineRule="auto"/>
      </w:pPr>
      <w:hyperlink r:id="rId5" w:history="1">
        <w:r w:rsidRPr="00496266">
          <w:rPr>
            <w:rStyle w:val="Hyperlink"/>
            <w:b/>
            <w:bCs/>
            <w:sz w:val="32"/>
            <w:szCs w:val="32"/>
          </w:rPr>
          <w:t xml:space="preserve">Presentation </w:t>
        </w:r>
        <w:r w:rsidRPr="00496266">
          <w:rPr>
            <w:rStyle w:val="Hyperlink"/>
            <w:b/>
            <w:bCs/>
            <w:sz w:val="32"/>
            <w:szCs w:val="32"/>
          </w:rPr>
          <w:t>L</w:t>
        </w:r>
        <w:r w:rsidRPr="00496266">
          <w:rPr>
            <w:rStyle w:val="Hyperlink"/>
            <w:b/>
            <w:bCs/>
            <w:sz w:val="32"/>
            <w:szCs w:val="32"/>
          </w:rPr>
          <w:t>ink</w:t>
        </w:r>
      </w:hyperlink>
    </w:p>
    <w:p w14:paraId="7AE3B87C" w14:textId="426B286E" w:rsidR="0082400F" w:rsidRDefault="00000000" w:rsidP="00AB249C">
      <w:pPr>
        <w:pStyle w:val="Heading1"/>
        <w:spacing w:line="480" w:lineRule="auto"/>
      </w:pPr>
      <w:r>
        <w:t>1. Title Slide and Opening</w:t>
      </w:r>
    </w:p>
    <w:p w14:paraId="0B258CFF" w14:textId="2B2AF31C" w:rsidR="0082400F" w:rsidRDefault="00000000" w:rsidP="00AB249C">
      <w:pPr>
        <w:spacing w:after="120" w:line="480" w:lineRule="auto"/>
      </w:pPr>
      <w:r>
        <w:t xml:space="preserve">Good </w:t>
      </w:r>
      <w:r w:rsidR="000239CF">
        <w:t>mornin</w:t>
      </w:r>
      <w:r w:rsidR="00AB249C">
        <w:t>g</w:t>
      </w:r>
      <w:r>
        <w:t xml:space="preserve">. Today I'm going to take you through a critical review of a 2021 paper by Burgess et al., published in the International Journal of Cognitive Therapy. The paper asks a practical question: can we </w:t>
      </w:r>
      <w:r w:rsidR="000239CF">
        <w:t>reduce</w:t>
      </w:r>
      <w:r>
        <w:t xml:space="preserve"> Mindfulness-Based Cognitive Therapy — or MBCT for short — down from eight weeks to five weeks and still get meaningful results — and if so, could that work as a population-level strategy for anxiety and depression?</w:t>
      </w:r>
    </w:p>
    <w:p w14:paraId="5D3F31AE" w14:textId="77777777" w:rsidR="00AB249C" w:rsidRDefault="00AB249C" w:rsidP="00AB249C">
      <w:pPr>
        <w:spacing w:after="120" w:line="480" w:lineRule="auto"/>
      </w:pPr>
    </w:p>
    <w:p w14:paraId="3A9EC00B" w14:textId="385C3B77" w:rsidR="0082400F" w:rsidRDefault="00000000" w:rsidP="00AB249C">
      <w:pPr>
        <w:spacing w:after="120" w:line="480" w:lineRule="auto"/>
      </w:pPr>
      <w:r>
        <w:t xml:space="preserve">I want to flag from the </w:t>
      </w:r>
      <w:r w:rsidR="000239CF">
        <w:t>start</w:t>
      </w:r>
      <w:r>
        <w:t xml:space="preserve"> that my </w:t>
      </w:r>
      <w:r w:rsidR="000239CF">
        <w:t>presentation</w:t>
      </w:r>
      <w:r>
        <w:t xml:space="preserve"> is critique-led rather than summary-led. </w:t>
      </w:r>
      <w:r w:rsidR="000239CF">
        <w:t>So,</w:t>
      </w:r>
      <w:r>
        <w:t xml:space="preserve"> I'll move through the paper fairly </w:t>
      </w:r>
      <w:r w:rsidR="000239CF">
        <w:t>briskly and</w:t>
      </w:r>
      <w:r>
        <w:t xml:space="preserve"> then spend most of my time </w:t>
      </w:r>
      <w:r w:rsidR="000239CF">
        <w:t>discussing</w:t>
      </w:r>
      <w:r>
        <w:t xml:space="preserve"> what the study actually shows, what it doesn't show, and what it means for counselling practice.</w:t>
      </w:r>
    </w:p>
    <w:p w14:paraId="1185F207" w14:textId="77777777" w:rsidR="00AB249C" w:rsidRDefault="00AB249C" w:rsidP="00AB249C">
      <w:pPr>
        <w:spacing w:after="120" w:line="480" w:lineRule="auto"/>
      </w:pPr>
    </w:p>
    <w:p w14:paraId="58317E6E" w14:textId="0DCCB633" w:rsidR="0082400F" w:rsidRDefault="00000000" w:rsidP="00AB249C">
      <w:pPr>
        <w:pStyle w:val="Heading1"/>
        <w:spacing w:line="480" w:lineRule="auto"/>
      </w:pPr>
      <w:r>
        <w:t>2. Introduction — Background and Aims</w:t>
      </w:r>
    </w:p>
    <w:p w14:paraId="1BA3AA04" w14:textId="4CA4EA4E" w:rsidR="0082400F" w:rsidRDefault="00000000" w:rsidP="00AB249C">
      <w:pPr>
        <w:spacing w:after="120" w:line="480" w:lineRule="auto"/>
      </w:pPr>
      <w:r>
        <w:t>So, the back</w:t>
      </w:r>
      <w:r w:rsidR="000239CF">
        <w:t>ground</w:t>
      </w:r>
      <w:r>
        <w:t>. Anxiety and depression are the two most common mental health presentations worldwide, and demand consistently outstrips what services can deliver. Standard MBCT, as developed by Segal et al. (2013), is an eight-week, two-hour-per-week group programme originally designed to prevent depressive relapse. The evidence base for the full eight-week version is reasonably solid — Goldberg et al.'s (2018) meta-analysis of 142 randomised trials concluded that mindfulness-based interventions are roughly equivalent to other evidence-based treatments at post-treatment, particularly for depression.</w:t>
      </w:r>
    </w:p>
    <w:p w14:paraId="302C1841" w14:textId="77777777" w:rsidR="00AB249C" w:rsidRDefault="00AB249C" w:rsidP="00AB249C">
      <w:pPr>
        <w:spacing w:after="120" w:line="480" w:lineRule="auto"/>
      </w:pPr>
    </w:p>
    <w:p w14:paraId="70BE1F1C" w14:textId="7B074B59" w:rsidR="0082400F" w:rsidRDefault="00000000" w:rsidP="00AB249C">
      <w:pPr>
        <w:spacing w:after="120" w:line="480" w:lineRule="auto"/>
      </w:pPr>
      <w:r>
        <w:t xml:space="preserve">But — and this is the gap </w:t>
      </w:r>
      <w:r w:rsidR="000239CF">
        <w:t>Burgess,</w:t>
      </w:r>
      <w:r>
        <w:t xml:space="preserve"> and colleagues are trying to address — eight weeks is a lot. It's a lot of clinician time, a lot of patient time, and at the population level it creates a real bottleneck. </w:t>
      </w:r>
      <w:r w:rsidR="000239CF">
        <w:t>So,</w:t>
      </w:r>
      <w:r>
        <w:t xml:space="preserve"> the research team at Sunnybrook Health Sciences Centre in Toronto designed an abbreviated five-session version, with three core practices, shorter meditations of 10 to 15 minutes rather than the traditional 40, and an explicit self-compassion strand. It also uses what they call a transdiagnostic approach — meaning it's designed to work across multiple conditions rather than targeting one specific disorder like depression alone. They developed </w:t>
      </w:r>
      <w:r w:rsidR="000239CF">
        <w:t>materials and</w:t>
      </w:r>
      <w:r>
        <w:t xml:space="preserve"> framework called AWARE — which stands for Arriving in the body, Welcoming experience, Awareness throughout the day, Reading course materials, and Exploring mindfully — structured around three operating modes they call protection, provision, and attunement.</w:t>
      </w:r>
    </w:p>
    <w:p w14:paraId="12C98133" w14:textId="77777777" w:rsidR="00AB249C" w:rsidRDefault="00AB249C" w:rsidP="00AB249C">
      <w:pPr>
        <w:spacing w:after="120" w:line="480" w:lineRule="auto"/>
      </w:pPr>
    </w:p>
    <w:p w14:paraId="48BC7633" w14:textId="77777777" w:rsidR="0082400F" w:rsidRDefault="00000000" w:rsidP="00AB249C">
      <w:pPr>
        <w:spacing w:after="120" w:line="480" w:lineRule="auto"/>
      </w:pPr>
      <w:r>
        <w:t>Their aim was straightforward: to test whether this brief version produces clinically significant reductions in anxiety and depression in a real-world, physician-referred community sample, and whether change in self-compassion predicts who responds.</w:t>
      </w:r>
    </w:p>
    <w:p w14:paraId="73AD2836" w14:textId="77777777" w:rsidR="00AB249C" w:rsidRDefault="00AB249C" w:rsidP="00AB249C">
      <w:pPr>
        <w:spacing w:after="120" w:line="480" w:lineRule="auto"/>
      </w:pPr>
    </w:p>
    <w:p w14:paraId="233E8F68" w14:textId="6DBD86DB" w:rsidR="0082400F" w:rsidRDefault="00000000" w:rsidP="00AB249C">
      <w:pPr>
        <w:pStyle w:val="Heading1"/>
        <w:spacing w:line="480" w:lineRule="auto"/>
      </w:pPr>
      <w:r>
        <w:t xml:space="preserve">3. Method — Participants, Procedure, Measures </w:t>
      </w:r>
    </w:p>
    <w:p w14:paraId="37F512D5" w14:textId="77777777" w:rsidR="0082400F" w:rsidRDefault="00000000" w:rsidP="00AB249C">
      <w:pPr>
        <w:spacing w:after="120" w:line="480" w:lineRule="auto"/>
      </w:pPr>
      <w:r>
        <w:t>The method, briefly. Fifty-four adults were recruited. They had to be over 18, physician-referred, and score five or above on the Generalised Anxiety Disorder 7-item scale — known as the GAD-7 — which is a low threshold, equivalent to only mild anxiety. People were excluded if they'd done an eight-plus week mindfulness course in the last three years, or had active substance abuse, psychosis, mania, or suicidality.</w:t>
      </w:r>
    </w:p>
    <w:p w14:paraId="39647F81" w14:textId="77777777" w:rsidR="00AB249C" w:rsidRDefault="00AB249C" w:rsidP="00AB249C">
      <w:pPr>
        <w:spacing w:after="120" w:line="480" w:lineRule="auto"/>
      </w:pPr>
    </w:p>
    <w:p w14:paraId="3BA8627B" w14:textId="45D6EB10" w:rsidR="00AB249C" w:rsidRDefault="00000000" w:rsidP="00AB249C">
      <w:pPr>
        <w:spacing w:after="120" w:line="480" w:lineRule="auto"/>
      </w:pPr>
      <w:r>
        <w:lastRenderedPageBreak/>
        <w:t>The intervention was five weekly two-hour sessions, delivered in groups of sixteen to twenty — and that's bigger than traditional MBCT, which usually caps at twelve. Importantly, there's no control group. This is a pre-post design — the authors used what's called a paired-samples t-test, which is essentially asking "did each person's score change significantly from before treatment to after?" It's a useful test, but I'll come back to what it can't tell us in the critique.</w:t>
      </w:r>
    </w:p>
    <w:p w14:paraId="6BE1624A" w14:textId="70ED0F0E" w:rsidR="0082400F" w:rsidRDefault="00000000" w:rsidP="00AB249C">
      <w:pPr>
        <w:spacing w:after="120" w:line="480" w:lineRule="auto"/>
      </w:pPr>
      <w:r>
        <w:t>The measures are all self-report: the GAD-7 for anxiety screening, the Beck Anxiety Inventory or BAI, the Beck Depression Inventory</w:t>
      </w:r>
      <w:r w:rsidR="000239CF">
        <w:t xml:space="preserve"> or BDI</w:t>
      </w:r>
      <w:r>
        <w:t xml:space="preserve"> — and here's a small but important wrinkle, some participants completed the original BDI and others the BDI-II, which the authors then mixed. There's also the Self-Compassion Scale Short Form, the Perceived Stress Scale, the Warwick-Edinburgh Mental Wellbeing Scale, and the Sheehan Disability Scale.</w:t>
      </w:r>
    </w:p>
    <w:p w14:paraId="3203227A" w14:textId="77777777" w:rsidR="0082400F" w:rsidRDefault="00000000" w:rsidP="00AB249C">
      <w:pPr>
        <w:pStyle w:val="ListParagraph"/>
        <w:numPr>
          <w:ilvl w:val="0"/>
          <w:numId w:val="2"/>
        </w:numPr>
        <w:spacing w:after="80" w:line="480" w:lineRule="auto"/>
      </w:pPr>
      <w:r>
        <w:t>Mixing the BDI and BDI-II is a measurement issue I'll come back to.</w:t>
      </w:r>
    </w:p>
    <w:p w14:paraId="04B39CF4" w14:textId="300914D8" w:rsidR="0082400F" w:rsidRDefault="00000000" w:rsidP="00AB249C">
      <w:pPr>
        <w:pStyle w:val="Heading1"/>
        <w:spacing w:line="480" w:lineRule="auto"/>
      </w:pPr>
      <w:r>
        <w:t>4. Findings</w:t>
      </w:r>
    </w:p>
    <w:p w14:paraId="7AB0C709" w14:textId="77777777" w:rsidR="0082400F" w:rsidRDefault="00000000" w:rsidP="00AB249C">
      <w:pPr>
        <w:spacing w:after="120" w:line="480" w:lineRule="auto"/>
      </w:pPr>
      <w:r>
        <w:t>The headline results look impressive at first glance. The authors report statistically significant improvements on every single outcome from before to after the intervention.</w:t>
      </w:r>
    </w:p>
    <w:p w14:paraId="0C1E7DA0" w14:textId="77777777" w:rsidR="00AB249C" w:rsidRDefault="00AB249C" w:rsidP="00AB249C">
      <w:pPr>
        <w:spacing w:after="120" w:line="480" w:lineRule="auto"/>
      </w:pPr>
    </w:p>
    <w:p w14:paraId="6AD08BE5" w14:textId="77777777" w:rsidR="0082400F" w:rsidRDefault="00000000" w:rsidP="00AB249C">
      <w:pPr>
        <w:spacing w:after="120" w:line="480" w:lineRule="auto"/>
      </w:pPr>
      <w:r>
        <w:t xml:space="preserve">To make sense of how big those improvements are, I need to introduce one piece of jargon: </w:t>
      </w:r>
      <w:r>
        <w:rPr>
          <w:b/>
          <w:bCs/>
        </w:rPr>
        <w:t>Cohen's d</w:t>
      </w:r>
      <w:r>
        <w:t>. It's a standard way of measuring how big a difference is. By Cohen's (1988) convention, 0.2 counts as a small effect, 0.5 as medium, 0.8 as large, and anything above 1 is very large. With that scale in mind, here's what Burgess and colleagues report:</w:t>
      </w:r>
    </w:p>
    <w:p w14:paraId="5D93B21F" w14:textId="77777777" w:rsidR="0082400F" w:rsidRDefault="00000000" w:rsidP="00AB249C">
      <w:pPr>
        <w:pStyle w:val="ListParagraph"/>
        <w:numPr>
          <w:ilvl w:val="0"/>
          <w:numId w:val="2"/>
        </w:numPr>
        <w:spacing w:after="80" w:line="480" w:lineRule="auto"/>
      </w:pPr>
      <w:r>
        <w:t>For general anxiety on the BAI, the effect size was 0.73 — medium-to-large.</w:t>
      </w:r>
    </w:p>
    <w:p w14:paraId="062538B1" w14:textId="77777777" w:rsidR="0082400F" w:rsidRDefault="00000000" w:rsidP="00AB249C">
      <w:pPr>
        <w:pStyle w:val="ListParagraph"/>
        <w:numPr>
          <w:ilvl w:val="0"/>
          <w:numId w:val="2"/>
        </w:numPr>
        <w:spacing w:after="80" w:line="480" w:lineRule="auto"/>
      </w:pPr>
      <w:r>
        <w:t>For worry on the GAD-7: 1.16. Very large.</w:t>
      </w:r>
    </w:p>
    <w:p w14:paraId="5CFC8137" w14:textId="77777777" w:rsidR="0082400F" w:rsidRDefault="00000000" w:rsidP="00AB249C">
      <w:pPr>
        <w:pStyle w:val="ListParagraph"/>
        <w:numPr>
          <w:ilvl w:val="0"/>
          <w:numId w:val="2"/>
        </w:numPr>
        <w:spacing w:after="80" w:line="480" w:lineRule="auto"/>
      </w:pPr>
      <w:r>
        <w:t>For depression on the BDI-II: 0.95. Large.</w:t>
      </w:r>
    </w:p>
    <w:p w14:paraId="5DF60D8B" w14:textId="77777777" w:rsidR="0082400F" w:rsidRDefault="00000000" w:rsidP="00AB249C">
      <w:pPr>
        <w:pStyle w:val="ListParagraph"/>
        <w:numPr>
          <w:ilvl w:val="0"/>
          <w:numId w:val="2"/>
        </w:numPr>
        <w:spacing w:after="80" w:line="480" w:lineRule="auto"/>
      </w:pPr>
      <w:r>
        <w:t>Self-compassion went up, with an effect size of 0.84.</w:t>
      </w:r>
    </w:p>
    <w:p w14:paraId="43728349" w14:textId="77777777" w:rsidR="0082400F" w:rsidRDefault="00000000" w:rsidP="00AB249C">
      <w:pPr>
        <w:pStyle w:val="ListParagraph"/>
        <w:numPr>
          <w:ilvl w:val="0"/>
          <w:numId w:val="2"/>
        </w:numPr>
        <w:spacing w:after="80" w:line="480" w:lineRule="auto"/>
      </w:pPr>
      <w:r>
        <w:lastRenderedPageBreak/>
        <w:t>Wellbeing improved by 0.99 — that's almost a full standard deviation.</w:t>
      </w:r>
    </w:p>
    <w:p w14:paraId="1B234FAE" w14:textId="77777777" w:rsidR="0082400F" w:rsidRDefault="00000000" w:rsidP="00AB249C">
      <w:pPr>
        <w:pStyle w:val="ListParagraph"/>
        <w:numPr>
          <w:ilvl w:val="0"/>
          <w:numId w:val="2"/>
        </w:numPr>
        <w:spacing w:after="80" w:line="480" w:lineRule="auto"/>
      </w:pPr>
      <w:r>
        <w:t>And perceived stress dropped by 0.95 — also large.</w:t>
      </w:r>
    </w:p>
    <w:p w14:paraId="3147102A" w14:textId="77777777" w:rsidR="00AB249C" w:rsidRDefault="00AB249C" w:rsidP="00AB249C">
      <w:pPr>
        <w:spacing w:after="80" w:line="480" w:lineRule="auto"/>
      </w:pPr>
    </w:p>
    <w:p w14:paraId="34B4769E" w14:textId="77777777" w:rsidR="0082400F" w:rsidRDefault="00000000" w:rsidP="00AB249C">
      <w:pPr>
        <w:spacing w:after="120" w:line="480" w:lineRule="auto"/>
      </w:pPr>
      <w:r>
        <w:t>In plain English: pretty much every measure shifted by close to a full standard deviation in just five weeks. The authors also report what they call "treatment response" rates — meaning the proportion of participants whose scores improved by 30% or more. Around 67% of the sample showed treatment response on worry, 61% on depression, and 46% on anxiety. And crucially, an analysis showed that increases in self-compassion significantly predicted who responded to treatment — which is a key finding we'll come back to.</w:t>
      </w:r>
    </w:p>
    <w:p w14:paraId="383B343B" w14:textId="77777777" w:rsidR="00AB249C" w:rsidRDefault="00AB249C" w:rsidP="00AB249C">
      <w:pPr>
        <w:spacing w:after="120" w:line="480" w:lineRule="auto"/>
      </w:pPr>
    </w:p>
    <w:p w14:paraId="0A374BEA" w14:textId="77777777" w:rsidR="0082400F" w:rsidRDefault="00000000" w:rsidP="00AB249C">
      <w:pPr>
        <w:spacing w:after="120" w:line="480" w:lineRule="auto"/>
      </w:pPr>
      <w:r>
        <w:t xml:space="preserve">That's a striking pattern. But — and this is where I want to plant a seed for the critique — those numbers are notably </w:t>
      </w:r>
      <w:r>
        <w:rPr>
          <w:i/>
          <w:iCs/>
        </w:rPr>
        <w:t>larger</w:t>
      </w:r>
      <w:r>
        <w:t xml:space="preserve"> than what the bigger meta-analyses of the full eight-week MBCT typically report. So already, the magnitude should make us cautious, not excited.</w:t>
      </w:r>
    </w:p>
    <w:p w14:paraId="50BA0023" w14:textId="77777777" w:rsidR="00AB249C" w:rsidRDefault="00AB249C" w:rsidP="00AB249C">
      <w:pPr>
        <w:spacing w:after="120" w:line="480" w:lineRule="auto"/>
      </w:pPr>
    </w:p>
    <w:p w14:paraId="619C43B9" w14:textId="67716501" w:rsidR="0082400F" w:rsidRDefault="00000000" w:rsidP="00AB249C">
      <w:pPr>
        <w:pStyle w:val="Heading1"/>
        <w:spacing w:line="480" w:lineRule="auto"/>
      </w:pPr>
      <w:r>
        <w:t xml:space="preserve">5. Discussion — What the Authors Conclude </w:t>
      </w:r>
    </w:p>
    <w:p w14:paraId="7F0D25C6" w14:textId="77777777" w:rsidR="0082400F" w:rsidRDefault="00000000" w:rsidP="00AB249C">
      <w:pPr>
        <w:spacing w:after="120" w:line="480" w:lineRule="auto"/>
      </w:pPr>
      <w:r>
        <w:t xml:space="preserve">The authors draw three main conclusions. First, that brief MBCT can produce clinically meaningful reductions in anxiety and depression. Second, that self-compassion appears to be a key mechanism of change — they ran an analysis testing whether </w:t>
      </w:r>
      <w:r>
        <w:rPr>
          <w:i/>
          <w:iCs/>
        </w:rPr>
        <w:t>change</w:t>
      </w:r>
      <w:r>
        <w:t xml:space="preserve"> in self-compassion predicted who got better, and it did. This echoes Kuyken et al.'s (2010) earlier work, which showed that self-compassion is one of the main routes through which MBCT works for depressive relapse. And third — and this is the big claim — that this kind of abbreviated intervention could serve as a "population-level strategy" to widen access.</w:t>
      </w:r>
    </w:p>
    <w:p w14:paraId="60C8C6FF" w14:textId="0DDB10B6" w:rsidR="0082400F" w:rsidRDefault="00000000" w:rsidP="00AB249C">
      <w:pPr>
        <w:spacing w:after="120" w:line="480" w:lineRule="auto"/>
      </w:pPr>
      <w:r>
        <w:lastRenderedPageBreak/>
        <w:t>For counselling practice, they argue this could free up clinician time, suit lower-symptom or sub-threshold clients, and be an accessible "first step" within stepped-care systems — which obviously maps onto the NHS Talking Therapies model in the UK.</w:t>
      </w:r>
    </w:p>
    <w:p w14:paraId="1186FE67" w14:textId="77777777" w:rsidR="0082400F" w:rsidRDefault="00000000" w:rsidP="00AB249C">
      <w:pPr>
        <w:pStyle w:val="ListParagraph"/>
        <w:numPr>
          <w:ilvl w:val="0"/>
          <w:numId w:val="2"/>
        </w:numPr>
        <w:spacing w:after="80" w:line="480" w:lineRule="auto"/>
      </w:pPr>
      <w:r>
        <w:t>Note the leap from a 54-person pilot to "population-level strategy."</w:t>
      </w:r>
    </w:p>
    <w:p w14:paraId="2CC33A9A" w14:textId="77777777" w:rsidR="00AB249C" w:rsidRDefault="00AB249C" w:rsidP="00AB249C">
      <w:pPr>
        <w:spacing w:after="80" w:line="480" w:lineRule="auto"/>
      </w:pPr>
    </w:p>
    <w:p w14:paraId="17E133C9" w14:textId="281CBD3B" w:rsidR="0082400F" w:rsidRDefault="00000000" w:rsidP="00AB249C">
      <w:pPr>
        <w:pStyle w:val="Heading1"/>
        <w:spacing w:line="480" w:lineRule="auto"/>
      </w:pPr>
      <w:r>
        <w:t xml:space="preserve">6. Critique — the Core of the Talk </w:t>
      </w:r>
    </w:p>
    <w:p w14:paraId="662F5957" w14:textId="4A816318" w:rsidR="0082400F" w:rsidRDefault="000239CF" w:rsidP="00AB249C">
      <w:pPr>
        <w:spacing w:after="120" w:line="480" w:lineRule="auto"/>
      </w:pPr>
      <w:r>
        <w:t>This is where I want to spend the majority of my time today. I'll work through strengths and weaknesses across rationale, methodology, statistics, ethics, and clinical implications.</w:t>
      </w:r>
    </w:p>
    <w:p w14:paraId="69214528" w14:textId="77777777" w:rsidR="00AB249C" w:rsidRDefault="00AB249C" w:rsidP="00AB249C">
      <w:pPr>
        <w:spacing w:after="120" w:line="480" w:lineRule="auto"/>
      </w:pPr>
    </w:p>
    <w:p w14:paraId="41833E70" w14:textId="60C37180" w:rsidR="0082400F" w:rsidRDefault="00000000" w:rsidP="00AB249C">
      <w:pPr>
        <w:pStyle w:val="Heading2"/>
        <w:spacing w:line="480" w:lineRule="auto"/>
      </w:pPr>
      <w:r>
        <w:t xml:space="preserve">6a. Strengths </w:t>
      </w:r>
    </w:p>
    <w:p w14:paraId="62FF34BD" w14:textId="4DC8CC58" w:rsidR="0082400F" w:rsidRDefault="00000000" w:rsidP="00AB249C">
      <w:pPr>
        <w:spacing w:after="120" w:line="480" w:lineRule="auto"/>
      </w:pPr>
      <w:r>
        <w:t xml:space="preserve">Let me be fair to the authors </w:t>
      </w:r>
      <w:r w:rsidR="000239CF">
        <w:t>first because</w:t>
      </w:r>
      <w:r>
        <w:t xml:space="preserve"> there is genuinely good work here.</w:t>
      </w:r>
    </w:p>
    <w:p w14:paraId="73971FA2" w14:textId="77777777" w:rsidR="0082400F" w:rsidRDefault="00000000" w:rsidP="00AB249C">
      <w:pPr>
        <w:spacing w:after="120" w:line="480" w:lineRule="auto"/>
      </w:pPr>
      <w:r>
        <w:rPr>
          <w:b/>
          <w:bCs/>
        </w:rPr>
        <w:t xml:space="preserve">Clinical pragmatism and ecological validity. </w:t>
      </w:r>
      <w:r>
        <w:t>Ecological validity simply means how well a study reflects real-world conditions. This was a real-world clinic with physician-referred patients, not a tightly controlled university lab. That matters because, as Goldberg et al. (2018) note, much of the mindfulness literature has been criticised for using student volunteers and waitlist controls, which inflates effects.</w:t>
      </w:r>
    </w:p>
    <w:p w14:paraId="558C16BB" w14:textId="77777777" w:rsidR="00AB249C" w:rsidRDefault="00AB249C" w:rsidP="00AB249C">
      <w:pPr>
        <w:spacing w:after="120" w:line="480" w:lineRule="auto"/>
      </w:pPr>
    </w:p>
    <w:p w14:paraId="07A5760D" w14:textId="77777777" w:rsidR="0082400F" w:rsidRDefault="00000000" w:rsidP="00AB249C">
      <w:pPr>
        <w:spacing w:after="120" w:line="480" w:lineRule="auto"/>
      </w:pPr>
      <w:r>
        <w:rPr>
          <w:b/>
          <w:bCs/>
        </w:rPr>
        <w:t xml:space="preserve">Transdiagnostic framing. </w:t>
      </w:r>
      <w:r>
        <w:t>The AWARE framework and the protection, provision, attunement model are conceptually interesting and, as I mentioned, transdiagnostic — meaning they're not locked to one specific diagnosis. That's increasingly seen as clinically sensible because anxiety and depression overlap so heavily that pure disorder-specific protocols can feel artificially narrow.</w:t>
      </w:r>
    </w:p>
    <w:p w14:paraId="0D63EF11" w14:textId="77777777" w:rsidR="00AB249C" w:rsidRDefault="00AB249C" w:rsidP="00AB249C">
      <w:pPr>
        <w:spacing w:after="120" w:line="480" w:lineRule="auto"/>
      </w:pPr>
    </w:p>
    <w:p w14:paraId="71AE8F49" w14:textId="77777777" w:rsidR="0082400F" w:rsidRDefault="00000000" w:rsidP="00AB249C">
      <w:pPr>
        <w:spacing w:after="120" w:line="480" w:lineRule="auto"/>
      </w:pPr>
      <w:r>
        <w:rPr>
          <w:b/>
          <w:bCs/>
        </w:rPr>
        <w:lastRenderedPageBreak/>
        <w:t xml:space="preserve">Explicit self-compassion content. </w:t>
      </w:r>
      <w:r>
        <w:t xml:space="preserve">This is, in my view, the most genuinely innovative contribution. Kuyken et al. (2010) showed that self-compassion is a mechanism of change in MBCT, and Burgess et al. push that further by </w:t>
      </w:r>
      <w:r>
        <w:rPr>
          <w:i/>
          <w:iCs/>
        </w:rPr>
        <w:t>building it explicitly</w:t>
      </w:r>
      <w:r>
        <w:t xml:space="preserve"> into the protocol and then testing whether change in self-compassion predicts response. They find it does.</w:t>
      </w:r>
    </w:p>
    <w:p w14:paraId="5177455F" w14:textId="77777777" w:rsidR="00AB249C" w:rsidRDefault="00AB249C" w:rsidP="00AB249C">
      <w:pPr>
        <w:spacing w:after="120" w:line="480" w:lineRule="auto"/>
      </w:pPr>
    </w:p>
    <w:p w14:paraId="50BBD70F" w14:textId="77777777" w:rsidR="0082400F" w:rsidRDefault="00000000" w:rsidP="00AB249C">
      <w:pPr>
        <w:spacing w:after="120" w:line="480" w:lineRule="auto"/>
      </w:pPr>
      <w:r>
        <w:rPr>
          <w:b/>
          <w:bCs/>
        </w:rPr>
        <w:t xml:space="preserve">Detail of the protocol description. </w:t>
      </w:r>
      <w:r>
        <w:t>The session-by-session description in the paper is detailed enough that another clinician could attempt to replicate it. That's actually unusual and welcome in mindfulness research — Van Dam et al. (2018) specifically criticised the field for vague intervention reporting.</w:t>
      </w:r>
    </w:p>
    <w:p w14:paraId="785E3E47" w14:textId="77777777" w:rsidR="00AB249C" w:rsidRDefault="00AB249C" w:rsidP="00AB249C">
      <w:pPr>
        <w:spacing w:after="120" w:line="480" w:lineRule="auto"/>
      </w:pPr>
    </w:p>
    <w:p w14:paraId="513637E2" w14:textId="77777777" w:rsidR="0082400F" w:rsidRDefault="00000000" w:rsidP="00AB249C">
      <w:pPr>
        <w:spacing w:after="120" w:line="480" w:lineRule="auto"/>
      </w:pPr>
      <w:r>
        <w:rPr>
          <w:b/>
          <w:bCs/>
        </w:rPr>
        <w:t xml:space="preserve">Honest reporting of limitations. </w:t>
      </w:r>
      <w:r>
        <w:t>To their credit, the authors do acknowledge several of the issues I'm about to raise.</w:t>
      </w:r>
    </w:p>
    <w:p w14:paraId="4D2768BA" w14:textId="77777777" w:rsidR="00AB249C" w:rsidRDefault="00AB249C" w:rsidP="00AB249C">
      <w:pPr>
        <w:spacing w:after="120" w:line="480" w:lineRule="auto"/>
      </w:pPr>
    </w:p>
    <w:p w14:paraId="280AC659" w14:textId="44E616EA" w:rsidR="0082400F" w:rsidRDefault="00000000" w:rsidP="00AB249C">
      <w:pPr>
        <w:pStyle w:val="Heading2"/>
        <w:spacing w:line="480" w:lineRule="auto"/>
      </w:pPr>
      <w:r>
        <w:t xml:space="preserve">6b. Limitations — Methodology and Design </w:t>
      </w:r>
    </w:p>
    <w:p w14:paraId="406817BA" w14:textId="77777777" w:rsidR="0082400F" w:rsidRDefault="00000000" w:rsidP="00AB249C">
      <w:pPr>
        <w:spacing w:after="120" w:line="480" w:lineRule="auto"/>
      </w:pPr>
      <w:r>
        <w:t>Now the harder part.</w:t>
      </w:r>
    </w:p>
    <w:p w14:paraId="49D3F6C5" w14:textId="77777777" w:rsidR="00AB249C" w:rsidRDefault="00AB249C" w:rsidP="00AB249C">
      <w:pPr>
        <w:spacing w:after="120" w:line="480" w:lineRule="auto"/>
      </w:pPr>
    </w:p>
    <w:p w14:paraId="72842ACE" w14:textId="34DD3096" w:rsidR="00AB249C" w:rsidRDefault="00000000" w:rsidP="00AB249C">
      <w:pPr>
        <w:spacing w:after="120" w:line="480" w:lineRule="auto"/>
      </w:pPr>
      <w:r>
        <w:rPr>
          <w:b/>
          <w:bCs/>
        </w:rPr>
        <w:t xml:space="preserve">No control group. </w:t>
      </w:r>
      <w:r>
        <w:t xml:space="preserve">This is the single biggest problem. With a pre-post design and no comparator, you genuinely cannot tell whether the intervention caused the change, or whether the change would have happened anyway. </w:t>
      </w:r>
    </w:p>
    <w:p w14:paraId="548476E9" w14:textId="77777777" w:rsidR="00AB249C" w:rsidRDefault="00AB249C" w:rsidP="00AB249C">
      <w:pPr>
        <w:spacing w:after="120" w:line="480" w:lineRule="auto"/>
      </w:pPr>
    </w:p>
    <w:p w14:paraId="190726D4" w14:textId="77777777" w:rsidR="0082400F" w:rsidRDefault="00000000" w:rsidP="00AB249C">
      <w:pPr>
        <w:spacing w:after="120" w:line="480" w:lineRule="auto"/>
      </w:pPr>
      <w:r>
        <w:t xml:space="preserve">First, </w:t>
      </w:r>
      <w:r>
        <w:rPr>
          <w:b/>
          <w:bCs/>
        </w:rPr>
        <w:t>regression to the mean</w:t>
      </w:r>
      <w:r>
        <w:t xml:space="preserve">. This is a statistical phenomenon where, if you select people because they're scoring high on a measure — and remember, entry required a GAD-7 of 5 or more — those people will, on average, score lower the next time you measure them, simply because of </w:t>
      </w:r>
      <w:r>
        <w:lastRenderedPageBreak/>
        <w:t>measurement error and natural fluctuation. As Marsden and Torgerson (2012) show, this isn't speculation; it's a known property of single-group pre-post designs. That very large GAD-7 effect size of 1.16 — some of the apparent change may reflect regression to the mean rather than a genuine treatment effect.</w:t>
      </w:r>
    </w:p>
    <w:p w14:paraId="50EAA247" w14:textId="77777777" w:rsidR="00AB249C" w:rsidRDefault="00AB249C" w:rsidP="00AB249C">
      <w:pPr>
        <w:spacing w:after="120" w:line="480" w:lineRule="auto"/>
      </w:pPr>
    </w:p>
    <w:p w14:paraId="42694119" w14:textId="77777777" w:rsidR="0082400F" w:rsidRDefault="00000000" w:rsidP="00AB249C">
      <w:pPr>
        <w:spacing w:after="120" w:line="480" w:lineRule="auto"/>
      </w:pPr>
      <w:r>
        <w:t xml:space="preserve">Second, </w:t>
      </w:r>
      <w:r>
        <w:rPr>
          <w:b/>
          <w:bCs/>
        </w:rPr>
        <w:t>natural recovery and maturation</w:t>
      </w:r>
      <w:r>
        <w:t>. Anxiety and depression symptoms fluctuate. Many people referred during a peak of distress would improve over five weeks anyway.</w:t>
      </w:r>
    </w:p>
    <w:p w14:paraId="0F0BD3A8" w14:textId="77777777" w:rsidR="00AB249C" w:rsidRDefault="00AB249C" w:rsidP="00AB249C">
      <w:pPr>
        <w:spacing w:after="120" w:line="480" w:lineRule="auto"/>
      </w:pPr>
    </w:p>
    <w:p w14:paraId="5AF32AC1" w14:textId="77777777" w:rsidR="0082400F" w:rsidRDefault="00000000" w:rsidP="00AB249C">
      <w:pPr>
        <w:spacing w:after="120" w:line="480" w:lineRule="auto"/>
      </w:pPr>
      <w:r>
        <w:t xml:space="preserve">Third, </w:t>
      </w:r>
      <w:r>
        <w:rPr>
          <w:b/>
          <w:bCs/>
        </w:rPr>
        <w:t>expectancy and demand characteristics</w:t>
      </w:r>
      <w:r>
        <w:t>. Demand characteristics is the term psychologists use for when participants behave the way they think they're expected to, rather than naturally. People who voluntarily attend a five-week mindfulness course delivered by enthusiastic clinicians at a specialist clinic want it to work, and they know what they're "supposed" to feel afterwards. Without an active comparator, you cannot separate the effect of mindfulness from the effect of being looked after in a warm group setting for ten hours.</w:t>
      </w:r>
    </w:p>
    <w:p w14:paraId="0FBF3191" w14:textId="77777777" w:rsidR="00AB249C" w:rsidRDefault="00AB249C" w:rsidP="00AB249C">
      <w:pPr>
        <w:spacing w:after="120" w:line="480" w:lineRule="auto"/>
      </w:pPr>
    </w:p>
    <w:p w14:paraId="3DBC23AD" w14:textId="77777777" w:rsidR="0082400F" w:rsidRDefault="00000000" w:rsidP="00AB249C">
      <w:pPr>
        <w:spacing w:after="120" w:line="480" w:lineRule="auto"/>
      </w:pPr>
      <w:r>
        <w:rPr>
          <w:b/>
          <w:bCs/>
        </w:rPr>
        <w:t xml:space="preserve">No follow-up data. </w:t>
      </w:r>
      <w:r>
        <w:t>We have no idea whether these effects persisted at three or six months. Galante et al. (2021), in their meta-analysis of 136 randomised controlled trials — or RCTs — found that mindfulness benefits often fade beyond the six-month window. A pure post-treatment snapshot isn't enough.</w:t>
      </w:r>
    </w:p>
    <w:p w14:paraId="4587AB82" w14:textId="77777777" w:rsidR="00AB249C" w:rsidRDefault="00AB249C" w:rsidP="00AB249C">
      <w:pPr>
        <w:spacing w:after="120" w:line="480" w:lineRule="auto"/>
      </w:pPr>
    </w:p>
    <w:p w14:paraId="75B17D75" w14:textId="77777777" w:rsidR="0082400F" w:rsidRDefault="00000000" w:rsidP="00AB249C">
      <w:pPr>
        <w:spacing w:after="120" w:line="480" w:lineRule="auto"/>
      </w:pPr>
      <w:r>
        <w:rPr>
          <w:b/>
          <w:bCs/>
        </w:rPr>
        <w:t xml:space="preserve">Single site, single clinician. </w:t>
      </w:r>
      <w:r>
        <w:t>This raises serious questions about therapist effects. We can't tell what's the protocol versus what's this particular clinician.</w:t>
      </w:r>
    </w:p>
    <w:p w14:paraId="1A586905" w14:textId="77777777" w:rsidR="00AB249C" w:rsidRDefault="00AB249C" w:rsidP="00AB249C">
      <w:pPr>
        <w:spacing w:after="120" w:line="480" w:lineRule="auto"/>
      </w:pPr>
    </w:p>
    <w:p w14:paraId="3526FB00" w14:textId="77777777" w:rsidR="0082400F" w:rsidRDefault="00000000" w:rsidP="00AB249C">
      <w:pPr>
        <w:spacing w:after="120" w:line="480" w:lineRule="auto"/>
      </w:pPr>
      <w:r>
        <w:rPr>
          <w:b/>
          <w:bCs/>
        </w:rPr>
        <w:lastRenderedPageBreak/>
        <w:t xml:space="preserve">Group size. </w:t>
      </w:r>
      <w:r>
        <w:t>The expansion from 12 to 16–20 was justified on efficiency grounds, but it's not empirically grounded. Larger groups may dilute the therapeutic relationship and individualised attention.</w:t>
      </w:r>
    </w:p>
    <w:p w14:paraId="3377EE77" w14:textId="0F176EE4" w:rsidR="0082400F" w:rsidRDefault="00000000" w:rsidP="00AB249C">
      <w:pPr>
        <w:pStyle w:val="Heading2"/>
        <w:spacing w:line="480" w:lineRule="auto"/>
      </w:pPr>
      <w:r>
        <w:t xml:space="preserve">6c. Limitations — Measurement and Statistics </w:t>
      </w:r>
    </w:p>
    <w:p w14:paraId="1B041F4D" w14:textId="77777777" w:rsidR="0082400F" w:rsidRDefault="00000000" w:rsidP="00AB249C">
      <w:pPr>
        <w:spacing w:after="120" w:line="480" w:lineRule="auto"/>
      </w:pPr>
      <w:r>
        <w:rPr>
          <w:b/>
          <w:bCs/>
        </w:rPr>
        <w:t xml:space="preserve">All self-report. </w:t>
      </w:r>
      <w:r>
        <w:t xml:space="preserve">Every single outcome is a questionnaire the participant fills in themselves. Self-report measures like the BDI-II, GAD-7 and BAI are vulnerable to social desirability bias, demand characteristics, and the simple fact that people who've just spent five weeks being taught to relate to their distress differently may </w:t>
      </w:r>
      <w:r>
        <w:rPr>
          <w:i/>
          <w:iCs/>
        </w:rPr>
        <w:t>report</w:t>
      </w:r>
      <w:r>
        <w:t xml:space="preserve"> it differently, even if their underlying state hasn't changed as much. Van Dam et al. (2018), in their now-classic </w:t>
      </w:r>
      <w:r>
        <w:rPr>
          <w:i/>
          <w:iCs/>
        </w:rPr>
        <w:t>Mind the Hype</w:t>
      </w:r>
      <w:r>
        <w:t xml:space="preserve"> paper, argue forcefully that the field's overreliance on self-report has led to systematically inflated effects.</w:t>
      </w:r>
    </w:p>
    <w:p w14:paraId="3C12FA5E" w14:textId="77777777" w:rsidR="00AB249C" w:rsidRDefault="00AB249C" w:rsidP="00AB249C">
      <w:pPr>
        <w:spacing w:after="120" w:line="480" w:lineRule="auto"/>
      </w:pPr>
    </w:p>
    <w:p w14:paraId="08319F2C" w14:textId="77777777" w:rsidR="0082400F" w:rsidRDefault="00000000" w:rsidP="00AB249C">
      <w:pPr>
        <w:spacing w:after="120" w:line="480" w:lineRule="auto"/>
      </w:pPr>
      <w:r>
        <w:rPr>
          <w:b/>
          <w:bCs/>
        </w:rPr>
        <w:t xml:space="preserve">Mixing the BDI and BDI-II. </w:t>
      </w:r>
      <w:r>
        <w:t>The original BDI and the revised BDI-II are not interchangeable — they have different items, different scoring, different cut-offs. Pooling them in a single analysis is methodologically questionable and the authors don't really justify it.</w:t>
      </w:r>
    </w:p>
    <w:p w14:paraId="236A2110" w14:textId="77777777" w:rsidR="00AB249C" w:rsidRDefault="00AB249C" w:rsidP="00AB249C">
      <w:pPr>
        <w:spacing w:after="120" w:line="480" w:lineRule="auto"/>
      </w:pPr>
    </w:p>
    <w:p w14:paraId="72B4186C" w14:textId="3BE4F736" w:rsidR="0082400F" w:rsidRDefault="00000000" w:rsidP="00AB249C">
      <w:pPr>
        <w:spacing w:after="120" w:line="480" w:lineRule="auto"/>
      </w:pPr>
      <w:r>
        <w:rPr>
          <w:b/>
          <w:bCs/>
        </w:rPr>
        <w:t xml:space="preserve">Statistical tests. </w:t>
      </w:r>
      <w:r>
        <w:t xml:space="preserve">Paired-samples t-tests are appropriate for pre-post comparisons, but they don't model individual change </w:t>
      </w:r>
      <w:r w:rsidR="000239CF">
        <w:t>trajectories,</w:t>
      </w:r>
      <w:r>
        <w:t xml:space="preserve"> and they don't control for baseline severity. With six primary outcomes and no correction for multiple comparisons, the risk of false positives — finding a "significant" result by chance — is real.</w:t>
      </w:r>
    </w:p>
    <w:p w14:paraId="787E9E13" w14:textId="77777777" w:rsidR="00AB249C" w:rsidRDefault="00AB249C" w:rsidP="00AB249C">
      <w:pPr>
        <w:spacing w:after="120" w:line="480" w:lineRule="auto"/>
      </w:pPr>
    </w:p>
    <w:p w14:paraId="0219E558" w14:textId="1C96AAB8" w:rsidR="0082400F" w:rsidRDefault="00000000" w:rsidP="00AB249C">
      <w:pPr>
        <w:spacing w:after="120" w:line="480" w:lineRule="auto"/>
      </w:pPr>
      <w:r>
        <w:rPr>
          <w:b/>
          <w:bCs/>
        </w:rPr>
        <w:t xml:space="preserve">Reported effect sizes are larger than meta-analytic benchmarks. </w:t>
      </w:r>
      <w:r>
        <w:t xml:space="preserve">Goldberg et al. (2018), in their meta-analysis of 142 randomised controlled trials in psychiatric samples, reported post-treatment effects against active comparators of around 0.23 to 0.35 — considerably smaller than the near-1.0 figures reported here. Schumer et al. (2018), in their meta-analysis of 65 brief mindfulness trials, </w:t>
      </w:r>
      <w:r>
        <w:lastRenderedPageBreak/>
        <w:t xml:space="preserve">found that </w:t>
      </w:r>
      <w:r>
        <w:rPr>
          <w:i/>
          <w:iCs/>
        </w:rPr>
        <w:t>after correcting for publication bias</w:t>
      </w:r>
      <w:r>
        <w:t xml:space="preserve"> — that's the tendency for journals to publish positive results and not negative ones — the effect on negative affectivity dropped to a Hedges' g of just 0.04. That's basically zero. </w:t>
      </w:r>
      <w:r w:rsidR="000239CF">
        <w:t>So,</w:t>
      </w:r>
      <w:r>
        <w:t xml:space="preserve"> Burgess et al.'s effect sizes of 0.95 and 1.16 in an uncontrolled pilot of 54 should not be taken at face value. They should be treated as a ceiling estimate that almost any properly controlled trial would shrink.</w:t>
      </w:r>
    </w:p>
    <w:p w14:paraId="3E728AA9" w14:textId="77777777" w:rsidR="00AB249C" w:rsidRDefault="00AB249C" w:rsidP="00AB249C">
      <w:pPr>
        <w:spacing w:after="120" w:line="480" w:lineRule="auto"/>
      </w:pPr>
    </w:p>
    <w:p w14:paraId="3680090E" w14:textId="1105DDF9" w:rsidR="0082400F" w:rsidRDefault="00000000" w:rsidP="00AB249C">
      <w:pPr>
        <w:pStyle w:val="Heading2"/>
        <w:spacing w:line="480" w:lineRule="auto"/>
      </w:pPr>
      <w:r>
        <w:t>6d. Limitations — Sample, Diversity and Generalisability</w:t>
      </w:r>
    </w:p>
    <w:p w14:paraId="68E83EBE" w14:textId="19E9BB24" w:rsidR="0082400F" w:rsidRDefault="00000000" w:rsidP="00AB249C">
      <w:pPr>
        <w:spacing w:after="120" w:line="480" w:lineRule="auto"/>
      </w:pPr>
      <w:r>
        <w:t xml:space="preserve">The sample was 77.8% Caucasian, mostly female, mean age 47, in a specialist Toronto clinic with physician referrals. Eichel et al. (2021), in their systematic review of mindfulness research, found this is essentially the modal mindfulness research sample — predominantly white, middle-aged, highly educated women — and they argue this represents a serious failure of representativeness across the field. </w:t>
      </w:r>
      <w:r w:rsidR="000239CF">
        <w:t>So,</w:t>
      </w:r>
      <w:r>
        <w:t xml:space="preserve"> Burgess et al. are not unusually bad here, but they replicate an existing problem rather than addressing it. As a methodological judgement, it is difficult to see how findings from this sample can be straightforwardly generalised to a broader population.</w:t>
      </w:r>
    </w:p>
    <w:p w14:paraId="31F69103" w14:textId="77777777" w:rsidR="00AB249C" w:rsidRDefault="00AB249C" w:rsidP="00AB249C">
      <w:pPr>
        <w:spacing w:after="120" w:line="480" w:lineRule="auto"/>
      </w:pPr>
    </w:p>
    <w:p w14:paraId="30BBFC01" w14:textId="29215554" w:rsidR="0082400F" w:rsidRDefault="00000000" w:rsidP="00AB249C">
      <w:pPr>
        <w:pStyle w:val="Heading2"/>
        <w:spacing w:line="480" w:lineRule="auto"/>
      </w:pPr>
      <w:r>
        <w:t>6e. Ethics and Clinical Implications</w:t>
      </w:r>
    </w:p>
    <w:p w14:paraId="36BF8B4E" w14:textId="77777777" w:rsidR="0082400F" w:rsidRDefault="00000000" w:rsidP="00AB249C">
      <w:pPr>
        <w:spacing w:after="120" w:line="480" w:lineRule="auto"/>
      </w:pPr>
      <w:r>
        <w:t>A few ethical points.</w:t>
      </w:r>
    </w:p>
    <w:p w14:paraId="57FDF325" w14:textId="77777777" w:rsidR="00AB249C" w:rsidRDefault="00AB249C" w:rsidP="00AB249C">
      <w:pPr>
        <w:spacing w:after="120" w:line="480" w:lineRule="auto"/>
      </w:pPr>
    </w:p>
    <w:p w14:paraId="6D4FFA1D" w14:textId="77777777" w:rsidR="0082400F" w:rsidRDefault="00000000" w:rsidP="00AB249C">
      <w:pPr>
        <w:spacing w:after="120" w:line="480" w:lineRule="auto"/>
      </w:pPr>
      <w:r>
        <w:rPr>
          <w:b/>
          <w:bCs/>
        </w:rPr>
        <w:t xml:space="preserve">Adverse effects. </w:t>
      </w:r>
      <w:r>
        <w:t xml:space="preserve">Meditation-related adverse effects in mindfulness-based programmes are well documented and should be monitored routinely. Britton et al. (2021), using structured interviews with mindfulness programme participants, found that 83% reported at least one adverse meditation-related experience, and 37% reported effects that negatively impacted their functioning. Cebolla et al. (2017) — which the authors do cite — raised similar concerns. The Burgess et al. study reports no </w:t>
      </w:r>
      <w:r>
        <w:lastRenderedPageBreak/>
        <w:t>systematic harm monitoring, which is a notable gap for any intervention being positioned at a population level.</w:t>
      </w:r>
    </w:p>
    <w:p w14:paraId="303B0F04" w14:textId="77777777" w:rsidR="0082400F" w:rsidRDefault="00000000" w:rsidP="00AB249C">
      <w:pPr>
        <w:spacing w:after="120" w:line="480" w:lineRule="auto"/>
      </w:pPr>
      <w:r>
        <w:rPr>
          <w:b/>
          <w:bCs/>
        </w:rPr>
        <w:t xml:space="preserve">Consent and screening. </w:t>
      </w:r>
      <w:r>
        <w:t>The exclusion criteria handle the most serious risks — psychosis, mania, active suicidality — but the paper doesn't describe consent procedures in depth, and I'd want to know how participants who didn't meet the GAD-7 threshold were redirected.</w:t>
      </w:r>
    </w:p>
    <w:p w14:paraId="0CF0A7ED" w14:textId="77777777" w:rsidR="00AB249C" w:rsidRDefault="00AB249C" w:rsidP="00AB249C">
      <w:pPr>
        <w:spacing w:after="120" w:line="480" w:lineRule="auto"/>
      </w:pPr>
    </w:p>
    <w:p w14:paraId="64BBD641" w14:textId="77777777" w:rsidR="0082400F" w:rsidRDefault="00000000" w:rsidP="00AB249C">
      <w:pPr>
        <w:spacing w:after="120" w:line="480" w:lineRule="auto"/>
      </w:pPr>
      <w:r>
        <w:rPr>
          <w:b/>
          <w:bCs/>
        </w:rPr>
        <w:t xml:space="preserve">The "population-level" claim and stepped-care. </w:t>
      </w:r>
      <w:r>
        <w:t>In the UK, NHS Talking Therapies operates a stepped-care model where lower-intensity interventions come first. Recovery rates hover around 50% of treatment completers, but as low as 26% if you include everyone who started treatment, and dropout is a serious issue (Burke et al., 2025). Importing an abbreviated MBCT into that system based on a 54-person uncontrolled pilot would be premature. The infrastructure question — who delivers it, with what supervision, to whom — is not answered here.</w:t>
      </w:r>
    </w:p>
    <w:p w14:paraId="0FC461F3" w14:textId="77777777" w:rsidR="00AB249C" w:rsidRDefault="00AB249C" w:rsidP="00AB249C">
      <w:pPr>
        <w:spacing w:after="120" w:line="480" w:lineRule="auto"/>
      </w:pPr>
    </w:p>
    <w:p w14:paraId="15177899" w14:textId="77777777" w:rsidR="0082400F" w:rsidRDefault="00000000" w:rsidP="00AB249C">
      <w:pPr>
        <w:spacing w:after="120" w:line="480" w:lineRule="auto"/>
      </w:pPr>
      <w:r>
        <w:rPr>
          <w:b/>
          <w:bCs/>
        </w:rPr>
        <w:t xml:space="preserve">Funding. </w:t>
      </w:r>
      <w:r>
        <w:t>The study was funded by Joseph Brant Hospital. Not a major conflict, but worth noting that institutional funding can subtly shape what gets published and how positively it's framed.</w:t>
      </w:r>
    </w:p>
    <w:p w14:paraId="04137928" w14:textId="77777777" w:rsidR="00AB249C" w:rsidRDefault="00AB249C" w:rsidP="00AB249C">
      <w:pPr>
        <w:spacing w:after="120" w:line="480" w:lineRule="auto"/>
      </w:pPr>
    </w:p>
    <w:p w14:paraId="2BC947AD" w14:textId="63337196" w:rsidR="0082400F" w:rsidRDefault="00000000" w:rsidP="00AB249C">
      <w:pPr>
        <w:pStyle w:val="Heading1"/>
        <w:spacing w:line="480" w:lineRule="auto"/>
      </w:pPr>
      <w:r>
        <w:t xml:space="preserve">7. Conclusion — Recap, Future Directions, Open Questions </w:t>
      </w:r>
    </w:p>
    <w:p w14:paraId="28ED4E76" w14:textId="77777777" w:rsidR="0082400F" w:rsidRDefault="00000000" w:rsidP="00AB249C">
      <w:pPr>
        <w:spacing w:after="120" w:line="480" w:lineRule="auto"/>
      </w:pPr>
      <w:r>
        <w:t>So, pulling it together.</w:t>
      </w:r>
    </w:p>
    <w:p w14:paraId="12FC7CBA" w14:textId="77777777" w:rsidR="00AB249C" w:rsidRDefault="00AB249C" w:rsidP="00AB249C">
      <w:pPr>
        <w:spacing w:after="120" w:line="480" w:lineRule="auto"/>
      </w:pPr>
    </w:p>
    <w:p w14:paraId="32E7D484" w14:textId="77777777" w:rsidR="0082400F" w:rsidRDefault="00000000" w:rsidP="00AB249C">
      <w:pPr>
        <w:spacing w:after="120" w:line="480" w:lineRule="auto"/>
      </w:pPr>
      <w:r>
        <w:t xml:space="preserve">Burgess et al. (2021) is a genuinely interesting clinical pilot. Its contributions — the explicit self-compassion content, the transdiagnostic AWARE framework, and the careful protocol description — are worth taking seriously. For a counselling practitioner, there's real food for thought here about </w:t>
      </w:r>
      <w:r>
        <w:lastRenderedPageBreak/>
        <w:t>how mindfulness might be delivered more efficiently and whether self-compassion deserves more direct attention as a therapeutic target.</w:t>
      </w:r>
    </w:p>
    <w:p w14:paraId="550DC282" w14:textId="77777777" w:rsidR="00AB249C" w:rsidRDefault="00AB249C" w:rsidP="00AB249C">
      <w:pPr>
        <w:spacing w:after="120" w:line="480" w:lineRule="auto"/>
      </w:pPr>
    </w:p>
    <w:p w14:paraId="02D0A905" w14:textId="77777777" w:rsidR="0082400F" w:rsidRDefault="00000000" w:rsidP="00AB249C">
      <w:pPr>
        <w:spacing w:after="120" w:line="480" w:lineRule="auto"/>
      </w:pPr>
      <w:r>
        <w:t>But in my view, the headline claim — that this constitutes evidence for a population-level strategy — may overreach what a 54-person, single-site, single-clinician, uncontrolled pre-post study can firmly support. The effect sizes look impressive, but they are likely inflated by the uncontrolled design, self-report measurement, regression-to-the-mean risk, and expectancy effects. The wider literature — Galante et al. (2021), Goldberg et al. (2018), Schumer et al. (2018), and Van Dam et al. (2018) — would all lead us to expect that a properly controlled trial would produce considerably smaller numbers.</w:t>
      </w:r>
    </w:p>
    <w:p w14:paraId="7422666D" w14:textId="77777777" w:rsidR="00AB249C" w:rsidRDefault="00AB249C" w:rsidP="00AB249C">
      <w:pPr>
        <w:spacing w:after="120" w:line="480" w:lineRule="auto"/>
      </w:pPr>
    </w:p>
    <w:p w14:paraId="19F0C8DC" w14:textId="31A26198" w:rsidR="0082400F" w:rsidRDefault="000239CF" w:rsidP="00AB249C">
      <w:pPr>
        <w:spacing w:after="120" w:line="480" w:lineRule="auto"/>
      </w:pPr>
      <w:r>
        <w:t>So, what would I want to see next?</w:t>
      </w:r>
    </w:p>
    <w:p w14:paraId="45566190" w14:textId="529546F2" w:rsidR="0082400F" w:rsidRDefault="00000000" w:rsidP="00AB249C">
      <w:pPr>
        <w:pStyle w:val="ListParagraph"/>
        <w:numPr>
          <w:ilvl w:val="0"/>
          <w:numId w:val="2"/>
        </w:numPr>
        <w:spacing w:after="80" w:line="480" w:lineRule="auto"/>
      </w:pPr>
      <w:r>
        <w:t>First, a randomised controlled trial with an active comparator to rule out non-specific effects.</w:t>
      </w:r>
    </w:p>
    <w:p w14:paraId="1DE9A04A" w14:textId="77777777" w:rsidR="0082400F" w:rsidRDefault="00000000" w:rsidP="00AB249C">
      <w:pPr>
        <w:pStyle w:val="ListParagraph"/>
        <w:numPr>
          <w:ilvl w:val="0"/>
          <w:numId w:val="2"/>
        </w:numPr>
        <w:spacing w:after="80" w:line="480" w:lineRule="auto"/>
      </w:pPr>
      <w:r>
        <w:t>Second, a follow-up at six and twelve months to see whether effects hold up.</w:t>
      </w:r>
    </w:p>
    <w:p w14:paraId="26B6FB98" w14:textId="77777777" w:rsidR="0082400F" w:rsidRDefault="00000000" w:rsidP="00AB249C">
      <w:pPr>
        <w:pStyle w:val="ListParagraph"/>
        <w:numPr>
          <w:ilvl w:val="0"/>
          <w:numId w:val="2"/>
        </w:numPr>
        <w:spacing w:after="80" w:line="480" w:lineRule="auto"/>
      </w:pPr>
      <w:r>
        <w:t>Third, intent-to-treat analysis — meaning all participants who start the programme are included in the statistics, not just those who completed it, which gives a more honest picture of real-world effectiveness.</w:t>
      </w:r>
    </w:p>
    <w:p w14:paraId="54DEBF59" w14:textId="77777777" w:rsidR="0082400F" w:rsidRDefault="00000000" w:rsidP="00AB249C">
      <w:pPr>
        <w:pStyle w:val="ListParagraph"/>
        <w:numPr>
          <w:ilvl w:val="0"/>
          <w:numId w:val="2"/>
        </w:numPr>
        <w:spacing w:after="80" w:line="480" w:lineRule="auto"/>
      </w:pPr>
      <w:r>
        <w:t>Fourth, structured monitoring of adverse events, using something like the Meditation Experiences Interview developed by Britton et al. (2021).</w:t>
      </w:r>
    </w:p>
    <w:p w14:paraId="005F9DF7" w14:textId="77777777" w:rsidR="0082400F" w:rsidRDefault="00000000" w:rsidP="00AB249C">
      <w:pPr>
        <w:pStyle w:val="ListParagraph"/>
        <w:numPr>
          <w:ilvl w:val="0"/>
          <w:numId w:val="2"/>
        </w:numPr>
        <w:spacing w:after="80" w:line="480" w:lineRule="auto"/>
      </w:pPr>
      <w:r>
        <w:t>Fifth, deliberate recruitment from groups that are typically underrepresented in this literature.</w:t>
      </w:r>
    </w:p>
    <w:p w14:paraId="0D64CEF3" w14:textId="77777777" w:rsidR="00AB249C" w:rsidRDefault="00AB249C" w:rsidP="00AB249C">
      <w:pPr>
        <w:spacing w:after="80" w:line="480" w:lineRule="auto"/>
      </w:pPr>
    </w:p>
    <w:p w14:paraId="66C42E5C" w14:textId="77777777" w:rsidR="00AB249C" w:rsidRDefault="00000000" w:rsidP="00AB249C">
      <w:pPr>
        <w:spacing w:after="120" w:line="480" w:lineRule="auto"/>
      </w:pPr>
      <w:r>
        <w:lastRenderedPageBreak/>
        <w:t>And the open question I'd leave you with is this: is "brief" automatically "better" for population-level access, or does shrinking the dose risk shrinking the very mechanisms — the patient time, the practice, the therapeutic relationship — that make MBCT work in the first place? Until we see proper RCTs, that question stays open.</w:t>
      </w:r>
      <w:r w:rsidR="00AB249C">
        <w:t xml:space="preserve"> </w:t>
      </w:r>
    </w:p>
    <w:p w14:paraId="1ACCB4EC" w14:textId="2A2BA0CA" w:rsidR="0082400F" w:rsidRDefault="00000000" w:rsidP="00AB249C">
      <w:pPr>
        <w:spacing w:after="120" w:line="480" w:lineRule="auto"/>
      </w:pPr>
      <w:r>
        <w:t xml:space="preserve">Thank you. </w:t>
      </w:r>
    </w:p>
    <w:p w14:paraId="1453CD71" w14:textId="77777777" w:rsidR="00AB249C" w:rsidRDefault="00AB249C">
      <w:pPr>
        <w:rPr>
          <w:b/>
          <w:bCs/>
          <w:color w:val="1F3864"/>
          <w:sz w:val="30"/>
          <w:szCs w:val="30"/>
        </w:rPr>
      </w:pPr>
      <w:r>
        <w:br w:type="page"/>
      </w:r>
    </w:p>
    <w:p w14:paraId="1DF96990" w14:textId="4635ADA8" w:rsidR="0082400F" w:rsidRDefault="00000000" w:rsidP="00B64555">
      <w:pPr>
        <w:pStyle w:val="Heading1"/>
        <w:jc w:val="center"/>
      </w:pPr>
      <w:r>
        <w:lastRenderedPageBreak/>
        <w:t>References</w:t>
      </w:r>
    </w:p>
    <w:p w14:paraId="045381B2" w14:textId="0DBD1B4C" w:rsidR="0082400F" w:rsidRDefault="00000000" w:rsidP="00B64555">
      <w:pPr>
        <w:spacing w:after="160" w:line="480" w:lineRule="auto"/>
        <w:ind w:left="720" w:hanging="720"/>
        <w:contextualSpacing/>
      </w:pPr>
      <w:r>
        <w:t xml:space="preserve">Britton, W. B., Lindahl, J. R., Cooper, D. J., Canby, N. K., &amp; Palitsky, R. (2021). Defining and measuring meditation-related adverse effects in mindfulness-based programs. </w:t>
      </w:r>
      <w:r>
        <w:rPr>
          <w:i/>
          <w:iCs/>
        </w:rPr>
        <w:t>Clinical Psychological Science, 9</w:t>
      </w:r>
      <w:r>
        <w:t xml:space="preserve">(6), 1185–1204. </w:t>
      </w:r>
      <w:hyperlink r:id="rId6" w:history="1">
        <w:r w:rsidR="00B64555" w:rsidRPr="00CF7E32">
          <w:rPr>
            <w:rStyle w:val="Hyperlink"/>
          </w:rPr>
          <w:t>https://doi.org/10.1177/2167702621996340</w:t>
        </w:r>
      </w:hyperlink>
      <w:r w:rsidR="00B64555">
        <w:t xml:space="preserve"> </w:t>
      </w:r>
    </w:p>
    <w:p w14:paraId="12A34EFA" w14:textId="77A434C6" w:rsidR="0082400F" w:rsidRDefault="00000000" w:rsidP="00B64555">
      <w:pPr>
        <w:spacing w:after="160" w:line="480" w:lineRule="auto"/>
        <w:ind w:left="720" w:hanging="720"/>
        <w:contextualSpacing/>
      </w:pPr>
      <w:bookmarkStart w:id="0" w:name="_Int_3w8dcUQ7"/>
      <w:r>
        <w:t>Burgess, E. E., Selchen, S., Diplock, B. D., &amp; Rector, N. A. (2021).</w:t>
      </w:r>
      <w:bookmarkEnd w:id="0"/>
      <w:r>
        <w:t xml:space="preserve"> A brief mindfulness-based cognitive therapy (MBCT) intervention as a population-level strategy for anxiety and depression. </w:t>
      </w:r>
      <w:r>
        <w:rPr>
          <w:i/>
          <w:iCs/>
        </w:rPr>
        <w:t>International Journal of Cognitive Therapy, 14</w:t>
      </w:r>
      <w:r>
        <w:t xml:space="preserve">, 380–398. </w:t>
      </w:r>
      <w:hyperlink r:id="rId7" w:history="1">
        <w:r w:rsidR="00B64555" w:rsidRPr="00CF7E32">
          <w:rPr>
            <w:rStyle w:val="Hyperlink"/>
          </w:rPr>
          <w:t>https://doi.org/10.1007/s41811-021-00105-x</w:t>
        </w:r>
      </w:hyperlink>
      <w:r w:rsidR="00B64555">
        <w:t xml:space="preserve"> </w:t>
      </w:r>
    </w:p>
    <w:p w14:paraId="1E1980F9" w14:textId="43E20612" w:rsidR="0082400F" w:rsidRDefault="00000000" w:rsidP="00B64555">
      <w:pPr>
        <w:spacing w:after="160" w:line="480" w:lineRule="auto"/>
        <w:ind w:left="720" w:hanging="720"/>
        <w:contextualSpacing/>
      </w:pPr>
      <w:r>
        <w:t xml:space="preserve">Burke, A., Bachmann, M., Jones, C. E. L., Brainard, J., Shabuz, Z. R., Dalton, A. M., Cullum, R., &amp; Steel, N. (2025). Recovery, completion and further referral after Improving Access to Psychological Therapies in Norfolk and Waveney. </w:t>
      </w:r>
      <w:r>
        <w:rPr>
          <w:i/>
          <w:iCs/>
        </w:rPr>
        <w:t>BJPsych Open, 11</w:t>
      </w:r>
      <w:r>
        <w:t xml:space="preserve">, e151. </w:t>
      </w:r>
      <w:hyperlink r:id="rId8" w:history="1">
        <w:r w:rsidR="00B64555" w:rsidRPr="00CF7E32">
          <w:rPr>
            <w:rStyle w:val="Hyperlink"/>
          </w:rPr>
          <w:t>https://doi.org/10.1192/bjo.2025.10045</w:t>
        </w:r>
      </w:hyperlink>
      <w:r w:rsidR="00B64555">
        <w:t xml:space="preserve"> </w:t>
      </w:r>
    </w:p>
    <w:p w14:paraId="5375941E" w14:textId="3C8E294B" w:rsidR="0082400F" w:rsidRDefault="00000000" w:rsidP="00B64555">
      <w:pPr>
        <w:spacing w:after="160" w:line="480" w:lineRule="auto"/>
        <w:ind w:left="720" w:hanging="720"/>
        <w:contextualSpacing/>
      </w:pPr>
      <w:r>
        <w:t xml:space="preserve">Cebolla, A., Demarzo, M., Martins, P., Soler, J., &amp; Garcia-Campayo, J. (2017). Unwanted effects: Is there a negative side of meditation? A multicentre survey. </w:t>
      </w:r>
      <w:r>
        <w:rPr>
          <w:i/>
          <w:iCs/>
        </w:rPr>
        <w:t>PLoS ONE, 12</w:t>
      </w:r>
      <w:r>
        <w:t xml:space="preserve">(9), e0183137. </w:t>
      </w:r>
      <w:hyperlink r:id="rId9" w:history="1">
        <w:r w:rsidR="00B64555" w:rsidRPr="00CF7E32">
          <w:rPr>
            <w:rStyle w:val="Hyperlink"/>
          </w:rPr>
          <w:t>https://doi.org/10.1371/journal.pone.0183137</w:t>
        </w:r>
      </w:hyperlink>
      <w:r w:rsidR="00B64555">
        <w:t xml:space="preserve"> </w:t>
      </w:r>
    </w:p>
    <w:p w14:paraId="60C01D8F" w14:textId="77777777" w:rsidR="0082400F" w:rsidRDefault="00000000" w:rsidP="00B64555">
      <w:pPr>
        <w:spacing w:after="160" w:line="480" w:lineRule="auto"/>
        <w:ind w:left="720" w:hanging="720"/>
        <w:contextualSpacing/>
      </w:pPr>
      <w:r>
        <w:t xml:space="preserve">Cohen, J. (1988). </w:t>
      </w:r>
      <w:r>
        <w:rPr>
          <w:i/>
          <w:iCs/>
        </w:rPr>
        <w:t>Statistical power analysis for the behavioral sciences</w:t>
      </w:r>
      <w:r>
        <w:t xml:space="preserve"> (2nd ed.). Lawrence Erlbaum Associates.</w:t>
      </w:r>
    </w:p>
    <w:p w14:paraId="453AEEE9" w14:textId="01772FF6" w:rsidR="0082400F" w:rsidRDefault="00000000" w:rsidP="00B64555">
      <w:pPr>
        <w:spacing w:after="160" w:line="480" w:lineRule="auto"/>
        <w:ind w:left="720" w:hanging="720"/>
        <w:contextualSpacing/>
      </w:pPr>
      <w:r>
        <w:t xml:space="preserve">Eichel, K., Gawande, R., Acabchuk, R. L., Palitsky, R., Chau, S., Pham, A., Cheaito, A., Yam, D., Lipo, J., Rich, A., Lazar, S. W., Schuman-Olivier, Z., Britton, W. B., Loucks, E. B., &amp; Fulwiler, C. (2021). A retrospective systematic review of diversity variables in mindfulness research, 2000–2016. </w:t>
      </w:r>
      <w:r>
        <w:rPr>
          <w:i/>
          <w:iCs/>
        </w:rPr>
        <w:t>Mindfulness, 12</w:t>
      </w:r>
      <w:r>
        <w:t xml:space="preserve">, 2573–2592. </w:t>
      </w:r>
      <w:hyperlink r:id="rId10" w:history="1">
        <w:r w:rsidR="00B64555" w:rsidRPr="00CF7E32">
          <w:rPr>
            <w:rStyle w:val="Hyperlink"/>
          </w:rPr>
          <w:t>https://doi.org/10.1007/s12671-021-01715-4</w:t>
        </w:r>
      </w:hyperlink>
      <w:r w:rsidR="00B64555">
        <w:t xml:space="preserve"> </w:t>
      </w:r>
    </w:p>
    <w:p w14:paraId="00EC3312" w14:textId="4D02C1F4" w:rsidR="0082400F" w:rsidRDefault="00000000" w:rsidP="00B64555">
      <w:pPr>
        <w:spacing w:after="160" w:line="480" w:lineRule="auto"/>
        <w:ind w:left="720" w:hanging="720"/>
        <w:contextualSpacing/>
      </w:pPr>
      <w:r>
        <w:t xml:space="preserve">Galante, J., Friedrich, C., Dawson, A. F., Modrego-Alarcón, M., Gebbing, P., Delgado-Suárez, I., Gupta, R., Dean, L., Dalgleish, T., White, I. R., &amp; Jones, P. B. (2021). Mindfulness-based programmes for mental health promotion in adults in nonclinical settings: A systematic review and meta-analysis of randomised controlled trials. </w:t>
      </w:r>
      <w:r>
        <w:rPr>
          <w:i/>
          <w:iCs/>
        </w:rPr>
        <w:t>PLoS Medicine, 18</w:t>
      </w:r>
      <w:r>
        <w:t xml:space="preserve">(1), e1003481. </w:t>
      </w:r>
      <w:hyperlink r:id="rId11" w:history="1">
        <w:r w:rsidR="00B64555" w:rsidRPr="00CF7E32">
          <w:rPr>
            <w:rStyle w:val="Hyperlink"/>
          </w:rPr>
          <w:t>https://doi.org/10.1371/journal.pmed.1003481</w:t>
        </w:r>
      </w:hyperlink>
      <w:r w:rsidR="00B64555">
        <w:t xml:space="preserve"> </w:t>
      </w:r>
    </w:p>
    <w:p w14:paraId="006FE587" w14:textId="075B7DC7" w:rsidR="0082400F" w:rsidRDefault="00000000" w:rsidP="00B64555">
      <w:pPr>
        <w:spacing w:after="160" w:line="480" w:lineRule="auto"/>
        <w:ind w:left="720" w:hanging="720"/>
        <w:contextualSpacing/>
      </w:pPr>
      <w:r>
        <w:lastRenderedPageBreak/>
        <w:t xml:space="preserve">Goldberg, S. B., Tucker, R. P., Greene, P. A., Davidson, R. J., Wampold, B. E., Kearney, D. J., &amp; Simpson, T. L. (2018). Mindfulness-based interventions for psychiatric disorders: A systematic review and meta-analysis. </w:t>
      </w:r>
      <w:r>
        <w:rPr>
          <w:i/>
          <w:iCs/>
        </w:rPr>
        <w:t>Clinical Psychology Review, 59</w:t>
      </w:r>
      <w:r>
        <w:t xml:space="preserve">, 52–60. </w:t>
      </w:r>
      <w:hyperlink r:id="rId12" w:history="1">
        <w:r w:rsidR="00B64555" w:rsidRPr="00CF7E32">
          <w:rPr>
            <w:rStyle w:val="Hyperlink"/>
          </w:rPr>
          <w:t>https://doi.org/10.1016/j.cpr.2017.10.011</w:t>
        </w:r>
      </w:hyperlink>
      <w:r w:rsidR="00B64555">
        <w:t xml:space="preserve"> </w:t>
      </w:r>
    </w:p>
    <w:p w14:paraId="5FC5110F" w14:textId="5E29FC62" w:rsidR="0082400F" w:rsidRDefault="00000000" w:rsidP="00B64555">
      <w:pPr>
        <w:spacing w:after="160" w:line="480" w:lineRule="auto"/>
        <w:ind w:left="720" w:hanging="720"/>
        <w:contextualSpacing/>
      </w:pPr>
      <w:r>
        <w:t xml:space="preserve">Kuyken, W., Watkins, E., Holden, E., White, K., Taylor, R. S., Byford, S., Evans, A., Radford, S., Teasdale, J. D., &amp; Dalgleish, T. (2010). How does mindfulness-based cognitive therapy work? </w:t>
      </w:r>
      <w:r>
        <w:rPr>
          <w:i/>
          <w:iCs/>
        </w:rPr>
        <w:t>Behaviour Research and Therapy, 48</w:t>
      </w:r>
      <w:r>
        <w:t xml:space="preserve">(11), 1105–1112. </w:t>
      </w:r>
      <w:hyperlink r:id="rId13" w:history="1">
        <w:r w:rsidR="00B64555" w:rsidRPr="00CF7E32">
          <w:rPr>
            <w:rStyle w:val="Hyperlink"/>
          </w:rPr>
          <w:t>https://doi.org/10.1016/j.brat.2010.08.003</w:t>
        </w:r>
      </w:hyperlink>
      <w:r w:rsidR="00B64555">
        <w:t xml:space="preserve"> </w:t>
      </w:r>
    </w:p>
    <w:p w14:paraId="262C4773" w14:textId="7679A10C" w:rsidR="0082400F" w:rsidRDefault="00000000" w:rsidP="00B64555">
      <w:pPr>
        <w:spacing w:after="160" w:line="480" w:lineRule="auto"/>
        <w:ind w:left="720" w:hanging="720"/>
        <w:contextualSpacing/>
      </w:pPr>
      <w:r>
        <w:t xml:space="preserve">Marsden, E., &amp; Torgerson, C. J. (2012). Single group, pre- and post-test research designs: Some methodological concerns. </w:t>
      </w:r>
      <w:r>
        <w:rPr>
          <w:i/>
          <w:iCs/>
        </w:rPr>
        <w:t>Oxford Review of Education, 38</w:t>
      </w:r>
      <w:r>
        <w:t xml:space="preserve">(5), 583–616. </w:t>
      </w:r>
      <w:hyperlink r:id="rId14" w:history="1">
        <w:r w:rsidR="00B64555" w:rsidRPr="00CF7E32">
          <w:rPr>
            <w:rStyle w:val="Hyperlink"/>
          </w:rPr>
          <w:t>https://doi.org/10.1080/03054985.2012.731208</w:t>
        </w:r>
      </w:hyperlink>
      <w:r w:rsidR="00B64555">
        <w:t xml:space="preserve"> </w:t>
      </w:r>
    </w:p>
    <w:p w14:paraId="0BBDCD97" w14:textId="5B8A3E07" w:rsidR="0082400F" w:rsidRDefault="00000000" w:rsidP="00B64555">
      <w:pPr>
        <w:spacing w:after="160" w:line="480" w:lineRule="auto"/>
        <w:ind w:left="720" w:hanging="720"/>
        <w:contextualSpacing/>
      </w:pPr>
      <w:r>
        <w:t xml:space="preserve">Schumer, M. C., Lindsay, E. K., &amp; Creswell, J. D. (2018). Brief mindfulness training for negative affectivity: A systematic review and meta-analysis. </w:t>
      </w:r>
      <w:r>
        <w:rPr>
          <w:i/>
          <w:iCs/>
        </w:rPr>
        <w:t>Journal of Consulting and Clinical Psychology, 86</w:t>
      </w:r>
      <w:r>
        <w:t xml:space="preserve">(7), 569–583. </w:t>
      </w:r>
      <w:hyperlink r:id="rId15" w:history="1">
        <w:r w:rsidR="00B64555" w:rsidRPr="00CF7E32">
          <w:rPr>
            <w:rStyle w:val="Hyperlink"/>
          </w:rPr>
          <w:t>https://doi.org/10.1037/ccp0000324</w:t>
        </w:r>
      </w:hyperlink>
      <w:r w:rsidR="00B64555">
        <w:t xml:space="preserve"> </w:t>
      </w:r>
    </w:p>
    <w:p w14:paraId="0B84BFEC" w14:textId="77777777" w:rsidR="0082400F" w:rsidRDefault="00000000" w:rsidP="00B64555">
      <w:pPr>
        <w:spacing w:after="160" w:line="480" w:lineRule="auto"/>
        <w:ind w:left="720" w:hanging="720"/>
        <w:contextualSpacing/>
      </w:pPr>
      <w:r>
        <w:t xml:space="preserve">Segal, Z. V., Williams, J. M. G., &amp; Teasdale, J. D. (2013). </w:t>
      </w:r>
      <w:r>
        <w:rPr>
          <w:i/>
          <w:iCs/>
        </w:rPr>
        <w:t>Mindfulness-based cognitive therapy for depression</w:t>
      </w:r>
      <w:r>
        <w:t xml:space="preserve"> (2nd ed.). Guilford Press.</w:t>
      </w:r>
    </w:p>
    <w:p w14:paraId="7EC37EB2" w14:textId="040F5E66" w:rsidR="0082400F" w:rsidRDefault="00000000" w:rsidP="00B64555">
      <w:pPr>
        <w:spacing w:after="160" w:line="480" w:lineRule="auto"/>
        <w:ind w:left="720" w:hanging="720"/>
        <w:contextualSpacing/>
      </w:pPr>
      <w:r>
        <w:t xml:space="preserve">Van Dam, N. T., van Vugt, M. K., Vago, D. R., Schmalzl, L., Saron, C. D., Olendzki, A., Meissner, T., Lazar, S. W., Kerr, C. E., Gorchov, J., Fox, K. C. R., Field, B. A., Britton, W. B., Brefczynski-Lewis, J. A., &amp; Meyer, D. E. (2018). Mind the hype: A critical evaluation and prescriptive agenda for research on mindfulness and meditation. </w:t>
      </w:r>
      <w:r>
        <w:rPr>
          <w:i/>
          <w:iCs/>
        </w:rPr>
        <w:t>Perspectives on Psychological Science, 13</w:t>
      </w:r>
      <w:r>
        <w:t xml:space="preserve">(1), 36–61. </w:t>
      </w:r>
      <w:hyperlink r:id="rId16" w:history="1">
        <w:r w:rsidR="00B64555" w:rsidRPr="00CF7E32">
          <w:rPr>
            <w:rStyle w:val="Hyperlink"/>
          </w:rPr>
          <w:t>https://doi.org/10.1177/1745691617709589</w:t>
        </w:r>
      </w:hyperlink>
      <w:r w:rsidR="00B64555">
        <w:t xml:space="preserve"> </w:t>
      </w:r>
    </w:p>
    <w:sectPr w:rsidR="0082400F">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3w8dcUQ7" int2:invalidationBookmarkName="" int2:hashCode="vBhawlDeUd3B/c" int2:id="Zq22oaee">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F3DBB"/>
    <w:multiLevelType w:val="hybridMultilevel"/>
    <w:tmpl w:val="DA9881D4"/>
    <w:lvl w:ilvl="0" w:tplc="424CCC52">
      <w:start w:val="1"/>
      <w:numFmt w:val="bullet"/>
      <w:lvlText w:val="●"/>
      <w:lvlJc w:val="left"/>
      <w:pPr>
        <w:ind w:left="720" w:hanging="360"/>
      </w:pPr>
    </w:lvl>
    <w:lvl w:ilvl="1" w:tplc="15A47904">
      <w:start w:val="1"/>
      <w:numFmt w:val="bullet"/>
      <w:lvlText w:val="○"/>
      <w:lvlJc w:val="left"/>
      <w:pPr>
        <w:ind w:left="1440" w:hanging="360"/>
      </w:pPr>
    </w:lvl>
    <w:lvl w:ilvl="2" w:tplc="2E5E3496">
      <w:start w:val="1"/>
      <w:numFmt w:val="bullet"/>
      <w:lvlText w:val="■"/>
      <w:lvlJc w:val="left"/>
      <w:pPr>
        <w:ind w:left="2160" w:hanging="360"/>
      </w:pPr>
    </w:lvl>
    <w:lvl w:ilvl="3" w:tplc="AF70CEDC">
      <w:start w:val="1"/>
      <w:numFmt w:val="bullet"/>
      <w:lvlText w:val="●"/>
      <w:lvlJc w:val="left"/>
      <w:pPr>
        <w:ind w:left="2880" w:hanging="360"/>
      </w:pPr>
    </w:lvl>
    <w:lvl w:ilvl="4" w:tplc="618C9682">
      <w:start w:val="1"/>
      <w:numFmt w:val="bullet"/>
      <w:lvlText w:val="○"/>
      <w:lvlJc w:val="left"/>
      <w:pPr>
        <w:ind w:left="3600" w:hanging="360"/>
      </w:pPr>
    </w:lvl>
    <w:lvl w:ilvl="5" w:tplc="80B4E860">
      <w:start w:val="1"/>
      <w:numFmt w:val="bullet"/>
      <w:lvlText w:val="■"/>
      <w:lvlJc w:val="left"/>
      <w:pPr>
        <w:ind w:left="4320" w:hanging="360"/>
      </w:pPr>
    </w:lvl>
    <w:lvl w:ilvl="6" w:tplc="49C46002">
      <w:start w:val="1"/>
      <w:numFmt w:val="bullet"/>
      <w:lvlText w:val="●"/>
      <w:lvlJc w:val="left"/>
      <w:pPr>
        <w:ind w:left="5040" w:hanging="360"/>
      </w:pPr>
    </w:lvl>
    <w:lvl w:ilvl="7" w:tplc="B11270E6">
      <w:start w:val="1"/>
      <w:numFmt w:val="bullet"/>
      <w:lvlText w:val="●"/>
      <w:lvlJc w:val="left"/>
      <w:pPr>
        <w:ind w:left="5760" w:hanging="360"/>
      </w:pPr>
    </w:lvl>
    <w:lvl w:ilvl="8" w:tplc="C246AE04">
      <w:start w:val="1"/>
      <w:numFmt w:val="bullet"/>
      <w:lvlText w:val="●"/>
      <w:lvlJc w:val="left"/>
      <w:pPr>
        <w:ind w:left="6480" w:hanging="360"/>
      </w:pPr>
    </w:lvl>
  </w:abstractNum>
  <w:abstractNum w:abstractNumId="1" w15:restartNumberingAfterBreak="0">
    <w:nsid w:val="78692AD1"/>
    <w:multiLevelType w:val="hybridMultilevel"/>
    <w:tmpl w:val="94DE7926"/>
    <w:lvl w:ilvl="0" w:tplc="2BC69F9C">
      <w:start w:val="1"/>
      <w:numFmt w:val="bullet"/>
      <w:lvlText w:val="•"/>
      <w:lvlJc w:val="left"/>
      <w:pPr>
        <w:ind w:left="720" w:hanging="360"/>
      </w:pPr>
    </w:lvl>
    <w:lvl w:ilvl="1" w:tplc="CD027690">
      <w:start w:val="1"/>
      <w:numFmt w:val="bullet"/>
      <w:lvlText w:val="◦"/>
      <w:lvlJc w:val="left"/>
      <w:pPr>
        <w:ind w:left="1440" w:hanging="360"/>
      </w:pPr>
    </w:lvl>
    <w:lvl w:ilvl="2" w:tplc="DBE2EB96">
      <w:numFmt w:val="decimal"/>
      <w:lvlText w:val=""/>
      <w:lvlJc w:val="left"/>
    </w:lvl>
    <w:lvl w:ilvl="3" w:tplc="66148BF6">
      <w:numFmt w:val="decimal"/>
      <w:lvlText w:val=""/>
      <w:lvlJc w:val="left"/>
    </w:lvl>
    <w:lvl w:ilvl="4" w:tplc="C914A884">
      <w:numFmt w:val="decimal"/>
      <w:lvlText w:val=""/>
      <w:lvlJc w:val="left"/>
    </w:lvl>
    <w:lvl w:ilvl="5" w:tplc="56D0D84A">
      <w:numFmt w:val="decimal"/>
      <w:lvlText w:val=""/>
      <w:lvlJc w:val="left"/>
    </w:lvl>
    <w:lvl w:ilvl="6" w:tplc="1968F032">
      <w:numFmt w:val="decimal"/>
      <w:lvlText w:val=""/>
      <w:lvlJc w:val="left"/>
    </w:lvl>
    <w:lvl w:ilvl="7" w:tplc="471EA19E">
      <w:numFmt w:val="decimal"/>
      <w:lvlText w:val=""/>
      <w:lvlJc w:val="left"/>
    </w:lvl>
    <w:lvl w:ilvl="8" w:tplc="D0C25598">
      <w:numFmt w:val="decimal"/>
      <w:lvlText w:val=""/>
      <w:lvlJc w:val="left"/>
    </w:lvl>
  </w:abstractNum>
  <w:num w:numId="1" w16cid:durableId="320548557">
    <w:abstractNumId w:val="0"/>
    <w:lvlOverride w:ilvl="0">
      <w:startOverride w:val="1"/>
    </w:lvlOverride>
  </w:num>
  <w:num w:numId="2" w16cid:durableId="203865835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00F"/>
    <w:rsid w:val="000239CF"/>
    <w:rsid w:val="004863B2"/>
    <w:rsid w:val="00496266"/>
    <w:rsid w:val="006A44C8"/>
    <w:rsid w:val="007A0D51"/>
    <w:rsid w:val="0082400F"/>
    <w:rsid w:val="00AB249C"/>
    <w:rsid w:val="00B64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E05E2"/>
  <w15:docId w15:val="{89C5FC35-4E54-4B95-8513-C8F736A37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1F3864"/>
      <w:sz w:val="30"/>
      <w:szCs w:val="30"/>
    </w:rPr>
  </w:style>
  <w:style w:type="paragraph" w:styleId="Heading2">
    <w:name w:val="heading 2"/>
    <w:uiPriority w:val="9"/>
    <w:unhideWhenUsed/>
    <w:qFormat/>
    <w:pPr>
      <w:spacing w:before="280" w:after="140"/>
      <w:outlineLvl w:val="1"/>
    </w:pPr>
    <w:rPr>
      <w:b/>
      <w:bCs/>
      <w:color w:val="2E75B6"/>
      <w:sz w:val="26"/>
      <w:szCs w:val="26"/>
    </w:rPr>
  </w:style>
  <w:style w:type="paragraph" w:styleId="Heading3">
    <w:name w:val="heading 3"/>
    <w:uiPriority w:val="9"/>
    <w:unhideWhenUsed/>
    <w:qFormat/>
    <w:pPr>
      <w:spacing w:before="200" w:after="100"/>
      <w:outlineLvl w:val="2"/>
    </w:pPr>
    <w:rPr>
      <w:b/>
      <w:bCs/>
      <w:color w:val="404040"/>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B64555"/>
    <w:rPr>
      <w:color w:val="605E5C"/>
      <w:shd w:val="clear" w:color="auto" w:fill="E1DFDD"/>
    </w:rPr>
  </w:style>
  <w:style w:type="character" w:styleId="FollowedHyperlink">
    <w:name w:val="FollowedHyperlink"/>
    <w:basedOn w:val="DefaultParagraphFont"/>
    <w:uiPriority w:val="99"/>
    <w:semiHidden/>
    <w:unhideWhenUsed/>
    <w:rsid w:val="00B6455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192/bjo.2025.10045" TargetMode="External"/><Relationship Id="rId13" Type="http://schemas.openxmlformats.org/officeDocument/2006/relationships/hyperlink" Target="https://doi.org/10.1016/j.brat.2010.08.00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7/s41811-021-00105-x" TargetMode="External"/><Relationship Id="rId12" Type="http://schemas.openxmlformats.org/officeDocument/2006/relationships/hyperlink" Target="https://doi.org/10.1016/j.cpr.2017.10.01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77/1745691617709589" TargetMode="External"/><Relationship Id="rId1" Type="http://schemas.openxmlformats.org/officeDocument/2006/relationships/numbering" Target="numbering.xml"/><Relationship Id="rId6" Type="http://schemas.openxmlformats.org/officeDocument/2006/relationships/hyperlink" Target="https://doi.org/10.1177/2167702621996340" TargetMode="External"/><Relationship Id="rId11" Type="http://schemas.openxmlformats.org/officeDocument/2006/relationships/hyperlink" Target="https://doi.org/10.1371/journal.pmed.1003481" TargetMode="External"/><Relationship Id="rId5" Type="http://schemas.openxmlformats.org/officeDocument/2006/relationships/hyperlink" Target="Slides.pptx" TargetMode="External"/><Relationship Id="rId15" Type="http://schemas.openxmlformats.org/officeDocument/2006/relationships/hyperlink" Target="https://doi.org/10.1037/ccp0000324" TargetMode="External"/><Relationship Id="rId10" Type="http://schemas.openxmlformats.org/officeDocument/2006/relationships/hyperlink" Target="https://doi.org/10.1007/s12671-021-01715-4"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doi.org/10.1371/journal.pone.0183137" TargetMode="External"/><Relationship Id="rId14" Type="http://schemas.openxmlformats.org/officeDocument/2006/relationships/hyperlink" Target="https://doi.org/10.1080/03054985.2012.731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3243</Words>
  <Characters>18486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Critical Review Presentation Script - Burgess et al. 2021</vt:lpstr>
    </vt:vector>
  </TitlesOfParts>
  <Company/>
  <LinksUpToDate>false</LinksUpToDate>
  <CharactersWithSpaces>21686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Review Presentation Script - Burgess et al. 2021</dc:title>
  <dc:creator>Claude</dc:creator>
  <cp:lastModifiedBy>Al Evans (2416173)</cp:lastModifiedBy>
  <cp:revision>4</cp:revision>
  <dcterms:created xsi:type="dcterms:W3CDTF">2026-05-06T21:40:00Z</dcterms:created>
  <dcterms:modified xsi:type="dcterms:W3CDTF">2026-05-06T22:23:00Z</dcterms:modified>
</cp:coreProperties>
</file>