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33C273E" w14:textId="77777777" w:rsidR="006856C4" w:rsidRDefault="006856C4" w:rsidP="00D72FE5">
      <w:pPr>
        <w:spacing w:line="240" w:lineRule="auto"/>
        <w:rPr>
          <w:b/>
          <w:bCs/>
          <w:sz w:val="44"/>
          <w:szCs w:val="44"/>
        </w:rPr>
      </w:pPr>
    </w:p>
    <w:p w14:paraId="30B4C025" w14:textId="77777777" w:rsidR="006856C4" w:rsidRDefault="006856C4" w:rsidP="00D72FE5">
      <w:pPr>
        <w:spacing w:line="240" w:lineRule="auto"/>
        <w:rPr>
          <w:b/>
          <w:bCs/>
          <w:sz w:val="36"/>
          <w:szCs w:val="36"/>
        </w:rPr>
      </w:pPr>
    </w:p>
    <w:p w14:paraId="2CD8D707" w14:textId="77777777" w:rsidR="006856C4" w:rsidRDefault="006856C4" w:rsidP="00D72FE5">
      <w:pPr>
        <w:spacing w:line="240" w:lineRule="auto"/>
        <w:rPr>
          <w:b/>
          <w:bCs/>
          <w:sz w:val="36"/>
          <w:szCs w:val="36"/>
        </w:rPr>
      </w:pPr>
    </w:p>
    <w:p w14:paraId="71ED20E5" w14:textId="3180227D" w:rsidR="006856C4" w:rsidRPr="009D7257" w:rsidRDefault="006856C4" w:rsidP="006856C4">
      <w:pPr>
        <w:shd w:val="clear" w:color="auto" w:fill="FFFFFF"/>
        <w:spacing w:after="372" w:line="240" w:lineRule="auto"/>
        <w:rPr>
          <w:rFonts w:ascii="Arial" w:eastAsia="Times New Roman" w:hAnsi="Arial" w:cs="Arial"/>
          <w:b/>
          <w:bCs/>
          <w:color w:val="000000" w:themeColor="text1"/>
          <w:sz w:val="40"/>
          <w:szCs w:val="40"/>
          <w:lang w:val="en-GB"/>
        </w:rPr>
      </w:pPr>
      <w:r w:rsidRPr="00FF55B2">
        <w:rPr>
          <w:rFonts w:ascii="Arial" w:eastAsia="Times New Roman" w:hAnsi="Arial" w:cs="Arial"/>
          <w:b/>
          <w:bCs/>
          <w:color w:val="0F1115"/>
          <w:sz w:val="40"/>
          <w:szCs w:val="40"/>
          <w:lang w:val="en-GB"/>
        </w:rPr>
        <w:t xml:space="preserve">Student Name: </w:t>
      </w:r>
      <w:r w:rsidR="009D7257">
        <w:rPr>
          <w:rFonts w:ascii="Arial" w:eastAsia="Times New Roman" w:hAnsi="Arial" w:cs="Arial"/>
          <w:b/>
          <w:bCs/>
          <w:color w:val="000000" w:themeColor="text1"/>
          <w:sz w:val="48"/>
          <w:szCs w:val="48"/>
          <w:lang w:val="en-GB"/>
        </w:rPr>
        <w:t>Ufuoma Peace Adjuya</w:t>
      </w:r>
    </w:p>
    <w:p w14:paraId="3113DEAA" w14:textId="7BCF5BEC" w:rsidR="006856C4" w:rsidRPr="00FF55B2" w:rsidRDefault="006856C4" w:rsidP="006856C4">
      <w:pPr>
        <w:shd w:val="clear" w:color="auto" w:fill="FFFFFF"/>
        <w:spacing w:after="372" w:line="240" w:lineRule="auto"/>
        <w:rPr>
          <w:rFonts w:ascii="Arial" w:eastAsia="Times New Roman" w:hAnsi="Arial" w:cs="Arial"/>
          <w:b/>
          <w:bCs/>
          <w:color w:val="0F1115"/>
          <w:sz w:val="40"/>
          <w:szCs w:val="40"/>
          <w:lang w:val="en-GB"/>
        </w:rPr>
      </w:pPr>
      <w:r w:rsidRPr="00FF55B2">
        <w:rPr>
          <w:rFonts w:ascii="Arial" w:eastAsia="Times New Roman" w:hAnsi="Arial" w:cs="Arial"/>
          <w:b/>
          <w:bCs/>
          <w:color w:val="0F1115"/>
          <w:sz w:val="40"/>
          <w:szCs w:val="40"/>
          <w:lang w:val="en-GB"/>
        </w:rPr>
        <w:t xml:space="preserve">Student ID Number: </w:t>
      </w:r>
      <w:r w:rsidR="006B10B3" w:rsidRPr="00156F3D">
        <w:rPr>
          <w:rFonts w:ascii="Arial" w:eastAsia="Times New Roman" w:hAnsi="Arial" w:cs="Arial"/>
          <w:b/>
          <w:bCs/>
          <w:color w:val="000000" w:themeColor="text1"/>
          <w:sz w:val="48"/>
          <w:szCs w:val="48"/>
          <w:lang w:val="en-GB"/>
        </w:rPr>
        <w:t>2</w:t>
      </w:r>
      <w:r w:rsidR="00156F3D">
        <w:rPr>
          <w:rFonts w:ascii="Arial" w:eastAsia="Times New Roman" w:hAnsi="Arial" w:cs="Arial"/>
          <w:b/>
          <w:bCs/>
          <w:color w:val="000000" w:themeColor="text1"/>
          <w:sz w:val="48"/>
          <w:szCs w:val="48"/>
          <w:lang w:val="en-GB"/>
        </w:rPr>
        <w:t>5</w:t>
      </w:r>
      <w:r w:rsidR="006B10B3" w:rsidRPr="00156F3D">
        <w:rPr>
          <w:rFonts w:ascii="Arial" w:eastAsia="Times New Roman" w:hAnsi="Arial" w:cs="Arial"/>
          <w:b/>
          <w:bCs/>
          <w:color w:val="000000" w:themeColor="text1"/>
          <w:sz w:val="48"/>
          <w:szCs w:val="48"/>
          <w:lang w:val="en-GB"/>
        </w:rPr>
        <w:t>111</w:t>
      </w:r>
      <w:r w:rsidR="00156F3D">
        <w:rPr>
          <w:rFonts w:ascii="Arial" w:eastAsia="Times New Roman" w:hAnsi="Arial" w:cs="Arial"/>
          <w:b/>
          <w:bCs/>
          <w:color w:val="000000" w:themeColor="text1"/>
          <w:sz w:val="48"/>
          <w:szCs w:val="48"/>
          <w:lang w:val="en-GB"/>
        </w:rPr>
        <w:t>4</w:t>
      </w:r>
      <w:r w:rsidR="006B10B3" w:rsidRPr="00156F3D">
        <w:rPr>
          <w:rFonts w:ascii="Arial" w:eastAsia="Times New Roman" w:hAnsi="Arial" w:cs="Arial"/>
          <w:b/>
          <w:bCs/>
          <w:color w:val="000000" w:themeColor="text1"/>
          <w:sz w:val="48"/>
          <w:szCs w:val="48"/>
          <w:lang w:val="en-GB"/>
        </w:rPr>
        <w:t>7</w:t>
      </w:r>
    </w:p>
    <w:p w14:paraId="6251E1C5" w14:textId="77777777" w:rsidR="006856C4" w:rsidRPr="00FF55B2" w:rsidRDefault="006856C4" w:rsidP="006856C4">
      <w:pPr>
        <w:shd w:val="clear" w:color="auto" w:fill="FFFFFF"/>
        <w:spacing w:after="372" w:line="240" w:lineRule="auto"/>
        <w:rPr>
          <w:rFonts w:ascii="Arial" w:eastAsia="Times New Roman" w:hAnsi="Arial" w:cs="Arial"/>
          <w:b/>
          <w:bCs/>
          <w:color w:val="0F1115"/>
          <w:sz w:val="40"/>
          <w:szCs w:val="40"/>
          <w:lang w:val="en-GB"/>
        </w:rPr>
      </w:pPr>
      <w:r w:rsidRPr="00FF55B2">
        <w:rPr>
          <w:rFonts w:ascii="Arial" w:eastAsia="Times New Roman" w:hAnsi="Arial" w:cs="Arial"/>
          <w:b/>
          <w:bCs/>
          <w:color w:val="0F1115"/>
          <w:sz w:val="40"/>
          <w:szCs w:val="40"/>
          <w:lang w:val="en-GB"/>
        </w:rPr>
        <w:t xml:space="preserve">Programme: </w:t>
      </w:r>
      <w:r w:rsidRPr="00FF55B2">
        <w:rPr>
          <w:rFonts w:ascii="Arial" w:eastAsia="Times New Roman" w:hAnsi="Arial" w:cs="Arial"/>
          <w:b/>
          <w:bCs/>
          <w:color w:val="0F1115"/>
          <w:sz w:val="48"/>
          <w:szCs w:val="48"/>
          <w:lang w:val="en-GB"/>
        </w:rPr>
        <w:t>Certificate of Higher Education Skills for the Workplace (Health and Social Care)</w:t>
      </w:r>
    </w:p>
    <w:p w14:paraId="7A4F1D60" w14:textId="77777777" w:rsidR="006856C4" w:rsidRPr="00FF55B2" w:rsidRDefault="006856C4" w:rsidP="006856C4">
      <w:pPr>
        <w:shd w:val="clear" w:color="auto" w:fill="FFFFFF"/>
        <w:spacing w:after="372" w:line="240" w:lineRule="auto"/>
        <w:rPr>
          <w:rFonts w:ascii="Arial" w:eastAsia="Times New Roman" w:hAnsi="Arial" w:cs="Arial"/>
          <w:b/>
          <w:bCs/>
          <w:color w:val="0F1115"/>
          <w:sz w:val="40"/>
          <w:szCs w:val="40"/>
          <w:lang w:val="en-GB"/>
        </w:rPr>
      </w:pPr>
      <w:r w:rsidRPr="00FF55B2">
        <w:rPr>
          <w:rFonts w:ascii="Arial" w:eastAsia="Times New Roman" w:hAnsi="Arial" w:cs="Arial"/>
          <w:b/>
          <w:bCs/>
          <w:color w:val="0F1115"/>
          <w:sz w:val="40"/>
          <w:szCs w:val="40"/>
          <w:lang w:val="en-GB"/>
        </w:rPr>
        <w:t xml:space="preserve">Module Code and Title: </w:t>
      </w:r>
      <w:r w:rsidRPr="00FF55B2">
        <w:rPr>
          <w:rFonts w:ascii="Arial" w:eastAsia="Times New Roman" w:hAnsi="Arial" w:cs="Arial"/>
          <w:b/>
          <w:bCs/>
          <w:color w:val="0F1115"/>
          <w:sz w:val="48"/>
          <w:szCs w:val="48"/>
          <w:lang w:val="en-GB"/>
        </w:rPr>
        <w:t>LCHS 4008 – Introduction to Public Health</w:t>
      </w:r>
    </w:p>
    <w:p w14:paraId="4826F1C6" w14:textId="77777777" w:rsidR="006856C4" w:rsidRPr="00FF55B2" w:rsidRDefault="006856C4" w:rsidP="006856C4">
      <w:pPr>
        <w:shd w:val="clear" w:color="auto" w:fill="FFFFFF"/>
        <w:spacing w:after="372" w:line="240" w:lineRule="auto"/>
        <w:rPr>
          <w:rFonts w:ascii="Arial" w:eastAsia="Times New Roman" w:hAnsi="Arial" w:cs="Arial"/>
          <w:b/>
          <w:bCs/>
          <w:color w:val="0F1115"/>
          <w:sz w:val="40"/>
          <w:szCs w:val="40"/>
          <w:lang w:val="en-GB"/>
        </w:rPr>
      </w:pPr>
      <w:r w:rsidRPr="00FF55B2">
        <w:rPr>
          <w:rFonts w:ascii="Arial" w:eastAsia="Times New Roman" w:hAnsi="Arial" w:cs="Arial"/>
          <w:b/>
          <w:bCs/>
          <w:color w:val="0F1115"/>
          <w:sz w:val="40"/>
          <w:szCs w:val="40"/>
          <w:lang w:val="en-GB"/>
        </w:rPr>
        <w:t xml:space="preserve">Lecturer: </w:t>
      </w:r>
      <w:r w:rsidRPr="00FF55B2">
        <w:rPr>
          <w:rFonts w:ascii="Arial" w:eastAsia="Times New Roman" w:hAnsi="Arial" w:cs="Arial"/>
          <w:b/>
          <w:bCs/>
          <w:color w:val="0F1115"/>
          <w:sz w:val="48"/>
          <w:szCs w:val="48"/>
          <w:lang w:val="en-GB"/>
        </w:rPr>
        <w:t>Jolly Nwankwo</w:t>
      </w:r>
    </w:p>
    <w:p w14:paraId="19160330" w14:textId="55BE3093" w:rsidR="006856C4" w:rsidRPr="00FF55B2" w:rsidRDefault="006856C4" w:rsidP="006856C4">
      <w:pPr>
        <w:shd w:val="clear" w:color="auto" w:fill="FFFFFF"/>
        <w:spacing w:after="372" w:line="240" w:lineRule="auto"/>
        <w:rPr>
          <w:rFonts w:ascii="Arial" w:eastAsia="Times New Roman" w:hAnsi="Arial" w:cs="Arial"/>
          <w:b/>
          <w:bCs/>
          <w:color w:val="0F1115"/>
          <w:sz w:val="40"/>
          <w:szCs w:val="40"/>
          <w:lang w:val="en-GB"/>
        </w:rPr>
      </w:pPr>
      <w:r w:rsidRPr="00FF55B2">
        <w:rPr>
          <w:rFonts w:ascii="Arial" w:eastAsia="Times New Roman" w:hAnsi="Arial" w:cs="Arial"/>
          <w:b/>
          <w:bCs/>
          <w:color w:val="0F1115"/>
          <w:sz w:val="40"/>
          <w:szCs w:val="40"/>
          <w:lang w:val="en-GB"/>
        </w:rPr>
        <w:t xml:space="preserve">Assignment Title: </w:t>
      </w:r>
      <w:r w:rsidRPr="00FF55B2">
        <w:rPr>
          <w:rFonts w:ascii="Arial" w:eastAsia="Times New Roman" w:hAnsi="Arial" w:cs="Arial"/>
          <w:b/>
          <w:bCs/>
          <w:color w:val="0F1115"/>
          <w:sz w:val="48"/>
          <w:szCs w:val="48"/>
          <w:lang w:val="en-GB"/>
        </w:rPr>
        <w:t>Assessment 2 – Report on a Health Issue (</w:t>
      </w:r>
      <w:r>
        <w:rPr>
          <w:rFonts w:ascii="Arial" w:eastAsia="Times New Roman" w:hAnsi="Arial" w:cs="Arial"/>
          <w:b/>
          <w:bCs/>
          <w:color w:val="0F1115"/>
          <w:sz w:val="48"/>
          <w:szCs w:val="48"/>
          <w:lang w:val="en-GB"/>
        </w:rPr>
        <w:t>Dementia</w:t>
      </w:r>
      <w:r w:rsidRPr="00FF55B2">
        <w:rPr>
          <w:rFonts w:ascii="Arial" w:eastAsia="Times New Roman" w:hAnsi="Arial" w:cs="Arial"/>
          <w:b/>
          <w:bCs/>
          <w:color w:val="0F1115"/>
          <w:sz w:val="48"/>
          <w:szCs w:val="48"/>
          <w:lang w:val="en-GB"/>
        </w:rPr>
        <w:t>)</w:t>
      </w:r>
    </w:p>
    <w:p w14:paraId="7C84FC22" w14:textId="09AF05A5" w:rsidR="006856C4" w:rsidRPr="00FF55B2" w:rsidRDefault="006856C4" w:rsidP="006856C4">
      <w:pPr>
        <w:shd w:val="clear" w:color="auto" w:fill="FFFFFF"/>
        <w:spacing w:after="372" w:line="240" w:lineRule="auto"/>
        <w:rPr>
          <w:rFonts w:ascii="Arial" w:eastAsia="Times New Roman" w:hAnsi="Arial" w:cs="Arial"/>
          <w:b/>
          <w:bCs/>
          <w:color w:val="0F1115"/>
          <w:sz w:val="40"/>
          <w:szCs w:val="40"/>
          <w:lang w:val="en-GB"/>
        </w:rPr>
      </w:pPr>
      <w:r w:rsidRPr="00FF55B2">
        <w:rPr>
          <w:rFonts w:ascii="Arial" w:eastAsia="Times New Roman" w:hAnsi="Arial" w:cs="Arial"/>
          <w:b/>
          <w:bCs/>
          <w:color w:val="0F1115"/>
          <w:sz w:val="40"/>
          <w:szCs w:val="40"/>
          <w:lang w:val="en-GB"/>
        </w:rPr>
        <w:t xml:space="preserve">Word Count: </w:t>
      </w:r>
      <w:r w:rsidRPr="00FF55B2">
        <w:rPr>
          <w:rFonts w:ascii="Arial" w:eastAsia="Times New Roman" w:hAnsi="Arial" w:cs="Arial"/>
          <w:b/>
          <w:bCs/>
          <w:color w:val="0F1115"/>
          <w:sz w:val="48"/>
          <w:szCs w:val="48"/>
          <w:lang w:val="en-GB"/>
        </w:rPr>
        <w:t>1</w:t>
      </w:r>
      <w:r>
        <w:rPr>
          <w:rFonts w:ascii="Arial" w:eastAsia="Times New Roman" w:hAnsi="Arial" w:cs="Arial"/>
          <w:b/>
          <w:bCs/>
          <w:color w:val="0F1115"/>
          <w:sz w:val="48"/>
          <w:szCs w:val="48"/>
          <w:lang w:val="en-GB"/>
        </w:rPr>
        <w:t>453</w:t>
      </w:r>
      <w:r w:rsidRPr="00FF55B2">
        <w:rPr>
          <w:rFonts w:ascii="Arial" w:eastAsia="Times New Roman" w:hAnsi="Arial" w:cs="Arial"/>
          <w:b/>
          <w:bCs/>
          <w:color w:val="0F1115"/>
          <w:sz w:val="48"/>
          <w:szCs w:val="48"/>
          <w:lang w:val="en-GB"/>
        </w:rPr>
        <w:t xml:space="preserve"> words</w:t>
      </w:r>
    </w:p>
    <w:p w14:paraId="14C9B14B" w14:textId="4F020F31" w:rsidR="006856C4" w:rsidRPr="00FF55B2" w:rsidRDefault="006856C4" w:rsidP="006856C4">
      <w:pPr>
        <w:shd w:val="clear" w:color="auto" w:fill="FFFFFF"/>
        <w:spacing w:after="372" w:line="240" w:lineRule="auto"/>
        <w:rPr>
          <w:rFonts w:ascii="Arial" w:eastAsia="Times New Roman" w:hAnsi="Arial" w:cs="Arial"/>
          <w:b/>
          <w:bCs/>
          <w:color w:val="0F1115"/>
          <w:sz w:val="40"/>
          <w:szCs w:val="40"/>
          <w:lang w:val="en-GB"/>
        </w:rPr>
      </w:pPr>
      <w:r w:rsidRPr="00FF55B2">
        <w:rPr>
          <w:rFonts w:ascii="Arial" w:eastAsia="Times New Roman" w:hAnsi="Arial" w:cs="Arial"/>
          <w:b/>
          <w:bCs/>
          <w:color w:val="0F1115"/>
          <w:sz w:val="40"/>
          <w:szCs w:val="40"/>
          <w:lang w:val="en-GB"/>
        </w:rPr>
        <w:t>Submission Date</w:t>
      </w:r>
      <w:r w:rsidR="00156F3D">
        <w:rPr>
          <w:rFonts w:ascii="Arial" w:eastAsia="Times New Roman" w:hAnsi="Arial" w:cs="Arial"/>
          <w:b/>
          <w:bCs/>
          <w:color w:val="0F1115"/>
          <w:sz w:val="40"/>
          <w:szCs w:val="40"/>
          <w:lang w:val="en-GB"/>
        </w:rPr>
        <w:t xml:space="preserve">: </w:t>
      </w:r>
      <w:r w:rsidRPr="00FF55B2">
        <w:rPr>
          <w:rFonts w:ascii="Arial" w:eastAsia="Times New Roman" w:hAnsi="Arial" w:cs="Arial"/>
          <w:b/>
          <w:bCs/>
          <w:color w:val="0F1115"/>
          <w:sz w:val="48"/>
          <w:szCs w:val="48"/>
          <w:lang w:val="en-GB"/>
        </w:rPr>
        <w:t>April 2026</w:t>
      </w:r>
    </w:p>
    <w:p w14:paraId="351140BB" w14:textId="77777777" w:rsidR="006856C4" w:rsidRDefault="006856C4" w:rsidP="00D72FE5">
      <w:pPr>
        <w:spacing w:line="240" w:lineRule="auto"/>
        <w:rPr>
          <w:b/>
          <w:bCs/>
          <w:sz w:val="36"/>
          <w:szCs w:val="36"/>
        </w:rPr>
      </w:pPr>
    </w:p>
    <w:p w14:paraId="18613002" w14:textId="77777777" w:rsidR="006856C4" w:rsidRDefault="006856C4" w:rsidP="00D72FE5">
      <w:pPr>
        <w:spacing w:line="240" w:lineRule="auto"/>
        <w:rPr>
          <w:b/>
          <w:bCs/>
          <w:sz w:val="36"/>
          <w:szCs w:val="36"/>
        </w:rPr>
      </w:pPr>
    </w:p>
    <w:p w14:paraId="12BCFEDB" w14:textId="77777777" w:rsidR="006856C4" w:rsidRDefault="006856C4" w:rsidP="00D72FE5">
      <w:pPr>
        <w:spacing w:line="240" w:lineRule="auto"/>
        <w:rPr>
          <w:b/>
          <w:bCs/>
          <w:sz w:val="36"/>
          <w:szCs w:val="36"/>
        </w:rPr>
      </w:pPr>
    </w:p>
    <w:p w14:paraId="7FB4421B" w14:textId="77777777" w:rsidR="006856C4" w:rsidRDefault="006856C4" w:rsidP="00D72FE5">
      <w:pPr>
        <w:spacing w:line="240" w:lineRule="auto"/>
        <w:rPr>
          <w:b/>
          <w:bCs/>
          <w:sz w:val="36"/>
          <w:szCs w:val="36"/>
        </w:rPr>
      </w:pPr>
    </w:p>
    <w:p w14:paraId="23D9197E" w14:textId="77777777" w:rsidR="00C507D2" w:rsidRDefault="00C507D2" w:rsidP="00D72FE5">
      <w:pPr>
        <w:spacing w:line="240" w:lineRule="auto"/>
        <w:rPr>
          <w:b/>
          <w:bCs/>
          <w:sz w:val="36"/>
          <w:szCs w:val="36"/>
        </w:rPr>
        <w:sectPr w:rsidR="00C507D2" w:rsidSect="00C507D2">
          <w:footerReference w:type="default" r:id="rId7"/>
          <w:pgSz w:w="11907" w:h="16839" w:code="9"/>
          <w:pgMar w:top="1440" w:right="1440" w:bottom="1440" w:left="1440" w:header="720" w:footer="720" w:gutter="0"/>
          <w:pgNumType w:fmt="lowerRoman" w:start="1"/>
          <w:cols w:space="720"/>
          <w:titlePg/>
          <w:docGrid w:linePitch="360"/>
        </w:sectPr>
      </w:pPr>
    </w:p>
    <w:p w14:paraId="4BAE5A9C" w14:textId="7789E21C" w:rsidR="00667F79" w:rsidRPr="00C507D2" w:rsidRDefault="00667F79" w:rsidP="00C507D2">
      <w:pPr>
        <w:spacing w:line="360" w:lineRule="auto"/>
        <w:rPr>
          <w:rFonts w:ascii="Arial" w:hAnsi="Arial" w:cs="Arial"/>
          <w:b/>
          <w:bCs/>
        </w:rPr>
      </w:pPr>
      <w:r w:rsidRPr="00C507D2">
        <w:rPr>
          <w:rFonts w:ascii="Arial" w:hAnsi="Arial" w:cs="Arial"/>
          <w:b/>
          <w:bCs/>
        </w:rPr>
        <w:t>Introduction</w:t>
      </w:r>
    </w:p>
    <w:p w14:paraId="5E423CFF" w14:textId="18031753" w:rsidR="00D84B8D" w:rsidRPr="00D84B8D" w:rsidRDefault="00D84B8D" w:rsidP="00C507D2">
      <w:pPr>
        <w:spacing w:line="360" w:lineRule="auto"/>
        <w:rPr>
          <w:rFonts w:ascii="Arial" w:hAnsi="Arial" w:cs="Arial"/>
        </w:rPr>
      </w:pPr>
      <w:r w:rsidRPr="00D84B8D">
        <w:rPr>
          <w:rFonts w:ascii="Arial" w:hAnsi="Arial" w:cs="Arial"/>
        </w:rPr>
        <w:t xml:space="preserve">Dementia is a clinical syndrome characterised by progressive cognitive decline that disrupts independent functioning (Bradfield, 2021). It includes Alzheimer's disease (60–70% of cases), vascular dementia, Lewy body dementia, and frontotemporal dementia (NHS Digital, 2025). Some of the signs are memory loss, trouble with language, changes in personality, and confusion. Dementia is the most common cause of death in the UK. In 2025, there were over 68,000 deaths from dementia, which was one in six of all deaths and 2,588 more than expected (Shaw, 2026). According to the Alzheimer's Society (2024), about 900,000 people in the UK have dementia. This number is expected to rise to 1.4 million by 2040. This report </w:t>
      </w:r>
      <w:r w:rsidR="006856C4" w:rsidRPr="00C507D2">
        <w:rPr>
          <w:rFonts w:ascii="Arial" w:hAnsi="Arial" w:cs="Arial"/>
        </w:rPr>
        <w:t>analyses the approaches to dementia monitoring and measurement, evaluating current control strategies, analysing its societal and economic impacts, and deeply assessing the effectiveness of health and social care support services in meeting the needs of affected individuals and their families.</w:t>
      </w:r>
    </w:p>
    <w:p w14:paraId="7AD6E58A" w14:textId="56F05D90" w:rsidR="00667F79" w:rsidRPr="00C507D2" w:rsidRDefault="00667F79" w:rsidP="00C507D2">
      <w:pPr>
        <w:spacing w:after="0" w:line="360" w:lineRule="auto"/>
        <w:rPr>
          <w:rFonts w:ascii="Arial" w:hAnsi="Arial" w:cs="Arial"/>
        </w:rPr>
      </w:pPr>
    </w:p>
    <w:p w14:paraId="2130DB4B" w14:textId="77777777" w:rsidR="00667F79" w:rsidRPr="00C507D2" w:rsidRDefault="00667F79" w:rsidP="00C507D2">
      <w:pPr>
        <w:spacing w:line="360" w:lineRule="auto"/>
        <w:rPr>
          <w:rFonts w:ascii="Arial" w:hAnsi="Arial" w:cs="Arial"/>
          <w:b/>
          <w:bCs/>
        </w:rPr>
      </w:pPr>
      <w:r w:rsidRPr="00C507D2">
        <w:rPr>
          <w:rFonts w:ascii="Arial" w:hAnsi="Arial" w:cs="Arial"/>
          <w:b/>
          <w:bCs/>
        </w:rPr>
        <w:t>Approaches to Measuring and Monitoring Dementia</w:t>
      </w:r>
    </w:p>
    <w:p w14:paraId="6A597EF8" w14:textId="54CA1A79" w:rsidR="00667F79" w:rsidRPr="00C507D2" w:rsidRDefault="00D323DD" w:rsidP="00C507D2">
      <w:pPr>
        <w:spacing w:line="360" w:lineRule="auto"/>
        <w:rPr>
          <w:rFonts w:ascii="Arial" w:hAnsi="Arial" w:cs="Arial"/>
        </w:rPr>
      </w:pPr>
      <w:r w:rsidRPr="00D323DD">
        <w:rPr>
          <w:rFonts w:ascii="Arial" w:hAnsi="Arial" w:cs="Arial"/>
        </w:rPr>
        <w:t>The UK has a thorough, multi-layered system for keeping an eye on dementia. NHS England focuses on diagnosis and care quality, while the Office for National Statistics (ONS) keeps track of deaths and the number of people with dementia in the population. The Primary Care Dementia Data collection is the most important part of this system. It collects data from GP practices all over England (NHS Digital, 2025). This dataset records the percentage of registered patients with a formal diagnosis, which makes it possible to figure out diagnosis rates by comparing them to estimated prevalence models.</w:t>
      </w:r>
    </w:p>
    <w:p w14:paraId="49DB9A07" w14:textId="0566C263" w:rsidR="004C3704" w:rsidRPr="00C507D2" w:rsidRDefault="004C3704" w:rsidP="00C507D2">
      <w:pPr>
        <w:spacing w:line="360" w:lineRule="auto"/>
        <w:rPr>
          <w:rFonts w:ascii="Arial" w:hAnsi="Arial" w:cs="Arial"/>
        </w:rPr>
      </w:pPr>
      <w:r w:rsidRPr="00C507D2">
        <w:rPr>
          <w:rFonts w:ascii="Arial" w:hAnsi="Arial" w:cs="Arial"/>
        </w:rPr>
        <w:t>A series of specific measures are systematically tracked. NHS tracks the number of dementia diagnoses that have been recorded, along with the number of young-onset dementia diagnoses (diagnosed before 65 years of age), newly diagnosed cases (where there has been an increase in the number of newly diagnosed cases) and co-morbidity statistics about dementia patients who have also been diagnosed with diabetes or have had a stroke, high blood pressure or heart problems (NHS Digital, 2025). The collection will also provide information regarding whether the patients are in residential care or private accommodation, how many medicines they have been prescribed and the number of care plans they are given.</w:t>
      </w:r>
    </w:p>
    <w:p w14:paraId="02AC473A" w14:textId="2AD5288B" w:rsidR="00667F79" w:rsidRPr="00C507D2" w:rsidRDefault="004C3704" w:rsidP="00C507D2">
      <w:pPr>
        <w:spacing w:line="360" w:lineRule="auto"/>
        <w:rPr>
          <w:rFonts w:ascii="Arial" w:hAnsi="Arial" w:cs="Arial"/>
        </w:rPr>
      </w:pPr>
      <w:r w:rsidRPr="00C507D2">
        <w:rPr>
          <w:rFonts w:ascii="Arial" w:hAnsi="Arial" w:cs="Arial"/>
        </w:rPr>
        <w:t>The estimated number of dementia diagnoses serves as one of the key performance indicators. In January 2026, there were 510,165 patients with a formal dementia diagnosis in England, with 34,524 (or 6.8 per cent) of those being diagnosed before 65 years of age (NHS Digital, 2026). The monthly updated factsheets from the dementia surveillances show significant variances between the 42 respective Integrated Care Boards (ICBs) throughout England, which supports targeted allocations of resources (Office for Health Improvement and Disparities, 2026).</w:t>
      </w:r>
    </w:p>
    <w:p w14:paraId="4756A541" w14:textId="0DF23312" w:rsidR="004C3704" w:rsidRPr="004C3704" w:rsidRDefault="004C3704" w:rsidP="00C507D2">
      <w:pPr>
        <w:spacing w:line="360" w:lineRule="auto"/>
        <w:rPr>
          <w:rFonts w:ascii="Arial" w:hAnsi="Arial" w:cs="Arial"/>
        </w:rPr>
      </w:pPr>
      <w:r w:rsidRPr="004C3704">
        <w:rPr>
          <w:rFonts w:ascii="Arial" w:hAnsi="Arial" w:cs="Arial"/>
        </w:rPr>
        <w:t xml:space="preserve">Recent developments encompass the utilisation of blood biomarker testing for Alzheimer's pathology. A groundbreaking study from King's College London, published in Nature, utilised the p-tau217 blood test and discovered that 10% of UK adults aged 70 and older exhibit Alzheimer's-like brain changes, indicating that over one million individuals satisfy clinical criteria for emerging treatments (Aarsland </w:t>
      </w:r>
      <w:r w:rsidR="00C507D2" w:rsidRPr="00C507D2">
        <w:rPr>
          <w:rFonts w:ascii="Arial" w:hAnsi="Arial" w:cs="Arial"/>
          <w:i/>
          <w:iCs/>
        </w:rPr>
        <w:t>et al.</w:t>
      </w:r>
      <w:r w:rsidRPr="004C3704">
        <w:rPr>
          <w:rFonts w:ascii="Arial" w:hAnsi="Arial" w:cs="Arial"/>
        </w:rPr>
        <w:t>, 2025).</w:t>
      </w:r>
    </w:p>
    <w:p w14:paraId="26352030" w14:textId="39247985" w:rsidR="00667F79" w:rsidRPr="00C507D2" w:rsidRDefault="00667F79" w:rsidP="00C507D2">
      <w:pPr>
        <w:spacing w:after="0" w:line="360" w:lineRule="auto"/>
        <w:rPr>
          <w:rFonts w:ascii="Arial" w:hAnsi="Arial" w:cs="Arial"/>
        </w:rPr>
      </w:pPr>
    </w:p>
    <w:p w14:paraId="5F209A0B" w14:textId="77777777" w:rsidR="00667F79" w:rsidRPr="00C507D2" w:rsidRDefault="00667F79" w:rsidP="00C507D2">
      <w:pPr>
        <w:spacing w:line="360" w:lineRule="auto"/>
        <w:rPr>
          <w:rFonts w:ascii="Arial" w:hAnsi="Arial" w:cs="Arial"/>
          <w:b/>
          <w:bCs/>
        </w:rPr>
      </w:pPr>
      <w:r w:rsidRPr="00C507D2">
        <w:rPr>
          <w:rFonts w:ascii="Arial" w:hAnsi="Arial" w:cs="Arial"/>
          <w:b/>
          <w:bCs/>
        </w:rPr>
        <w:t>Control Strategies for Dementia</w:t>
      </w:r>
    </w:p>
    <w:p w14:paraId="00C28938" w14:textId="0736142A" w:rsidR="00667F79" w:rsidRPr="00C507D2" w:rsidRDefault="00667F79" w:rsidP="00C507D2">
      <w:pPr>
        <w:spacing w:line="360" w:lineRule="auto"/>
        <w:rPr>
          <w:rFonts w:ascii="Arial" w:hAnsi="Arial" w:cs="Arial"/>
        </w:rPr>
      </w:pPr>
      <w:r w:rsidRPr="00C507D2">
        <w:rPr>
          <w:rFonts w:ascii="Arial" w:hAnsi="Arial" w:cs="Arial"/>
        </w:rPr>
        <w:t xml:space="preserve">Unlike infectious diseases, dementia cannot be controlled through eradication or vaccination. Instead, control strategies focus on risk reduction, early diagnosis, and quality improvement. </w:t>
      </w:r>
      <w:r w:rsidR="00811848" w:rsidRPr="00C507D2">
        <w:rPr>
          <w:rFonts w:ascii="Arial" w:hAnsi="Arial" w:cs="Arial"/>
        </w:rPr>
        <w:t xml:space="preserve">The National Institute for Health and Care Research (NIHR) has created 56 consensus recommendations in four main areas: public health messages; individual-level interventions; population-level interventions; and commissions for research (Demnitz-King </w:t>
      </w:r>
      <w:r w:rsidR="00C507D2" w:rsidRPr="00C507D2">
        <w:rPr>
          <w:rFonts w:ascii="Arial" w:hAnsi="Arial" w:cs="Arial"/>
          <w:i/>
          <w:iCs/>
        </w:rPr>
        <w:t>et al.</w:t>
      </w:r>
      <w:r w:rsidR="00811848" w:rsidRPr="00C507D2">
        <w:rPr>
          <w:rFonts w:ascii="Arial" w:hAnsi="Arial" w:cs="Arial"/>
        </w:rPr>
        <w:t>, 2026).</w:t>
      </w:r>
    </w:p>
    <w:p w14:paraId="4216C811" w14:textId="46C32389" w:rsidR="00667F79" w:rsidRPr="00C507D2" w:rsidRDefault="00811848" w:rsidP="00C507D2">
      <w:pPr>
        <w:spacing w:line="360" w:lineRule="auto"/>
        <w:rPr>
          <w:rFonts w:ascii="Arial" w:hAnsi="Arial" w:cs="Arial"/>
        </w:rPr>
      </w:pPr>
      <w:r w:rsidRPr="00C507D2">
        <w:rPr>
          <w:rFonts w:ascii="Arial" w:hAnsi="Arial" w:cs="Arial"/>
        </w:rPr>
        <w:t xml:space="preserve">Public awareness regarding dementia is slowly growing, with 39% of adults in the UK being aware that they may be able to reduce their risk by 2025, compared to 33% in 2021 (Ipsos, 2025). Modifiable risk factors include high blood pressure, diabetes, not exercising enough, smoking, drinking too much alcohol, being socially isolated, and hearing loss. To prevent additional inequalities, the Nottingham consensus highlights that action needs to be taken for health inequalities within the context of prevention (Demnitz-King </w:t>
      </w:r>
      <w:r w:rsidR="00C507D2" w:rsidRPr="00C507D2">
        <w:rPr>
          <w:rFonts w:ascii="Arial" w:hAnsi="Arial" w:cs="Arial"/>
          <w:i/>
          <w:iCs/>
        </w:rPr>
        <w:t>et al.</w:t>
      </w:r>
      <w:r w:rsidRPr="00C507D2">
        <w:rPr>
          <w:rFonts w:ascii="Arial" w:hAnsi="Arial" w:cs="Arial"/>
        </w:rPr>
        <w:t>, 2026)</w:t>
      </w:r>
      <w:r w:rsidR="00667F79" w:rsidRPr="00C507D2">
        <w:rPr>
          <w:rFonts w:ascii="Arial" w:hAnsi="Arial" w:cs="Arial"/>
        </w:rPr>
        <w:t>.</w:t>
      </w:r>
    </w:p>
    <w:p w14:paraId="7F05F9C8" w14:textId="55A65319" w:rsidR="00667F79" w:rsidRPr="00C507D2" w:rsidRDefault="00811848" w:rsidP="00C507D2">
      <w:pPr>
        <w:spacing w:line="360" w:lineRule="auto"/>
        <w:rPr>
          <w:rFonts w:ascii="Arial" w:hAnsi="Arial" w:cs="Arial"/>
        </w:rPr>
      </w:pPr>
      <w:r w:rsidRPr="00C507D2">
        <w:rPr>
          <w:rFonts w:ascii="Arial" w:hAnsi="Arial" w:cs="Arial"/>
        </w:rPr>
        <w:t>In practice, early diagnosis is still the main way to keep things under control. NHS England's diagnosis rate is at an all-time high, just 0.2% below its national goal (Dementia Community, 2024)</w:t>
      </w:r>
      <w:r w:rsidR="00667F79" w:rsidRPr="00C507D2">
        <w:rPr>
          <w:rFonts w:ascii="Arial" w:hAnsi="Arial" w:cs="Arial"/>
        </w:rPr>
        <w:t>. The NHS urges anyone with concerns to seek GP assessment, as timely diagnosis unlocks treatment, care, and support that helps people manage symptoms and avoid crisis (</w:t>
      </w:r>
      <w:r w:rsidR="008618B2" w:rsidRPr="00C507D2">
        <w:rPr>
          <w:rFonts w:ascii="Arial" w:hAnsi="Arial" w:cs="Arial"/>
        </w:rPr>
        <w:t>Dementia Community, 2024</w:t>
      </w:r>
      <w:r w:rsidR="00667F79" w:rsidRPr="00C507D2">
        <w:rPr>
          <w:rFonts w:ascii="Arial" w:hAnsi="Arial" w:cs="Arial"/>
        </w:rPr>
        <w:t>).</w:t>
      </w:r>
    </w:p>
    <w:p w14:paraId="234C6F82" w14:textId="77777777" w:rsidR="00667F79" w:rsidRPr="00C507D2" w:rsidRDefault="00667F79" w:rsidP="00C507D2">
      <w:pPr>
        <w:spacing w:line="360" w:lineRule="auto"/>
        <w:rPr>
          <w:rFonts w:ascii="Arial" w:hAnsi="Arial" w:cs="Arial"/>
          <w:b/>
          <w:bCs/>
        </w:rPr>
      </w:pPr>
      <w:r w:rsidRPr="00C507D2">
        <w:rPr>
          <w:rFonts w:ascii="Arial" w:hAnsi="Arial" w:cs="Arial"/>
          <w:b/>
          <w:bCs/>
        </w:rPr>
        <w:t>Consequences of Dementia on the Community</w:t>
      </w:r>
    </w:p>
    <w:p w14:paraId="073D007C" w14:textId="77777777" w:rsidR="000B3D9B" w:rsidRPr="00C507D2" w:rsidRDefault="000B3D9B" w:rsidP="00C507D2">
      <w:pPr>
        <w:spacing w:line="360" w:lineRule="auto"/>
        <w:rPr>
          <w:rFonts w:ascii="Arial" w:hAnsi="Arial" w:cs="Arial"/>
        </w:rPr>
      </w:pPr>
      <w:r w:rsidRPr="00C507D2">
        <w:rPr>
          <w:rFonts w:ascii="Arial" w:hAnsi="Arial" w:cs="Arial"/>
        </w:rPr>
        <w:t>The ramifications of dementia are far-reaching; the impact of dementia extends beyond the individual diagnosed with this condition to have a far-reaching effect on their immediate family, social network, and community. There is an overall heavy burden of mortality related to dementia at the population level; dementia was the leading cause of death in the UK in 2025, outpacing cancer and heart disease (Dementia Community, 2024).</w:t>
      </w:r>
    </w:p>
    <w:p w14:paraId="37263413" w14:textId="4A483C3C" w:rsidR="00667F79" w:rsidRPr="00C507D2" w:rsidRDefault="000B3D9B" w:rsidP="00C507D2">
      <w:pPr>
        <w:spacing w:line="360" w:lineRule="auto"/>
        <w:rPr>
          <w:rFonts w:ascii="Arial" w:hAnsi="Arial" w:cs="Arial"/>
        </w:rPr>
      </w:pPr>
      <w:r w:rsidRPr="00C507D2">
        <w:rPr>
          <w:rFonts w:ascii="Arial" w:hAnsi="Arial" w:cs="Arial"/>
        </w:rPr>
        <w:t>At an individual level, dementia progressively robs individuals of their right to be independent, taking away their ability to drive, manage their own finances, shop and prepare food, and eventually needing 24-hour supervision. The mental and emotional toll of dementia on those diagnosed with dementia is profound, leading to conditions such as anxiety, depression, and social isolation. Family members of those diagnosed with dementia also suffer extensive consequences from the diagnosis and progression of dementia. Family members often take on the role of an informal caregiver, giving up their jobs, income, and personal quality of life. Children may have to witness their parent's changing personalities as a result of dementia, while spouses often experience "ambiguous grief," in that they are grieving for a spouse who is still physically present, but slowly disappearing.</w:t>
      </w:r>
    </w:p>
    <w:p w14:paraId="7E627F31" w14:textId="572AA4BA" w:rsidR="00927031" w:rsidRPr="00C507D2" w:rsidRDefault="00927031" w:rsidP="00C507D2">
      <w:pPr>
        <w:spacing w:line="360" w:lineRule="auto"/>
        <w:rPr>
          <w:rFonts w:ascii="Arial" w:hAnsi="Arial" w:cs="Arial"/>
        </w:rPr>
      </w:pPr>
      <w:r w:rsidRPr="00C507D2">
        <w:rPr>
          <w:rFonts w:ascii="Arial" w:hAnsi="Arial" w:cs="Arial"/>
        </w:rPr>
        <w:t>Socially, individuals with dementia often experience great loneliness and isolation due to their lack of confidence in accessing public places; for many, they can also become isolated inside their own homes. The government has developed the Dementia-Friendly Communities programme to address this by enabling bars, cafe, shops, etc., to create an environment that is ‘Dementia-Friendly’ (UK Parliament, 2025).</w:t>
      </w:r>
    </w:p>
    <w:p w14:paraId="108C55A2" w14:textId="202F040D" w:rsidR="00667F79" w:rsidRPr="00C507D2" w:rsidRDefault="00927031" w:rsidP="00C507D2">
      <w:pPr>
        <w:spacing w:line="360" w:lineRule="auto"/>
        <w:rPr>
          <w:rFonts w:ascii="Arial" w:hAnsi="Arial" w:cs="Arial"/>
        </w:rPr>
      </w:pPr>
      <w:r w:rsidRPr="00C507D2">
        <w:rPr>
          <w:rFonts w:ascii="Arial" w:hAnsi="Arial" w:cs="Arial"/>
        </w:rPr>
        <w:t>Economically, the UK’s dementia-related costs are projected to reach £42 billion in 2024, rising to £90 billion by 2040. The economic impact of dementia is driven primarily by excess demand for social care, family and unpaid care, and NHS services. In fact, families carry about 63% of the total cost (Alzheimer’s Society, 2024a). It is further estimated that 33.9% (greater than one-third) of the people with dementia in the UK have not been formally diagnosed (Alzheimer’s Society, 2024b), suggesting that these individuals are not accessing available support which can lead, far too often, to crises and unnecessary hospitalizations.</w:t>
      </w:r>
    </w:p>
    <w:p w14:paraId="4ABEB465" w14:textId="77777777" w:rsidR="00927031" w:rsidRPr="00C507D2" w:rsidRDefault="00927031" w:rsidP="00C507D2">
      <w:pPr>
        <w:spacing w:after="0" w:line="360" w:lineRule="auto"/>
        <w:rPr>
          <w:rFonts w:ascii="Arial" w:hAnsi="Arial" w:cs="Arial"/>
          <w:b/>
          <w:bCs/>
        </w:rPr>
      </w:pPr>
    </w:p>
    <w:p w14:paraId="72BDD0FC" w14:textId="19FE458B" w:rsidR="00667F79" w:rsidRPr="00C507D2" w:rsidRDefault="00667F79" w:rsidP="00C507D2">
      <w:pPr>
        <w:spacing w:line="360" w:lineRule="auto"/>
        <w:rPr>
          <w:rFonts w:ascii="Arial" w:hAnsi="Arial" w:cs="Arial"/>
          <w:b/>
          <w:bCs/>
        </w:rPr>
      </w:pPr>
      <w:r w:rsidRPr="00C507D2">
        <w:rPr>
          <w:rFonts w:ascii="Arial" w:hAnsi="Arial" w:cs="Arial"/>
          <w:b/>
          <w:bCs/>
        </w:rPr>
        <w:t>Required Health and Social Care Support Services</w:t>
      </w:r>
    </w:p>
    <w:p w14:paraId="1E660207" w14:textId="77777777" w:rsidR="006856C4" w:rsidRPr="00C507D2" w:rsidRDefault="006856C4" w:rsidP="00C507D2">
      <w:pPr>
        <w:spacing w:line="360" w:lineRule="auto"/>
        <w:rPr>
          <w:rFonts w:ascii="Arial" w:hAnsi="Arial" w:cs="Arial"/>
        </w:rPr>
      </w:pPr>
      <w:r w:rsidRPr="00C507D2">
        <w:rPr>
          <w:rFonts w:ascii="Arial" w:hAnsi="Arial" w:cs="Arial"/>
        </w:rPr>
        <w:t>An integrated and multidisciplinary approach between health and social care is necessary for meeting the needs of individuals with dementia; however, the adverse effects of this fragmentation are apparent in practice (NICE Guideline NG97, 2018a). The guideline states that care has a considerable amount of variability in terms of service provision and care coordination challenges (NICE, 2018a). The guideline calls for a single named professional to ensure continuity/integration of care (NICE, 2018b), but this approach is experienced inconsistently, mainly due to the impact of workforce shortages and organisational barriers.</w:t>
      </w:r>
    </w:p>
    <w:p w14:paraId="0408AECA" w14:textId="4A689BE3" w:rsidR="00E561D4" w:rsidRPr="00E561D4" w:rsidRDefault="006856C4" w:rsidP="00C507D2">
      <w:pPr>
        <w:spacing w:line="360" w:lineRule="auto"/>
        <w:rPr>
          <w:rFonts w:ascii="Arial" w:hAnsi="Arial" w:cs="Arial"/>
        </w:rPr>
      </w:pPr>
      <w:r w:rsidRPr="00C507D2">
        <w:rPr>
          <w:rFonts w:ascii="Arial" w:hAnsi="Arial" w:cs="Arial"/>
        </w:rPr>
        <w:t>Early diagnosis and continuous management of dementia begins with primary care and memory assessment services; however, there is often a delay in receiving a referral to a specialist memory assessment clinic creating delays to receiving treatment (NHS Digital, 2025). Community Mental Health Teams for Older People play an important role in providing support for people with behavioural/psychological symptoms of dementia; however, due to capacity constraints, these teams often cannot provide long term proactive support. Social care, while mandated by statute, has received considerable criticism for developing a postcode lottery for care where access and quality differ across England &amp; Wales, leading to large numbers of people with dementia lacking home support and assistive technologies until their needs escalate (Alzheimer's Society 2025).</w:t>
      </w:r>
    </w:p>
    <w:p w14:paraId="5C261ED3" w14:textId="77777777" w:rsidR="00E561D4" w:rsidRPr="00E561D4" w:rsidRDefault="00E561D4" w:rsidP="00C507D2">
      <w:pPr>
        <w:spacing w:line="360" w:lineRule="auto"/>
        <w:rPr>
          <w:rFonts w:ascii="Arial" w:hAnsi="Arial" w:cs="Arial"/>
        </w:rPr>
      </w:pPr>
      <w:r w:rsidRPr="00E561D4">
        <w:rPr>
          <w:rFonts w:ascii="Arial" w:hAnsi="Arial" w:cs="Arial"/>
        </w:rPr>
        <w:t>Carer support remains a critical yet under-resourced component, with unpaid carers often experiencing significant burden despite initiatives such as the Alzheimer’s Society’s Dementia Support programme (UK Parliament, 2025). End-of-life care further highlights systemic gaps, as palliative approaches are not always integrated early enough despite dementia’s terminal trajectory (NHS Digital, 2025). While voluntary sector organisations provide valuable supplementary support, their prominence underscores deficiencies within statutory provision. Overall, despite strong policy frameworks promoting integrated care, structural and resource constraints continue to undermine consistent and equitable service delivery.</w:t>
      </w:r>
    </w:p>
    <w:p w14:paraId="0BAC077C" w14:textId="579F38E1" w:rsidR="00667F79" w:rsidRPr="00C507D2" w:rsidRDefault="00667F79" w:rsidP="00C507D2">
      <w:pPr>
        <w:spacing w:after="0" w:line="360" w:lineRule="auto"/>
        <w:rPr>
          <w:rFonts w:ascii="Arial" w:hAnsi="Arial" w:cs="Arial"/>
        </w:rPr>
      </w:pPr>
    </w:p>
    <w:p w14:paraId="61A7CE6D" w14:textId="77777777" w:rsidR="00667F79" w:rsidRPr="00C507D2" w:rsidRDefault="00667F79" w:rsidP="00C507D2">
      <w:pPr>
        <w:spacing w:line="360" w:lineRule="auto"/>
        <w:rPr>
          <w:rFonts w:ascii="Arial" w:hAnsi="Arial" w:cs="Arial"/>
          <w:b/>
          <w:bCs/>
        </w:rPr>
      </w:pPr>
      <w:r w:rsidRPr="00C507D2">
        <w:rPr>
          <w:rFonts w:ascii="Arial" w:hAnsi="Arial" w:cs="Arial"/>
          <w:b/>
          <w:bCs/>
        </w:rPr>
        <w:t>Conclusion</w:t>
      </w:r>
    </w:p>
    <w:p w14:paraId="79346A26" w14:textId="6BD143E6" w:rsidR="004F65E2" w:rsidRPr="00C507D2" w:rsidRDefault="006856C4" w:rsidP="00C507D2">
      <w:pPr>
        <w:spacing w:line="360" w:lineRule="auto"/>
        <w:rPr>
          <w:rFonts w:ascii="Arial" w:hAnsi="Arial" w:cs="Arial"/>
        </w:rPr>
      </w:pPr>
      <w:r w:rsidRPr="00C507D2">
        <w:rPr>
          <w:rFonts w:ascii="Arial" w:hAnsi="Arial" w:cs="Arial"/>
        </w:rPr>
        <w:t>In sum, dementia represents a significant and growing public health challenge in the UK, with substantial clinical, social, and economic implications. While robust monitoring systems and policy frameworks exist, gaps in early diagnosis, service coordination, and equitable access persist. The burden on individuals, families, and health systems continues to rise alongside increasing prevalence. Addressing these challenges requires sustained investment, improved integration of services, and a stronger focus on prevention, ensuring that care delivery aligns with policy ambitions and meets the complex needs of affected populations.</w:t>
      </w:r>
    </w:p>
    <w:p w14:paraId="32315B4F" w14:textId="77777777" w:rsidR="00C507D2" w:rsidRPr="00C507D2" w:rsidRDefault="00C507D2" w:rsidP="00C507D2">
      <w:pPr>
        <w:spacing w:line="360" w:lineRule="auto"/>
        <w:rPr>
          <w:rFonts w:ascii="Arial" w:hAnsi="Arial" w:cs="Arial"/>
        </w:rPr>
      </w:pPr>
    </w:p>
    <w:p w14:paraId="577458FC" w14:textId="77777777" w:rsidR="00C507D2" w:rsidRPr="00C507D2" w:rsidRDefault="00C507D2" w:rsidP="00C507D2">
      <w:pPr>
        <w:spacing w:line="360" w:lineRule="auto"/>
        <w:rPr>
          <w:rFonts w:ascii="Arial" w:hAnsi="Arial" w:cs="Arial"/>
        </w:rPr>
      </w:pPr>
    </w:p>
    <w:p w14:paraId="3613E4A3" w14:textId="77777777" w:rsidR="00C507D2" w:rsidRPr="00C507D2" w:rsidRDefault="00C507D2" w:rsidP="00C507D2">
      <w:pPr>
        <w:spacing w:line="360" w:lineRule="auto"/>
        <w:rPr>
          <w:rFonts w:ascii="Arial" w:hAnsi="Arial" w:cs="Arial"/>
        </w:rPr>
      </w:pPr>
    </w:p>
    <w:p w14:paraId="412CB8B9" w14:textId="77777777" w:rsidR="00C507D2" w:rsidRPr="00C507D2" w:rsidRDefault="00C507D2" w:rsidP="00C507D2">
      <w:pPr>
        <w:spacing w:line="360" w:lineRule="auto"/>
        <w:rPr>
          <w:rFonts w:ascii="Arial" w:hAnsi="Arial" w:cs="Arial"/>
        </w:rPr>
      </w:pPr>
    </w:p>
    <w:p w14:paraId="7750347E" w14:textId="77777777" w:rsidR="00C507D2" w:rsidRPr="00C507D2" w:rsidRDefault="00C507D2" w:rsidP="00C507D2">
      <w:pPr>
        <w:spacing w:line="360" w:lineRule="auto"/>
        <w:rPr>
          <w:rFonts w:ascii="Arial" w:hAnsi="Arial" w:cs="Arial"/>
        </w:rPr>
      </w:pPr>
    </w:p>
    <w:p w14:paraId="60F4604A" w14:textId="77777777" w:rsidR="00C507D2" w:rsidRPr="00C507D2" w:rsidRDefault="00C507D2" w:rsidP="00C507D2">
      <w:pPr>
        <w:spacing w:line="360" w:lineRule="auto"/>
        <w:rPr>
          <w:rFonts w:ascii="Arial" w:hAnsi="Arial" w:cs="Arial"/>
        </w:rPr>
      </w:pPr>
    </w:p>
    <w:p w14:paraId="2F9288D5" w14:textId="77777777" w:rsidR="00C507D2" w:rsidRPr="00C507D2" w:rsidRDefault="00C507D2" w:rsidP="00C507D2">
      <w:pPr>
        <w:spacing w:line="360" w:lineRule="auto"/>
        <w:rPr>
          <w:rFonts w:ascii="Arial" w:hAnsi="Arial" w:cs="Arial"/>
        </w:rPr>
      </w:pPr>
    </w:p>
    <w:p w14:paraId="0D92A25A" w14:textId="77777777" w:rsidR="00C507D2" w:rsidRPr="00C507D2" w:rsidRDefault="00C507D2" w:rsidP="00C507D2">
      <w:pPr>
        <w:spacing w:line="360" w:lineRule="auto"/>
        <w:rPr>
          <w:rFonts w:ascii="Arial" w:hAnsi="Arial" w:cs="Arial"/>
          <w:b/>
          <w:bCs/>
        </w:rPr>
      </w:pPr>
      <w:r w:rsidRPr="00C507D2">
        <w:rPr>
          <w:rFonts w:ascii="Arial" w:hAnsi="Arial" w:cs="Arial"/>
          <w:b/>
          <w:bCs/>
        </w:rPr>
        <w:t>Reference list</w:t>
      </w:r>
    </w:p>
    <w:p w14:paraId="4D6B1975" w14:textId="756C1F9F" w:rsidR="00C507D2" w:rsidRPr="00C507D2" w:rsidRDefault="00C507D2" w:rsidP="00C507D2">
      <w:pPr>
        <w:spacing w:line="360" w:lineRule="auto"/>
        <w:rPr>
          <w:rFonts w:ascii="Arial" w:hAnsi="Arial" w:cs="Arial"/>
        </w:rPr>
      </w:pPr>
      <w:r w:rsidRPr="00C507D2">
        <w:rPr>
          <w:rFonts w:ascii="Arial" w:hAnsi="Arial" w:cs="Arial"/>
        </w:rPr>
        <w:t xml:space="preserve">Aarsland, D., Sunde, A.L., Tovar-Rios, D.A., Leuzy, A., Fladby, T., Zetterberg, H., Blennow, K., Tan, K., Santis, G.D., Yakoub, Y., Arslan, B., Huber, H., Pola, I., Grötschel, L., Molfetta, G.D., Skjellegrind, H.K., Selbaek, G. and Ashton, N.J. (2025) ‘Prevalence of Alzheimer’s disease pathology in the community’, </w:t>
      </w:r>
      <w:r w:rsidRPr="00C507D2">
        <w:rPr>
          <w:rFonts w:ascii="Arial" w:hAnsi="Arial" w:cs="Arial"/>
          <w:i/>
          <w:iCs/>
        </w:rPr>
        <w:t>Nature</w:t>
      </w:r>
      <w:r w:rsidRPr="00C507D2">
        <w:rPr>
          <w:rFonts w:ascii="Arial" w:hAnsi="Arial" w:cs="Arial"/>
        </w:rPr>
        <w:t xml:space="preserve"> [Preprint]. Available at: </w:t>
      </w:r>
      <w:hyperlink r:id="rId8" w:history="1">
        <w:r w:rsidRPr="00C507D2">
          <w:rPr>
            <w:rStyle w:val="Hyperlink"/>
            <w:rFonts w:ascii="Arial" w:hAnsi="Arial" w:cs="Arial"/>
          </w:rPr>
          <w:t>https://doi.org/10.1038/s41586-025-09841-y</w:t>
        </w:r>
      </w:hyperlink>
      <w:r w:rsidRPr="00C507D2">
        <w:rPr>
          <w:rFonts w:ascii="Arial" w:hAnsi="Arial" w:cs="Arial"/>
        </w:rPr>
        <w:t xml:space="preserve">. </w:t>
      </w:r>
    </w:p>
    <w:p w14:paraId="20BC7147" w14:textId="5D6FE2A5" w:rsidR="00C507D2" w:rsidRPr="00C507D2" w:rsidRDefault="00C507D2" w:rsidP="00C507D2">
      <w:pPr>
        <w:spacing w:line="360" w:lineRule="auto"/>
        <w:rPr>
          <w:rFonts w:ascii="Arial" w:hAnsi="Arial" w:cs="Arial"/>
        </w:rPr>
      </w:pPr>
      <w:r w:rsidRPr="00C507D2">
        <w:rPr>
          <w:rFonts w:ascii="Arial" w:hAnsi="Arial" w:cs="Arial"/>
        </w:rPr>
        <w:t xml:space="preserve">Alzheimer's Society (2024a) </w:t>
      </w:r>
      <w:r w:rsidRPr="00C507D2">
        <w:rPr>
          <w:rFonts w:ascii="Arial" w:hAnsi="Arial" w:cs="Arial"/>
          <w:i/>
          <w:iCs/>
        </w:rPr>
        <w:t>People living with undiagnosed dementia are three times more likely to visit A&amp;E</w:t>
      </w:r>
      <w:r w:rsidRPr="00C507D2">
        <w:rPr>
          <w:rFonts w:ascii="Arial" w:hAnsi="Arial" w:cs="Arial"/>
        </w:rPr>
        <w:t xml:space="preserve">, </w:t>
      </w:r>
      <w:r w:rsidRPr="00C507D2">
        <w:rPr>
          <w:rFonts w:ascii="Arial" w:hAnsi="Arial" w:cs="Arial"/>
          <w:i/>
          <w:iCs/>
        </w:rPr>
        <w:t>Alzheimer’s Society</w:t>
      </w:r>
      <w:r w:rsidRPr="00C507D2">
        <w:rPr>
          <w:rFonts w:ascii="Arial" w:hAnsi="Arial" w:cs="Arial"/>
        </w:rPr>
        <w:t xml:space="preserve">. Available at: </w:t>
      </w:r>
      <w:hyperlink r:id="rId9" w:history="1">
        <w:r w:rsidRPr="00C507D2">
          <w:rPr>
            <w:rStyle w:val="Hyperlink"/>
            <w:rFonts w:ascii="Arial" w:hAnsi="Arial" w:cs="Arial"/>
          </w:rPr>
          <w:t>https://www.alzheimers.org.uk/news/2024-09-16/living-with-undiagnosed-dementia-three-times-more-likely-visit-ae</w:t>
        </w:r>
      </w:hyperlink>
      <w:r w:rsidRPr="00C507D2">
        <w:rPr>
          <w:rFonts w:ascii="Arial" w:hAnsi="Arial" w:cs="Arial"/>
        </w:rPr>
        <w:t xml:space="preserve"> (Accessed: 19 April 2026).</w:t>
      </w:r>
    </w:p>
    <w:p w14:paraId="7852671D" w14:textId="65A424B4" w:rsidR="00C507D2" w:rsidRPr="00C507D2" w:rsidRDefault="00C507D2" w:rsidP="00C507D2">
      <w:pPr>
        <w:spacing w:line="360" w:lineRule="auto"/>
        <w:rPr>
          <w:rFonts w:ascii="Arial" w:hAnsi="Arial" w:cs="Arial"/>
        </w:rPr>
      </w:pPr>
      <w:r w:rsidRPr="00C507D2">
        <w:rPr>
          <w:rFonts w:ascii="Arial" w:hAnsi="Arial" w:cs="Arial"/>
        </w:rPr>
        <w:t xml:space="preserve">Alzheimer's Society (2024b) </w:t>
      </w:r>
      <w:r w:rsidRPr="00C507D2">
        <w:rPr>
          <w:rFonts w:ascii="Arial" w:hAnsi="Arial" w:cs="Arial"/>
          <w:i/>
          <w:iCs/>
        </w:rPr>
        <w:t>Soaring dementia care costs reach £42 billion in UK – and families bear the brunt | Alzheimer’s Society</w:t>
      </w:r>
      <w:r w:rsidRPr="00C507D2">
        <w:rPr>
          <w:rFonts w:ascii="Arial" w:hAnsi="Arial" w:cs="Arial"/>
        </w:rPr>
        <w:t xml:space="preserve">, </w:t>
      </w:r>
      <w:r w:rsidRPr="00C507D2">
        <w:rPr>
          <w:rFonts w:ascii="Arial" w:hAnsi="Arial" w:cs="Arial"/>
          <w:i/>
          <w:iCs/>
        </w:rPr>
        <w:t>www.alzheimers.org.uk</w:t>
      </w:r>
      <w:r w:rsidRPr="00C507D2">
        <w:rPr>
          <w:rFonts w:ascii="Arial" w:hAnsi="Arial" w:cs="Arial"/>
        </w:rPr>
        <w:t xml:space="preserve">. Available at: </w:t>
      </w:r>
      <w:hyperlink r:id="rId10" w:history="1">
        <w:r w:rsidRPr="00C507D2">
          <w:rPr>
            <w:rStyle w:val="Hyperlink"/>
            <w:rFonts w:ascii="Arial" w:hAnsi="Arial" w:cs="Arial"/>
          </w:rPr>
          <w:t>https://www.alzheimers.org.uk/news/2024-05-10/soaring-dementia-care-costs-uk-42-billion</w:t>
        </w:r>
      </w:hyperlink>
      <w:r w:rsidRPr="00C507D2">
        <w:rPr>
          <w:rFonts w:ascii="Arial" w:hAnsi="Arial" w:cs="Arial"/>
        </w:rPr>
        <w:t xml:space="preserve"> (Accessed: 19 April 2026).</w:t>
      </w:r>
    </w:p>
    <w:p w14:paraId="0C4AB7D4" w14:textId="67F3DCA8" w:rsidR="00C507D2" w:rsidRPr="00C507D2" w:rsidRDefault="00C507D2" w:rsidP="00C507D2">
      <w:pPr>
        <w:spacing w:line="360" w:lineRule="auto"/>
        <w:rPr>
          <w:rFonts w:ascii="Arial" w:hAnsi="Arial" w:cs="Arial"/>
        </w:rPr>
      </w:pPr>
      <w:r w:rsidRPr="00C507D2">
        <w:rPr>
          <w:rFonts w:ascii="Arial" w:hAnsi="Arial" w:cs="Arial"/>
        </w:rPr>
        <w:t xml:space="preserve">Alzheimer's Society (2024c) </w:t>
      </w:r>
      <w:r w:rsidRPr="00C507D2">
        <w:rPr>
          <w:rFonts w:ascii="Arial" w:hAnsi="Arial" w:cs="Arial"/>
          <w:i/>
          <w:iCs/>
        </w:rPr>
        <w:t>The economic impact of dementia</w:t>
      </w:r>
      <w:r w:rsidRPr="00C507D2">
        <w:rPr>
          <w:rFonts w:ascii="Arial" w:hAnsi="Arial" w:cs="Arial"/>
        </w:rPr>
        <w:t xml:space="preserve">, </w:t>
      </w:r>
      <w:r w:rsidRPr="00C507D2">
        <w:rPr>
          <w:rFonts w:ascii="Arial" w:hAnsi="Arial" w:cs="Arial"/>
          <w:i/>
          <w:iCs/>
        </w:rPr>
        <w:t>Alzheimer’s Society</w:t>
      </w:r>
      <w:r w:rsidRPr="00C507D2">
        <w:rPr>
          <w:rFonts w:ascii="Arial" w:hAnsi="Arial" w:cs="Arial"/>
        </w:rPr>
        <w:t xml:space="preserve">. Available at: </w:t>
      </w:r>
      <w:hyperlink r:id="rId11" w:history="1">
        <w:r w:rsidRPr="00C507D2">
          <w:rPr>
            <w:rStyle w:val="Hyperlink"/>
            <w:rFonts w:ascii="Arial" w:hAnsi="Arial" w:cs="Arial"/>
          </w:rPr>
          <w:t>https://www.alzheimers.org.uk/what-we-do/policy-and-influencing/economic-impact-of-dementia</w:t>
        </w:r>
      </w:hyperlink>
      <w:r w:rsidRPr="00C507D2">
        <w:rPr>
          <w:rFonts w:ascii="Arial" w:hAnsi="Arial" w:cs="Arial"/>
        </w:rPr>
        <w:t xml:space="preserve"> (Accessed: 11 April 2026).</w:t>
      </w:r>
    </w:p>
    <w:p w14:paraId="297AEFE6" w14:textId="38752F83" w:rsidR="00C507D2" w:rsidRPr="00C507D2" w:rsidRDefault="00C507D2" w:rsidP="00C507D2">
      <w:pPr>
        <w:spacing w:line="360" w:lineRule="auto"/>
        <w:rPr>
          <w:rFonts w:ascii="Arial" w:hAnsi="Arial" w:cs="Arial"/>
        </w:rPr>
      </w:pPr>
      <w:r w:rsidRPr="00C507D2">
        <w:rPr>
          <w:rFonts w:ascii="Arial" w:hAnsi="Arial" w:cs="Arial"/>
        </w:rPr>
        <w:t xml:space="preserve">Alzheimer's Society (2025) </w:t>
      </w:r>
      <w:r w:rsidRPr="00C507D2">
        <w:rPr>
          <w:rFonts w:ascii="Arial" w:hAnsi="Arial" w:cs="Arial"/>
          <w:i/>
          <w:iCs/>
        </w:rPr>
        <w:t>The dementia care postcode lottery must end</w:t>
      </w:r>
      <w:r w:rsidRPr="00C507D2">
        <w:rPr>
          <w:rFonts w:ascii="Arial" w:hAnsi="Arial" w:cs="Arial"/>
        </w:rPr>
        <w:t xml:space="preserve">, </w:t>
      </w:r>
      <w:r w:rsidRPr="00C507D2">
        <w:rPr>
          <w:rFonts w:ascii="Arial" w:hAnsi="Arial" w:cs="Arial"/>
          <w:i/>
          <w:iCs/>
        </w:rPr>
        <w:t>Alzheimer’s Society</w:t>
      </w:r>
      <w:r w:rsidRPr="00C507D2">
        <w:rPr>
          <w:rFonts w:ascii="Arial" w:hAnsi="Arial" w:cs="Arial"/>
        </w:rPr>
        <w:t xml:space="preserve">. Available at: </w:t>
      </w:r>
      <w:hyperlink r:id="rId12" w:history="1">
        <w:r w:rsidRPr="00C507D2">
          <w:rPr>
            <w:rStyle w:val="Hyperlink"/>
            <w:rFonts w:ascii="Arial" w:hAnsi="Arial" w:cs="Arial"/>
          </w:rPr>
          <w:t>https://www.alzheimers.org.uk/get-support/publications-and-factsheets/dementia-together/dementia-care-postcode-lottery-must-end</w:t>
        </w:r>
      </w:hyperlink>
      <w:r w:rsidRPr="00C507D2">
        <w:rPr>
          <w:rFonts w:ascii="Arial" w:hAnsi="Arial" w:cs="Arial"/>
        </w:rPr>
        <w:t xml:space="preserve"> (Accessed: 19 April 2026).</w:t>
      </w:r>
    </w:p>
    <w:p w14:paraId="6C5200A7" w14:textId="0C5581C8" w:rsidR="00C507D2" w:rsidRPr="00C507D2" w:rsidRDefault="00C507D2" w:rsidP="00C507D2">
      <w:pPr>
        <w:spacing w:line="360" w:lineRule="auto"/>
        <w:rPr>
          <w:rFonts w:ascii="Arial" w:hAnsi="Arial" w:cs="Arial"/>
        </w:rPr>
      </w:pPr>
      <w:r w:rsidRPr="00C507D2">
        <w:rPr>
          <w:rFonts w:ascii="Arial" w:hAnsi="Arial" w:cs="Arial"/>
        </w:rPr>
        <w:t xml:space="preserve">Bradfield, N.I. (2021) ‘Mild Cognitive Impairment: Diagnosis and Subtypes’, </w:t>
      </w:r>
      <w:r w:rsidRPr="00C507D2">
        <w:rPr>
          <w:rFonts w:ascii="Arial" w:hAnsi="Arial" w:cs="Arial"/>
          <w:i/>
          <w:iCs/>
        </w:rPr>
        <w:t>Clinical EEG and Neuroscience</w:t>
      </w:r>
      <w:r w:rsidRPr="00C507D2">
        <w:rPr>
          <w:rFonts w:ascii="Arial" w:hAnsi="Arial" w:cs="Arial"/>
        </w:rPr>
        <w:t xml:space="preserve">, 54(1), p. 155005942110427. Available at: </w:t>
      </w:r>
      <w:hyperlink r:id="rId13" w:history="1">
        <w:r w:rsidRPr="00C507D2">
          <w:rPr>
            <w:rStyle w:val="Hyperlink"/>
            <w:rFonts w:ascii="Arial" w:hAnsi="Arial" w:cs="Arial"/>
          </w:rPr>
          <w:t>https://doi.org/10.1177/15500594211042708</w:t>
        </w:r>
      </w:hyperlink>
      <w:r w:rsidRPr="00C507D2">
        <w:rPr>
          <w:rFonts w:ascii="Arial" w:hAnsi="Arial" w:cs="Arial"/>
        </w:rPr>
        <w:t xml:space="preserve">. </w:t>
      </w:r>
    </w:p>
    <w:p w14:paraId="20EFE60E" w14:textId="10028987" w:rsidR="00C507D2" w:rsidRPr="00C507D2" w:rsidRDefault="00C507D2" w:rsidP="00C507D2">
      <w:pPr>
        <w:spacing w:line="360" w:lineRule="auto"/>
        <w:rPr>
          <w:rFonts w:ascii="Arial" w:hAnsi="Arial" w:cs="Arial"/>
        </w:rPr>
      </w:pPr>
      <w:r w:rsidRPr="00C507D2">
        <w:rPr>
          <w:rFonts w:ascii="Arial" w:hAnsi="Arial" w:cs="Arial"/>
        </w:rPr>
        <w:t xml:space="preserve">Demnitz-King, H., Banerjee, S., Cooper, C., Kenten, C., Phillips, R., Zabihi, S., Birks, Y., Brayne, C., Browning, S., Carroll, C., Charlesworth, G., Coupland, C.A., Dening, T., Dobson, R., Foote, I.F., Foster, S., Fox, C., Howard, R., Isaacs, J.D. and Jaffry, U. (2026a) ‘The Nottingham consensus on dementia risk reduction policy: recommendations from a modified Delphi process’, </w:t>
      </w:r>
      <w:r w:rsidRPr="00C507D2">
        <w:rPr>
          <w:rFonts w:ascii="Arial" w:hAnsi="Arial" w:cs="Arial"/>
          <w:i/>
          <w:iCs/>
        </w:rPr>
        <w:t>Nature Reviews Neurology</w:t>
      </w:r>
      <w:r w:rsidRPr="00C507D2">
        <w:rPr>
          <w:rFonts w:ascii="Arial" w:hAnsi="Arial" w:cs="Arial"/>
        </w:rPr>
        <w:t xml:space="preserve">, pp. 1–13. Available at: </w:t>
      </w:r>
      <w:hyperlink r:id="rId14" w:history="1">
        <w:r w:rsidRPr="00C507D2">
          <w:rPr>
            <w:rStyle w:val="Hyperlink"/>
            <w:rFonts w:ascii="Arial" w:hAnsi="Arial" w:cs="Arial"/>
          </w:rPr>
          <w:t>https://doi.org/10.1038/s41582-025-01173-9</w:t>
        </w:r>
      </w:hyperlink>
      <w:r w:rsidRPr="00C507D2">
        <w:rPr>
          <w:rFonts w:ascii="Arial" w:hAnsi="Arial" w:cs="Arial"/>
        </w:rPr>
        <w:t xml:space="preserve">. </w:t>
      </w:r>
    </w:p>
    <w:p w14:paraId="2E596368" w14:textId="431F999C" w:rsidR="00C507D2" w:rsidRPr="00C507D2" w:rsidRDefault="00C507D2" w:rsidP="00C507D2">
      <w:pPr>
        <w:spacing w:line="360" w:lineRule="auto"/>
        <w:rPr>
          <w:rFonts w:ascii="Arial" w:hAnsi="Arial" w:cs="Arial"/>
        </w:rPr>
      </w:pPr>
      <w:r w:rsidRPr="00C507D2">
        <w:rPr>
          <w:rFonts w:ascii="Arial" w:hAnsi="Arial" w:cs="Arial"/>
        </w:rPr>
        <w:t xml:space="preserve">Demnitz-King, H., Banerjee, S., Cooper, C., Kenten, C., Phillips, R., Zabihi, S., Birks, Y., Brayne, C., Browning, S., Carroll, C., Charlesworth, G., Coupland, C.A., Dening, T., Dobson, R., Foote, I.F., Foster, S., Fox, C., Howard, R., Isaacs, J.D. and Jaffry, U. (2026b) ‘The Nottingham consensus on dementia risk reduction policy: recommendations from a modified Delphi process’, </w:t>
      </w:r>
      <w:r w:rsidRPr="00C507D2">
        <w:rPr>
          <w:rFonts w:ascii="Arial" w:hAnsi="Arial" w:cs="Arial"/>
          <w:i/>
          <w:iCs/>
        </w:rPr>
        <w:t>Nature Reviews Neurology</w:t>
      </w:r>
      <w:r w:rsidRPr="00C507D2">
        <w:rPr>
          <w:rFonts w:ascii="Arial" w:hAnsi="Arial" w:cs="Arial"/>
        </w:rPr>
        <w:t xml:space="preserve">, pp. 1–13. Available at: </w:t>
      </w:r>
      <w:hyperlink r:id="rId15" w:history="1">
        <w:r w:rsidRPr="00C507D2">
          <w:rPr>
            <w:rStyle w:val="Hyperlink"/>
            <w:rFonts w:ascii="Arial" w:hAnsi="Arial" w:cs="Arial"/>
          </w:rPr>
          <w:t>https://doi.org/10.1038/s41582-025-01173-9</w:t>
        </w:r>
      </w:hyperlink>
      <w:r w:rsidRPr="00C507D2">
        <w:rPr>
          <w:rFonts w:ascii="Arial" w:hAnsi="Arial" w:cs="Arial"/>
        </w:rPr>
        <w:t xml:space="preserve">. </w:t>
      </w:r>
    </w:p>
    <w:p w14:paraId="364748BA" w14:textId="677E19A9" w:rsidR="00C507D2" w:rsidRPr="00C507D2" w:rsidRDefault="00C507D2" w:rsidP="00C507D2">
      <w:pPr>
        <w:spacing w:line="360" w:lineRule="auto"/>
        <w:rPr>
          <w:rFonts w:ascii="Arial" w:hAnsi="Arial" w:cs="Arial"/>
        </w:rPr>
      </w:pPr>
      <w:r w:rsidRPr="00C507D2">
        <w:rPr>
          <w:rFonts w:ascii="Arial" w:hAnsi="Arial" w:cs="Arial"/>
        </w:rPr>
        <w:t xml:space="preserve">Ipsos (2025) </w:t>
      </w:r>
      <w:r w:rsidRPr="00C507D2">
        <w:rPr>
          <w:rFonts w:ascii="Arial" w:hAnsi="Arial" w:cs="Arial"/>
          <w:i/>
          <w:iCs/>
        </w:rPr>
        <w:t>39% of adults aged 18+ appear to be aware that it is possible for a person to reduce their risk of developing dementia</w:t>
      </w:r>
      <w:r w:rsidRPr="00C507D2">
        <w:rPr>
          <w:rFonts w:ascii="Arial" w:hAnsi="Arial" w:cs="Arial"/>
        </w:rPr>
        <w:t xml:space="preserve">, </w:t>
      </w:r>
      <w:r w:rsidRPr="00C507D2">
        <w:rPr>
          <w:rFonts w:ascii="Arial" w:hAnsi="Arial" w:cs="Arial"/>
          <w:i/>
          <w:iCs/>
        </w:rPr>
        <w:t>Ipsos</w:t>
      </w:r>
      <w:r w:rsidRPr="00C507D2">
        <w:rPr>
          <w:rFonts w:ascii="Arial" w:hAnsi="Arial" w:cs="Arial"/>
        </w:rPr>
        <w:t xml:space="preserve">. Available at: </w:t>
      </w:r>
      <w:hyperlink r:id="rId16" w:history="1">
        <w:r w:rsidRPr="00C507D2">
          <w:rPr>
            <w:rStyle w:val="Hyperlink"/>
            <w:rFonts w:ascii="Arial" w:hAnsi="Arial" w:cs="Arial"/>
          </w:rPr>
          <w:t>https://www.ipsos.com/en-uk/39-adults-aged-18-appear-be-aware-it-possible-person-reduce-their-risk-developing-dementia</w:t>
        </w:r>
      </w:hyperlink>
      <w:r w:rsidRPr="00C507D2">
        <w:rPr>
          <w:rFonts w:ascii="Arial" w:hAnsi="Arial" w:cs="Arial"/>
        </w:rPr>
        <w:t xml:space="preserve"> (Accessed: 19 April 2026).</w:t>
      </w:r>
    </w:p>
    <w:p w14:paraId="67BDC708" w14:textId="3246073B" w:rsidR="00C507D2" w:rsidRPr="00C507D2" w:rsidRDefault="00C507D2" w:rsidP="00C507D2">
      <w:pPr>
        <w:spacing w:line="360" w:lineRule="auto"/>
        <w:rPr>
          <w:rFonts w:ascii="Arial" w:hAnsi="Arial" w:cs="Arial"/>
        </w:rPr>
      </w:pPr>
      <w:r w:rsidRPr="00C507D2">
        <w:rPr>
          <w:rFonts w:ascii="Arial" w:hAnsi="Arial" w:cs="Arial"/>
        </w:rPr>
        <w:t xml:space="preserve">NHS Digital (2026) </w:t>
      </w:r>
      <w:r w:rsidRPr="00C507D2">
        <w:rPr>
          <w:rFonts w:ascii="Arial" w:hAnsi="Arial" w:cs="Arial"/>
          <w:i/>
          <w:iCs/>
        </w:rPr>
        <w:t>Primary Care Dementia Data, January 2026</w:t>
      </w:r>
      <w:r w:rsidRPr="00C507D2">
        <w:rPr>
          <w:rFonts w:ascii="Arial" w:hAnsi="Arial" w:cs="Arial"/>
        </w:rPr>
        <w:t xml:space="preserve">. Available at: </w:t>
      </w:r>
      <w:hyperlink r:id="rId17" w:history="1">
        <w:r w:rsidRPr="00C507D2">
          <w:rPr>
            <w:rStyle w:val="Hyperlink"/>
            <w:rFonts w:ascii="Arial" w:hAnsi="Arial" w:cs="Arial"/>
          </w:rPr>
          <w:t>https://digital.nhs.uk/data-and-information/publications/statistical/primary-care-dementia-data/january-2026#</w:t>
        </w:r>
      </w:hyperlink>
      <w:r w:rsidRPr="00C507D2">
        <w:rPr>
          <w:rFonts w:ascii="Arial" w:hAnsi="Arial" w:cs="Arial"/>
        </w:rPr>
        <w:t xml:space="preserve"> (Accessed: 19 April 2026).</w:t>
      </w:r>
    </w:p>
    <w:p w14:paraId="76897856" w14:textId="22F34B33" w:rsidR="00C507D2" w:rsidRPr="00C507D2" w:rsidRDefault="00C507D2" w:rsidP="00C507D2">
      <w:pPr>
        <w:spacing w:line="360" w:lineRule="auto"/>
        <w:rPr>
          <w:rFonts w:ascii="Arial" w:hAnsi="Arial" w:cs="Arial"/>
        </w:rPr>
      </w:pPr>
      <w:r w:rsidRPr="00C507D2">
        <w:rPr>
          <w:rFonts w:ascii="Arial" w:hAnsi="Arial" w:cs="Arial"/>
        </w:rPr>
        <w:t xml:space="preserve">NHS Digital (2025) </w:t>
      </w:r>
      <w:r w:rsidRPr="00C507D2">
        <w:rPr>
          <w:rFonts w:ascii="Arial" w:hAnsi="Arial" w:cs="Arial"/>
          <w:i/>
          <w:iCs/>
        </w:rPr>
        <w:t>Primary care dementia data: supporting information</w:t>
      </w:r>
      <w:r w:rsidRPr="00C507D2">
        <w:rPr>
          <w:rFonts w:ascii="Arial" w:hAnsi="Arial" w:cs="Arial"/>
        </w:rPr>
        <w:t xml:space="preserve">, </w:t>
      </w:r>
      <w:r w:rsidRPr="00C507D2">
        <w:rPr>
          <w:rFonts w:ascii="Arial" w:hAnsi="Arial" w:cs="Arial"/>
          <w:i/>
          <w:iCs/>
        </w:rPr>
        <w:t>NHS Digital</w:t>
      </w:r>
      <w:r w:rsidRPr="00C507D2">
        <w:rPr>
          <w:rFonts w:ascii="Arial" w:hAnsi="Arial" w:cs="Arial"/>
        </w:rPr>
        <w:t xml:space="preserve">. Available at: </w:t>
      </w:r>
      <w:hyperlink r:id="rId18" w:history="1">
        <w:r w:rsidRPr="00C507D2">
          <w:rPr>
            <w:rStyle w:val="Hyperlink"/>
            <w:rFonts w:ascii="Arial" w:hAnsi="Arial" w:cs="Arial"/>
          </w:rPr>
          <w:t>https://digital.nhs.uk/data-and-information/publications/statistical/primary-care-dementia-data/primary-care-dementia-data-supporting-information/primary-care-dementia-data-supporting-information</w:t>
        </w:r>
      </w:hyperlink>
      <w:r w:rsidRPr="00C507D2">
        <w:rPr>
          <w:rFonts w:ascii="Arial" w:hAnsi="Arial" w:cs="Arial"/>
        </w:rPr>
        <w:t xml:space="preserve"> (Accessed: 10 April 2026).</w:t>
      </w:r>
    </w:p>
    <w:p w14:paraId="12DA73CE" w14:textId="15228261" w:rsidR="00C507D2" w:rsidRPr="00C507D2" w:rsidRDefault="00C507D2" w:rsidP="00C507D2">
      <w:pPr>
        <w:spacing w:line="360" w:lineRule="auto"/>
        <w:rPr>
          <w:rFonts w:ascii="Arial" w:hAnsi="Arial" w:cs="Arial"/>
        </w:rPr>
      </w:pPr>
      <w:r w:rsidRPr="00C507D2">
        <w:rPr>
          <w:rFonts w:ascii="Arial" w:hAnsi="Arial" w:cs="Arial"/>
        </w:rPr>
        <w:t xml:space="preserve">NICE (2018a) </w:t>
      </w:r>
      <w:r w:rsidRPr="00C507D2">
        <w:rPr>
          <w:rFonts w:ascii="Arial" w:hAnsi="Arial" w:cs="Arial"/>
          <w:i/>
          <w:iCs/>
        </w:rPr>
        <w:t>Dementia: Assessment, Management and Dementia: Assessment, Management and Support for People Living with Dementia Support for People Living with Dementia and Their Carers and Their Carers NICE Guideline</w:t>
      </w:r>
      <w:r w:rsidRPr="00C507D2">
        <w:rPr>
          <w:rFonts w:ascii="Arial" w:hAnsi="Arial" w:cs="Arial"/>
        </w:rPr>
        <w:t xml:space="preserve">. Available at: </w:t>
      </w:r>
      <w:hyperlink r:id="rId19" w:history="1">
        <w:r w:rsidRPr="00C507D2">
          <w:rPr>
            <w:rStyle w:val="Hyperlink"/>
            <w:rFonts w:ascii="Arial" w:hAnsi="Arial" w:cs="Arial"/>
          </w:rPr>
          <w:t>https://www.nice.org.uk/guidance/ng97/resources/dementia-assessment-management-and-support-for-people-living-with-dementia-and-their-carers-pdf-1837760199109</w:t>
        </w:r>
      </w:hyperlink>
      <w:r w:rsidRPr="00C507D2">
        <w:rPr>
          <w:rFonts w:ascii="Arial" w:hAnsi="Arial" w:cs="Arial"/>
        </w:rPr>
        <w:t xml:space="preserve"> (Accessed: 15 April 2026).</w:t>
      </w:r>
    </w:p>
    <w:p w14:paraId="6199635A" w14:textId="1DD33BA7" w:rsidR="00C507D2" w:rsidRPr="00C507D2" w:rsidRDefault="00C507D2" w:rsidP="00C507D2">
      <w:pPr>
        <w:spacing w:line="360" w:lineRule="auto"/>
        <w:rPr>
          <w:rFonts w:ascii="Arial" w:hAnsi="Arial" w:cs="Arial"/>
        </w:rPr>
      </w:pPr>
      <w:r w:rsidRPr="00C507D2">
        <w:rPr>
          <w:rFonts w:ascii="Arial" w:hAnsi="Arial" w:cs="Arial"/>
        </w:rPr>
        <w:t xml:space="preserve">NICE (2018b) </w:t>
      </w:r>
      <w:r w:rsidRPr="00C507D2">
        <w:rPr>
          <w:rFonts w:ascii="Arial" w:hAnsi="Arial" w:cs="Arial"/>
          <w:i/>
          <w:iCs/>
        </w:rPr>
        <w:t>Recommendations | Dementia: assessment, management and support for people living with dementia and their carers | Guidance | NICE</w:t>
      </w:r>
      <w:r w:rsidRPr="00C507D2">
        <w:rPr>
          <w:rFonts w:ascii="Arial" w:hAnsi="Arial" w:cs="Arial"/>
        </w:rPr>
        <w:t xml:space="preserve">, </w:t>
      </w:r>
      <w:r w:rsidRPr="00C507D2">
        <w:rPr>
          <w:rFonts w:ascii="Arial" w:hAnsi="Arial" w:cs="Arial"/>
          <w:i/>
          <w:iCs/>
        </w:rPr>
        <w:t>Nice.org.uk</w:t>
      </w:r>
      <w:r w:rsidRPr="00C507D2">
        <w:rPr>
          <w:rFonts w:ascii="Arial" w:hAnsi="Arial" w:cs="Arial"/>
        </w:rPr>
        <w:t xml:space="preserve">. NICE. Available at: </w:t>
      </w:r>
      <w:hyperlink r:id="rId20" w:history="1">
        <w:r w:rsidRPr="00C507D2">
          <w:rPr>
            <w:rStyle w:val="Hyperlink"/>
            <w:rFonts w:ascii="Arial" w:hAnsi="Arial" w:cs="Arial"/>
          </w:rPr>
          <w:t>https://www.nice.org.uk/guidance/ng97/chapter/recommendations</w:t>
        </w:r>
      </w:hyperlink>
      <w:r w:rsidRPr="00C507D2">
        <w:rPr>
          <w:rFonts w:ascii="Arial" w:hAnsi="Arial" w:cs="Arial"/>
        </w:rPr>
        <w:t>? (Accessed: 19 April 2026).</w:t>
      </w:r>
    </w:p>
    <w:p w14:paraId="54855267" w14:textId="3F0C7FB5" w:rsidR="00C507D2" w:rsidRPr="00C507D2" w:rsidRDefault="00C507D2" w:rsidP="00C507D2">
      <w:pPr>
        <w:spacing w:line="360" w:lineRule="auto"/>
        <w:rPr>
          <w:rFonts w:ascii="Arial" w:hAnsi="Arial" w:cs="Arial"/>
        </w:rPr>
      </w:pPr>
      <w:r w:rsidRPr="00C507D2">
        <w:rPr>
          <w:rFonts w:ascii="Arial" w:hAnsi="Arial" w:cs="Arial"/>
        </w:rPr>
        <w:t xml:space="preserve">Office for Health Improvement and Disparities (2026) </w:t>
      </w:r>
      <w:r w:rsidRPr="00C507D2">
        <w:rPr>
          <w:rFonts w:ascii="Arial" w:hAnsi="Arial" w:cs="Arial"/>
          <w:i/>
          <w:iCs/>
        </w:rPr>
        <w:t>Dementia data and intelligence: February 2026 update</w:t>
      </w:r>
      <w:r w:rsidRPr="00C507D2">
        <w:rPr>
          <w:rFonts w:ascii="Arial" w:hAnsi="Arial" w:cs="Arial"/>
        </w:rPr>
        <w:t xml:space="preserve">, </w:t>
      </w:r>
      <w:r w:rsidRPr="00C507D2">
        <w:rPr>
          <w:rFonts w:ascii="Arial" w:hAnsi="Arial" w:cs="Arial"/>
          <w:i/>
          <w:iCs/>
        </w:rPr>
        <w:t>GOV.UK</w:t>
      </w:r>
      <w:r w:rsidRPr="00C507D2">
        <w:rPr>
          <w:rFonts w:ascii="Arial" w:hAnsi="Arial" w:cs="Arial"/>
        </w:rPr>
        <w:t xml:space="preserve">. Available at: </w:t>
      </w:r>
      <w:hyperlink r:id="rId21" w:history="1">
        <w:r w:rsidRPr="00C507D2">
          <w:rPr>
            <w:rStyle w:val="Hyperlink"/>
            <w:rFonts w:ascii="Arial" w:hAnsi="Arial" w:cs="Arial"/>
          </w:rPr>
          <w:t>https://www.gov.uk/government/statistics/dementia-data-and-intelligence-february-2026-update</w:t>
        </w:r>
      </w:hyperlink>
      <w:r w:rsidRPr="00C507D2">
        <w:rPr>
          <w:rFonts w:ascii="Arial" w:hAnsi="Arial" w:cs="Arial"/>
        </w:rPr>
        <w:t xml:space="preserve"> (Accessed: 19 April 2026).</w:t>
      </w:r>
    </w:p>
    <w:p w14:paraId="19B72A0A" w14:textId="048B464D" w:rsidR="00C507D2" w:rsidRPr="00C507D2" w:rsidRDefault="00C507D2" w:rsidP="00C507D2">
      <w:pPr>
        <w:spacing w:line="360" w:lineRule="auto"/>
        <w:rPr>
          <w:rFonts w:ascii="Arial" w:hAnsi="Arial" w:cs="Arial"/>
        </w:rPr>
      </w:pPr>
      <w:r w:rsidRPr="00C507D2">
        <w:rPr>
          <w:rFonts w:ascii="Arial" w:hAnsi="Arial" w:cs="Arial"/>
        </w:rPr>
        <w:t xml:space="preserve">Shaw, N. (2026) </w:t>
      </w:r>
      <w:r w:rsidRPr="00C507D2">
        <w:rPr>
          <w:rFonts w:ascii="Arial" w:hAnsi="Arial" w:cs="Arial"/>
          <w:i/>
          <w:iCs/>
        </w:rPr>
        <w:t>68,000 die from disease in a year and cases are set to hit 1.4million</w:t>
      </w:r>
      <w:r w:rsidRPr="00C507D2">
        <w:rPr>
          <w:rFonts w:ascii="Arial" w:hAnsi="Arial" w:cs="Arial"/>
        </w:rPr>
        <w:t xml:space="preserve">, </w:t>
      </w:r>
      <w:r w:rsidRPr="00C507D2">
        <w:rPr>
          <w:rFonts w:ascii="Arial" w:hAnsi="Arial" w:cs="Arial"/>
          <w:i/>
          <w:iCs/>
        </w:rPr>
        <w:t>Wales Online</w:t>
      </w:r>
      <w:r w:rsidRPr="00C507D2">
        <w:rPr>
          <w:rFonts w:ascii="Arial" w:hAnsi="Arial" w:cs="Arial"/>
        </w:rPr>
        <w:t xml:space="preserve">. Available at: </w:t>
      </w:r>
      <w:hyperlink r:id="rId22" w:history="1">
        <w:r w:rsidRPr="00C507D2">
          <w:rPr>
            <w:rStyle w:val="Hyperlink"/>
            <w:rFonts w:ascii="Arial" w:hAnsi="Arial" w:cs="Arial"/>
          </w:rPr>
          <w:t>https://www.cambridge-news.co.uk/news/health/68000-die-disease-year-cases-33294417?int_source=nba</w:t>
        </w:r>
      </w:hyperlink>
      <w:r w:rsidRPr="00C507D2">
        <w:rPr>
          <w:rFonts w:ascii="Arial" w:hAnsi="Arial" w:cs="Arial"/>
        </w:rPr>
        <w:t xml:space="preserve"> (Accessed: 19 April 2026).</w:t>
      </w:r>
    </w:p>
    <w:p w14:paraId="22D47556" w14:textId="44387A4C" w:rsidR="00C507D2" w:rsidRPr="00C507D2" w:rsidRDefault="00C507D2" w:rsidP="00C507D2">
      <w:pPr>
        <w:spacing w:line="360" w:lineRule="auto"/>
        <w:rPr>
          <w:rFonts w:ascii="Arial" w:hAnsi="Arial" w:cs="Arial"/>
        </w:rPr>
      </w:pPr>
      <w:r w:rsidRPr="00C507D2">
        <w:rPr>
          <w:rFonts w:ascii="Arial" w:hAnsi="Arial" w:cs="Arial"/>
        </w:rPr>
        <w:t xml:space="preserve">Stelling, M. (2026) </w:t>
      </w:r>
      <w:r w:rsidRPr="00C507D2">
        <w:rPr>
          <w:rFonts w:ascii="Arial" w:hAnsi="Arial" w:cs="Arial"/>
          <w:i/>
          <w:iCs/>
        </w:rPr>
        <w:t>There are now more than half a million people living with dementia in the UK - and 35,000 of them are aged 65 or under, reveal new NHS figures</w:t>
      </w:r>
      <w:r w:rsidRPr="00C507D2">
        <w:rPr>
          <w:rFonts w:ascii="Arial" w:hAnsi="Arial" w:cs="Arial"/>
        </w:rPr>
        <w:t xml:space="preserve">, </w:t>
      </w:r>
      <w:r w:rsidRPr="00C507D2">
        <w:rPr>
          <w:rFonts w:ascii="Arial" w:hAnsi="Arial" w:cs="Arial"/>
          <w:i/>
          <w:iCs/>
        </w:rPr>
        <w:t>Mail Online</w:t>
      </w:r>
      <w:r w:rsidRPr="00C507D2">
        <w:rPr>
          <w:rFonts w:ascii="Arial" w:hAnsi="Arial" w:cs="Arial"/>
        </w:rPr>
        <w:t xml:space="preserve">. Daily Mail. Available at: </w:t>
      </w:r>
      <w:hyperlink r:id="rId23" w:history="1">
        <w:r w:rsidRPr="00C507D2">
          <w:rPr>
            <w:rStyle w:val="Hyperlink"/>
            <w:rFonts w:ascii="Arial" w:hAnsi="Arial" w:cs="Arial"/>
          </w:rPr>
          <w:t>https://www.dailymail.co.uk/health/article-15573601/young-onset-dementia-january-</w:t>
        </w:r>
      </w:hyperlink>
      <w:r w:rsidRPr="00C507D2">
        <w:rPr>
          <w:rFonts w:ascii="Arial" w:hAnsi="Arial" w:cs="Arial"/>
        </w:rPr>
        <w:t xml:space="preserve"> .html(Accessed: 19 April 2026).</w:t>
      </w:r>
    </w:p>
    <w:p w14:paraId="4BA62475" w14:textId="0DAD031D" w:rsidR="00C507D2" w:rsidRPr="00C507D2" w:rsidRDefault="00C507D2" w:rsidP="00C507D2">
      <w:pPr>
        <w:spacing w:line="360" w:lineRule="auto"/>
        <w:rPr>
          <w:rFonts w:ascii="Arial" w:hAnsi="Arial" w:cs="Arial"/>
        </w:rPr>
      </w:pPr>
      <w:r w:rsidRPr="00C507D2">
        <w:rPr>
          <w:rFonts w:ascii="Arial" w:hAnsi="Arial" w:cs="Arial"/>
        </w:rPr>
        <w:t xml:space="preserve">UK Parliament (2025) </w:t>
      </w:r>
      <w:r w:rsidRPr="00C507D2">
        <w:rPr>
          <w:rFonts w:ascii="Arial" w:hAnsi="Arial" w:cs="Arial"/>
          <w:i/>
          <w:iCs/>
        </w:rPr>
        <w:t>Dementia: Hospitality Industry</w:t>
      </w:r>
      <w:r w:rsidRPr="00C507D2">
        <w:rPr>
          <w:rFonts w:ascii="Arial" w:hAnsi="Arial" w:cs="Arial"/>
        </w:rPr>
        <w:t xml:space="preserve">, </w:t>
      </w:r>
      <w:r w:rsidRPr="00C507D2">
        <w:rPr>
          <w:rFonts w:ascii="Arial" w:hAnsi="Arial" w:cs="Arial"/>
          <w:i/>
          <w:iCs/>
        </w:rPr>
        <w:t>Parliament.uk</w:t>
      </w:r>
      <w:r w:rsidRPr="00C507D2">
        <w:rPr>
          <w:rFonts w:ascii="Arial" w:hAnsi="Arial" w:cs="Arial"/>
        </w:rPr>
        <w:t xml:space="preserve">. Available at: </w:t>
      </w:r>
      <w:hyperlink r:id="rId24" w:history="1">
        <w:r w:rsidRPr="00C507D2">
          <w:rPr>
            <w:rStyle w:val="Hyperlink"/>
            <w:rFonts w:ascii="Arial" w:hAnsi="Arial" w:cs="Arial"/>
          </w:rPr>
          <w:t>https://questions-statements.parliament.uk/written-questions/detail/2025-05-21/54013</w:t>
        </w:r>
      </w:hyperlink>
      <w:r w:rsidRPr="00C507D2">
        <w:rPr>
          <w:rFonts w:ascii="Arial" w:hAnsi="Arial" w:cs="Arial"/>
        </w:rPr>
        <w:t xml:space="preserve"> (Accessed: 19 April 2026).</w:t>
      </w:r>
    </w:p>
    <w:p w14:paraId="07EB7A08" w14:textId="77777777" w:rsidR="00C507D2" w:rsidRPr="00C507D2" w:rsidRDefault="00C507D2" w:rsidP="00C507D2">
      <w:pPr>
        <w:spacing w:line="360" w:lineRule="auto"/>
        <w:rPr>
          <w:rFonts w:ascii="Arial" w:hAnsi="Arial" w:cs="Arial"/>
        </w:rPr>
      </w:pPr>
    </w:p>
    <w:sectPr w:rsidR="00C507D2" w:rsidRPr="00C507D2" w:rsidSect="00C507D2">
      <w:pgSz w:w="11907" w:h="16839" w:code="9"/>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FBAD5A0" w14:textId="77777777" w:rsidR="00E30FD5" w:rsidRDefault="00E30FD5" w:rsidP="00C507D2">
      <w:pPr>
        <w:spacing w:after="0" w:line="240" w:lineRule="auto"/>
      </w:pPr>
      <w:r>
        <w:separator/>
      </w:r>
    </w:p>
  </w:endnote>
  <w:endnote w:type="continuationSeparator" w:id="0">
    <w:p w14:paraId="187F784D" w14:textId="77777777" w:rsidR="00E30FD5" w:rsidRDefault="00E30FD5" w:rsidP="00C507D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ACFF"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865947274"/>
      <w:docPartObj>
        <w:docPartGallery w:val="Page Numbers (Bottom of Page)"/>
        <w:docPartUnique/>
      </w:docPartObj>
    </w:sdtPr>
    <w:sdtEndPr>
      <w:rPr>
        <w:noProof/>
      </w:rPr>
    </w:sdtEndPr>
    <w:sdtContent>
      <w:p w14:paraId="4595CAFB" w14:textId="119AB90E" w:rsidR="00C507D2" w:rsidRDefault="00C507D2">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3966CAC" w14:textId="77777777" w:rsidR="00C507D2" w:rsidRDefault="00C507D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13981DB" w14:textId="77777777" w:rsidR="00E30FD5" w:rsidRDefault="00E30FD5" w:rsidP="00C507D2">
      <w:pPr>
        <w:spacing w:after="0" w:line="240" w:lineRule="auto"/>
      </w:pPr>
      <w:r>
        <w:separator/>
      </w:r>
    </w:p>
  </w:footnote>
  <w:footnote w:type="continuationSeparator" w:id="0">
    <w:p w14:paraId="657C67A8" w14:textId="77777777" w:rsidR="00E30FD5" w:rsidRDefault="00E30FD5" w:rsidP="00C507D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E8B2101"/>
    <w:multiLevelType w:val="multilevel"/>
    <w:tmpl w:val="D01085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98380707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70"/>
  <w:revisionView w:inkAnnotations="0"/>
  <w:defaultTabStop w:val="720"/>
  <w:drawingGridHorizontalSpacing w:val="110"/>
  <w:displayHorizont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F645A"/>
    <w:rsid w:val="000A3325"/>
    <w:rsid w:val="000B3D9B"/>
    <w:rsid w:val="00156F3D"/>
    <w:rsid w:val="001E7327"/>
    <w:rsid w:val="001F0696"/>
    <w:rsid w:val="003A3E82"/>
    <w:rsid w:val="003E29BA"/>
    <w:rsid w:val="004368A2"/>
    <w:rsid w:val="004C3704"/>
    <w:rsid w:val="004F645A"/>
    <w:rsid w:val="004F65E2"/>
    <w:rsid w:val="0061264A"/>
    <w:rsid w:val="0062308A"/>
    <w:rsid w:val="00667F79"/>
    <w:rsid w:val="006856C4"/>
    <w:rsid w:val="006B10B3"/>
    <w:rsid w:val="00811848"/>
    <w:rsid w:val="008618B2"/>
    <w:rsid w:val="008A04FC"/>
    <w:rsid w:val="008E586F"/>
    <w:rsid w:val="00927031"/>
    <w:rsid w:val="009748B9"/>
    <w:rsid w:val="009D7257"/>
    <w:rsid w:val="00A24DED"/>
    <w:rsid w:val="00AC0235"/>
    <w:rsid w:val="00C23E01"/>
    <w:rsid w:val="00C4102B"/>
    <w:rsid w:val="00C507D2"/>
    <w:rsid w:val="00CB3161"/>
    <w:rsid w:val="00CB33BA"/>
    <w:rsid w:val="00D323DD"/>
    <w:rsid w:val="00D72FE5"/>
    <w:rsid w:val="00D84B8D"/>
    <w:rsid w:val="00E30FD5"/>
    <w:rsid w:val="00E54B8A"/>
    <w:rsid w:val="00E561D4"/>
    <w:rsid w:val="00ED7B2C"/>
    <w:rsid w:val="00F13F8D"/>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36B75AD"/>
  <w15:docId w15:val="{11B20F4A-76BD-48E4-929D-F0F28FCEA14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F65E2"/>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667F79"/>
    <w:rPr>
      <w:color w:val="0563C1" w:themeColor="hyperlink"/>
      <w:u w:val="single"/>
    </w:rPr>
  </w:style>
  <w:style w:type="character" w:styleId="UnresolvedMention">
    <w:name w:val="Unresolved Mention"/>
    <w:basedOn w:val="DefaultParagraphFont"/>
    <w:uiPriority w:val="99"/>
    <w:semiHidden/>
    <w:unhideWhenUsed/>
    <w:rsid w:val="008A04FC"/>
    <w:rPr>
      <w:color w:val="605E5C"/>
      <w:shd w:val="clear" w:color="auto" w:fill="E1DFDD"/>
    </w:rPr>
  </w:style>
  <w:style w:type="paragraph" w:styleId="Header">
    <w:name w:val="header"/>
    <w:basedOn w:val="Normal"/>
    <w:link w:val="HeaderChar"/>
    <w:uiPriority w:val="99"/>
    <w:unhideWhenUsed/>
    <w:rsid w:val="00C507D2"/>
    <w:pPr>
      <w:tabs>
        <w:tab w:val="center" w:pos="4680"/>
        <w:tab w:val="right" w:pos="9360"/>
      </w:tabs>
      <w:spacing w:after="0" w:line="240" w:lineRule="auto"/>
    </w:pPr>
  </w:style>
  <w:style w:type="character" w:customStyle="1" w:styleId="HeaderChar">
    <w:name w:val="Header Char"/>
    <w:basedOn w:val="DefaultParagraphFont"/>
    <w:link w:val="Header"/>
    <w:uiPriority w:val="99"/>
    <w:rsid w:val="00C507D2"/>
  </w:style>
  <w:style w:type="paragraph" w:styleId="Footer">
    <w:name w:val="footer"/>
    <w:basedOn w:val="Normal"/>
    <w:link w:val="FooterChar"/>
    <w:uiPriority w:val="99"/>
    <w:unhideWhenUsed/>
    <w:rsid w:val="00C507D2"/>
    <w:pPr>
      <w:tabs>
        <w:tab w:val="center" w:pos="4680"/>
        <w:tab w:val="right" w:pos="9360"/>
      </w:tabs>
      <w:spacing w:after="0" w:line="240" w:lineRule="auto"/>
    </w:pPr>
  </w:style>
  <w:style w:type="character" w:customStyle="1" w:styleId="FooterChar">
    <w:name w:val="Footer Char"/>
    <w:basedOn w:val="DefaultParagraphFont"/>
    <w:link w:val="Footer"/>
    <w:uiPriority w:val="99"/>
    <w:rsid w:val="00C507D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65687017">
      <w:bodyDiv w:val="1"/>
      <w:marLeft w:val="0"/>
      <w:marRight w:val="0"/>
      <w:marTop w:val="0"/>
      <w:marBottom w:val="0"/>
      <w:divBdr>
        <w:top w:val="none" w:sz="0" w:space="0" w:color="auto"/>
        <w:left w:val="none" w:sz="0" w:space="0" w:color="auto"/>
        <w:bottom w:val="none" w:sz="0" w:space="0" w:color="auto"/>
        <w:right w:val="none" w:sz="0" w:space="0" w:color="auto"/>
      </w:divBdr>
    </w:div>
    <w:div w:id="29649634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https://doi.org/10.1038/s41586-025-09841-y" TargetMode="External" /><Relationship Id="rId13" Type="http://schemas.openxmlformats.org/officeDocument/2006/relationships/hyperlink" Target="https://doi.org/10.1177/15500594211042708" TargetMode="External" /><Relationship Id="rId18" Type="http://schemas.openxmlformats.org/officeDocument/2006/relationships/hyperlink" Target="https://digital.nhs.uk/data-and-information/publications/statistical/primary-care-dementia-data/primary-care-dementia-data-supporting-information/primary-care-dementia-data-supporting-information" TargetMode="External" /><Relationship Id="rId26" Type="http://schemas.openxmlformats.org/officeDocument/2006/relationships/theme" Target="theme/theme1.xml" /><Relationship Id="rId3" Type="http://schemas.openxmlformats.org/officeDocument/2006/relationships/settings" Target="settings.xml" /><Relationship Id="rId21" Type="http://schemas.openxmlformats.org/officeDocument/2006/relationships/hyperlink" Target="https://www.gov.uk/government/statistics/dementia-data-and-intelligence-february-2026-update" TargetMode="External" /><Relationship Id="rId7" Type="http://schemas.openxmlformats.org/officeDocument/2006/relationships/footer" Target="footer1.xml" /><Relationship Id="rId12" Type="http://schemas.openxmlformats.org/officeDocument/2006/relationships/hyperlink" Target="https://www.alzheimers.org.uk/get-support/publications-and-factsheets/dementia-together/dementia-care-postcode-lottery-must-end" TargetMode="External" /><Relationship Id="rId17" Type="http://schemas.openxmlformats.org/officeDocument/2006/relationships/hyperlink" Target="https://digital.nhs.uk/data-and-information/publications/statistical/primary-care-dementia-data/january-2026" TargetMode="External" /><Relationship Id="rId25" Type="http://schemas.openxmlformats.org/officeDocument/2006/relationships/fontTable" Target="fontTable.xml" /><Relationship Id="rId2" Type="http://schemas.openxmlformats.org/officeDocument/2006/relationships/styles" Target="styles.xml" /><Relationship Id="rId16" Type="http://schemas.openxmlformats.org/officeDocument/2006/relationships/hyperlink" Target="https://www.ipsos.com/en-uk/39-adults-aged-18-appear-be-aware-it-possible-person-reduce-their-risk-developing-dementia" TargetMode="External" /><Relationship Id="rId20" Type="http://schemas.openxmlformats.org/officeDocument/2006/relationships/hyperlink" Target="https://www.nice.org.uk/guidance/ng97/chapter/recommendations" TargetMode="External" /><Relationship Id="rId1" Type="http://schemas.openxmlformats.org/officeDocument/2006/relationships/numbering" Target="numbering.xml" /><Relationship Id="rId6" Type="http://schemas.openxmlformats.org/officeDocument/2006/relationships/endnotes" Target="endnotes.xml" /><Relationship Id="rId11" Type="http://schemas.openxmlformats.org/officeDocument/2006/relationships/hyperlink" Target="https://www.alzheimers.org.uk/what-we-do/policy-and-influencing/economic-impact-of-dementia" TargetMode="External" /><Relationship Id="rId24" Type="http://schemas.openxmlformats.org/officeDocument/2006/relationships/hyperlink" Target="https://questions-statements.parliament.uk/written-questions/detail/2025-05-21/54013" TargetMode="External" /><Relationship Id="rId5" Type="http://schemas.openxmlformats.org/officeDocument/2006/relationships/footnotes" Target="footnotes.xml" /><Relationship Id="rId15" Type="http://schemas.openxmlformats.org/officeDocument/2006/relationships/hyperlink" Target="https://doi.org/10.1038/s41582-025-01173-9" TargetMode="External" /><Relationship Id="rId23" Type="http://schemas.openxmlformats.org/officeDocument/2006/relationships/hyperlink" Target="https://www.dailymail.co.uk/health/article-15573601/young-onset-dementia-january-" TargetMode="External" /><Relationship Id="rId10" Type="http://schemas.openxmlformats.org/officeDocument/2006/relationships/hyperlink" Target="https://www.alzheimers.org.uk/news/2024-05-10/soaring-dementia-care-costs-uk-42-billion" TargetMode="External" /><Relationship Id="rId19" Type="http://schemas.openxmlformats.org/officeDocument/2006/relationships/hyperlink" Target="https://www.nice.org.uk/guidance/ng97/resources/dementia-assessment-management-and-support-for-people-living-with-dementia-and-their-carers-pdf-1837760199109" TargetMode="External" /><Relationship Id="rId4" Type="http://schemas.openxmlformats.org/officeDocument/2006/relationships/webSettings" Target="webSettings.xml" /><Relationship Id="rId9" Type="http://schemas.openxmlformats.org/officeDocument/2006/relationships/hyperlink" Target="https://www.alzheimers.org.uk/news/2024-09-16/living-with-undiagnosed-dementia-three-times-more-likely-visit-ae" TargetMode="External" /><Relationship Id="rId14" Type="http://schemas.openxmlformats.org/officeDocument/2006/relationships/hyperlink" Target="https://doi.org/10.1038/s41582-025-01173-9" TargetMode="External" /><Relationship Id="rId22" Type="http://schemas.openxmlformats.org/officeDocument/2006/relationships/hyperlink" Target="https://www.cambridge-news.co.uk/news/health/68000-die-disease-year-cases-33294417?int_source=nba"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2598</Words>
  <Characters>14815</Characters>
  <Application>Microsoft Office Word</Application>
  <DocSecurity>0</DocSecurity>
  <Lines>123</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17379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HP</dc:creator>
  <cp:lastModifiedBy>UGBEBOR, Hope (THE PRINCESS ALEXANDRA HOSPITAL NHS TRUST)</cp:lastModifiedBy>
  <cp:revision>2</cp:revision>
  <dcterms:created xsi:type="dcterms:W3CDTF">2026-04-21T03:50:00Z</dcterms:created>
  <dcterms:modified xsi:type="dcterms:W3CDTF">2026-04-21T03:50:00Z</dcterms:modified>
</cp:coreProperties>
</file>