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D2E71"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48B8B40"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286A0D2A"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787C1E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E276760"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48B5DC9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3DD4DE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5C033D3C" w14:textId="77777777" w:rsidR="00487A5F" w:rsidRPr="0097028A" w:rsidRDefault="00487A5F" w:rsidP="004005B1">
      <w:pPr>
        <w:pStyle w:val="ListParagraph"/>
        <w:spacing w:line="240" w:lineRule="auto"/>
        <w:ind w:left="0"/>
        <w:jc w:val="both"/>
        <w:rPr>
          <w:rFonts w:ascii="Book Antiqua" w:hAnsi="Book Antiqua" w:cs="Times New Roman"/>
          <w:b/>
          <w:bCs/>
          <w:sz w:val="24"/>
          <w:szCs w:val="24"/>
        </w:rPr>
      </w:pPr>
    </w:p>
    <w:p w14:paraId="4DD4EC60" w14:textId="77777777" w:rsidR="008833DF" w:rsidRPr="0097028A" w:rsidRDefault="008833DF" w:rsidP="004005B1">
      <w:pPr>
        <w:pStyle w:val="ListParagraph"/>
        <w:spacing w:line="240" w:lineRule="auto"/>
        <w:jc w:val="center"/>
        <w:rPr>
          <w:rFonts w:ascii="Book Antiqua" w:hAnsi="Book Antiqua" w:cs="Times New Roman"/>
          <w:b/>
          <w:bCs/>
          <w:sz w:val="28"/>
          <w:szCs w:val="28"/>
        </w:rPr>
      </w:pPr>
      <w:r w:rsidRPr="0097028A">
        <w:rPr>
          <w:rFonts w:ascii="Book Antiqua" w:hAnsi="Book Antiqua" w:cs="Times New Roman"/>
          <w:b/>
          <w:bCs/>
          <w:sz w:val="28"/>
          <w:szCs w:val="28"/>
        </w:rPr>
        <w:t>Critical Literature Reviews for Doctoral Research</w:t>
      </w:r>
    </w:p>
    <w:p w14:paraId="585B1ED0" w14:textId="63BA842E" w:rsidR="00487A5F" w:rsidRPr="0097028A" w:rsidRDefault="00487A5F" w:rsidP="004005B1">
      <w:pPr>
        <w:pStyle w:val="ListParagraph"/>
        <w:spacing w:line="240" w:lineRule="auto"/>
        <w:jc w:val="center"/>
        <w:rPr>
          <w:rFonts w:ascii="Book Antiqua" w:hAnsi="Book Antiqua" w:cs="Times New Roman"/>
          <w:b/>
          <w:bCs/>
          <w:sz w:val="28"/>
          <w:szCs w:val="28"/>
        </w:rPr>
      </w:pPr>
      <w:r w:rsidRPr="0097028A">
        <w:rPr>
          <w:rFonts w:ascii="Book Antiqua" w:hAnsi="Book Antiqua" w:cs="Times New Roman"/>
          <w:b/>
          <w:bCs/>
          <w:sz w:val="28"/>
          <w:szCs w:val="28"/>
        </w:rPr>
        <w:t>LCDB70</w:t>
      </w:r>
      <w:r w:rsidR="008833DF" w:rsidRPr="0097028A">
        <w:rPr>
          <w:rFonts w:ascii="Book Antiqua" w:hAnsi="Book Antiqua" w:cs="Times New Roman"/>
          <w:b/>
          <w:bCs/>
          <w:sz w:val="28"/>
          <w:szCs w:val="28"/>
        </w:rPr>
        <w:t>09</w:t>
      </w:r>
    </w:p>
    <w:p w14:paraId="3AB9F8BE" w14:textId="32393E48" w:rsidR="00487A5F" w:rsidRPr="0097028A" w:rsidRDefault="00487A5F" w:rsidP="004005B1">
      <w:pPr>
        <w:pStyle w:val="ListParagraph"/>
        <w:spacing w:line="240" w:lineRule="auto"/>
        <w:jc w:val="center"/>
        <w:rPr>
          <w:rFonts w:ascii="Book Antiqua" w:hAnsi="Book Antiqua" w:cs="Times New Roman"/>
          <w:b/>
          <w:bCs/>
          <w:sz w:val="28"/>
          <w:szCs w:val="28"/>
        </w:rPr>
      </w:pPr>
      <w:r w:rsidRPr="0097028A">
        <w:rPr>
          <w:rFonts w:ascii="Book Antiqua" w:hAnsi="Book Antiqua" w:cs="Times New Roman"/>
          <w:b/>
          <w:bCs/>
          <w:sz w:val="28"/>
          <w:szCs w:val="28"/>
        </w:rPr>
        <w:t>Programme: D</w:t>
      </w:r>
      <w:r w:rsidR="0097028A" w:rsidRPr="0097028A">
        <w:rPr>
          <w:rFonts w:ascii="Book Antiqua" w:hAnsi="Book Antiqua" w:cs="Times New Roman"/>
          <w:b/>
          <w:bCs/>
          <w:sz w:val="28"/>
          <w:szCs w:val="28"/>
        </w:rPr>
        <w:t xml:space="preserve">octor of </w:t>
      </w:r>
      <w:r w:rsidRPr="0097028A">
        <w:rPr>
          <w:rFonts w:ascii="Book Antiqua" w:hAnsi="Book Antiqua" w:cs="Times New Roman"/>
          <w:b/>
          <w:bCs/>
          <w:sz w:val="28"/>
          <w:szCs w:val="28"/>
        </w:rPr>
        <w:t>B</w:t>
      </w:r>
      <w:r w:rsidR="0097028A" w:rsidRPr="0097028A">
        <w:rPr>
          <w:rFonts w:ascii="Book Antiqua" w:hAnsi="Book Antiqua" w:cs="Times New Roman"/>
          <w:b/>
          <w:bCs/>
          <w:sz w:val="28"/>
          <w:szCs w:val="28"/>
        </w:rPr>
        <w:t xml:space="preserve">usiness </w:t>
      </w:r>
      <w:r w:rsidRPr="0097028A">
        <w:rPr>
          <w:rFonts w:ascii="Book Antiqua" w:hAnsi="Book Antiqua" w:cs="Times New Roman"/>
          <w:b/>
          <w:bCs/>
          <w:sz w:val="28"/>
          <w:szCs w:val="28"/>
        </w:rPr>
        <w:t>A</w:t>
      </w:r>
      <w:r w:rsidR="0097028A" w:rsidRPr="0097028A">
        <w:rPr>
          <w:rFonts w:ascii="Book Antiqua" w:hAnsi="Book Antiqua" w:cs="Times New Roman"/>
          <w:b/>
          <w:bCs/>
          <w:sz w:val="28"/>
          <w:szCs w:val="28"/>
        </w:rPr>
        <w:t>dministration</w:t>
      </w:r>
    </w:p>
    <w:p w14:paraId="0B886014" w14:textId="77777777" w:rsidR="00487A5F" w:rsidRPr="0097028A" w:rsidRDefault="00487A5F" w:rsidP="004005B1">
      <w:pPr>
        <w:pStyle w:val="ListParagraph"/>
        <w:spacing w:line="240" w:lineRule="auto"/>
        <w:ind w:left="0"/>
        <w:jc w:val="both"/>
        <w:rPr>
          <w:rFonts w:ascii="Book Antiqua" w:hAnsi="Book Antiqua" w:cs="Times New Roman"/>
          <w:b/>
          <w:bCs/>
          <w:sz w:val="16"/>
          <w:szCs w:val="16"/>
        </w:rPr>
      </w:pPr>
    </w:p>
    <w:p w14:paraId="09DA8495"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1F1D0D24"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388DDCB8"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355952F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3ED18D13"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FC9DF9B"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E942E86"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15C9B634"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65FB58A" w14:textId="77777777"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Submitted By: Parmita Saha</w:t>
      </w:r>
    </w:p>
    <w:p w14:paraId="50C4685E" w14:textId="77777777"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Student ID: 2523926</w:t>
      </w:r>
    </w:p>
    <w:p w14:paraId="19E4B418" w14:textId="77777777" w:rsidR="00487A5F" w:rsidRPr="00190CB6" w:rsidRDefault="00487A5F" w:rsidP="004005B1">
      <w:pPr>
        <w:pStyle w:val="ListParagraph"/>
        <w:spacing w:line="240" w:lineRule="auto"/>
        <w:jc w:val="center"/>
        <w:rPr>
          <w:rFonts w:ascii="Book Antiqua" w:hAnsi="Book Antiqua" w:cs="Times New Roman"/>
          <w:b/>
          <w:bCs/>
          <w:sz w:val="20"/>
          <w:szCs w:val="20"/>
        </w:rPr>
      </w:pPr>
    </w:p>
    <w:p w14:paraId="75DDBD4E" w14:textId="77777777" w:rsidR="00487A5F" w:rsidRPr="00190CB6" w:rsidRDefault="00487A5F" w:rsidP="004005B1">
      <w:pPr>
        <w:pStyle w:val="ListParagraph"/>
        <w:spacing w:line="240" w:lineRule="auto"/>
        <w:jc w:val="center"/>
        <w:rPr>
          <w:rFonts w:ascii="Book Antiqua" w:hAnsi="Book Antiqua" w:cs="Times New Roman"/>
          <w:b/>
          <w:bCs/>
          <w:sz w:val="20"/>
          <w:szCs w:val="20"/>
        </w:rPr>
      </w:pPr>
    </w:p>
    <w:p w14:paraId="56B44934" w14:textId="1722914F"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 xml:space="preserve">Submitted To: Prof. </w:t>
      </w:r>
      <w:r w:rsidR="00681A99" w:rsidRPr="00190CB6">
        <w:rPr>
          <w:rFonts w:ascii="Book Antiqua" w:hAnsi="Book Antiqua" w:cs="Times New Roman"/>
          <w:b/>
          <w:bCs/>
          <w:sz w:val="20"/>
          <w:szCs w:val="20"/>
        </w:rPr>
        <w:t xml:space="preserve">Dr. </w:t>
      </w:r>
      <w:r w:rsidR="00681A99" w:rsidRPr="00190CB6">
        <w:rPr>
          <w:rFonts w:ascii="Book Antiqua" w:hAnsi="Book Antiqua" w:cs="Times New Roman"/>
          <w:b/>
          <w:bCs/>
          <w:sz w:val="20"/>
          <w:szCs w:val="20"/>
          <w:lang w:val="en-US"/>
        </w:rPr>
        <w:t>Mansoob Murshed</w:t>
      </w:r>
    </w:p>
    <w:p w14:paraId="5D693112" w14:textId="4F7406E7"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Submission Date: Ju</w:t>
      </w:r>
      <w:r w:rsidR="00681A99" w:rsidRPr="00190CB6">
        <w:rPr>
          <w:rFonts w:ascii="Book Antiqua" w:hAnsi="Book Antiqua" w:cs="Times New Roman"/>
          <w:b/>
          <w:bCs/>
          <w:sz w:val="20"/>
          <w:szCs w:val="20"/>
        </w:rPr>
        <w:t>ly</w:t>
      </w:r>
      <w:r w:rsidRPr="00190CB6">
        <w:rPr>
          <w:rFonts w:ascii="Book Antiqua" w:hAnsi="Book Antiqua" w:cs="Times New Roman"/>
          <w:b/>
          <w:bCs/>
          <w:sz w:val="20"/>
          <w:szCs w:val="20"/>
        </w:rPr>
        <w:t xml:space="preserve"> </w:t>
      </w:r>
      <w:r w:rsidR="0097028A">
        <w:rPr>
          <w:rFonts w:ascii="Book Antiqua" w:hAnsi="Book Antiqua" w:cs="Times New Roman"/>
          <w:b/>
          <w:bCs/>
          <w:sz w:val="20"/>
          <w:szCs w:val="20"/>
        </w:rPr>
        <w:t>27</w:t>
      </w:r>
      <w:r w:rsidRPr="00190CB6">
        <w:rPr>
          <w:rFonts w:ascii="Book Antiqua" w:hAnsi="Book Antiqua" w:cs="Times New Roman"/>
          <w:b/>
          <w:bCs/>
          <w:sz w:val="20"/>
          <w:szCs w:val="20"/>
        </w:rPr>
        <w:t>, 2026</w:t>
      </w:r>
    </w:p>
    <w:p w14:paraId="278C6FEF" w14:textId="77777777" w:rsidR="00487A5F" w:rsidRPr="00190CB6" w:rsidRDefault="00487A5F" w:rsidP="004005B1">
      <w:pPr>
        <w:pStyle w:val="ListParagraph"/>
        <w:spacing w:line="240" w:lineRule="auto"/>
        <w:ind w:left="0"/>
        <w:jc w:val="both"/>
        <w:rPr>
          <w:rFonts w:ascii="Book Antiqua" w:hAnsi="Book Antiqua" w:cs="Times New Roman"/>
          <w:b/>
          <w:bCs/>
          <w:sz w:val="20"/>
          <w:szCs w:val="20"/>
        </w:rPr>
      </w:pPr>
    </w:p>
    <w:p w14:paraId="51AEE8FB" w14:textId="77777777" w:rsidR="00487A5F" w:rsidRPr="00190CB6" w:rsidRDefault="00487A5F" w:rsidP="004005B1">
      <w:pPr>
        <w:pStyle w:val="ListParagraph"/>
        <w:spacing w:line="240" w:lineRule="auto"/>
        <w:ind w:left="0"/>
        <w:jc w:val="both"/>
        <w:rPr>
          <w:rFonts w:ascii="Book Antiqua" w:hAnsi="Book Antiqua" w:cs="Times New Roman"/>
          <w:b/>
          <w:bCs/>
          <w:sz w:val="20"/>
          <w:szCs w:val="20"/>
        </w:rPr>
      </w:pPr>
    </w:p>
    <w:p w14:paraId="3E2CD820" w14:textId="77777777" w:rsidR="00487A5F" w:rsidRPr="00190CB6" w:rsidRDefault="00487A5F" w:rsidP="004005B1">
      <w:pPr>
        <w:pStyle w:val="ListParagraph"/>
        <w:spacing w:line="240" w:lineRule="auto"/>
        <w:ind w:left="0"/>
        <w:jc w:val="both"/>
        <w:rPr>
          <w:rFonts w:ascii="Book Antiqua" w:hAnsi="Book Antiqua" w:cs="Times New Roman"/>
          <w:b/>
          <w:bCs/>
          <w:sz w:val="20"/>
          <w:szCs w:val="20"/>
        </w:rPr>
      </w:pPr>
    </w:p>
    <w:p w14:paraId="596C0F87"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219C87F6"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D189AA6"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3F18137"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62F6C337" w14:textId="77777777" w:rsidR="00487A5F" w:rsidRDefault="00487A5F" w:rsidP="004005B1">
      <w:pPr>
        <w:pStyle w:val="ListParagraph"/>
        <w:spacing w:line="240" w:lineRule="auto"/>
        <w:ind w:left="0"/>
        <w:jc w:val="both"/>
        <w:rPr>
          <w:rFonts w:ascii="Book Antiqua" w:hAnsi="Book Antiqua" w:cs="Times New Roman"/>
          <w:b/>
          <w:bCs/>
          <w:sz w:val="18"/>
          <w:szCs w:val="18"/>
        </w:rPr>
      </w:pPr>
    </w:p>
    <w:p w14:paraId="1B7717E2" w14:textId="77777777" w:rsidR="00B82811" w:rsidRDefault="00B82811" w:rsidP="004005B1">
      <w:pPr>
        <w:pStyle w:val="ListParagraph"/>
        <w:spacing w:line="240" w:lineRule="auto"/>
        <w:ind w:left="0"/>
        <w:jc w:val="both"/>
        <w:rPr>
          <w:rFonts w:ascii="Book Antiqua" w:hAnsi="Book Antiqua" w:cs="Times New Roman"/>
          <w:b/>
          <w:bCs/>
          <w:sz w:val="18"/>
          <w:szCs w:val="18"/>
        </w:rPr>
      </w:pPr>
    </w:p>
    <w:p w14:paraId="09BC5F31" w14:textId="77777777" w:rsidR="00B82811" w:rsidRDefault="00B82811" w:rsidP="004005B1">
      <w:pPr>
        <w:pStyle w:val="ListParagraph"/>
        <w:spacing w:line="240" w:lineRule="auto"/>
        <w:ind w:left="0"/>
        <w:jc w:val="both"/>
        <w:rPr>
          <w:rFonts w:ascii="Book Antiqua" w:hAnsi="Book Antiqua" w:cs="Times New Roman"/>
          <w:b/>
          <w:bCs/>
          <w:sz w:val="18"/>
          <w:szCs w:val="18"/>
        </w:rPr>
      </w:pPr>
    </w:p>
    <w:p w14:paraId="03A3649D" w14:textId="77777777" w:rsidR="00B82811" w:rsidRPr="00E94793" w:rsidRDefault="00B82811" w:rsidP="004005B1">
      <w:pPr>
        <w:pStyle w:val="ListParagraph"/>
        <w:spacing w:line="240" w:lineRule="auto"/>
        <w:ind w:left="0"/>
        <w:jc w:val="both"/>
        <w:rPr>
          <w:rFonts w:ascii="Book Antiqua" w:hAnsi="Book Antiqua" w:cs="Times New Roman"/>
          <w:b/>
          <w:bCs/>
          <w:sz w:val="18"/>
          <w:szCs w:val="18"/>
        </w:rPr>
      </w:pPr>
    </w:p>
    <w:p w14:paraId="2FAC0393" w14:textId="77777777" w:rsidR="00487A5F" w:rsidRPr="00E94793" w:rsidRDefault="00487A5F" w:rsidP="004005B1">
      <w:pPr>
        <w:pStyle w:val="ListParagraph"/>
        <w:spacing w:line="240" w:lineRule="auto"/>
        <w:ind w:left="0"/>
        <w:jc w:val="center"/>
        <w:rPr>
          <w:rFonts w:ascii="Book Antiqua" w:hAnsi="Book Antiqua" w:cs="Times New Roman"/>
          <w:b/>
          <w:bCs/>
          <w:sz w:val="18"/>
          <w:szCs w:val="18"/>
        </w:rPr>
      </w:pPr>
      <w:r w:rsidRPr="00E94793">
        <w:rPr>
          <w:noProof/>
          <w:sz w:val="18"/>
          <w:szCs w:val="18"/>
        </w:rPr>
        <w:drawing>
          <wp:inline distT="0" distB="0" distL="0" distR="0" wp14:anchorId="7511FC22" wp14:editId="4E02AD78">
            <wp:extent cx="4097655" cy="1354914"/>
            <wp:effectExtent l="0" t="0" r="0" b="0"/>
            <wp:docPr id="20809560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0629" cy="1362511"/>
                    </a:xfrm>
                    <a:prstGeom prst="rect">
                      <a:avLst/>
                    </a:prstGeom>
                    <a:noFill/>
                    <a:ln>
                      <a:noFill/>
                    </a:ln>
                  </pic:spPr>
                </pic:pic>
              </a:graphicData>
            </a:graphic>
          </wp:inline>
        </w:drawing>
      </w:r>
    </w:p>
    <w:p w14:paraId="5BB138CC" w14:textId="77777777" w:rsidR="003874A9" w:rsidRPr="00E94793" w:rsidRDefault="003874A9" w:rsidP="004005B1">
      <w:pPr>
        <w:spacing w:after="80" w:line="240" w:lineRule="auto"/>
        <w:jc w:val="both"/>
        <w:rPr>
          <w:rFonts w:ascii="Book Antiqua" w:hAnsi="Book Antiqua"/>
          <w:b/>
          <w:color w:val="1F497D"/>
          <w:sz w:val="18"/>
          <w:szCs w:val="18"/>
        </w:rPr>
      </w:pPr>
    </w:p>
    <w:p w14:paraId="4E4E9D19" w14:textId="77777777" w:rsidR="00190CB6" w:rsidRDefault="00190CB6" w:rsidP="004005B1">
      <w:pPr>
        <w:spacing w:after="80" w:line="240" w:lineRule="auto"/>
        <w:jc w:val="both"/>
        <w:rPr>
          <w:rFonts w:ascii="Book Antiqua" w:hAnsi="Book Antiqua"/>
          <w:b/>
          <w:color w:val="1F497D"/>
          <w:sz w:val="18"/>
          <w:szCs w:val="18"/>
        </w:rPr>
      </w:pPr>
    </w:p>
    <w:p w14:paraId="0ECE7365" w14:textId="77777777" w:rsidR="00190CB6" w:rsidRDefault="00190CB6" w:rsidP="004005B1">
      <w:pPr>
        <w:spacing w:after="80" w:line="240" w:lineRule="auto"/>
        <w:jc w:val="both"/>
        <w:rPr>
          <w:rFonts w:ascii="Book Antiqua" w:hAnsi="Book Antiqua"/>
          <w:b/>
          <w:color w:val="1F497D"/>
          <w:sz w:val="18"/>
          <w:szCs w:val="18"/>
        </w:rPr>
      </w:pPr>
    </w:p>
    <w:p w14:paraId="6CBCDA42" w14:textId="77777777" w:rsidR="00190CB6" w:rsidRDefault="00190CB6" w:rsidP="004005B1">
      <w:pPr>
        <w:spacing w:after="80" w:line="240" w:lineRule="auto"/>
        <w:jc w:val="both"/>
        <w:rPr>
          <w:rFonts w:ascii="Book Antiqua" w:hAnsi="Book Antiqua"/>
          <w:b/>
          <w:color w:val="1F497D"/>
          <w:sz w:val="18"/>
          <w:szCs w:val="18"/>
        </w:rPr>
      </w:pPr>
    </w:p>
    <w:p w14:paraId="0C620C19" w14:textId="77777777" w:rsidR="0097028A" w:rsidRDefault="0097028A" w:rsidP="004005B1">
      <w:pPr>
        <w:spacing w:after="80" w:line="240" w:lineRule="auto"/>
        <w:jc w:val="both"/>
        <w:rPr>
          <w:rFonts w:ascii="Book Antiqua" w:hAnsi="Book Antiqua"/>
          <w:b/>
          <w:color w:val="1F497D"/>
          <w:sz w:val="18"/>
          <w:szCs w:val="18"/>
        </w:rPr>
      </w:pPr>
    </w:p>
    <w:p w14:paraId="7390F694" w14:textId="77777777" w:rsidR="0097028A" w:rsidRDefault="0097028A" w:rsidP="004005B1">
      <w:pPr>
        <w:spacing w:after="80" w:line="240" w:lineRule="auto"/>
        <w:jc w:val="both"/>
        <w:rPr>
          <w:rFonts w:ascii="Book Antiqua" w:hAnsi="Book Antiqua"/>
          <w:b/>
          <w:color w:val="1F497D"/>
          <w:sz w:val="18"/>
          <w:szCs w:val="18"/>
        </w:rPr>
      </w:pPr>
    </w:p>
    <w:p w14:paraId="491A0F9E" w14:textId="77777777" w:rsidR="00190CB6" w:rsidRDefault="00190CB6" w:rsidP="004005B1">
      <w:pPr>
        <w:spacing w:after="80" w:line="240" w:lineRule="auto"/>
        <w:jc w:val="both"/>
        <w:rPr>
          <w:rFonts w:ascii="Book Antiqua" w:hAnsi="Book Antiqua"/>
          <w:b/>
          <w:color w:val="1F497D"/>
          <w:sz w:val="18"/>
          <w:szCs w:val="18"/>
        </w:rPr>
      </w:pPr>
    </w:p>
    <w:p w14:paraId="563123A3" w14:textId="240E0672" w:rsidR="0055037E" w:rsidRPr="00C5586E" w:rsidRDefault="00FE438E" w:rsidP="0097028A">
      <w:pPr>
        <w:spacing w:after="80" w:line="240" w:lineRule="auto"/>
        <w:jc w:val="center"/>
        <w:rPr>
          <w:rFonts w:ascii="Book Antiqua" w:hAnsi="Book Antiqua"/>
        </w:rPr>
      </w:pPr>
      <w:r w:rsidRPr="00C5586E">
        <w:rPr>
          <w:rFonts w:ascii="Book Antiqua" w:hAnsi="Book Antiqua"/>
          <w:b/>
          <w:color w:val="1F497D"/>
        </w:rPr>
        <w:lastRenderedPageBreak/>
        <w:t xml:space="preserve">Part I: </w:t>
      </w:r>
      <w:r w:rsidR="0055037E" w:rsidRPr="00C5586E">
        <w:rPr>
          <w:rFonts w:ascii="Book Antiqua" w:hAnsi="Book Antiqua"/>
          <w:b/>
          <w:color w:val="1F497D"/>
        </w:rPr>
        <w:t>The Architecture of a Critical Literature Review in Doctoral Research</w:t>
      </w:r>
    </w:p>
    <w:p w14:paraId="36311522" w14:textId="77777777" w:rsidR="0055037E" w:rsidRDefault="0055037E" w:rsidP="0097028A">
      <w:pPr>
        <w:spacing w:after="0" w:line="240" w:lineRule="auto"/>
        <w:jc w:val="center"/>
        <w:rPr>
          <w:rFonts w:ascii="Book Antiqua" w:hAnsi="Book Antiqua"/>
          <w:sz w:val="16"/>
          <w:szCs w:val="16"/>
        </w:rPr>
      </w:pPr>
      <w:r w:rsidRPr="00B82811">
        <w:rPr>
          <w:rFonts w:ascii="Book Antiqua" w:hAnsi="Book Antiqua"/>
          <w:sz w:val="16"/>
          <w:szCs w:val="16"/>
        </w:rPr>
        <w:t>A Critical Exploration of Purpose, Content, Format, and Dissemination</w:t>
      </w:r>
    </w:p>
    <w:p w14:paraId="2AF731D7" w14:textId="77777777" w:rsidR="00C5586E" w:rsidRPr="00B82811" w:rsidRDefault="00C5586E" w:rsidP="00C5586E">
      <w:pPr>
        <w:spacing w:after="0" w:line="240" w:lineRule="auto"/>
        <w:jc w:val="both"/>
        <w:rPr>
          <w:rFonts w:ascii="Book Antiqua" w:hAnsi="Book Antiqua"/>
          <w:sz w:val="16"/>
          <w:szCs w:val="16"/>
        </w:rPr>
      </w:pPr>
    </w:p>
    <w:p w14:paraId="140488EE" w14:textId="77777777" w:rsidR="0055037E" w:rsidRPr="0097028A" w:rsidRDefault="0055037E" w:rsidP="00B82811">
      <w:pPr>
        <w:keepNext/>
        <w:spacing w:after="120"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1. Introduction</w:t>
      </w:r>
    </w:p>
    <w:p w14:paraId="0D05C232" w14:textId="17D23C46" w:rsidR="0055037E" w:rsidRPr="003019DC" w:rsidRDefault="0055037E" w:rsidP="004005B1">
      <w:pPr>
        <w:spacing w:line="240" w:lineRule="auto"/>
        <w:jc w:val="both"/>
        <w:rPr>
          <w:rFonts w:ascii="Book Antiqua" w:hAnsi="Book Antiqua"/>
          <w:sz w:val="16"/>
          <w:szCs w:val="16"/>
        </w:rPr>
      </w:pPr>
      <w:r w:rsidRPr="003019DC">
        <w:rPr>
          <w:rFonts w:ascii="Book Antiqua" w:hAnsi="Book Antiqua"/>
          <w:sz w:val="16"/>
          <w:szCs w:val="16"/>
        </w:rPr>
        <w:t>Conducting a critical literature review within doctoral-level research, such as a professional Doctor of Business Administration (DBA) represents a foundational academic endeavor that extends far beyond the mere descriptive summary of historical texts (</w:t>
      </w:r>
      <w:r w:rsidRPr="003019DC">
        <w:rPr>
          <w:rFonts w:ascii="Book Antiqua" w:hAnsi="Book Antiqua"/>
          <w:color w:val="0070C0"/>
          <w:sz w:val="16"/>
          <w:szCs w:val="16"/>
        </w:rPr>
        <w:t xml:space="preserve">Booth </w:t>
      </w:r>
      <w:r w:rsidRPr="003019DC">
        <w:rPr>
          <w:rFonts w:ascii="Book Antiqua" w:hAnsi="Book Antiqua"/>
          <w:i/>
          <w:iCs/>
          <w:color w:val="0070C0"/>
          <w:sz w:val="16"/>
          <w:szCs w:val="16"/>
        </w:rPr>
        <w:t>et al.</w:t>
      </w:r>
      <w:r w:rsidRPr="003019DC">
        <w:rPr>
          <w:rFonts w:ascii="Book Antiqua" w:hAnsi="Book Antiqua"/>
          <w:color w:val="0070C0"/>
          <w:sz w:val="16"/>
          <w:szCs w:val="16"/>
        </w:rPr>
        <w:t>, 2021</w:t>
      </w:r>
      <w:r w:rsidRPr="003019DC">
        <w:rPr>
          <w:rFonts w:ascii="Book Antiqua" w:hAnsi="Book Antiqua"/>
          <w:sz w:val="16"/>
          <w:szCs w:val="16"/>
        </w:rPr>
        <w:t>). Within traditional graduate studies, a literature review often operates as a passive summary demonstrating that a student has read established scholarship. In sharp contrast, doctoral research requires that the review serves as</w:t>
      </w:r>
      <w:r w:rsidR="00AB5BB7" w:rsidRPr="00AB5BB7">
        <w:rPr>
          <w:rFonts w:ascii="Book Antiqua" w:hAnsi="Book Antiqua"/>
          <w:sz w:val="16"/>
          <w:szCs w:val="16"/>
        </w:rPr>
        <w:t xml:space="preserve"> an analytical foundation that positions the study epistemologically, ontologically and methodologically while identifying opportunities for knowledge advancement</w:t>
      </w:r>
      <w:r w:rsidR="00AB5BB7">
        <w:rPr>
          <w:rFonts w:ascii="Book Antiqua" w:hAnsi="Book Antiqua"/>
          <w:sz w:val="16"/>
          <w:szCs w:val="16"/>
        </w:rPr>
        <w:t xml:space="preserve"> </w:t>
      </w:r>
      <w:r w:rsidRPr="003019DC">
        <w:rPr>
          <w:rFonts w:ascii="Book Antiqua" w:hAnsi="Book Antiqua"/>
          <w:sz w:val="16"/>
          <w:szCs w:val="16"/>
        </w:rPr>
        <w:t>(</w:t>
      </w:r>
      <w:r w:rsidRPr="003019DC">
        <w:rPr>
          <w:rFonts w:ascii="Book Antiqua" w:hAnsi="Book Antiqua"/>
          <w:color w:val="0070C0"/>
          <w:sz w:val="16"/>
          <w:szCs w:val="16"/>
        </w:rPr>
        <w:t xml:space="preserve">Creswell </w:t>
      </w:r>
      <w:r w:rsidR="00F0721A" w:rsidRPr="003019DC">
        <w:rPr>
          <w:rFonts w:ascii="Book Antiqua" w:hAnsi="Book Antiqua"/>
          <w:color w:val="0070C0"/>
          <w:sz w:val="16"/>
          <w:szCs w:val="16"/>
        </w:rPr>
        <w:t>and</w:t>
      </w:r>
      <w:r w:rsidRPr="003019DC">
        <w:rPr>
          <w:rFonts w:ascii="Book Antiqua" w:hAnsi="Book Antiqua"/>
          <w:color w:val="0070C0"/>
          <w:sz w:val="16"/>
          <w:szCs w:val="16"/>
        </w:rPr>
        <w:t xml:space="preserve"> Creswell, 2018</w:t>
      </w:r>
      <w:r w:rsidRPr="003019DC">
        <w:rPr>
          <w:rFonts w:ascii="Book Antiqua" w:hAnsi="Book Antiqua"/>
          <w:sz w:val="16"/>
          <w:szCs w:val="16"/>
        </w:rPr>
        <w:t>). Consequently, navigating the expansive sea of contemporary literature demands structural rigor, systematic execution, and a transparent reporting infrastructure.</w:t>
      </w:r>
    </w:p>
    <w:p w14:paraId="30F7A054" w14:textId="4650DD93" w:rsidR="0055037E" w:rsidRPr="003019DC" w:rsidRDefault="0055037E" w:rsidP="004005B1">
      <w:pPr>
        <w:spacing w:line="240" w:lineRule="auto"/>
        <w:jc w:val="both"/>
        <w:rPr>
          <w:rFonts w:ascii="Book Antiqua" w:hAnsi="Book Antiqua"/>
          <w:sz w:val="16"/>
          <w:szCs w:val="16"/>
        </w:rPr>
      </w:pPr>
      <w:r w:rsidRPr="003019DC">
        <w:rPr>
          <w:rFonts w:ascii="Book Antiqua" w:hAnsi="Book Antiqua"/>
          <w:sz w:val="16"/>
          <w:szCs w:val="16"/>
        </w:rPr>
        <w:t xml:space="preserve">To achieve this standard, doctoral researchers must look beyond superficial textbook instructions and instead engage deeply with foundational research methodologists. Scholars such as </w:t>
      </w:r>
      <w:r w:rsidRPr="003019DC">
        <w:rPr>
          <w:rFonts w:ascii="Book Antiqua" w:hAnsi="Book Antiqua"/>
          <w:color w:val="0070C0"/>
          <w:sz w:val="16"/>
          <w:szCs w:val="16"/>
        </w:rPr>
        <w:t xml:space="preserve">Crotty (1998) </w:t>
      </w:r>
      <w:r w:rsidRPr="003019DC">
        <w:rPr>
          <w:rFonts w:ascii="Book Antiqua" w:hAnsi="Book Antiqua"/>
          <w:sz w:val="16"/>
          <w:szCs w:val="16"/>
        </w:rPr>
        <w:t xml:space="preserve">provide key insights into constructionist and objectivist paradigms, while </w:t>
      </w:r>
      <w:r w:rsidRPr="003019DC">
        <w:rPr>
          <w:rFonts w:ascii="Book Antiqua" w:hAnsi="Book Antiqua"/>
          <w:color w:val="0070C0"/>
          <w:sz w:val="16"/>
          <w:szCs w:val="16"/>
        </w:rPr>
        <w:t xml:space="preserve">Maxwell (2013) </w:t>
      </w:r>
      <w:r w:rsidRPr="003019DC">
        <w:rPr>
          <w:rFonts w:ascii="Book Antiqua" w:hAnsi="Book Antiqua"/>
          <w:color w:val="000000" w:themeColor="text1"/>
          <w:sz w:val="16"/>
          <w:szCs w:val="16"/>
        </w:rPr>
        <w:t>and</w:t>
      </w:r>
      <w:r w:rsidRPr="003019DC">
        <w:rPr>
          <w:rFonts w:ascii="Book Antiqua" w:hAnsi="Book Antiqua"/>
          <w:color w:val="0070C0"/>
          <w:sz w:val="16"/>
          <w:szCs w:val="16"/>
        </w:rPr>
        <w:t xml:space="preserve"> Denscombe (201</w:t>
      </w:r>
      <w:r w:rsidR="00A91FDD">
        <w:rPr>
          <w:rFonts w:ascii="Book Antiqua" w:hAnsi="Book Antiqua"/>
          <w:color w:val="0070C0"/>
          <w:sz w:val="16"/>
          <w:szCs w:val="16"/>
        </w:rPr>
        <w:t>7</w:t>
      </w:r>
      <w:r w:rsidRPr="003019DC">
        <w:rPr>
          <w:rFonts w:ascii="Book Antiqua" w:hAnsi="Book Antiqua"/>
          <w:color w:val="0070C0"/>
          <w:sz w:val="16"/>
          <w:szCs w:val="16"/>
        </w:rPr>
        <w:t xml:space="preserve">) </w:t>
      </w:r>
      <w:r w:rsidRPr="003019DC">
        <w:rPr>
          <w:rFonts w:ascii="Book Antiqua" w:hAnsi="Book Antiqua"/>
          <w:sz w:val="16"/>
          <w:szCs w:val="16"/>
        </w:rPr>
        <w:t xml:space="preserve">focus heavily on qualitative research design and real-world reliability. Furthermore, the classic contributions of </w:t>
      </w:r>
      <w:r w:rsidRPr="003019DC">
        <w:rPr>
          <w:rFonts w:ascii="Book Antiqua" w:hAnsi="Book Antiqua"/>
          <w:color w:val="0070C0"/>
          <w:sz w:val="16"/>
          <w:szCs w:val="16"/>
        </w:rPr>
        <w:t xml:space="preserve">Easterby-Smith </w:t>
      </w:r>
      <w:r w:rsidRPr="003019DC">
        <w:rPr>
          <w:rFonts w:ascii="Book Antiqua" w:hAnsi="Book Antiqua"/>
          <w:i/>
          <w:iCs/>
          <w:color w:val="0070C0"/>
          <w:sz w:val="16"/>
          <w:szCs w:val="16"/>
        </w:rPr>
        <w:t xml:space="preserve">et al. </w:t>
      </w:r>
      <w:r w:rsidRPr="003019DC">
        <w:rPr>
          <w:rFonts w:ascii="Book Antiqua" w:hAnsi="Book Antiqua"/>
          <w:color w:val="0070C0"/>
          <w:sz w:val="16"/>
          <w:szCs w:val="16"/>
        </w:rPr>
        <w:t>(2015)</w:t>
      </w:r>
      <w:r w:rsidRPr="003019DC">
        <w:rPr>
          <w:rFonts w:ascii="Book Antiqua" w:hAnsi="Book Antiqua"/>
          <w:sz w:val="16"/>
          <w:szCs w:val="16"/>
        </w:rPr>
        <w:t xml:space="preserve">, </w:t>
      </w:r>
      <w:r w:rsidRPr="003019DC">
        <w:rPr>
          <w:rFonts w:ascii="Book Antiqua" w:hAnsi="Book Antiqua"/>
          <w:color w:val="auto"/>
          <w:sz w:val="16"/>
          <w:szCs w:val="16"/>
        </w:rPr>
        <w:t>alongside</w:t>
      </w:r>
      <w:r w:rsidRPr="003019DC">
        <w:rPr>
          <w:rFonts w:ascii="Book Antiqua" w:hAnsi="Book Antiqua"/>
          <w:color w:val="0070C0"/>
          <w:sz w:val="16"/>
          <w:szCs w:val="16"/>
        </w:rPr>
        <w:t xml:space="preserve"> Collis and Hussey (2014) </w:t>
      </w:r>
      <w:r w:rsidRPr="003019DC">
        <w:rPr>
          <w:rFonts w:ascii="Book Antiqua" w:hAnsi="Book Antiqua"/>
          <w:color w:val="000000" w:themeColor="text1"/>
          <w:sz w:val="16"/>
          <w:szCs w:val="16"/>
        </w:rPr>
        <w:t xml:space="preserve">and </w:t>
      </w:r>
      <w:r w:rsidRPr="003019DC">
        <w:rPr>
          <w:rFonts w:ascii="Book Antiqua" w:hAnsi="Book Antiqua"/>
          <w:color w:val="0070C0"/>
          <w:sz w:val="16"/>
          <w:szCs w:val="16"/>
        </w:rPr>
        <w:t>Cohen</w:t>
      </w:r>
      <w:r w:rsidRPr="003019DC">
        <w:rPr>
          <w:rFonts w:ascii="Book Antiqua" w:hAnsi="Book Antiqua"/>
          <w:i/>
          <w:iCs/>
          <w:color w:val="0070C0"/>
          <w:sz w:val="16"/>
          <w:szCs w:val="16"/>
        </w:rPr>
        <w:t xml:space="preserve"> et al.</w:t>
      </w:r>
      <w:r w:rsidRPr="003019DC">
        <w:rPr>
          <w:rFonts w:ascii="Book Antiqua" w:hAnsi="Book Antiqua"/>
          <w:color w:val="0070C0"/>
          <w:sz w:val="16"/>
          <w:szCs w:val="16"/>
        </w:rPr>
        <w:t xml:space="preserve"> (2018)</w:t>
      </w:r>
      <w:r w:rsidRPr="003019DC">
        <w:rPr>
          <w:rFonts w:ascii="Book Antiqua" w:hAnsi="Book Antiqua"/>
          <w:sz w:val="16"/>
          <w:szCs w:val="16"/>
        </w:rPr>
        <w:t xml:space="preserve">, highlight the intricate balance required when blending operational business frameworks with advanced philosophical underpinnings. Grounded in the comprehensive guidelines provided by </w:t>
      </w:r>
      <w:r w:rsidRPr="003019DC">
        <w:rPr>
          <w:rFonts w:ascii="Book Antiqua" w:hAnsi="Book Antiqua"/>
          <w:color w:val="0070C0"/>
          <w:sz w:val="16"/>
          <w:szCs w:val="16"/>
        </w:rPr>
        <w:t>Booth</w:t>
      </w:r>
      <w:r w:rsidRPr="003019DC">
        <w:rPr>
          <w:rFonts w:ascii="Book Antiqua" w:hAnsi="Book Antiqua"/>
          <w:i/>
          <w:iCs/>
          <w:color w:val="0070C0"/>
          <w:sz w:val="16"/>
          <w:szCs w:val="16"/>
        </w:rPr>
        <w:t xml:space="preserve"> et al.</w:t>
      </w:r>
      <w:r w:rsidRPr="003019DC">
        <w:rPr>
          <w:rFonts w:ascii="Book Antiqua" w:hAnsi="Book Antiqua"/>
          <w:color w:val="0070C0"/>
          <w:sz w:val="16"/>
          <w:szCs w:val="16"/>
        </w:rPr>
        <w:t xml:space="preserve"> (2021)</w:t>
      </w:r>
      <w:r w:rsidRPr="003019DC">
        <w:rPr>
          <w:rFonts w:ascii="Book Antiqua" w:hAnsi="Book Antiqua"/>
          <w:sz w:val="16"/>
          <w:szCs w:val="16"/>
        </w:rPr>
        <w:t>, this assignment critically explores the multi-dimensional architecture of a doctoral-level literature review, analyzing its overarching purpose, structural content, and multidimensional formatting paradigms.</w:t>
      </w:r>
    </w:p>
    <w:p w14:paraId="26CE77C8" w14:textId="77777777" w:rsidR="0055037E" w:rsidRPr="0097028A" w:rsidRDefault="0055037E" w:rsidP="00C5586E">
      <w:pPr>
        <w:keepNext/>
        <w:spacing w:after="120"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2. The Purpose: Analytical Shift from Description to Critical Synthesis</w:t>
      </w:r>
    </w:p>
    <w:p w14:paraId="59D5EF26" w14:textId="773E5E57" w:rsidR="0055037E" w:rsidRPr="004005B1" w:rsidRDefault="00E816CF" w:rsidP="004005B1">
      <w:pPr>
        <w:spacing w:line="240" w:lineRule="auto"/>
        <w:jc w:val="both"/>
        <w:rPr>
          <w:rFonts w:ascii="Book Antiqua" w:hAnsi="Book Antiqua"/>
          <w:sz w:val="16"/>
          <w:szCs w:val="16"/>
        </w:rPr>
      </w:pPr>
      <w:r w:rsidRPr="00E816CF">
        <w:rPr>
          <w:rFonts w:ascii="Book Antiqua" w:hAnsi="Book Antiqua"/>
          <w:sz w:val="16"/>
          <w:szCs w:val="16"/>
        </w:rPr>
        <w:t>The main purpose of a doctoral literature review is to critically locate the researcher’s study within the existing body of knowledge</w:t>
      </w:r>
      <w:r w:rsidRPr="00E816CF">
        <w:rPr>
          <w:rFonts w:ascii="Book Antiqua" w:hAnsi="Book Antiqua"/>
          <w:sz w:val="16"/>
          <w:szCs w:val="16"/>
        </w:rPr>
        <w:t xml:space="preserve"> </w:t>
      </w:r>
      <w:r w:rsidR="0055037E" w:rsidRPr="004005B1">
        <w:rPr>
          <w:rFonts w:ascii="Book Antiqua" w:hAnsi="Book Antiqua"/>
          <w:sz w:val="16"/>
          <w:szCs w:val="16"/>
        </w:rPr>
        <w:t>inside the existing global academic landscape. Therefore, the review cannot function merely as a sequential log of previous studies; instead, it must explicitly synthesize, deconstruct, and evaluate conflicting paradigms to locate structural gaps, empirical contradictions, or conceptual boundaries. Through this process, the literature review justifies the emergence of primary research questions. In doing so, the doctoral candidate shifts from being a passive consumer of information to an active contributor to science.</w:t>
      </w:r>
    </w:p>
    <w:p w14:paraId="7F44672F" w14:textId="77777777" w:rsidR="0055037E" w:rsidRPr="0097028A" w:rsidRDefault="0055037E" w:rsidP="00C5586E">
      <w:pPr>
        <w:keepNext/>
        <w:spacing w:after="80" w:line="240" w:lineRule="auto"/>
        <w:jc w:val="both"/>
        <w:rPr>
          <w:rFonts w:ascii="Book Antiqua" w:hAnsi="Book Antiqua"/>
          <w:color w:val="000000" w:themeColor="text1"/>
          <w:sz w:val="16"/>
          <w:szCs w:val="16"/>
        </w:rPr>
      </w:pPr>
      <w:r w:rsidRPr="0097028A">
        <w:rPr>
          <w:rFonts w:ascii="Book Antiqua" w:hAnsi="Book Antiqua"/>
          <w:b/>
          <w:color w:val="000000" w:themeColor="text1"/>
          <w:sz w:val="16"/>
          <w:szCs w:val="16"/>
        </w:rPr>
        <w:t>2.1 Operationalizing the CART Principles</w:t>
      </w:r>
    </w:p>
    <w:p w14:paraId="7E3762DE"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To establish verifiable academic rigor during the literature evaluation, the methodology and presentation of the review must be strictly governed by the foundational pillars of the CART framework: Clarity, Auditability, Replicability, and Transparency (</w:t>
      </w:r>
      <w:r w:rsidRPr="004005B1">
        <w:rPr>
          <w:rFonts w:ascii="Book Antiqua" w:hAnsi="Book Antiqua"/>
          <w:color w:val="0070C0"/>
          <w:sz w:val="16"/>
          <w:szCs w:val="16"/>
        </w:rPr>
        <w:t xml:space="preserve">Booth </w:t>
      </w:r>
      <w:r w:rsidRPr="004005B1">
        <w:rPr>
          <w:rFonts w:ascii="Book Antiqua" w:hAnsi="Book Antiqua"/>
          <w:i/>
          <w:iCs/>
          <w:color w:val="0070C0"/>
          <w:sz w:val="16"/>
          <w:szCs w:val="16"/>
        </w:rPr>
        <w:t>et al.,</w:t>
      </w:r>
      <w:r w:rsidRPr="004005B1">
        <w:rPr>
          <w:rFonts w:ascii="Book Antiqua" w:hAnsi="Book Antiqua"/>
          <w:color w:val="0070C0"/>
          <w:sz w:val="16"/>
          <w:szCs w:val="16"/>
        </w:rPr>
        <w:t xml:space="preserve"> 2021</w:t>
      </w:r>
      <w:r w:rsidRPr="004005B1">
        <w:rPr>
          <w:rFonts w:ascii="Book Antiqua" w:hAnsi="Book Antiqua"/>
          <w:sz w:val="16"/>
          <w:szCs w:val="16"/>
        </w:rPr>
        <w:t>). First, Clarity demands a highly structured narrative layout that prevents ambiguous thematic shifting, ensuring the conceptual line of inquiry is easily navigable for readers and examiners alike. Second, Auditability mandates that the investigator provides a comprehensive, transparent trail of evidence documenting every search parameter, database choice, and filtering action taken from the review's inception. Third, Replicability requires that the search protocols, syntax expressions, and retrieval rules be written with enough procedural precision that an independent investigator could rerun the protocol and obtain identical document clusters. Finally, Transparency ensures that any personal or paradigms-based biases are actively controlled and explicitly accounted for in the evaluation process.</w:t>
      </w:r>
    </w:p>
    <w:p w14:paraId="2DD8D4F6" w14:textId="77777777" w:rsidR="0055037E" w:rsidRPr="0097028A" w:rsidRDefault="0055037E" w:rsidP="00C5586E">
      <w:pPr>
        <w:keepNext/>
        <w:spacing w:after="80" w:line="240" w:lineRule="auto"/>
        <w:jc w:val="both"/>
        <w:rPr>
          <w:rFonts w:ascii="Book Antiqua" w:hAnsi="Book Antiqua"/>
          <w:b/>
          <w:color w:val="000000" w:themeColor="text1"/>
          <w:sz w:val="16"/>
          <w:szCs w:val="16"/>
        </w:rPr>
      </w:pPr>
      <w:r w:rsidRPr="0097028A">
        <w:rPr>
          <w:rFonts w:ascii="Book Antiqua" w:hAnsi="Book Antiqua"/>
          <w:b/>
          <w:color w:val="000000" w:themeColor="text1"/>
          <w:sz w:val="16"/>
          <w:szCs w:val="16"/>
        </w:rPr>
        <w:t>2.2 The Researcher as an Honest Broker of Knowledge</w:t>
      </w:r>
    </w:p>
    <w:p w14:paraId="51927C9F" w14:textId="6EF60427" w:rsidR="00F56578" w:rsidRDefault="0055037E" w:rsidP="00F56578">
      <w:pPr>
        <w:spacing w:line="240" w:lineRule="auto"/>
        <w:jc w:val="both"/>
        <w:rPr>
          <w:rFonts w:ascii="Book Antiqua" w:hAnsi="Book Antiqua"/>
          <w:sz w:val="16"/>
          <w:szCs w:val="16"/>
        </w:rPr>
      </w:pPr>
      <w:r w:rsidRPr="004005B1">
        <w:rPr>
          <w:rFonts w:ascii="Book Antiqua" w:hAnsi="Book Antiqua"/>
          <w:sz w:val="16"/>
          <w:szCs w:val="16"/>
        </w:rPr>
        <w:t>Beyond structural compliance, a doctoral candidate must operate as an "honest broker" of existing knowledge (</w:t>
      </w:r>
      <w:r w:rsidR="007A4933">
        <w:rPr>
          <w:rFonts w:ascii="Book Antiqua" w:hAnsi="Book Antiqua"/>
          <w:color w:val="0070C0"/>
          <w:sz w:val="16"/>
          <w:szCs w:val="16"/>
        </w:rPr>
        <w:t>Pielke</w:t>
      </w:r>
      <w:r w:rsidRPr="004005B1">
        <w:rPr>
          <w:rFonts w:ascii="Book Antiqua" w:hAnsi="Book Antiqua"/>
          <w:i/>
          <w:iCs/>
          <w:color w:val="0070C0"/>
          <w:sz w:val="16"/>
          <w:szCs w:val="16"/>
        </w:rPr>
        <w:t>,</w:t>
      </w:r>
      <w:r w:rsidRPr="004005B1">
        <w:rPr>
          <w:rFonts w:ascii="Book Antiqua" w:hAnsi="Book Antiqua"/>
          <w:color w:val="0070C0"/>
          <w:sz w:val="16"/>
          <w:szCs w:val="16"/>
        </w:rPr>
        <w:t xml:space="preserve"> 20</w:t>
      </w:r>
      <w:r w:rsidR="007A4933">
        <w:rPr>
          <w:rFonts w:ascii="Book Antiqua" w:hAnsi="Book Antiqua"/>
          <w:color w:val="0070C0"/>
          <w:sz w:val="16"/>
          <w:szCs w:val="16"/>
        </w:rPr>
        <w:t>07</w:t>
      </w:r>
      <w:r w:rsidRPr="004005B1">
        <w:rPr>
          <w:rFonts w:ascii="Book Antiqua" w:hAnsi="Book Antiqua"/>
          <w:sz w:val="16"/>
          <w:szCs w:val="16"/>
        </w:rPr>
        <w:t xml:space="preserve">). This means the candidate evaluates the strength, validity, and limitations of prior studies with total impartiality, resisting the temptation to overstate claims or selectively exclude studies that conflict with their preferred hypotheses. For professional doctorates like the DBA, this honest evaluation is vital because the review's ultimate purpose is to translate abstract academic theories into real-world practitioner action. However, as noted by </w:t>
      </w:r>
      <w:r w:rsidRPr="004005B1">
        <w:rPr>
          <w:rFonts w:ascii="Book Antiqua" w:hAnsi="Book Antiqua"/>
          <w:color w:val="0070C0"/>
          <w:sz w:val="16"/>
          <w:szCs w:val="16"/>
        </w:rPr>
        <w:t>Aveyard (20</w:t>
      </w:r>
      <w:r w:rsidR="00514897">
        <w:rPr>
          <w:rFonts w:ascii="Book Antiqua" w:hAnsi="Book Antiqua"/>
          <w:color w:val="0070C0"/>
          <w:sz w:val="16"/>
          <w:szCs w:val="16"/>
        </w:rPr>
        <w:t>23</w:t>
      </w:r>
      <w:r w:rsidRPr="004005B1">
        <w:rPr>
          <w:rFonts w:ascii="Book Antiqua" w:hAnsi="Book Antiqua"/>
          <w:color w:val="0070C0"/>
          <w:sz w:val="16"/>
          <w:szCs w:val="16"/>
        </w:rPr>
        <w:t>)</w:t>
      </w:r>
      <w:r w:rsidRPr="004005B1">
        <w:rPr>
          <w:rFonts w:ascii="Book Antiqua" w:hAnsi="Book Antiqua"/>
          <w:sz w:val="16"/>
          <w:szCs w:val="16"/>
        </w:rPr>
        <w:t xml:space="preserve">, a researcher's recommendations for practice are frequently constrained by a lack of operational detail and contextual nuance in primary studies. To overcome this limitation, doctoral researchers should employ formal applicability </w:t>
      </w:r>
      <w:r w:rsidR="0094782C">
        <w:rPr>
          <w:rFonts w:ascii="Book Antiqua" w:hAnsi="Book Antiqua"/>
          <w:sz w:val="16"/>
          <w:szCs w:val="16"/>
        </w:rPr>
        <w:t xml:space="preserve">frameworks, </w:t>
      </w:r>
      <w:r w:rsidRPr="004005B1">
        <w:rPr>
          <w:rFonts w:ascii="Book Antiqua" w:hAnsi="Book Antiqua"/>
          <w:sz w:val="16"/>
          <w:szCs w:val="16"/>
        </w:rPr>
        <w:t xml:space="preserve">such as </w:t>
      </w:r>
      <w:r w:rsidR="0094782C" w:rsidRPr="0094782C">
        <w:rPr>
          <w:rFonts w:ascii="Book Antiqua" w:hAnsi="Book Antiqua"/>
          <w:sz w:val="16"/>
          <w:szCs w:val="16"/>
        </w:rPr>
        <w:t>TAPUPAS and GRADE-CERQual</w:t>
      </w:r>
      <w:r w:rsidR="0094782C">
        <w:rPr>
          <w:rFonts w:ascii="Book Antiqua" w:hAnsi="Book Antiqua"/>
          <w:sz w:val="16"/>
          <w:szCs w:val="16"/>
        </w:rPr>
        <w:t xml:space="preserve"> </w:t>
      </w:r>
      <w:r w:rsidRPr="004005B1">
        <w:rPr>
          <w:rFonts w:ascii="Book Antiqua" w:hAnsi="Book Antiqua"/>
          <w:sz w:val="16"/>
          <w:szCs w:val="16"/>
        </w:rPr>
        <w:t xml:space="preserve">to carefully evaluate </w:t>
      </w:r>
      <w:r w:rsidR="00F56578" w:rsidRPr="00F56578">
        <w:rPr>
          <w:rFonts w:ascii="Book Antiqua" w:hAnsi="Book Antiqua"/>
          <w:sz w:val="16"/>
          <w:szCs w:val="16"/>
        </w:rPr>
        <w:t>the quality, relevance and transferability of evidence.</w:t>
      </w:r>
    </w:p>
    <w:p w14:paraId="1BFCBE58" w14:textId="110A41FF" w:rsidR="0055037E" w:rsidRPr="0097028A" w:rsidRDefault="0055037E" w:rsidP="00F56578">
      <w:pPr>
        <w:spacing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3. The Content: Scoping Frameworks, CIMO, and Structural Elements</w:t>
      </w:r>
    </w:p>
    <w:p w14:paraId="4A1EF522"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The core content of a doctoral literature review must be driven by deep systematic rigor rather than a generic collection of essays. To prevent the review from becoming an untamed narrative, researchers use structured scoping frameworks to formulate explicit, precise review boundaries and systematically unpack complex organizational realities.</w:t>
      </w:r>
    </w:p>
    <w:p w14:paraId="20AEF7EA" w14:textId="77777777" w:rsidR="0055037E" w:rsidRPr="0097028A" w:rsidRDefault="0055037E" w:rsidP="00C5586E">
      <w:pPr>
        <w:keepNext/>
        <w:spacing w:after="80" w:line="240" w:lineRule="auto"/>
        <w:jc w:val="both"/>
        <w:rPr>
          <w:rFonts w:ascii="Book Antiqua" w:hAnsi="Book Antiqua"/>
          <w:color w:val="auto"/>
          <w:sz w:val="16"/>
          <w:szCs w:val="16"/>
        </w:rPr>
      </w:pPr>
      <w:r w:rsidRPr="0097028A">
        <w:rPr>
          <w:rFonts w:ascii="Book Antiqua" w:hAnsi="Book Antiqua"/>
          <w:b/>
          <w:color w:val="auto"/>
          <w:sz w:val="16"/>
          <w:szCs w:val="16"/>
        </w:rPr>
        <w:t>3.1 Conceptual Scoping via PICOS, SPICE, and CIMO</w:t>
      </w:r>
    </w:p>
    <w:p w14:paraId="73698853" w14:textId="13BAD29D"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 xml:space="preserve">Depending on the underlying research paradigm, specialized scoping structures are selected to define the boundary conditions of the text. In highly quantitative and experimental contexts, frameworks such as PICOS (Population, Intervention, Comparison, Outcome, Study design) or PICOC (adding Context) are </w:t>
      </w:r>
      <w:r w:rsidR="003039CB">
        <w:rPr>
          <w:rFonts w:ascii="Book Antiqua" w:hAnsi="Book Antiqua"/>
          <w:sz w:val="16"/>
          <w:szCs w:val="16"/>
        </w:rPr>
        <w:t>widely</w:t>
      </w:r>
      <w:r w:rsidRPr="004005B1">
        <w:rPr>
          <w:rFonts w:ascii="Book Antiqua" w:hAnsi="Book Antiqua"/>
          <w:sz w:val="16"/>
          <w:szCs w:val="16"/>
        </w:rPr>
        <w:t xml:space="preserve"> </w:t>
      </w:r>
      <w:r w:rsidR="003039CB">
        <w:rPr>
          <w:rFonts w:ascii="Book Antiqua" w:hAnsi="Book Antiqua"/>
          <w:sz w:val="16"/>
          <w:szCs w:val="16"/>
        </w:rPr>
        <w:t>used</w:t>
      </w:r>
      <w:r w:rsidRPr="004005B1">
        <w:rPr>
          <w:rFonts w:ascii="Book Antiqua" w:hAnsi="Book Antiqua"/>
          <w:sz w:val="16"/>
          <w:szCs w:val="16"/>
        </w:rPr>
        <w:t xml:space="preserve"> </w:t>
      </w:r>
      <w:r w:rsidR="0020648E" w:rsidRPr="004005B1">
        <w:rPr>
          <w:rFonts w:ascii="Book Antiqua" w:hAnsi="Book Antiqua"/>
          <w:sz w:val="16"/>
          <w:szCs w:val="16"/>
        </w:rPr>
        <w:t>w</w:t>
      </w:r>
      <w:r w:rsidR="0020648E" w:rsidRPr="0020648E">
        <w:rPr>
          <w:rFonts w:ascii="Book Antiqua" w:hAnsi="Book Antiqua"/>
          <w:sz w:val="16"/>
          <w:szCs w:val="16"/>
        </w:rPr>
        <w:t xml:space="preserve">ithin evidence-based disciplines, particularly </w:t>
      </w:r>
      <w:r w:rsidR="00F82BD2">
        <w:rPr>
          <w:rFonts w:ascii="Book Antiqua" w:hAnsi="Book Antiqua"/>
          <w:sz w:val="16"/>
          <w:szCs w:val="16"/>
        </w:rPr>
        <w:t xml:space="preserve">in </w:t>
      </w:r>
      <w:r w:rsidR="0020648E" w:rsidRPr="0020648E">
        <w:rPr>
          <w:rFonts w:ascii="Book Antiqua" w:hAnsi="Book Antiqua"/>
          <w:sz w:val="16"/>
          <w:szCs w:val="16"/>
        </w:rPr>
        <w:t>quantitative systematic reviews</w:t>
      </w:r>
      <w:r w:rsidRPr="004005B1">
        <w:rPr>
          <w:rFonts w:ascii="Book Antiqua" w:hAnsi="Book Antiqua"/>
          <w:sz w:val="16"/>
          <w:szCs w:val="16"/>
        </w:rPr>
        <w:t>. Conversely, for qualitative, exploratory, and socially constructed inquiries, the SPICE framework (Setting, Perspective, Intervention, Comparison, Evaluation) provides a more flexible yet methodological lens to capture human experiences and distinct organizational viewpoints.</w:t>
      </w:r>
    </w:p>
    <w:p w14:paraId="329FBA76"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lastRenderedPageBreak/>
        <w:t>Crucially, within professional doctorates and realist evidence syntheses, the CIMO framework (Context, Intervention, Mechanisms, Outcomes) has emerged as an essential analytical tool. This framework goes beyond surface-level observations to explain exactly *what works, for whom, under what specific circumstances, and why*. The framework breaks down into four essential pillars:</w:t>
      </w:r>
    </w:p>
    <w:p w14:paraId="34C10055" w14:textId="77777777"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Context: </w:t>
      </w:r>
      <w:r w:rsidRPr="004005B1">
        <w:rPr>
          <w:rFonts w:ascii="Book Antiqua" w:hAnsi="Book Antiqua"/>
          <w:sz w:val="16"/>
          <w:szCs w:val="16"/>
        </w:rPr>
        <w:t>The specific environmental, cultural, or organizational setting under investigation (e.g., highly regulated healthcare systems or agile technology startups).</w:t>
      </w:r>
    </w:p>
    <w:p w14:paraId="6B3690F2" w14:textId="77777777"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Intervention: </w:t>
      </w:r>
      <w:r w:rsidRPr="004005B1">
        <w:rPr>
          <w:rFonts w:ascii="Book Antiqua" w:hAnsi="Book Antiqua"/>
          <w:sz w:val="16"/>
          <w:szCs w:val="16"/>
        </w:rPr>
        <w:t>The specific managerial practice, strategic policy, or disruptive action being introduced and tested within that environment.</w:t>
      </w:r>
    </w:p>
    <w:p w14:paraId="27638C7A" w14:textId="4FD330A4"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Mechanisms: </w:t>
      </w:r>
      <w:r w:rsidRPr="004005B1">
        <w:rPr>
          <w:rFonts w:ascii="Book Antiqua" w:hAnsi="Book Antiqua"/>
          <w:sz w:val="16"/>
          <w:szCs w:val="16"/>
        </w:rPr>
        <w:t xml:space="preserve">The underlying psychological, social, or structural forces triggered by the intervention that </w:t>
      </w:r>
      <w:r w:rsidR="0093073C" w:rsidRPr="004005B1">
        <w:rPr>
          <w:rFonts w:ascii="Book Antiqua" w:hAnsi="Book Antiqua"/>
          <w:sz w:val="16"/>
          <w:szCs w:val="16"/>
        </w:rPr>
        <w:t>drive</w:t>
      </w:r>
      <w:r w:rsidRPr="004005B1">
        <w:rPr>
          <w:rFonts w:ascii="Book Antiqua" w:hAnsi="Book Antiqua"/>
          <w:sz w:val="16"/>
          <w:szCs w:val="16"/>
        </w:rPr>
        <w:t xml:space="preserve"> behavioral change.</w:t>
      </w:r>
    </w:p>
    <w:p w14:paraId="3110E1D6" w14:textId="77777777"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Outcomes: </w:t>
      </w:r>
      <w:r w:rsidRPr="004005B1">
        <w:rPr>
          <w:rFonts w:ascii="Book Antiqua" w:hAnsi="Book Antiqua"/>
          <w:sz w:val="16"/>
          <w:szCs w:val="16"/>
        </w:rPr>
        <w:t>The subsequent intended or unintended consequences, performance deltas, or cultural transformations resulting from the intervention.</w:t>
      </w:r>
    </w:p>
    <w:p w14:paraId="6FB4AD73"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By implementing the CIMO framework, a doctoral student shifts their content away from superficial descriptions and toward a sophisticated, mechanism-driven synthesis that bridges academic theory with strategic business application.</w:t>
      </w:r>
    </w:p>
    <w:p w14:paraId="016F0566" w14:textId="77777777" w:rsidR="0055037E" w:rsidRPr="0097028A" w:rsidRDefault="0055037E" w:rsidP="00C5586E">
      <w:pPr>
        <w:keepNext/>
        <w:spacing w:after="80" w:line="240" w:lineRule="auto"/>
        <w:jc w:val="both"/>
        <w:rPr>
          <w:rFonts w:ascii="Book Antiqua" w:hAnsi="Book Antiqua"/>
          <w:b/>
          <w:color w:val="auto"/>
          <w:sz w:val="16"/>
          <w:szCs w:val="16"/>
        </w:rPr>
      </w:pPr>
      <w:r w:rsidRPr="0097028A">
        <w:rPr>
          <w:rFonts w:ascii="Book Antiqua" w:hAnsi="Book Antiqua"/>
          <w:b/>
          <w:color w:val="auto"/>
          <w:sz w:val="16"/>
          <w:szCs w:val="16"/>
        </w:rPr>
        <w:t>3.2 Core Structural Sections of the Systematic Chapter</w:t>
      </w:r>
    </w:p>
    <w:p w14:paraId="1B2ECDD5" w14:textId="2196549A"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To ensure structural integrity and compliance with doctoral expectations, the core text of a systematic literature review must be organized into distinct, interlinked functional sections (</w:t>
      </w:r>
      <w:r w:rsidRPr="004005B1">
        <w:rPr>
          <w:rFonts w:ascii="Book Antiqua" w:hAnsi="Book Antiqua"/>
          <w:color w:val="0070C0"/>
          <w:sz w:val="16"/>
          <w:szCs w:val="16"/>
        </w:rPr>
        <w:t xml:space="preserve">Booth </w:t>
      </w:r>
      <w:r w:rsidRPr="004005B1">
        <w:rPr>
          <w:rFonts w:ascii="Book Antiqua" w:hAnsi="Book Antiqua"/>
          <w:i/>
          <w:iCs/>
          <w:color w:val="0070C0"/>
          <w:sz w:val="16"/>
          <w:szCs w:val="16"/>
        </w:rPr>
        <w:t xml:space="preserve">et al., </w:t>
      </w:r>
      <w:r w:rsidRPr="004005B1">
        <w:rPr>
          <w:rFonts w:ascii="Book Antiqua" w:hAnsi="Book Antiqua"/>
          <w:color w:val="0070C0"/>
          <w:sz w:val="16"/>
          <w:szCs w:val="16"/>
        </w:rPr>
        <w:t>2021</w:t>
      </w:r>
      <w:r w:rsidRPr="004005B1">
        <w:rPr>
          <w:rFonts w:ascii="Book Antiqua" w:hAnsi="Book Antiqua"/>
          <w:sz w:val="16"/>
          <w:szCs w:val="16"/>
        </w:rPr>
        <w:t>):</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71"/>
        <w:gridCol w:w="8089"/>
      </w:tblGrid>
      <w:tr w:rsidR="0055037E" w:rsidRPr="004005B1" w14:paraId="44ABFC54" w14:textId="77777777" w:rsidTr="00C51214">
        <w:trPr>
          <w:jc w:val="center"/>
        </w:trPr>
        <w:tc>
          <w:tcPr>
            <w:tcW w:w="1271" w:type="dxa"/>
            <w:shd w:val="clear" w:color="auto" w:fill="1F497D"/>
            <w:tcMar>
              <w:top w:w="120" w:type="dxa"/>
              <w:left w:w="150" w:type="dxa"/>
              <w:bottom w:w="120" w:type="dxa"/>
              <w:right w:w="150" w:type="dxa"/>
            </w:tcMar>
          </w:tcPr>
          <w:p w14:paraId="6D9B2B8F" w14:textId="0487EE64"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color w:val="FFFFFF"/>
                <w:sz w:val="16"/>
                <w:szCs w:val="16"/>
              </w:rPr>
              <w:t>Section</w:t>
            </w:r>
          </w:p>
        </w:tc>
        <w:tc>
          <w:tcPr>
            <w:tcW w:w="8089" w:type="dxa"/>
            <w:shd w:val="clear" w:color="auto" w:fill="1F497D"/>
            <w:tcMar>
              <w:top w:w="120" w:type="dxa"/>
              <w:left w:w="150" w:type="dxa"/>
              <w:bottom w:w="120" w:type="dxa"/>
              <w:right w:w="150" w:type="dxa"/>
            </w:tcMar>
          </w:tcPr>
          <w:p w14:paraId="74E307B7"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color w:val="FFFFFF"/>
                <w:sz w:val="16"/>
                <w:szCs w:val="16"/>
              </w:rPr>
              <w:t>Mandatory Substantive Content &amp; Analytical Expectations</w:t>
            </w:r>
          </w:p>
        </w:tc>
      </w:tr>
      <w:tr w:rsidR="0055037E" w:rsidRPr="004005B1" w14:paraId="1B08A07C" w14:textId="77777777" w:rsidTr="00C51214">
        <w:trPr>
          <w:trHeight w:val="109"/>
          <w:jc w:val="center"/>
        </w:trPr>
        <w:tc>
          <w:tcPr>
            <w:tcW w:w="1271" w:type="dxa"/>
            <w:tcMar>
              <w:top w:w="100" w:type="dxa"/>
              <w:left w:w="150" w:type="dxa"/>
              <w:bottom w:w="100" w:type="dxa"/>
              <w:right w:w="150" w:type="dxa"/>
            </w:tcMar>
          </w:tcPr>
          <w:p w14:paraId="14FBFE4E" w14:textId="77777777" w:rsidR="0055037E" w:rsidRPr="004005B1" w:rsidRDefault="0055037E" w:rsidP="00C51214">
            <w:pPr>
              <w:spacing w:after="0" w:line="20" w:lineRule="atLeast"/>
              <w:rPr>
                <w:rFonts w:ascii="Book Antiqua" w:hAnsi="Book Antiqua"/>
                <w:sz w:val="16"/>
                <w:szCs w:val="16"/>
              </w:rPr>
            </w:pPr>
            <w:r w:rsidRPr="004005B1">
              <w:rPr>
                <w:rFonts w:ascii="Book Antiqua" w:hAnsi="Book Antiqua"/>
                <w:b/>
                <w:sz w:val="16"/>
                <w:szCs w:val="16"/>
              </w:rPr>
              <w:t>Title &amp; Abstract</w:t>
            </w:r>
          </w:p>
        </w:tc>
        <w:tc>
          <w:tcPr>
            <w:tcW w:w="8089" w:type="dxa"/>
            <w:tcMar>
              <w:top w:w="100" w:type="dxa"/>
              <w:left w:w="150" w:type="dxa"/>
              <w:bottom w:w="100" w:type="dxa"/>
              <w:right w:w="150" w:type="dxa"/>
            </w:tcMar>
          </w:tcPr>
          <w:p w14:paraId="2257BD5F" w14:textId="57520D13"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Must state both the exact thematic focus and the specific review type. The abstract must be explicitly structured to match the major sections of the thesis.</w:t>
            </w:r>
          </w:p>
        </w:tc>
      </w:tr>
      <w:tr w:rsidR="0055037E" w:rsidRPr="004005B1" w14:paraId="533434D1" w14:textId="77777777" w:rsidTr="00C51214">
        <w:trPr>
          <w:trHeight w:val="359"/>
          <w:jc w:val="center"/>
        </w:trPr>
        <w:tc>
          <w:tcPr>
            <w:tcW w:w="1271" w:type="dxa"/>
            <w:shd w:val="clear" w:color="auto" w:fill="F9FAFB"/>
            <w:tcMar>
              <w:top w:w="100" w:type="dxa"/>
              <w:left w:w="150" w:type="dxa"/>
              <w:bottom w:w="100" w:type="dxa"/>
              <w:right w:w="150" w:type="dxa"/>
            </w:tcMar>
          </w:tcPr>
          <w:p w14:paraId="350166A7"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Introduction</w:t>
            </w:r>
          </w:p>
        </w:tc>
        <w:tc>
          <w:tcPr>
            <w:tcW w:w="8089" w:type="dxa"/>
            <w:shd w:val="clear" w:color="auto" w:fill="F9FAFB"/>
            <w:tcMar>
              <w:top w:w="100" w:type="dxa"/>
              <w:left w:w="150" w:type="dxa"/>
              <w:bottom w:w="100" w:type="dxa"/>
              <w:right w:w="150" w:type="dxa"/>
            </w:tcMar>
          </w:tcPr>
          <w:p w14:paraId="11CBD196"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Establishes a compelling rationale for the study, reviews what is already known, and delivers a highly structured statement of the review question via PICOS or CIMO.</w:t>
            </w:r>
          </w:p>
        </w:tc>
      </w:tr>
      <w:tr w:rsidR="0055037E" w:rsidRPr="004005B1" w14:paraId="77839865" w14:textId="77777777" w:rsidTr="00C51214">
        <w:trPr>
          <w:trHeight w:val="27"/>
          <w:jc w:val="center"/>
        </w:trPr>
        <w:tc>
          <w:tcPr>
            <w:tcW w:w="1271" w:type="dxa"/>
            <w:tcMar>
              <w:top w:w="100" w:type="dxa"/>
              <w:left w:w="150" w:type="dxa"/>
              <w:bottom w:w="100" w:type="dxa"/>
              <w:right w:w="150" w:type="dxa"/>
            </w:tcMar>
          </w:tcPr>
          <w:p w14:paraId="14DB2127"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Methods</w:t>
            </w:r>
          </w:p>
        </w:tc>
        <w:tc>
          <w:tcPr>
            <w:tcW w:w="8089" w:type="dxa"/>
            <w:tcMar>
              <w:top w:w="100" w:type="dxa"/>
              <w:left w:w="150" w:type="dxa"/>
              <w:bottom w:w="100" w:type="dxa"/>
              <w:right w:w="150" w:type="dxa"/>
            </w:tcMar>
          </w:tcPr>
          <w:p w14:paraId="359385DF"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Presents an explicit, meticulous log of search protocols, database syntax, screening criteria, and appraisal methods, directly aligning with established reporting standards.</w:t>
            </w:r>
          </w:p>
        </w:tc>
      </w:tr>
      <w:tr w:rsidR="0055037E" w:rsidRPr="004005B1" w14:paraId="23A21FC1" w14:textId="77777777" w:rsidTr="00C51214">
        <w:trPr>
          <w:jc w:val="center"/>
        </w:trPr>
        <w:tc>
          <w:tcPr>
            <w:tcW w:w="1271" w:type="dxa"/>
            <w:shd w:val="clear" w:color="auto" w:fill="F9FAFB"/>
            <w:tcMar>
              <w:top w:w="100" w:type="dxa"/>
              <w:left w:w="150" w:type="dxa"/>
              <w:bottom w:w="100" w:type="dxa"/>
              <w:right w:w="150" w:type="dxa"/>
            </w:tcMar>
          </w:tcPr>
          <w:p w14:paraId="0E7A5979"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Results</w:t>
            </w:r>
          </w:p>
        </w:tc>
        <w:tc>
          <w:tcPr>
            <w:tcW w:w="8089" w:type="dxa"/>
            <w:shd w:val="clear" w:color="auto" w:fill="F9FAFB"/>
            <w:tcMar>
              <w:top w:w="100" w:type="dxa"/>
              <w:left w:w="150" w:type="dxa"/>
              <w:bottom w:w="100" w:type="dxa"/>
              <w:right w:w="150" w:type="dxa"/>
            </w:tcMar>
          </w:tcPr>
          <w:p w14:paraId="06C73753"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Provides a completely transparent, quantitative and qualitative tracking of all articles retrieved, screened, and selected for final synthesis, detailing study profiles.</w:t>
            </w:r>
          </w:p>
        </w:tc>
      </w:tr>
      <w:tr w:rsidR="0055037E" w:rsidRPr="004005B1" w14:paraId="2C714FCA" w14:textId="77777777" w:rsidTr="00C51214">
        <w:trPr>
          <w:trHeight w:val="88"/>
          <w:jc w:val="center"/>
        </w:trPr>
        <w:tc>
          <w:tcPr>
            <w:tcW w:w="1271" w:type="dxa"/>
            <w:tcMar>
              <w:top w:w="100" w:type="dxa"/>
              <w:left w:w="150" w:type="dxa"/>
              <w:bottom w:w="100" w:type="dxa"/>
              <w:right w:w="150" w:type="dxa"/>
            </w:tcMar>
          </w:tcPr>
          <w:p w14:paraId="1DA8F639"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Discussion</w:t>
            </w:r>
          </w:p>
        </w:tc>
        <w:tc>
          <w:tcPr>
            <w:tcW w:w="8089" w:type="dxa"/>
            <w:tcMar>
              <w:top w:w="100" w:type="dxa"/>
              <w:left w:w="150" w:type="dxa"/>
              <w:bottom w:w="100" w:type="dxa"/>
              <w:right w:w="150" w:type="dxa"/>
            </w:tcMar>
          </w:tcPr>
          <w:p w14:paraId="75FAAAA4" w14:textId="769CF245"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Synthesizes the findings, critically evaluates the relative strength of evidence behind each theme, and openly acknowledges methodological limitations.</w:t>
            </w:r>
          </w:p>
        </w:tc>
      </w:tr>
      <w:tr w:rsidR="0055037E" w:rsidRPr="004005B1" w14:paraId="39AD822D" w14:textId="77777777" w:rsidTr="00C51214">
        <w:trPr>
          <w:trHeight w:val="54"/>
          <w:jc w:val="center"/>
        </w:trPr>
        <w:tc>
          <w:tcPr>
            <w:tcW w:w="1271" w:type="dxa"/>
            <w:shd w:val="clear" w:color="auto" w:fill="F9FAFB"/>
            <w:tcMar>
              <w:top w:w="100" w:type="dxa"/>
              <w:left w:w="150" w:type="dxa"/>
              <w:bottom w:w="100" w:type="dxa"/>
              <w:right w:w="150" w:type="dxa"/>
            </w:tcMar>
          </w:tcPr>
          <w:p w14:paraId="120EB5C1"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Conclusion</w:t>
            </w:r>
          </w:p>
        </w:tc>
        <w:tc>
          <w:tcPr>
            <w:tcW w:w="8089" w:type="dxa"/>
            <w:shd w:val="clear" w:color="auto" w:fill="F9FAFB"/>
            <w:tcMar>
              <w:top w:w="100" w:type="dxa"/>
              <w:left w:w="150" w:type="dxa"/>
              <w:bottom w:w="100" w:type="dxa"/>
              <w:right w:w="150" w:type="dxa"/>
            </w:tcMar>
          </w:tcPr>
          <w:p w14:paraId="595F5785"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Outlines clear, actionable paths for future academic research and defines specific contextual boundaries for professional and operational practice.</w:t>
            </w:r>
          </w:p>
        </w:tc>
      </w:tr>
    </w:tbl>
    <w:p w14:paraId="5EB35BE0" w14:textId="77777777" w:rsidR="00C5586E" w:rsidRDefault="00C5586E" w:rsidP="00C5586E">
      <w:pPr>
        <w:keepNext/>
        <w:spacing w:after="120" w:line="240" w:lineRule="auto"/>
        <w:jc w:val="both"/>
        <w:rPr>
          <w:rFonts w:ascii="Book Antiqua" w:hAnsi="Book Antiqua"/>
          <w:b/>
          <w:color w:val="0A2F41" w:themeColor="accent1" w:themeShade="80"/>
          <w:sz w:val="18"/>
          <w:szCs w:val="18"/>
        </w:rPr>
      </w:pPr>
    </w:p>
    <w:p w14:paraId="5067D1A9" w14:textId="5E2C25CF" w:rsidR="0055037E" w:rsidRPr="0097028A" w:rsidRDefault="0055037E" w:rsidP="00C5586E">
      <w:pPr>
        <w:keepNext/>
        <w:spacing w:after="120"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4. The Format: Reporting Guidelines and Audience-Driven Dissemination</w:t>
      </w:r>
    </w:p>
    <w:p w14:paraId="39E32E04" w14:textId="77777777" w:rsidR="0055037E"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The structural execution and formatting of a doctoral business literature review operate across two core tiers: first, the strict adherence to established academic standards within the formal thesis; second, the formatting of findings into diverse, highly digestible outputs for professional stakeholders.</w:t>
      </w:r>
    </w:p>
    <w:p w14:paraId="5B691F53" w14:textId="77777777" w:rsidR="0055037E" w:rsidRPr="0097028A" w:rsidRDefault="0055037E" w:rsidP="004005B1">
      <w:pPr>
        <w:keepNext/>
        <w:spacing w:before="280" w:after="80" w:line="240" w:lineRule="auto"/>
        <w:jc w:val="both"/>
        <w:rPr>
          <w:rFonts w:ascii="Book Antiqua" w:hAnsi="Book Antiqua"/>
          <w:color w:val="auto"/>
          <w:sz w:val="16"/>
          <w:szCs w:val="16"/>
        </w:rPr>
      </w:pPr>
      <w:r w:rsidRPr="0097028A">
        <w:rPr>
          <w:rFonts w:ascii="Book Antiqua" w:hAnsi="Book Antiqua"/>
          <w:b/>
          <w:color w:val="auto"/>
          <w:sz w:val="16"/>
          <w:szCs w:val="16"/>
        </w:rPr>
        <w:t>4.1 Implementation of the PRISMA 2020 Statement</w:t>
      </w:r>
    </w:p>
    <w:p w14:paraId="6AE3A51E" w14:textId="7AB2789C" w:rsidR="0055037E"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 xml:space="preserve">To satisfy the rigorous demands of global examiners, a doctoral candidate must format their search results using recognized reporting frameworks. Leading among these is the PRISMA </w:t>
      </w:r>
      <w:r w:rsidR="003E06FC">
        <w:rPr>
          <w:rFonts w:ascii="Book Antiqua" w:hAnsi="Book Antiqua"/>
          <w:sz w:val="16"/>
          <w:szCs w:val="16"/>
        </w:rPr>
        <w:t>2020 which implements</w:t>
      </w:r>
      <w:r w:rsidRPr="00C5586E">
        <w:rPr>
          <w:rFonts w:ascii="Book Antiqua" w:hAnsi="Book Antiqua"/>
          <w:sz w:val="16"/>
          <w:szCs w:val="16"/>
        </w:rPr>
        <w:t xml:space="preserve"> a highly structured approach during the study selection phase. Researchers must include an official PRISMA Flow Diagram that visually tracks the precise numeric volume of literature across four distinct stages: </w:t>
      </w:r>
    </w:p>
    <w:p w14:paraId="3A42544E" w14:textId="2409122C"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w:t>
      </w:r>
      <w:r w:rsidRPr="00C5586E">
        <w:rPr>
          <w:rFonts w:ascii="Book Antiqua" w:hAnsi="Book Antiqua"/>
          <w:sz w:val="16"/>
          <w:szCs w:val="16"/>
        </w:rPr>
        <w:t xml:space="preserve">) </w:t>
      </w:r>
      <w:r w:rsidRPr="00C5586E">
        <w:rPr>
          <w:rFonts w:ascii="Book Antiqua" w:hAnsi="Book Antiqua"/>
          <w:b/>
          <w:bCs/>
          <w:sz w:val="16"/>
          <w:szCs w:val="16"/>
        </w:rPr>
        <w:t>Identification</w:t>
      </w:r>
      <w:r w:rsidRPr="00C5586E">
        <w:rPr>
          <w:rFonts w:ascii="Book Antiqua" w:hAnsi="Book Antiqua"/>
          <w:sz w:val="16"/>
          <w:szCs w:val="16"/>
        </w:rPr>
        <w:t xml:space="preserve">, which displays the raw count of documents retrieved via search strings; </w:t>
      </w:r>
    </w:p>
    <w:p w14:paraId="1DA8F719" w14:textId="7E38AD3D"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ii</w:t>
      </w:r>
      <w:r w:rsidRPr="00C5586E">
        <w:rPr>
          <w:rFonts w:ascii="Book Antiqua" w:hAnsi="Book Antiqua"/>
          <w:sz w:val="16"/>
          <w:szCs w:val="16"/>
        </w:rPr>
        <w:t xml:space="preserve">) </w:t>
      </w:r>
      <w:r w:rsidRPr="00C5586E">
        <w:rPr>
          <w:rFonts w:ascii="Book Antiqua" w:hAnsi="Book Antiqua"/>
          <w:b/>
          <w:bCs/>
          <w:sz w:val="16"/>
          <w:szCs w:val="16"/>
        </w:rPr>
        <w:t>Screening</w:t>
      </w:r>
      <w:r w:rsidRPr="00C5586E">
        <w:rPr>
          <w:rFonts w:ascii="Book Antiqua" w:hAnsi="Book Antiqua"/>
          <w:sz w:val="16"/>
          <w:szCs w:val="16"/>
        </w:rPr>
        <w:t xml:space="preserve">, where duplicates are filtered out and titles/abstracts are evaluated; </w:t>
      </w:r>
    </w:p>
    <w:p w14:paraId="761C4DD9" w14:textId="449B192F"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iii</w:t>
      </w:r>
      <w:r w:rsidRPr="00C5586E">
        <w:rPr>
          <w:rFonts w:ascii="Book Antiqua" w:hAnsi="Book Antiqua"/>
          <w:sz w:val="16"/>
          <w:szCs w:val="16"/>
        </w:rPr>
        <w:t xml:space="preserve">) </w:t>
      </w:r>
      <w:r w:rsidRPr="00C5586E">
        <w:rPr>
          <w:rFonts w:ascii="Book Antiqua" w:hAnsi="Book Antiqua"/>
          <w:b/>
          <w:bCs/>
          <w:sz w:val="16"/>
          <w:szCs w:val="16"/>
        </w:rPr>
        <w:t>Eligibility</w:t>
      </w:r>
      <w:r w:rsidRPr="00C5586E">
        <w:rPr>
          <w:rFonts w:ascii="Book Antiqua" w:hAnsi="Book Antiqua"/>
          <w:sz w:val="16"/>
          <w:szCs w:val="16"/>
        </w:rPr>
        <w:t xml:space="preserve">, which outlines the number of full-text manuscripts examined against inclusion criteria; and </w:t>
      </w:r>
    </w:p>
    <w:p w14:paraId="36E380E2" w14:textId="7B36B340"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iv</w:t>
      </w:r>
      <w:r w:rsidRPr="00C5586E">
        <w:rPr>
          <w:rFonts w:ascii="Book Antiqua" w:hAnsi="Book Antiqua"/>
          <w:sz w:val="16"/>
          <w:szCs w:val="16"/>
        </w:rPr>
        <w:t xml:space="preserve">) </w:t>
      </w:r>
      <w:r w:rsidRPr="00C5586E">
        <w:rPr>
          <w:rFonts w:ascii="Book Antiqua" w:hAnsi="Book Antiqua"/>
          <w:b/>
          <w:bCs/>
          <w:sz w:val="16"/>
          <w:szCs w:val="16"/>
        </w:rPr>
        <w:t>Inclusion</w:t>
      </w:r>
      <w:r w:rsidRPr="00C5586E">
        <w:rPr>
          <w:rFonts w:ascii="Book Antiqua" w:hAnsi="Book Antiqua"/>
          <w:sz w:val="16"/>
          <w:szCs w:val="16"/>
        </w:rPr>
        <w:t>, which states the final core dataset utilized in the qualitative synthesis.</w:t>
      </w:r>
    </w:p>
    <w:p w14:paraId="2CBF9537" w14:textId="77777777" w:rsidR="00C6588C" w:rsidRPr="00C5586E" w:rsidRDefault="00C6588C" w:rsidP="004005B1">
      <w:pPr>
        <w:spacing w:after="0" w:line="240" w:lineRule="auto"/>
        <w:jc w:val="both"/>
        <w:rPr>
          <w:rFonts w:ascii="Book Antiqua" w:hAnsi="Book Antiqua"/>
          <w:sz w:val="16"/>
          <w:szCs w:val="16"/>
        </w:rPr>
      </w:pPr>
    </w:p>
    <w:p w14:paraId="50D42C1A" w14:textId="0DBA788B" w:rsidR="0055037E" w:rsidRPr="00C5586E" w:rsidRDefault="005C1EFC" w:rsidP="004005B1">
      <w:pPr>
        <w:spacing w:line="240" w:lineRule="auto"/>
        <w:jc w:val="both"/>
        <w:rPr>
          <w:rFonts w:ascii="Book Antiqua" w:hAnsi="Book Antiqua"/>
          <w:sz w:val="16"/>
          <w:szCs w:val="16"/>
        </w:rPr>
      </w:pPr>
      <w:r w:rsidRPr="005C1EFC">
        <w:rPr>
          <w:rFonts w:ascii="Book Antiqua" w:hAnsi="Book Antiqua"/>
          <w:sz w:val="16"/>
          <w:szCs w:val="16"/>
        </w:rPr>
        <w:t>PRISMA 2020 provides a recognized reporting framework for systematic reviews by improving transparency in search, screening and study selection processes</w:t>
      </w:r>
      <w:r w:rsidR="0055037E" w:rsidRPr="00C5586E">
        <w:rPr>
          <w:rFonts w:ascii="Book Antiqua" w:hAnsi="Book Antiqua"/>
          <w:sz w:val="16"/>
          <w:szCs w:val="16"/>
        </w:rPr>
        <w:t>. For instance, if quantitative data cannot be statistically pooled, the SWiM (Synthesis Without Meta-analysis) guidelines must be utilized. For qualitative syntheses, the ENTREQ statement or the eMERGe framework for meta-ethnographies ensure paradigm-appropriate formatting</w:t>
      </w:r>
      <w:r w:rsidR="005B2856" w:rsidRPr="00C5586E">
        <w:rPr>
          <w:rFonts w:ascii="Book Antiqua" w:hAnsi="Book Antiqua"/>
          <w:sz w:val="16"/>
          <w:szCs w:val="16"/>
        </w:rPr>
        <w:t xml:space="preserve"> </w:t>
      </w:r>
      <w:r w:rsidR="0055037E" w:rsidRPr="00C5586E">
        <w:rPr>
          <w:rFonts w:ascii="Book Antiqua" w:hAnsi="Book Antiqua"/>
          <w:sz w:val="16"/>
          <w:szCs w:val="16"/>
        </w:rPr>
        <w:t>(</w:t>
      </w:r>
      <w:r w:rsidR="0055037E" w:rsidRPr="00C5586E">
        <w:rPr>
          <w:rFonts w:ascii="Book Antiqua" w:hAnsi="Book Antiqua"/>
          <w:color w:val="0070C0"/>
          <w:sz w:val="16"/>
          <w:szCs w:val="16"/>
        </w:rPr>
        <w:t xml:space="preserve">Booth </w:t>
      </w:r>
      <w:r w:rsidR="0055037E" w:rsidRPr="00C5586E">
        <w:rPr>
          <w:rFonts w:ascii="Book Antiqua" w:hAnsi="Book Antiqua"/>
          <w:i/>
          <w:iCs/>
          <w:color w:val="0070C0"/>
          <w:sz w:val="16"/>
          <w:szCs w:val="16"/>
        </w:rPr>
        <w:t xml:space="preserve">et al., </w:t>
      </w:r>
      <w:r w:rsidR="0055037E" w:rsidRPr="00C5586E">
        <w:rPr>
          <w:rFonts w:ascii="Book Antiqua" w:hAnsi="Book Antiqua"/>
          <w:color w:val="0070C0"/>
          <w:sz w:val="16"/>
          <w:szCs w:val="16"/>
        </w:rPr>
        <w:t>2021</w:t>
      </w:r>
      <w:r w:rsidR="0055037E" w:rsidRPr="00C5586E">
        <w:rPr>
          <w:rFonts w:ascii="Book Antiqua" w:hAnsi="Book Antiqua"/>
          <w:sz w:val="16"/>
          <w:szCs w:val="16"/>
        </w:rPr>
        <w:t>).</w:t>
      </w:r>
    </w:p>
    <w:p w14:paraId="76ACBEA7" w14:textId="77777777" w:rsidR="0055037E" w:rsidRPr="0097028A" w:rsidRDefault="0055037E" w:rsidP="004005B1">
      <w:pPr>
        <w:keepNext/>
        <w:spacing w:before="280" w:after="80" w:line="240" w:lineRule="auto"/>
        <w:jc w:val="both"/>
        <w:rPr>
          <w:rFonts w:ascii="Book Antiqua" w:hAnsi="Book Antiqua"/>
          <w:color w:val="auto"/>
          <w:sz w:val="16"/>
          <w:szCs w:val="16"/>
        </w:rPr>
      </w:pPr>
      <w:r w:rsidRPr="0097028A">
        <w:rPr>
          <w:rFonts w:ascii="Book Antiqua" w:hAnsi="Book Antiqua"/>
          <w:b/>
          <w:color w:val="auto"/>
          <w:sz w:val="16"/>
          <w:szCs w:val="16"/>
        </w:rPr>
        <w:lastRenderedPageBreak/>
        <w:t>4.2 Formats for Summarizing and Presenting Data</w:t>
      </w:r>
    </w:p>
    <w:p w14:paraId="5C1B0B5F" w14:textId="2ED671B2" w:rsidR="0055037E"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To make vast quantities of literature actionable, various formatting models can be deployed to organize structural insights. For example, the Graded Entry Format (such as the 1:3:25 model) structures the review into three distinct layers: a 1-page executive summary for immediate stakeholder awareness, a 3-page strategic policy brief, and a 25-page highly detailed technical analysis. Alternatively, the Inverted Pyramid format organizes literature from broad, macroeconomic thematic trends down to highly granular, context-specific variables. To assess the quality and certainty of evidence, researchers also rely on the SUPPORT Summary and GRADE frameworks, which provide clear visual indicators of data reliability. Lastly, the EPICOT+ tool provides a structured layout to frame future research requirements by explicitly breaking down Evidence, Population, Intervention, Comparison, Outcome, and Timeframe parameters.</w:t>
      </w:r>
    </w:p>
    <w:p w14:paraId="14901B59" w14:textId="75EE7322" w:rsidR="0055037E" w:rsidRPr="00C5586E" w:rsidRDefault="0055037E" w:rsidP="004005B1">
      <w:pPr>
        <w:spacing w:line="240" w:lineRule="auto"/>
        <w:jc w:val="both"/>
        <w:rPr>
          <w:rFonts w:ascii="Book Antiqua" w:hAnsi="Book Antiqua"/>
          <w:iCs/>
          <w:sz w:val="16"/>
          <w:szCs w:val="16"/>
        </w:rPr>
      </w:pPr>
      <w:r w:rsidRPr="00C5586E">
        <w:rPr>
          <w:rFonts w:ascii="Book Antiqua" w:hAnsi="Book Antiqua"/>
          <w:b/>
          <w:bCs/>
          <w:iCs/>
          <w:sz w:val="16"/>
          <w:szCs w:val="16"/>
        </w:rPr>
        <w:t>Key Dissemination Rule:</w:t>
      </w:r>
      <w:r w:rsidRPr="00C5586E">
        <w:rPr>
          <w:rFonts w:ascii="Book Antiqua" w:hAnsi="Book Antiqua"/>
          <w:iCs/>
          <w:sz w:val="16"/>
          <w:szCs w:val="16"/>
        </w:rPr>
        <w:t xml:space="preserve"> A professional doctorate has multiple target audiences. The researcher must match the presentation tone, style, and formatting directly to what they are encouraging their audience to do</w:t>
      </w:r>
      <w:r w:rsidR="00F52609" w:rsidRPr="00C5586E">
        <w:rPr>
          <w:rFonts w:ascii="Book Antiqua" w:hAnsi="Book Antiqua"/>
          <w:iCs/>
          <w:sz w:val="16"/>
          <w:szCs w:val="16"/>
        </w:rPr>
        <w:t xml:space="preserve">; </w:t>
      </w:r>
      <w:r w:rsidRPr="00C5586E">
        <w:rPr>
          <w:rFonts w:ascii="Book Antiqua" w:hAnsi="Book Antiqua"/>
          <w:iCs/>
          <w:sz w:val="16"/>
          <w:szCs w:val="16"/>
        </w:rPr>
        <w:t>whether that is adopting an innovative method, stopping an ineffective practice, maintaining proven standards, or embracing future conceptual models (</w:t>
      </w:r>
      <w:r w:rsidRPr="00C5586E">
        <w:rPr>
          <w:rFonts w:ascii="Book Antiqua" w:hAnsi="Book Antiqua"/>
          <w:iCs/>
          <w:color w:val="0070C0"/>
          <w:sz w:val="16"/>
          <w:szCs w:val="16"/>
        </w:rPr>
        <w:t xml:space="preserve">Booth </w:t>
      </w:r>
      <w:r w:rsidRPr="00C5586E">
        <w:rPr>
          <w:rFonts w:ascii="Book Antiqua" w:hAnsi="Book Antiqua"/>
          <w:i/>
          <w:color w:val="0070C0"/>
          <w:sz w:val="16"/>
          <w:szCs w:val="16"/>
        </w:rPr>
        <w:t>et al.,</w:t>
      </w:r>
      <w:r w:rsidRPr="00C5586E">
        <w:rPr>
          <w:rFonts w:ascii="Book Antiqua" w:hAnsi="Book Antiqua"/>
          <w:iCs/>
          <w:color w:val="0070C0"/>
          <w:sz w:val="16"/>
          <w:szCs w:val="16"/>
        </w:rPr>
        <w:t xml:space="preserve"> 2021</w:t>
      </w:r>
      <w:r w:rsidRPr="00C5586E">
        <w:rPr>
          <w:rFonts w:ascii="Book Antiqua" w:hAnsi="Book Antiqua"/>
          <w:iCs/>
          <w:sz w:val="16"/>
          <w:szCs w:val="16"/>
        </w:rPr>
        <w:t>).</w:t>
      </w:r>
    </w:p>
    <w:p w14:paraId="15D8DBCD" w14:textId="58D079B2" w:rsidR="0025084C"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Consequently, the final academic text should be supplemented with external dissemination formats. Timeliness is critical when publicizing findings (</w:t>
      </w:r>
      <w:r w:rsidRPr="00C5586E">
        <w:rPr>
          <w:rFonts w:ascii="Book Antiqua" w:hAnsi="Book Antiqua"/>
          <w:color w:val="0070C0"/>
          <w:sz w:val="16"/>
          <w:szCs w:val="16"/>
        </w:rPr>
        <w:t xml:space="preserve">Booth </w:t>
      </w:r>
      <w:r w:rsidRPr="00C5586E">
        <w:rPr>
          <w:rFonts w:ascii="Book Antiqua" w:hAnsi="Book Antiqua"/>
          <w:i/>
          <w:iCs/>
          <w:color w:val="0070C0"/>
          <w:sz w:val="16"/>
          <w:szCs w:val="16"/>
        </w:rPr>
        <w:t>et al.,</w:t>
      </w:r>
      <w:r w:rsidRPr="00C5586E">
        <w:rPr>
          <w:rFonts w:ascii="Book Antiqua" w:hAnsi="Book Antiqua"/>
          <w:color w:val="0070C0"/>
          <w:sz w:val="16"/>
          <w:szCs w:val="16"/>
        </w:rPr>
        <w:t xml:space="preserve"> 2021</w:t>
      </w:r>
      <w:r w:rsidRPr="00C5586E">
        <w:rPr>
          <w:rFonts w:ascii="Book Antiqua" w:hAnsi="Book Antiqua"/>
          <w:sz w:val="16"/>
          <w:szCs w:val="16"/>
        </w:rPr>
        <w:t xml:space="preserve">). </w:t>
      </w:r>
      <w:r w:rsidR="0097329F" w:rsidRPr="0097329F">
        <w:rPr>
          <w:rFonts w:ascii="Book Antiqua" w:hAnsi="Book Antiqua"/>
          <w:sz w:val="16"/>
          <w:szCs w:val="16"/>
        </w:rPr>
        <w:t xml:space="preserve">By presenting complex research findings through accessible formats such as visual summaries, plain-language explanations, professional reports, and digital media, doctoral researchers can extend the impact of their work beyond academic audiences and support meaningful </w:t>
      </w:r>
      <w:r w:rsidR="009B65AF" w:rsidRPr="0097329F">
        <w:rPr>
          <w:rFonts w:ascii="Book Antiqua" w:hAnsi="Book Antiqua"/>
          <w:sz w:val="16"/>
          <w:szCs w:val="16"/>
        </w:rPr>
        <w:t>organizational</w:t>
      </w:r>
      <w:r w:rsidR="0097329F" w:rsidRPr="0097329F">
        <w:rPr>
          <w:rFonts w:ascii="Book Antiqua" w:hAnsi="Book Antiqua"/>
          <w:sz w:val="16"/>
          <w:szCs w:val="16"/>
        </w:rPr>
        <w:t xml:space="preserve"> change</w:t>
      </w:r>
      <w:r w:rsidR="009B65AF">
        <w:rPr>
          <w:rFonts w:ascii="Book Antiqua" w:hAnsi="Book Antiqua"/>
          <w:sz w:val="16"/>
          <w:szCs w:val="16"/>
        </w:rPr>
        <w:t>.</w:t>
      </w:r>
    </w:p>
    <w:p w14:paraId="51012452" w14:textId="541070E4" w:rsidR="009F05FA" w:rsidRPr="0097028A" w:rsidRDefault="0055037E" w:rsidP="009F05FA">
      <w:pPr>
        <w:spacing w:before="240" w:line="240" w:lineRule="auto"/>
        <w:jc w:val="both"/>
        <w:rPr>
          <w:rFonts w:ascii="Book Antiqua" w:hAnsi="Book Antiqua"/>
          <w:b/>
          <w:color w:val="215E99" w:themeColor="text2" w:themeTint="BF"/>
          <w:sz w:val="18"/>
          <w:szCs w:val="18"/>
        </w:rPr>
      </w:pPr>
      <w:r w:rsidRPr="0097028A">
        <w:rPr>
          <w:rFonts w:ascii="Book Antiqua" w:hAnsi="Book Antiqua"/>
          <w:b/>
          <w:color w:val="215E99" w:themeColor="text2" w:themeTint="BF"/>
          <w:sz w:val="18"/>
          <w:szCs w:val="18"/>
        </w:rPr>
        <w:t>5. Conclusion</w:t>
      </w:r>
    </w:p>
    <w:p w14:paraId="26B306A8" w14:textId="01F3D0E0" w:rsidR="0055037E" w:rsidRPr="00C5586E" w:rsidRDefault="0055037E" w:rsidP="009F05FA">
      <w:pPr>
        <w:spacing w:line="240" w:lineRule="auto"/>
        <w:jc w:val="both"/>
        <w:rPr>
          <w:rFonts w:ascii="Book Antiqua" w:hAnsi="Book Antiqua"/>
          <w:sz w:val="16"/>
          <w:szCs w:val="16"/>
        </w:rPr>
      </w:pPr>
      <w:r w:rsidRPr="00C5586E">
        <w:rPr>
          <w:rFonts w:ascii="Book Antiqua" w:hAnsi="Book Antiqua"/>
          <w:sz w:val="16"/>
          <w:szCs w:val="16"/>
        </w:rPr>
        <w:t xml:space="preserve">In </w:t>
      </w:r>
      <w:r w:rsidR="00967E94" w:rsidRPr="00C5586E">
        <w:rPr>
          <w:rFonts w:ascii="Book Antiqua" w:hAnsi="Book Antiqua"/>
          <w:sz w:val="16"/>
          <w:szCs w:val="16"/>
        </w:rPr>
        <w:t>closure</w:t>
      </w:r>
      <w:r w:rsidRPr="00C5586E">
        <w:rPr>
          <w:rFonts w:ascii="Book Antiqua" w:hAnsi="Book Antiqua"/>
          <w:sz w:val="16"/>
          <w:szCs w:val="16"/>
        </w:rPr>
        <w:t>, a successful doctoral literature review is a careful blend of systematic process and purposeful communication. By shifting away from passive descriptions and adopting the CART principles, the researcher establishes deep methodological credibility. Utilizing frameworks like CIMO and reporting standards like PRISMA 2020 ensures that the content is transparent and auditable. Ultimately, by formatting these academic insights into tailored dissemination channels for both scholars and practitioners, the doctoral candidate transforms a traditional academic requirement into an influential, real-world broker of knowledge.</w:t>
      </w:r>
    </w:p>
    <w:p w14:paraId="2DF9A5EE" w14:textId="77777777" w:rsidR="008126DB" w:rsidRDefault="008126DB" w:rsidP="004005B1">
      <w:pPr>
        <w:spacing w:line="240" w:lineRule="auto"/>
        <w:jc w:val="both"/>
        <w:rPr>
          <w:rFonts w:ascii="Book Antiqua" w:hAnsi="Book Antiqua"/>
          <w:b/>
          <w:color w:val="0A2F41" w:themeColor="accent1" w:themeShade="80"/>
          <w:sz w:val="18"/>
          <w:szCs w:val="18"/>
        </w:rPr>
      </w:pPr>
    </w:p>
    <w:p w14:paraId="21D52F3C" w14:textId="0443895F" w:rsidR="0055037E" w:rsidRPr="0097028A" w:rsidRDefault="00E94793" w:rsidP="0097028A">
      <w:pPr>
        <w:spacing w:before="240" w:line="240" w:lineRule="auto"/>
        <w:jc w:val="both"/>
        <w:rPr>
          <w:rFonts w:ascii="Book Antiqua" w:hAnsi="Book Antiqua"/>
          <w:b/>
          <w:color w:val="215E99" w:themeColor="text2" w:themeTint="BF"/>
          <w:sz w:val="18"/>
          <w:szCs w:val="18"/>
        </w:rPr>
      </w:pPr>
      <w:r w:rsidRPr="0097028A">
        <w:rPr>
          <w:rFonts w:ascii="Book Antiqua" w:hAnsi="Book Antiqua"/>
          <w:b/>
          <w:color w:val="215E99" w:themeColor="text2" w:themeTint="BF"/>
          <w:sz w:val="18"/>
          <w:szCs w:val="18"/>
        </w:rPr>
        <w:t xml:space="preserve">6. </w:t>
      </w:r>
      <w:r w:rsidR="0055037E" w:rsidRPr="0097028A">
        <w:rPr>
          <w:rFonts w:ascii="Book Antiqua" w:hAnsi="Book Antiqua"/>
          <w:b/>
          <w:color w:val="215E99" w:themeColor="text2" w:themeTint="BF"/>
          <w:sz w:val="18"/>
          <w:szCs w:val="18"/>
        </w:rPr>
        <w:t>References</w:t>
      </w:r>
    </w:p>
    <w:p w14:paraId="492A7A14" w14:textId="7B465727" w:rsidR="00B506FE" w:rsidRPr="00B506FE" w:rsidRDefault="00504924" w:rsidP="00B506FE">
      <w:pPr>
        <w:spacing w:after="0" w:line="240" w:lineRule="auto"/>
        <w:ind w:left="720" w:hanging="720"/>
        <w:jc w:val="both"/>
        <w:rPr>
          <w:rFonts w:ascii="Book Antiqua" w:hAnsi="Book Antiqua"/>
          <w:color w:val="auto"/>
          <w:sz w:val="16"/>
          <w:szCs w:val="16"/>
        </w:rPr>
      </w:pPr>
      <w:r w:rsidRPr="00504924">
        <w:rPr>
          <w:rFonts w:ascii="Book Antiqua" w:hAnsi="Book Antiqua"/>
          <w:color w:val="auto"/>
          <w:sz w:val="16"/>
          <w:szCs w:val="16"/>
        </w:rPr>
        <w:t xml:space="preserve">Aveyard, H. (2023) </w:t>
      </w:r>
      <w:r w:rsidRPr="00504924">
        <w:rPr>
          <w:rFonts w:ascii="Book Antiqua" w:hAnsi="Book Antiqua"/>
          <w:i/>
          <w:iCs/>
          <w:color w:val="auto"/>
          <w:sz w:val="16"/>
          <w:szCs w:val="16"/>
        </w:rPr>
        <w:t>Doing a literature review in health and social care: a practical guide</w:t>
      </w:r>
      <w:r w:rsidRPr="00504924">
        <w:rPr>
          <w:rFonts w:ascii="Book Antiqua" w:hAnsi="Book Antiqua"/>
          <w:color w:val="auto"/>
          <w:sz w:val="16"/>
          <w:szCs w:val="16"/>
        </w:rPr>
        <w:t>. 5th ed. Open University Press.</w:t>
      </w:r>
    </w:p>
    <w:p w14:paraId="7D9A1D64"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2182A229" w14:textId="227F667A" w:rsidR="00B506FE" w:rsidRDefault="002615EB" w:rsidP="00B506FE">
      <w:pPr>
        <w:spacing w:after="0" w:line="240" w:lineRule="auto"/>
        <w:ind w:left="720" w:hanging="720"/>
        <w:jc w:val="both"/>
        <w:rPr>
          <w:rFonts w:ascii="Book Antiqua" w:hAnsi="Book Antiqua"/>
          <w:color w:val="auto"/>
          <w:sz w:val="16"/>
          <w:szCs w:val="16"/>
        </w:rPr>
      </w:pPr>
      <w:r w:rsidRPr="002615EB">
        <w:rPr>
          <w:rFonts w:ascii="Book Antiqua" w:hAnsi="Book Antiqua"/>
          <w:color w:val="auto"/>
          <w:sz w:val="16"/>
          <w:szCs w:val="16"/>
        </w:rPr>
        <w:t xml:space="preserve">Booth, A., Sutton, A., Clowes, M. and Martyn-St James, M. (2021) </w:t>
      </w:r>
      <w:r w:rsidRPr="002615EB">
        <w:rPr>
          <w:rFonts w:ascii="Book Antiqua" w:hAnsi="Book Antiqua"/>
          <w:i/>
          <w:iCs/>
          <w:color w:val="auto"/>
          <w:sz w:val="16"/>
          <w:szCs w:val="16"/>
        </w:rPr>
        <w:t>Systematic approaches to a successful literature review</w:t>
      </w:r>
      <w:r w:rsidRPr="002615EB">
        <w:rPr>
          <w:rFonts w:ascii="Book Antiqua" w:hAnsi="Book Antiqua"/>
          <w:color w:val="auto"/>
          <w:sz w:val="16"/>
          <w:szCs w:val="16"/>
        </w:rPr>
        <w:t>. 3rd edn. London: SAGE.</w:t>
      </w:r>
    </w:p>
    <w:p w14:paraId="4FF19CE7" w14:textId="77777777" w:rsidR="00FD5E62" w:rsidRPr="00B506FE" w:rsidRDefault="00FD5E62" w:rsidP="00B506FE">
      <w:pPr>
        <w:spacing w:after="0" w:line="240" w:lineRule="auto"/>
        <w:ind w:left="720" w:hanging="720"/>
        <w:jc w:val="both"/>
        <w:rPr>
          <w:rFonts w:ascii="Book Antiqua" w:hAnsi="Book Antiqua"/>
          <w:color w:val="auto"/>
          <w:sz w:val="16"/>
          <w:szCs w:val="16"/>
        </w:rPr>
      </w:pPr>
    </w:p>
    <w:p w14:paraId="2B93B5E5"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Cohen, L., Manion, L. and Morrison, K. (2018) Research methods in education. Routledge.</w:t>
      </w:r>
    </w:p>
    <w:p w14:paraId="5CB5D21B"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464A2D53"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Collis, J. and Hussey, R. (2014) Business research: a practical guide for undergraduate and postgraduate students. 4th ed. Palgrave Macmillan.</w:t>
      </w:r>
    </w:p>
    <w:p w14:paraId="26B9A8FD"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3B94B19A"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Creswell, J.W. and Creswell, J.D. (2018) Research design: qualitative, quantitative, and mixed methods approaches. 5th ed. SAGE Publications.</w:t>
      </w:r>
    </w:p>
    <w:p w14:paraId="526E238E"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6656EAC8"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Crotty, M. (1998) The foundations of social research: meaning and perspective in the research process. SAGE Publications.</w:t>
      </w:r>
    </w:p>
    <w:p w14:paraId="2F79DF96"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71834AAA"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Denscombe, M. (2017) The good research guide: for small-scale social research projects. 6th ed. McGraw-Hill Education.</w:t>
      </w:r>
    </w:p>
    <w:p w14:paraId="54D45F68"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725CF82A"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Easterby-Smith, M., Thorpe, R. and Jackson, P.R. (2015) Management and business research. 5th ed. SAGE Publications.</w:t>
      </w:r>
    </w:p>
    <w:p w14:paraId="73A945DC"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3FEA0AA0"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Maxwell, J.A. (2013) Qualitative research design: an interactive approach. 3rd ed. SAGE Publications.</w:t>
      </w:r>
    </w:p>
    <w:p w14:paraId="10A65FCA"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4AA3529B" w14:textId="59B57CAE" w:rsidR="008C7D63" w:rsidRPr="009F05FA" w:rsidRDefault="00B506FE" w:rsidP="00B506FE">
      <w:pPr>
        <w:spacing w:after="0" w:line="240" w:lineRule="auto"/>
        <w:ind w:left="720" w:hanging="720"/>
        <w:jc w:val="both"/>
        <w:rPr>
          <w:rFonts w:ascii="Book Antiqua" w:hAnsi="Book Antiqua"/>
          <w:bCs/>
          <w:color w:val="auto"/>
          <w:sz w:val="16"/>
          <w:szCs w:val="16"/>
        </w:rPr>
      </w:pPr>
      <w:r w:rsidRPr="00B506FE">
        <w:rPr>
          <w:rFonts w:ascii="Book Antiqua" w:hAnsi="Book Antiqua"/>
          <w:color w:val="auto"/>
          <w:sz w:val="16"/>
          <w:szCs w:val="16"/>
        </w:rPr>
        <w:t>Pielke, R.A. (2007) The honest broker: making sense of science in policy and politics. Cambridge University Press.</w:t>
      </w:r>
    </w:p>
    <w:p w14:paraId="07330688" w14:textId="77777777" w:rsidR="0055037E" w:rsidRPr="009F05FA" w:rsidRDefault="0055037E" w:rsidP="004005B1">
      <w:pPr>
        <w:spacing w:before="480" w:after="240" w:line="240" w:lineRule="auto"/>
        <w:ind w:left="720" w:hanging="720"/>
        <w:jc w:val="both"/>
        <w:rPr>
          <w:rFonts w:ascii="Book Antiqua" w:hAnsi="Book Antiqua"/>
          <w:b/>
          <w:color w:val="0A2F41" w:themeColor="accent1" w:themeShade="80"/>
          <w:sz w:val="16"/>
          <w:szCs w:val="16"/>
        </w:rPr>
      </w:pPr>
    </w:p>
    <w:p w14:paraId="6B945DA9" w14:textId="77777777" w:rsidR="000E3028" w:rsidRPr="009F05FA" w:rsidRDefault="000E3028" w:rsidP="004005B1">
      <w:pPr>
        <w:spacing w:after="0" w:line="240" w:lineRule="auto"/>
        <w:jc w:val="center"/>
        <w:rPr>
          <w:rFonts w:ascii="Book Antiqua" w:hAnsi="Book Antiqua"/>
          <w:b/>
          <w:color w:val="0070C0"/>
          <w:sz w:val="16"/>
          <w:szCs w:val="16"/>
        </w:rPr>
      </w:pPr>
    </w:p>
    <w:p w14:paraId="070FDECE" w14:textId="77777777" w:rsidR="000E3028" w:rsidRPr="009F05FA" w:rsidRDefault="000E3028" w:rsidP="004005B1">
      <w:pPr>
        <w:spacing w:after="0" w:line="240" w:lineRule="auto"/>
        <w:jc w:val="center"/>
        <w:rPr>
          <w:rFonts w:ascii="Book Antiqua" w:hAnsi="Book Antiqua"/>
          <w:b/>
          <w:color w:val="0070C0"/>
          <w:sz w:val="16"/>
          <w:szCs w:val="16"/>
        </w:rPr>
      </w:pPr>
    </w:p>
    <w:p w14:paraId="55840BC7" w14:textId="77777777" w:rsidR="000E3028" w:rsidRPr="009F05FA" w:rsidRDefault="000E3028" w:rsidP="004005B1">
      <w:pPr>
        <w:spacing w:after="0" w:line="240" w:lineRule="auto"/>
        <w:jc w:val="center"/>
        <w:rPr>
          <w:rFonts w:ascii="Book Antiqua" w:hAnsi="Book Antiqua"/>
          <w:b/>
          <w:color w:val="0070C0"/>
          <w:sz w:val="16"/>
          <w:szCs w:val="16"/>
        </w:rPr>
      </w:pPr>
    </w:p>
    <w:p w14:paraId="25EB9D42" w14:textId="77777777" w:rsidR="000E3028" w:rsidRPr="009F05FA" w:rsidRDefault="000E3028" w:rsidP="004005B1">
      <w:pPr>
        <w:spacing w:after="0" w:line="240" w:lineRule="auto"/>
        <w:jc w:val="center"/>
        <w:rPr>
          <w:rFonts w:ascii="Book Antiqua" w:hAnsi="Book Antiqua"/>
          <w:b/>
          <w:color w:val="0070C0"/>
          <w:sz w:val="16"/>
          <w:szCs w:val="16"/>
        </w:rPr>
      </w:pPr>
    </w:p>
    <w:p w14:paraId="4D8F0108" w14:textId="77777777" w:rsidR="00323211" w:rsidRDefault="00323211" w:rsidP="004005B1">
      <w:pPr>
        <w:spacing w:after="0" w:line="240" w:lineRule="auto"/>
        <w:jc w:val="center"/>
        <w:rPr>
          <w:rFonts w:ascii="Book Antiqua" w:hAnsi="Book Antiqua"/>
          <w:b/>
          <w:color w:val="0070C0"/>
          <w:sz w:val="26"/>
          <w:szCs w:val="26"/>
        </w:rPr>
      </w:pPr>
    </w:p>
    <w:p w14:paraId="4027127F" w14:textId="77777777" w:rsidR="00323211" w:rsidRDefault="00323211" w:rsidP="004005B1">
      <w:pPr>
        <w:spacing w:after="0" w:line="240" w:lineRule="auto"/>
        <w:jc w:val="center"/>
        <w:rPr>
          <w:rFonts w:ascii="Book Antiqua" w:hAnsi="Book Antiqua"/>
          <w:b/>
          <w:color w:val="0070C0"/>
          <w:sz w:val="26"/>
          <w:szCs w:val="26"/>
        </w:rPr>
      </w:pPr>
    </w:p>
    <w:p w14:paraId="2AD475DF" w14:textId="02277E5B" w:rsidR="00E87AD8" w:rsidRPr="00AD4661" w:rsidRDefault="004C7B66" w:rsidP="004005B1">
      <w:pPr>
        <w:spacing w:after="0" w:line="240" w:lineRule="auto"/>
        <w:jc w:val="center"/>
        <w:rPr>
          <w:rFonts w:ascii="Book Antiqua" w:hAnsi="Book Antiqua"/>
          <w:b/>
          <w:color w:val="0070C0"/>
        </w:rPr>
      </w:pPr>
      <w:r w:rsidRPr="00AD4661">
        <w:rPr>
          <w:rFonts w:ascii="Book Antiqua" w:hAnsi="Book Antiqua"/>
          <w:b/>
          <w:color w:val="0070C0"/>
        </w:rPr>
        <w:lastRenderedPageBreak/>
        <w:t xml:space="preserve">Part II: </w:t>
      </w:r>
      <w:r w:rsidR="00E87AD8" w:rsidRPr="00AD4661">
        <w:rPr>
          <w:rFonts w:ascii="Book Antiqua" w:hAnsi="Book Antiqua"/>
          <w:b/>
          <w:color w:val="0070C0"/>
        </w:rPr>
        <w:t>Annotated Bibliography</w:t>
      </w:r>
    </w:p>
    <w:p w14:paraId="1FB667FD" w14:textId="77777777" w:rsidR="00553175" w:rsidRPr="00E94793" w:rsidRDefault="00553175" w:rsidP="004005B1">
      <w:pPr>
        <w:spacing w:after="0" w:line="240" w:lineRule="auto"/>
        <w:jc w:val="both"/>
        <w:rPr>
          <w:rFonts w:ascii="Book Antiqua" w:hAnsi="Book Antiqua"/>
          <w:sz w:val="18"/>
          <w:szCs w:val="18"/>
        </w:rPr>
      </w:pPr>
    </w:p>
    <w:p w14:paraId="65B64CA5" w14:textId="7FE217C2" w:rsidR="000E3028" w:rsidRPr="00AD4661" w:rsidRDefault="000E3028" w:rsidP="004005B1">
      <w:pPr>
        <w:spacing w:after="0" w:line="240" w:lineRule="auto"/>
        <w:jc w:val="both"/>
        <w:rPr>
          <w:rFonts w:ascii="Book Antiqua" w:hAnsi="Book Antiqua"/>
          <w:sz w:val="16"/>
          <w:szCs w:val="16"/>
        </w:rPr>
      </w:pPr>
      <w:r w:rsidRPr="00AD4661">
        <w:rPr>
          <w:rFonts w:ascii="Book Antiqua" w:hAnsi="Book Antiqua"/>
          <w:sz w:val="16"/>
          <w:szCs w:val="16"/>
        </w:rPr>
        <w:t xml:space="preserve">To support the cross-regional comparative design of this study, the following annotated bibliography is organized into a five-stage thematic framework: </w:t>
      </w:r>
    </w:p>
    <w:p w14:paraId="52B13BE9" w14:textId="77777777" w:rsidR="00553175" w:rsidRPr="00AD4661" w:rsidRDefault="00553175" w:rsidP="004005B1">
      <w:pPr>
        <w:spacing w:after="0" w:line="240" w:lineRule="auto"/>
        <w:jc w:val="both"/>
        <w:rPr>
          <w:rFonts w:ascii="Book Antiqua" w:hAnsi="Book Antiqua"/>
          <w:sz w:val="16"/>
          <w:szCs w:val="16"/>
        </w:rPr>
      </w:pPr>
    </w:p>
    <w:p w14:paraId="3239F952" w14:textId="5ABF968A" w:rsidR="000E3028" w:rsidRPr="00AD4661" w:rsidRDefault="00533CE5" w:rsidP="004005B1">
      <w:pPr>
        <w:spacing w:after="0" w:line="240" w:lineRule="auto"/>
        <w:jc w:val="both"/>
        <w:rPr>
          <w:rFonts w:ascii="Book Antiqua" w:hAnsi="Book Antiqua"/>
          <w:b/>
          <w:bCs/>
          <w:sz w:val="16"/>
          <w:szCs w:val="16"/>
        </w:rPr>
      </w:pPr>
      <w:r w:rsidRPr="00AD4661">
        <w:rPr>
          <w:rFonts w:ascii="Book Antiqua" w:hAnsi="Book Antiqua"/>
          <w:b/>
          <w:bCs/>
          <w:sz w:val="16"/>
          <w:szCs w:val="16"/>
        </w:rPr>
        <w:t xml:space="preserve">1. </w:t>
      </w:r>
      <w:r w:rsidR="000E3028" w:rsidRPr="00AD4661">
        <w:rPr>
          <w:rFonts w:ascii="Book Antiqua" w:hAnsi="Book Antiqua"/>
          <w:b/>
          <w:bCs/>
          <w:sz w:val="16"/>
          <w:szCs w:val="16"/>
        </w:rPr>
        <w:t xml:space="preserve">Financial Deepening Theory &amp; Financial Intermediation, </w:t>
      </w:r>
    </w:p>
    <w:p w14:paraId="2FDB20CB" w14:textId="1E4255E4" w:rsidR="000E3028" w:rsidRPr="00AD4661" w:rsidRDefault="00533CE5" w:rsidP="004005B1">
      <w:pPr>
        <w:spacing w:after="0" w:line="240" w:lineRule="auto"/>
        <w:jc w:val="both"/>
        <w:rPr>
          <w:rFonts w:ascii="Book Antiqua" w:hAnsi="Book Antiqua"/>
          <w:b/>
          <w:bCs/>
          <w:sz w:val="16"/>
          <w:szCs w:val="16"/>
        </w:rPr>
      </w:pPr>
      <w:r w:rsidRPr="00AD4661">
        <w:rPr>
          <w:rFonts w:ascii="Book Antiqua" w:hAnsi="Book Antiqua"/>
          <w:b/>
          <w:bCs/>
          <w:sz w:val="16"/>
          <w:szCs w:val="16"/>
        </w:rPr>
        <w:t>2.</w:t>
      </w:r>
      <w:r w:rsidR="000E3028" w:rsidRPr="00AD4661">
        <w:rPr>
          <w:rFonts w:ascii="Book Antiqua" w:hAnsi="Book Antiqua"/>
          <w:b/>
          <w:bCs/>
          <w:sz w:val="16"/>
          <w:szCs w:val="16"/>
        </w:rPr>
        <w:t xml:space="preserve"> FinTech Foundations, Digital Finance &amp; Financial Inclusion, </w:t>
      </w:r>
    </w:p>
    <w:p w14:paraId="1E8F0B22" w14:textId="768B9BE9" w:rsidR="000E3028" w:rsidRPr="00AD4661" w:rsidRDefault="00533CE5" w:rsidP="004005B1">
      <w:pPr>
        <w:spacing w:after="0" w:line="240" w:lineRule="auto"/>
        <w:jc w:val="both"/>
        <w:rPr>
          <w:rFonts w:ascii="Book Antiqua" w:hAnsi="Book Antiqua"/>
          <w:b/>
          <w:bCs/>
          <w:sz w:val="16"/>
          <w:szCs w:val="16"/>
        </w:rPr>
      </w:pPr>
      <w:r w:rsidRPr="00AD4661">
        <w:rPr>
          <w:rFonts w:ascii="Book Antiqua" w:hAnsi="Book Antiqua"/>
          <w:b/>
          <w:bCs/>
          <w:sz w:val="16"/>
          <w:szCs w:val="16"/>
        </w:rPr>
        <w:t>3.</w:t>
      </w:r>
      <w:r w:rsidR="000E3028" w:rsidRPr="00AD4661">
        <w:rPr>
          <w:rFonts w:ascii="Book Antiqua" w:hAnsi="Book Antiqua"/>
          <w:b/>
          <w:bCs/>
          <w:sz w:val="16"/>
          <w:szCs w:val="16"/>
        </w:rPr>
        <w:t xml:space="preserve"> Sub-Saharan Africa, </w:t>
      </w:r>
    </w:p>
    <w:p w14:paraId="669811A1" w14:textId="7FEEE1B4" w:rsidR="000E3028" w:rsidRPr="00AD4661" w:rsidRDefault="00533CE5" w:rsidP="004005B1">
      <w:pPr>
        <w:spacing w:after="0" w:line="240" w:lineRule="auto"/>
        <w:jc w:val="both"/>
        <w:rPr>
          <w:rFonts w:ascii="Book Antiqua" w:hAnsi="Book Antiqua"/>
          <w:b/>
          <w:bCs/>
          <w:sz w:val="16"/>
          <w:szCs w:val="16"/>
        </w:rPr>
      </w:pPr>
      <w:r w:rsidRPr="00AD4661">
        <w:rPr>
          <w:rFonts w:ascii="Book Antiqua" w:hAnsi="Book Antiqua"/>
          <w:b/>
          <w:bCs/>
          <w:sz w:val="16"/>
          <w:szCs w:val="16"/>
        </w:rPr>
        <w:t>4.</w:t>
      </w:r>
      <w:r w:rsidR="000E3028" w:rsidRPr="00AD4661">
        <w:rPr>
          <w:rFonts w:ascii="Book Antiqua" w:hAnsi="Book Antiqua"/>
          <w:b/>
          <w:bCs/>
          <w:sz w:val="16"/>
          <w:szCs w:val="16"/>
        </w:rPr>
        <w:t xml:space="preserve"> South &amp; Southeast Asia, and </w:t>
      </w:r>
    </w:p>
    <w:p w14:paraId="78BB6EF9" w14:textId="65F0323C" w:rsidR="000E3028" w:rsidRPr="00AD4661" w:rsidRDefault="00533CE5" w:rsidP="004005B1">
      <w:pPr>
        <w:spacing w:after="0" w:line="240" w:lineRule="auto"/>
        <w:jc w:val="both"/>
        <w:rPr>
          <w:rFonts w:ascii="Book Antiqua" w:hAnsi="Book Antiqua"/>
          <w:b/>
          <w:bCs/>
          <w:sz w:val="16"/>
          <w:szCs w:val="16"/>
        </w:rPr>
      </w:pPr>
      <w:r w:rsidRPr="00AD4661">
        <w:rPr>
          <w:rFonts w:ascii="Book Antiqua" w:hAnsi="Book Antiqua"/>
          <w:b/>
          <w:bCs/>
          <w:sz w:val="16"/>
          <w:szCs w:val="16"/>
        </w:rPr>
        <w:t>5.</w:t>
      </w:r>
      <w:r w:rsidR="000E3028" w:rsidRPr="00AD4661">
        <w:rPr>
          <w:rFonts w:ascii="Book Antiqua" w:hAnsi="Book Antiqua"/>
          <w:b/>
          <w:bCs/>
          <w:sz w:val="16"/>
          <w:szCs w:val="16"/>
        </w:rPr>
        <w:t xml:space="preserve"> Comparative Studies, Bibliometric Reviews &amp; Recent Evidence. </w:t>
      </w:r>
    </w:p>
    <w:p w14:paraId="68F790AB" w14:textId="77777777" w:rsidR="00553175" w:rsidRPr="00AD4661" w:rsidRDefault="00553175" w:rsidP="004005B1">
      <w:pPr>
        <w:spacing w:after="0" w:line="240" w:lineRule="auto"/>
        <w:jc w:val="both"/>
        <w:rPr>
          <w:rFonts w:ascii="Book Antiqua" w:hAnsi="Book Antiqua"/>
          <w:sz w:val="16"/>
          <w:szCs w:val="16"/>
        </w:rPr>
      </w:pPr>
    </w:p>
    <w:p w14:paraId="119123F8" w14:textId="33C007CA" w:rsidR="000E3028" w:rsidRPr="00AD4661" w:rsidRDefault="000E3028" w:rsidP="004005B1">
      <w:pPr>
        <w:spacing w:after="0" w:line="240" w:lineRule="auto"/>
        <w:jc w:val="both"/>
        <w:rPr>
          <w:rFonts w:ascii="Book Antiqua" w:hAnsi="Book Antiqua"/>
          <w:sz w:val="16"/>
          <w:szCs w:val="16"/>
        </w:rPr>
      </w:pPr>
      <w:r w:rsidRPr="00AD4661">
        <w:rPr>
          <w:rFonts w:ascii="Book Antiqua" w:hAnsi="Book Antiqua"/>
          <w:sz w:val="16"/>
          <w:szCs w:val="16"/>
        </w:rPr>
        <w:t>This structured taxonomy reflects the core theoretical dichotomy under investigation, systematically grouping empirical, policy, and theoretical literature to analyze how distinct regional architectures influence financial deepening and long-term capital formation.</w:t>
      </w:r>
    </w:p>
    <w:p w14:paraId="09B6DA4F" w14:textId="77777777" w:rsidR="00242C70" w:rsidRPr="00AD4661" w:rsidRDefault="00242C70" w:rsidP="004005B1">
      <w:pPr>
        <w:spacing w:after="0" w:line="240" w:lineRule="auto"/>
        <w:jc w:val="both"/>
        <w:rPr>
          <w:rFonts w:ascii="Book Antiqua" w:hAnsi="Book Antiqua"/>
          <w:sz w:val="16"/>
          <w:szCs w:val="16"/>
        </w:rPr>
      </w:pPr>
    </w:p>
    <w:p w14:paraId="5B2B30F8" w14:textId="48F95C8E" w:rsidR="00242C70" w:rsidRPr="00AD4661" w:rsidRDefault="00242C70" w:rsidP="004005B1">
      <w:pPr>
        <w:spacing w:after="0" w:line="240" w:lineRule="auto"/>
        <w:jc w:val="both"/>
        <w:rPr>
          <w:rFonts w:ascii="Book Antiqua" w:hAnsi="Book Antiqua"/>
          <w:b/>
          <w:bCs/>
          <w:color w:val="156082" w:themeColor="accent1"/>
          <w:sz w:val="16"/>
          <w:szCs w:val="16"/>
        </w:rPr>
      </w:pPr>
      <w:r w:rsidRPr="00AD4661">
        <w:rPr>
          <w:rFonts w:ascii="Book Antiqua" w:hAnsi="Book Antiqua"/>
          <w:b/>
          <w:bCs/>
          <w:color w:val="156082" w:themeColor="accent1"/>
          <w:sz w:val="16"/>
          <w:szCs w:val="16"/>
        </w:rPr>
        <w:t>Stage 1: Financial Deepening Theory &amp; Financial Intermediation</w:t>
      </w:r>
    </w:p>
    <w:p w14:paraId="1306516F" w14:textId="08BD19D1" w:rsidR="00802F28" w:rsidRDefault="008477E1" w:rsidP="004005B1">
      <w:pPr>
        <w:spacing w:after="0" w:line="240" w:lineRule="auto"/>
        <w:jc w:val="both"/>
        <w:rPr>
          <w:rFonts w:ascii="Book Antiqua" w:hAnsi="Book Antiqua"/>
          <w:sz w:val="16"/>
          <w:szCs w:val="16"/>
        </w:rPr>
      </w:pPr>
      <w:r w:rsidRPr="00AD4661">
        <w:rPr>
          <w:rFonts w:ascii="Book Antiqua" w:hAnsi="Book Antiqua"/>
          <w:sz w:val="16"/>
          <w:szCs w:val="16"/>
        </w:rPr>
        <w:t>This stage establishes the macroeconomic baseline, exploring classic</w:t>
      </w:r>
      <w:r w:rsidR="00FE52D9" w:rsidRPr="00AD4661">
        <w:rPr>
          <w:rFonts w:ascii="Book Antiqua" w:hAnsi="Book Antiqua"/>
          <w:sz w:val="16"/>
          <w:szCs w:val="16"/>
        </w:rPr>
        <w:t xml:space="preserve"> </w:t>
      </w:r>
      <w:r w:rsidRPr="00AD4661">
        <w:rPr>
          <w:rFonts w:ascii="Book Antiqua" w:hAnsi="Book Antiqua"/>
          <w:sz w:val="16"/>
          <w:szCs w:val="16"/>
        </w:rPr>
        <w:t>and modern theories on how financial intermediaries pool capital, mitigate information asymmetries, and drive aggregate economic growth.</w:t>
      </w:r>
    </w:p>
    <w:p w14:paraId="0F24390C" w14:textId="77777777" w:rsidR="00AD4661" w:rsidRPr="00AD4661" w:rsidRDefault="00AD4661" w:rsidP="004005B1">
      <w:pPr>
        <w:spacing w:after="0" w:line="240" w:lineRule="auto"/>
        <w:jc w:val="both"/>
        <w:rPr>
          <w:rFonts w:ascii="Book Antiqua" w:hAnsi="Book Antiqua"/>
          <w:sz w:val="16"/>
          <w:szCs w:val="16"/>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544"/>
        <w:gridCol w:w="2835"/>
        <w:gridCol w:w="2419"/>
      </w:tblGrid>
      <w:tr w:rsidR="00802F28" w:rsidRPr="00CD06DB" w14:paraId="12E4E601" w14:textId="77777777" w:rsidTr="00B966A2">
        <w:trPr>
          <w:trHeight w:val="101"/>
        </w:trPr>
        <w:tc>
          <w:tcPr>
            <w:tcW w:w="562" w:type="dxa"/>
            <w:shd w:val="clear" w:color="auto" w:fill="1B365D"/>
            <w:tcMar>
              <w:top w:w="140" w:type="dxa"/>
              <w:left w:w="150" w:type="dxa"/>
              <w:bottom w:w="140" w:type="dxa"/>
              <w:right w:w="150" w:type="dxa"/>
            </w:tcMar>
          </w:tcPr>
          <w:p w14:paraId="3FB3BB09" w14:textId="7F609993" w:rsidR="00802F28" w:rsidRPr="003A11A5" w:rsidRDefault="003E5630" w:rsidP="009A5B2D">
            <w:pPr>
              <w:spacing w:after="0" w:line="240" w:lineRule="auto"/>
              <w:rPr>
                <w:rFonts w:ascii="Book Antiqua" w:hAnsi="Book Antiqua"/>
                <w:b/>
                <w:sz w:val="14"/>
                <w:szCs w:val="14"/>
              </w:rPr>
            </w:pPr>
            <w:r w:rsidRPr="003A11A5">
              <w:rPr>
                <w:rFonts w:ascii="Book Antiqua" w:hAnsi="Book Antiqua"/>
                <w:b/>
                <w:color w:val="FFFFFF"/>
                <w:sz w:val="14"/>
                <w:szCs w:val="14"/>
              </w:rPr>
              <w:t>ID</w:t>
            </w:r>
          </w:p>
        </w:tc>
        <w:tc>
          <w:tcPr>
            <w:tcW w:w="3544" w:type="dxa"/>
            <w:shd w:val="clear" w:color="auto" w:fill="1B365D"/>
            <w:tcMar>
              <w:top w:w="140" w:type="dxa"/>
              <w:left w:w="150" w:type="dxa"/>
              <w:bottom w:w="140" w:type="dxa"/>
              <w:right w:w="150" w:type="dxa"/>
            </w:tcMar>
          </w:tcPr>
          <w:p w14:paraId="6D1B1C30"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b/>
                <w:color w:val="FFFFFF"/>
                <w:sz w:val="15"/>
                <w:szCs w:val="15"/>
              </w:rPr>
              <w:t>Journal Reference</w:t>
            </w:r>
          </w:p>
        </w:tc>
        <w:tc>
          <w:tcPr>
            <w:tcW w:w="2835" w:type="dxa"/>
            <w:shd w:val="clear" w:color="auto" w:fill="1B365D"/>
            <w:tcMar>
              <w:top w:w="140" w:type="dxa"/>
              <w:left w:w="150" w:type="dxa"/>
              <w:bottom w:w="140" w:type="dxa"/>
              <w:right w:w="150" w:type="dxa"/>
            </w:tcMar>
          </w:tcPr>
          <w:p w14:paraId="4415480F"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b/>
                <w:color w:val="FFFFFF"/>
                <w:sz w:val="15"/>
                <w:szCs w:val="15"/>
              </w:rPr>
              <w:t>Key Findings</w:t>
            </w:r>
          </w:p>
        </w:tc>
        <w:tc>
          <w:tcPr>
            <w:tcW w:w="2419" w:type="dxa"/>
            <w:shd w:val="clear" w:color="auto" w:fill="1B365D"/>
            <w:tcMar>
              <w:top w:w="140" w:type="dxa"/>
              <w:left w:w="150" w:type="dxa"/>
              <w:bottom w:w="140" w:type="dxa"/>
              <w:right w:w="150" w:type="dxa"/>
            </w:tcMar>
          </w:tcPr>
          <w:p w14:paraId="7F7A5391"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b/>
                <w:color w:val="FFFFFF"/>
                <w:sz w:val="15"/>
                <w:szCs w:val="15"/>
              </w:rPr>
              <w:t>Analytical Usefulness</w:t>
            </w:r>
          </w:p>
        </w:tc>
      </w:tr>
      <w:tr w:rsidR="00802F28" w:rsidRPr="00CD06DB" w14:paraId="10D730AF" w14:textId="77777777" w:rsidTr="00B966A2">
        <w:tc>
          <w:tcPr>
            <w:tcW w:w="562" w:type="dxa"/>
            <w:shd w:val="clear" w:color="auto" w:fill="FFFFFF"/>
            <w:tcMar>
              <w:top w:w="100" w:type="dxa"/>
              <w:left w:w="120" w:type="dxa"/>
              <w:bottom w:w="100" w:type="dxa"/>
              <w:right w:w="120" w:type="dxa"/>
            </w:tcMar>
          </w:tcPr>
          <w:p w14:paraId="72585F72" w14:textId="1A3838ED" w:rsidR="00802F28" w:rsidRPr="003E0861" w:rsidRDefault="00802F28"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01</w:t>
            </w:r>
          </w:p>
        </w:tc>
        <w:tc>
          <w:tcPr>
            <w:tcW w:w="3544" w:type="dxa"/>
            <w:shd w:val="clear" w:color="auto" w:fill="FFFFFF"/>
            <w:tcMar>
              <w:top w:w="100" w:type="dxa"/>
              <w:left w:w="120" w:type="dxa"/>
              <w:bottom w:w="100" w:type="dxa"/>
              <w:right w:w="120" w:type="dxa"/>
            </w:tcMar>
          </w:tcPr>
          <w:p w14:paraId="43528343" w14:textId="5D554A74" w:rsidR="00802F28" w:rsidRPr="003E0861" w:rsidRDefault="001F72FE" w:rsidP="009A5B2D">
            <w:pPr>
              <w:spacing w:after="0" w:line="240" w:lineRule="auto"/>
              <w:rPr>
                <w:rFonts w:ascii="Book Antiqua" w:hAnsi="Book Antiqua"/>
                <w:sz w:val="15"/>
                <w:szCs w:val="15"/>
              </w:rPr>
            </w:pPr>
            <w:r w:rsidRPr="001F72FE">
              <w:rPr>
                <w:rFonts w:ascii="Book Antiqua" w:hAnsi="Book Antiqua"/>
                <w:sz w:val="15"/>
                <w:szCs w:val="15"/>
              </w:rPr>
              <w:t xml:space="preserve">Aghion, P., Howitt, P. and Mayer-Foulkes, D., </w:t>
            </w:r>
            <w:r w:rsidR="00B826B4">
              <w:rPr>
                <w:rFonts w:ascii="Book Antiqua" w:hAnsi="Book Antiqua"/>
                <w:sz w:val="15"/>
                <w:szCs w:val="15"/>
              </w:rPr>
              <w:t>(</w:t>
            </w:r>
            <w:r w:rsidRPr="001F72FE">
              <w:rPr>
                <w:rFonts w:ascii="Book Antiqua" w:hAnsi="Book Antiqua"/>
                <w:sz w:val="15"/>
                <w:szCs w:val="15"/>
              </w:rPr>
              <w:t>2005</w:t>
            </w:r>
            <w:r w:rsidR="00B826B4">
              <w:rPr>
                <w:rFonts w:ascii="Book Antiqua" w:hAnsi="Book Antiqua"/>
                <w:sz w:val="15"/>
                <w:szCs w:val="15"/>
              </w:rPr>
              <w:t xml:space="preserve">) </w:t>
            </w:r>
            <w:r w:rsidR="00B826B4" w:rsidRPr="003E0861">
              <w:rPr>
                <w:rFonts w:ascii="Book Antiqua" w:hAnsi="Book Antiqua"/>
                <w:sz w:val="15"/>
                <w:szCs w:val="15"/>
              </w:rPr>
              <w:t>'</w:t>
            </w:r>
            <w:r w:rsidRPr="001F72FE">
              <w:rPr>
                <w:rFonts w:ascii="Book Antiqua" w:hAnsi="Book Antiqua"/>
                <w:sz w:val="15"/>
                <w:szCs w:val="15"/>
              </w:rPr>
              <w:t>The effect of financial development on convergence: Theory and evidence</w:t>
            </w:r>
            <w:r w:rsidR="00B826B4" w:rsidRPr="003E0861">
              <w:rPr>
                <w:rFonts w:ascii="Book Antiqua" w:hAnsi="Book Antiqua"/>
                <w:sz w:val="15"/>
                <w:szCs w:val="15"/>
              </w:rPr>
              <w:t>'</w:t>
            </w:r>
            <w:r w:rsidR="00B826B4">
              <w:rPr>
                <w:rFonts w:ascii="Book Antiqua" w:hAnsi="Book Antiqua"/>
                <w:sz w:val="15"/>
                <w:szCs w:val="15"/>
              </w:rPr>
              <w:t>,</w:t>
            </w:r>
            <w:r w:rsidRPr="001F72FE">
              <w:rPr>
                <w:rFonts w:ascii="Book Antiqua" w:hAnsi="Book Antiqua"/>
                <w:sz w:val="15"/>
                <w:szCs w:val="15"/>
              </w:rPr>
              <w:t> </w:t>
            </w:r>
            <w:r w:rsidRPr="001F72FE">
              <w:rPr>
                <w:rFonts w:ascii="Book Antiqua" w:hAnsi="Book Antiqua"/>
                <w:i/>
                <w:iCs/>
                <w:sz w:val="15"/>
                <w:szCs w:val="15"/>
              </w:rPr>
              <w:t>The quarterly journal of economics</w:t>
            </w:r>
            <w:r w:rsidRPr="001F72FE">
              <w:rPr>
                <w:rFonts w:ascii="Book Antiqua" w:hAnsi="Book Antiqua"/>
                <w:sz w:val="15"/>
                <w:szCs w:val="15"/>
              </w:rPr>
              <w:t>, </w:t>
            </w:r>
            <w:r w:rsidRPr="001F72FE">
              <w:rPr>
                <w:rFonts w:ascii="Book Antiqua" w:hAnsi="Book Antiqua"/>
                <w:i/>
                <w:iCs/>
                <w:sz w:val="15"/>
                <w:szCs w:val="15"/>
              </w:rPr>
              <w:t>120</w:t>
            </w:r>
            <w:r w:rsidRPr="001F72FE">
              <w:rPr>
                <w:rFonts w:ascii="Book Antiqua" w:hAnsi="Book Antiqua"/>
                <w:sz w:val="15"/>
                <w:szCs w:val="15"/>
              </w:rPr>
              <w:t>(1), pp.173-222.</w:t>
            </w:r>
          </w:p>
        </w:tc>
        <w:tc>
          <w:tcPr>
            <w:tcW w:w="2835" w:type="dxa"/>
            <w:shd w:val="clear" w:color="auto" w:fill="FFFFFF"/>
            <w:tcMar>
              <w:top w:w="100" w:type="dxa"/>
              <w:left w:w="120" w:type="dxa"/>
              <w:bottom w:w="100" w:type="dxa"/>
              <w:right w:w="120" w:type="dxa"/>
            </w:tcMar>
          </w:tcPr>
          <w:p w14:paraId="4F827C14"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Integrates financial development with Schumpeterian growth theory to prove that financial institutions facilitate technological convergence.</w:t>
            </w:r>
          </w:p>
        </w:tc>
        <w:tc>
          <w:tcPr>
            <w:tcW w:w="2419" w:type="dxa"/>
            <w:shd w:val="clear" w:color="auto" w:fill="FFFFFF"/>
            <w:tcMar>
              <w:top w:w="100" w:type="dxa"/>
              <w:left w:w="120" w:type="dxa"/>
              <w:bottom w:w="100" w:type="dxa"/>
              <w:right w:w="120" w:type="dxa"/>
            </w:tcMar>
          </w:tcPr>
          <w:p w14:paraId="5BDEE3D4"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Highly useful for explaining the macro-theoretical framework connecting credit availability to economic growth.</w:t>
            </w:r>
          </w:p>
        </w:tc>
      </w:tr>
      <w:tr w:rsidR="00802F28" w:rsidRPr="00CD06DB" w14:paraId="1D639542" w14:textId="77777777" w:rsidTr="00B966A2">
        <w:tc>
          <w:tcPr>
            <w:tcW w:w="562" w:type="dxa"/>
            <w:shd w:val="clear" w:color="auto" w:fill="F9FBFD"/>
            <w:tcMar>
              <w:top w:w="100" w:type="dxa"/>
              <w:left w:w="120" w:type="dxa"/>
              <w:bottom w:w="100" w:type="dxa"/>
              <w:right w:w="120" w:type="dxa"/>
            </w:tcMar>
          </w:tcPr>
          <w:p w14:paraId="2A7355EF" w14:textId="0529F69C" w:rsidR="00802F28" w:rsidRPr="003E0861" w:rsidRDefault="00802F28"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w:t>
            </w:r>
            <w:r w:rsidR="00BF48BA" w:rsidRPr="003E0861">
              <w:rPr>
                <w:rFonts w:ascii="Book Antiqua" w:hAnsi="Book Antiqua"/>
                <w:bCs/>
                <w:color w:val="auto"/>
                <w:sz w:val="15"/>
                <w:szCs w:val="15"/>
              </w:rPr>
              <w:t>2</w:t>
            </w:r>
          </w:p>
        </w:tc>
        <w:tc>
          <w:tcPr>
            <w:tcW w:w="3544" w:type="dxa"/>
            <w:shd w:val="clear" w:color="auto" w:fill="F9FBFD"/>
            <w:tcMar>
              <w:top w:w="100" w:type="dxa"/>
              <w:left w:w="120" w:type="dxa"/>
              <w:bottom w:w="100" w:type="dxa"/>
              <w:right w:w="120" w:type="dxa"/>
            </w:tcMar>
          </w:tcPr>
          <w:p w14:paraId="25B479AF"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Arestis, P. and Demetriades, P. (1997) 'Financial development and economic growth: assessing the evidence', </w:t>
            </w:r>
            <w:r w:rsidRPr="003E0861">
              <w:rPr>
                <w:rFonts w:ascii="Book Antiqua" w:hAnsi="Book Antiqua"/>
                <w:i/>
                <w:iCs/>
                <w:sz w:val="15"/>
                <w:szCs w:val="15"/>
              </w:rPr>
              <w:t xml:space="preserve">The Economic Journal, </w:t>
            </w:r>
            <w:r w:rsidRPr="003E0861">
              <w:rPr>
                <w:rFonts w:ascii="Book Antiqua" w:hAnsi="Book Antiqua"/>
                <w:sz w:val="15"/>
                <w:szCs w:val="15"/>
              </w:rPr>
              <w:t>107(442), pp. 783–799.</w:t>
            </w:r>
          </w:p>
        </w:tc>
        <w:tc>
          <w:tcPr>
            <w:tcW w:w="2835" w:type="dxa"/>
            <w:shd w:val="clear" w:color="auto" w:fill="F9FBFD"/>
            <w:tcMar>
              <w:top w:w="100" w:type="dxa"/>
              <w:left w:w="120" w:type="dxa"/>
              <w:bottom w:w="100" w:type="dxa"/>
              <w:right w:w="120" w:type="dxa"/>
            </w:tcMar>
          </w:tcPr>
          <w:p w14:paraId="17ACE978"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Critically reviews early empirical literature, emphasizing how institutional structures shape financial system efficacy.</w:t>
            </w:r>
          </w:p>
        </w:tc>
        <w:tc>
          <w:tcPr>
            <w:tcW w:w="2419" w:type="dxa"/>
            <w:shd w:val="clear" w:color="auto" w:fill="F9FBFD"/>
            <w:tcMar>
              <w:top w:w="100" w:type="dxa"/>
              <w:left w:w="120" w:type="dxa"/>
              <w:bottom w:w="100" w:type="dxa"/>
              <w:right w:w="120" w:type="dxa"/>
            </w:tcMar>
          </w:tcPr>
          <w:p w14:paraId="5F857197"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Useful for questioning the directness of the transmission channel between basic access and real economic growth.</w:t>
            </w:r>
          </w:p>
        </w:tc>
      </w:tr>
      <w:tr w:rsidR="00802F28" w:rsidRPr="00CD06DB" w14:paraId="47709ADC" w14:textId="77777777" w:rsidTr="00B966A2">
        <w:tc>
          <w:tcPr>
            <w:tcW w:w="562" w:type="dxa"/>
            <w:shd w:val="clear" w:color="auto" w:fill="FFFFFF"/>
            <w:tcMar>
              <w:top w:w="100" w:type="dxa"/>
              <w:left w:w="120" w:type="dxa"/>
              <w:bottom w:w="100" w:type="dxa"/>
              <w:right w:w="120" w:type="dxa"/>
            </w:tcMar>
          </w:tcPr>
          <w:p w14:paraId="1061D1EE" w14:textId="659BE321" w:rsidR="00802F28" w:rsidRPr="003E0861" w:rsidRDefault="00802F28"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w:t>
            </w:r>
            <w:r w:rsidR="00BF48BA" w:rsidRPr="003E0861">
              <w:rPr>
                <w:rFonts w:ascii="Book Antiqua" w:hAnsi="Book Antiqua"/>
                <w:bCs/>
                <w:color w:val="auto"/>
                <w:sz w:val="15"/>
                <w:szCs w:val="15"/>
              </w:rPr>
              <w:t>3</w:t>
            </w:r>
          </w:p>
        </w:tc>
        <w:tc>
          <w:tcPr>
            <w:tcW w:w="3544" w:type="dxa"/>
            <w:shd w:val="clear" w:color="auto" w:fill="FFFFFF"/>
            <w:tcMar>
              <w:top w:w="100" w:type="dxa"/>
              <w:left w:w="120" w:type="dxa"/>
              <w:bottom w:w="100" w:type="dxa"/>
              <w:right w:w="120" w:type="dxa"/>
            </w:tcMar>
          </w:tcPr>
          <w:p w14:paraId="13BF5FD8"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Diamond, D.W. (1984) 'Financial intermediation and delegated monitoring', </w:t>
            </w:r>
            <w:r w:rsidRPr="003E0861">
              <w:rPr>
                <w:rFonts w:ascii="Book Antiqua" w:hAnsi="Book Antiqua"/>
                <w:i/>
                <w:iCs/>
                <w:sz w:val="15"/>
                <w:szCs w:val="15"/>
              </w:rPr>
              <w:t xml:space="preserve">Review of Economic Studies, </w:t>
            </w:r>
            <w:r w:rsidRPr="003E0861">
              <w:rPr>
                <w:rFonts w:ascii="Book Antiqua" w:hAnsi="Book Antiqua"/>
                <w:sz w:val="15"/>
                <w:szCs w:val="15"/>
              </w:rPr>
              <w:t>51(3), pp. 393–414.</w:t>
            </w:r>
          </w:p>
        </w:tc>
        <w:tc>
          <w:tcPr>
            <w:tcW w:w="2835" w:type="dxa"/>
            <w:shd w:val="clear" w:color="auto" w:fill="FFFFFF"/>
            <w:tcMar>
              <w:top w:w="100" w:type="dxa"/>
              <w:left w:w="120" w:type="dxa"/>
              <w:bottom w:w="100" w:type="dxa"/>
              <w:right w:w="120" w:type="dxa"/>
            </w:tcMar>
          </w:tcPr>
          <w:p w14:paraId="2FCCA6C7"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Establishes a seminal theoretical framework where intermediaries resolve information asymmetries via delegated monitoring.</w:t>
            </w:r>
          </w:p>
        </w:tc>
        <w:tc>
          <w:tcPr>
            <w:tcW w:w="2419" w:type="dxa"/>
            <w:shd w:val="clear" w:color="auto" w:fill="FFFFFF"/>
            <w:tcMar>
              <w:top w:w="100" w:type="dxa"/>
              <w:left w:w="120" w:type="dxa"/>
              <w:bottom w:w="100" w:type="dxa"/>
              <w:right w:w="120" w:type="dxa"/>
            </w:tcMar>
          </w:tcPr>
          <w:p w14:paraId="5926FACE" w14:textId="2CD8F34E"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Core reference </w:t>
            </w:r>
            <w:r w:rsidR="00206DFB" w:rsidRPr="003E0861">
              <w:rPr>
                <w:rFonts w:ascii="Book Antiqua" w:hAnsi="Book Antiqua"/>
                <w:sz w:val="15"/>
                <w:szCs w:val="15"/>
              </w:rPr>
              <w:t>explains</w:t>
            </w:r>
            <w:r w:rsidRPr="003E0861">
              <w:rPr>
                <w:rFonts w:ascii="Book Antiqua" w:hAnsi="Book Antiqua"/>
                <w:sz w:val="15"/>
                <w:szCs w:val="15"/>
              </w:rPr>
              <w:t xml:space="preserve"> how formal banks perform essential maturity transformations to fuel private sector investments.</w:t>
            </w:r>
          </w:p>
        </w:tc>
      </w:tr>
      <w:tr w:rsidR="00802F28" w:rsidRPr="00CD06DB" w14:paraId="6B41D6F4" w14:textId="77777777" w:rsidTr="00B966A2">
        <w:tc>
          <w:tcPr>
            <w:tcW w:w="562" w:type="dxa"/>
            <w:shd w:val="clear" w:color="auto" w:fill="F9FBFD"/>
            <w:tcMar>
              <w:top w:w="100" w:type="dxa"/>
              <w:left w:w="120" w:type="dxa"/>
              <w:bottom w:w="100" w:type="dxa"/>
              <w:right w:w="120" w:type="dxa"/>
            </w:tcMar>
          </w:tcPr>
          <w:p w14:paraId="45F1C496" w14:textId="52063690" w:rsidR="00802F28" w:rsidRPr="003E0861" w:rsidRDefault="00802F28"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w:t>
            </w:r>
            <w:r w:rsidR="00BF48BA" w:rsidRPr="003E0861">
              <w:rPr>
                <w:rFonts w:ascii="Book Antiqua" w:hAnsi="Book Antiqua"/>
                <w:bCs/>
                <w:color w:val="auto"/>
                <w:sz w:val="15"/>
                <w:szCs w:val="15"/>
              </w:rPr>
              <w:t>4</w:t>
            </w:r>
          </w:p>
        </w:tc>
        <w:tc>
          <w:tcPr>
            <w:tcW w:w="3544" w:type="dxa"/>
            <w:shd w:val="clear" w:color="auto" w:fill="F9FBFD"/>
            <w:tcMar>
              <w:top w:w="100" w:type="dxa"/>
              <w:left w:w="120" w:type="dxa"/>
              <w:bottom w:w="100" w:type="dxa"/>
              <w:right w:w="120" w:type="dxa"/>
            </w:tcMar>
          </w:tcPr>
          <w:p w14:paraId="670F8016"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Diamond, D.W. and Dybvig, P.H. (1983) 'Bank runs, deposit insurance, and liquidity', </w:t>
            </w:r>
            <w:r w:rsidRPr="003E0861">
              <w:rPr>
                <w:rFonts w:ascii="Book Antiqua" w:hAnsi="Book Antiqua"/>
                <w:i/>
                <w:iCs/>
                <w:sz w:val="15"/>
                <w:szCs w:val="15"/>
              </w:rPr>
              <w:t>Journal of Political Economy,</w:t>
            </w:r>
            <w:r w:rsidRPr="003E0861">
              <w:rPr>
                <w:rFonts w:ascii="Book Antiqua" w:hAnsi="Book Antiqua"/>
                <w:sz w:val="15"/>
                <w:szCs w:val="15"/>
              </w:rPr>
              <w:t xml:space="preserve"> 91(3), pp. 401–419.</w:t>
            </w:r>
          </w:p>
        </w:tc>
        <w:tc>
          <w:tcPr>
            <w:tcW w:w="2835" w:type="dxa"/>
            <w:shd w:val="clear" w:color="auto" w:fill="F9FBFD"/>
            <w:tcMar>
              <w:top w:w="100" w:type="dxa"/>
              <w:left w:w="120" w:type="dxa"/>
              <w:bottom w:w="100" w:type="dxa"/>
              <w:right w:w="120" w:type="dxa"/>
            </w:tcMar>
          </w:tcPr>
          <w:p w14:paraId="58B1C4C7"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Develops the classic mathematical model explaining bank liquidity creation, deposit contracts, and systemic runs.</w:t>
            </w:r>
          </w:p>
        </w:tc>
        <w:tc>
          <w:tcPr>
            <w:tcW w:w="2419" w:type="dxa"/>
            <w:shd w:val="clear" w:color="auto" w:fill="F9FBFD"/>
            <w:tcMar>
              <w:top w:w="100" w:type="dxa"/>
              <w:left w:w="120" w:type="dxa"/>
              <w:bottom w:w="100" w:type="dxa"/>
              <w:right w:w="120" w:type="dxa"/>
            </w:tcMar>
          </w:tcPr>
          <w:p w14:paraId="36D6D8A4" w14:textId="6A979DD2" w:rsidR="00802F28" w:rsidRPr="003E0861" w:rsidRDefault="0032544F" w:rsidP="009A5B2D">
            <w:pPr>
              <w:spacing w:after="0" w:line="240" w:lineRule="auto"/>
              <w:rPr>
                <w:rFonts w:ascii="Book Antiqua" w:hAnsi="Book Antiqua"/>
                <w:sz w:val="15"/>
                <w:szCs w:val="15"/>
              </w:rPr>
            </w:pPr>
            <w:r w:rsidRPr="003E0861">
              <w:rPr>
                <w:rFonts w:ascii="Book Antiqua" w:hAnsi="Book Antiqua"/>
                <w:sz w:val="15"/>
                <w:szCs w:val="15"/>
              </w:rPr>
              <w:t>Establishes the core theoretical link between secure deposit mobilization and stable commercial credit provision.</w:t>
            </w:r>
          </w:p>
        </w:tc>
      </w:tr>
      <w:tr w:rsidR="00802F28" w:rsidRPr="00CD06DB" w14:paraId="15C5CC53" w14:textId="77777777" w:rsidTr="00B966A2">
        <w:tc>
          <w:tcPr>
            <w:tcW w:w="562" w:type="dxa"/>
            <w:shd w:val="clear" w:color="auto" w:fill="FFFFFF"/>
            <w:tcMar>
              <w:top w:w="100" w:type="dxa"/>
              <w:left w:w="120" w:type="dxa"/>
              <w:bottom w:w="100" w:type="dxa"/>
              <w:right w:w="120" w:type="dxa"/>
            </w:tcMar>
          </w:tcPr>
          <w:p w14:paraId="57E04480" w14:textId="5B5072B3"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05</w:t>
            </w:r>
          </w:p>
        </w:tc>
        <w:tc>
          <w:tcPr>
            <w:tcW w:w="3544" w:type="dxa"/>
            <w:shd w:val="clear" w:color="auto" w:fill="FFFFFF"/>
            <w:tcMar>
              <w:top w:w="100" w:type="dxa"/>
              <w:left w:w="120" w:type="dxa"/>
              <w:bottom w:w="100" w:type="dxa"/>
              <w:right w:w="120" w:type="dxa"/>
            </w:tcMar>
          </w:tcPr>
          <w:p w14:paraId="51B0D810"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Friedman, M. (1970) 'A Theoretical Framework for Monetary Analysis', </w:t>
            </w:r>
            <w:r w:rsidRPr="003E0861">
              <w:rPr>
                <w:rFonts w:ascii="Book Antiqua" w:hAnsi="Book Antiqua"/>
                <w:i/>
                <w:iCs/>
                <w:sz w:val="15"/>
                <w:szCs w:val="15"/>
              </w:rPr>
              <w:t>The Journal of Political Economy,</w:t>
            </w:r>
            <w:r w:rsidRPr="003E0861">
              <w:rPr>
                <w:rFonts w:ascii="Book Antiqua" w:hAnsi="Book Antiqua"/>
                <w:sz w:val="15"/>
                <w:szCs w:val="15"/>
              </w:rPr>
              <w:t xml:space="preserve"> 78(2), pp. 193–238.</w:t>
            </w:r>
          </w:p>
        </w:tc>
        <w:tc>
          <w:tcPr>
            <w:tcW w:w="2835" w:type="dxa"/>
            <w:shd w:val="clear" w:color="auto" w:fill="FFFFFF"/>
            <w:tcMar>
              <w:top w:w="100" w:type="dxa"/>
              <w:left w:w="120" w:type="dxa"/>
              <w:bottom w:w="100" w:type="dxa"/>
              <w:right w:w="120" w:type="dxa"/>
            </w:tcMar>
          </w:tcPr>
          <w:p w14:paraId="085DB76E" w14:textId="6A788F04"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Outlines the Quantity Theory of Money, defining relationships between velocity and output.</w:t>
            </w:r>
          </w:p>
        </w:tc>
        <w:tc>
          <w:tcPr>
            <w:tcW w:w="2419" w:type="dxa"/>
            <w:shd w:val="clear" w:color="auto" w:fill="FFFFFF"/>
            <w:tcMar>
              <w:top w:w="100" w:type="dxa"/>
              <w:left w:w="120" w:type="dxa"/>
              <w:bottom w:w="100" w:type="dxa"/>
              <w:right w:w="120" w:type="dxa"/>
            </w:tcMar>
          </w:tcPr>
          <w:p w14:paraId="0E52B3BB" w14:textId="03F14E1E" w:rsidR="00802F28" w:rsidRPr="003E0861" w:rsidRDefault="00F87099" w:rsidP="009A5B2D">
            <w:pPr>
              <w:spacing w:after="0" w:line="240" w:lineRule="auto"/>
              <w:rPr>
                <w:rFonts w:ascii="Book Antiqua" w:hAnsi="Book Antiqua"/>
                <w:sz w:val="15"/>
                <w:szCs w:val="15"/>
              </w:rPr>
            </w:pPr>
            <w:r w:rsidRPr="003E0861">
              <w:rPr>
                <w:rFonts w:ascii="Book Antiqua" w:hAnsi="Book Antiqua"/>
                <w:sz w:val="15"/>
                <w:szCs w:val="15"/>
              </w:rPr>
              <w:t>A</w:t>
            </w:r>
            <w:r w:rsidR="00802F28" w:rsidRPr="003E0861">
              <w:rPr>
                <w:rFonts w:ascii="Book Antiqua" w:hAnsi="Book Antiqua"/>
                <w:sz w:val="15"/>
                <w:szCs w:val="15"/>
              </w:rPr>
              <w:t>nalyz</w:t>
            </w:r>
            <w:r w:rsidRPr="003E0861">
              <w:rPr>
                <w:rFonts w:ascii="Book Antiqua" w:hAnsi="Book Antiqua"/>
                <w:sz w:val="15"/>
                <w:szCs w:val="15"/>
              </w:rPr>
              <w:t>es</w:t>
            </w:r>
            <w:r w:rsidR="00802F28" w:rsidRPr="003E0861">
              <w:rPr>
                <w:rFonts w:ascii="Book Antiqua" w:hAnsi="Book Antiqua"/>
                <w:sz w:val="15"/>
                <w:szCs w:val="15"/>
              </w:rPr>
              <w:t xml:space="preserve"> whether digital transactions boost deposit base or retail velocity.</w:t>
            </w:r>
          </w:p>
        </w:tc>
      </w:tr>
      <w:tr w:rsidR="00802F28" w:rsidRPr="00CD06DB" w14:paraId="269DC056" w14:textId="77777777" w:rsidTr="00B966A2">
        <w:tc>
          <w:tcPr>
            <w:tcW w:w="562" w:type="dxa"/>
            <w:shd w:val="clear" w:color="auto" w:fill="F9FBFD"/>
            <w:tcMar>
              <w:top w:w="100" w:type="dxa"/>
              <w:left w:w="120" w:type="dxa"/>
              <w:bottom w:w="100" w:type="dxa"/>
              <w:right w:w="120" w:type="dxa"/>
            </w:tcMar>
          </w:tcPr>
          <w:p w14:paraId="603C5940" w14:textId="00F74E60"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06</w:t>
            </w:r>
          </w:p>
        </w:tc>
        <w:tc>
          <w:tcPr>
            <w:tcW w:w="3544" w:type="dxa"/>
            <w:shd w:val="clear" w:color="auto" w:fill="F9FBFD"/>
            <w:tcMar>
              <w:top w:w="100" w:type="dxa"/>
              <w:left w:w="120" w:type="dxa"/>
              <w:bottom w:w="100" w:type="dxa"/>
              <w:right w:w="120" w:type="dxa"/>
            </w:tcMar>
          </w:tcPr>
          <w:p w14:paraId="0638E8EF"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Gurley, J.G. and Shaw, E.S. (1955) 'Financial aspects of economic development', </w:t>
            </w:r>
            <w:r w:rsidRPr="003E0861">
              <w:rPr>
                <w:rFonts w:ascii="Book Antiqua" w:hAnsi="Book Antiqua"/>
                <w:i/>
                <w:iCs/>
                <w:sz w:val="15"/>
                <w:szCs w:val="15"/>
              </w:rPr>
              <w:t>American Economic Review,</w:t>
            </w:r>
            <w:r w:rsidRPr="003E0861">
              <w:rPr>
                <w:rFonts w:ascii="Book Antiqua" w:hAnsi="Book Antiqua"/>
                <w:sz w:val="15"/>
                <w:szCs w:val="15"/>
              </w:rPr>
              <w:t xml:space="preserve"> 45(4), pp. 515–538.</w:t>
            </w:r>
          </w:p>
        </w:tc>
        <w:tc>
          <w:tcPr>
            <w:tcW w:w="2835" w:type="dxa"/>
            <w:shd w:val="clear" w:color="auto" w:fill="F9FBFD"/>
            <w:tcMar>
              <w:top w:w="100" w:type="dxa"/>
              <w:left w:w="120" w:type="dxa"/>
              <w:bottom w:w="100" w:type="dxa"/>
              <w:right w:w="120" w:type="dxa"/>
            </w:tcMar>
          </w:tcPr>
          <w:p w14:paraId="504CD5E4"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Pioneers the analysis of financial structures, showing how financial assets facilitate economic growth and real investment.</w:t>
            </w:r>
          </w:p>
        </w:tc>
        <w:tc>
          <w:tcPr>
            <w:tcW w:w="2419" w:type="dxa"/>
            <w:shd w:val="clear" w:color="auto" w:fill="F9FBFD"/>
            <w:tcMar>
              <w:top w:w="100" w:type="dxa"/>
              <w:left w:w="120" w:type="dxa"/>
              <w:bottom w:w="100" w:type="dxa"/>
              <w:right w:w="120" w:type="dxa"/>
            </w:tcMar>
          </w:tcPr>
          <w:p w14:paraId="2EB66718"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Provides the historical bedrock for understanding systemic capital accumulation as distinct from mere payment transaction.</w:t>
            </w:r>
          </w:p>
        </w:tc>
      </w:tr>
      <w:tr w:rsidR="00802F28" w:rsidRPr="00CD06DB" w14:paraId="269F28E2" w14:textId="77777777" w:rsidTr="00B966A2">
        <w:tc>
          <w:tcPr>
            <w:tcW w:w="562" w:type="dxa"/>
            <w:shd w:val="clear" w:color="auto" w:fill="FFFFFF"/>
            <w:tcMar>
              <w:top w:w="100" w:type="dxa"/>
              <w:left w:w="120" w:type="dxa"/>
              <w:bottom w:w="100" w:type="dxa"/>
              <w:right w:w="120" w:type="dxa"/>
            </w:tcMar>
          </w:tcPr>
          <w:p w14:paraId="0CE87B10" w14:textId="3385A581"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07</w:t>
            </w:r>
          </w:p>
        </w:tc>
        <w:tc>
          <w:tcPr>
            <w:tcW w:w="3544" w:type="dxa"/>
            <w:shd w:val="clear" w:color="auto" w:fill="FFFFFF"/>
            <w:tcMar>
              <w:top w:w="100" w:type="dxa"/>
              <w:left w:w="120" w:type="dxa"/>
              <w:bottom w:w="100" w:type="dxa"/>
              <w:right w:w="120" w:type="dxa"/>
            </w:tcMar>
          </w:tcPr>
          <w:p w14:paraId="4DC5C3CB"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Gurley, J.G. and Shaw, E.S. (1967) 'Financial structure and economic development', </w:t>
            </w:r>
            <w:r w:rsidRPr="003E0861">
              <w:rPr>
                <w:rFonts w:ascii="Book Antiqua" w:hAnsi="Book Antiqua"/>
                <w:i/>
                <w:iCs/>
                <w:sz w:val="15"/>
                <w:szCs w:val="15"/>
              </w:rPr>
              <w:t>Economic Development and Cultural Change</w:t>
            </w:r>
            <w:r w:rsidRPr="003E0861">
              <w:rPr>
                <w:rFonts w:ascii="Book Antiqua" w:hAnsi="Book Antiqua"/>
                <w:sz w:val="15"/>
                <w:szCs w:val="15"/>
              </w:rPr>
              <w:t>, 15(3), pp. 257–268.</w:t>
            </w:r>
          </w:p>
        </w:tc>
        <w:tc>
          <w:tcPr>
            <w:tcW w:w="2835" w:type="dxa"/>
            <w:shd w:val="clear" w:color="auto" w:fill="FFFFFF"/>
            <w:tcMar>
              <w:top w:w="100" w:type="dxa"/>
              <w:left w:w="120" w:type="dxa"/>
              <w:bottom w:w="100" w:type="dxa"/>
              <w:right w:w="120" w:type="dxa"/>
            </w:tcMar>
          </w:tcPr>
          <w:p w14:paraId="36F51851"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Explores how evolving financial superstructures influence capital mobilization in early economic development stages.</w:t>
            </w:r>
          </w:p>
        </w:tc>
        <w:tc>
          <w:tcPr>
            <w:tcW w:w="2419" w:type="dxa"/>
            <w:shd w:val="clear" w:color="auto" w:fill="FFFFFF"/>
            <w:tcMar>
              <w:top w:w="100" w:type="dxa"/>
              <w:left w:w="120" w:type="dxa"/>
              <w:bottom w:w="100" w:type="dxa"/>
              <w:right w:w="120" w:type="dxa"/>
            </w:tcMar>
          </w:tcPr>
          <w:p w14:paraId="73B29F88"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Supports the paper's comparison between non-bank parallel networks and integrated bank-led superstructures.</w:t>
            </w:r>
          </w:p>
        </w:tc>
      </w:tr>
      <w:tr w:rsidR="00802F28" w:rsidRPr="00CD06DB" w14:paraId="1A604F19" w14:textId="77777777" w:rsidTr="00B966A2">
        <w:tc>
          <w:tcPr>
            <w:tcW w:w="562" w:type="dxa"/>
            <w:shd w:val="clear" w:color="auto" w:fill="F9FBFD"/>
            <w:tcMar>
              <w:top w:w="100" w:type="dxa"/>
              <w:left w:w="120" w:type="dxa"/>
              <w:bottom w:w="100" w:type="dxa"/>
              <w:right w:w="120" w:type="dxa"/>
            </w:tcMar>
          </w:tcPr>
          <w:p w14:paraId="42F01EF9" w14:textId="7280DB32"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08</w:t>
            </w:r>
          </w:p>
        </w:tc>
        <w:tc>
          <w:tcPr>
            <w:tcW w:w="3544" w:type="dxa"/>
            <w:shd w:val="clear" w:color="auto" w:fill="F9FBFD"/>
            <w:tcMar>
              <w:top w:w="100" w:type="dxa"/>
              <w:left w:w="120" w:type="dxa"/>
              <w:bottom w:w="100" w:type="dxa"/>
              <w:right w:w="120" w:type="dxa"/>
            </w:tcMar>
          </w:tcPr>
          <w:p w14:paraId="10E10B21" w14:textId="75F5A3E9"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Holmström, B. and Tirole, J. (1997) 'Financial intermediation, loanable funds, and the </w:t>
            </w:r>
            <w:r w:rsidR="008035F0">
              <w:rPr>
                <w:rFonts w:ascii="Book Antiqua" w:hAnsi="Book Antiqua"/>
                <w:sz w:val="15"/>
                <w:szCs w:val="15"/>
              </w:rPr>
              <w:t>real sector</w:t>
            </w:r>
            <w:r w:rsidRPr="003E0861">
              <w:rPr>
                <w:rFonts w:ascii="Book Antiqua" w:hAnsi="Book Antiqua"/>
                <w:sz w:val="15"/>
                <w:szCs w:val="15"/>
              </w:rPr>
              <w:t xml:space="preserve">', </w:t>
            </w:r>
            <w:r w:rsidRPr="003E0861">
              <w:rPr>
                <w:rFonts w:ascii="Book Antiqua" w:hAnsi="Book Antiqua"/>
                <w:i/>
                <w:iCs/>
                <w:sz w:val="15"/>
                <w:szCs w:val="15"/>
              </w:rPr>
              <w:t>Quarterly Journal of Economics,</w:t>
            </w:r>
            <w:r w:rsidRPr="003E0861">
              <w:rPr>
                <w:rFonts w:ascii="Book Antiqua" w:hAnsi="Book Antiqua"/>
                <w:sz w:val="15"/>
                <w:szCs w:val="15"/>
              </w:rPr>
              <w:t xml:space="preserve"> 112(3), pp. 663–691.</w:t>
            </w:r>
          </w:p>
        </w:tc>
        <w:tc>
          <w:tcPr>
            <w:tcW w:w="2835" w:type="dxa"/>
            <w:shd w:val="clear" w:color="auto" w:fill="F9FBFD"/>
            <w:tcMar>
              <w:top w:w="100" w:type="dxa"/>
              <w:left w:w="120" w:type="dxa"/>
              <w:bottom w:w="100" w:type="dxa"/>
              <w:right w:w="120" w:type="dxa"/>
            </w:tcMar>
          </w:tcPr>
          <w:p w14:paraId="2474AE35"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Models how capital constraints of both firms and intermediaries restrict credit volume and economic activity.</w:t>
            </w:r>
          </w:p>
        </w:tc>
        <w:tc>
          <w:tcPr>
            <w:tcW w:w="2419" w:type="dxa"/>
            <w:shd w:val="clear" w:color="auto" w:fill="F9FBFD"/>
            <w:tcMar>
              <w:top w:w="100" w:type="dxa"/>
              <w:left w:w="120" w:type="dxa"/>
              <w:bottom w:w="100" w:type="dxa"/>
              <w:right w:w="120" w:type="dxa"/>
            </w:tcMar>
          </w:tcPr>
          <w:p w14:paraId="2B4BEA17"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Explains why isolating retail deposits from banks limits their aggregate capacity to fund corporate assets.</w:t>
            </w:r>
          </w:p>
        </w:tc>
      </w:tr>
      <w:tr w:rsidR="00802F28" w:rsidRPr="00CD06DB" w14:paraId="2CFE9E10" w14:textId="77777777" w:rsidTr="00B966A2">
        <w:tc>
          <w:tcPr>
            <w:tcW w:w="562" w:type="dxa"/>
            <w:shd w:val="clear" w:color="auto" w:fill="FFFFFF"/>
            <w:tcMar>
              <w:top w:w="100" w:type="dxa"/>
              <w:left w:w="120" w:type="dxa"/>
              <w:bottom w:w="100" w:type="dxa"/>
              <w:right w:w="120" w:type="dxa"/>
            </w:tcMar>
          </w:tcPr>
          <w:p w14:paraId="7BC72448" w14:textId="671C2359"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09</w:t>
            </w:r>
          </w:p>
        </w:tc>
        <w:tc>
          <w:tcPr>
            <w:tcW w:w="3544" w:type="dxa"/>
            <w:shd w:val="clear" w:color="auto" w:fill="FFFFFF"/>
            <w:tcMar>
              <w:top w:w="100" w:type="dxa"/>
              <w:left w:w="120" w:type="dxa"/>
              <w:bottom w:w="100" w:type="dxa"/>
              <w:right w:w="120" w:type="dxa"/>
            </w:tcMar>
          </w:tcPr>
          <w:p w14:paraId="21C7D2D2"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King, R.G. and Levine, R. (1993) 'Finance and growth: Schumpeter might be right', </w:t>
            </w:r>
            <w:r w:rsidRPr="003E0861">
              <w:rPr>
                <w:rFonts w:ascii="Book Antiqua" w:hAnsi="Book Antiqua"/>
                <w:i/>
                <w:iCs/>
                <w:sz w:val="15"/>
                <w:szCs w:val="15"/>
              </w:rPr>
              <w:t xml:space="preserve">Quarterly Journal of Economics, </w:t>
            </w:r>
            <w:r w:rsidRPr="003E0861">
              <w:rPr>
                <w:rFonts w:ascii="Book Antiqua" w:hAnsi="Book Antiqua"/>
                <w:sz w:val="15"/>
                <w:szCs w:val="15"/>
              </w:rPr>
              <w:t>108(3), pp. 717–737.</w:t>
            </w:r>
          </w:p>
        </w:tc>
        <w:tc>
          <w:tcPr>
            <w:tcW w:w="2835" w:type="dxa"/>
            <w:shd w:val="clear" w:color="auto" w:fill="FFFFFF"/>
            <w:tcMar>
              <w:top w:w="100" w:type="dxa"/>
              <w:left w:w="120" w:type="dxa"/>
              <w:bottom w:w="100" w:type="dxa"/>
              <w:right w:w="120" w:type="dxa"/>
            </w:tcMar>
          </w:tcPr>
          <w:p w14:paraId="09EF9517" w14:textId="09A508B5"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Presents cross-country evidence showing that indicators of financial depth strongly predict long-run economic growth.</w:t>
            </w:r>
          </w:p>
        </w:tc>
        <w:tc>
          <w:tcPr>
            <w:tcW w:w="2419" w:type="dxa"/>
            <w:shd w:val="clear" w:color="auto" w:fill="FFFFFF"/>
            <w:tcMar>
              <w:top w:w="100" w:type="dxa"/>
              <w:left w:w="120" w:type="dxa"/>
              <w:bottom w:w="100" w:type="dxa"/>
              <w:right w:w="120" w:type="dxa"/>
            </w:tcMar>
          </w:tcPr>
          <w:p w14:paraId="47373BD1" w14:textId="4E7F62A1"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Directly supports using private sector</w:t>
            </w:r>
            <w:r w:rsidR="00CA2D1B">
              <w:rPr>
                <w:rFonts w:ascii="Book Antiqua" w:hAnsi="Book Antiqua"/>
                <w:sz w:val="15"/>
                <w:szCs w:val="15"/>
              </w:rPr>
              <w:t>’s</w:t>
            </w:r>
            <w:r w:rsidRPr="003E0861">
              <w:rPr>
                <w:rFonts w:ascii="Book Antiqua" w:hAnsi="Book Antiqua"/>
                <w:sz w:val="15"/>
                <w:szCs w:val="15"/>
              </w:rPr>
              <w:t xml:space="preserve"> credit-to-GDP as the premier benchmark metric for macroeconomic deepening.</w:t>
            </w:r>
          </w:p>
        </w:tc>
      </w:tr>
      <w:tr w:rsidR="00802F28" w:rsidRPr="00CD06DB" w14:paraId="6584AC6A" w14:textId="77777777" w:rsidTr="00B966A2">
        <w:tc>
          <w:tcPr>
            <w:tcW w:w="562" w:type="dxa"/>
            <w:shd w:val="clear" w:color="auto" w:fill="F9FBFD"/>
            <w:tcMar>
              <w:top w:w="100" w:type="dxa"/>
              <w:left w:w="120" w:type="dxa"/>
              <w:bottom w:w="100" w:type="dxa"/>
              <w:right w:w="120" w:type="dxa"/>
            </w:tcMar>
          </w:tcPr>
          <w:p w14:paraId="3F029D2F" w14:textId="327F484C"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lastRenderedPageBreak/>
              <w:t>10</w:t>
            </w:r>
          </w:p>
        </w:tc>
        <w:tc>
          <w:tcPr>
            <w:tcW w:w="3544" w:type="dxa"/>
            <w:shd w:val="clear" w:color="auto" w:fill="F9FBFD"/>
            <w:tcMar>
              <w:top w:w="100" w:type="dxa"/>
              <w:left w:w="120" w:type="dxa"/>
              <w:bottom w:w="100" w:type="dxa"/>
              <w:right w:w="120" w:type="dxa"/>
            </w:tcMar>
          </w:tcPr>
          <w:p w14:paraId="6254F7F4"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Levine, R. (1997) 'Financial development and economic growth: views and agenda', </w:t>
            </w:r>
            <w:r w:rsidRPr="003E0861">
              <w:rPr>
                <w:rFonts w:ascii="Book Antiqua" w:hAnsi="Book Antiqua"/>
                <w:i/>
                <w:iCs/>
                <w:sz w:val="15"/>
                <w:szCs w:val="15"/>
              </w:rPr>
              <w:t>Journal of Economic Literature,</w:t>
            </w:r>
            <w:r w:rsidRPr="003E0861">
              <w:rPr>
                <w:rFonts w:ascii="Book Antiqua" w:hAnsi="Book Antiqua"/>
                <w:sz w:val="15"/>
                <w:szCs w:val="15"/>
              </w:rPr>
              <w:t xml:space="preserve"> 35(2), pp. 688–726.</w:t>
            </w:r>
          </w:p>
        </w:tc>
        <w:tc>
          <w:tcPr>
            <w:tcW w:w="2835" w:type="dxa"/>
            <w:shd w:val="clear" w:color="auto" w:fill="F9FBFD"/>
            <w:tcMar>
              <w:top w:w="100" w:type="dxa"/>
              <w:left w:w="120" w:type="dxa"/>
              <w:bottom w:w="100" w:type="dxa"/>
              <w:right w:w="120" w:type="dxa"/>
            </w:tcMar>
          </w:tcPr>
          <w:p w14:paraId="70B92A59"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Synthesizes five primary functions of financial systems, including pooling savings and facilitating capital allocation.</w:t>
            </w:r>
          </w:p>
        </w:tc>
        <w:tc>
          <w:tcPr>
            <w:tcW w:w="2419" w:type="dxa"/>
            <w:shd w:val="clear" w:color="auto" w:fill="F9FBFD"/>
            <w:tcMar>
              <w:top w:w="100" w:type="dxa"/>
              <w:left w:w="120" w:type="dxa"/>
              <w:bottom w:w="100" w:type="dxa"/>
              <w:right w:w="120" w:type="dxa"/>
            </w:tcMar>
          </w:tcPr>
          <w:p w14:paraId="0A9A88F4"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Formulates the paper's theoretical framework defining the functional expectations of digital financial intermediaries.</w:t>
            </w:r>
          </w:p>
        </w:tc>
      </w:tr>
      <w:tr w:rsidR="00802F28" w:rsidRPr="00CD06DB" w14:paraId="03926068" w14:textId="77777777" w:rsidTr="00B966A2">
        <w:tc>
          <w:tcPr>
            <w:tcW w:w="562" w:type="dxa"/>
            <w:shd w:val="clear" w:color="auto" w:fill="FFFFFF"/>
            <w:tcMar>
              <w:top w:w="100" w:type="dxa"/>
              <w:left w:w="120" w:type="dxa"/>
              <w:bottom w:w="100" w:type="dxa"/>
              <w:right w:w="120" w:type="dxa"/>
            </w:tcMar>
          </w:tcPr>
          <w:p w14:paraId="2DD74C0E" w14:textId="62E39502"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11</w:t>
            </w:r>
          </w:p>
        </w:tc>
        <w:tc>
          <w:tcPr>
            <w:tcW w:w="3544" w:type="dxa"/>
            <w:shd w:val="clear" w:color="auto" w:fill="FFFFFF"/>
            <w:tcMar>
              <w:top w:w="100" w:type="dxa"/>
              <w:left w:w="120" w:type="dxa"/>
              <w:bottom w:w="100" w:type="dxa"/>
              <w:right w:w="120" w:type="dxa"/>
            </w:tcMar>
          </w:tcPr>
          <w:p w14:paraId="378D7DFE" w14:textId="76DEDF9C" w:rsidR="00802F28" w:rsidRPr="003E0861" w:rsidRDefault="006D2CD8" w:rsidP="009A5B2D">
            <w:pPr>
              <w:spacing w:after="0" w:line="240" w:lineRule="auto"/>
              <w:rPr>
                <w:rFonts w:ascii="Book Antiqua" w:hAnsi="Book Antiqua"/>
                <w:sz w:val="15"/>
                <w:szCs w:val="15"/>
              </w:rPr>
            </w:pPr>
            <w:r w:rsidRPr="006D2CD8">
              <w:rPr>
                <w:rFonts w:ascii="Book Antiqua" w:hAnsi="Book Antiqua"/>
                <w:sz w:val="15"/>
                <w:szCs w:val="15"/>
              </w:rPr>
              <w:t>Beck, T. and Levine, R.</w:t>
            </w:r>
            <w:r>
              <w:rPr>
                <w:rFonts w:ascii="Book Antiqua" w:hAnsi="Book Antiqua"/>
                <w:sz w:val="15"/>
                <w:szCs w:val="15"/>
              </w:rPr>
              <w:t xml:space="preserve"> (</w:t>
            </w:r>
            <w:r w:rsidRPr="006D2CD8">
              <w:rPr>
                <w:rFonts w:ascii="Book Antiqua" w:hAnsi="Book Antiqua"/>
                <w:sz w:val="15"/>
                <w:szCs w:val="15"/>
              </w:rPr>
              <w:t>1999</w:t>
            </w:r>
            <w:r>
              <w:rPr>
                <w:rFonts w:ascii="Book Antiqua" w:hAnsi="Book Antiqua"/>
                <w:sz w:val="15"/>
                <w:szCs w:val="15"/>
              </w:rPr>
              <w:t>)</w:t>
            </w:r>
            <w:r w:rsidRPr="006D2CD8">
              <w:rPr>
                <w:rFonts w:ascii="Book Antiqua" w:hAnsi="Book Antiqua"/>
                <w:sz w:val="15"/>
                <w:szCs w:val="15"/>
              </w:rPr>
              <w:t> </w:t>
            </w:r>
            <w:r w:rsidRPr="006D2CD8">
              <w:rPr>
                <w:rFonts w:ascii="Book Antiqua" w:hAnsi="Book Antiqua"/>
                <w:i/>
                <w:iCs/>
                <w:sz w:val="15"/>
                <w:szCs w:val="15"/>
              </w:rPr>
              <w:t>A new database on financial development and structure</w:t>
            </w:r>
            <w:r w:rsidRPr="006D2CD8">
              <w:rPr>
                <w:rFonts w:ascii="Book Antiqua" w:hAnsi="Book Antiqua"/>
                <w:sz w:val="15"/>
                <w:szCs w:val="15"/>
              </w:rPr>
              <w:t> (Vol. 2146). World Bank Publications.</w:t>
            </w:r>
          </w:p>
        </w:tc>
        <w:tc>
          <w:tcPr>
            <w:tcW w:w="2835" w:type="dxa"/>
            <w:shd w:val="clear" w:color="auto" w:fill="FFFFFF"/>
            <w:tcMar>
              <w:top w:w="100" w:type="dxa"/>
              <w:left w:w="120" w:type="dxa"/>
              <w:bottom w:w="100" w:type="dxa"/>
              <w:right w:w="120" w:type="dxa"/>
            </w:tcMar>
          </w:tcPr>
          <w:p w14:paraId="4A2748FF"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Introduces standard metrics for evaluating financial sector size, efficiency, and structural depth globally.</w:t>
            </w:r>
          </w:p>
        </w:tc>
        <w:tc>
          <w:tcPr>
            <w:tcW w:w="2419" w:type="dxa"/>
            <w:shd w:val="clear" w:color="auto" w:fill="FFFFFF"/>
            <w:tcMar>
              <w:top w:w="100" w:type="dxa"/>
              <w:left w:w="120" w:type="dxa"/>
              <w:bottom w:w="100" w:type="dxa"/>
              <w:right w:w="120" w:type="dxa"/>
            </w:tcMar>
          </w:tcPr>
          <w:p w14:paraId="602842AA"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Offers database frameworks necessary to track macro indicators like broad money and private credit.</w:t>
            </w:r>
          </w:p>
        </w:tc>
      </w:tr>
      <w:tr w:rsidR="00802F28" w:rsidRPr="00CD06DB" w14:paraId="300BC12B" w14:textId="77777777" w:rsidTr="00B966A2">
        <w:tc>
          <w:tcPr>
            <w:tcW w:w="562" w:type="dxa"/>
            <w:shd w:val="clear" w:color="auto" w:fill="F9FBFD"/>
            <w:tcMar>
              <w:top w:w="100" w:type="dxa"/>
              <w:left w:w="120" w:type="dxa"/>
              <w:bottom w:w="100" w:type="dxa"/>
              <w:right w:w="120" w:type="dxa"/>
            </w:tcMar>
          </w:tcPr>
          <w:p w14:paraId="218937CC" w14:textId="3815EDA6"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12</w:t>
            </w:r>
          </w:p>
        </w:tc>
        <w:tc>
          <w:tcPr>
            <w:tcW w:w="3544" w:type="dxa"/>
            <w:shd w:val="clear" w:color="auto" w:fill="F9FBFD"/>
            <w:tcMar>
              <w:top w:w="100" w:type="dxa"/>
              <w:left w:w="120" w:type="dxa"/>
              <w:bottom w:w="100" w:type="dxa"/>
              <w:right w:w="120" w:type="dxa"/>
            </w:tcMar>
          </w:tcPr>
          <w:p w14:paraId="282E4190"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Beck, T., Levine, R. and Loayza, N. (2000) 'Finance and the sources of growth', </w:t>
            </w:r>
            <w:r w:rsidRPr="003E0861">
              <w:rPr>
                <w:rFonts w:ascii="Book Antiqua" w:hAnsi="Book Antiqua"/>
                <w:i/>
                <w:iCs/>
                <w:sz w:val="15"/>
                <w:szCs w:val="15"/>
              </w:rPr>
              <w:t>Journal of Financial Economics,</w:t>
            </w:r>
            <w:r w:rsidRPr="003E0861">
              <w:rPr>
                <w:rFonts w:ascii="Book Antiqua" w:hAnsi="Book Antiqua"/>
                <w:sz w:val="15"/>
                <w:szCs w:val="15"/>
              </w:rPr>
              <w:t xml:space="preserve"> 58(1-2), pp. 261–300.</w:t>
            </w:r>
          </w:p>
        </w:tc>
        <w:tc>
          <w:tcPr>
            <w:tcW w:w="2835" w:type="dxa"/>
            <w:shd w:val="clear" w:color="auto" w:fill="F9FBFD"/>
            <w:tcMar>
              <w:top w:w="100" w:type="dxa"/>
              <w:left w:w="120" w:type="dxa"/>
              <w:bottom w:w="100" w:type="dxa"/>
              <w:right w:w="120" w:type="dxa"/>
            </w:tcMar>
          </w:tcPr>
          <w:p w14:paraId="1195EA7C" w14:textId="1EEF0F38"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Analyzes the link between financial </w:t>
            </w:r>
            <w:r w:rsidR="00AE322D" w:rsidRPr="003E0861">
              <w:rPr>
                <w:rFonts w:ascii="Book Antiqua" w:hAnsi="Book Antiqua"/>
                <w:sz w:val="15"/>
                <w:szCs w:val="15"/>
              </w:rPr>
              <w:t>progress</w:t>
            </w:r>
            <w:r w:rsidRPr="003E0861">
              <w:rPr>
                <w:rFonts w:ascii="Book Antiqua" w:hAnsi="Book Antiqua"/>
                <w:sz w:val="15"/>
                <w:szCs w:val="15"/>
              </w:rPr>
              <w:t xml:space="preserve"> and economic growth sources like productivity and saving.</w:t>
            </w:r>
          </w:p>
        </w:tc>
        <w:tc>
          <w:tcPr>
            <w:tcW w:w="2419" w:type="dxa"/>
            <w:shd w:val="clear" w:color="auto" w:fill="F9FBFD"/>
            <w:tcMar>
              <w:top w:w="100" w:type="dxa"/>
              <w:left w:w="120" w:type="dxa"/>
              <w:bottom w:w="100" w:type="dxa"/>
              <w:right w:w="120" w:type="dxa"/>
            </w:tcMar>
          </w:tcPr>
          <w:p w14:paraId="3F51613A" w14:textId="58D4F6A1"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Supports theoretical claims that real macro deepening is essential for funding long-term assets.</w:t>
            </w:r>
          </w:p>
        </w:tc>
      </w:tr>
      <w:tr w:rsidR="00802F28" w:rsidRPr="00CD06DB" w14:paraId="147D9E23" w14:textId="77777777" w:rsidTr="00B966A2">
        <w:tc>
          <w:tcPr>
            <w:tcW w:w="562" w:type="dxa"/>
            <w:shd w:val="clear" w:color="auto" w:fill="FFFFFF"/>
            <w:tcMar>
              <w:top w:w="100" w:type="dxa"/>
              <w:left w:w="120" w:type="dxa"/>
              <w:bottom w:w="100" w:type="dxa"/>
              <w:right w:w="120" w:type="dxa"/>
            </w:tcMar>
          </w:tcPr>
          <w:p w14:paraId="4DFE52F5" w14:textId="1D2E68A4"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13</w:t>
            </w:r>
          </w:p>
        </w:tc>
        <w:tc>
          <w:tcPr>
            <w:tcW w:w="3544" w:type="dxa"/>
            <w:shd w:val="clear" w:color="auto" w:fill="FFFFFF"/>
            <w:tcMar>
              <w:top w:w="100" w:type="dxa"/>
              <w:left w:w="120" w:type="dxa"/>
              <w:bottom w:w="100" w:type="dxa"/>
              <w:right w:w="120" w:type="dxa"/>
            </w:tcMar>
          </w:tcPr>
          <w:p w14:paraId="30C14DA8"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Greenwood, J. and Jovanovic, B. (1990) 'Financial development, growth, and the distribution of income', </w:t>
            </w:r>
            <w:r w:rsidRPr="003E0861">
              <w:rPr>
                <w:rFonts w:ascii="Book Antiqua" w:hAnsi="Book Antiqua"/>
                <w:i/>
                <w:iCs/>
                <w:sz w:val="15"/>
                <w:szCs w:val="15"/>
              </w:rPr>
              <w:t>Journal of Political Economy,</w:t>
            </w:r>
            <w:r w:rsidRPr="003E0861">
              <w:rPr>
                <w:rFonts w:ascii="Book Antiqua" w:hAnsi="Book Antiqua"/>
                <w:sz w:val="15"/>
                <w:szCs w:val="15"/>
              </w:rPr>
              <w:t xml:space="preserve"> 98(5), pp. 1076–1107.</w:t>
            </w:r>
          </w:p>
        </w:tc>
        <w:tc>
          <w:tcPr>
            <w:tcW w:w="2835" w:type="dxa"/>
            <w:shd w:val="clear" w:color="auto" w:fill="FFFFFF"/>
            <w:tcMar>
              <w:top w:w="100" w:type="dxa"/>
              <w:left w:w="120" w:type="dxa"/>
              <w:bottom w:w="100" w:type="dxa"/>
              <w:right w:w="120" w:type="dxa"/>
            </w:tcMar>
          </w:tcPr>
          <w:p w14:paraId="02CCF8E8" w14:textId="70857822"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Models the </w:t>
            </w:r>
            <w:r w:rsidR="006A6112">
              <w:rPr>
                <w:rFonts w:ascii="Book Antiqua" w:hAnsi="Book Antiqua"/>
                <w:sz w:val="15"/>
                <w:szCs w:val="15"/>
              </w:rPr>
              <w:t>deviating</w:t>
            </w:r>
            <w:r w:rsidRPr="003E0861">
              <w:rPr>
                <w:rFonts w:ascii="Book Antiqua" w:hAnsi="Book Antiqua"/>
                <w:sz w:val="15"/>
                <w:szCs w:val="15"/>
              </w:rPr>
              <w:t xml:space="preserve"> relationship </w:t>
            </w:r>
            <w:r w:rsidR="00D06FFE" w:rsidRPr="003E0861">
              <w:rPr>
                <w:rFonts w:ascii="Book Antiqua" w:hAnsi="Book Antiqua"/>
                <w:sz w:val="15"/>
                <w:szCs w:val="15"/>
              </w:rPr>
              <w:t>among</w:t>
            </w:r>
            <w:r w:rsidRPr="003E0861">
              <w:rPr>
                <w:rFonts w:ascii="Book Antiqua" w:hAnsi="Book Antiqua"/>
                <w:sz w:val="15"/>
                <w:szCs w:val="15"/>
              </w:rPr>
              <w:t xml:space="preserve"> financial development, economic growth, and income inequality.</w:t>
            </w:r>
          </w:p>
        </w:tc>
        <w:tc>
          <w:tcPr>
            <w:tcW w:w="2419" w:type="dxa"/>
            <w:shd w:val="clear" w:color="auto" w:fill="FFFFFF"/>
            <w:tcMar>
              <w:top w:w="100" w:type="dxa"/>
              <w:left w:w="120" w:type="dxa"/>
              <w:bottom w:w="100" w:type="dxa"/>
              <w:right w:w="120" w:type="dxa"/>
            </w:tcMar>
          </w:tcPr>
          <w:p w14:paraId="0C758BB7"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Essential for analyzing structural thresholds where basic transactions mature into macro-level asset building.</w:t>
            </w:r>
          </w:p>
        </w:tc>
      </w:tr>
      <w:tr w:rsidR="00802F28" w:rsidRPr="00CD06DB" w14:paraId="1BFE4F2D" w14:textId="77777777" w:rsidTr="00B966A2">
        <w:tc>
          <w:tcPr>
            <w:tcW w:w="562" w:type="dxa"/>
            <w:shd w:val="clear" w:color="auto" w:fill="F9FBFD"/>
            <w:tcMar>
              <w:top w:w="100" w:type="dxa"/>
              <w:left w:w="120" w:type="dxa"/>
              <w:bottom w:w="100" w:type="dxa"/>
              <w:right w:w="120" w:type="dxa"/>
            </w:tcMar>
          </w:tcPr>
          <w:p w14:paraId="32286718" w14:textId="48A84C3A"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14</w:t>
            </w:r>
          </w:p>
        </w:tc>
        <w:tc>
          <w:tcPr>
            <w:tcW w:w="3544" w:type="dxa"/>
            <w:shd w:val="clear" w:color="auto" w:fill="F9FBFD"/>
            <w:tcMar>
              <w:top w:w="100" w:type="dxa"/>
              <w:left w:w="120" w:type="dxa"/>
              <w:bottom w:w="100" w:type="dxa"/>
              <w:right w:w="120" w:type="dxa"/>
            </w:tcMar>
          </w:tcPr>
          <w:p w14:paraId="5307CBC3"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Bencivenga, V.R. and Smith, B.D. (1991) 'Financial intermediation and endogenous growth', </w:t>
            </w:r>
            <w:r w:rsidRPr="003E0861">
              <w:rPr>
                <w:rFonts w:ascii="Book Antiqua" w:hAnsi="Book Antiqua"/>
                <w:i/>
                <w:iCs/>
                <w:sz w:val="15"/>
                <w:szCs w:val="15"/>
              </w:rPr>
              <w:t>Review of Economic Studies,</w:t>
            </w:r>
            <w:r w:rsidRPr="003E0861">
              <w:rPr>
                <w:rFonts w:ascii="Book Antiqua" w:hAnsi="Book Antiqua"/>
                <w:sz w:val="15"/>
                <w:szCs w:val="15"/>
              </w:rPr>
              <w:t xml:space="preserve"> 58(2), pp. 195–209.</w:t>
            </w:r>
          </w:p>
        </w:tc>
        <w:tc>
          <w:tcPr>
            <w:tcW w:w="2835" w:type="dxa"/>
            <w:shd w:val="clear" w:color="auto" w:fill="F9FBFD"/>
            <w:tcMar>
              <w:top w:w="100" w:type="dxa"/>
              <w:left w:w="120" w:type="dxa"/>
              <w:bottom w:w="100" w:type="dxa"/>
              <w:right w:w="120" w:type="dxa"/>
            </w:tcMar>
          </w:tcPr>
          <w:p w14:paraId="6D20D755" w14:textId="4CC5D49B"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Proves that financial intermediaries boost growth by shifting savings toward high-yield, illiquid capital investments.</w:t>
            </w:r>
          </w:p>
        </w:tc>
        <w:tc>
          <w:tcPr>
            <w:tcW w:w="2419" w:type="dxa"/>
            <w:shd w:val="clear" w:color="auto" w:fill="F9FBFD"/>
            <w:tcMar>
              <w:top w:w="100" w:type="dxa"/>
              <w:left w:w="120" w:type="dxa"/>
              <w:bottom w:w="100" w:type="dxa"/>
              <w:right w:w="120" w:type="dxa"/>
            </w:tcMar>
          </w:tcPr>
          <w:p w14:paraId="1FF1D829"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Underpins the core argument that payment-velocity networks must be linked to long-term bank assets to drive real growth.</w:t>
            </w:r>
          </w:p>
        </w:tc>
      </w:tr>
      <w:tr w:rsidR="00802F28" w:rsidRPr="00CD06DB" w14:paraId="43FFF273" w14:textId="77777777" w:rsidTr="00B966A2">
        <w:tc>
          <w:tcPr>
            <w:tcW w:w="562" w:type="dxa"/>
            <w:shd w:val="clear" w:color="auto" w:fill="FFFFFF"/>
            <w:tcMar>
              <w:top w:w="100" w:type="dxa"/>
              <w:left w:w="120" w:type="dxa"/>
              <w:bottom w:w="100" w:type="dxa"/>
              <w:right w:w="120" w:type="dxa"/>
            </w:tcMar>
          </w:tcPr>
          <w:p w14:paraId="06302042" w14:textId="23DB7489"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15</w:t>
            </w:r>
          </w:p>
        </w:tc>
        <w:tc>
          <w:tcPr>
            <w:tcW w:w="3544" w:type="dxa"/>
            <w:shd w:val="clear" w:color="auto" w:fill="FFFFFF"/>
            <w:tcMar>
              <w:top w:w="100" w:type="dxa"/>
              <w:left w:w="120" w:type="dxa"/>
              <w:bottom w:w="100" w:type="dxa"/>
              <w:right w:w="120" w:type="dxa"/>
            </w:tcMar>
          </w:tcPr>
          <w:p w14:paraId="7F522C36"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Pagano, M. (1993) 'Financial markets and growth: an overview', </w:t>
            </w:r>
            <w:r w:rsidRPr="003E0861">
              <w:rPr>
                <w:rFonts w:ascii="Book Antiqua" w:hAnsi="Book Antiqua"/>
                <w:i/>
                <w:iCs/>
                <w:sz w:val="15"/>
                <w:szCs w:val="15"/>
              </w:rPr>
              <w:t>European Economic Review,</w:t>
            </w:r>
            <w:r w:rsidRPr="003E0861">
              <w:rPr>
                <w:rFonts w:ascii="Book Antiqua" w:hAnsi="Book Antiqua"/>
                <w:sz w:val="15"/>
                <w:szCs w:val="15"/>
              </w:rPr>
              <w:t xml:space="preserve"> 37(2-3), pp. 613–622.</w:t>
            </w:r>
          </w:p>
        </w:tc>
        <w:tc>
          <w:tcPr>
            <w:tcW w:w="2835" w:type="dxa"/>
            <w:shd w:val="clear" w:color="auto" w:fill="FFFFFF"/>
            <w:tcMar>
              <w:top w:w="100" w:type="dxa"/>
              <w:left w:w="120" w:type="dxa"/>
              <w:bottom w:w="100" w:type="dxa"/>
              <w:right w:w="120" w:type="dxa"/>
            </w:tcMar>
          </w:tcPr>
          <w:p w14:paraId="0E770237" w14:textId="263F71E9" w:rsidR="00802F28" w:rsidRPr="003E0861" w:rsidRDefault="0022771D" w:rsidP="009A5B2D">
            <w:pPr>
              <w:spacing w:after="0" w:line="240" w:lineRule="auto"/>
              <w:rPr>
                <w:rFonts w:ascii="Book Antiqua" w:hAnsi="Book Antiqua"/>
                <w:sz w:val="15"/>
                <w:szCs w:val="15"/>
              </w:rPr>
            </w:pPr>
            <w:r w:rsidRPr="0022771D">
              <w:rPr>
                <w:rFonts w:ascii="Book Antiqua" w:hAnsi="Book Antiqua"/>
                <w:sz w:val="15"/>
                <w:szCs w:val="15"/>
              </w:rPr>
              <w:t>Highlights how financial systems drive economic growth via transaction costs and absorption capacity.</w:t>
            </w:r>
          </w:p>
        </w:tc>
        <w:tc>
          <w:tcPr>
            <w:tcW w:w="2419" w:type="dxa"/>
            <w:shd w:val="clear" w:color="auto" w:fill="FFFFFF"/>
            <w:tcMar>
              <w:top w:w="100" w:type="dxa"/>
              <w:left w:w="120" w:type="dxa"/>
              <w:bottom w:w="100" w:type="dxa"/>
              <w:right w:w="120" w:type="dxa"/>
            </w:tcMar>
          </w:tcPr>
          <w:p w14:paraId="069CAF5B" w14:textId="678AA2B2" w:rsidR="00802F28" w:rsidRPr="003E0861" w:rsidRDefault="0022771D" w:rsidP="009A5B2D">
            <w:pPr>
              <w:spacing w:after="0" w:line="240" w:lineRule="auto"/>
              <w:rPr>
                <w:rFonts w:ascii="Book Antiqua" w:hAnsi="Book Antiqua"/>
                <w:sz w:val="15"/>
                <w:szCs w:val="15"/>
              </w:rPr>
            </w:pPr>
            <w:r w:rsidRPr="0022771D">
              <w:rPr>
                <w:rFonts w:ascii="Book Antiqua" w:hAnsi="Book Antiqua"/>
                <w:sz w:val="15"/>
                <w:szCs w:val="15"/>
              </w:rPr>
              <w:t>Delivers a rigorous mathematical foundation for identifying digital intermediation pipeline leakages.</w:t>
            </w:r>
          </w:p>
        </w:tc>
      </w:tr>
      <w:tr w:rsidR="00802F28" w:rsidRPr="00CD06DB" w14:paraId="6C6EDEB3" w14:textId="77777777" w:rsidTr="00B966A2">
        <w:tc>
          <w:tcPr>
            <w:tcW w:w="562" w:type="dxa"/>
            <w:shd w:val="clear" w:color="auto" w:fill="F9FBFD"/>
            <w:tcMar>
              <w:top w:w="100" w:type="dxa"/>
              <w:left w:w="120" w:type="dxa"/>
              <w:bottom w:w="100" w:type="dxa"/>
              <w:right w:w="120" w:type="dxa"/>
            </w:tcMar>
          </w:tcPr>
          <w:p w14:paraId="4D050F0D" w14:textId="1F9A2601"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16</w:t>
            </w:r>
          </w:p>
        </w:tc>
        <w:tc>
          <w:tcPr>
            <w:tcW w:w="3544" w:type="dxa"/>
            <w:shd w:val="clear" w:color="auto" w:fill="F9FBFD"/>
            <w:tcMar>
              <w:top w:w="100" w:type="dxa"/>
              <w:left w:w="120" w:type="dxa"/>
              <w:bottom w:w="100" w:type="dxa"/>
              <w:right w:w="120" w:type="dxa"/>
            </w:tcMar>
          </w:tcPr>
          <w:p w14:paraId="561F476E"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Rajan, R.G. and Zingales, L. (1998) 'Financial dependence and growth', </w:t>
            </w:r>
            <w:r w:rsidRPr="003E0861">
              <w:rPr>
                <w:rFonts w:ascii="Book Antiqua" w:hAnsi="Book Antiqua"/>
                <w:i/>
                <w:iCs/>
                <w:sz w:val="15"/>
                <w:szCs w:val="15"/>
              </w:rPr>
              <w:t xml:space="preserve">American Economic Review, </w:t>
            </w:r>
            <w:r w:rsidRPr="003E0861">
              <w:rPr>
                <w:rFonts w:ascii="Book Antiqua" w:hAnsi="Book Antiqua"/>
                <w:sz w:val="15"/>
                <w:szCs w:val="15"/>
              </w:rPr>
              <w:t>88(3), pp. 559–586.</w:t>
            </w:r>
          </w:p>
        </w:tc>
        <w:tc>
          <w:tcPr>
            <w:tcW w:w="2835" w:type="dxa"/>
            <w:shd w:val="clear" w:color="auto" w:fill="F9FBFD"/>
            <w:tcMar>
              <w:top w:w="100" w:type="dxa"/>
              <w:left w:w="120" w:type="dxa"/>
              <w:bottom w:w="100" w:type="dxa"/>
              <w:right w:w="120" w:type="dxa"/>
            </w:tcMar>
          </w:tcPr>
          <w:p w14:paraId="09041B69" w14:textId="49B76EEE" w:rsidR="00802F28" w:rsidRPr="003E0861" w:rsidRDefault="00940101" w:rsidP="009A5B2D">
            <w:pPr>
              <w:spacing w:after="0" w:line="240" w:lineRule="auto"/>
              <w:rPr>
                <w:rFonts w:ascii="Book Antiqua" w:hAnsi="Book Antiqua"/>
                <w:sz w:val="15"/>
                <w:szCs w:val="15"/>
              </w:rPr>
            </w:pPr>
            <w:r w:rsidRPr="00940101">
              <w:rPr>
                <w:rFonts w:ascii="Book Antiqua" w:hAnsi="Book Antiqua"/>
                <w:sz w:val="15"/>
                <w:szCs w:val="15"/>
              </w:rPr>
              <w:t>Links financial market depth directly to reduced capital costs and industry growth.</w:t>
            </w:r>
          </w:p>
        </w:tc>
        <w:tc>
          <w:tcPr>
            <w:tcW w:w="2419" w:type="dxa"/>
            <w:shd w:val="clear" w:color="auto" w:fill="F9FBFD"/>
            <w:tcMar>
              <w:top w:w="100" w:type="dxa"/>
              <w:left w:w="120" w:type="dxa"/>
              <w:bottom w:w="100" w:type="dxa"/>
              <w:right w:w="120" w:type="dxa"/>
            </w:tcMar>
          </w:tcPr>
          <w:p w14:paraId="7D9C3374" w14:textId="01F266D2" w:rsidR="00802F28" w:rsidRPr="003E0861" w:rsidRDefault="00155C99" w:rsidP="009A5B2D">
            <w:pPr>
              <w:spacing w:after="0" w:line="240" w:lineRule="auto"/>
              <w:rPr>
                <w:rFonts w:ascii="Book Antiqua" w:hAnsi="Book Antiqua"/>
                <w:sz w:val="15"/>
                <w:szCs w:val="15"/>
              </w:rPr>
            </w:pPr>
            <w:r>
              <w:rPr>
                <w:rFonts w:ascii="Book Antiqua" w:hAnsi="Book Antiqua"/>
                <w:sz w:val="15"/>
                <w:szCs w:val="15"/>
              </w:rPr>
              <w:t xml:space="preserve">Shows </w:t>
            </w:r>
            <w:r w:rsidRPr="00155C99">
              <w:rPr>
                <w:rFonts w:ascii="Book Antiqua" w:hAnsi="Book Antiqua"/>
                <w:sz w:val="15"/>
                <w:szCs w:val="15"/>
              </w:rPr>
              <w:t>how credit-depth limitations constrain high-value manufacturing and services.</w:t>
            </w:r>
          </w:p>
        </w:tc>
      </w:tr>
      <w:tr w:rsidR="00802F28" w:rsidRPr="00CD06DB" w14:paraId="74B11BB8" w14:textId="77777777" w:rsidTr="00B966A2">
        <w:tc>
          <w:tcPr>
            <w:tcW w:w="562" w:type="dxa"/>
            <w:shd w:val="clear" w:color="auto" w:fill="FFFFFF"/>
            <w:tcMar>
              <w:top w:w="100" w:type="dxa"/>
              <w:left w:w="120" w:type="dxa"/>
              <w:bottom w:w="100" w:type="dxa"/>
              <w:right w:w="120" w:type="dxa"/>
            </w:tcMar>
          </w:tcPr>
          <w:p w14:paraId="74627914" w14:textId="539BC14E"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17</w:t>
            </w:r>
          </w:p>
        </w:tc>
        <w:tc>
          <w:tcPr>
            <w:tcW w:w="3544" w:type="dxa"/>
            <w:shd w:val="clear" w:color="auto" w:fill="FFFFFF"/>
            <w:tcMar>
              <w:top w:w="100" w:type="dxa"/>
              <w:left w:w="120" w:type="dxa"/>
              <w:bottom w:w="100" w:type="dxa"/>
              <w:right w:w="120" w:type="dxa"/>
            </w:tcMar>
          </w:tcPr>
          <w:p w14:paraId="00CBDE71"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Levine, R., Loayza, N. and Beck, T. (2000) 'Financial intermediation and growth: Causality and causes', </w:t>
            </w:r>
            <w:r w:rsidRPr="003E0861">
              <w:rPr>
                <w:rFonts w:ascii="Book Antiqua" w:hAnsi="Book Antiqua"/>
                <w:i/>
                <w:iCs/>
                <w:sz w:val="15"/>
                <w:szCs w:val="15"/>
              </w:rPr>
              <w:t>Journal of Monetary Economics</w:t>
            </w:r>
            <w:r w:rsidRPr="003E0861">
              <w:rPr>
                <w:rFonts w:ascii="Book Antiqua" w:hAnsi="Book Antiqua"/>
                <w:sz w:val="15"/>
                <w:szCs w:val="15"/>
              </w:rPr>
              <w:t>, 46(1), pp. 31–77.</w:t>
            </w:r>
          </w:p>
        </w:tc>
        <w:tc>
          <w:tcPr>
            <w:tcW w:w="2835" w:type="dxa"/>
            <w:shd w:val="clear" w:color="auto" w:fill="FFFFFF"/>
            <w:tcMar>
              <w:top w:w="100" w:type="dxa"/>
              <w:left w:w="120" w:type="dxa"/>
              <w:bottom w:w="100" w:type="dxa"/>
              <w:right w:w="120" w:type="dxa"/>
            </w:tcMar>
          </w:tcPr>
          <w:p w14:paraId="2821575D" w14:textId="2C3F75F4"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Establishes</w:t>
            </w:r>
            <w:r w:rsidR="007C06E7" w:rsidRPr="003E0861">
              <w:rPr>
                <w:rFonts w:ascii="Book Antiqua" w:hAnsi="Book Antiqua"/>
                <w:sz w:val="15"/>
                <w:szCs w:val="15"/>
              </w:rPr>
              <w:t xml:space="preserve"> that</w:t>
            </w:r>
            <w:r w:rsidRPr="003E0861">
              <w:rPr>
                <w:rFonts w:ascii="Book Antiqua" w:hAnsi="Book Antiqua"/>
                <w:sz w:val="15"/>
                <w:szCs w:val="15"/>
              </w:rPr>
              <w:t xml:space="preserve"> the positive </w:t>
            </w:r>
            <w:r w:rsidR="00A27B94" w:rsidRPr="003E0861">
              <w:rPr>
                <w:rFonts w:ascii="Book Antiqua" w:hAnsi="Book Antiqua"/>
                <w:sz w:val="15"/>
                <w:szCs w:val="15"/>
              </w:rPr>
              <w:t>correlation</w:t>
            </w:r>
            <w:r w:rsidRPr="003E0861">
              <w:rPr>
                <w:rFonts w:ascii="Book Antiqua" w:hAnsi="Book Antiqua"/>
                <w:sz w:val="15"/>
                <w:szCs w:val="15"/>
              </w:rPr>
              <w:t xml:space="preserve"> between financial </w:t>
            </w:r>
            <w:r w:rsidR="00DC1E84" w:rsidRPr="003E0861">
              <w:rPr>
                <w:rFonts w:ascii="Book Antiqua" w:hAnsi="Book Antiqua"/>
                <w:sz w:val="15"/>
                <w:szCs w:val="15"/>
              </w:rPr>
              <w:t>mediation</w:t>
            </w:r>
            <w:r w:rsidRPr="003E0861">
              <w:rPr>
                <w:rFonts w:ascii="Book Antiqua" w:hAnsi="Book Antiqua"/>
                <w:sz w:val="15"/>
                <w:szCs w:val="15"/>
              </w:rPr>
              <w:t xml:space="preserve"> and long-run </w:t>
            </w:r>
            <w:r w:rsidR="003A7755" w:rsidRPr="003E0861">
              <w:rPr>
                <w:rFonts w:ascii="Book Antiqua" w:hAnsi="Book Antiqua"/>
                <w:sz w:val="15"/>
                <w:szCs w:val="15"/>
              </w:rPr>
              <w:t>expansion</w:t>
            </w:r>
            <w:r w:rsidRPr="003E0861">
              <w:rPr>
                <w:rFonts w:ascii="Book Antiqua" w:hAnsi="Book Antiqua"/>
                <w:sz w:val="15"/>
                <w:szCs w:val="15"/>
              </w:rPr>
              <w:t xml:space="preserve"> is </w:t>
            </w:r>
            <w:r w:rsidR="003A7755" w:rsidRPr="003E0861">
              <w:rPr>
                <w:rFonts w:ascii="Book Antiqua" w:hAnsi="Book Antiqua"/>
                <w:sz w:val="15"/>
                <w:szCs w:val="15"/>
              </w:rPr>
              <w:t>instrumental</w:t>
            </w:r>
            <w:r w:rsidRPr="003E0861">
              <w:rPr>
                <w:rFonts w:ascii="Book Antiqua" w:hAnsi="Book Antiqua"/>
                <w:sz w:val="15"/>
                <w:szCs w:val="15"/>
              </w:rPr>
              <w:t xml:space="preserve"> rather</w:t>
            </w:r>
            <w:r w:rsidR="00DC1E84" w:rsidRPr="003E0861">
              <w:rPr>
                <w:rFonts w:ascii="Book Antiqua" w:hAnsi="Book Antiqua"/>
                <w:sz w:val="15"/>
                <w:szCs w:val="15"/>
              </w:rPr>
              <w:t xml:space="preserve"> </w:t>
            </w:r>
            <w:r w:rsidRPr="003E0861">
              <w:rPr>
                <w:rFonts w:ascii="Book Antiqua" w:hAnsi="Book Antiqua"/>
                <w:sz w:val="15"/>
                <w:szCs w:val="15"/>
              </w:rPr>
              <w:t>coincidental.</w:t>
            </w:r>
          </w:p>
        </w:tc>
        <w:tc>
          <w:tcPr>
            <w:tcW w:w="2419" w:type="dxa"/>
            <w:shd w:val="clear" w:color="auto" w:fill="FFFFFF"/>
            <w:tcMar>
              <w:top w:w="100" w:type="dxa"/>
              <w:left w:w="120" w:type="dxa"/>
              <w:bottom w:w="100" w:type="dxa"/>
              <w:right w:w="120" w:type="dxa"/>
            </w:tcMar>
          </w:tcPr>
          <w:p w14:paraId="22215B1D"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Empirically validates the use of credit-to-GDP as an active driver of growth rather than a lagging macro indicator.</w:t>
            </w:r>
          </w:p>
        </w:tc>
      </w:tr>
      <w:tr w:rsidR="00802F28" w:rsidRPr="00CD06DB" w14:paraId="05A3CE80" w14:textId="77777777" w:rsidTr="00B966A2">
        <w:tc>
          <w:tcPr>
            <w:tcW w:w="562" w:type="dxa"/>
            <w:shd w:val="clear" w:color="auto" w:fill="F9FBFD"/>
            <w:tcMar>
              <w:top w:w="100" w:type="dxa"/>
              <w:left w:w="120" w:type="dxa"/>
              <w:bottom w:w="100" w:type="dxa"/>
              <w:right w:w="120" w:type="dxa"/>
            </w:tcMar>
          </w:tcPr>
          <w:p w14:paraId="49816288" w14:textId="3A9A2B80"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18</w:t>
            </w:r>
          </w:p>
        </w:tc>
        <w:tc>
          <w:tcPr>
            <w:tcW w:w="3544" w:type="dxa"/>
            <w:shd w:val="clear" w:color="auto" w:fill="F9FBFD"/>
            <w:tcMar>
              <w:top w:w="100" w:type="dxa"/>
              <w:left w:w="120" w:type="dxa"/>
              <w:bottom w:w="100" w:type="dxa"/>
              <w:right w:w="120" w:type="dxa"/>
            </w:tcMar>
          </w:tcPr>
          <w:p w14:paraId="03ADE73B"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Rioja, F. and Valev, N. (2004) 'Does one size fit all? A reexamination of the finance and growth relationship', </w:t>
            </w:r>
            <w:r w:rsidRPr="003E0861">
              <w:rPr>
                <w:rFonts w:ascii="Book Antiqua" w:hAnsi="Book Antiqua"/>
                <w:i/>
                <w:iCs/>
                <w:sz w:val="15"/>
                <w:szCs w:val="15"/>
              </w:rPr>
              <w:t>Journal of Development Economics,</w:t>
            </w:r>
            <w:r w:rsidRPr="003E0861">
              <w:rPr>
                <w:rFonts w:ascii="Book Antiqua" w:hAnsi="Book Antiqua"/>
                <w:sz w:val="15"/>
                <w:szCs w:val="15"/>
              </w:rPr>
              <w:t xml:space="preserve"> 74(2), pp. 429–447.</w:t>
            </w:r>
          </w:p>
        </w:tc>
        <w:tc>
          <w:tcPr>
            <w:tcW w:w="2835" w:type="dxa"/>
            <w:shd w:val="clear" w:color="auto" w:fill="F9FBFD"/>
            <w:tcMar>
              <w:top w:w="100" w:type="dxa"/>
              <w:left w:w="120" w:type="dxa"/>
              <w:bottom w:w="100" w:type="dxa"/>
              <w:right w:w="120" w:type="dxa"/>
            </w:tcMar>
          </w:tcPr>
          <w:p w14:paraId="418C8485" w14:textId="3AF05620" w:rsidR="00802F28" w:rsidRPr="003E0861" w:rsidRDefault="00A66591" w:rsidP="009A5B2D">
            <w:pPr>
              <w:spacing w:after="0" w:line="240" w:lineRule="auto"/>
              <w:rPr>
                <w:rFonts w:ascii="Book Antiqua" w:hAnsi="Book Antiqua"/>
                <w:sz w:val="15"/>
                <w:szCs w:val="15"/>
              </w:rPr>
            </w:pPr>
            <w:r w:rsidRPr="003E0861">
              <w:rPr>
                <w:rFonts w:ascii="Book Antiqua" w:hAnsi="Book Antiqua"/>
                <w:sz w:val="15"/>
                <w:szCs w:val="15"/>
              </w:rPr>
              <w:t xml:space="preserve">Highlights financial deepening drives growth in middle-income </w:t>
            </w:r>
            <w:r w:rsidR="006C60B9">
              <w:rPr>
                <w:rFonts w:ascii="Book Antiqua" w:hAnsi="Book Antiqua"/>
                <w:sz w:val="15"/>
                <w:szCs w:val="15"/>
              </w:rPr>
              <w:t>countries</w:t>
            </w:r>
            <w:r w:rsidRPr="003E0861">
              <w:rPr>
                <w:rFonts w:ascii="Book Antiqua" w:hAnsi="Book Antiqua"/>
                <w:sz w:val="15"/>
                <w:szCs w:val="15"/>
              </w:rPr>
              <w:t xml:space="preserve"> but stalls in low-income zones.</w:t>
            </w:r>
          </w:p>
        </w:tc>
        <w:tc>
          <w:tcPr>
            <w:tcW w:w="2419" w:type="dxa"/>
            <w:shd w:val="clear" w:color="auto" w:fill="F9FBFD"/>
            <w:tcMar>
              <w:top w:w="100" w:type="dxa"/>
              <w:left w:w="120" w:type="dxa"/>
              <w:bottom w:w="100" w:type="dxa"/>
              <w:right w:w="120" w:type="dxa"/>
            </w:tcMar>
          </w:tcPr>
          <w:p w14:paraId="46C4C419"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Critical for evaluating the structural boundaries of digital finance across highly diverse regional economies.</w:t>
            </w:r>
          </w:p>
        </w:tc>
      </w:tr>
      <w:tr w:rsidR="00802F28" w:rsidRPr="00CD06DB" w14:paraId="61D64C4E" w14:textId="77777777" w:rsidTr="00B966A2">
        <w:tc>
          <w:tcPr>
            <w:tcW w:w="562" w:type="dxa"/>
            <w:shd w:val="clear" w:color="auto" w:fill="FFFFFF"/>
            <w:tcMar>
              <w:top w:w="100" w:type="dxa"/>
              <w:left w:w="120" w:type="dxa"/>
              <w:bottom w:w="100" w:type="dxa"/>
              <w:right w:w="120" w:type="dxa"/>
            </w:tcMar>
          </w:tcPr>
          <w:p w14:paraId="7835A8B0" w14:textId="1867EBC7"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19</w:t>
            </w:r>
          </w:p>
        </w:tc>
        <w:tc>
          <w:tcPr>
            <w:tcW w:w="3544" w:type="dxa"/>
            <w:shd w:val="clear" w:color="auto" w:fill="FFFFFF"/>
            <w:tcMar>
              <w:top w:w="100" w:type="dxa"/>
              <w:left w:w="120" w:type="dxa"/>
              <w:bottom w:w="100" w:type="dxa"/>
              <w:right w:w="120" w:type="dxa"/>
            </w:tcMar>
          </w:tcPr>
          <w:p w14:paraId="3D955DE0"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Demetriades, P.O. and Hussein, K.A. (1996) 'Does financial development cause economic growth? Time-series evidence from 16 countries', </w:t>
            </w:r>
            <w:r w:rsidRPr="003E0861">
              <w:rPr>
                <w:rFonts w:ascii="Book Antiqua" w:hAnsi="Book Antiqua"/>
                <w:i/>
                <w:iCs/>
                <w:sz w:val="15"/>
                <w:szCs w:val="15"/>
              </w:rPr>
              <w:t>Journal of Development Economics</w:t>
            </w:r>
            <w:r w:rsidRPr="003E0861">
              <w:rPr>
                <w:rFonts w:ascii="Book Antiqua" w:hAnsi="Book Antiqua"/>
                <w:sz w:val="15"/>
                <w:szCs w:val="15"/>
              </w:rPr>
              <w:t>, 51(2), pp. 387–411.</w:t>
            </w:r>
          </w:p>
        </w:tc>
        <w:tc>
          <w:tcPr>
            <w:tcW w:w="2835" w:type="dxa"/>
            <w:shd w:val="clear" w:color="auto" w:fill="FFFFFF"/>
            <w:tcMar>
              <w:top w:w="100" w:type="dxa"/>
              <w:left w:w="120" w:type="dxa"/>
              <w:bottom w:w="100" w:type="dxa"/>
              <w:right w:w="120" w:type="dxa"/>
            </w:tcMar>
          </w:tcPr>
          <w:p w14:paraId="263F309F"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Discovers bi-directional and reverse causality in several developing countries, challenging uniform finance-led growth claims.</w:t>
            </w:r>
          </w:p>
        </w:tc>
        <w:tc>
          <w:tcPr>
            <w:tcW w:w="2419" w:type="dxa"/>
            <w:shd w:val="clear" w:color="auto" w:fill="FFFFFF"/>
            <w:tcMar>
              <w:top w:w="100" w:type="dxa"/>
              <w:left w:w="120" w:type="dxa"/>
              <w:bottom w:w="100" w:type="dxa"/>
              <w:right w:w="120" w:type="dxa"/>
            </w:tcMar>
          </w:tcPr>
          <w:p w14:paraId="6138F9DC"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Useful for introducing nuance into structural equations assessing the direction of causality in fintech frameworks.</w:t>
            </w:r>
          </w:p>
        </w:tc>
      </w:tr>
      <w:tr w:rsidR="00802F28" w:rsidRPr="00CD06DB" w14:paraId="44126C80" w14:textId="77777777" w:rsidTr="00B966A2">
        <w:tc>
          <w:tcPr>
            <w:tcW w:w="562" w:type="dxa"/>
            <w:shd w:val="clear" w:color="auto" w:fill="F9FBFD"/>
            <w:tcMar>
              <w:top w:w="100" w:type="dxa"/>
              <w:left w:w="120" w:type="dxa"/>
              <w:bottom w:w="100" w:type="dxa"/>
              <w:right w:w="120" w:type="dxa"/>
            </w:tcMar>
          </w:tcPr>
          <w:p w14:paraId="753A2EF0" w14:textId="0242D64B"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20</w:t>
            </w:r>
          </w:p>
        </w:tc>
        <w:tc>
          <w:tcPr>
            <w:tcW w:w="3544" w:type="dxa"/>
            <w:shd w:val="clear" w:color="auto" w:fill="F9FBFD"/>
            <w:tcMar>
              <w:top w:w="100" w:type="dxa"/>
              <w:left w:w="120" w:type="dxa"/>
              <w:bottom w:w="100" w:type="dxa"/>
              <w:right w:w="120" w:type="dxa"/>
            </w:tcMar>
          </w:tcPr>
          <w:p w14:paraId="5427AEE3"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Calderón, C. and Liu, L. (2003) 'The direction of causality between financial development and economic growth', </w:t>
            </w:r>
            <w:r w:rsidRPr="003E0861">
              <w:rPr>
                <w:rFonts w:ascii="Book Antiqua" w:hAnsi="Book Antiqua"/>
                <w:i/>
                <w:iCs/>
                <w:sz w:val="15"/>
                <w:szCs w:val="15"/>
              </w:rPr>
              <w:t>Journal of Development Economics</w:t>
            </w:r>
            <w:r w:rsidRPr="003E0861">
              <w:rPr>
                <w:rFonts w:ascii="Book Antiqua" w:hAnsi="Book Antiqua"/>
                <w:sz w:val="15"/>
                <w:szCs w:val="15"/>
              </w:rPr>
              <w:t>, 72(1), pp. 321–334.</w:t>
            </w:r>
          </w:p>
        </w:tc>
        <w:tc>
          <w:tcPr>
            <w:tcW w:w="2835" w:type="dxa"/>
            <w:shd w:val="clear" w:color="auto" w:fill="F9FBFD"/>
            <w:tcMar>
              <w:top w:w="100" w:type="dxa"/>
              <w:left w:w="120" w:type="dxa"/>
              <w:bottom w:w="100" w:type="dxa"/>
              <w:right w:w="120" w:type="dxa"/>
            </w:tcMar>
          </w:tcPr>
          <w:p w14:paraId="116D247E" w14:textId="7424B9FE" w:rsidR="00802F28" w:rsidRPr="003E0861" w:rsidRDefault="005B588A" w:rsidP="009A5B2D">
            <w:pPr>
              <w:spacing w:after="0" w:line="240" w:lineRule="auto"/>
              <w:rPr>
                <w:rFonts w:ascii="Book Antiqua" w:hAnsi="Book Antiqua"/>
                <w:sz w:val="15"/>
                <w:szCs w:val="15"/>
              </w:rPr>
            </w:pPr>
            <w:r w:rsidRPr="003E0861">
              <w:rPr>
                <w:rFonts w:ascii="Book Antiqua" w:hAnsi="Book Antiqua"/>
                <w:sz w:val="15"/>
                <w:szCs w:val="15"/>
              </w:rPr>
              <w:t>Applies panel data to confirm that financial development</w:t>
            </w:r>
            <w:r w:rsidR="00D6624B">
              <w:rPr>
                <w:rFonts w:ascii="Book Antiqua" w:hAnsi="Book Antiqua"/>
                <w:sz w:val="15"/>
                <w:szCs w:val="15"/>
              </w:rPr>
              <w:t xml:space="preserve"> </w:t>
            </w:r>
            <w:r w:rsidRPr="003E0861">
              <w:rPr>
                <w:rFonts w:ascii="Book Antiqua" w:hAnsi="Book Antiqua"/>
                <w:sz w:val="15"/>
                <w:szCs w:val="15"/>
              </w:rPr>
              <w:t xml:space="preserve">causes </w:t>
            </w:r>
            <w:r w:rsidR="00AE01DF" w:rsidRPr="003E0861">
              <w:rPr>
                <w:rFonts w:ascii="Book Antiqua" w:hAnsi="Book Antiqua"/>
                <w:sz w:val="15"/>
                <w:szCs w:val="15"/>
              </w:rPr>
              <w:t>financial</w:t>
            </w:r>
            <w:r w:rsidRPr="003E0861">
              <w:rPr>
                <w:rFonts w:ascii="Book Antiqua" w:hAnsi="Book Antiqua"/>
                <w:sz w:val="15"/>
                <w:szCs w:val="15"/>
              </w:rPr>
              <w:t xml:space="preserve"> </w:t>
            </w:r>
            <w:r w:rsidR="00AE01DF" w:rsidRPr="003E0861">
              <w:rPr>
                <w:rFonts w:ascii="Book Antiqua" w:hAnsi="Book Antiqua"/>
                <w:sz w:val="15"/>
                <w:szCs w:val="15"/>
              </w:rPr>
              <w:t>development</w:t>
            </w:r>
            <w:r w:rsidRPr="003E0861">
              <w:rPr>
                <w:rFonts w:ascii="Book Antiqua" w:hAnsi="Book Antiqua"/>
                <w:sz w:val="15"/>
                <w:szCs w:val="15"/>
              </w:rPr>
              <w:t xml:space="preserve"> with long-run compounding effects.</w:t>
            </w:r>
          </w:p>
        </w:tc>
        <w:tc>
          <w:tcPr>
            <w:tcW w:w="2419" w:type="dxa"/>
            <w:shd w:val="clear" w:color="auto" w:fill="F9FBFD"/>
            <w:tcMar>
              <w:top w:w="100" w:type="dxa"/>
              <w:left w:w="120" w:type="dxa"/>
              <w:bottom w:w="100" w:type="dxa"/>
              <w:right w:w="120" w:type="dxa"/>
            </w:tcMar>
          </w:tcPr>
          <w:p w14:paraId="231DAA13"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Strengthens quantitative models asserting the long-run macroeconomic returns of digital credit scaling.</w:t>
            </w:r>
          </w:p>
        </w:tc>
      </w:tr>
      <w:tr w:rsidR="00802F28" w:rsidRPr="00CD06DB" w14:paraId="6B60D131" w14:textId="77777777" w:rsidTr="00B966A2">
        <w:tc>
          <w:tcPr>
            <w:tcW w:w="562" w:type="dxa"/>
            <w:shd w:val="clear" w:color="auto" w:fill="FFFFFF"/>
            <w:tcMar>
              <w:top w:w="100" w:type="dxa"/>
              <w:left w:w="120" w:type="dxa"/>
              <w:bottom w:w="100" w:type="dxa"/>
              <w:right w:w="120" w:type="dxa"/>
            </w:tcMar>
          </w:tcPr>
          <w:p w14:paraId="11D93CED" w14:textId="6B1B3A86" w:rsidR="00802F28" w:rsidRPr="003E0861" w:rsidRDefault="00BF48BA"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2</w:t>
            </w:r>
            <w:r w:rsidR="00AF5B61" w:rsidRPr="003E0861">
              <w:rPr>
                <w:rFonts w:ascii="Book Antiqua" w:hAnsi="Book Antiqua"/>
                <w:bCs/>
                <w:color w:val="auto"/>
                <w:sz w:val="15"/>
                <w:szCs w:val="15"/>
              </w:rPr>
              <w:t>1</w:t>
            </w:r>
          </w:p>
        </w:tc>
        <w:tc>
          <w:tcPr>
            <w:tcW w:w="3544" w:type="dxa"/>
            <w:shd w:val="clear" w:color="auto" w:fill="FFFFFF"/>
            <w:tcMar>
              <w:top w:w="100" w:type="dxa"/>
              <w:left w:w="120" w:type="dxa"/>
              <w:bottom w:w="100" w:type="dxa"/>
              <w:right w:w="120" w:type="dxa"/>
            </w:tcMar>
          </w:tcPr>
          <w:p w14:paraId="5602FC14"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Christopoulos, D.K. and Tsionas, E.G. (2004) 'Financial development and economic growth: evidence from panel unit root and cointegration tests', </w:t>
            </w:r>
            <w:r w:rsidRPr="003E0861">
              <w:rPr>
                <w:rFonts w:ascii="Book Antiqua" w:hAnsi="Book Antiqua"/>
                <w:i/>
                <w:iCs/>
                <w:sz w:val="15"/>
                <w:szCs w:val="15"/>
              </w:rPr>
              <w:t>Journal of Development Economics</w:t>
            </w:r>
            <w:r w:rsidRPr="003E0861">
              <w:rPr>
                <w:rFonts w:ascii="Book Antiqua" w:hAnsi="Book Antiqua"/>
                <w:sz w:val="15"/>
                <w:szCs w:val="15"/>
              </w:rPr>
              <w:t>, 73(1), pp. 55–74.</w:t>
            </w:r>
          </w:p>
        </w:tc>
        <w:tc>
          <w:tcPr>
            <w:tcW w:w="2835" w:type="dxa"/>
            <w:shd w:val="clear" w:color="auto" w:fill="FFFFFF"/>
            <w:tcMar>
              <w:top w:w="100" w:type="dxa"/>
              <w:left w:w="120" w:type="dxa"/>
              <w:bottom w:w="100" w:type="dxa"/>
              <w:right w:w="120" w:type="dxa"/>
            </w:tcMar>
          </w:tcPr>
          <w:p w14:paraId="4B8D7D02" w14:textId="50C7A7F0"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Uses panel cointegration to demonstrate a highly stable, long-</w:t>
            </w:r>
            <w:r w:rsidR="00644F61" w:rsidRPr="003E0861">
              <w:rPr>
                <w:rFonts w:ascii="Book Antiqua" w:hAnsi="Book Antiqua"/>
                <w:sz w:val="15"/>
                <w:szCs w:val="15"/>
              </w:rPr>
              <w:t>course</w:t>
            </w:r>
            <w:r w:rsidRPr="003E0861">
              <w:rPr>
                <w:rFonts w:ascii="Book Antiqua" w:hAnsi="Book Antiqua"/>
                <w:sz w:val="15"/>
                <w:szCs w:val="15"/>
              </w:rPr>
              <w:t xml:space="preserve"> relationship running from finance to growth.</w:t>
            </w:r>
          </w:p>
        </w:tc>
        <w:tc>
          <w:tcPr>
            <w:tcW w:w="2419" w:type="dxa"/>
            <w:shd w:val="clear" w:color="auto" w:fill="FFFFFF"/>
            <w:tcMar>
              <w:top w:w="100" w:type="dxa"/>
              <w:left w:w="120" w:type="dxa"/>
              <w:bottom w:w="100" w:type="dxa"/>
              <w:right w:w="120" w:type="dxa"/>
            </w:tcMar>
          </w:tcPr>
          <w:p w14:paraId="0E01853B" w14:textId="19527423"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Supports the application of cointegration frameworks in modeling the long</w:t>
            </w:r>
            <w:r w:rsidR="000E088D" w:rsidRPr="003E0861">
              <w:rPr>
                <w:rFonts w:ascii="Book Antiqua" w:hAnsi="Book Antiqua"/>
                <w:sz w:val="15"/>
                <w:szCs w:val="15"/>
              </w:rPr>
              <w:t>lasting</w:t>
            </w:r>
            <w:r w:rsidRPr="003E0861">
              <w:rPr>
                <w:rFonts w:ascii="Book Antiqua" w:hAnsi="Book Antiqua"/>
                <w:sz w:val="15"/>
                <w:szCs w:val="15"/>
              </w:rPr>
              <w:t xml:space="preserve"> impacts of formal digital banking.</w:t>
            </w:r>
          </w:p>
        </w:tc>
      </w:tr>
      <w:tr w:rsidR="00802F28" w:rsidRPr="00CD06DB" w14:paraId="09580256" w14:textId="77777777" w:rsidTr="00B966A2">
        <w:tc>
          <w:tcPr>
            <w:tcW w:w="562" w:type="dxa"/>
            <w:shd w:val="clear" w:color="auto" w:fill="F9FBFD"/>
            <w:tcMar>
              <w:top w:w="100" w:type="dxa"/>
              <w:left w:w="120" w:type="dxa"/>
              <w:bottom w:w="100" w:type="dxa"/>
              <w:right w:w="120" w:type="dxa"/>
            </w:tcMar>
          </w:tcPr>
          <w:p w14:paraId="7C463DCE" w14:textId="0104365B" w:rsidR="00802F28" w:rsidRPr="003E0861" w:rsidRDefault="00AF5B61"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22</w:t>
            </w:r>
          </w:p>
        </w:tc>
        <w:tc>
          <w:tcPr>
            <w:tcW w:w="3544" w:type="dxa"/>
            <w:shd w:val="clear" w:color="auto" w:fill="F9FBFD"/>
            <w:tcMar>
              <w:top w:w="100" w:type="dxa"/>
              <w:left w:w="120" w:type="dxa"/>
              <w:bottom w:w="100" w:type="dxa"/>
              <w:right w:w="120" w:type="dxa"/>
            </w:tcMar>
          </w:tcPr>
          <w:p w14:paraId="2DBE1587" w14:textId="41B3691B" w:rsidR="00802F28" w:rsidRPr="003E0861" w:rsidRDefault="00C0579A" w:rsidP="009A5B2D">
            <w:pPr>
              <w:spacing w:after="0" w:line="240" w:lineRule="auto"/>
              <w:rPr>
                <w:rFonts w:ascii="Book Antiqua" w:hAnsi="Book Antiqua"/>
                <w:sz w:val="15"/>
                <w:szCs w:val="15"/>
              </w:rPr>
            </w:pPr>
            <w:r w:rsidRPr="00C0579A">
              <w:rPr>
                <w:rFonts w:ascii="Book Antiqua" w:hAnsi="Book Antiqua"/>
                <w:sz w:val="15"/>
                <w:szCs w:val="15"/>
              </w:rPr>
              <w:t>Beck, T., Demirgüç-Kunt, A. and Levine, R., 2007. Finance, inequality and the poor. </w:t>
            </w:r>
            <w:r w:rsidRPr="00C0579A">
              <w:rPr>
                <w:rFonts w:ascii="Book Antiqua" w:hAnsi="Book Antiqua"/>
                <w:i/>
                <w:iCs/>
                <w:sz w:val="15"/>
                <w:szCs w:val="15"/>
              </w:rPr>
              <w:t>Journal of economic growth</w:t>
            </w:r>
            <w:r w:rsidRPr="00C0579A">
              <w:rPr>
                <w:rFonts w:ascii="Book Antiqua" w:hAnsi="Book Antiqua"/>
                <w:sz w:val="15"/>
                <w:szCs w:val="15"/>
              </w:rPr>
              <w:t>, </w:t>
            </w:r>
            <w:r w:rsidRPr="00C0579A">
              <w:rPr>
                <w:rFonts w:ascii="Book Antiqua" w:hAnsi="Book Antiqua"/>
                <w:i/>
                <w:iCs/>
                <w:sz w:val="15"/>
                <w:szCs w:val="15"/>
              </w:rPr>
              <w:t>12</w:t>
            </w:r>
            <w:r w:rsidRPr="00C0579A">
              <w:rPr>
                <w:rFonts w:ascii="Book Antiqua" w:hAnsi="Book Antiqua"/>
                <w:sz w:val="15"/>
                <w:szCs w:val="15"/>
              </w:rPr>
              <w:t>(1), pp.27-49.</w:t>
            </w:r>
          </w:p>
        </w:tc>
        <w:tc>
          <w:tcPr>
            <w:tcW w:w="2835" w:type="dxa"/>
            <w:shd w:val="clear" w:color="auto" w:fill="F9FBFD"/>
            <w:tcMar>
              <w:top w:w="100" w:type="dxa"/>
              <w:left w:w="120" w:type="dxa"/>
              <w:bottom w:w="100" w:type="dxa"/>
              <w:right w:w="120" w:type="dxa"/>
            </w:tcMar>
          </w:tcPr>
          <w:p w14:paraId="704CA219" w14:textId="28C5D6C3" w:rsidR="00802F28" w:rsidRPr="003E0861" w:rsidRDefault="00804FCE" w:rsidP="009A5B2D">
            <w:pPr>
              <w:spacing w:after="0" w:line="240" w:lineRule="auto"/>
              <w:rPr>
                <w:rFonts w:ascii="Book Antiqua" w:hAnsi="Book Antiqua"/>
                <w:sz w:val="15"/>
                <w:szCs w:val="15"/>
              </w:rPr>
            </w:pPr>
            <w:r w:rsidRPr="00804FCE">
              <w:rPr>
                <w:rFonts w:ascii="Book Antiqua" w:hAnsi="Book Antiqua"/>
                <w:sz w:val="15"/>
                <w:szCs w:val="15"/>
              </w:rPr>
              <w:t>Links financial development to poverty and inequality reduction via bottom-quintile income growth.</w:t>
            </w:r>
          </w:p>
        </w:tc>
        <w:tc>
          <w:tcPr>
            <w:tcW w:w="2419" w:type="dxa"/>
            <w:shd w:val="clear" w:color="auto" w:fill="F9FBFD"/>
            <w:tcMar>
              <w:top w:w="100" w:type="dxa"/>
              <w:left w:w="120" w:type="dxa"/>
              <w:bottom w:w="100" w:type="dxa"/>
              <w:right w:w="120" w:type="dxa"/>
            </w:tcMar>
          </w:tcPr>
          <w:p w14:paraId="46F392EA"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Links macro-level financial deepening metrics to micro-level poverty alleviation outcomes.</w:t>
            </w:r>
          </w:p>
        </w:tc>
      </w:tr>
      <w:tr w:rsidR="00802F28" w:rsidRPr="00CD06DB" w14:paraId="07FE0910" w14:textId="77777777" w:rsidTr="00B966A2">
        <w:tc>
          <w:tcPr>
            <w:tcW w:w="562" w:type="dxa"/>
            <w:shd w:val="clear" w:color="auto" w:fill="FFFFFF"/>
            <w:tcMar>
              <w:top w:w="100" w:type="dxa"/>
              <w:left w:w="120" w:type="dxa"/>
              <w:bottom w:w="100" w:type="dxa"/>
              <w:right w:w="120" w:type="dxa"/>
            </w:tcMar>
          </w:tcPr>
          <w:p w14:paraId="105E633A" w14:textId="49F90C3C" w:rsidR="00802F28" w:rsidRPr="003E0861" w:rsidRDefault="00AF5B61"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23</w:t>
            </w:r>
          </w:p>
        </w:tc>
        <w:tc>
          <w:tcPr>
            <w:tcW w:w="3544" w:type="dxa"/>
            <w:shd w:val="clear" w:color="auto" w:fill="FFFFFF"/>
            <w:tcMar>
              <w:top w:w="100" w:type="dxa"/>
              <w:left w:w="120" w:type="dxa"/>
              <w:bottom w:w="100" w:type="dxa"/>
              <w:right w:w="120" w:type="dxa"/>
            </w:tcMar>
          </w:tcPr>
          <w:p w14:paraId="10117493"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Rousseau, P.L. and Wachtel, P. (2011) 'What is happening to the impact of financial deepening </w:t>
            </w:r>
            <w:r w:rsidRPr="003E0861">
              <w:rPr>
                <w:rFonts w:ascii="Book Antiqua" w:hAnsi="Book Antiqua"/>
                <w:sz w:val="15"/>
                <w:szCs w:val="15"/>
              </w:rPr>
              <w:lastRenderedPageBreak/>
              <w:t xml:space="preserve">on economic growth?', </w:t>
            </w:r>
            <w:r w:rsidRPr="003E0861">
              <w:rPr>
                <w:rFonts w:ascii="Book Antiqua" w:hAnsi="Book Antiqua"/>
                <w:i/>
                <w:iCs/>
                <w:sz w:val="15"/>
                <w:szCs w:val="15"/>
              </w:rPr>
              <w:t xml:space="preserve">Economic Inquiry, </w:t>
            </w:r>
            <w:r w:rsidRPr="003E0861">
              <w:rPr>
                <w:rFonts w:ascii="Book Antiqua" w:hAnsi="Book Antiqua"/>
                <w:sz w:val="15"/>
                <w:szCs w:val="15"/>
              </w:rPr>
              <w:t>49(1), pp. 276–288.</w:t>
            </w:r>
          </w:p>
        </w:tc>
        <w:tc>
          <w:tcPr>
            <w:tcW w:w="2835" w:type="dxa"/>
            <w:shd w:val="clear" w:color="auto" w:fill="FFFFFF"/>
            <w:tcMar>
              <w:top w:w="100" w:type="dxa"/>
              <w:left w:w="120" w:type="dxa"/>
              <w:bottom w:w="100" w:type="dxa"/>
              <w:right w:w="120" w:type="dxa"/>
            </w:tcMar>
          </w:tcPr>
          <w:p w14:paraId="08B1F057" w14:textId="31C78A0A"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lastRenderedPageBreak/>
              <w:t xml:space="preserve">Documents a weakening in the finance-growth relationship post-1990, </w:t>
            </w:r>
            <w:r w:rsidRPr="003E0861">
              <w:rPr>
                <w:rFonts w:ascii="Book Antiqua" w:hAnsi="Book Antiqua"/>
                <w:sz w:val="15"/>
                <w:szCs w:val="15"/>
              </w:rPr>
              <w:lastRenderedPageBreak/>
              <w:t>blamed on rapid, poorly regulated credit expansions.</w:t>
            </w:r>
          </w:p>
        </w:tc>
        <w:tc>
          <w:tcPr>
            <w:tcW w:w="2419" w:type="dxa"/>
            <w:shd w:val="clear" w:color="auto" w:fill="FFFFFF"/>
            <w:tcMar>
              <w:top w:w="100" w:type="dxa"/>
              <w:left w:w="120" w:type="dxa"/>
              <w:bottom w:w="100" w:type="dxa"/>
              <w:right w:w="120" w:type="dxa"/>
            </w:tcMar>
          </w:tcPr>
          <w:p w14:paraId="2D5DF147" w14:textId="48B77B16"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lastRenderedPageBreak/>
              <w:t xml:space="preserve">Provides warning context on why digital credit expansions </w:t>
            </w:r>
            <w:r w:rsidRPr="003E0861">
              <w:rPr>
                <w:rFonts w:ascii="Book Antiqua" w:hAnsi="Book Antiqua"/>
                <w:sz w:val="15"/>
                <w:szCs w:val="15"/>
              </w:rPr>
              <w:lastRenderedPageBreak/>
              <w:t>must be anchored by regulatory oversight to prevent crises.</w:t>
            </w:r>
          </w:p>
        </w:tc>
      </w:tr>
      <w:tr w:rsidR="00802F28" w:rsidRPr="00CD06DB" w14:paraId="3F1347F2" w14:textId="77777777" w:rsidTr="00B966A2">
        <w:tc>
          <w:tcPr>
            <w:tcW w:w="562" w:type="dxa"/>
            <w:shd w:val="clear" w:color="auto" w:fill="F9FBFD"/>
            <w:tcMar>
              <w:top w:w="100" w:type="dxa"/>
              <w:left w:w="120" w:type="dxa"/>
              <w:bottom w:w="100" w:type="dxa"/>
              <w:right w:w="120" w:type="dxa"/>
            </w:tcMar>
          </w:tcPr>
          <w:p w14:paraId="37AE5D3D" w14:textId="5A542469" w:rsidR="00802F28" w:rsidRPr="003E0861" w:rsidRDefault="00AF5B61"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lastRenderedPageBreak/>
              <w:t>24</w:t>
            </w:r>
          </w:p>
        </w:tc>
        <w:tc>
          <w:tcPr>
            <w:tcW w:w="3544" w:type="dxa"/>
            <w:shd w:val="clear" w:color="auto" w:fill="F9FBFD"/>
            <w:tcMar>
              <w:top w:w="100" w:type="dxa"/>
              <w:left w:w="120" w:type="dxa"/>
              <w:bottom w:w="100" w:type="dxa"/>
              <w:right w:w="120" w:type="dxa"/>
            </w:tcMar>
          </w:tcPr>
          <w:p w14:paraId="373BD05E"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Arcand, J.L., Berkes, E. and Panizza, U. (2015) 'Too much finance?', </w:t>
            </w:r>
            <w:r w:rsidRPr="003E0861">
              <w:rPr>
                <w:rFonts w:ascii="Book Antiqua" w:hAnsi="Book Antiqua"/>
                <w:i/>
                <w:iCs/>
                <w:sz w:val="15"/>
                <w:szCs w:val="15"/>
              </w:rPr>
              <w:t>Journal of Economic Growth,</w:t>
            </w:r>
            <w:r w:rsidRPr="003E0861">
              <w:rPr>
                <w:rFonts w:ascii="Book Antiqua" w:hAnsi="Book Antiqua"/>
                <w:sz w:val="15"/>
                <w:szCs w:val="15"/>
              </w:rPr>
              <w:t xml:space="preserve"> 20(2), pp. 105–148.</w:t>
            </w:r>
          </w:p>
        </w:tc>
        <w:tc>
          <w:tcPr>
            <w:tcW w:w="2835" w:type="dxa"/>
            <w:shd w:val="clear" w:color="auto" w:fill="F9FBFD"/>
            <w:tcMar>
              <w:top w:w="100" w:type="dxa"/>
              <w:left w:w="120" w:type="dxa"/>
              <w:bottom w:w="100" w:type="dxa"/>
              <w:right w:w="120" w:type="dxa"/>
            </w:tcMar>
          </w:tcPr>
          <w:p w14:paraId="0CB56C82" w14:textId="435AAA69"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Finds a negative effect of financial depth on </w:t>
            </w:r>
            <w:r w:rsidR="002E40D4" w:rsidRPr="003E0861">
              <w:rPr>
                <w:rFonts w:ascii="Book Antiqua" w:hAnsi="Book Antiqua"/>
                <w:sz w:val="15"/>
                <w:szCs w:val="15"/>
              </w:rPr>
              <w:t>production</w:t>
            </w:r>
            <w:r w:rsidRPr="003E0861">
              <w:rPr>
                <w:rFonts w:ascii="Book Antiqua" w:hAnsi="Book Antiqua"/>
                <w:sz w:val="15"/>
                <w:szCs w:val="15"/>
              </w:rPr>
              <w:t xml:space="preserve"> </w:t>
            </w:r>
            <w:r w:rsidR="002E40D4" w:rsidRPr="003E0861">
              <w:rPr>
                <w:rFonts w:ascii="Book Antiqua" w:hAnsi="Book Antiqua"/>
                <w:sz w:val="15"/>
                <w:szCs w:val="15"/>
              </w:rPr>
              <w:t>progress</w:t>
            </w:r>
            <w:r w:rsidRPr="003E0861">
              <w:rPr>
                <w:rFonts w:ascii="Book Antiqua" w:hAnsi="Book Antiqua"/>
                <w:sz w:val="15"/>
                <w:szCs w:val="15"/>
              </w:rPr>
              <w:t xml:space="preserve"> when credit exceeds 100% of GDP</w:t>
            </w:r>
            <w:r w:rsidR="00B85E3D">
              <w:rPr>
                <w:rFonts w:ascii="Book Antiqua" w:hAnsi="Book Antiqua"/>
                <w:sz w:val="15"/>
                <w:szCs w:val="15"/>
              </w:rPr>
              <w:t xml:space="preserve"> in </w:t>
            </w:r>
            <w:r w:rsidR="00B85E3D" w:rsidRPr="003E0861">
              <w:rPr>
                <w:rFonts w:ascii="Book Antiqua" w:hAnsi="Book Antiqua"/>
                <w:sz w:val="15"/>
                <w:szCs w:val="15"/>
              </w:rPr>
              <w:t>private secto</w:t>
            </w:r>
            <w:r w:rsidR="00B85E3D">
              <w:rPr>
                <w:rFonts w:ascii="Book Antiqua" w:hAnsi="Book Antiqua"/>
                <w:sz w:val="15"/>
                <w:szCs w:val="15"/>
              </w:rPr>
              <w:t>r.</w:t>
            </w:r>
          </w:p>
        </w:tc>
        <w:tc>
          <w:tcPr>
            <w:tcW w:w="2419" w:type="dxa"/>
            <w:shd w:val="clear" w:color="auto" w:fill="F9FBFD"/>
            <w:tcMar>
              <w:top w:w="100" w:type="dxa"/>
              <w:left w:w="120" w:type="dxa"/>
              <w:bottom w:w="100" w:type="dxa"/>
              <w:right w:w="120" w:type="dxa"/>
            </w:tcMar>
          </w:tcPr>
          <w:p w14:paraId="27108035" w14:textId="4D3BE3F8" w:rsidR="00802F28" w:rsidRPr="003E0861" w:rsidRDefault="00804FCE" w:rsidP="009A5B2D">
            <w:pPr>
              <w:spacing w:after="0" w:line="240" w:lineRule="auto"/>
              <w:rPr>
                <w:rFonts w:ascii="Book Antiqua" w:hAnsi="Book Antiqua"/>
                <w:sz w:val="15"/>
                <w:szCs w:val="15"/>
              </w:rPr>
            </w:pPr>
            <w:r w:rsidRPr="00804FCE">
              <w:rPr>
                <w:rFonts w:ascii="Book Antiqua" w:hAnsi="Book Antiqua"/>
                <w:sz w:val="15"/>
                <w:szCs w:val="15"/>
              </w:rPr>
              <w:t>Frames the theoretical frontier of credit growth, balancing stability against systemic over-leveraging.</w:t>
            </w:r>
          </w:p>
        </w:tc>
      </w:tr>
      <w:tr w:rsidR="00802F28" w:rsidRPr="00CD06DB" w14:paraId="2EE73728" w14:textId="77777777" w:rsidTr="00B966A2">
        <w:trPr>
          <w:trHeight w:val="583"/>
        </w:trPr>
        <w:tc>
          <w:tcPr>
            <w:tcW w:w="562" w:type="dxa"/>
            <w:shd w:val="clear" w:color="auto" w:fill="FFFFFF"/>
            <w:tcMar>
              <w:top w:w="100" w:type="dxa"/>
              <w:left w:w="120" w:type="dxa"/>
              <w:bottom w:w="100" w:type="dxa"/>
              <w:right w:w="120" w:type="dxa"/>
            </w:tcMar>
          </w:tcPr>
          <w:p w14:paraId="61BBEED2" w14:textId="6F58C08A" w:rsidR="00802F28" w:rsidRPr="003E0861" w:rsidRDefault="00AF5B61" w:rsidP="009A5B2D">
            <w:pPr>
              <w:spacing w:after="0" w:line="240" w:lineRule="auto"/>
              <w:jc w:val="center"/>
              <w:rPr>
                <w:rFonts w:ascii="Book Antiqua" w:hAnsi="Book Antiqua"/>
                <w:bCs/>
                <w:color w:val="auto"/>
                <w:sz w:val="15"/>
                <w:szCs w:val="15"/>
              </w:rPr>
            </w:pPr>
            <w:r w:rsidRPr="003E0861">
              <w:rPr>
                <w:rFonts w:ascii="Book Antiqua" w:hAnsi="Book Antiqua"/>
                <w:bCs/>
                <w:color w:val="auto"/>
                <w:sz w:val="15"/>
                <w:szCs w:val="15"/>
              </w:rPr>
              <w:t>25</w:t>
            </w:r>
          </w:p>
        </w:tc>
        <w:tc>
          <w:tcPr>
            <w:tcW w:w="3544" w:type="dxa"/>
            <w:shd w:val="clear" w:color="auto" w:fill="FFFFFF"/>
            <w:tcMar>
              <w:top w:w="100" w:type="dxa"/>
              <w:left w:w="120" w:type="dxa"/>
              <w:bottom w:w="100" w:type="dxa"/>
              <w:right w:w="120" w:type="dxa"/>
            </w:tcMar>
          </w:tcPr>
          <w:p w14:paraId="01C5DB50" w14:textId="77777777" w:rsidR="00802F28" w:rsidRPr="003E0861" w:rsidRDefault="00802F28" w:rsidP="009A5B2D">
            <w:pPr>
              <w:spacing w:after="0" w:line="240" w:lineRule="auto"/>
              <w:rPr>
                <w:rFonts w:ascii="Book Antiqua" w:hAnsi="Book Antiqua"/>
                <w:sz w:val="15"/>
                <w:szCs w:val="15"/>
              </w:rPr>
            </w:pPr>
            <w:r w:rsidRPr="003E0861">
              <w:rPr>
                <w:rFonts w:ascii="Book Antiqua" w:hAnsi="Book Antiqua"/>
                <w:sz w:val="15"/>
                <w:szCs w:val="15"/>
              </w:rPr>
              <w:t xml:space="preserve">Wachtel, P. (2001) 'Growth and finance: What do we know and how do we know it?', </w:t>
            </w:r>
            <w:r w:rsidRPr="003E0861">
              <w:rPr>
                <w:rFonts w:ascii="Book Antiqua" w:hAnsi="Book Antiqua"/>
                <w:i/>
                <w:iCs/>
                <w:sz w:val="15"/>
                <w:szCs w:val="15"/>
              </w:rPr>
              <w:t xml:space="preserve">International Finance, </w:t>
            </w:r>
            <w:r w:rsidRPr="003E0861">
              <w:rPr>
                <w:rFonts w:ascii="Book Antiqua" w:hAnsi="Book Antiqua"/>
                <w:sz w:val="15"/>
                <w:szCs w:val="15"/>
              </w:rPr>
              <w:t>4(3), pp. 335–362.</w:t>
            </w:r>
          </w:p>
        </w:tc>
        <w:tc>
          <w:tcPr>
            <w:tcW w:w="2835" w:type="dxa"/>
            <w:shd w:val="clear" w:color="auto" w:fill="FFFFFF"/>
            <w:tcMar>
              <w:top w:w="100" w:type="dxa"/>
              <w:left w:w="120" w:type="dxa"/>
              <w:bottom w:w="100" w:type="dxa"/>
              <w:right w:w="120" w:type="dxa"/>
            </w:tcMar>
          </w:tcPr>
          <w:p w14:paraId="1E7B4A8E" w14:textId="626289F9" w:rsidR="00802F28" w:rsidRPr="003E0861" w:rsidRDefault="00A72D08" w:rsidP="009A5B2D">
            <w:pPr>
              <w:spacing w:after="0" w:line="240" w:lineRule="auto"/>
              <w:rPr>
                <w:rFonts w:ascii="Book Antiqua" w:hAnsi="Book Antiqua"/>
                <w:sz w:val="15"/>
                <w:szCs w:val="15"/>
              </w:rPr>
            </w:pPr>
            <w:r w:rsidRPr="003E0861">
              <w:rPr>
                <w:rFonts w:ascii="Book Antiqua" w:hAnsi="Book Antiqua"/>
                <w:sz w:val="15"/>
                <w:szCs w:val="15"/>
              </w:rPr>
              <w:t>E</w:t>
            </w:r>
            <w:r w:rsidR="00802F28" w:rsidRPr="003E0861">
              <w:rPr>
                <w:rFonts w:ascii="Book Antiqua" w:hAnsi="Book Antiqua"/>
                <w:sz w:val="15"/>
                <w:szCs w:val="15"/>
              </w:rPr>
              <w:t>mphasiz</w:t>
            </w:r>
            <w:r w:rsidRPr="003E0861">
              <w:rPr>
                <w:rFonts w:ascii="Book Antiqua" w:hAnsi="Book Antiqua"/>
                <w:sz w:val="15"/>
                <w:szCs w:val="15"/>
              </w:rPr>
              <w:t>es</w:t>
            </w:r>
            <w:r w:rsidR="00802F28" w:rsidRPr="003E0861">
              <w:rPr>
                <w:rFonts w:ascii="Book Antiqua" w:hAnsi="Book Antiqua"/>
                <w:sz w:val="15"/>
                <w:szCs w:val="15"/>
              </w:rPr>
              <w:t xml:space="preserve"> the need to isolate productive commercial investments from speculative consumer loans.</w:t>
            </w:r>
          </w:p>
        </w:tc>
        <w:tc>
          <w:tcPr>
            <w:tcW w:w="2419" w:type="dxa"/>
            <w:shd w:val="clear" w:color="auto" w:fill="FFFFFF"/>
            <w:tcMar>
              <w:top w:w="100" w:type="dxa"/>
              <w:left w:w="120" w:type="dxa"/>
              <w:bottom w:w="100" w:type="dxa"/>
              <w:right w:w="120" w:type="dxa"/>
            </w:tcMar>
          </w:tcPr>
          <w:p w14:paraId="7AE7EFCB" w14:textId="13AF4876" w:rsidR="00802F28" w:rsidRPr="003E0861" w:rsidRDefault="00CC45AA" w:rsidP="009A5B2D">
            <w:pPr>
              <w:spacing w:after="0" w:line="240" w:lineRule="auto"/>
              <w:rPr>
                <w:rFonts w:ascii="Book Antiqua" w:hAnsi="Book Antiqua"/>
                <w:sz w:val="15"/>
                <w:szCs w:val="15"/>
              </w:rPr>
            </w:pPr>
            <w:r w:rsidRPr="00CC45AA">
              <w:rPr>
                <w:rFonts w:ascii="Book Antiqua" w:hAnsi="Book Antiqua"/>
                <w:sz w:val="15"/>
                <w:szCs w:val="15"/>
              </w:rPr>
              <w:t>Warns against conflating high-velocity payment volume with true financial depth.</w:t>
            </w:r>
          </w:p>
        </w:tc>
      </w:tr>
    </w:tbl>
    <w:p w14:paraId="67F7EA62" w14:textId="115B3E6C" w:rsidR="00211250" w:rsidRPr="005A083E" w:rsidRDefault="00A071CB" w:rsidP="005A083E">
      <w:pPr>
        <w:spacing w:before="240" w:after="0" w:line="240" w:lineRule="auto"/>
        <w:jc w:val="both"/>
        <w:rPr>
          <w:rFonts w:ascii="Book Antiqua" w:hAnsi="Book Antiqua"/>
          <w:b/>
          <w:color w:val="156082" w:themeColor="accent1"/>
          <w:sz w:val="16"/>
          <w:szCs w:val="16"/>
        </w:rPr>
      </w:pPr>
      <w:r w:rsidRPr="005A083E">
        <w:rPr>
          <w:rFonts w:ascii="Book Antiqua" w:hAnsi="Book Antiqua"/>
          <w:b/>
          <w:color w:val="156082" w:themeColor="accent1"/>
          <w:sz w:val="16"/>
          <w:szCs w:val="16"/>
        </w:rPr>
        <w:t xml:space="preserve">Stage 2: </w:t>
      </w:r>
      <w:r w:rsidR="00D20CAA" w:rsidRPr="005A083E">
        <w:rPr>
          <w:rFonts w:ascii="Book Antiqua" w:hAnsi="Book Antiqua"/>
          <w:b/>
          <w:color w:val="156082" w:themeColor="accent1"/>
          <w:sz w:val="16"/>
          <w:szCs w:val="16"/>
        </w:rPr>
        <w:t>Fintech Foundations, Digital Finance and Financial Inclusion</w:t>
      </w:r>
    </w:p>
    <w:p w14:paraId="583FC560" w14:textId="4AD4FCED" w:rsidR="00D20CAA" w:rsidRDefault="00D20CAA" w:rsidP="005A083E">
      <w:pPr>
        <w:spacing w:after="0" w:line="240" w:lineRule="auto"/>
        <w:jc w:val="both"/>
        <w:rPr>
          <w:rFonts w:ascii="Book Antiqua" w:hAnsi="Book Antiqua"/>
          <w:bCs/>
          <w:color w:val="auto"/>
          <w:sz w:val="16"/>
          <w:szCs w:val="16"/>
        </w:rPr>
      </w:pPr>
      <w:r w:rsidRPr="00B53246">
        <w:rPr>
          <w:rFonts w:ascii="Book Antiqua" w:hAnsi="Book Antiqua"/>
          <w:bCs/>
          <w:color w:val="auto"/>
          <w:sz w:val="16"/>
          <w:szCs w:val="16"/>
        </w:rPr>
        <w:t>This stage transitions into digital innovations, mapping the structural, technical, and regulatory fundamentals of mobile money, alternative risk scoring, big tech lending, and shadow banking.</w:t>
      </w:r>
    </w:p>
    <w:p w14:paraId="094C367E" w14:textId="77777777" w:rsidR="005A083E" w:rsidRPr="00B53246" w:rsidRDefault="005A083E" w:rsidP="005A083E">
      <w:pPr>
        <w:spacing w:after="0" w:line="240" w:lineRule="auto"/>
        <w:jc w:val="both"/>
        <w:rPr>
          <w:rFonts w:ascii="Book Antiqua" w:hAnsi="Book Antiqua"/>
          <w:bCs/>
          <w:color w:val="auto"/>
          <w:sz w:val="16"/>
          <w:szCs w:val="16"/>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544"/>
        <w:gridCol w:w="2693"/>
        <w:gridCol w:w="2561"/>
      </w:tblGrid>
      <w:tr w:rsidR="00A071CB" w:rsidRPr="00CC45AA" w14:paraId="6DDFD59D" w14:textId="77777777" w:rsidTr="00B966A2">
        <w:tc>
          <w:tcPr>
            <w:tcW w:w="562" w:type="dxa"/>
            <w:shd w:val="clear" w:color="auto" w:fill="1B365D"/>
            <w:tcMar>
              <w:top w:w="140" w:type="dxa"/>
              <w:left w:w="150" w:type="dxa"/>
              <w:bottom w:w="140" w:type="dxa"/>
              <w:right w:w="150" w:type="dxa"/>
            </w:tcMar>
          </w:tcPr>
          <w:p w14:paraId="13E17009"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b/>
                <w:color w:val="FFFFFF"/>
                <w:sz w:val="15"/>
                <w:szCs w:val="15"/>
              </w:rPr>
              <w:t>ID</w:t>
            </w:r>
          </w:p>
        </w:tc>
        <w:tc>
          <w:tcPr>
            <w:tcW w:w="3544" w:type="dxa"/>
            <w:shd w:val="clear" w:color="auto" w:fill="1B365D"/>
            <w:tcMar>
              <w:top w:w="140" w:type="dxa"/>
              <w:left w:w="150" w:type="dxa"/>
              <w:bottom w:w="140" w:type="dxa"/>
              <w:right w:w="150" w:type="dxa"/>
            </w:tcMar>
          </w:tcPr>
          <w:p w14:paraId="4A93CF54"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b/>
                <w:color w:val="FFFFFF"/>
                <w:sz w:val="15"/>
                <w:szCs w:val="15"/>
              </w:rPr>
              <w:t>Journal Reference</w:t>
            </w:r>
          </w:p>
        </w:tc>
        <w:tc>
          <w:tcPr>
            <w:tcW w:w="2693" w:type="dxa"/>
            <w:shd w:val="clear" w:color="auto" w:fill="1B365D"/>
            <w:tcMar>
              <w:top w:w="140" w:type="dxa"/>
              <w:left w:w="150" w:type="dxa"/>
              <w:bottom w:w="140" w:type="dxa"/>
              <w:right w:w="150" w:type="dxa"/>
            </w:tcMar>
          </w:tcPr>
          <w:p w14:paraId="23859CFD"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b/>
                <w:color w:val="FFFFFF"/>
                <w:sz w:val="15"/>
                <w:szCs w:val="15"/>
              </w:rPr>
              <w:t>Key Findings</w:t>
            </w:r>
          </w:p>
        </w:tc>
        <w:tc>
          <w:tcPr>
            <w:tcW w:w="2561" w:type="dxa"/>
            <w:shd w:val="clear" w:color="auto" w:fill="1B365D"/>
            <w:tcMar>
              <w:top w:w="140" w:type="dxa"/>
              <w:left w:w="150" w:type="dxa"/>
              <w:bottom w:w="140" w:type="dxa"/>
              <w:right w:w="150" w:type="dxa"/>
            </w:tcMar>
          </w:tcPr>
          <w:p w14:paraId="57E456B9"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b/>
                <w:color w:val="FFFFFF"/>
                <w:sz w:val="15"/>
                <w:szCs w:val="15"/>
              </w:rPr>
              <w:t>Analytical Usefulness</w:t>
            </w:r>
          </w:p>
        </w:tc>
      </w:tr>
      <w:tr w:rsidR="00A071CB" w:rsidRPr="00CC45AA" w14:paraId="58E78EAF" w14:textId="77777777" w:rsidTr="00B966A2">
        <w:tc>
          <w:tcPr>
            <w:tcW w:w="562" w:type="dxa"/>
            <w:shd w:val="clear" w:color="auto" w:fill="FFFFFF"/>
            <w:tcMar>
              <w:top w:w="100" w:type="dxa"/>
              <w:left w:w="120" w:type="dxa"/>
              <w:bottom w:w="100" w:type="dxa"/>
              <w:right w:w="120" w:type="dxa"/>
            </w:tcMar>
          </w:tcPr>
          <w:p w14:paraId="3F12E325" w14:textId="59ACCB48"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26</w:t>
            </w:r>
          </w:p>
        </w:tc>
        <w:tc>
          <w:tcPr>
            <w:tcW w:w="3544" w:type="dxa"/>
            <w:shd w:val="clear" w:color="auto" w:fill="FFFFFF"/>
            <w:tcMar>
              <w:top w:w="100" w:type="dxa"/>
              <w:left w:w="120" w:type="dxa"/>
              <w:bottom w:w="100" w:type="dxa"/>
              <w:right w:w="120" w:type="dxa"/>
            </w:tcMar>
          </w:tcPr>
          <w:p w14:paraId="52A0C6B3"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Allen, F., Demirguc-Kunt, A., Klapper, L. and Martinez Peria, M.S. (2016) 'The foundations of financial inclusion: understanding ownership and use of formal accounts', </w:t>
            </w:r>
            <w:r w:rsidRPr="00CC45AA">
              <w:rPr>
                <w:rFonts w:ascii="Book Antiqua" w:hAnsi="Book Antiqua"/>
                <w:i/>
                <w:iCs/>
                <w:sz w:val="15"/>
                <w:szCs w:val="15"/>
              </w:rPr>
              <w:t>Journal of Financial Intermediation,</w:t>
            </w:r>
            <w:r w:rsidRPr="00CC45AA">
              <w:rPr>
                <w:rFonts w:ascii="Book Antiqua" w:hAnsi="Book Antiqua"/>
                <w:sz w:val="15"/>
                <w:szCs w:val="15"/>
              </w:rPr>
              <w:t xml:space="preserve"> 27, pp. 1–30.</w:t>
            </w:r>
          </w:p>
        </w:tc>
        <w:tc>
          <w:tcPr>
            <w:tcW w:w="2693" w:type="dxa"/>
            <w:shd w:val="clear" w:color="auto" w:fill="FFFFFF"/>
            <w:tcMar>
              <w:top w:w="100" w:type="dxa"/>
              <w:left w:w="120" w:type="dxa"/>
              <w:bottom w:w="100" w:type="dxa"/>
              <w:right w:w="120" w:type="dxa"/>
            </w:tcMar>
          </w:tcPr>
          <w:p w14:paraId="7CF3AD12"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Identifies the core institutional barriers and policies that drive individual formal account ownership globally.</w:t>
            </w:r>
          </w:p>
        </w:tc>
        <w:tc>
          <w:tcPr>
            <w:tcW w:w="2561" w:type="dxa"/>
            <w:shd w:val="clear" w:color="auto" w:fill="FFFFFF"/>
            <w:tcMar>
              <w:top w:w="100" w:type="dxa"/>
              <w:left w:w="120" w:type="dxa"/>
              <w:bottom w:w="100" w:type="dxa"/>
              <w:right w:w="120" w:type="dxa"/>
            </w:tcMar>
          </w:tcPr>
          <w:p w14:paraId="2B4388E5"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Essential reference for distinguishing between micro-level inclusion metrics and systemic financial development frameworks.</w:t>
            </w:r>
          </w:p>
        </w:tc>
      </w:tr>
      <w:tr w:rsidR="00A071CB" w:rsidRPr="00CC45AA" w14:paraId="4C038A94" w14:textId="77777777" w:rsidTr="00B966A2">
        <w:trPr>
          <w:trHeight w:val="726"/>
        </w:trPr>
        <w:tc>
          <w:tcPr>
            <w:tcW w:w="562" w:type="dxa"/>
            <w:shd w:val="clear" w:color="auto" w:fill="F9FBFD"/>
            <w:tcMar>
              <w:top w:w="100" w:type="dxa"/>
              <w:left w:w="120" w:type="dxa"/>
              <w:bottom w:w="100" w:type="dxa"/>
              <w:right w:w="120" w:type="dxa"/>
            </w:tcMar>
          </w:tcPr>
          <w:p w14:paraId="4659B314" w14:textId="2D7FF8B7"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27</w:t>
            </w:r>
          </w:p>
        </w:tc>
        <w:tc>
          <w:tcPr>
            <w:tcW w:w="3544" w:type="dxa"/>
            <w:shd w:val="clear" w:color="auto" w:fill="F9FBFD"/>
            <w:tcMar>
              <w:top w:w="100" w:type="dxa"/>
              <w:left w:w="120" w:type="dxa"/>
              <w:bottom w:w="100" w:type="dxa"/>
              <w:right w:w="120" w:type="dxa"/>
            </w:tcMar>
          </w:tcPr>
          <w:p w14:paraId="7A37E87E"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Beck, T., Demirgüç-Kunt, A. and Martinez Peria, M.S. (2008) 'Banking services for everyone? Barriers to bank access and use around the world', </w:t>
            </w:r>
            <w:r w:rsidRPr="00CC45AA">
              <w:rPr>
                <w:rFonts w:ascii="Book Antiqua" w:hAnsi="Book Antiqua"/>
                <w:i/>
                <w:iCs/>
                <w:sz w:val="15"/>
                <w:szCs w:val="15"/>
              </w:rPr>
              <w:t>The World Bank Economic Review,</w:t>
            </w:r>
            <w:r w:rsidRPr="00CC45AA">
              <w:rPr>
                <w:rFonts w:ascii="Book Antiqua" w:hAnsi="Book Antiqua"/>
                <w:sz w:val="15"/>
                <w:szCs w:val="15"/>
              </w:rPr>
              <w:t xml:space="preserve"> 22(3), pp. 397–430.</w:t>
            </w:r>
          </w:p>
        </w:tc>
        <w:tc>
          <w:tcPr>
            <w:tcW w:w="2693" w:type="dxa"/>
            <w:shd w:val="clear" w:color="auto" w:fill="F9FBFD"/>
            <w:tcMar>
              <w:top w:w="100" w:type="dxa"/>
              <w:left w:w="120" w:type="dxa"/>
              <w:bottom w:w="100" w:type="dxa"/>
              <w:right w:w="120" w:type="dxa"/>
            </w:tcMar>
          </w:tcPr>
          <w:p w14:paraId="4DDF2EFF"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Surveys cross-country physical, documentary, and cost barriers to traditional retail commercial banking services.</w:t>
            </w:r>
          </w:p>
        </w:tc>
        <w:tc>
          <w:tcPr>
            <w:tcW w:w="2561" w:type="dxa"/>
            <w:shd w:val="clear" w:color="auto" w:fill="F9FBFD"/>
            <w:tcMar>
              <w:top w:w="100" w:type="dxa"/>
              <w:left w:w="120" w:type="dxa"/>
              <w:bottom w:w="100" w:type="dxa"/>
              <w:right w:w="120" w:type="dxa"/>
            </w:tcMar>
          </w:tcPr>
          <w:p w14:paraId="061AC4FB"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Crucial for explaining the high frictions that justify the digital technological 'leapfrogging' phenomenon.</w:t>
            </w:r>
          </w:p>
        </w:tc>
      </w:tr>
      <w:tr w:rsidR="00A071CB" w:rsidRPr="00CC45AA" w14:paraId="3D7966F1" w14:textId="77777777" w:rsidTr="00B966A2">
        <w:tc>
          <w:tcPr>
            <w:tcW w:w="562" w:type="dxa"/>
            <w:shd w:val="clear" w:color="auto" w:fill="FFFFFF"/>
            <w:tcMar>
              <w:top w:w="100" w:type="dxa"/>
              <w:left w:w="120" w:type="dxa"/>
              <w:bottom w:w="100" w:type="dxa"/>
              <w:right w:w="120" w:type="dxa"/>
            </w:tcMar>
          </w:tcPr>
          <w:p w14:paraId="3EE82EDA" w14:textId="4D039FE1"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28</w:t>
            </w:r>
          </w:p>
        </w:tc>
        <w:tc>
          <w:tcPr>
            <w:tcW w:w="3544" w:type="dxa"/>
            <w:shd w:val="clear" w:color="auto" w:fill="FFFFFF"/>
            <w:tcMar>
              <w:top w:w="100" w:type="dxa"/>
              <w:left w:w="120" w:type="dxa"/>
              <w:bottom w:w="100" w:type="dxa"/>
              <w:right w:w="120" w:type="dxa"/>
            </w:tcMar>
          </w:tcPr>
          <w:p w14:paraId="6C5A27ED"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Berg, T., Fuster, A. and Puri, M. (2022) 'Fintech lending', </w:t>
            </w:r>
            <w:r w:rsidRPr="00CC45AA">
              <w:rPr>
                <w:rFonts w:ascii="Book Antiqua" w:hAnsi="Book Antiqua"/>
                <w:i/>
                <w:iCs/>
                <w:sz w:val="15"/>
                <w:szCs w:val="15"/>
              </w:rPr>
              <w:t>Annual Review of Financial Economics</w:t>
            </w:r>
            <w:r w:rsidRPr="00CC45AA">
              <w:rPr>
                <w:rFonts w:ascii="Book Antiqua" w:hAnsi="Book Antiqua"/>
                <w:sz w:val="15"/>
                <w:szCs w:val="15"/>
              </w:rPr>
              <w:t>, 14(1), pp. 187–207.</w:t>
            </w:r>
          </w:p>
        </w:tc>
        <w:tc>
          <w:tcPr>
            <w:tcW w:w="2693" w:type="dxa"/>
            <w:shd w:val="clear" w:color="auto" w:fill="FFFFFF"/>
            <w:tcMar>
              <w:top w:w="100" w:type="dxa"/>
              <w:left w:w="120" w:type="dxa"/>
              <w:bottom w:w="100" w:type="dxa"/>
              <w:right w:w="120" w:type="dxa"/>
            </w:tcMar>
          </w:tcPr>
          <w:p w14:paraId="59BA9AEB" w14:textId="68D91401"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Analyzes how alternative data and automated algorithmic scor</w:t>
            </w:r>
            <w:r w:rsidR="00386D6E" w:rsidRPr="00CC45AA">
              <w:rPr>
                <w:rFonts w:ascii="Book Antiqua" w:hAnsi="Book Antiqua"/>
                <w:sz w:val="15"/>
                <w:szCs w:val="15"/>
              </w:rPr>
              <w:t>ing</w:t>
            </w:r>
            <w:r w:rsidRPr="00CC45AA">
              <w:rPr>
                <w:rFonts w:ascii="Book Antiqua" w:hAnsi="Book Antiqua"/>
                <w:sz w:val="15"/>
                <w:szCs w:val="15"/>
              </w:rPr>
              <w:t xml:space="preserve"> shape digital lending dynamics.</w:t>
            </w:r>
          </w:p>
        </w:tc>
        <w:tc>
          <w:tcPr>
            <w:tcW w:w="2561" w:type="dxa"/>
            <w:shd w:val="clear" w:color="auto" w:fill="FFFFFF"/>
            <w:tcMar>
              <w:top w:w="100" w:type="dxa"/>
              <w:left w:w="120" w:type="dxa"/>
              <w:bottom w:w="100" w:type="dxa"/>
              <w:right w:w="120" w:type="dxa"/>
            </w:tcMar>
          </w:tcPr>
          <w:p w14:paraId="66D611E5" w14:textId="15985984" w:rsidR="00A071CB" w:rsidRPr="00CC45AA" w:rsidRDefault="00871E38" w:rsidP="004005B1">
            <w:pPr>
              <w:spacing w:after="0" w:line="240" w:lineRule="auto"/>
              <w:rPr>
                <w:rFonts w:ascii="Book Antiqua" w:hAnsi="Book Antiqua"/>
                <w:sz w:val="15"/>
                <w:szCs w:val="15"/>
              </w:rPr>
            </w:pPr>
            <w:r w:rsidRPr="00871E38">
              <w:rPr>
                <w:rFonts w:ascii="Book Antiqua" w:hAnsi="Book Antiqua"/>
                <w:sz w:val="15"/>
                <w:szCs w:val="15"/>
              </w:rPr>
              <w:t>Critiques high-cost, short-term digital micro-loans within African mobile networks.</w:t>
            </w:r>
          </w:p>
        </w:tc>
      </w:tr>
      <w:tr w:rsidR="00A071CB" w:rsidRPr="00CC45AA" w14:paraId="084656CC" w14:textId="77777777" w:rsidTr="00B966A2">
        <w:tc>
          <w:tcPr>
            <w:tcW w:w="562" w:type="dxa"/>
            <w:shd w:val="clear" w:color="auto" w:fill="F9FBFD"/>
            <w:tcMar>
              <w:top w:w="100" w:type="dxa"/>
              <w:left w:w="120" w:type="dxa"/>
              <w:bottom w:w="100" w:type="dxa"/>
              <w:right w:w="120" w:type="dxa"/>
            </w:tcMar>
          </w:tcPr>
          <w:p w14:paraId="756F02D7" w14:textId="48635D09"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29</w:t>
            </w:r>
          </w:p>
        </w:tc>
        <w:tc>
          <w:tcPr>
            <w:tcW w:w="3544" w:type="dxa"/>
            <w:shd w:val="clear" w:color="auto" w:fill="F9FBFD"/>
            <w:tcMar>
              <w:top w:w="100" w:type="dxa"/>
              <w:left w:w="120" w:type="dxa"/>
              <w:bottom w:w="100" w:type="dxa"/>
              <w:right w:w="120" w:type="dxa"/>
            </w:tcMar>
          </w:tcPr>
          <w:p w14:paraId="3ECCE366"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Ozili, P.K. (2018) 'Impact of digital finance on financial inclusion and stability', </w:t>
            </w:r>
            <w:r w:rsidRPr="00CC45AA">
              <w:rPr>
                <w:rFonts w:ascii="Book Antiqua" w:hAnsi="Book Antiqua"/>
                <w:i/>
                <w:iCs/>
                <w:sz w:val="15"/>
                <w:szCs w:val="15"/>
              </w:rPr>
              <w:t>Borsa Istanbul Review</w:t>
            </w:r>
            <w:r w:rsidRPr="00CC45AA">
              <w:rPr>
                <w:rFonts w:ascii="Book Antiqua" w:hAnsi="Book Antiqua"/>
                <w:sz w:val="15"/>
                <w:szCs w:val="15"/>
              </w:rPr>
              <w:t>, 18(4), pp. 329–340.</w:t>
            </w:r>
          </w:p>
        </w:tc>
        <w:tc>
          <w:tcPr>
            <w:tcW w:w="2693" w:type="dxa"/>
            <w:shd w:val="clear" w:color="auto" w:fill="F9FBFD"/>
            <w:tcMar>
              <w:top w:w="100" w:type="dxa"/>
              <w:left w:w="120" w:type="dxa"/>
              <w:bottom w:w="100" w:type="dxa"/>
              <w:right w:w="120" w:type="dxa"/>
            </w:tcMar>
          </w:tcPr>
          <w:p w14:paraId="553C8C1B" w14:textId="27A0E71F"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Examines the </w:t>
            </w:r>
            <w:r w:rsidR="003D0923" w:rsidRPr="00CC45AA">
              <w:rPr>
                <w:rFonts w:ascii="Book Antiqua" w:hAnsi="Book Antiqua"/>
                <w:sz w:val="15"/>
                <w:szCs w:val="15"/>
              </w:rPr>
              <w:t>stability</w:t>
            </w:r>
            <w:r w:rsidRPr="00CC45AA">
              <w:rPr>
                <w:rFonts w:ascii="Book Antiqua" w:hAnsi="Book Antiqua"/>
                <w:sz w:val="15"/>
                <w:szCs w:val="15"/>
              </w:rPr>
              <w:t xml:space="preserve"> between digital financial inclusion, bank, and regulatory quality.</w:t>
            </w:r>
          </w:p>
        </w:tc>
        <w:tc>
          <w:tcPr>
            <w:tcW w:w="2561" w:type="dxa"/>
            <w:shd w:val="clear" w:color="auto" w:fill="F9FBFD"/>
            <w:tcMar>
              <w:top w:w="100" w:type="dxa"/>
              <w:left w:w="120" w:type="dxa"/>
              <w:bottom w:w="100" w:type="dxa"/>
              <w:right w:w="120" w:type="dxa"/>
            </w:tcMar>
          </w:tcPr>
          <w:p w14:paraId="0ED7CFAA" w14:textId="19FC4A80" w:rsidR="00A071CB" w:rsidRPr="00CC45AA" w:rsidRDefault="00CC2FB3" w:rsidP="004005B1">
            <w:pPr>
              <w:spacing w:after="0" w:line="240" w:lineRule="auto"/>
              <w:rPr>
                <w:rFonts w:ascii="Book Antiqua" w:hAnsi="Book Antiqua"/>
                <w:sz w:val="15"/>
                <w:szCs w:val="15"/>
              </w:rPr>
            </w:pPr>
            <w:r w:rsidRPr="00CC2FB3">
              <w:rPr>
                <w:rFonts w:ascii="Book Antiqua" w:hAnsi="Book Antiqua"/>
                <w:sz w:val="15"/>
                <w:szCs w:val="15"/>
              </w:rPr>
              <w:t>Examines how regulation and bank integration condition fintech's effect on financial depth.</w:t>
            </w:r>
          </w:p>
        </w:tc>
      </w:tr>
      <w:tr w:rsidR="00A071CB" w:rsidRPr="00CC45AA" w14:paraId="37A7EE28" w14:textId="77777777" w:rsidTr="00B966A2">
        <w:tc>
          <w:tcPr>
            <w:tcW w:w="562" w:type="dxa"/>
            <w:shd w:val="clear" w:color="auto" w:fill="FFFFFF"/>
            <w:tcMar>
              <w:top w:w="100" w:type="dxa"/>
              <w:left w:w="120" w:type="dxa"/>
              <w:bottom w:w="100" w:type="dxa"/>
              <w:right w:w="120" w:type="dxa"/>
            </w:tcMar>
          </w:tcPr>
          <w:p w14:paraId="0D7C7FC4" w14:textId="506E2E4C"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30</w:t>
            </w:r>
          </w:p>
        </w:tc>
        <w:tc>
          <w:tcPr>
            <w:tcW w:w="3544" w:type="dxa"/>
            <w:shd w:val="clear" w:color="auto" w:fill="FFFFFF"/>
            <w:tcMar>
              <w:top w:w="100" w:type="dxa"/>
              <w:left w:w="120" w:type="dxa"/>
              <w:bottom w:w="100" w:type="dxa"/>
              <w:right w:w="120" w:type="dxa"/>
            </w:tcMar>
          </w:tcPr>
          <w:p w14:paraId="7C3E49C2"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Vives, X. (2019) 'Digital disruption in banking', </w:t>
            </w:r>
            <w:r w:rsidRPr="00CC45AA">
              <w:rPr>
                <w:rFonts w:ascii="Book Antiqua" w:hAnsi="Book Antiqua"/>
                <w:i/>
                <w:iCs/>
                <w:sz w:val="15"/>
                <w:szCs w:val="15"/>
              </w:rPr>
              <w:t>Annual Review of Financial Economics,</w:t>
            </w:r>
            <w:r w:rsidRPr="00CC45AA">
              <w:rPr>
                <w:rFonts w:ascii="Book Antiqua" w:hAnsi="Book Antiqua"/>
                <w:sz w:val="15"/>
                <w:szCs w:val="15"/>
              </w:rPr>
              <w:t xml:space="preserve"> 11(1), pp. 243–272.</w:t>
            </w:r>
          </w:p>
        </w:tc>
        <w:tc>
          <w:tcPr>
            <w:tcW w:w="2693" w:type="dxa"/>
            <w:shd w:val="clear" w:color="auto" w:fill="FFFFFF"/>
            <w:tcMar>
              <w:top w:w="100" w:type="dxa"/>
              <w:left w:w="120" w:type="dxa"/>
              <w:bottom w:w="100" w:type="dxa"/>
              <w:right w:w="120" w:type="dxa"/>
            </w:tcMar>
          </w:tcPr>
          <w:p w14:paraId="7CA08338" w14:textId="0EE25292" w:rsidR="00A071CB" w:rsidRPr="00CC45AA" w:rsidRDefault="00872284" w:rsidP="004005B1">
            <w:pPr>
              <w:spacing w:after="0" w:line="240" w:lineRule="auto"/>
              <w:rPr>
                <w:rFonts w:ascii="Book Antiqua" w:hAnsi="Book Antiqua"/>
                <w:sz w:val="15"/>
                <w:szCs w:val="15"/>
              </w:rPr>
            </w:pPr>
            <w:r w:rsidRPr="00CC45AA">
              <w:rPr>
                <w:rFonts w:ascii="Book Antiqua" w:hAnsi="Book Antiqua"/>
                <w:sz w:val="15"/>
                <w:szCs w:val="15"/>
              </w:rPr>
              <w:t>Assesses how Big Tech and legacy bank competition shapes systemic market concentration.</w:t>
            </w:r>
          </w:p>
        </w:tc>
        <w:tc>
          <w:tcPr>
            <w:tcW w:w="2561" w:type="dxa"/>
            <w:shd w:val="clear" w:color="auto" w:fill="FFFFFF"/>
            <w:tcMar>
              <w:top w:w="100" w:type="dxa"/>
              <w:left w:w="120" w:type="dxa"/>
              <w:bottom w:w="100" w:type="dxa"/>
              <w:right w:w="120" w:type="dxa"/>
            </w:tcMar>
          </w:tcPr>
          <w:p w14:paraId="34D70357" w14:textId="360D456D" w:rsidR="00A071CB" w:rsidRPr="00CC45AA" w:rsidRDefault="00F77A65" w:rsidP="004005B1">
            <w:pPr>
              <w:spacing w:after="0" w:line="240" w:lineRule="auto"/>
              <w:rPr>
                <w:rFonts w:ascii="Book Antiqua" w:hAnsi="Book Antiqua"/>
                <w:sz w:val="15"/>
                <w:szCs w:val="15"/>
              </w:rPr>
            </w:pPr>
            <w:r w:rsidRPr="00CC45AA">
              <w:rPr>
                <w:rFonts w:ascii="Book Antiqua" w:hAnsi="Book Antiqua"/>
                <w:sz w:val="15"/>
                <w:szCs w:val="15"/>
              </w:rPr>
              <w:t>Analyzes market power distribution between bank-led and technology-led networks.</w:t>
            </w:r>
          </w:p>
        </w:tc>
      </w:tr>
      <w:tr w:rsidR="00A071CB" w:rsidRPr="00CC45AA" w14:paraId="09C3ABE4" w14:textId="77777777" w:rsidTr="00B966A2">
        <w:tc>
          <w:tcPr>
            <w:tcW w:w="562" w:type="dxa"/>
            <w:shd w:val="clear" w:color="auto" w:fill="F9FBFD"/>
            <w:tcMar>
              <w:top w:w="100" w:type="dxa"/>
              <w:left w:w="120" w:type="dxa"/>
              <w:bottom w:w="100" w:type="dxa"/>
              <w:right w:w="120" w:type="dxa"/>
            </w:tcMar>
          </w:tcPr>
          <w:p w14:paraId="40684E4C" w14:textId="77D940DF"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31</w:t>
            </w:r>
          </w:p>
        </w:tc>
        <w:tc>
          <w:tcPr>
            <w:tcW w:w="3544" w:type="dxa"/>
            <w:shd w:val="clear" w:color="auto" w:fill="F9FBFD"/>
            <w:tcMar>
              <w:top w:w="100" w:type="dxa"/>
              <w:left w:w="120" w:type="dxa"/>
              <w:bottom w:w="100" w:type="dxa"/>
              <w:right w:w="120" w:type="dxa"/>
            </w:tcMar>
          </w:tcPr>
          <w:p w14:paraId="7C90844F"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Allen, F., Gu, X. and Jagtiani, J. (2021) 'A survey of financial innovation and types of fintech', </w:t>
            </w:r>
            <w:r w:rsidRPr="00CC45AA">
              <w:rPr>
                <w:rFonts w:ascii="Book Antiqua" w:hAnsi="Book Antiqua"/>
                <w:i/>
                <w:iCs/>
                <w:sz w:val="15"/>
                <w:szCs w:val="15"/>
              </w:rPr>
              <w:t>Financial Innovation,</w:t>
            </w:r>
            <w:r w:rsidRPr="00CC45AA">
              <w:rPr>
                <w:rFonts w:ascii="Book Antiqua" w:hAnsi="Book Antiqua"/>
                <w:sz w:val="15"/>
                <w:szCs w:val="15"/>
              </w:rPr>
              <w:t xml:space="preserve"> 7(1), pp. 1–18.</w:t>
            </w:r>
          </w:p>
        </w:tc>
        <w:tc>
          <w:tcPr>
            <w:tcW w:w="2693" w:type="dxa"/>
            <w:shd w:val="clear" w:color="auto" w:fill="F9FBFD"/>
            <w:tcMar>
              <w:top w:w="100" w:type="dxa"/>
              <w:left w:w="120" w:type="dxa"/>
              <w:bottom w:w="100" w:type="dxa"/>
              <w:right w:w="120" w:type="dxa"/>
            </w:tcMar>
          </w:tcPr>
          <w:p w14:paraId="4F30CE93"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Surveys the landscape of global fintech innovations, clarifying their implications.</w:t>
            </w:r>
          </w:p>
        </w:tc>
        <w:tc>
          <w:tcPr>
            <w:tcW w:w="2561" w:type="dxa"/>
            <w:shd w:val="clear" w:color="auto" w:fill="F9FBFD"/>
            <w:tcMar>
              <w:top w:w="100" w:type="dxa"/>
              <w:left w:w="120" w:type="dxa"/>
              <w:bottom w:w="100" w:type="dxa"/>
              <w:right w:w="120" w:type="dxa"/>
            </w:tcMar>
          </w:tcPr>
          <w:p w14:paraId="1E71AB41" w14:textId="1AE5E802" w:rsidR="00A071CB" w:rsidRPr="00CC45AA" w:rsidRDefault="00D51545" w:rsidP="004005B1">
            <w:pPr>
              <w:spacing w:after="0" w:line="240" w:lineRule="auto"/>
              <w:rPr>
                <w:rFonts w:ascii="Book Antiqua" w:hAnsi="Book Antiqua"/>
                <w:sz w:val="15"/>
                <w:szCs w:val="15"/>
              </w:rPr>
            </w:pPr>
            <w:r w:rsidRPr="00CC45AA">
              <w:rPr>
                <w:rFonts w:ascii="Book Antiqua" w:hAnsi="Book Antiqua"/>
                <w:sz w:val="15"/>
                <w:szCs w:val="15"/>
              </w:rPr>
              <w:t>Defines clear criteria to separate payment systems from credit-scoring algorithms.</w:t>
            </w:r>
          </w:p>
        </w:tc>
      </w:tr>
      <w:tr w:rsidR="00A071CB" w:rsidRPr="00CC45AA" w14:paraId="380E34BD" w14:textId="77777777" w:rsidTr="00B966A2">
        <w:tc>
          <w:tcPr>
            <w:tcW w:w="562" w:type="dxa"/>
            <w:shd w:val="clear" w:color="auto" w:fill="FFFFFF"/>
            <w:tcMar>
              <w:top w:w="100" w:type="dxa"/>
              <w:left w:w="120" w:type="dxa"/>
              <w:bottom w:w="100" w:type="dxa"/>
              <w:right w:w="120" w:type="dxa"/>
            </w:tcMar>
          </w:tcPr>
          <w:p w14:paraId="32A6040C" w14:textId="336FDA97"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32</w:t>
            </w:r>
          </w:p>
        </w:tc>
        <w:tc>
          <w:tcPr>
            <w:tcW w:w="3544" w:type="dxa"/>
            <w:shd w:val="clear" w:color="auto" w:fill="FFFFFF"/>
            <w:tcMar>
              <w:top w:w="100" w:type="dxa"/>
              <w:left w:w="120" w:type="dxa"/>
              <w:bottom w:w="100" w:type="dxa"/>
              <w:right w:w="120" w:type="dxa"/>
            </w:tcMar>
          </w:tcPr>
          <w:p w14:paraId="25F61F5F"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Gomber, P., Koch, J.A. and Siering, M. (2017) 'Digital Finance and FinTech: current research and future research directions', </w:t>
            </w:r>
            <w:r w:rsidRPr="00CC45AA">
              <w:rPr>
                <w:rFonts w:ascii="Book Antiqua" w:hAnsi="Book Antiqua"/>
                <w:i/>
                <w:iCs/>
                <w:sz w:val="15"/>
                <w:szCs w:val="15"/>
              </w:rPr>
              <w:t>Journal of Business Economics,</w:t>
            </w:r>
            <w:r w:rsidRPr="00CC45AA">
              <w:rPr>
                <w:rFonts w:ascii="Book Antiqua" w:hAnsi="Book Antiqua"/>
                <w:sz w:val="15"/>
                <w:szCs w:val="15"/>
              </w:rPr>
              <w:t xml:space="preserve"> 87(5), pp. 537–580.</w:t>
            </w:r>
          </w:p>
        </w:tc>
        <w:tc>
          <w:tcPr>
            <w:tcW w:w="2693" w:type="dxa"/>
            <w:shd w:val="clear" w:color="auto" w:fill="FFFFFF"/>
            <w:tcMar>
              <w:top w:w="100" w:type="dxa"/>
              <w:left w:w="120" w:type="dxa"/>
              <w:bottom w:w="100" w:type="dxa"/>
              <w:right w:w="120" w:type="dxa"/>
            </w:tcMar>
          </w:tcPr>
          <w:p w14:paraId="6E1E3F46"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Categorizes digital finance systems, identifying how mobile interfaces reduce front-end structural costs for providers.</w:t>
            </w:r>
          </w:p>
        </w:tc>
        <w:tc>
          <w:tcPr>
            <w:tcW w:w="2561" w:type="dxa"/>
            <w:shd w:val="clear" w:color="auto" w:fill="FFFFFF"/>
            <w:tcMar>
              <w:top w:w="100" w:type="dxa"/>
              <w:left w:w="120" w:type="dxa"/>
              <w:bottom w:w="100" w:type="dxa"/>
              <w:right w:w="120" w:type="dxa"/>
            </w:tcMar>
          </w:tcPr>
          <w:p w14:paraId="196E5060" w14:textId="4934EC11"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Provides </w:t>
            </w:r>
            <w:r w:rsidR="00381BB9" w:rsidRPr="00CC45AA">
              <w:rPr>
                <w:rFonts w:ascii="Book Antiqua" w:hAnsi="Book Antiqua"/>
                <w:sz w:val="15"/>
                <w:szCs w:val="15"/>
              </w:rPr>
              <w:t>comprehensive</w:t>
            </w:r>
            <w:r w:rsidRPr="00CC45AA">
              <w:rPr>
                <w:rFonts w:ascii="Book Antiqua" w:hAnsi="Book Antiqua"/>
                <w:sz w:val="15"/>
                <w:szCs w:val="15"/>
              </w:rPr>
              <w:t xml:space="preserve"> vocabulary for classifying payment infrastructures versus algorithmic credit networks.</w:t>
            </w:r>
          </w:p>
        </w:tc>
      </w:tr>
      <w:tr w:rsidR="00A071CB" w:rsidRPr="00CC45AA" w14:paraId="5E7DBC5C" w14:textId="77777777" w:rsidTr="00B966A2">
        <w:tc>
          <w:tcPr>
            <w:tcW w:w="562" w:type="dxa"/>
            <w:shd w:val="clear" w:color="auto" w:fill="F9FBFD"/>
            <w:tcMar>
              <w:top w:w="100" w:type="dxa"/>
              <w:left w:w="120" w:type="dxa"/>
              <w:bottom w:w="100" w:type="dxa"/>
              <w:right w:w="120" w:type="dxa"/>
            </w:tcMar>
          </w:tcPr>
          <w:p w14:paraId="140A038A" w14:textId="09C999A8"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33</w:t>
            </w:r>
          </w:p>
        </w:tc>
        <w:tc>
          <w:tcPr>
            <w:tcW w:w="3544" w:type="dxa"/>
            <w:shd w:val="clear" w:color="auto" w:fill="F9FBFD"/>
            <w:tcMar>
              <w:top w:w="100" w:type="dxa"/>
              <w:left w:w="120" w:type="dxa"/>
              <w:bottom w:w="100" w:type="dxa"/>
              <w:right w:w="120" w:type="dxa"/>
            </w:tcMar>
          </w:tcPr>
          <w:p w14:paraId="5F36868B"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Gabor, D. and Brooks, S. (2017) 'The digital revolution in financial inclusion: international development in the fintech era', </w:t>
            </w:r>
            <w:r w:rsidRPr="00CC45AA">
              <w:rPr>
                <w:rFonts w:ascii="Book Antiqua" w:hAnsi="Book Antiqua"/>
                <w:i/>
                <w:iCs/>
                <w:sz w:val="15"/>
                <w:szCs w:val="15"/>
              </w:rPr>
              <w:t xml:space="preserve">New Political Economy, </w:t>
            </w:r>
            <w:r w:rsidRPr="00CC45AA">
              <w:rPr>
                <w:rFonts w:ascii="Book Antiqua" w:hAnsi="Book Antiqua"/>
                <w:sz w:val="15"/>
                <w:szCs w:val="15"/>
              </w:rPr>
              <w:t>22(4), pp. 423–436.</w:t>
            </w:r>
          </w:p>
        </w:tc>
        <w:tc>
          <w:tcPr>
            <w:tcW w:w="2693" w:type="dxa"/>
            <w:shd w:val="clear" w:color="auto" w:fill="F9FBFD"/>
            <w:tcMar>
              <w:top w:w="100" w:type="dxa"/>
              <w:left w:w="120" w:type="dxa"/>
              <w:bottom w:w="100" w:type="dxa"/>
              <w:right w:w="120" w:type="dxa"/>
            </w:tcMar>
          </w:tcPr>
          <w:p w14:paraId="49D4724A" w14:textId="5EE6E7E1"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Critiques the alliance </w:t>
            </w:r>
            <w:r w:rsidR="004A3E18">
              <w:rPr>
                <w:rFonts w:ascii="Book Antiqua" w:hAnsi="Book Antiqua"/>
                <w:sz w:val="15"/>
                <w:szCs w:val="15"/>
              </w:rPr>
              <w:t xml:space="preserve">between </w:t>
            </w:r>
            <w:r w:rsidRPr="00CC45AA">
              <w:rPr>
                <w:rFonts w:ascii="Book Antiqua" w:hAnsi="Book Antiqua"/>
                <w:sz w:val="15"/>
                <w:szCs w:val="15"/>
              </w:rPr>
              <w:t>global development agencies and fintech firms, highlighting the financialization of poverty.</w:t>
            </w:r>
          </w:p>
        </w:tc>
        <w:tc>
          <w:tcPr>
            <w:tcW w:w="2561" w:type="dxa"/>
            <w:shd w:val="clear" w:color="auto" w:fill="F9FBFD"/>
            <w:tcMar>
              <w:top w:w="100" w:type="dxa"/>
              <w:left w:w="120" w:type="dxa"/>
              <w:bottom w:w="100" w:type="dxa"/>
              <w:right w:w="120" w:type="dxa"/>
            </w:tcMar>
          </w:tcPr>
          <w:p w14:paraId="76315B05" w14:textId="4CD61BA2" w:rsidR="00A071CB" w:rsidRPr="00CC45AA" w:rsidRDefault="005F7599" w:rsidP="004005B1">
            <w:pPr>
              <w:spacing w:after="0" w:line="240" w:lineRule="auto"/>
              <w:rPr>
                <w:rFonts w:ascii="Book Antiqua" w:hAnsi="Book Antiqua"/>
                <w:sz w:val="15"/>
                <w:szCs w:val="15"/>
              </w:rPr>
            </w:pPr>
            <w:r w:rsidRPr="00CC45AA">
              <w:rPr>
                <w:rFonts w:ascii="Book Antiqua" w:hAnsi="Book Antiqua"/>
                <w:sz w:val="15"/>
                <w:szCs w:val="15"/>
              </w:rPr>
              <w:t>U</w:t>
            </w:r>
            <w:r w:rsidR="00A071CB" w:rsidRPr="00CC45AA">
              <w:rPr>
                <w:rFonts w:ascii="Book Antiqua" w:hAnsi="Book Antiqua"/>
                <w:sz w:val="15"/>
                <w:szCs w:val="15"/>
              </w:rPr>
              <w:t>seful for offering a critical perspective on 'philanthropic fintech' and predatory digital lending practices.</w:t>
            </w:r>
          </w:p>
        </w:tc>
      </w:tr>
      <w:tr w:rsidR="00A071CB" w:rsidRPr="00CC45AA" w14:paraId="580CE3AB" w14:textId="77777777" w:rsidTr="00B966A2">
        <w:tc>
          <w:tcPr>
            <w:tcW w:w="562" w:type="dxa"/>
            <w:shd w:val="clear" w:color="auto" w:fill="FFFFFF"/>
            <w:tcMar>
              <w:top w:w="100" w:type="dxa"/>
              <w:left w:w="120" w:type="dxa"/>
              <w:bottom w:w="100" w:type="dxa"/>
              <w:right w:w="120" w:type="dxa"/>
            </w:tcMar>
          </w:tcPr>
          <w:p w14:paraId="18B004D8" w14:textId="096F306E"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34</w:t>
            </w:r>
          </w:p>
        </w:tc>
        <w:tc>
          <w:tcPr>
            <w:tcW w:w="3544" w:type="dxa"/>
            <w:shd w:val="clear" w:color="auto" w:fill="FFFFFF"/>
            <w:tcMar>
              <w:top w:w="100" w:type="dxa"/>
              <w:left w:w="120" w:type="dxa"/>
              <w:bottom w:w="100" w:type="dxa"/>
              <w:right w:w="120" w:type="dxa"/>
            </w:tcMar>
          </w:tcPr>
          <w:p w14:paraId="33B689C4" w14:textId="6E624C19" w:rsidR="00A071CB" w:rsidRPr="00CC45AA" w:rsidRDefault="006D68B2" w:rsidP="004005B1">
            <w:pPr>
              <w:spacing w:after="0" w:line="240" w:lineRule="auto"/>
              <w:rPr>
                <w:rFonts w:ascii="Book Antiqua" w:hAnsi="Book Antiqua"/>
                <w:sz w:val="15"/>
                <w:szCs w:val="15"/>
              </w:rPr>
            </w:pPr>
            <w:r w:rsidRPr="006D68B2">
              <w:rPr>
                <w:rFonts w:ascii="Book Antiqua" w:hAnsi="Book Antiqua"/>
                <w:sz w:val="15"/>
                <w:szCs w:val="15"/>
              </w:rPr>
              <w:t>Demirgüç-Kunt, A., Klapper, L., Singer, D. and Ansar, S., 2021. Financial inclusion, digital payments, and resilience in the age of COVID-19. </w:t>
            </w:r>
            <w:r w:rsidRPr="006D68B2">
              <w:rPr>
                <w:rFonts w:ascii="Book Antiqua" w:hAnsi="Book Antiqua"/>
                <w:i/>
                <w:iCs/>
                <w:sz w:val="15"/>
                <w:szCs w:val="15"/>
              </w:rPr>
              <w:t>World Bank Report</w:t>
            </w:r>
            <w:r w:rsidRPr="006D68B2">
              <w:rPr>
                <w:rFonts w:ascii="Book Antiqua" w:hAnsi="Book Antiqua"/>
                <w:sz w:val="15"/>
                <w:szCs w:val="15"/>
              </w:rPr>
              <w:t>.</w:t>
            </w:r>
          </w:p>
        </w:tc>
        <w:tc>
          <w:tcPr>
            <w:tcW w:w="2693" w:type="dxa"/>
            <w:shd w:val="clear" w:color="auto" w:fill="FFFFFF"/>
            <w:tcMar>
              <w:top w:w="100" w:type="dxa"/>
              <w:left w:w="120" w:type="dxa"/>
              <w:bottom w:w="100" w:type="dxa"/>
              <w:right w:w="120" w:type="dxa"/>
            </w:tcMar>
          </w:tcPr>
          <w:p w14:paraId="7CCFFFFD" w14:textId="4583F1D5"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Details global acceleration of digital account ownership and transactional shifts during pandemic shocks.</w:t>
            </w:r>
          </w:p>
        </w:tc>
        <w:tc>
          <w:tcPr>
            <w:tcW w:w="2561" w:type="dxa"/>
            <w:shd w:val="clear" w:color="auto" w:fill="FFFFFF"/>
            <w:tcMar>
              <w:top w:w="100" w:type="dxa"/>
              <w:left w:w="120" w:type="dxa"/>
              <w:bottom w:w="100" w:type="dxa"/>
              <w:right w:w="120" w:type="dxa"/>
            </w:tcMar>
          </w:tcPr>
          <w:p w14:paraId="529C7A4E"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Serves as the premier comparative baseline for measuring digital-first financial inclusion globally.</w:t>
            </w:r>
          </w:p>
        </w:tc>
      </w:tr>
      <w:tr w:rsidR="00A071CB" w:rsidRPr="00CC45AA" w14:paraId="30363592" w14:textId="77777777" w:rsidTr="00B966A2">
        <w:tc>
          <w:tcPr>
            <w:tcW w:w="562" w:type="dxa"/>
            <w:shd w:val="clear" w:color="auto" w:fill="F9FBFD"/>
            <w:tcMar>
              <w:top w:w="100" w:type="dxa"/>
              <w:left w:w="120" w:type="dxa"/>
              <w:bottom w:w="100" w:type="dxa"/>
              <w:right w:w="120" w:type="dxa"/>
            </w:tcMar>
          </w:tcPr>
          <w:p w14:paraId="0186EF17" w14:textId="7FFA711E" w:rsidR="00A071CB" w:rsidRPr="00CC45AA" w:rsidRDefault="00424000"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w:t>
            </w:r>
            <w:r w:rsidR="00AF5B61" w:rsidRPr="00CC45AA">
              <w:rPr>
                <w:rFonts w:ascii="Book Antiqua" w:hAnsi="Book Antiqua"/>
                <w:bCs/>
                <w:color w:val="auto"/>
                <w:sz w:val="15"/>
                <w:szCs w:val="15"/>
              </w:rPr>
              <w:t>5</w:t>
            </w:r>
          </w:p>
        </w:tc>
        <w:tc>
          <w:tcPr>
            <w:tcW w:w="3544" w:type="dxa"/>
            <w:shd w:val="clear" w:color="auto" w:fill="F9FBFD"/>
            <w:tcMar>
              <w:top w:w="100" w:type="dxa"/>
              <w:left w:w="120" w:type="dxa"/>
              <w:bottom w:w="100" w:type="dxa"/>
              <w:right w:w="120" w:type="dxa"/>
            </w:tcMar>
          </w:tcPr>
          <w:p w14:paraId="308F0246"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Frost, J., Gambacorta, L., Huang, Y., Shin, H.S. and Zbinden, P. (2019) 'BigTech and the changing structure of financial intermediation', </w:t>
            </w:r>
            <w:r w:rsidRPr="00CC45AA">
              <w:rPr>
                <w:rFonts w:ascii="Book Antiqua" w:hAnsi="Book Antiqua"/>
                <w:i/>
                <w:iCs/>
                <w:sz w:val="15"/>
                <w:szCs w:val="15"/>
              </w:rPr>
              <w:t xml:space="preserve">Economic Policy, </w:t>
            </w:r>
            <w:r w:rsidRPr="00CC45AA">
              <w:rPr>
                <w:rFonts w:ascii="Book Antiqua" w:hAnsi="Book Antiqua"/>
                <w:sz w:val="15"/>
                <w:szCs w:val="15"/>
              </w:rPr>
              <w:t>34(100), pp. 761–799.</w:t>
            </w:r>
          </w:p>
        </w:tc>
        <w:tc>
          <w:tcPr>
            <w:tcW w:w="2693" w:type="dxa"/>
            <w:shd w:val="clear" w:color="auto" w:fill="F9FBFD"/>
            <w:tcMar>
              <w:top w:w="100" w:type="dxa"/>
              <w:left w:w="120" w:type="dxa"/>
              <w:bottom w:w="100" w:type="dxa"/>
              <w:right w:w="120" w:type="dxa"/>
            </w:tcMar>
          </w:tcPr>
          <w:p w14:paraId="795704C1"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Shows that BigTech platforms use massive proprietary data loops to assess borrower risk better than traditional banks.</w:t>
            </w:r>
          </w:p>
        </w:tc>
        <w:tc>
          <w:tcPr>
            <w:tcW w:w="2561" w:type="dxa"/>
            <w:shd w:val="clear" w:color="auto" w:fill="F9FBFD"/>
            <w:tcMar>
              <w:top w:w="100" w:type="dxa"/>
              <w:left w:w="120" w:type="dxa"/>
              <w:bottom w:w="100" w:type="dxa"/>
              <w:right w:w="120" w:type="dxa"/>
            </w:tcMar>
          </w:tcPr>
          <w:p w14:paraId="1A5E56D7"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Supports analysis of how non-traditional platforms compete with and reshape legacy banking structures.</w:t>
            </w:r>
          </w:p>
        </w:tc>
      </w:tr>
      <w:tr w:rsidR="00A071CB" w:rsidRPr="00CC45AA" w14:paraId="1E39B0FB" w14:textId="77777777" w:rsidTr="00B966A2">
        <w:tc>
          <w:tcPr>
            <w:tcW w:w="562" w:type="dxa"/>
            <w:shd w:val="clear" w:color="auto" w:fill="FFFFFF"/>
            <w:tcMar>
              <w:top w:w="100" w:type="dxa"/>
              <w:left w:w="120" w:type="dxa"/>
              <w:bottom w:w="100" w:type="dxa"/>
              <w:right w:w="120" w:type="dxa"/>
            </w:tcMar>
          </w:tcPr>
          <w:p w14:paraId="2AB1F61C" w14:textId="47FE91CE"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lastRenderedPageBreak/>
              <w:t>36</w:t>
            </w:r>
          </w:p>
        </w:tc>
        <w:tc>
          <w:tcPr>
            <w:tcW w:w="3544" w:type="dxa"/>
            <w:shd w:val="clear" w:color="auto" w:fill="FFFFFF"/>
            <w:tcMar>
              <w:top w:w="100" w:type="dxa"/>
              <w:left w:w="120" w:type="dxa"/>
              <w:bottom w:w="100" w:type="dxa"/>
              <w:right w:w="120" w:type="dxa"/>
            </w:tcMar>
          </w:tcPr>
          <w:p w14:paraId="083B625F"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Stulz, R.M. (2019) 'Fintech, bigtech, and the future of banks', </w:t>
            </w:r>
            <w:r w:rsidRPr="00CC45AA">
              <w:rPr>
                <w:rFonts w:ascii="Book Antiqua" w:hAnsi="Book Antiqua"/>
                <w:i/>
                <w:iCs/>
                <w:sz w:val="15"/>
                <w:szCs w:val="15"/>
              </w:rPr>
              <w:t>Journal of Applied Corporate Finance,</w:t>
            </w:r>
            <w:r w:rsidRPr="00CC45AA">
              <w:rPr>
                <w:rFonts w:ascii="Book Antiqua" w:hAnsi="Book Antiqua"/>
                <w:sz w:val="15"/>
                <w:szCs w:val="15"/>
              </w:rPr>
              <w:t xml:space="preserve"> 31(4), pp. 106–117.</w:t>
            </w:r>
          </w:p>
        </w:tc>
        <w:tc>
          <w:tcPr>
            <w:tcW w:w="2693" w:type="dxa"/>
            <w:shd w:val="clear" w:color="auto" w:fill="FFFFFF"/>
            <w:tcMar>
              <w:top w:w="100" w:type="dxa"/>
              <w:left w:w="120" w:type="dxa"/>
              <w:bottom w:w="100" w:type="dxa"/>
              <w:right w:w="120" w:type="dxa"/>
            </w:tcMar>
          </w:tcPr>
          <w:p w14:paraId="693993F3" w14:textId="35ABC840" w:rsidR="00A071CB" w:rsidRPr="00CC45AA" w:rsidRDefault="00AC0818" w:rsidP="004005B1">
            <w:pPr>
              <w:spacing w:after="0" w:line="240" w:lineRule="auto"/>
              <w:rPr>
                <w:rFonts w:ascii="Book Antiqua" w:hAnsi="Book Antiqua"/>
                <w:sz w:val="15"/>
                <w:szCs w:val="15"/>
              </w:rPr>
            </w:pPr>
            <w:r w:rsidRPr="00CC45AA">
              <w:rPr>
                <w:rFonts w:ascii="Book Antiqua" w:hAnsi="Book Antiqua"/>
                <w:sz w:val="15"/>
                <w:szCs w:val="15"/>
              </w:rPr>
              <w:t>Contrasts fintechs' UX edge with banks' core deposit funding advantage.</w:t>
            </w:r>
          </w:p>
        </w:tc>
        <w:tc>
          <w:tcPr>
            <w:tcW w:w="2561" w:type="dxa"/>
            <w:shd w:val="clear" w:color="auto" w:fill="FFFFFF"/>
            <w:tcMar>
              <w:top w:w="100" w:type="dxa"/>
              <w:left w:w="120" w:type="dxa"/>
              <w:bottom w:w="100" w:type="dxa"/>
              <w:right w:w="120" w:type="dxa"/>
            </w:tcMar>
          </w:tcPr>
          <w:p w14:paraId="60EDCF61" w14:textId="7993ACE8" w:rsidR="00A071CB" w:rsidRPr="00CC45AA" w:rsidRDefault="005C0AA0" w:rsidP="004005B1">
            <w:pPr>
              <w:spacing w:after="0" w:line="240" w:lineRule="auto"/>
              <w:rPr>
                <w:rFonts w:ascii="Book Antiqua" w:hAnsi="Book Antiqua"/>
                <w:sz w:val="15"/>
                <w:szCs w:val="15"/>
              </w:rPr>
            </w:pPr>
            <w:r w:rsidRPr="00CC45AA">
              <w:rPr>
                <w:rFonts w:ascii="Book Antiqua" w:hAnsi="Book Antiqua"/>
                <w:sz w:val="15"/>
                <w:szCs w:val="15"/>
              </w:rPr>
              <w:t>Examines bank-telco alliance as key to turning digital deposits into credit assets.</w:t>
            </w:r>
          </w:p>
        </w:tc>
      </w:tr>
      <w:tr w:rsidR="00A071CB" w:rsidRPr="00CC45AA" w14:paraId="3FE268EF" w14:textId="77777777" w:rsidTr="00B966A2">
        <w:tc>
          <w:tcPr>
            <w:tcW w:w="562" w:type="dxa"/>
            <w:shd w:val="clear" w:color="auto" w:fill="F9FBFD"/>
            <w:tcMar>
              <w:top w:w="100" w:type="dxa"/>
              <w:left w:w="120" w:type="dxa"/>
              <w:bottom w:w="100" w:type="dxa"/>
              <w:right w:w="120" w:type="dxa"/>
            </w:tcMar>
          </w:tcPr>
          <w:p w14:paraId="26474083" w14:textId="47860CC4"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37</w:t>
            </w:r>
          </w:p>
        </w:tc>
        <w:tc>
          <w:tcPr>
            <w:tcW w:w="3544" w:type="dxa"/>
            <w:shd w:val="clear" w:color="auto" w:fill="F9FBFD"/>
            <w:tcMar>
              <w:top w:w="100" w:type="dxa"/>
              <w:left w:w="120" w:type="dxa"/>
              <w:bottom w:w="100" w:type="dxa"/>
              <w:right w:w="120" w:type="dxa"/>
            </w:tcMar>
          </w:tcPr>
          <w:p w14:paraId="1682A554"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Arner, D.W., Barberis, J. and Buckley, R.P. (2015) 'The evolution of Fintech: A new post-crisis paradigm?', </w:t>
            </w:r>
            <w:r w:rsidRPr="00CC45AA">
              <w:rPr>
                <w:rFonts w:ascii="Book Antiqua" w:hAnsi="Book Antiqua"/>
                <w:i/>
                <w:iCs/>
                <w:sz w:val="15"/>
                <w:szCs w:val="15"/>
              </w:rPr>
              <w:t xml:space="preserve">Journal of Financial Regulation, </w:t>
            </w:r>
            <w:r w:rsidRPr="00CC45AA">
              <w:rPr>
                <w:rFonts w:ascii="Book Antiqua" w:hAnsi="Book Antiqua"/>
                <w:sz w:val="15"/>
                <w:szCs w:val="15"/>
              </w:rPr>
              <w:t>3(1), pp. 127–147.</w:t>
            </w:r>
          </w:p>
        </w:tc>
        <w:tc>
          <w:tcPr>
            <w:tcW w:w="2693" w:type="dxa"/>
            <w:shd w:val="clear" w:color="auto" w:fill="F9FBFD"/>
            <w:tcMar>
              <w:top w:w="100" w:type="dxa"/>
              <w:left w:w="120" w:type="dxa"/>
              <w:bottom w:w="100" w:type="dxa"/>
              <w:right w:w="120" w:type="dxa"/>
            </w:tcMar>
          </w:tcPr>
          <w:p w14:paraId="2D0D42C9"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Conceptualizes the historical phases of fintech evolution, showing how regulatory shifts spurred non-bank development.</w:t>
            </w:r>
          </w:p>
        </w:tc>
        <w:tc>
          <w:tcPr>
            <w:tcW w:w="2561" w:type="dxa"/>
            <w:shd w:val="clear" w:color="auto" w:fill="F9FBFD"/>
            <w:tcMar>
              <w:top w:w="100" w:type="dxa"/>
              <w:left w:w="120" w:type="dxa"/>
              <w:bottom w:w="100" w:type="dxa"/>
              <w:right w:w="120" w:type="dxa"/>
            </w:tcMar>
          </w:tcPr>
          <w:p w14:paraId="70C7E67E"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Frames the current regulatory challenges surrounding shadow-banking platforms and mobile wallets.</w:t>
            </w:r>
          </w:p>
        </w:tc>
      </w:tr>
      <w:tr w:rsidR="00A071CB" w:rsidRPr="00CC45AA" w14:paraId="53397D9D" w14:textId="77777777" w:rsidTr="00B966A2">
        <w:tc>
          <w:tcPr>
            <w:tcW w:w="562" w:type="dxa"/>
            <w:shd w:val="clear" w:color="auto" w:fill="FFFFFF"/>
            <w:tcMar>
              <w:top w:w="100" w:type="dxa"/>
              <w:left w:w="120" w:type="dxa"/>
              <w:bottom w:w="100" w:type="dxa"/>
              <w:right w:w="120" w:type="dxa"/>
            </w:tcMar>
          </w:tcPr>
          <w:p w14:paraId="6BE067B9" w14:textId="19CF6908"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38</w:t>
            </w:r>
          </w:p>
        </w:tc>
        <w:tc>
          <w:tcPr>
            <w:tcW w:w="3544" w:type="dxa"/>
            <w:shd w:val="clear" w:color="auto" w:fill="FFFFFF"/>
            <w:tcMar>
              <w:top w:w="100" w:type="dxa"/>
              <w:left w:w="120" w:type="dxa"/>
              <w:bottom w:w="100" w:type="dxa"/>
              <w:right w:w="120" w:type="dxa"/>
            </w:tcMar>
          </w:tcPr>
          <w:p w14:paraId="1AF80850"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Philippon, T. (2020) 'On fintech and financial intermediaries'</w:t>
            </w:r>
            <w:r w:rsidRPr="00CC45AA">
              <w:rPr>
                <w:rFonts w:ascii="Book Antiqua" w:hAnsi="Book Antiqua"/>
                <w:i/>
                <w:iCs/>
                <w:sz w:val="15"/>
                <w:szCs w:val="15"/>
              </w:rPr>
              <w:t xml:space="preserve">, Journal of Monetary Economics, </w:t>
            </w:r>
            <w:r w:rsidRPr="00CC45AA">
              <w:rPr>
                <w:rFonts w:ascii="Book Antiqua" w:hAnsi="Book Antiqua"/>
                <w:sz w:val="15"/>
                <w:szCs w:val="15"/>
              </w:rPr>
              <w:t>115, pp. 29–44.</w:t>
            </w:r>
          </w:p>
        </w:tc>
        <w:tc>
          <w:tcPr>
            <w:tcW w:w="2693" w:type="dxa"/>
            <w:shd w:val="clear" w:color="auto" w:fill="FFFFFF"/>
            <w:tcMar>
              <w:top w:w="100" w:type="dxa"/>
              <w:left w:w="120" w:type="dxa"/>
              <w:bottom w:w="100" w:type="dxa"/>
              <w:right w:w="120" w:type="dxa"/>
            </w:tcMar>
          </w:tcPr>
          <w:p w14:paraId="3863B250" w14:textId="22CCCBA6" w:rsidR="00A071CB" w:rsidRPr="00CC45AA" w:rsidRDefault="00EF7BA5" w:rsidP="004005B1">
            <w:pPr>
              <w:spacing w:after="0" w:line="240" w:lineRule="auto"/>
              <w:rPr>
                <w:rFonts w:ascii="Book Antiqua" w:hAnsi="Book Antiqua"/>
                <w:sz w:val="15"/>
                <w:szCs w:val="15"/>
              </w:rPr>
            </w:pPr>
            <w:r w:rsidRPr="00CC45AA">
              <w:rPr>
                <w:rFonts w:ascii="Book Antiqua" w:hAnsi="Book Antiqua"/>
                <w:sz w:val="15"/>
                <w:szCs w:val="15"/>
              </w:rPr>
              <w:t>Shows that digital technology is driving down financial intermediation costs.</w:t>
            </w:r>
          </w:p>
        </w:tc>
        <w:tc>
          <w:tcPr>
            <w:tcW w:w="2561" w:type="dxa"/>
            <w:shd w:val="clear" w:color="auto" w:fill="FFFFFF"/>
            <w:tcMar>
              <w:top w:w="100" w:type="dxa"/>
              <w:left w:w="120" w:type="dxa"/>
              <w:bottom w:w="100" w:type="dxa"/>
              <w:right w:w="120" w:type="dxa"/>
            </w:tcMar>
          </w:tcPr>
          <w:p w14:paraId="63BC8B51" w14:textId="6F31C502" w:rsidR="00A071CB" w:rsidRPr="00CC45AA" w:rsidRDefault="002C4C57" w:rsidP="004005B1">
            <w:pPr>
              <w:spacing w:after="0" w:line="240" w:lineRule="auto"/>
              <w:rPr>
                <w:rFonts w:ascii="Book Antiqua" w:hAnsi="Book Antiqua"/>
                <w:sz w:val="15"/>
                <w:szCs w:val="15"/>
              </w:rPr>
            </w:pPr>
            <w:r w:rsidRPr="00CC45AA">
              <w:rPr>
                <w:rFonts w:ascii="Book Antiqua" w:hAnsi="Book Antiqua"/>
                <w:sz w:val="15"/>
                <w:szCs w:val="15"/>
              </w:rPr>
              <w:t>Evaluates whether regional fintech innovations lower end-user costs.</w:t>
            </w:r>
          </w:p>
        </w:tc>
      </w:tr>
      <w:tr w:rsidR="00A071CB" w:rsidRPr="00CC45AA" w14:paraId="723EA445" w14:textId="77777777" w:rsidTr="00B966A2">
        <w:tc>
          <w:tcPr>
            <w:tcW w:w="562" w:type="dxa"/>
            <w:shd w:val="clear" w:color="auto" w:fill="F9FBFD"/>
            <w:tcMar>
              <w:top w:w="100" w:type="dxa"/>
              <w:left w:w="120" w:type="dxa"/>
              <w:bottom w:w="100" w:type="dxa"/>
              <w:right w:w="120" w:type="dxa"/>
            </w:tcMar>
          </w:tcPr>
          <w:p w14:paraId="1C9BF46C" w14:textId="77777777"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39</w:t>
            </w:r>
          </w:p>
          <w:p w14:paraId="6380E905" w14:textId="77777777" w:rsidR="00AF5B61" w:rsidRPr="00CC45AA" w:rsidRDefault="00AF5B61" w:rsidP="004005B1">
            <w:pPr>
              <w:spacing w:after="0" w:line="240" w:lineRule="auto"/>
              <w:jc w:val="center"/>
              <w:rPr>
                <w:rFonts w:ascii="Book Antiqua" w:hAnsi="Book Antiqua"/>
                <w:bCs/>
                <w:color w:val="auto"/>
                <w:sz w:val="15"/>
                <w:szCs w:val="15"/>
              </w:rPr>
            </w:pPr>
          </w:p>
          <w:p w14:paraId="1AE83817" w14:textId="77777777" w:rsidR="00AF5B61" w:rsidRPr="00CC45AA" w:rsidRDefault="00AF5B61" w:rsidP="004005B1">
            <w:pPr>
              <w:spacing w:after="0" w:line="240" w:lineRule="auto"/>
              <w:jc w:val="center"/>
              <w:rPr>
                <w:rFonts w:ascii="Book Antiqua" w:hAnsi="Book Antiqua"/>
                <w:bCs/>
                <w:color w:val="auto"/>
                <w:sz w:val="15"/>
                <w:szCs w:val="15"/>
              </w:rPr>
            </w:pPr>
          </w:p>
          <w:p w14:paraId="5F94CC0C" w14:textId="3B5FEABE" w:rsidR="00AF5B61" w:rsidRPr="00CC45AA" w:rsidRDefault="00AF5B61" w:rsidP="004005B1">
            <w:pPr>
              <w:spacing w:after="0" w:line="240" w:lineRule="auto"/>
              <w:jc w:val="center"/>
              <w:rPr>
                <w:rFonts w:ascii="Book Antiqua" w:hAnsi="Book Antiqua"/>
                <w:bCs/>
                <w:color w:val="auto"/>
                <w:sz w:val="15"/>
                <w:szCs w:val="15"/>
              </w:rPr>
            </w:pPr>
          </w:p>
        </w:tc>
        <w:tc>
          <w:tcPr>
            <w:tcW w:w="3544" w:type="dxa"/>
            <w:shd w:val="clear" w:color="auto" w:fill="F9FBFD"/>
            <w:tcMar>
              <w:top w:w="100" w:type="dxa"/>
              <w:left w:w="120" w:type="dxa"/>
              <w:bottom w:w="100" w:type="dxa"/>
              <w:right w:w="120" w:type="dxa"/>
            </w:tcMar>
          </w:tcPr>
          <w:p w14:paraId="6A64C44B" w14:textId="4843077B" w:rsidR="00A071CB" w:rsidRPr="00CC45AA" w:rsidRDefault="00E34DBC" w:rsidP="004005B1">
            <w:pPr>
              <w:spacing w:after="0" w:line="240" w:lineRule="auto"/>
              <w:rPr>
                <w:rFonts w:ascii="Book Antiqua" w:hAnsi="Book Antiqua"/>
                <w:sz w:val="15"/>
                <w:szCs w:val="15"/>
              </w:rPr>
            </w:pPr>
            <w:r w:rsidRPr="00E34DBC">
              <w:rPr>
                <w:rFonts w:ascii="Book Antiqua" w:hAnsi="Book Antiqua"/>
                <w:sz w:val="15"/>
                <w:szCs w:val="15"/>
              </w:rPr>
              <w:t>Goldstein, I., Jiang, W. and Karolyi, G.A.</w:t>
            </w:r>
            <w:r>
              <w:rPr>
                <w:rFonts w:ascii="Book Antiqua" w:hAnsi="Book Antiqua"/>
                <w:sz w:val="15"/>
                <w:szCs w:val="15"/>
              </w:rPr>
              <w:t xml:space="preserve"> (</w:t>
            </w:r>
            <w:r w:rsidR="009D5AC4">
              <w:rPr>
                <w:rFonts w:ascii="Book Antiqua" w:hAnsi="Book Antiqua"/>
                <w:sz w:val="15"/>
                <w:szCs w:val="15"/>
              </w:rPr>
              <w:t xml:space="preserve">2019) </w:t>
            </w:r>
            <w:r w:rsidR="000433E7" w:rsidRPr="00CC45AA">
              <w:rPr>
                <w:rFonts w:ascii="Book Antiqua" w:hAnsi="Book Antiqua"/>
                <w:sz w:val="15"/>
                <w:szCs w:val="15"/>
              </w:rPr>
              <w:t>'</w:t>
            </w:r>
            <w:r w:rsidRPr="00E34DBC">
              <w:rPr>
                <w:rFonts w:ascii="Book Antiqua" w:hAnsi="Book Antiqua"/>
                <w:sz w:val="15"/>
                <w:szCs w:val="15"/>
              </w:rPr>
              <w:t>To FinTech and beyond</w:t>
            </w:r>
            <w:r w:rsidR="000433E7" w:rsidRPr="00CC45AA">
              <w:rPr>
                <w:rFonts w:ascii="Book Antiqua" w:hAnsi="Book Antiqua"/>
                <w:sz w:val="15"/>
                <w:szCs w:val="15"/>
              </w:rPr>
              <w:t>'</w:t>
            </w:r>
            <w:r w:rsidR="005B2223">
              <w:rPr>
                <w:rFonts w:ascii="Book Antiqua" w:hAnsi="Book Antiqua"/>
                <w:sz w:val="15"/>
                <w:szCs w:val="15"/>
              </w:rPr>
              <w:t>,</w:t>
            </w:r>
            <w:r w:rsidRPr="00E34DBC">
              <w:rPr>
                <w:rFonts w:ascii="Book Antiqua" w:hAnsi="Book Antiqua"/>
                <w:sz w:val="15"/>
                <w:szCs w:val="15"/>
              </w:rPr>
              <w:t> </w:t>
            </w:r>
            <w:r w:rsidRPr="00E34DBC">
              <w:rPr>
                <w:rFonts w:ascii="Book Antiqua" w:hAnsi="Book Antiqua"/>
                <w:i/>
                <w:iCs/>
                <w:sz w:val="15"/>
                <w:szCs w:val="15"/>
              </w:rPr>
              <w:t>The Review of Financial Studies</w:t>
            </w:r>
            <w:r w:rsidRPr="00E34DBC">
              <w:rPr>
                <w:rFonts w:ascii="Book Antiqua" w:hAnsi="Book Antiqua"/>
                <w:sz w:val="15"/>
                <w:szCs w:val="15"/>
              </w:rPr>
              <w:t>, </w:t>
            </w:r>
            <w:r w:rsidRPr="00E34DBC">
              <w:rPr>
                <w:rFonts w:ascii="Book Antiqua" w:hAnsi="Book Antiqua"/>
                <w:i/>
                <w:iCs/>
                <w:sz w:val="15"/>
                <w:szCs w:val="15"/>
              </w:rPr>
              <w:t>32</w:t>
            </w:r>
            <w:r w:rsidRPr="00E34DBC">
              <w:rPr>
                <w:rFonts w:ascii="Book Antiqua" w:hAnsi="Book Antiqua"/>
                <w:sz w:val="15"/>
                <w:szCs w:val="15"/>
              </w:rPr>
              <w:t>(5), pp.1647-1661.</w:t>
            </w:r>
          </w:p>
        </w:tc>
        <w:tc>
          <w:tcPr>
            <w:tcW w:w="2693" w:type="dxa"/>
            <w:shd w:val="clear" w:color="auto" w:fill="F9FBFD"/>
            <w:tcMar>
              <w:top w:w="100" w:type="dxa"/>
              <w:left w:w="120" w:type="dxa"/>
              <w:bottom w:w="100" w:type="dxa"/>
              <w:right w:w="120" w:type="dxa"/>
            </w:tcMar>
          </w:tcPr>
          <w:p w14:paraId="36CB6C94" w14:textId="392F89FD"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Introduces a structured framework on how</w:t>
            </w:r>
            <w:r w:rsidR="00B16673" w:rsidRPr="00CC45AA">
              <w:rPr>
                <w:rFonts w:ascii="Book Antiqua" w:hAnsi="Book Antiqua"/>
                <w:sz w:val="15"/>
                <w:szCs w:val="15"/>
              </w:rPr>
              <w:t xml:space="preserve"> fintech</w:t>
            </w:r>
            <w:r w:rsidRPr="00CC45AA">
              <w:rPr>
                <w:rFonts w:ascii="Book Antiqua" w:hAnsi="Book Antiqua"/>
                <w:sz w:val="15"/>
                <w:szCs w:val="15"/>
              </w:rPr>
              <w:t>, big data, and machine learning disrupt core financial services.</w:t>
            </w:r>
          </w:p>
        </w:tc>
        <w:tc>
          <w:tcPr>
            <w:tcW w:w="2561" w:type="dxa"/>
            <w:shd w:val="clear" w:color="auto" w:fill="F9FBFD"/>
            <w:tcMar>
              <w:top w:w="100" w:type="dxa"/>
              <w:left w:w="120" w:type="dxa"/>
              <w:bottom w:w="100" w:type="dxa"/>
              <w:right w:w="120" w:type="dxa"/>
            </w:tcMar>
          </w:tcPr>
          <w:p w14:paraId="351142DB"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Establishes theoretical constructs on risk assessment and information asymmetric reduction in digital lending.</w:t>
            </w:r>
          </w:p>
        </w:tc>
      </w:tr>
      <w:tr w:rsidR="00A071CB" w:rsidRPr="00CC45AA" w14:paraId="3974611E" w14:textId="77777777" w:rsidTr="00B966A2">
        <w:tc>
          <w:tcPr>
            <w:tcW w:w="562" w:type="dxa"/>
            <w:shd w:val="clear" w:color="auto" w:fill="FFFFFF"/>
            <w:tcMar>
              <w:top w:w="100" w:type="dxa"/>
              <w:left w:w="120" w:type="dxa"/>
              <w:bottom w:w="100" w:type="dxa"/>
              <w:right w:w="120" w:type="dxa"/>
            </w:tcMar>
          </w:tcPr>
          <w:p w14:paraId="6830EDAA" w14:textId="73732862"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40</w:t>
            </w:r>
          </w:p>
        </w:tc>
        <w:tc>
          <w:tcPr>
            <w:tcW w:w="3544" w:type="dxa"/>
            <w:shd w:val="clear" w:color="auto" w:fill="FFFFFF"/>
            <w:tcMar>
              <w:top w:w="100" w:type="dxa"/>
              <w:left w:w="120" w:type="dxa"/>
              <w:bottom w:w="100" w:type="dxa"/>
              <w:right w:w="120" w:type="dxa"/>
            </w:tcMar>
          </w:tcPr>
          <w:p w14:paraId="381A83AD"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Thakor, A.V. (2020) 'Fintech and banking: What do we know?'</w:t>
            </w:r>
            <w:r w:rsidRPr="00CC45AA">
              <w:rPr>
                <w:rFonts w:ascii="Book Antiqua" w:hAnsi="Book Antiqua"/>
                <w:i/>
                <w:iCs/>
                <w:sz w:val="15"/>
                <w:szCs w:val="15"/>
              </w:rPr>
              <w:t>, Journal of Financial Intermediation,</w:t>
            </w:r>
            <w:r w:rsidRPr="00CC45AA">
              <w:rPr>
                <w:rFonts w:ascii="Book Antiqua" w:hAnsi="Book Antiqua"/>
                <w:sz w:val="15"/>
                <w:szCs w:val="15"/>
              </w:rPr>
              <w:t xml:space="preserve"> 41, p. 100833.</w:t>
            </w:r>
          </w:p>
        </w:tc>
        <w:tc>
          <w:tcPr>
            <w:tcW w:w="2693" w:type="dxa"/>
            <w:shd w:val="clear" w:color="auto" w:fill="FFFFFF"/>
            <w:tcMar>
              <w:top w:w="100" w:type="dxa"/>
              <w:left w:w="120" w:type="dxa"/>
              <w:bottom w:w="100" w:type="dxa"/>
              <w:right w:w="120" w:type="dxa"/>
            </w:tcMar>
          </w:tcPr>
          <w:p w14:paraId="6C3A536B" w14:textId="1AA74539" w:rsidR="00A071CB" w:rsidRPr="00CC45AA" w:rsidRDefault="00243415" w:rsidP="004005B1">
            <w:pPr>
              <w:spacing w:after="0" w:line="240" w:lineRule="auto"/>
              <w:rPr>
                <w:rFonts w:ascii="Book Antiqua" w:hAnsi="Book Antiqua"/>
                <w:sz w:val="15"/>
                <w:szCs w:val="15"/>
              </w:rPr>
            </w:pPr>
            <w:r w:rsidRPr="00CC45AA">
              <w:rPr>
                <w:rFonts w:ascii="Book Antiqua" w:hAnsi="Book Antiqua"/>
                <w:sz w:val="15"/>
                <w:szCs w:val="15"/>
              </w:rPr>
              <w:t>Details bank responses to fintech entry across credit, payment, and clearing infrastructure.</w:t>
            </w:r>
          </w:p>
        </w:tc>
        <w:tc>
          <w:tcPr>
            <w:tcW w:w="2561" w:type="dxa"/>
            <w:shd w:val="clear" w:color="auto" w:fill="FFFFFF"/>
            <w:tcMar>
              <w:top w:w="100" w:type="dxa"/>
              <w:left w:w="120" w:type="dxa"/>
              <w:bottom w:w="100" w:type="dxa"/>
              <w:right w:w="120" w:type="dxa"/>
            </w:tcMar>
          </w:tcPr>
          <w:p w14:paraId="149F2C54" w14:textId="75E84CD1" w:rsidR="00A071CB" w:rsidRPr="00CC45AA" w:rsidRDefault="00B813E8" w:rsidP="004005B1">
            <w:pPr>
              <w:spacing w:after="0" w:line="240" w:lineRule="auto"/>
              <w:rPr>
                <w:rFonts w:ascii="Book Antiqua" w:hAnsi="Book Antiqua"/>
                <w:sz w:val="15"/>
                <w:szCs w:val="15"/>
              </w:rPr>
            </w:pPr>
            <w:r w:rsidRPr="00CC45AA">
              <w:rPr>
                <w:rFonts w:ascii="Book Antiqua" w:hAnsi="Book Antiqua"/>
                <w:sz w:val="15"/>
                <w:szCs w:val="15"/>
              </w:rPr>
              <w:t>Provides a vital framework for analyzing commercial bank responses to digital disruption.</w:t>
            </w:r>
          </w:p>
        </w:tc>
      </w:tr>
      <w:tr w:rsidR="00A071CB" w:rsidRPr="00CC45AA" w14:paraId="62A5E548" w14:textId="77777777" w:rsidTr="00B966A2">
        <w:tc>
          <w:tcPr>
            <w:tcW w:w="562" w:type="dxa"/>
            <w:shd w:val="clear" w:color="auto" w:fill="F9FBFD"/>
            <w:tcMar>
              <w:top w:w="100" w:type="dxa"/>
              <w:left w:w="120" w:type="dxa"/>
              <w:bottom w:w="100" w:type="dxa"/>
              <w:right w:w="120" w:type="dxa"/>
            </w:tcMar>
          </w:tcPr>
          <w:p w14:paraId="40BE8421" w14:textId="23E13569" w:rsidR="00A071CB" w:rsidRPr="00CC45AA" w:rsidRDefault="00AF5B61" w:rsidP="004005B1">
            <w:pPr>
              <w:spacing w:after="0" w:line="240" w:lineRule="auto"/>
              <w:rPr>
                <w:rFonts w:ascii="Book Antiqua" w:hAnsi="Book Antiqua"/>
                <w:bCs/>
                <w:color w:val="auto"/>
                <w:sz w:val="15"/>
                <w:szCs w:val="15"/>
              </w:rPr>
            </w:pPr>
            <w:r w:rsidRPr="00CC45AA">
              <w:rPr>
                <w:rFonts w:ascii="Book Antiqua" w:hAnsi="Book Antiqua"/>
                <w:bCs/>
                <w:color w:val="auto"/>
                <w:sz w:val="15"/>
                <w:szCs w:val="15"/>
              </w:rPr>
              <w:t xml:space="preserve"> </w:t>
            </w:r>
            <w:r w:rsidR="00A071CB" w:rsidRPr="00CC45AA">
              <w:rPr>
                <w:rFonts w:ascii="Book Antiqua" w:hAnsi="Book Antiqua"/>
                <w:bCs/>
                <w:color w:val="auto"/>
                <w:sz w:val="15"/>
                <w:szCs w:val="15"/>
              </w:rPr>
              <w:t>4</w:t>
            </w:r>
            <w:r w:rsidRPr="00CC45AA">
              <w:rPr>
                <w:rFonts w:ascii="Book Antiqua" w:hAnsi="Book Antiqua"/>
                <w:bCs/>
                <w:color w:val="auto"/>
                <w:sz w:val="15"/>
                <w:szCs w:val="15"/>
              </w:rPr>
              <w:t>1</w:t>
            </w:r>
          </w:p>
        </w:tc>
        <w:tc>
          <w:tcPr>
            <w:tcW w:w="3544" w:type="dxa"/>
            <w:shd w:val="clear" w:color="auto" w:fill="F9FBFD"/>
            <w:tcMar>
              <w:top w:w="100" w:type="dxa"/>
              <w:left w:w="120" w:type="dxa"/>
              <w:bottom w:w="100" w:type="dxa"/>
              <w:right w:w="120" w:type="dxa"/>
            </w:tcMar>
          </w:tcPr>
          <w:p w14:paraId="67DFC3B9"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Hornuf, L., Klus, M.F., Lohwasser, T.S. and Schwienbacher, A. (2021) 'How do banks interact with fintechs?', </w:t>
            </w:r>
            <w:r w:rsidRPr="00CC45AA">
              <w:rPr>
                <w:rFonts w:ascii="Book Antiqua" w:hAnsi="Book Antiqua"/>
                <w:i/>
                <w:iCs/>
                <w:sz w:val="15"/>
                <w:szCs w:val="15"/>
              </w:rPr>
              <w:t>Small Business Economics,</w:t>
            </w:r>
            <w:r w:rsidRPr="00CC45AA">
              <w:rPr>
                <w:rFonts w:ascii="Book Antiqua" w:hAnsi="Book Antiqua"/>
                <w:sz w:val="15"/>
                <w:szCs w:val="15"/>
              </w:rPr>
              <w:t xml:space="preserve"> 57(3), pp. 1505–1526.</w:t>
            </w:r>
          </w:p>
        </w:tc>
        <w:tc>
          <w:tcPr>
            <w:tcW w:w="2693" w:type="dxa"/>
            <w:shd w:val="clear" w:color="auto" w:fill="F9FBFD"/>
            <w:tcMar>
              <w:top w:w="100" w:type="dxa"/>
              <w:left w:w="120" w:type="dxa"/>
              <w:bottom w:w="100" w:type="dxa"/>
              <w:right w:w="120" w:type="dxa"/>
            </w:tcMar>
          </w:tcPr>
          <w:p w14:paraId="0E6472F7" w14:textId="25A95F24"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Tracks the cooperative strategies (alliances, acquisitions, joint ventures) between banks and fintech.</w:t>
            </w:r>
          </w:p>
        </w:tc>
        <w:tc>
          <w:tcPr>
            <w:tcW w:w="2561" w:type="dxa"/>
            <w:shd w:val="clear" w:color="auto" w:fill="F9FBFD"/>
            <w:tcMar>
              <w:top w:w="100" w:type="dxa"/>
              <w:left w:w="120" w:type="dxa"/>
              <w:bottom w:w="100" w:type="dxa"/>
              <w:right w:w="120" w:type="dxa"/>
            </w:tcMar>
          </w:tcPr>
          <w:p w14:paraId="3E9B30A4"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Informs research on how banking institutions integrate mobile technology to defend their core deposit bases.</w:t>
            </w:r>
          </w:p>
        </w:tc>
      </w:tr>
      <w:tr w:rsidR="00A071CB" w:rsidRPr="00CC45AA" w14:paraId="5B2FF63D" w14:textId="77777777" w:rsidTr="00B966A2">
        <w:tc>
          <w:tcPr>
            <w:tcW w:w="562" w:type="dxa"/>
            <w:shd w:val="clear" w:color="auto" w:fill="FFFFFF"/>
            <w:tcMar>
              <w:top w:w="100" w:type="dxa"/>
              <w:left w:w="120" w:type="dxa"/>
              <w:bottom w:w="100" w:type="dxa"/>
              <w:right w:w="120" w:type="dxa"/>
            </w:tcMar>
          </w:tcPr>
          <w:p w14:paraId="1159F5F8" w14:textId="35FD1954"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42</w:t>
            </w:r>
          </w:p>
        </w:tc>
        <w:tc>
          <w:tcPr>
            <w:tcW w:w="3544" w:type="dxa"/>
            <w:shd w:val="clear" w:color="auto" w:fill="FFFFFF"/>
            <w:tcMar>
              <w:top w:w="100" w:type="dxa"/>
              <w:left w:w="120" w:type="dxa"/>
              <w:bottom w:w="100" w:type="dxa"/>
              <w:right w:w="120" w:type="dxa"/>
            </w:tcMar>
          </w:tcPr>
          <w:p w14:paraId="433DD368"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Haddad, C. and Hornuf, L. (2019) 'The emergence of the fintech industry', </w:t>
            </w:r>
            <w:r w:rsidRPr="00CC45AA">
              <w:rPr>
                <w:rFonts w:ascii="Book Antiqua" w:hAnsi="Book Antiqua"/>
                <w:i/>
                <w:iCs/>
                <w:sz w:val="15"/>
                <w:szCs w:val="15"/>
              </w:rPr>
              <w:t>Journal of Financial Stability,</w:t>
            </w:r>
            <w:r w:rsidRPr="00CC45AA">
              <w:rPr>
                <w:rFonts w:ascii="Book Antiqua" w:hAnsi="Book Antiqua"/>
                <w:sz w:val="15"/>
                <w:szCs w:val="15"/>
              </w:rPr>
              <w:t xml:space="preserve"> 43, pp. 101344.</w:t>
            </w:r>
          </w:p>
        </w:tc>
        <w:tc>
          <w:tcPr>
            <w:tcW w:w="2693" w:type="dxa"/>
            <w:shd w:val="clear" w:color="auto" w:fill="FFFFFF"/>
            <w:tcMar>
              <w:top w:w="100" w:type="dxa"/>
              <w:left w:w="120" w:type="dxa"/>
              <w:bottom w:w="100" w:type="dxa"/>
              <w:right w:w="120" w:type="dxa"/>
            </w:tcMar>
          </w:tcPr>
          <w:p w14:paraId="35E40BFB" w14:textId="4969C2BA" w:rsidR="00A071CB" w:rsidRPr="00CC45AA" w:rsidRDefault="00DC3930" w:rsidP="004005B1">
            <w:pPr>
              <w:spacing w:after="0" w:line="240" w:lineRule="auto"/>
              <w:rPr>
                <w:rFonts w:ascii="Book Antiqua" w:hAnsi="Book Antiqua"/>
                <w:sz w:val="15"/>
                <w:szCs w:val="15"/>
              </w:rPr>
            </w:pPr>
            <w:r w:rsidRPr="00CC45AA">
              <w:rPr>
                <w:rFonts w:ascii="Book Antiqua" w:hAnsi="Book Antiqua"/>
                <w:sz w:val="15"/>
                <w:szCs w:val="15"/>
              </w:rPr>
              <w:t>Links fintech market strength to mature venture capital markets and deep mobile penetration.</w:t>
            </w:r>
          </w:p>
        </w:tc>
        <w:tc>
          <w:tcPr>
            <w:tcW w:w="2561" w:type="dxa"/>
            <w:shd w:val="clear" w:color="auto" w:fill="FFFFFF"/>
            <w:tcMar>
              <w:top w:w="100" w:type="dxa"/>
              <w:left w:w="120" w:type="dxa"/>
              <w:bottom w:w="100" w:type="dxa"/>
              <w:right w:w="120" w:type="dxa"/>
            </w:tcMar>
          </w:tcPr>
          <w:p w14:paraId="08AC75CD" w14:textId="681930C2" w:rsidR="00A071CB" w:rsidRPr="00CC45AA" w:rsidRDefault="00521796" w:rsidP="004005B1">
            <w:pPr>
              <w:spacing w:after="0" w:line="240" w:lineRule="auto"/>
              <w:rPr>
                <w:rFonts w:ascii="Book Antiqua" w:hAnsi="Book Antiqua"/>
                <w:sz w:val="15"/>
                <w:szCs w:val="15"/>
              </w:rPr>
            </w:pPr>
            <w:r w:rsidRPr="00CC45AA">
              <w:rPr>
                <w:rFonts w:ascii="Book Antiqua" w:hAnsi="Book Antiqua"/>
                <w:sz w:val="15"/>
                <w:szCs w:val="15"/>
              </w:rPr>
              <w:t>Key to analyzing enabling conditions for emerging-market digital financial infrastructure.</w:t>
            </w:r>
          </w:p>
        </w:tc>
      </w:tr>
      <w:tr w:rsidR="00A071CB" w:rsidRPr="00CC45AA" w14:paraId="4C6F2E5E" w14:textId="77777777" w:rsidTr="00B966A2">
        <w:tc>
          <w:tcPr>
            <w:tcW w:w="562" w:type="dxa"/>
            <w:shd w:val="clear" w:color="auto" w:fill="F9FBFD"/>
            <w:tcMar>
              <w:top w:w="100" w:type="dxa"/>
              <w:left w:w="120" w:type="dxa"/>
              <w:bottom w:w="100" w:type="dxa"/>
              <w:right w:w="120" w:type="dxa"/>
            </w:tcMar>
          </w:tcPr>
          <w:p w14:paraId="5A0667E9" w14:textId="40036799"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43</w:t>
            </w:r>
          </w:p>
        </w:tc>
        <w:tc>
          <w:tcPr>
            <w:tcW w:w="3544" w:type="dxa"/>
            <w:shd w:val="clear" w:color="auto" w:fill="F9FBFD"/>
            <w:tcMar>
              <w:top w:w="100" w:type="dxa"/>
              <w:left w:w="120" w:type="dxa"/>
              <w:bottom w:w="100" w:type="dxa"/>
              <w:right w:w="120" w:type="dxa"/>
            </w:tcMar>
          </w:tcPr>
          <w:p w14:paraId="42CD491C"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Jagtiani, J. and Lemieux, C. (2018) 'Do fintech lenders penetrate areas that are underserved by traditional banks?', </w:t>
            </w:r>
            <w:r w:rsidRPr="00CC45AA">
              <w:rPr>
                <w:rFonts w:ascii="Book Antiqua" w:hAnsi="Book Antiqua"/>
                <w:i/>
                <w:iCs/>
                <w:sz w:val="15"/>
                <w:szCs w:val="15"/>
              </w:rPr>
              <w:t>Journal of Financial Intermediation,</w:t>
            </w:r>
            <w:r w:rsidRPr="00CC45AA">
              <w:rPr>
                <w:rFonts w:ascii="Book Antiqua" w:hAnsi="Book Antiqua"/>
                <w:sz w:val="15"/>
                <w:szCs w:val="15"/>
              </w:rPr>
              <w:t xml:space="preserve"> 37, pp. 2–14.</w:t>
            </w:r>
          </w:p>
        </w:tc>
        <w:tc>
          <w:tcPr>
            <w:tcW w:w="2693" w:type="dxa"/>
            <w:shd w:val="clear" w:color="auto" w:fill="F9FBFD"/>
            <w:tcMar>
              <w:top w:w="100" w:type="dxa"/>
              <w:left w:w="120" w:type="dxa"/>
              <w:bottom w:w="100" w:type="dxa"/>
              <w:right w:w="120" w:type="dxa"/>
            </w:tcMar>
          </w:tcPr>
          <w:p w14:paraId="587A8D7D"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Proves empirically that fintech algorithms expand credit access in geographically isolated and low-income local markets.</w:t>
            </w:r>
          </w:p>
        </w:tc>
        <w:tc>
          <w:tcPr>
            <w:tcW w:w="2561" w:type="dxa"/>
            <w:shd w:val="clear" w:color="auto" w:fill="F9FBFD"/>
            <w:tcMar>
              <w:top w:w="100" w:type="dxa"/>
              <w:left w:w="120" w:type="dxa"/>
              <w:bottom w:w="100" w:type="dxa"/>
              <w:right w:w="120" w:type="dxa"/>
            </w:tcMar>
          </w:tcPr>
          <w:p w14:paraId="7092D7D6"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Supports the hypothesis that digital channels naturally bypass physical brick-and-mortar banking voids.</w:t>
            </w:r>
          </w:p>
        </w:tc>
      </w:tr>
      <w:tr w:rsidR="00A071CB" w:rsidRPr="00CC45AA" w14:paraId="309EEF01" w14:textId="77777777" w:rsidTr="00B966A2">
        <w:tc>
          <w:tcPr>
            <w:tcW w:w="562" w:type="dxa"/>
            <w:shd w:val="clear" w:color="auto" w:fill="FFFFFF"/>
            <w:tcMar>
              <w:top w:w="100" w:type="dxa"/>
              <w:left w:w="120" w:type="dxa"/>
              <w:bottom w:w="100" w:type="dxa"/>
              <w:right w:w="120" w:type="dxa"/>
            </w:tcMar>
          </w:tcPr>
          <w:p w14:paraId="6052AF47" w14:textId="2912FB4D"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44</w:t>
            </w:r>
          </w:p>
        </w:tc>
        <w:tc>
          <w:tcPr>
            <w:tcW w:w="3544" w:type="dxa"/>
            <w:shd w:val="clear" w:color="auto" w:fill="FFFFFF"/>
            <w:tcMar>
              <w:top w:w="100" w:type="dxa"/>
              <w:left w:w="120" w:type="dxa"/>
              <w:bottom w:w="100" w:type="dxa"/>
              <w:right w:w="120" w:type="dxa"/>
            </w:tcMar>
          </w:tcPr>
          <w:p w14:paraId="5F1B1C8B"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Lagna, F. and Ravishankar, M.N. (2022) 'Making the world a better place with fintech', </w:t>
            </w:r>
            <w:r w:rsidRPr="00CC45AA">
              <w:rPr>
                <w:rFonts w:ascii="Book Antiqua" w:hAnsi="Book Antiqua"/>
                <w:i/>
                <w:iCs/>
                <w:sz w:val="15"/>
                <w:szCs w:val="15"/>
              </w:rPr>
              <w:t>Information Systems Journal,</w:t>
            </w:r>
            <w:r w:rsidRPr="00CC45AA">
              <w:rPr>
                <w:rFonts w:ascii="Book Antiqua" w:hAnsi="Book Antiqua"/>
                <w:sz w:val="15"/>
                <w:szCs w:val="15"/>
              </w:rPr>
              <w:t xml:space="preserve"> 32(2), pp. 287–302.</w:t>
            </w:r>
          </w:p>
        </w:tc>
        <w:tc>
          <w:tcPr>
            <w:tcW w:w="2693" w:type="dxa"/>
            <w:shd w:val="clear" w:color="auto" w:fill="FFFFFF"/>
            <w:tcMar>
              <w:top w:w="100" w:type="dxa"/>
              <w:left w:w="120" w:type="dxa"/>
              <w:bottom w:w="100" w:type="dxa"/>
              <w:right w:w="120" w:type="dxa"/>
            </w:tcMar>
          </w:tcPr>
          <w:p w14:paraId="2E22F3F6" w14:textId="018C30F0" w:rsidR="00A071CB" w:rsidRPr="00CC45AA" w:rsidRDefault="00F84AD5" w:rsidP="004005B1">
            <w:pPr>
              <w:spacing w:after="0" w:line="240" w:lineRule="auto"/>
              <w:rPr>
                <w:rFonts w:ascii="Book Antiqua" w:hAnsi="Book Antiqua"/>
                <w:sz w:val="15"/>
                <w:szCs w:val="15"/>
              </w:rPr>
            </w:pPr>
            <w:r w:rsidRPr="00CC45AA">
              <w:rPr>
                <w:rFonts w:ascii="Book Antiqua" w:hAnsi="Book Antiqua"/>
                <w:sz w:val="15"/>
                <w:szCs w:val="15"/>
              </w:rPr>
              <w:t>Outlines how socio-technical systems shape inclusive fintech pathways for relegated groups.</w:t>
            </w:r>
          </w:p>
        </w:tc>
        <w:tc>
          <w:tcPr>
            <w:tcW w:w="2561" w:type="dxa"/>
            <w:shd w:val="clear" w:color="auto" w:fill="FFFFFF"/>
            <w:tcMar>
              <w:top w:w="100" w:type="dxa"/>
              <w:left w:w="120" w:type="dxa"/>
              <w:bottom w:w="100" w:type="dxa"/>
              <w:right w:w="120" w:type="dxa"/>
            </w:tcMar>
          </w:tcPr>
          <w:p w14:paraId="0DF5FAB0" w14:textId="523D0942" w:rsidR="00A071CB" w:rsidRPr="00CC45AA" w:rsidRDefault="0073187F" w:rsidP="004005B1">
            <w:pPr>
              <w:spacing w:after="0" w:line="240" w:lineRule="auto"/>
              <w:rPr>
                <w:rFonts w:ascii="Book Antiqua" w:hAnsi="Book Antiqua"/>
                <w:sz w:val="15"/>
                <w:szCs w:val="15"/>
              </w:rPr>
            </w:pPr>
            <w:r w:rsidRPr="00CC45AA">
              <w:rPr>
                <w:rFonts w:ascii="Book Antiqua" w:hAnsi="Book Antiqua"/>
                <w:sz w:val="15"/>
                <w:szCs w:val="15"/>
              </w:rPr>
              <w:t>Frameworks the integration of social values and institutional realities into platform design.</w:t>
            </w:r>
          </w:p>
        </w:tc>
      </w:tr>
      <w:tr w:rsidR="00A071CB" w:rsidRPr="00CC45AA" w14:paraId="1C1DA42A" w14:textId="77777777" w:rsidTr="00B966A2">
        <w:tc>
          <w:tcPr>
            <w:tcW w:w="562" w:type="dxa"/>
            <w:shd w:val="clear" w:color="auto" w:fill="F9FBFD"/>
            <w:tcMar>
              <w:top w:w="100" w:type="dxa"/>
              <w:left w:w="120" w:type="dxa"/>
              <w:bottom w:w="100" w:type="dxa"/>
              <w:right w:w="120" w:type="dxa"/>
            </w:tcMar>
          </w:tcPr>
          <w:p w14:paraId="5C43D4A0" w14:textId="12A85FB8"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45</w:t>
            </w:r>
          </w:p>
        </w:tc>
        <w:tc>
          <w:tcPr>
            <w:tcW w:w="3544" w:type="dxa"/>
            <w:shd w:val="clear" w:color="auto" w:fill="F9FBFD"/>
            <w:tcMar>
              <w:top w:w="100" w:type="dxa"/>
              <w:left w:w="120" w:type="dxa"/>
              <w:bottom w:w="100" w:type="dxa"/>
              <w:right w:w="120" w:type="dxa"/>
            </w:tcMar>
          </w:tcPr>
          <w:p w14:paraId="3140E11B"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Ozili, P.K. (2020) 'Contagion, fintech, and financial inclusion'</w:t>
            </w:r>
            <w:r w:rsidRPr="00CC45AA">
              <w:rPr>
                <w:rFonts w:ascii="Book Antiqua" w:hAnsi="Book Antiqua"/>
                <w:i/>
                <w:iCs/>
                <w:sz w:val="15"/>
                <w:szCs w:val="15"/>
              </w:rPr>
              <w:t>, Journal of Economic and Administrative Sciences</w:t>
            </w:r>
            <w:r w:rsidRPr="00CC45AA">
              <w:rPr>
                <w:rFonts w:ascii="Book Antiqua" w:hAnsi="Book Antiqua"/>
                <w:sz w:val="15"/>
                <w:szCs w:val="15"/>
              </w:rPr>
              <w:t>, 36(3), pp. 281–295.</w:t>
            </w:r>
          </w:p>
        </w:tc>
        <w:tc>
          <w:tcPr>
            <w:tcW w:w="2693" w:type="dxa"/>
            <w:shd w:val="clear" w:color="auto" w:fill="F9FBFD"/>
            <w:tcMar>
              <w:top w:w="100" w:type="dxa"/>
              <w:left w:w="120" w:type="dxa"/>
              <w:bottom w:w="100" w:type="dxa"/>
              <w:right w:w="120" w:type="dxa"/>
            </w:tcMar>
          </w:tcPr>
          <w:p w14:paraId="2108A0A0" w14:textId="2C8CF096" w:rsidR="00A071CB" w:rsidRPr="00CC45AA" w:rsidRDefault="00142F1C" w:rsidP="004005B1">
            <w:pPr>
              <w:spacing w:after="0" w:line="240" w:lineRule="auto"/>
              <w:rPr>
                <w:rFonts w:ascii="Book Antiqua" w:hAnsi="Book Antiqua"/>
                <w:sz w:val="15"/>
                <w:szCs w:val="15"/>
              </w:rPr>
            </w:pPr>
            <w:r w:rsidRPr="00CC45AA">
              <w:rPr>
                <w:rFonts w:ascii="Book Antiqua" w:hAnsi="Book Antiqua"/>
                <w:sz w:val="15"/>
                <w:szCs w:val="15"/>
              </w:rPr>
              <w:t>Models shock transmission through interconnected mobile payment infrastructures.</w:t>
            </w:r>
          </w:p>
        </w:tc>
        <w:tc>
          <w:tcPr>
            <w:tcW w:w="2561" w:type="dxa"/>
            <w:shd w:val="clear" w:color="auto" w:fill="F9FBFD"/>
            <w:tcMar>
              <w:top w:w="100" w:type="dxa"/>
              <w:left w:w="120" w:type="dxa"/>
              <w:bottom w:w="100" w:type="dxa"/>
              <w:right w:w="120" w:type="dxa"/>
            </w:tcMar>
          </w:tcPr>
          <w:p w14:paraId="6306EF77" w14:textId="31B77CBB" w:rsidR="00A071CB" w:rsidRPr="00CC45AA" w:rsidRDefault="00142F1C" w:rsidP="004005B1">
            <w:pPr>
              <w:spacing w:after="0" w:line="240" w:lineRule="auto"/>
              <w:rPr>
                <w:rFonts w:ascii="Book Antiqua" w:hAnsi="Book Antiqua"/>
                <w:sz w:val="15"/>
                <w:szCs w:val="15"/>
              </w:rPr>
            </w:pPr>
            <w:r w:rsidRPr="00CC45AA">
              <w:rPr>
                <w:rFonts w:ascii="Book Antiqua" w:hAnsi="Book Antiqua"/>
                <w:sz w:val="15"/>
                <w:szCs w:val="15"/>
              </w:rPr>
              <w:t>Highlights the core trade-off between financial inclusion and system vulnerability.</w:t>
            </w:r>
          </w:p>
        </w:tc>
      </w:tr>
      <w:tr w:rsidR="00A071CB" w:rsidRPr="00CC45AA" w14:paraId="382F821A" w14:textId="77777777" w:rsidTr="00B966A2">
        <w:tc>
          <w:tcPr>
            <w:tcW w:w="562" w:type="dxa"/>
            <w:shd w:val="clear" w:color="auto" w:fill="FFFFFF"/>
            <w:tcMar>
              <w:top w:w="100" w:type="dxa"/>
              <w:left w:w="120" w:type="dxa"/>
              <w:bottom w:w="100" w:type="dxa"/>
              <w:right w:w="120" w:type="dxa"/>
            </w:tcMar>
          </w:tcPr>
          <w:p w14:paraId="382FA35E" w14:textId="4B834A10"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46</w:t>
            </w:r>
          </w:p>
        </w:tc>
        <w:tc>
          <w:tcPr>
            <w:tcW w:w="3544" w:type="dxa"/>
            <w:shd w:val="clear" w:color="auto" w:fill="FFFFFF"/>
            <w:tcMar>
              <w:top w:w="100" w:type="dxa"/>
              <w:left w:w="120" w:type="dxa"/>
              <w:bottom w:w="100" w:type="dxa"/>
              <w:right w:w="120" w:type="dxa"/>
            </w:tcMar>
          </w:tcPr>
          <w:p w14:paraId="169B2B43"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Buchak, G., Matvos, G., Piskorski, T. and Amit, S. (2018) 'Fintech, regulatory arbitrage, and the rise of shadow banks', </w:t>
            </w:r>
            <w:r w:rsidRPr="00CC45AA">
              <w:rPr>
                <w:rFonts w:ascii="Book Antiqua" w:hAnsi="Book Antiqua"/>
                <w:i/>
                <w:iCs/>
                <w:sz w:val="15"/>
                <w:szCs w:val="15"/>
              </w:rPr>
              <w:t>Journal of Financial Economics,</w:t>
            </w:r>
            <w:r w:rsidRPr="00CC45AA">
              <w:rPr>
                <w:rFonts w:ascii="Book Antiqua" w:hAnsi="Book Antiqua"/>
                <w:sz w:val="15"/>
                <w:szCs w:val="15"/>
              </w:rPr>
              <w:t xml:space="preserve"> 130(3), pp. 453–483.</w:t>
            </w:r>
          </w:p>
        </w:tc>
        <w:tc>
          <w:tcPr>
            <w:tcW w:w="2693" w:type="dxa"/>
            <w:shd w:val="clear" w:color="auto" w:fill="FFFFFF"/>
            <w:tcMar>
              <w:top w:w="100" w:type="dxa"/>
              <w:left w:w="120" w:type="dxa"/>
              <w:bottom w:w="100" w:type="dxa"/>
              <w:right w:w="120" w:type="dxa"/>
            </w:tcMar>
          </w:tcPr>
          <w:p w14:paraId="59D76236"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Separates the expansion of fintech into technological cost advantages versus regulatory arbitrage benefits.</w:t>
            </w:r>
          </w:p>
        </w:tc>
        <w:tc>
          <w:tcPr>
            <w:tcW w:w="2561" w:type="dxa"/>
            <w:shd w:val="clear" w:color="auto" w:fill="FFFFFF"/>
            <w:tcMar>
              <w:top w:w="100" w:type="dxa"/>
              <w:left w:w="120" w:type="dxa"/>
              <w:bottom w:w="100" w:type="dxa"/>
              <w:right w:w="120" w:type="dxa"/>
            </w:tcMar>
          </w:tcPr>
          <w:p w14:paraId="36DF8649"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Helps differentiate between genuine technological progress and simple evasion of banking oversight.</w:t>
            </w:r>
          </w:p>
        </w:tc>
      </w:tr>
      <w:tr w:rsidR="00A071CB" w:rsidRPr="00CC45AA" w14:paraId="2C27EC04" w14:textId="77777777" w:rsidTr="00B966A2">
        <w:tc>
          <w:tcPr>
            <w:tcW w:w="562" w:type="dxa"/>
            <w:shd w:val="clear" w:color="auto" w:fill="F9FBFD"/>
            <w:tcMar>
              <w:top w:w="100" w:type="dxa"/>
              <w:left w:w="120" w:type="dxa"/>
              <w:bottom w:w="100" w:type="dxa"/>
              <w:right w:w="120" w:type="dxa"/>
            </w:tcMar>
          </w:tcPr>
          <w:p w14:paraId="119EE249" w14:textId="772A1D23"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47</w:t>
            </w:r>
          </w:p>
        </w:tc>
        <w:tc>
          <w:tcPr>
            <w:tcW w:w="3544" w:type="dxa"/>
            <w:shd w:val="clear" w:color="auto" w:fill="F9FBFD"/>
            <w:tcMar>
              <w:top w:w="100" w:type="dxa"/>
              <w:left w:w="120" w:type="dxa"/>
              <w:bottom w:w="100" w:type="dxa"/>
              <w:right w:w="120" w:type="dxa"/>
            </w:tcMar>
          </w:tcPr>
          <w:p w14:paraId="175BBEE6"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Baber, H. (2020) 'Financial inclusion and Fintech: A systematic literature review', </w:t>
            </w:r>
            <w:r w:rsidRPr="00CC45AA">
              <w:rPr>
                <w:rFonts w:ascii="Book Antiqua" w:hAnsi="Book Antiqua"/>
                <w:i/>
                <w:iCs/>
                <w:sz w:val="15"/>
                <w:szCs w:val="15"/>
              </w:rPr>
              <w:t>Society and Business Review,</w:t>
            </w:r>
            <w:r w:rsidRPr="00CC45AA">
              <w:rPr>
                <w:rFonts w:ascii="Book Antiqua" w:hAnsi="Book Antiqua"/>
                <w:sz w:val="15"/>
                <w:szCs w:val="15"/>
              </w:rPr>
              <w:t xml:space="preserve"> 15(4), pp. 283–299.</w:t>
            </w:r>
          </w:p>
        </w:tc>
        <w:tc>
          <w:tcPr>
            <w:tcW w:w="2693" w:type="dxa"/>
            <w:shd w:val="clear" w:color="auto" w:fill="F9FBFD"/>
            <w:tcMar>
              <w:top w:w="100" w:type="dxa"/>
              <w:left w:w="120" w:type="dxa"/>
              <w:bottom w:w="100" w:type="dxa"/>
              <w:right w:w="120" w:type="dxa"/>
            </w:tcMar>
          </w:tcPr>
          <w:p w14:paraId="35B72FC2" w14:textId="6164CCFD" w:rsidR="00A071CB" w:rsidRPr="00CC45AA" w:rsidRDefault="007B1AE5" w:rsidP="004005B1">
            <w:pPr>
              <w:spacing w:after="0" w:line="240" w:lineRule="auto"/>
              <w:rPr>
                <w:rFonts w:ascii="Book Antiqua" w:hAnsi="Book Antiqua"/>
                <w:sz w:val="15"/>
                <w:szCs w:val="15"/>
              </w:rPr>
            </w:pPr>
            <w:r w:rsidRPr="00CC45AA">
              <w:rPr>
                <w:rFonts w:ascii="Book Antiqua" w:hAnsi="Book Antiqua"/>
                <w:sz w:val="15"/>
                <w:szCs w:val="15"/>
              </w:rPr>
              <w:t>Maps</w:t>
            </w:r>
            <w:r w:rsidR="0052434A" w:rsidRPr="00CC45AA">
              <w:rPr>
                <w:rFonts w:ascii="Book Antiqua" w:hAnsi="Book Antiqua"/>
                <w:sz w:val="15"/>
                <w:szCs w:val="15"/>
              </w:rPr>
              <w:t xml:space="preserve"> tech-driven inclusion while exposing the gap in long-term macroeconomic research.</w:t>
            </w:r>
          </w:p>
        </w:tc>
        <w:tc>
          <w:tcPr>
            <w:tcW w:w="2561" w:type="dxa"/>
            <w:shd w:val="clear" w:color="auto" w:fill="F9FBFD"/>
            <w:tcMar>
              <w:top w:w="100" w:type="dxa"/>
              <w:left w:w="120" w:type="dxa"/>
              <w:bottom w:w="100" w:type="dxa"/>
              <w:right w:w="120" w:type="dxa"/>
            </w:tcMar>
          </w:tcPr>
          <w:p w14:paraId="4FAFF3C7"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Useful for framing the research gaps that your dissertation seeks to bridge.</w:t>
            </w:r>
          </w:p>
        </w:tc>
      </w:tr>
      <w:tr w:rsidR="00A071CB" w:rsidRPr="00CC45AA" w14:paraId="1A0E2F5F" w14:textId="77777777" w:rsidTr="00B966A2">
        <w:tc>
          <w:tcPr>
            <w:tcW w:w="562" w:type="dxa"/>
            <w:shd w:val="clear" w:color="auto" w:fill="FFFFFF"/>
            <w:tcMar>
              <w:top w:w="100" w:type="dxa"/>
              <w:left w:w="120" w:type="dxa"/>
              <w:bottom w:w="100" w:type="dxa"/>
              <w:right w:w="120" w:type="dxa"/>
            </w:tcMar>
          </w:tcPr>
          <w:p w14:paraId="7DB0686E" w14:textId="03009DF0"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48</w:t>
            </w:r>
          </w:p>
          <w:p w14:paraId="5A0D6A7C" w14:textId="77777777" w:rsidR="00551C3E" w:rsidRPr="00CC45AA" w:rsidRDefault="00551C3E" w:rsidP="004005B1">
            <w:pPr>
              <w:spacing w:after="0" w:line="240" w:lineRule="auto"/>
              <w:jc w:val="center"/>
              <w:rPr>
                <w:rFonts w:ascii="Book Antiqua" w:hAnsi="Book Antiqua"/>
                <w:bCs/>
                <w:color w:val="auto"/>
                <w:sz w:val="15"/>
                <w:szCs w:val="15"/>
              </w:rPr>
            </w:pPr>
          </w:p>
          <w:p w14:paraId="12961D50" w14:textId="1AF46FBC" w:rsidR="00551C3E" w:rsidRPr="00CC45AA" w:rsidRDefault="00551C3E" w:rsidP="004005B1">
            <w:pPr>
              <w:spacing w:after="0" w:line="240" w:lineRule="auto"/>
              <w:rPr>
                <w:rFonts w:ascii="Book Antiqua" w:hAnsi="Book Antiqua"/>
                <w:bCs/>
                <w:color w:val="auto"/>
                <w:sz w:val="15"/>
                <w:szCs w:val="15"/>
              </w:rPr>
            </w:pPr>
          </w:p>
        </w:tc>
        <w:tc>
          <w:tcPr>
            <w:tcW w:w="3544" w:type="dxa"/>
            <w:shd w:val="clear" w:color="auto" w:fill="FFFFFF"/>
            <w:tcMar>
              <w:top w:w="100" w:type="dxa"/>
              <w:left w:w="120" w:type="dxa"/>
              <w:bottom w:w="100" w:type="dxa"/>
              <w:right w:w="120" w:type="dxa"/>
            </w:tcMar>
          </w:tcPr>
          <w:p w14:paraId="23EF40F5" w14:textId="75745A84" w:rsidR="00A071CB" w:rsidRPr="00CC45AA" w:rsidRDefault="000433E7" w:rsidP="004005B1">
            <w:pPr>
              <w:spacing w:after="0" w:line="240" w:lineRule="auto"/>
              <w:rPr>
                <w:rFonts w:ascii="Book Antiqua" w:hAnsi="Book Antiqua"/>
                <w:sz w:val="15"/>
                <w:szCs w:val="15"/>
              </w:rPr>
            </w:pPr>
            <w:r w:rsidRPr="000433E7">
              <w:rPr>
                <w:rFonts w:ascii="Book Antiqua" w:hAnsi="Book Antiqua"/>
                <w:sz w:val="15"/>
                <w:szCs w:val="15"/>
              </w:rPr>
              <w:t xml:space="preserve">Tang, H. (2019) ‘Peer-to-Peer Lenders Versus Banks: Substitutes or Complements?’, </w:t>
            </w:r>
            <w:r w:rsidRPr="000433E7">
              <w:rPr>
                <w:rFonts w:ascii="Book Antiqua" w:hAnsi="Book Antiqua"/>
                <w:i/>
                <w:iCs/>
                <w:sz w:val="15"/>
                <w:szCs w:val="15"/>
              </w:rPr>
              <w:t>Review of Financial Studies</w:t>
            </w:r>
            <w:r w:rsidRPr="000433E7">
              <w:rPr>
                <w:rFonts w:ascii="Book Antiqua" w:hAnsi="Book Antiqua"/>
                <w:sz w:val="15"/>
                <w:szCs w:val="15"/>
              </w:rPr>
              <w:t>, 32(5), pp.1900–1938.</w:t>
            </w:r>
          </w:p>
        </w:tc>
        <w:tc>
          <w:tcPr>
            <w:tcW w:w="2693" w:type="dxa"/>
            <w:shd w:val="clear" w:color="auto" w:fill="FFFFFF"/>
            <w:tcMar>
              <w:top w:w="100" w:type="dxa"/>
              <w:left w:w="120" w:type="dxa"/>
              <w:bottom w:w="100" w:type="dxa"/>
              <w:right w:w="120" w:type="dxa"/>
            </w:tcMar>
          </w:tcPr>
          <w:p w14:paraId="2C9BC801" w14:textId="641BA924" w:rsidR="00A071CB" w:rsidRPr="00CC45AA" w:rsidRDefault="0089698E" w:rsidP="004005B1">
            <w:pPr>
              <w:spacing w:after="0" w:line="240" w:lineRule="auto"/>
              <w:rPr>
                <w:rFonts w:ascii="Book Antiqua" w:hAnsi="Book Antiqua"/>
                <w:sz w:val="15"/>
                <w:szCs w:val="15"/>
              </w:rPr>
            </w:pPr>
            <w:r w:rsidRPr="00CC45AA">
              <w:rPr>
                <w:rFonts w:ascii="Book Antiqua" w:hAnsi="Book Antiqua"/>
                <w:sz w:val="15"/>
                <w:szCs w:val="15"/>
              </w:rPr>
              <w:t>Evaluates how alternative data lowers information asymmetries for thin-file borrowers.</w:t>
            </w:r>
          </w:p>
        </w:tc>
        <w:tc>
          <w:tcPr>
            <w:tcW w:w="2561" w:type="dxa"/>
            <w:shd w:val="clear" w:color="auto" w:fill="FFFFFF"/>
            <w:tcMar>
              <w:top w:w="100" w:type="dxa"/>
              <w:left w:w="120" w:type="dxa"/>
              <w:bottom w:w="100" w:type="dxa"/>
              <w:right w:w="120" w:type="dxa"/>
            </w:tcMar>
          </w:tcPr>
          <w:p w14:paraId="6F548F66"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Explains the underwriting logic of non-bank digital credit networks.</w:t>
            </w:r>
          </w:p>
        </w:tc>
      </w:tr>
      <w:tr w:rsidR="00A071CB" w:rsidRPr="00CC45AA" w14:paraId="0994F984" w14:textId="77777777" w:rsidTr="00B966A2">
        <w:tc>
          <w:tcPr>
            <w:tcW w:w="562" w:type="dxa"/>
            <w:shd w:val="clear" w:color="auto" w:fill="F9FBFD"/>
            <w:tcMar>
              <w:top w:w="100" w:type="dxa"/>
              <w:left w:w="120" w:type="dxa"/>
              <w:bottom w:w="100" w:type="dxa"/>
              <w:right w:w="120" w:type="dxa"/>
            </w:tcMar>
          </w:tcPr>
          <w:p w14:paraId="2D3C17F8" w14:textId="00DBCE79"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49</w:t>
            </w:r>
          </w:p>
        </w:tc>
        <w:tc>
          <w:tcPr>
            <w:tcW w:w="3544" w:type="dxa"/>
            <w:shd w:val="clear" w:color="auto" w:fill="F9FBFD"/>
            <w:tcMar>
              <w:top w:w="100" w:type="dxa"/>
              <w:left w:w="120" w:type="dxa"/>
              <w:bottom w:w="100" w:type="dxa"/>
              <w:right w:w="120" w:type="dxa"/>
            </w:tcMar>
          </w:tcPr>
          <w:p w14:paraId="7570515E"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Fuster, A., Plosser, M., Schnabl, P. and Vickery, J. (2019) 'The role of technology in mortgage lending', </w:t>
            </w:r>
            <w:r w:rsidRPr="00CC45AA">
              <w:rPr>
                <w:rFonts w:ascii="Book Antiqua" w:hAnsi="Book Antiqua"/>
                <w:i/>
                <w:iCs/>
                <w:sz w:val="15"/>
                <w:szCs w:val="15"/>
              </w:rPr>
              <w:t>Review of Financial Studies,</w:t>
            </w:r>
            <w:r w:rsidRPr="00CC45AA">
              <w:rPr>
                <w:rFonts w:ascii="Book Antiqua" w:hAnsi="Book Antiqua"/>
                <w:sz w:val="15"/>
                <w:szCs w:val="15"/>
              </w:rPr>
              <w:t xml:space="preserve"> 32(5), pp. 1854–1899.</w:t>
            </w:r>
          </w:p>
        </w:tc>
        <w:tc>
          <w:tcPr>
            <w:tcW w:w="2693" w:type="dxa"/>
            <w:shd w:val="clear" w:color="auto" w:fill="F9FBFD"/>
            <w:tcMar>
              <w:top w:w="100" w:type="dxa"/>
              <w:left w:w="120" w:type="dxa"/>
              <w:bottom w:w="100" w:type="dxa"/>
              <w:right w:w="120" w:type="dxa"/>
            </w:tcMar>
          </w:tcPr>
          <w:p w14:paraId="70EE7FE7" w14:textId="058A709F" w:rsidR="00A071CB" w:rsidRPr="00CC45AA" w:rsidRDefault="00D81FCD" w:rsidP="004005B1">
            <w:pPr>
              <w:spacing w:after="0" w:line="240" w:lineRule="auto"/>
              <w:rPr>
                <w:rFonts w:ascii="Book Antiqua" w:hAnsi="Book Antiqua"/>
                <w:sz w:val="15"/>
                <w:szCs w:val="15"/>
              </w:rPr>
            </w:pPr>
            <w:r w:rsidRPr="00D81FCD">
              <w:rPr>
                <w:rFonts w:ascii="Book Antiqua" w:hAnsi="Book Antiqua"/>
                <w:sz w:val="15"/>
                <w:szCs w:val="15"/>
              </w:rPr>
              <w:t>Finds fintech loan processing speeds outperform traditional banks during high-demand periods.</w:t>
            </w:r>
          </w:p>
        </w:tc>
        <w:tc>
          <w:tcPr>
            <w:tcW w:w="2561" w:type="dxa"/>
            <w:shd w:val="clear" w:color="auto" w:fill="F9FBFD"/>
            <w:tcMar>
              <w:top w:w="100" w:type="dxa"/>
              <w:left w:w="120" w:type="dxa"/>
              <w:bottom w:w="100" w:type="dxa"/>
              <w:right w:w="120" w:type="dxa"/>
            </w:tcMar>
          </w:tcPr>
          <w:p w14:paraId="08ADAB65"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Underpins findings regarding the operational agility of automated, cloud-based credit platforms.</w:t>
            </w:r>
          </w:p>
        </w:tc>
      </w:tr>
      <w:tr w:rsidR="00A071CB" w:rsidRPr="00CC45AA" w14:paraId="15B3AA64" w14:textId="77777777" w:rsidTr="00B966A2">
        <w:tc>
          <w:tcPr>
            <w:tcW w:w="562" w:type="dxa"/>
            <w:shd w:val="clear" w:color="auto" w:fill="FFFFFF"/>
            <w:tcMar>
              <w:top w:w="100" w:type="dxa"/>
              <w:left w:w="120" w:type="dxa"/>
              <w:bottom w:w="100" w:type="dxa"/>
              <w:right w:w="120" w:type="dxa"/>
            </w:tcMar>
          </w:tcPr>
          <w:p w14:paraId="3334FCCB" w14:textId="7647F85D" w:rsidR="00A071CB" w:rsidRPr="00CC45AA" w:rsidRDefault="00AF5B61" w:rsidP="004005B1">
            <w:pPr>
              <w:spacing w:after="0" w:line="240" w:lineRule="auto"/>
              <w:jc w:val="center"/>
              <w:rPr>
                <w:rFonts w:ascii="Book Antiqua" w:hAnsi="Book Antiqua"/>
                <w:bCs/>
                <w:color w:val="auto"/>
                <w:sz w:val="15"/>
                <w:szCs w:val="15"/>
              </w:rPr>
            </w:pPr>
            <w:r w:rsidRPr="00CC45AA">
              <w:rPr>
                <w:rFonts w:ascii="Book Antiqua" w:hAnsi="Book Antiqua"/>
                <w:bCs/>
                <w:color w:val="auto"/>
                <w:sz w:val="15"/>
                <w:szCs w:val="15"/>
              </w:rPr>
              <w:t>50</w:t>
            </w:r>
          </w:p>
        </w:tc>
        <w:tc>
          <w:tcPr>
            <w:tcW w:w="3544" w:type="dxa"/>
            <w:shd w:val="clear" w:color="auto" w:fill="FFFFFF"/>
            <w:tcMar>
              <w:top w:w="100" w:type="dxa"/>
              <w:left w:w="120" w:type="dxa"/>
              <w:bottom w:w="100" w:type="dxa"/>
              <w:right w:w="120" w:type="dxa"/>
            </w:tcMar>
          </w:tcPr>
          <w:p w14:paraId="12D2C84C"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 xml:space="preserve">de Roure, C., Pelizzon, L. and Tasca, P. (2022) 'How does P2P lending fit into the consumer credit market?', </w:t>
            </w:r>
            <w:r w:rsidRPr="00CC45AA">
              <w:rPr>
                <w:rFonts w:ascii="Book Antiqua" w:hAnsi="Book Antiqua"/>
                <w:i/>
                <w:iCs/>
                <w:sz w:val="15"/>
                <w:szCs w:val="15"/>
              </w:rPr>
              <w:t xml:space="preserve">Journal of Financial Stability, </w:t>
            </w:r>
            <w:r w:rsidRPr="00CC45AA">
              <w:rPr>
                <w:rFonts w:ascii="Book Antiqua" w:hAnsi="Book Antiqua"/>
                <w:sz w:val="15"/>
                <w:szCs w:val="15"/>
              </w:rPr>
              <w:t>58, p. 100958.</w:t>
            </w:r>
          </w:p>
        </w:tc>
        <w:tc>
          <w:tcPr>
            <w:tcW w:w="2693" w:type="dxa"/>
            <w:shd w:val="clear" w:color="auto" w:fill="FFFFFF"/>
            <w:tcMar>
              <w:top w:w="100" w:type="dxa"/>
              <w:left w:w="120" w:type="dxa"/>
              <w:bottom w:w="100" w:type="dxa"/>
              <w:right w:w="120" w:type="dxa"/>
            </w:tcMar>
          </w:tcPr>
          <w:p w14:paraId="3B5AC933" w14:textId="600AA5F3" w:rsidR="00A071CB" w:rsidRPr="00CC45AA" w:rsidRDefault="002B7453" w:rsidP="004005B1">
            <w:pPr>
              <w:spacing w:after="0" w:line="240" w:lineRule="auto"/>
              <w:rPr>
                <w:rFonts w:ascii="Book Antiqua" w:hAnsi="Book Antiqua"/>
                <w:sz w:val="15"/>
                <w:szCs w:val="15"/>
              </w:rPr>
            </w:pPr>
            <w:r w:rsidRPr="002B7453">
              <w:rPr>
                <w:rFonts w:ascii="Book Antiqua" w:hAnsi="Book Antiqua"/>
                <w:sz w:val="15"/>
                <w:szCs w:val="15"/>
              </w:rPr>
              <w:t xml:space="preserve">Finds </w:t>
            </w:r>
            <w:r w:rsidR="00990D67">
              <w:rPr>
                <w:rFonts w:ascii="Book Antiqua" w:hAnsi="Book Antiqua"/>
                <w:sz w:val="15"/>
                <w:szCs w:val="15"/>
              </w:rPr>
              <w:t xml:space="preserve">that </w:t>
            </w:r>
            <w:r w:rsidRPr="002B7453">
              <w:rPr>
                <w:rFonts w:ascii="Book Antiqua" w:hAnsi="Book Antiqua"/>
                <w:sz w:val="15"/>
                <w:szCs w:val="15"/>
              </w:rPr>
              <w:t>peer-to-peer credit targets subprime borrowers as a substitute for high-cost traditional options.</w:t>
            </w:r>
          </w:p>
        </w:tc>
        <w:tc>
          <w:tcPr>
            <w:tcW w:w="2561" w:type="dxa"/>
            <w:shd w:val="clear" w:color="auto" w:fill="FFFFFF"/>
            <w:tcMar>
              <w:top w:w="100" w:type="dxa"/>
              <w:left w:w="120" w:type="dxa"/>
              <w:bottom w:w="100" w:type="dxa"/>
              <w:right w:w="120" w:type="dxa"/>
            </w:tcMar>
          </w:tcPr>
          <w:p w14:paraId="24E58F35" w14:textId="77777777" w:rsidR="00A071CB" w:rsidRPr="00CC45AA" w:rsidRDefault="00A071CB" w:rsidP="004005B1">
            <w:pPr>
              <w:spacing w:after="0" w:line="240" w:lineRule="auto"/>
              <w:rPr>
                <w:rFonts w:ascii="Book Antiqua" w:hAnsi="Book Antiqua"/>
                <w:sz w:val="15"/>
                <w:szCs w:val="15"/>
              </w:rPr>
            </w:pPr>
            <w:r w:rsidRPr="00CC45AA">
              <w:rPr>
                <w:rFonts w:ascii="Book Antiqua" w:hAnsi="Book Antiqua"/>
                <w:sz w:val="15"/>
                <w:szCs w:val="15"/>
              </w:rPr>
              <w:t>Crucial for evaluating the credit risk profiles of unregulated digital micro-loan programs.</w:t>
            </w:r>
          </w:p>
        </w:tc>
      </w:tr>
    </w:tbl>
    <w:p w14:paraId="17418D1F" w14:textId="22C16EE0" w:rsidR="000312FB" w:rsidRPr="008263BC" w:rsidRDefault="005A0435" w:rsidP="008263BC">
      <w:pPr>
        <w:spacing w:before="240" w:after="0" w:line="240" w:lineRule="auto"/>
        <w:jc w:val="both"/>
        <w:rPr>
          <w:rFonts w:ascii="Book Antiqua" w:hAnsi="Book Antiqua"/>
          <w:b/>
          <w:color w:val="156082" w:themeColor="accent1"/>
          <w:sz w:val="16"/>
          <w:szCs w:val="16"/>
        </w:rPr>
      </w:pPr>
      <w:r w:rsidRPr="008263BC">
        <w:rPr>
          <w:rFonts w:ascii="Book Antiqua" w:hAnsi="Book Antiqua"/>
          <w:b/>
          <w:color w:val="156082" w:themeColor="accent1"/>
          <w:sz w:val="16"/>
          <w:szCs w:val="16"/>
        </w:rPr>
        <w:lastRenderedPageBreak/>
        <w:t xml:space="preserve">Stage </w:t>
      </w:r>
      <w:r w:rsidR="00890C9A" w:rsidRPr="008263BC">
        <w:rPr>
          <w:rFonts w:ascii="Book Antiqua" w:hAnsi="Book Antiqua"/>
          <w:b/>
          <w:color w:val="156082" w:themeColor="accent1"/>
          <w:sz w:val="16"/>
          <w:szCs w:val="16"/>
        </w:rPr>
        <w:t xml:space="preserve">3: </w:t>
      </w:r>
      <w:r w:rsidR="00805F7D" w:rsidRPr="008263BC">
        <w:rPr>
          <w:rFonts w:ascii="Book Antiqua" w:hAnsi="Book Antiqua"/>
          <w:b/>
          <w:color w:val="156082" w:themeColor="accent1"/>
          <w:sz w:val="16"/>
          <w:szCs w:val="16"/>
        </w:rPr>
        <w:t>Sub-Sa</w:t>
      </w:r>
      <w:r w:rsidR="00DD7F78" w:rsidRPr="008263BC">
        <w:rPr>
          <w:rFonts w:ascii="Book Antiqua" w:hAnsi="Book Antiqua"/>
          <w:b/>
          <w:color w:val="156082" w:themeColor="accent1"/>
          <w:sz w:val="16"/>
          <w:szCs w:val="16"/>
        </w:rPr>
        <w:t>h</w:t>
      </w:r>
      <w:r w:rsidR="00805F7D" w:rsidRPr="008263BC">
        <w:rPr>
          <w:rFonts w:ascii="Book Antiqua" w:hAnsi="Book Antiqua"/>
          <w:b/>
          <w:color w:val="156082" w:themeColor="accent1"/>
          <w:sz w:val="16"/>
          <w:szCs w:val="16"/>
        </w:rPr>
        <w:t>a</w:t>
      </w:r>
      <w:r w:rsidR="00B30F23" w:rsidRPr="008263BC">
        <w:rPr>
          <w:rFonts w:ascii="Book Antiqua" w:hAnsi="Book Antiqua"/>
          <w:b/>
          <w:color w:val="156082" w:themeColor="accent1"/>
          <w:sz w:val="16"/>
          <w:szCs w:val="16"/>
        </w:rPr>
        <w:t>ran Africa</w:t>
      </w:r>
    </w:p>
    <w:p w14:paraId="6C3D1AF3" w14:textId="791DE244" w:rsidR="000312FB" w:rsidRDefault="000312FB" w:rsidP="008263BC">
      <w:pPr>
        <w:spacing w:line="240" w:lineRule="auto"/>
        <w:jc w:val="both"/>
        <w:rPr>
          <w:rFonts w:ascii="Book Antiqua" w:hAnsi="Book Antiqua"/>
          <w:bCs/>
          <w:color w:val="auto"/>
          <w:sz w:val="16"/>
          <w:szCs w:val="16"/>
        </w:rPr>
      </w:pPr>
      <w:r w:rsidRPr="008263BC">
        <w:rPr>
          <w:rFonts w:ascii="Book Antiqua" w:hAnsi="Book Antiqua"/>
          <w:bCs/>
          <w:color w:val="auto"/>
          <w:sz w:val="16"/>
          <w:szCs w:val="16"/>
        </w:rPr>
        <w:t>This stage evaluates the telco-led financial revolution in Sub-Saharan Africa, examining both micro-level household welfare and macro-level impacts on savings, velocity, and credit depth.</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686"/>
        <w:gridCol w:w="2551"/>
        <w:gridCol w:w="2561"/>
      </w:tblGrid>
      <w:tr w:rsidR="003E660B" w:rsidRPr="008B3127" w14:paraId="5339112C" w14:textId="77777777" w:rsidTr="003676BA">
        <w:tc>
          <w:tcPr>
            <w:tcW w:w="562" w:type="dxa"/>
            <w:shd w:val="clear" w:color="auto" w:fill="1B365D"/>
            <w:tcMar>
              <w:top w:w="140" w:type="dxa"/>
              <w:left w:w="150" w:type="dxa"/>
              <w:bottom w:w="140" w:type="dxa"/>
              <w:right w:w="150" w:type="dxa"/>
            </w:tcMar>
          </w:tcPr>
          <w:p w14:paraId="553B20CD"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b/>
                <w:color w:val="FFFFFF"/>
                <w:sz w:val="15"/>
                <w:szCs w:val="15"/>
              </w:rPr>
              <w:t>ID</w:t>
            </w:r>
          </w:p>
        </w:tc>
        <w:tc>
          <w:tcPr>
            <w:tcW w:w="3686" w:type="dxa"/>
            <w:shd w:val="clear" w:color="auto" w:fill="1B365D"/>
            <w:tcMar>
              <w:top w:w="140" w:type="dxa"/>
              <w:left w:w="150" w:type="dxa"/>
              <w:bottom w:w="140" w:type="dxa"/>
              <w:right w:w="150" w:type="dxa"/>
            </w:tcMar>
          </w:tcPr>
          <w:p w14:paraId="58664DA9"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b/>
                <w:color w:val="FFFFFF"/>
                <w:sz w:val="15"/>
                <w:szCs w:val="15"/>
              </w:rPr>
              <w:t>Journal Reference</w:t>
            </w:r>
          </w:p>
        </w:tc>
        <w:tc>
          <w:tcPr>
            <w:tcW w:w="2551" w:type="dxa"/>
            <w:shd w:val="clear" w:color="auto" w:fill="1B365D"/>
            <w:tcMar>
              <w:top w:w="140" w:type="dxa"/>
              <w:left w:w="150" w:type="dxa"/>
              <w:bottom w:w="140" w:type="dxa"/>
              <w:right w:w="150" w:type="dxa"/>
            </w:tcMar>
          </w:tcPr>
          <w:p w14:paraId="67BE2987"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b/>
                <w:color w:val="FFFFFF"/>
                <w:sz w:val="15"/>
                <w:szCs w:val="15"/>
              </w:rPr>
              <w:t>Key Findings</w:t>
            </w:r>
          </w:p>
        </w:tc>
        <w:tc>
          <w:tcPr>
            <w:tcW w:w="2561" w:type="dxa"/>
            <w:shd w:val="clear" w:color="auto" w:fill="1B365D"/>
            <w:tcMar>
              <w:top w:w="140" w:type="dxa"/>
              <w:left w:w="150" w:type="dxa"/>
              <w:bottom w:w="140" w:type="dxa"/>
              <w:right w:w="150" w:type="dxa"/>
            </w:tcMar>
          </w:tcPr>
          <w:p w14:paraId="054C17C8"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b/>
                <w:color w:val="FFFFFF"/>
                <w:sz w:val="15"/>
                <w:szCs w:val="15"/>
              </w:rPr>
              <w:t>Analytical Usefulness</w:t>
            </w:r>
          </w:p>
        </w:tc>
      </w:tr>
      <w:tr w:rsidR="003E660B" w:rsidRPr="008B3127" w14:paraId="2B0D4CB0" w14:textId="77777777" w:rsidTr="003676BA">
        <w:trPr>
          <w:trHeight w:val="529"/>
        </w:trPr>
        <w:tc>
          <w:tcPr>
            <w:tcW w:w="562" w:type="dxa"/>
            <w:shd w:val="clear" w:color="auto" w:fill="FFFFFF"/>
            <w:tcMar>
              <w:top w:w="100" w:type="dxa"/>
              <w:left w:w="120" w:type="dxa"/>
              <w:bottom w:w="100" w:type="dxa"/>
              <w:right w:w="120" w:type="dxa"/>
            </w:tcMar>
          </w:tcPr>
          <w:p w14:paraId="4F54A3B1" w14:textId="35486613" w:rsidR="003E660B" w:rsidRPr="001A3546" w:rsidRDefault="00AF5B61"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51</w:t>
            </w:r>
          </w:p>
        </w:tc>
        <w:tc>
          <w:tcPr>
            <w:tcW w:w="3686" w:type="dxa"/>
            <w:shd w:val="clear" w:color="auto" w:fill="FFFFFF"/>
            <w:tcMar>
              <w:top w:w="100" w:type="dxa"/>
              <w:left w:w="120" w:type="dxa"/>
              <w:bottom w:w="100" w:type="dxa"/>
              <w:right w:w="120" w:type="dxa"/>
            </w:tcMar>
          </w:tcPr>
          <w:p w14:paraId="7D18ADEA"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Beck, T., Senbet, L. and Simbanegavi, W. (2015) 'Financial inclusion and innovation in Africa: An overview', </w:t>
            </w:r>
            <w:r w:rsidRPr="001A3546">
              <w:rPr>
                <w:rFonts w:ascii="Book Antiqua" w:hAnsi="Book Antiqua"/>
                <w:i/>
                <w:iCs/>
                <w:sz w:val="15"/>
                <w:szCs w:val="15"/>
              </w:rPr>
              <w:t>Journal of African Economies,</w:t>
            </w:r>
            <w:r w:rsidRPr="001A3546">
              <w:rPr>
                <w:rFonts w:ascii="Book Antiqua" w:hAnsi="Book Antiqua"/>
                <w:sz w:val="15"/>
                <w:szCs w:val="15"/>
              </w:rPr>
              <w:t xml:space="preserve"> 24(suppl_1), pp. i3–i11.</w:t>
            </w:r>
          </w:p>
        </w:tc>
        <w:tc>
          <w:tcPr>
            <w:tcW w:w="2551" w:type="dxa"/>
            <w:shd w:val="clear" w:color="auto" w:fill="FFFFFF"/>
            <w:tcMar>
              <w:top w:w="100" w:type="dxa"/>
              <w:left w:w="120" w:type="dxa"/>
              <w:bottom w:w="100" w:type="dxa"/>
              <w:right w:w="120" w:type="dxa"/>
            </w:tcMar>
          </w:tcPr>
          <w:p w14:paraId="36D4EA70"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Overviews how digital financial innovation bypasses historical constraints to scale African financial inclusion.</w:t>
            </w:r>
          </w:p>
        </w:tc>
        <w:tc>
          <w:tcPr>
            <w:tcW w:w="2561" w:type="dxa"/>
            <w:shd w:val="clear" w:color="auto" w:fill="FFFFFF"/>
            <w:tcMar>
              <w:top w:w="100" w:type="dxa"/>
              <w:left w:w="120" w:type="dxa"/>
              <w:bottom w:w="100" w:type="dxa"/>
              <w:right w:w="120" w:type="dxa"/>
            </w:tcMar>
          </w:tcPr>
          <w:p w14:paraId="21328B0E" w14:textId="0926E9D5" w:rsidR="003E660B" w:rsidRPr="001A3546" w:rsidRDefault="008B3127" w:rsidP="00CC2FB9">
            <w:pPr>
              <w:spacing w:after="0" w:line="240" w:lineRule="auto"/>
              <w:rPr>
                <w:rFonts w:ascii="Book Antiqua" w:hAnsi="Book Antiqua"/>
                <w:sz w:val="15"/>
                <w:szCs w:val="15"/>
              </w:rPr>
            </w:pPr>
            <w:r w:rsidRPr="001A3546">
              <w:rPr>
                <w:rFonts w:ascii="Book Antiqua" w:hAnsi="Book Antiqua"/>
                <w:sz w:val="15"/>
                <w:szCs w:val="15"/>
              </w:rPr>
              <w:t>Analyzes</w:t>
            </w:r>
            <w:r w:rsidR="003E660B" w:rsidRPr="001A3546">
              <w:rPr>
                <w:rFonts w:ascii="Book Antiqua" w:hAnsi="Book Antiqua"/>
                <w:sz w:val="15"/>
                <w:szCs w:val="15"/>
              </w:rPr>
              <w:t xml:space="preserve"> the structural development of the Sub-Saharan African telco-led paradigm.</w:t>
            </w:r>
          </w:p>
        </w:tc>
      </w:tr>
      <w:tr w:rsidR="003E660B" w:rsidRPr="008B3127" w14:paraId="260694EA" w14:textId="77777777" w:rsidTr="003676BA">
        <w:tc>
          <w:tcPr>
            <w:tcW w:w="562" w:type="dxa"/>
            <w:shd w:val="clear" w:color="auto" w:fill="F9FBFD"/>
            <w:tcMar>
              <w:top w:w="100" w:type="dxa"/>
              <w:left w:w="120" w:type="dxa"/>
              <w:bottom w:w="100" w:type="dxa"/>
              <w:right w:w="120" w:type="dxa"/>
            </w:tcMar>
          </w:tcPr>
          <w:p w14:paraId="3843C30C" w14:textId="164D2D33" w:rsidR="003E660B" w:rsidRPr="001A3546" w:rsidRDefault="00AF5B61"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52</w:t>
            </w:r>
          </w:p>
        </w:tc>
        <w:tc>
          <w:tcPr>
            <w:tcW w:w="3686" w:type="dxa"/>
            <w:shd w:val="clear" w:color="auto" w:fill="F9FBFD"/>
            <w:tcMar>
              <w:top w:w="100" w:type="dxa"/>
              <w:left w:w="120" w:type="dxa"/>
              <w:bottom w:w="100" w:type="dxa"/>
              <w:right w:w="120" w:type="dxa"/>
            </w:tcMar>
          </w:tcPr>
          <w:p w14:paraId="1A9E654D"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Jack, W. and Suri, T. (2014) 'Risk sharing and transactions costs: evidence from Kenya's mobile money revolution', </w:t>
            </w:r>
            <w:r w:rsidRPr="001A3546">
              <w:rPr>
                <w:rFonts w:ascii="Book Antiqua" w:hAnsi="Book Antiqua"/>
                <w:i/>
                <w:iCs/>
                <w:sz w:val="15"/>
                <w:szCs w:val="15"/>
              </w:rPr>
              <w:t>American Economic Review,</w:t>
            </w:r>
            <w:r w:rsidRPr="001A3546">
              <w:rPr>
                <w:rFonts w:ascii="Book Antiqua" w:hAnsi="Book Antiqua"/>
                <w:sz w:val="15"/>
                <w:szCs w:val="15"/>
              </w:rPr>
              <w:t xml:space="preserve"> 104(1), pp. 183–223.</w:t>
            </w:r>
          </w:p>
        </w:tc>
        <w:tc>
          <w:tcPr>
            <w:tcW w:w="2551" w:type="dxa"/>
            <w:shd w:val="clear" w:color="auto" w:fill="F9FBFD"/>
            <w:tcMar>
              <w:top w:w="100" w:type="dxa"/>
              <w:left w:w="120" w:type="dxa"/>
              <w:bottom w:w="100" w:type="dxa"/>
              <w:right w:w="120" w:type="dxa"/>
            </w:tcMar>
          </w:tcPr>
          <w:p w14:paraId="49A0E874"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Demonstrates empirically that M-Pesa access enhances Kenyan household financial resilience against negative welfare shocks.</w:t>
            </w:r>
          </w:p>
        </w:tc>
        <w:tc>
          <w:tcPr>
            <w:tcW w:w="2561" w:type="dxa"/>
            <w:shd w:val="clear" w:color="auto" w:fill="F9FBFD"/>
            <w:tcMar>
              <w:top w:w="100" w:type="dxa"/>
              <w:left w:w="120" w:type="dxa"/>
              <w:bottom w:w="100" w:type="dxa"/>
              <w:right w:w="120" w:type="dxa"/>
            </w:tcMar>
          </w:tcPr>
          <w:p w14:paraId="3D028DCC"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The primary benchmark reference for micro-level household welfare analysis in Sub-Saharan Africa.</w:t>
            </w:r>
          </w:p>
        </w:tc>
      </w:tr>
      <w:tr w:rsidR="003E660B" w:rsidRPr="008B3127" w14:paraId="3D532FFE" w14:textId="77777777" w:rsidTr="003676BA">
        <w:tc>
          <w:tcPr>
            <w:tcW w:w="562" w:type="dxa"/>
            <w:shd w:val="clear" w:color="auto" w:fill="FFFFFF"/>
            <w:tcMar>
              <w:top w:w="100" w:type="dxa"/>
              <w:left w:w="120" w:type="dxa"/>
              <w:bottom w:w="100" w:type="dxa"/>
              <w:right w:w="120" w:type="dxa"/>
            </w:tcMar>
          </w:tcPr>
          <w:p w14:paraId="658BAB9F" w14:textId="0E4077FE" w:rsidR="003E660B" w:rsidRPr="001A3546" w:rsidRDefault="00AF5B61"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53</w:t>
            </w:r>
          </w:p>
        </w:tc>
        <w:tc>
          <w:tcPr>
            <w:tcW w:w="3686" w:type="dxa"/>
            <w:shd w:val="clear" w:color="auto" w:fill="FFFFFF"/>
            <w:tcMar>
              <w:top w:w="100" w:type="dxa"/>
              <w:left w:w="120" w:type="dxa"/>
              <w:bottom w:w="100" w:type="dxa"/>
              <w:right w:w="120" w:type="dxa"/>
            </w:tcMar>
          </w:tcPr>
          <w:p w14:paraId="3A43F211"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Mawejje, J. and Lakuma, P. (2019) 'Macroeconomic effects of Mobile money: evidence from Uganda', </w:t>
            </w:r>
            <w:r w:rsidRPr="001A3546">
              <w:rPr>
                <w:rFonts w:ascii="Book Antiqua" w:hAnsi="Book Antiqua"/>
                <w:i/>
                <w:iCs/>
                <w:sz w:val="15"/>
                <w:szCs w:val="15"/>
              </w:rPr>
              <w:t>Financial Innovation,</w:t>
            </w:r>
            <w:r w:rsidRPr="001A3546">
              <w:rPr>
                <w:rFonts w:ascii="Book Antiqua" w:hAnsi="Book Antiqua"/>
                <w:sz w:val="15"/>
                <w:szCs w:val="15"/>
              </w:rPr>
              <w:t xml:space="preserve"> 5(1), pp. 1–20.</w:t>
            </w:r>
          </w:p>
        </w:tc>
        <w:tc>
          <w:tcPr>
            <w:tcW w:w="2551" w:type="dxa"/>
            <w:shd w:val="clear" w:color="auto" w:fill="FFFFFF"/>
            <w:tcMar>
              <w:top w:w="100" w:type="dxa"/>
              <w:left w:w="120" w:type="dxa"/>
              <w:bottom w:w="100" w:type="dxa"/>
              <w:right w:w="120" w:type="dxa"/>
            </w:tcMar>
          </w:tcPr>
          <w:p w14:paraId="5BAA40F4" w14:textId="3E8998BB" w:rsidR="003E660B" w:rsidRPr="001A3546" w:rsidRDefault="00C52D88" w:rsidP="00CC2FB9">
            <w:pPr>
              <w:spacing w:after="0" w:line="240" w:lineRule="auto"/>
              <w:rPr>
                <w:rFonts w:ascii="Book Antiqua" w:hAnsi="Book Antiqua"/>
                <w:sz w:val="15"/>
                <w:szCs w:val="15"/>
              </w:rPr>
            </w:pPr>
            <w:r>
              <w:rPr>
                <w:rFonts w:ascii="Book Antiqua" w:hAnsi="Book Antiqua"/>
                <w:sz w:val="15"/>
                <w:szCs w:val="15"/>
              </w:rPr>
              <w:t>E</w:t>
            </w:r>
            <w:r w:rsidRPr="00C52D88">
              <w:rPr>
                <w:rFonts w:ascii="Book Antiqua" w:hAnsi="Book Antiqua"/>
                <w:sz w:val="15"/>
                <w:szCs w:val="15"/>
              </w:rPr>
              <w:t>valuates Uganda’s mobile money growth and effects on monetary aggregates and private credit</w:t>
            </w:r>
            <w:r>
              <w:rPr>
                <w:rFonts w:ascii="Book Antiqua" w:hAnsi="Book Antiqua"/>
                <w:sz w:val="15"/>
                <w:szCs w:val="15"/>
              </w:rPr>
              <w:t>.</w:t>
            </w:r>
          </w:p>
        </w:tc>
        <w:tc>
          <w:tcPr>
            <w:tcW w:w="2561" w:type="dxa"/>
            <w:shd w:val="clear" w:color="auto" w:fill="FFFFFF"/>
            <w:tcMar>
              <w:top w:w="100" w:type="dxa"/>
              <w:left w:w="120" w:type="dxa"/>
              <w:bottom w:w="100" w:type="dxa"/>
              <w:right w:w="120" w:type="dxa"/>
            </w:tcMar>
          </w:tcPr>
          <w:p w14:paraId="2D8AB51F" w14:textId="7D8E76C6" w:rsidR="003E660B" w:rsidRPr="001A3546" w:rsidRDefault="00A94C14" w:rsidP="00CC2FB9">
            <w:pPr>
              <w:spacing w:after="0" w:line="240" w:lineRule="auto"/>
              <w:rPr>
                <w:rFonts w:ascii="Book Antiqua" w:hAnsi="Book Antiqua"/>
                <w:sz w:val="15"/>
                <w:szCs w:val="15"/>
              </w:rPr>
            </w:pPr>
            <w:r w:rsidRPr="001A3546">
              <w:rPr>
                <w:rFonts w:ascii="Book Antiqua" w:hAnsi="Book Antiqua"/>
                <w:sz w:val="15"/>
                <w:szCs w:val="15"/>
              </w:rPr>
              <w:t>Shows</w:t>
            </w:r>
            <w:r w:rsidR="003E660B" w:rsidRPr="001A3546">
              <w:rPr>
                <w:rFonts w:ascii="Book Antiqua" w:hAnsi="Book Antiqua"/>
                <w:sz w:val="15"/>
                <w:szCs w:val="15"/>
              </w:rPr>
              <w:t xml:space="preserve"> how parallel networks fail to organically catalyze macroeconomic capital deepening.</w:t>
            </w:r>
          </w:p>
        </w:tc>
      </w:tr>
      <w:tr w:rsidR="003E660B" w:rsidRPr="008B3127" w14:paraId="244B3431" w14:textId="77777777" w:rsidTr="003676BA">
        <w:tc>
          <w:tcPr>
            <w:tcW w:w="562" w:type="dxa"/>
            <w:shd w:val="clear" w:color="auto" w:fill="F9FBFD"/>
            <w:tcMar>
              <w:top w:w="100" w:type="dxa"/>
              <w:left w:w="120" w:type="dxa"/>
              <w:bottom w:w="100" w:type="dxa"/>
              <w:right w:w="120" w:type="dxa"/>
            </w:tcMar>
          </w:tcPr>
          <w:p w14:paraId="3B64F2EC" w14:textId="5614F019" w:rsidR="003E660B" w:rsidRPr="001A3546" w:rsidRDefault="00AF5B61"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54</w:t>
            </w:r>
          </w:p>
        </w:tc>
        <w:tc>
          <w:tcPr>
            <w:tcW w:w="3686" w:type="dxa"/>
            <w:shd w:val="clear" w:color="auto" w:fill="F9FBFD"/>
            <w:tcMar>
              <w:top w:w="100" w:type="dxa"/>
              <w:left w:w="120" w:type="dxa"/>
              <w:bottom w:w="100" w:type="dxa"/>
              <w:right w:w="120" w:type="dxa"/>
            </w:tcMar>
          </w:tcPr>
          <w:p w14:paraId="2AC824CC"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Ocansey, E.N.N.D., Dadzie, P. and Nambie, N.B. (2024) 'Mobile Money Use, Digital Banking Services and Velocity of Money in Ghana', </w:t>
            </w:r>
            <w:r w:rsidRPr="00FE62B6">
              <w:rPr>
                <w:rFonts w:ascii="Book Antiqua" w:hAnsi="Book Antiqua"/>
                <w:i/>
                <w:iCs/>
                <w:sz w:val="13"/>
                <w:szCs w:val="13"/>
              </w:rPr>
              <w:t>International Journal of Economics and Financial Issues,</w:t>
            </w:r>
            <w:r w:rsidRPr="00FE62B6">
              <w:rPr>
                <w:rFonts w:ascii="Book Antiqua" w:hAnsi="Book Antiqua"/>
                <w:sz w:val="13"/>
                <w:szCs w:val="13"/>
              </w:rPr>
              <w:t xml:space="preserve"> 14(2), pp. 218–233.</w:t>
            </w:r>
          </w:p>
        </w:tc>
        <w:tc>
          <w:tcPr>
            <w:tcW w:w="2551" w:type="dxa"/>
            <w:shd w:val="clear" w:color="auto" w:fill="F9FBFD"/>
            <w:tcMar>
              <w:top w:w="100" w:type="dxa"/>
              <w:left w:w="120" w:type="dxa"/>
              <w:bottom w:w="100" w:type="dxa"/>
              <w:right w:w="120" w:type="dxa"/>
            </w:tcMar>
          </w:tcPr>
          <w:p w14:paraId="5B387083" w14:textId="4D69558E" w:rsidR="003E660B" w:rsidRPr="001A3546" w:rsidRDefault="00FE62B6" w:rsidP="00CC2FB9">
            <w:pPr>
              <w:spacing w:after="0" w:line="240" w:lineRule="auto"/>
              <w:rPr>
                <w:rFonts w:ascii="Book Antiqua" w:hAnsi="Book Antiqua"/>
                <w:sz w:val="15"/>
                <w:szCs w:val="15"/>
              </w:rPr>
            </w:pPr>
            <w:r w:rsidRPr="00FE62B6">
              <w:rPr>
                <w:rFonts w:ascii="Book Antiqua" w:hAnsi="Book Antiqua"/>
                <w:sz w:val="15"/>
                <w:szCs w:val="15"/>
              </w:rPr>
              <w:t>Examines mobile transactions accelerating money velocity without generating proportional long-term bank assets.</w:t>
            </w:r>
          </w:p>
        </w:tc>
        <w:tc>
          <w:tcPr>
            <w:tcW w:w="2561" w:type="dxa"/>
            <w:shd w:val="clear" w:color="auto" w:fill="F9FBFD"/>
            <w:tcMar>
              <w:top w:w="100" w:type="dxa"/>
              <w:left w:w="120" w:type="dxa"/>
              <w:bottom w:w="100" w:type="dxa"/>
              <w:right w:w="120" w:type="dxa"/>
            </w:tcMar>
          </w:tcPr>
          <w:p w14:paraId="1F413998"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Crucial empirical evidence for analyzing transactional velocity versus structural capital creation in Ghana.</w:t>
            </w:r>
          </w:p>
        </w:tc>
      </w:tr>
      <w:tr w:rsidR="003E660B" w:rsidRPr="008B3127" w14:paraId="3137ED12" w14:textId="77777777" w:rsidTr="003676BA">
        <w:tc>
          <w:tcPr>
            <w:tcW w:w="562" w:type="dxa"/>
            <w:shd w:val="clear" w:color="auto" w:fill="FFFFFF"/>
            <w:tcMar>
              <w:top w:w="100" w:type="dxa"/>
              <w:left w:w="120" w:type="dxa"/>
              <w:bottom w:w="100" w:type="dxa"/>
              <w:right w:w="120" w:type="dxa"/>
            </w:tcMar>
          </w:tcPr>
          <w:p w14:paraId="741E0993" w14:textId="24F2ACCD"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55</w:t>
            </w:r>
          </w:p>
        </w:tc>
        <w:tc>
          <w:tcPr>
            <w:tcW w:w="3686" w:type="dxa"/>
            <w:shd w:val="clear" w:color="auto" w:fill="FFFFFF"/>
            <w:tcMar>
              <w:top w:w="100" w:type="dxa"/>
              <w:left w:w="120" w:type="dxa"/>
              <w:bottom w:w="100" w:type="dxa"/>
              <w:right w:w="120" w:type="dxa"/>
            </w:tcMar>
          </w:tcPr>
          <w:p w14:paraId="3F623B12"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Pelletier, A., Khavul, S. and Estrin, S. (2020) 'Innovations in emerging markets: the case of mobile money', </w:t>
            </w:r>
            <w:r w:rsidRPr="001A3546">
              <w:rPr>
                <w:rFonts w:ascii="Book Antiqua" w:hAnsi="Book Antiqua"/>
                <w:i/>
                <w:iCs/>
                <w:sz w:val="15"/>
                <w:szCs w:val="15"/>
              </w:rPr>
              <w:t>Industrial and Corporate Change,</w:t>
            </w:r>
            <w:r w:rsidRPr="001A3546">
              <w:rPr>
                <w:rFonts w:ascii="Book Antiqua" w:hAnsi="Book Antiqua"/>
                <w:sz w:val="15"/>
                <w:szCs w:val="15"/>
              </w:rPr>
              <w:t xml:space="preserve"> 29(2), pp. 395–421.</w:t>
            </w:r>
          </w:p>
        </w:tc>
        <w:tc>
          <w:tcPr>
            <w:tcW w:w="2551" w:type="dxa"/>
            <w:shd w:val="clear" w:color="auto" w:fill="FFFFFF"/>
            <w:tcMar>
              <w:top w:w="100" w:type="dxa"/>
              <w:left w:w="120" w:type="dxa"/>
              <w:bottom w:w="100" w:type="dxa"/>
              <w:right w:w="120" w:type="dxa"/>
            </w:tcMar>
          </w:tcPr>
          <w:p w14:paraId="36810652" w14:textId="73F8B546" w:rsidR="003E660B" w:rsidRPr="001A3546" w:rsidRDefault="001E5B9D" w:rsidP="00CC2FB9">
            <w:pPr>
              <w:spacing w:after="0" w:line="240" w:lineRule="auto"/>
              <w:rPr>
                <w:rFonts w:ascii="Book Antiqua" w:hAnsi="Book Antiqua"/>
                <w:sz w:val="15"/>
                <w:szCs w:val="15"/>
              </w:rPr>
            </w:pPr>
            <w:r w:rsidRPr="001A3546">
              <w:rPr>
                <w:rFonts w:ascii="Book Antiqua" w:hAnsi="Book Antiqua"/>
                <w:sz w:val="15"/>
                <w:szCs w:val="15"/>
              </w:rPr>
              <w:t>Analyzes the business model innovations driving mobile money platforms across emerging markets.</w:t>
            </w:r>
          </w:p>
        </w:tc>
        <w:tc>
          <w:tcPr>
            <w:tcW w:w="2561" w:type="dxa"/>
            <w:shd w:val="clear" w:color="auto" w:fill="FFFFFF"/>
            <w:tcMar>
              <w:top w:w="100" w:type="dxa"/>
              <w:left w:w="120" w:type="dxa"/>
              <w:bottom w:w="100" w:type="dxa"/>
              <w:right w:w="120" w:type="dxa"/>
            </w:tcMar>
          </w:tcPr>
          <w:p w14:paraId="0EDC3708"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Useful for understanding the operational efficiency and rapid consumer adoption of telco-led financial networks.</w:t>
            </w:r>
          </w:p>
        </w:tc>
      </w:tr>
      <w:tr w:rsidR="003E660B" w:rsidRPr="008B3127" w14:paraId="2888659A" w14:textId="77777777" w:rsidTr="003676BA">
        <w:tc>
          <w:tcPr>
            <w:tcW w:w="562" w:type="dxa"/>
            <w:shd w:val="clear" w:color="auto" w:fill="F9FBFD"/>
            <w:tcMar>
              <w:top w:w="100" w:type="dxa"/>
              <w:left w:w="120" w:type="dxa"/>
              <w:bottom w:w="100" w:type="dxa"/>
              <w:right w:w="120" w:type="dxa"/>
            </w:tcMar>
          </w:tcPr>
          <w:p w14:paraId="498EAA19" w14:textId="04E50FDF"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56</w:t>
            </w:r>
          </w:p>
        </w:tc>
        <w:tc>
          <w:tcPr>
            <w:tcW w:w="3686" w:type="dxa"/>
            <w:shd w:val="clear" w:color="auto" w:fill="F9FBFD"/>
            <w:tcMar>
              <w:top w:w="100" w:type="dxa"/>
              <w:left w:w="120" w:type="dxa"/>
              <w:bottom w:w="100" w:type="dxa"/>
              <w:right w:w="120" w:type="dxa"/>
            </w:tcMar>
          </w:tcPr>
          <w:p w14:paraId="012063C4"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Suri, T. and Jack, W. (2016) 'The long-run poverty and gender impacts of mobile money', </w:t>
            </w:r>
            <w:r w:rsidRPr="001A3546">
              <w:rPr>
                <w:rFonts w:ascii="Book Antiqua" w:hAnsi="Book Antiqua"/>
                <w:i/>
                <w:iCs/>
                <w:sz w:val="15"/>
                <w:szCs w:val="15"/>
              </w:rPr>
              <w:t>Science,</w:t>
            </w:r>
            <w:r w:rsidRPr="001A3546">
              <w:rPr>
                <w:rFonts w:ascii="Book Antiqua" w:hAnsi="Book Antiqua"/>
                <w:sz w:val="15"/>
                <w:szCs w:val="15"/>
              </w:rPr>
              <w:t xml:space="preserve"> 354(6317), pp. 1288–1292.</w:t>
            </w:r>
          </w:p>
        </w:tc>
        <w:tc>
          <w:tcPr>
            <w:tcW w:w="2551" w:type="dxa"/>
            <w:shd w:val="clear" w:color="auto" w:fill="F9FBFD"/>
            <w:tcMar>
              <w:top w:w="100" w:type="dxa"/>
              <w:left w:w="120" w:type="dxa"/>
              <w:bottom w:w="100" w:type="dxa"/>
              <w:right w:w="120" w:type="dxa"/>
            </w:tcMar>
          </w:tcPr>
          <w:p w14:paraId="52A01225" w14:textId="1F8E9EB3" w:rsidR="003E660B" w:rsidRPr="001A3546" w:rsidRDefault="009F4873" w:rsidP="00CC2FB9">
            <w:pPr>
              <w:spacing w:after="0" w:line="240" w:lineRule="auto"/>
              <w:rPr>
                <w:rFonts w:ascii="Book Antiqua" w:hAnsi="Book Antiqua"/>
                <w:sz w:val="15"/>
                <w:szCs w:val="15"/>
              </w:rPr>
            </w:pPr>
            <w:r w:rsidRPr="001A3546">
              <w:rPr>
                <w:rFonts w:ascii="Book Antiqua" w:hAnsi="Book Antiqua"/>
                <w:sz w:val="15"/>
                <w:szCs w:val="15"/>
              </w:rPr>
              <w:t>Shows that long-term mobile money access drove large-scale poverty alleviation in Kenya.</w:t>
            </w:r>
          </w:p>
        </w:tc>
        <w:tc>
          <w:tcPr>
            <w:tcW w:w="2561" w:type="dxa"/>
            <w:shd w:val="clear" w:color="auto" w:fill="F9FBFD"/>
            <w:tcMar>
              <w:top w:w="100" w:type="dxa"/>
              <w:left w:w="120" w:type="dxa"/>
              <w:bottom w:w="100" w:type="dxa"/>
              <w:right w:w="120" w:type="dxa"/>
            </w:tcMar>
          </w:tcPr>
          <w:p w14:paraId="61E4FB45" w14:textId="1847E47F" w:rsidR="003E660B" w:rsidRPr="001A3546" w:rsidRDefault="00D65D5A" w:rsidP="00CC2FB9">
            <w:pPr>
              <w:spacing w:after="0" w:line="240" w:lineRule="auto"/>
              <w:rPr>
                <w:rFonts w:ascii="Book Antiqua" w:hAnsi="Book Antiqua"/>
                <w:sz w:val="15"/>
                <w:szCs w:val="15"/>
              </w:rPr>
            </w:pPr>
            <w:r w:rsidRPr="001A3546">
              <w:rPr>
                <w:rFonts w:ascii="Book Antiqua" w:hAnsi="Book Antiqua"/>
                <w:sz w:val="15"/>
                <w:szCs w:val="15"/>
              </w:rPr>
              <w:t>Contrasts micro-level financial inclusion gains with broader macro-credit stagnation.</w:t>
            </w:r>
          </w:p>
        </w:tc>
      </w:tr>
      <w:tr w:rsidR="003E660B" w:rsidRPr="008B3127" w14:paraId="2016FBAD" w14:textId="77777777" w:rsidTr="003676BA">
        <w:tc>
          <w:tcPr>
            <w:tcW w:w="562" w:type="dxa"/>
            <w:shd w:val="clear" w:color="auto" w:fill="FFFFFF"/>
            <w:tcMar>
              <w:top w:w="100" w:type="dxa"/>
              <w:left w:w="120" w:type="dxa"/>
              <w:bottom w:w="100" w:type="dxa"/>
              <w:right w:w="120" w:type="dxa"/>
            </w:tcMar>
          </w:tcPr>
          <w:p w14:paraId="13AE8F21" w14:textId="19F765C6"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57</w:t>
            </w:r>
          </w:p>
        </w:tc>
        <w:tc>
          <w:tcPr>
            <w:tcW w:w="3686" w:type="dxa"/>
            <w:shd w:val="clear" w:color="auto" w:fill="FFFFFF"/>
            <w:tcMar>
              <w:top w:w="100" w:type="dxa"/>
              <w:left w:w="120" w:type="dxa"/>
              <w:bottom w:w="100" w:type="dxa"/>
              <w:right w:w="120" w:type="dxa"/>
            </w:tcMar>
          </w:tcPr>
          <w:p w14:paraId="2AB591B9"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Jack, W. and Suri, T. (2011) 'Mobile money: The economics of M-Pesa', </w:t>
            </w:r>
            <w:r w:rsidRPr="001A3546">
              <w:rPr>
                <w:rFonts w:ascii="Book Antiqua" w:hAnsi="Book Antiqua"/>
                <w:i/>
                <w:iCs/>
                <w:sz w:val="15"/>
                <w:szCs w:val="15"/>
              </w:rPr>
              <w:t>Journal of Economic Perspectives,</w:t>
            </w:r>
            <w:r w:rsidRPr="001A3546">
              <w:rPr>
                <w:rFonts w:ascii="Book Antiqua" w:hAnsi="Book Antiqua"/>
                <w:sz w:val="15"/>
                <w:szCs w:val="15"/>
              </w:rPr>
              <w:t xml:space="preserve"> 25(3), pp. 111–132.</w:t>
            </w:r>
          </w:p>
        </w:tc>
        <w:tc>
          <w:tcPr>
            <w:tcW w:w="2551" w:type="dxa"/>
            <w:shd w:val="clear" w:color="auto" w:fill="FFFFFF"/>
            <w:tcMar>
              <w:top w:w="100" w:type="dxa"/>
              <w:left w:w="120" w:type="dxa"/>
              <w:bottom w:w="100" w:type="dxa"/>
              <w:right w:w="120" w:type="dxa"/>
            </w:tcMar>
          </w:tcPr>
          <w:p w14:paraId="12A42A8B" w14:textId="66C8A087" w:rsidR="003E660B" w:rsidRPr="001A3546" w:rsidRDefault="00EC58D9" w:rsidP="00CC2FB9">
            <w:pPr>
              <w:spacing w:after="0" w:line="240" w:lineRule="auto"/>
              <w:rPr>
                <w:rFonts w:ascii="Book Antiqua" w:hAnsi="Book Antiqua"/>
                <w:sz w:val="15"/>
                <w:szCs w:val="15"/>
              </w:rPr>
            </w:pPr>
            <w:r w:rsidRPr="001A3546">
              <w:rPr>
                <w:rFonts w:ascii="Book Antiqua" w:hAnsi="Book Antiqua"/>
                <w:sz w:val="15"/>
                <w:szCs w:val="15"/>
              </w:rPr>
              <w:t>Outlines M-Pesa’s foundational economics in minimizing domestic transaction costs.</w:t>
            </w:r>
          </w:p>
        </w:tc>
        <w:tc>
          <w:tcPr>
            <w:tcW w:w="2561" w:type="dxa"/>
            <w:shd w:val="clear" w:color="auto" w:fill="FFFFFF"/>
            <w:tcMar>
              <w:top w:w="100" w:type="dxa"/>
              <w:left w:w="120" w:type="dxa"/>
              <w:bottom w:w="100" w:type="dxa"/>
              <w:right w:w="120" w:type="dxa"/>
            </w:tcMar>
          </w:tcPr>
          <w:p w14:paraId="3F00E326" w14:textId="32ACF177" w:rsidR="003E660B" w:rsidRPr="001A3546" w:rsidRDefault="00EC58D9" w:rsidP="00CC2FB9">
            <w:pPr>
              <w:spacing w:after="0" w:line="240" w:lineRule="auto"/>
              <w:rPr>
                <w:rFonts w:ascii="Book Antiqua" w:hAnsi="Book Antiqua"/>
                <w:sz w:val="15"/>
                <w:szCs w:val="15"/>
              </w:rPr>
            </w:pPr>
            <w:r w:rsidRPr="001A3546">
              <w:rPr>
                <w:rFonts w:ascii="Book Antiqua" w:hAnsi="Book Antiqua"/>
                <w:sz w:val="15"/>
                <w:szCs w:val="15"/>
              </w:rPr>
              <w:t>Models how mobile networks lower transaction friction in developing economies.</w:t>
            </w:r>
          </w:p>
        </w:tc>
      </w:tr>
      <w:tr w:rsidR="003E660B" w:rsidRPr="008B3127" w14:paraId="5C9A4575" w14:textId="77777777" w:rsidTr="003676BA">
        <w:tc>
          <w:tcPr>
            <w:tcW w:w="562" w:type="dxa"/>
            <w:shd w:val="clear" w:color="auto" w:fill="F9FBFD"/>
            <w:tcMar>
              <w:top w:w="100" w:type="dxa"/>
              <w:left w:w="120" w:type="dxa"/>
              <w:bottom w:w="100" w:type="dxa"/>
              <w:right w:w="120" w:type="dxa"/>
            </w:tcMar>
          </w:tcPr>
          <w:p w14:paraId="2CC1F1A4" w14:textId="5A0EEA9A"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58</w:t>
            </w:r>
          </w:p>
        </w:tc>
        <w:tc>
          <w:tcPr>
            <w:tcW w:w="3686" w:type="dxa"/>
            <w:shd w:val="clear" w:color="auto" w:fill="F9FBFD"/>
            <w:tcMar>
              <w:top w:w="100" w:type="dxa"/>
              <w:left w:w="120" w:type="dxa"/>
              <w:bottom w:w="100" w:type="dxa"/>
              <w:right w:w="120" w:type="dxa"/>
            </w:tcMar>
          </w:tcPr>
          <w:p w14:paraId="275FF998"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Aron, J. (2018) 'Mobile money and the economy: A review of the evidence', </w:t>
            </w:r>
            <w:r w:rsidRPr="001A3546">
              <w:rPr>
                <w:rFonts w:ascii="Book Antiqua" w:hAnsi="Book Antiqua"/>
                <w:i/>
                <w:iCs/>
                <w:sz w:val="15"/>
                <w:szCs w:val="15"/>
              </w:rPr>
              <w:t>World Bank Research Observer,</w:t>
            </w:r>
            <w:r w:rsidRPr="001A3546">
              <w:rPr>
                <w:rFonts w:ascii="Book Antiqua" w:hAnsi="Book Antiqua"/>
                <w:sz w:val="15"/>
                <w:szCs w:val="15"/>
              </w:rPr>
              <w:t xml:space="preserve"> 33(2), pp. 135–188.</w:t>
            </w:r>
          </w:p>
        </w:tc>
        <w:tc>
          <w:tcPr>
            <w:tcW w:w="2551" w:type="dxa"/>
            <w:shd w:val="clear" w:color="auto" w:fill="F9FBFD"/>
            <w:tcMar>
              <w:top w:w="100" w:type="dxa"/>
              <w:left w:w="120" w:type="dxa"/>
              <w:bottom w:w="100" w:type="dxa"/>
              <w:right w:w="120" w:type="dxa"/>
            </w:tcMar>
          </w:tcPr>
          <w:p w14:paraId="27F70DF8" w14:textId="3C714E61" w:rsidR="003E660B" w:rsidRPr="001A3546" w:rsidRDefault="0079530F" w:rsidP="00CC2FB9">
            <w:pPr>
              <w:spacing w:after="0" w:line="240" w:lineRule="auto"/>
              <w:rPr>
                <w:rFonts w:ascii="Book Antiqua" w:hAnsi="Book Antiqua"/>
                <w:sz w:val="15"/>
                <w:szCs w:val="15"/>
              </w:rPr>
            </w:pPr>
            <w:r w:rsidRPr="001A3546">
              <w:rPr>
                <w:rFonts w:ascii="Book Antiqua" w:hAnsi="Book Antiqua"/>
                <w:sz w:val="15"/>
                <w:szCs w:val="15"/>
              </w:rPr>
              <w:t>Synthesizes mobile money's impacts on savings behavior and monetary policy execution.</w:t>
            </w:r>
          </w:p>
        </w:tc>
        <w:tc>
          <w:tcPr>
            <w:tcW w:w="2561" w:type="dxa"/>
            <w:shd w:val="clear" w:color="auto" w:fill="F9FBFD"/>
            <w:tcMar>
              <w:top w:w="100" w:type="dxa"/>
              <w:left w:w="120" w:type="dxa"/>
              <w:bottom w:w="100" w:type="dxa"/>
              <w:right w:w="120" w:type="dxa"/>
            </w:tcMar>
          </w:tcPr>
          <w:p w14:paraId="4BDF9D16" w14:textId="7C457952" w:rsidR="003E660B" w:rsidRPr="001A3546" w:rsidRDefault="00002470" w:rsidP="00CC2FB9">
            <w:pPr>
              <w:spacing w:after="0" w:line="240" w:lineRule="auto"/>
              <w:rPr>
                <w:rFonts w:ascii="Book Antiqua" w:hAnsi="Book Antiqua"/>
                <w:sz w:val="15"/>
                <w:szCs w:val="15"/>
              </w:rPr>
            </w:pPr>
            <w:r w:rsidRPr="001A3546">
              <w:rPr>
                <w:rFonts w:ascii="Book Antiqua" w:hAnsi="Book Antiqua"/>
                <w:sz w:val="15"/>
                <w:szCs w:val="15"/>
              </w:rPr>
              <w:t xml:space="preserve">Shows digital payments </w:t>
            </w:r>
            <w:r w:rsidR="00916FDD" w:rsidRPr="001A3546">
              <w:rPr>
                <w:rFonts w:ascii="Book Antiqua" w:hAnsi="Book Antiqua"/>
                <w:sz w:val="15"/>
                <w:szCs w:val="15"/>
              </w:rPr>
              <w:t>bolster</w:t>
            </w:r>
            <w:r w:rsidRPr="001A3546">
              <w:rPr>
                <w:rFonts w:ascii="Book Antiqua" w:hAnsi="Book Antiqua"/>
                <w:sz w:val="15"/>
                <w:szCs w:val="15"/>
              </w:rPr>
              <w:t xml:space="preserve"> household resilience without capital</w:t>
            </w:r>
            <w:r w:rsidR="00916FDD" w:rsidRPr="001A3546">
              <w:rPr>
                <w:rFonts w:ascii="Book Antiqua" w:hAnsi="Book Antiqua"/>
                <w:sz w:val="15"/>
                <w:szCs w:val="15"/>
              </w:rPr>
              <w:t xml:space="preserve"> creation</w:t>
            </w:r>
            <w:r w:rsidRPr="001A3546">
              <w:rPr>
                <w:rFonts w:ascii="Book Antiqua" w:hAnsi="Book Antiqua"/>
                <w:sz w:val="15"/>
                <w:szCs w:val="15"/>
              </w:rPr>
              <w:t>.</w:t>
            </w:r>
          </w:p>
        </w:tc>
      </w:tr>
      <w:tr w:rsidR="003E660B" w:rsidRPr="008B3127" w14:paraId="24E6A9F1" w14:textId="77777777" w:rsidTr="003676BA">
        <w:tc>
          <w:tcPr>
            <w:tcW w:w="562" w:type="dxa"/>
            <w:shd w:val="clear" w:color="auto" w:fill="FFFFFF"/>
            <w:tcMar>
              <w:top w:w="100" w:type="dxa"/>
              <w:left w:w="120" w:type="dxa"/>
              <w:bottom w:w="100" w:type="dxa"/>
              <w:right w:w="120" w:type="dxa"/>
            </w:tcMar>
          </w:tcPr>
          <w:p w14:paraId="25678BFF" w14:textId="7820F640"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59</w:t>
            </w:r>
          </w:p>
        </w:tc>
        <w:tc>
          <w:tcPr>
            <w:tcW w:w="3686" w:type="dxa"/>
            <w:shd w:val="clear" w:color="auto" w:fill="FFFFFF"/>
            <w:tcMar>
              <w:top w:w="100" w:type="dxa"/>
              <w:left w:w="120" w:type="dxa"/>
              <w:bottom w:w="100" w:type="dxa"/>
              <w:right w:w="120" w:type="dxa"/>
            </w:tcMar>
          </w:tcPr>
          <w:p w14:paraId="10727E18"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Munyegera, G.K. and Matsumoto, T. (2016) 'Mobile money, remittances, and household welfare: panel evidence from rural Uganda', </w:t>
            </w:r>
            <w:r w:rsidRPr="001A3546">
              <w:rPr>
                <w:rFonts w:ascii="Book Antiqua" w:hAnsi="Book Antiqua"/>
                <w:i/>
                <w:iCs/>
                <w:sz w:val="15"/>
                <w:szCs w:val="15"/>
              </w:rPr>
              <w:t xml:space="preserve">World Development, </w:t>
            </w:r>
            <w:r w:rsidRPr="001A3546">
              <w:rPr>
                <w:rFonts w:ascii="Book Antiqua" w:hAnsi="Book Antiqua"/>
                <w:sz w:val="15"/>
                <w:szCs w:val="15"/>
              </w:rPr>
              <w:t>79, pp. 127–137.</w:t>
            </w:r>
          </w:p>
        </w:tc>
        <w:tc>
          <w:tcPr>
            <w:tcW w:w="2551" w:type="dxa"/>
            <w:shd w:val="clear" w:color="auto" w:fill="FFFFFF"/>
            <w:tcMar>
              <w:top w:w="100" w:type="dxa"/>
              <w:left w:w="120" w:type="dxa"/>
              <w:bottom w:w="100" w:type="dxa"/>
              <w:right w:w="120" w:type="dxa"/>
            </w:tcMar>
          </w:tcPr>
          <w:p w14:paraId="135C2B00" w14:textId="205589A4" w:rsidR="003E660B" w:rsidRPr="001A3546" w:rsidRDefault="001F4FB6" w:rsidP="00CC2FB9">
            <w:pPr>
              <w:spacing w:after="0" w:line="240" w:lineRule="auto"/>
              <w:rPr>
                <w:rFonts w:ascii="Book Antiqua" w:hAnsi="Book Antiqua"/>
                <w:sz w:val="15"/>
                <w:szCs w:val="15"/>
              </w:rPr>
            </w:pPr>
            <w:r w:rsidRPr="001A3546">
              <w:rPr>
                <w:rFonts w:ascii="Book Antiqua" w:hAnsi="Book Antiqua"/>
                <w:sz w:val="15"/>
                <w:szCs w:val="15"/>
              </w:rPr>
              <w:t>Finds that mobile money enhances household welfare in Uganda by lowering friction in domestic transfer networks.</w:t>
            </w:r>
          </w:p>
        </w:tc>
        <w:tc>
          <w:tcPr>
            <w:tcW w:w="2561" w:type="dxa"/>
            <w:shd w:val="clear" w:color="auto" w:fill="FFFFFF"/>
            <w:tcMar>
              <w:top w:w="100" w:type="dxa"/>
              <w:left w:w="120" w:type="dxa"/>
              <w:bottom w:w="100" w:type="dxa"/>
              <w:right w:w="120" w:type="dxa"/>
            </w:tcMar>
          </w:tcPr>
          <w:p w14:paraId="51EA4F07"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Illustrates the powerful consumption-smoothing role of mobile money across rural-urban networks.</w:t>
            </w:r>
          </w:p>
        </w:tc>
      </w:tr>
      <w:tr w:rsidR="003E660B" w:rsidRPr="008B3127" w14:paraId="025FAF0F" w14:textId="77777777" w:rsidTr="003676BA">
        <w:tc>
          <w:tcPr>
            <w:tcW w:w="562" w:type="dxa"/>
            <w:shd w:val="clear" w:color="auto" w:fill="F9FBFD"/>
            <w:tcMar>
              <w:top w:w="100" w:type="dxa"/>
              <w:left w:w="120" w:type="dxa"/>
              <w:bottom w:w="100" w:type="dxa"/>
              <w:right w:w="120" w:type="dxa"/>
            </w:tcMar>
          </w:tcPr>
          <w:p w14:paraId="401259B1" w14:textId="75FE0507"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60</w:t>
            </w:r>
          </w:p>
        </w:tc>
        <w:tc>
          <w:tcPr>
            <w:tcW w:w="3686" w:type="dxa"/>
            <w:shd w:val="clear" w:color="auto" w:fill="F9FBFD"/>
            <w:tcMar>
              <w:top w:w="100" w:type="dxa"/>
              <w:left w:w="120" w:type="dxa"/>
              <w:bottom w:w="100" w:type="dxa"/>
              <w:right w:w="120" w:type="dxa"/>
            </w:tcMar>
          </w:tcPr>
          <w:p w14:paraId="1B07BEA9"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Kikulwe, E.M., Fischer, E. and Qaim, M. (2014) 'Mobile money, transaction costs, and market participation by smallholder farmers in Kenya', </w:t>
            </w:r>
            <w:r w:rsidRPr="001A3546">
              <w:rPr>
                <w:rFonts w:ascii="Book Antiqua" w:hAnsi="Book Antiqua"/>
                <w:i/>
                <w:iCs/>
                <w:sz w:val="15"/>
                <w:szCs w:val="15"/>
              </w:rPr>
              <w:t>Journal of Development Studies,</w:t>
            </w:r>
            <w:r w:rsidRPr="001A3546">
              <w:rPr>
                <w:rFonts w:ascii="Book Antiqua" w:hAnsi="Book Antiqua"/>
                <w:sz w:val="15"/>
                <w:szCs w:val="15"/>
              </w:rPr>
              <w:t xml:space="preserve"> 50(12), pp. 1677–1697.</w:t>
            </w:r>
          </w:p>
        </w:tc>
        <w:tc>
          <w:tcPr>
            <w:tcW w:w="2551" w:type="dxa"/>
            <w:shd w:val="clear" w:color="auto" w:fill="F9FBFD"/>
            <w:tcMar>
              <w:top w:w="100" w:type="dxa"/>
              <w:left w:w="120" w:type="dxa"/>
              <w:bottom w:w="100" w:type="dxa"/>
              <w:right w:w="120" w:type="dxa"/>
            </w:tcMar>
          </w:tcPr>
          <w:p w14:paraId="132A0754"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Proves that mobile money access increases smallholder commercialization and investment in agricultural inputs.</w:t>
            </w:r>
          </w:p>
        </w:tc>
        <w:tc>
          <w:tcPr>
            <w:tcW w:w="2561" w:type="dxa"/>
            <w:shd w:val="clear" w:color="auto" w:fill="F9FBFD"/>
            <w:tcMar>
              <w:top w:w="100" w:type="dxa"/>
              <w:left w:w="120" w:type="dxa"/>
              <w:bottom w:w="100" w:type="dxa"/>
              <w:right w:w="120" w:type="dxa"/>
            </w:tcMar>
          </w:tcPr>
          <w:p w14:paraId="4E67E241"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Demonstrates the agricultural linkages of digital payments in agrarian Sub-Saharan African economies.</w:t>
            </w:r>
          </w:p>
        </w:tc>
      </w:tr>
      <w:tr w:rsidR="003E660B" w:rsidRPr="008B3127" w14:paraId="18C50CFA" w14:textId="77777777" w:rsidTr="003676BA">
        <w:tc>
          <w:tcPr>
            <w:tcW w:w="562" w:type="dxa"/>
            <w:shd w:val="clear" w:color="auto" w:fill="FFFFFF"/>
            <w:tcMar>
              <w:top w:w="100" w:type="dxa"/>
              <w:left w:w="120" w:type="dxa"/>
              <w:bottom w:w="100" w:type="dxa"/>
              <w:right w:w="120" w:type="dxa"/>
            </w:tcMar>
          </w:tcPr>
          <w:p w14:paraId="2BCB84F4" w14:textId="7028BC64"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61</w:t>
            </w:r>
          </w:p>
        </w:tc>
        <w:tc>
          <w:tcPr>
            <w:tcW w:w="3686" w:type="dxa"/>
            <w:shd w:val="clear" w:color="auto" w:fill="FFFFFF"/>
            <w:tcMar>
              <w:top w:w="100" w:type="dxa"/>
              <w:left w:w="120" w:type="dxa"/>
              <w:bottom w:w="100" w:type="dxa"/>
              <w:right w:w="120" w:type="dxa"/>
            </w:tcMar>
          </w:tcPr>
          <w:p w14:paraId="39B84874"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Ky, S., Rugemintwari, C. and Sauviat, A. (2018) 'Does mobile money affect saving behavior? Evidence from Burkina Faso', </w:t>
            </w:r>
            <w:r w:rsidRPr="001A3546">
              <w:rPr>
                <w:rFonts w:ascii="Book Antiqua" w:hAnsi="Book Antiqua"/>
                <w:i/>
                <w:iCs/>
                <w:sz w:val="15"/>
                <w:szCs w:val="15"/>
              </w:rPr>
              <w:t xml:space="preserve">World Development, </w:t>
            </w:r>
            <w:r w:rsidRPr="001A3546">
              <w:rPr>
                <w:rFonts w:ascii="Book Antiqua" w:hAnsi="Book Antiqua"/>
                <w:sz w:val="15"/>
                <w:szCs w:val="15"/>
              </w:rPr>
              <w:t>104, pp. 260–278.</w:t>
            </w:r>
          </w:p>
        </w:tc>
        <w:tc>
          <w:tcPr>
            <w:tcW w:w="2551" w:type="dxa"/>
            <w:shd w:val="clear" w:color="auto" w:fill="FFFFFF"/>
            <w:tcMar>
              <w:top w:w="100" w:type="dxa"/>
              <w:left w:w="120" w:type="dxa"/>
              <w:bottom w:w="100" w:type="dxa"/>
              <w:right w:w="120" w:type="dxa"/>
            </w:tcMar>
          </w:tcPr>
          <w:p w14:paraId="6DC06361" w14:textId="2B02C2DA" w:rsidR="003E660B" w:rsidRPr="001A3546" w:rsidRDefault="00CB1AE4" w:rsidP="00CC2FB9">
            <w:pPr>
              <w:spacing w:after="0" w:line="240" w:lineRule="auto"/>
              <w:rPr>
                <w:rFonts w:ascii="Book Antiqua" w:hAnsi="Book Antiqua"/>
                <w:sz w:val="15"/>
                <w:szCs w:val="15"/>
              </w:rPr>
            </w:pPr>
            <w:r w:rsidRPr="001A3546">
              <w:rPr>
                <w:rFonts w:ascii="Book Antiqua" w:hAnsi="Book Antiqua"/>
                <w:sz w:val="15"/>
                <w:szCs w:val="15"/>
              </w:rPr>
              <w:t>Reveals that secure, private mobile wallets boost individual savings by mitigating social pressure to share income.</w:t>
            </w:r>
          </w:p>
        </w:tc>
        <w:tc>
          <w:tcPr>
            <w:tcW w:w="2561" w:type="dxa"/>
            <w:shd w:val="clear" w:color="auto" w:fill="FFFFFF"/>
            <w:tcMar>
              <w:top w:w="100" w:type="dxa"/>
              <w:left w:w="120" w:type="dxa"/>
              <w:bottom w:w="100" w:type="dxa"/>
              <w:right w:w="120" w:type="dxa"/>
            </w:tcMar>
          </w:tcPr>
          <w:p w14:paraId="08B166E5"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Valuable for analyzing the micro-foundations of informal mobile saving structures.</w:t>
            </w:r>
          </w:p>
        </w:tc>
      </w:tr>
      <w:tr w:rsidR="003E660B" w:rsidRPr="008B3127" w14:paraId="2261F46D" w14:textId="77777777" w:rsidTr="003676BA">
        <w:tc>
          <w:tcPr>
            <w:tcW w:w="562" w:type="dxa"/>
            <w:shd w:val="clear" w:color="auto" w:fill="F9FBFD"/>
            <w:tcMar>
              <w:top w:w="100" w:type="dxa"/>
              <w:left w:w="120" w:type="dxa"/>
              <w:bottom w:w="100" w:type="dxa"/>
              <w:right w:w="120" w:type="dxa"/>
            </w:tcMar>
          </w:tcPr>
          <w:p w14:paraId="5A8F859F" w14:textId="717485D2"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62</w:t>
            </w:r>
          </w:p>
        </w:tc>
        <w:tc>
          <w:tcPr>
            <w:tcW w:w="3686" w:type="dxa"/>
            <w:shd w:val="clear" w:color="auto" w:fill="F9FBFD"/>
            <w:tcMar>
              <w:top w:w="100" w:type="dxa"/>
              <w:left w:w="120" w:type="dxa"/>
              <w:bottom w:w="100" w:type="dxa"/>
              <w:right w:w="120" w:type="dxa"/>
            </w:tcMar>
          </w:tcPr>
          <w:p w14:paraId="4F060472" w14:textId="318DA953" w:rsidR="003E660B" w:rsidRPr="001A3546" w:rsidRDefault="00BC46B7" w:rsidP="00CC2FB9">
            <w:pPr>
              <w:spacing w:after="0" w:line="240" w:lineRule="auto"/>
              <w:rPr>
                <w:rFonts w:ascii="Book Antiqua" w:hAnsi="Book Antiqua"/>
                <w:sz w:val="15"/>
                <w:szCs w:val="15"/>
              </w:rPr>
            </w:pPr>
            <w:r w:rsidRPr="00BC46B7">
              <w:rPr>
                <w:rFonts w:ascii="Book Antiqua" w:hAnsi="Book Antiqua"/>
                <w:sz w:val="15"/>
                <w:szCs w:val="15"/>
              </w:rPr>
              <w:t>Mbiti, I. and Weil, D.N.</w:t>
            </w:r>
            <w:r w:rsidR="00EA3D0B">
              <w:rPr>
                <w:rFonts w:ascii="Book Antiqua" w:hAnsi="Book Antiqua"/>
                <w:sz w:val="15"/>
                <w:szCs w:val="15"/>
              </w:rPr>
              <w:t xml:space="preserve"> (</w:t>
            </w:r>
            <w:r w:rsidRPr="00BC46B7">
              <w:rPr>
                <w:rFonts w:ascii="Book Antiqua" w:hAnsi="Book Antiqua"/>
                <w:sz w:val="15"/>
                <w:szCs w:val="15"/>
              </w:rPr>
              <w:t>2015</w:t>
            </w:r>
            <w:r w:rsidR="00EA3D0B">
              <w:rPr>
                <w:rFonts w:ascii="Book Antiqua" w:hAnsi="Book Antiqua"/>
                <w:sz w:val="15"/>
                <w:szCs w:val="15"/>
              </w:rPr>
              <w:t>)</w:t>
            </w:r>
            <w:r w:rsidRPr="00BC46B7">
              <w:rPr>
                <w:rFonts w:ascii="Book Antiqua" w:hAnsi="Book Antiqua"/>
                <w:sz w:val="15"/>
                <w:szCs w:val="15"/>
              </w:rPr>
              <w:t xml:space="preserve"> Mobile banking: The impact of M-Pesa in Kenya</w:t>
            </w:r>
            <w:r w:rsidR="0083595A" w:rsidRPr="001A3546">
              <w:rPr>
                <w:rFonts w:ascii="Book Antiqua" w:hAnsi="Book Antiqua"/>
                <w:sz w:val="15"/>
                <w:szCs w:val="15"/>
              </w:rPr>
              <w:t>'</w:t>
            </w:r>
            <w:r w:rsidR="0083595A">
              <w:rPr>
                <w:rFonts w:ascii="Book Antiqua" w:hAnsi="Book Antiqua"/>
                <w:sz w:val="15"/>
                <w:szCs w:val="15"/>
              </w:rPr>
              <w:t xml:space="preserve">, </w:t>
            </w:r>
            <w:r w:rsidRPr="00BC46B7">
              <w:rPr>
                <w:rFonts w:ascii="Book Antiqua" w:hAnsi="Book Antiqua"/>
                <w:sz w:val="15"/>
                <w:szCs w:val="15"/>
              </w:rPr>
              <w:t>In </w:t>
            </w:r>
            <w:r w:rsidRPr="00BC46B7">
              <w:rPr>
                <w:rFonts w:ascii="Book Antiqua" w:hAnsi="Book Antiqua"/>
                <w:i/>
                <w:iCs/>
                <w:sz w:val="15"/>
                <w:szCs w:val="15"/>
              </w:rPr>
              <w:t>African successes, Volume III: Modernization and development</w:t>
            </w:r>
            <w:r w:rsidRPr="00BC46B7">
              <w:rPr>
                <w:rFonts w:ascii="Book Antiqua" w:hAnsi="Book Antiqua"/>
                <w:sz w:val="15"/>
                <w:szCs w:val="15"/>
              </w:rPr>
              <w:t> (pp. 247-293). University of Chicago Press.</w:t>
            </w:r>
          </w:p>
        </w:tc>
        <w:tc>
          <w:tcPr>
            <w:tcW w:w="2551" w:type="dxa"/>
            <w:shd w:val="clear" w:color="auto" w:fill="F9FBFD"/>
            <w:tcMar>
              <w:top w:w="100" w:type="dxa"/>
              <w:left w:w="120" w:type="dxa"/>
              <w:bottom w:w="100" w:type="dxa"/>
              <w:right w:w="120" w:type="dxa"/>
            </w:tcMar>
          </w:tcPr>
          <w:p w14:paraId="34E56188" w14:textId="68020FF0" w:rsidR="003E660B" w:rsidRPr="001A3546" w:rsidRDefault="00935CCE" w:rsidP="00CC2FB9">
            <w:pPr>
              <w:spacing w:after="0" w:line="240" w:lineRule="auto"/>
              <w:rPr>
                <w:rFonts w:ascii="Book Antiqua" w:hAnsi="Book Antiqua"/>
                <w:sz w:val="15"/>
                <w:szCs w:val="15"/>
              </w:rPr>
            </w:pPr>
            <w:r w:rsidRPr="00935CCE">
              <w:rPr>
                <w:rFonts w:ascii="Book Antiqua" w:hAnsi="Book Antiqua"/>
                <w:sz w:val="15"/>
                <w:szCs w:val="15"/>
              </w:rPr>
              <w:t>Links M-Pesa integration to faster monetary velocity and reduced informal money transfers.</w:t>
            </w:r>
          </w:p>
        </w:tc>
        <w:tc>
          <w:tcPr>
            <w:tcW w:w="2561" w:type="dxa"/>
            <w:shd w:val="clear" w:color="auto" w:fill="F9FBFD"/>
            <w:tcMar>
              <w:top w:w="100" w:type="dxa"/>
              <w:left w:w="120" w:type="dxa"/>
              <w:bottom w:w="100" w:type="dxa"/>
              <w:right w:w="120" w:type="dxa"/>
            </w:tcMar>
          </w:tcPr>
          <w:p w14:paraId="5EDB6942"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Crucial for modeling how digital transactions change currency demand and cash velocity.</w:t>
            </w:r>
          </w:p>
        </w:tc>
      </w:tr>
      <w:tr w:rsidR="003E660B" w:rsidRPr="008B3127" w14:paraId="4579D782" w14:textId="77777777" w:rsidTr="003676BA">
        <w:tc>
          <w:tcPr>
            <w:tcW w:w="562" w:type="dxa"/>
            <w:shd w:val="clear" w:color="auto" w:fill="FFFFFF"/>
            <w:tcMar>
              <w:top w:w="100" w:type="dxa"/>
              <w:left w:w="120" w:type="dxa"/>
              <w:bottom w:w="100" w:type="dxa"/>
              <w:right w:w="120" w:type="dxa"/>
            </w:tcMar>
          </w:tcPr>
          <w:p w14:paraId="22EABF35" w14:textId="5F493519" w:rsidR="003E660B" w:rsidRPr="001A3546" w:rsidRDefault="002753D7"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63</w:t>
            </w:r>
          </w:p>
        </w:tc>
        <w:tc>
          <w:tcPr>
            <w:tcW w:w="3686" w:type="dxa"/>
            <w:shd w:val="clear" w:color="auto" w:fill="FFFFFF"/>
            <w:tcMar>
              <w:top w:w="100" w:type="dxa"/>
              <w:left w:w="120" w:type="dxa"/>
              <w:bottom w:w="100" w:type="dxa"/>
              <w:right w:w="120" w:type="dxa"/>
            </w:tcMar>
          </w:tcPr>
          <w:p w14:paraId="22B62448" w14:textId="38F8E0BE"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Sekabira, H. and Qaim, M. (2017) </w:t>
            </w:r>
            <w:r w:rsidR="0083595A" w:rsidRPr="001A3546">
              <w:rPr>
                <w:rFonts w:ascii="Book Antiqua" w:hAnsi="Book Antiqua"/>
                <w:sz w:val="15"/>
                <w:szCs w:val="15"/>
              </w:rPr>
              <w:t>'</w:t>
            </w:r>
            <w:r w:rsidR="008416D9" w:rsidRPr="008416D9">
              <w:rPr>
                <w:rFonts w:ascii="Book Antiqua" w:hAnsi="Book Antiqua"/>
                <w:sz w:val="15"/>
                <w:szCs w:val="15"/>
              </w:rPr>
              <w:t>Mobile money, agricultural marketing, and off</w:t>
            </w:r>
            <w:r w:rsidR="008416D9" w:rsidRPr="008416D9">
              <w:rPr>
                <w:rFonts w:ascii="Cambria Math" w:hAnsi="Cambria Math" w:cs="Cambria Math"/>
                <w:sz w:val="15"/>
                <w:szCs w:val="15"/>
              </w:rPr>
              <w:t>‐</w:t>
            </w:r>
            <w:r w:rsidR="008416D9" w:rsidRPr="008416D9">
              <w:rPr>
                <w:rFonts w:ascii="Book Antiqua" w:hAnsi="Book Antiqua"/>
                <w:sz w:val="15"/>
                <w:szCs w:val="15"/>
              </w:rPr>
              <w:t>farm income in Uganda</w:t>
            </w:r>
            <w:r w:rsidR="0083595A" w:rsidRPr="001A3546">
              <w:rPr>
                <w:rFonts w:ascii="Book Antiqua" w:hAnsi="Book Antiqua"/>
                <w:sz w:val="15"/>
                <w:szCs w:val="15"/>
              </w:rPr>
              <w:t>'</w:t>
            </w:r>
            <w:r w:rsidR="0083595A">
              <w:rPr>
                <w:rFonts w:ascii="Book Antiqua" w:hAnsi="Book Antiqua"/>
                <w:sz w:val="15"/>
                <w:szCs w:val="15"/>
              </w:rPr>
              <w:t xml:space="preserve">, </w:t>
            </w:r>
            <w:r w:rsidR="008416D9" w:rsidRPr="008416D9">
              <w:rPr>
                <w:rFonts w:ascii="Book Antiqua" w:hAnsi="Book Antiqua"/>
                <w:i/>
                <w:iCs/>
                <w:sz w:val="15"/>
                <w:szCs w:val="15"/>
              </w:rPr>
              <w:t>Agricultural Economics</w:t>
            </w:r>
            <w:r w:rsidR="008416D9" w:rsidRPr="008416D9">
              <w:rPr>
                <w:rFonts w:ascii="Book Antiqua" w:hAnsi="Book Antiqua"/>
                <w:sz w:val="15"/>
                <w:szCs w:val="15"/>
              </w:rPr>
              <w:t>, </w:t>
            </w:r>
            <w:r w:rsidR="008416D9" w:rsidRPr="008416D9">
              <w:rPr>
                <w:rFonts w:ascii="Book Antiqua" w:hAnsi="Book Antiqua"/>
                <w:i/>
                <w:iCs/>
                <w:sz w:val="15"/>
                <w:szCs w:val="15"/>
              </w:rPr>
              <w:t>48</w:t>
            </w:r>
            <w:r w:rsidR="008416D9" w:rsidRPr="008416D9">
              <w:rPr>
                <w:rFonts w:ascii="Book Antiqua" w:hAnsi="Book Antiqua"/>
                <w:sz w:val="15"/>
                <w:szCs w:val="15"/>
              </w:rPr>
              <w:t>(5), pp.597-611.</w:t>
            </w:r>
          </w:p>
        </w:tc>
        <w:tc>
          <w:tcPr>
            <w:tcW w:w="2551" w:type="dxa"/>
            <w:shd w:val="clear" w:color="auto" w:fill="FFFFFF"/>
            <w:tcMar>
              <w:top w:w="100" w:type="dxa"/>
              <w:left w:w="120" w:type="dxa"/>
              <w:bottom w:w="100" w:type="dxa"/>
              <w:right w:w="120" w:type="dxa"/>
            </w:tcMar>
          </w:tcPr>
          <w:p w14:paraId="409A9155" w14:textId="5950589D" w:rsidR="003E660B" w:rsidRPr="001A3546" w:rsidRDefault="0051719B" w:rsidP="00CC2FB9">
            <w:pPr>
              <w:spacing w:after="0" w:line="240" w:lineRule="auto"/>
              <w:rPr>
                <w:rFonts w:ascii="Book Antiqua" w:hAnsi="Book Antiqua"/>
                <w:sz w:val="15"/>
                <w:szCs w:val="15"/>
              </w:rPr>
            </w:pPr>
            <w:r w:rsidRPr="0051719B">
              <w:rPr>
                <w:rFonts w:ascii="Book Antiqua" w:hAnsi="Book Antiqua"/>
                <w:sz w:val="15"/>
                <w:szCs w:val="15"/>
              </w:rPr>
              <w:t>Links mobile money to higher farm-gate prices and welfare by disintermediating brokers.</w:t>
            </w:r>
          </w:p>
        </w:tc>
        <w:tc>
          <w:tcPr>
            <w:tcW w:w="2561" w:type="dxa"/>
            <w:shd w:val="clear" w:color="auto" w:fill="FFFFFF"/>
            <w:tcMar>
              <w:top w:w="100" w:type="dxa"/>
              <w:left w:w="120" w:type="dxa"/>
              <w:bottom w:w="100" w:type="dxa"/>
              <w:right w:w="120" w:type="dxa"/>
            </w:tcMar>
          </w:tcPr>
          <w:p w14:paraId="04C6460B" w14:textId="34B54DA7" w:rsidR="003E660B" w:rsidRPr="001A3546" w:rsidRDefault="00224BE8" w:rsidP="00CC2FB9">
            <w:pPr>
              <w:spacing w:after="0" w:line="240" w:lineRule="auto"/>
              <w:rPr>
                <w:rFonts w:ascii="Book Antiqua" w:hAnsi="Book Antiqua"/>
                <w:sz w:val="15"/>
                <w:szCs w:val="15"/>
              </w:rPr>
            </w:pPr>
            <w:r w:rsidRPr="00224BE8">
              <w:rPr>
                <w:rFonts w:ascii="Book Antiqua" w:hAnsi="Book Antiqua"/>
                <w:sz w:val="15"/>
                <w:szCs w:val="15"/>
              </w:rPr>
              <w:t>Models how digital systems enable rural producers to capture greater value chain share.</w:t>
            </w:r>
          </w:p>
        </w:tc>
      </w:tr>
      <w:tr w:rsidR="003E660B" w:rsidRPr="008B3127" w14:paraId="5E96D3E4" w14:textId="77777777" w:rsidTr="003676BA">
        <w:tc>
          <w:tcPr>
            <w:tcW w:w="562" w:type="dxa"/>
            <w:shd w:val="clear" w:color="auto" w:fill="F9FBFD"/>
            <w:tcMar>
              <w:top w:w="100" w:type="dxa"/>
              <w:left w:w="120" w:type="dxa"/>
              <w:bottom w:w="100" w:type="dxa"/>
              <w:right w:w="120" w:type="dxa"/>
            </w:tcMar>
          </w:tcPr>
          <w:p w14:paraId="6E4D62F3" w14:textId="1E440D55" w:rsidR="003E660B" w:rsidRPr="001A3546" w:rsidRDefault="00E17282"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lastRenderedPageBreak/>
              <w:t>64</w:t>
            </w:r>
          </w:p>
        </w:tc>
        <w:tc>
          <w:tcPr>
            <w:tcW w:w="3686" w:type="dxa"/>
            <w:shd w:val="clear" w:color="auto" w:fill="F9FBFD"/>
            <w:tcMar>
              <w:top w:w="100" w:type="dxa"/>
              <w:left w:w="120" w:type="dxa"/>
              <w:bottom w:w="100" w:type="dxa"/>
              <w:right w:w="120" w:type="dxa"/>
            </w:tcMar>
          </w:tcPr>
          <w:p w14:paraId="29DA047B" w14:textId="7BE8BE39" w:rsidR="003E660B" w:rsidRPr="001A3546" w:rsidRDefault="00CD4B83" w:rsidP="00CC2FB9">
            <w:pPr>
              <w:spacing w:after="0" w:line="240" w:lineRule="auto"/>
              <w:rPr>
                <w:rFonts w:ascii="Book Antiqua" w:hAnsi="Book Antiqua"/>
                <w:sz w:val="15"/>
                <w:szCs w:val="15"/>
              </w:rPr>
            </w:pPr>
            <w:r w:rsidRPr="00CD4B83">
              <w:rPr>
                <w:rFonts w:ascii="Book Antiqua" w:hAnsi="Book Antiqua"/>
                <w:sz w:val="15"/>
                <w:szCs w:val="15"/>
              </w:rPr>
              <w:t xml:space="preserve">Ouma, S.A., Odongo, T.M. and Were, M. (2017) ‘Mobile financial services and financial inclusion: Is it a boon for savings mobilization?’, </w:t>
            </w:r>
            <w:r w:rsidRPr="00CD4B83">
              <w:rPr>
                <w:rFonts w:ascii="Book Antiqua" w:hAnsi="Book Antiqua"/>
                <w:i/>
                <w:iCs/>
                <w:sz w:val="15"/>
                <w:szCs w:val="15"/>
              </w:rPr>
              <w:t>Review of Development Finance</w:t>
            </w:r>
            <w:r w:rsidRPr="00CD4B83">
              <w:rPr>
                <w:rFonts w:ascii="Book Antiqua" w:hAnsi="Book Antiqua"/>
                <w:sz w:val="15"/>
                <w:szCs w:val="15"/>
              </w:rPr>
              <w:t>, 7(1), pp.29–35.</w:t>
            </w:r>
          </w:p>
        </w:tc>
        <w:tc>
          <w:tcPr>
            <w:tcW w:w="2551" w:type="dxa"/>
            <w:shd w:val="clear" w:color="auto" w:fill="F9FBFD"/>
            <w:tcMar>
              <w:top w:w="100" w:type="dxa"/>
              <w:left w:w="120" w:type="dxa"/>
              <w:bottom w:w="100" w:type="dxa"/>
              <w:right w:w="120" w:type="dxa"/>
            </w:tcMar>
          </w:tcPr>
          <w:p w14:paraId="2BEAB46F" w14:textId="513D4234" w:rsidR="003E660B" w:rsidRPr="001A3546" w:rsidRDefault="003F34B3" w:rsidP="00CC2FB9">
            <w:pPr>
              <w:spacing w:after="0" w:line="240" w:lineRule="auto"/>
              <w:rPr>
                <w:rFonts w:ascii="Book Antiqua" w:hAnsi="Book Antiqua"/>
                <w:sz w:val="15"/>
                <w:szCs w:val="15"/>
              </w:rPr>
            </w:pPr>
            <w:r w:rsidRPr="003F34B3">
              <w:rPr>
                <w:rFonts w:ascii="Book Antiqua" w:hAnsi="Book Antiqua"/>
                <w:sz w:val="15"/>
                <w:szCs w:val="15"/>
              </w:rPr>
              <w:t>Demonstrates that fintech contributes to financial deepening through increased financial participation</w:t>
            </w:r>
            <w:r>
              <w:rPr>
                <w:rFonts w:ascii="Book Antiqua" w:hAnsi="Book Antiqua"/>
                <w:sz w:val="15"/>
                <w:szCs w:val="15"/>
              </w:rPr>
              <w:t>.</w:t>
            </w:r>
          </w:p>
        </w:tc>
        <w:tc>
          <w:tcPr>
            <w:tcW w:w="2561" w:type="dxa"/>
            <w:shd w:val="clear" w:color="auto" w:fill="F9FBFD"/>
            <w:tcMar>
              <w:top w:w="100" w:type="dxa"/>
              <w:left w:w="120" w:type="dxa"/>
              <w:bottom w:w="100" w:type="dxa"/>
              <w:right w:w="120" w:type="dxa"/>
            </w:tcMar>
          </w:tcPr>
          <w:p w14:paraId="6618C051" w14:textId="6F2AA784" w:rsidR="003E660B" w:rsidRPr="001A3546" w:rsidRDefault="003566A4" w:rsidP="00CC2FB9">
            <w:pPr>
              <w:spacing w:after="0" w:line="240" w:lineRule="auto"/>
              <w:rPr>
                <w:rFonts w:ascii="Book Antiqua" w:hAnsi="Book Antiqua"/>
                <w:sz w:val="15"/>
                <w:szCs w:val="15"/>
              </w:rPr>
            </w:pPr>
            <w:r w:rsidRPr="003566A4">
              <w:rPr>
                <w:rFonts w:ascii="Book Antiqua" w:hAnsi="Book Antiqua"/>
                <w:sz w:val="15"/>
                <w:szCs w:val="15"/>
              </w:rPr>
              <w:t>Provides empirical evidence on the behavioral mechanism through which FinTech contributes to financial deepening</w:t>
            </w:r>
            <w:r>
              <w:rPr>
                <w:rFonts w:ascii="Book Antiqua" w:hAnsi="Book Antiqua"/>
                <w:sz w:val="15"/>
                <w:szCs w:val="15"/>
              </w:rPr>
              <w:t>.</w:t>
            </w:r>
          </w:p>
        </w:tc>
      </w:tr>
      <w:tr w:rsidR="003E660B" w:rsidRPr="008B3127" w14:paraId="72C20AB3" w14:textId="77777777" w:rsidTr="003676BA">
        <w:tc>
          <w:tcPr>
            <w:tcW w:w="562" w:type="dxa"/>
            <w:shd w:val="clear" w:color="auto" w:fill="FFFFFF"/>
            <w:tcMar>
              <w:top w:w="100" w:type="dxa"/>
              <w:left w:w="120" w:type="dxa"/>
              <w:bottom w:w="100" w:type="dxa"/>
              <w:right w:w="120" w:type="dxa"/>
            </w:tcMar>
          </w:tcPr>
          <w:p w14:paraId="5B4BC451" w14:textId="7FD214DD" w:rsidR="003E660B" w:rsidRPr="001A3546" w:rsidRDefault="00E17282"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65</w:t>
            </w:r>
          </w:p>
        </w:tc>
        <w:tc>
          <w:tcPr>
            <w:tcW w:w="3686" w:type="dxa"/>
            <w:shd w:val="clear" w:color="auto" w:fill="FFFFFF"/>
            <w:tcMar>
              <w:top w:w="100" w:type="dxa"/>
              <w:left w:w="120" w:type="dxa"/>
              <w:bottom w:w="100" w:type="dxa"/>
              <w:right w:w="120" w:type="dxa"/>
            </w:tcMar>
          </w:tcPr>
          <w:p w14:paraId="04B74640"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N'dri, L.M. and Kakinaka, M. (2020) 'Financial inclusion, mobile money, and individual welfare: The case of Burkina Faso', </w:t>
            </w:r>
            <w:r w:rsidRPr="001A3546">
              <w:rPr>
                <w:rFonts w:ascii="Book Antiqua" w:hAnsi="Book Antiqua"/>
                <w:i/>
                <w:iCs/>
                <w:sz w:val="15"/>
                <w:szCs w:val="15"/>
              </w:rPr>
              <w:t>Telecommunications Policy,</w:t>
            </w:r>
            <w:r w:rsidRPr="001A3546">
              <w:rPr>
                <w:rFonts w:ascii="Book Antiqua" w:hAnsi="Book Antiqua"/>
                <w:sz w:val="15"/>
                <w:szCs w:val="15"/>
              </w:rPr>
              <w:t xml:space="preserve"> 44(3), p. 101926.</w:t>
            </w:r>
          </w:p>
        </w:tc>
        <w:tc>
          <w:tcPr>
            <w:tcW w:w="2551" w:type="dxa"/>
            <w:shd w:val="clear" w:color="auto" w:fill="FFFFFF"/>
            <w:tcMar>
              <w:top w:w="100" w:type="dxa"/>
              <w:left w:w="120" w:type="dxa"/>
              <w:bottom w:w="100" w:type="dxa"/>
              <w:right w:w="120" w:type="dxa"/>
            </w:tcMar>
          </w:tcPr>
          <w:p w14:paraId="060EAB2B" w14:textId="7B973A42" w:rsidR="003E660B" w:rsidRPr="001A3546" w:rsidRDefault="000E50B8" w:rsidP="00CC2FB9">
            <w:pPr>
              <w:spacing w:after="0" w:line="240" w:lineRule="auto"/>
              <w:rPr>
                <w:rFonts w:ascii="Book Antiqua" w:hAnsi="Book Antiqua"/>
                <w:sz w:val="15"/>
                <w:szCs w:val="15"/>
              </w:rPr>
            </w:pPr>
            <w:r w:rsidRPr="001A3546">
              <w:rPr>
                <w:rFonts w:ascii="Book Antiqua" w:hAnsi="Book Antiqua"/>
                <w:sz w:val="15"/>
                <w:szCs w:val="15"/>
              </w:rPr>
              <w:t>Shows that mobile wallets lower financial vulnerability, though benefits vary significantly across educational levels.</w:t>
            </w:r>
          </w:p>
        </w:tc>
        <w:tc>
          <w:tcPr>
            <w:tcW w:w="2561" w:type="dxa"/>
            <w:shd w:val="clear" w:color="auto" w:fill="FFFFFF"/>
            <w:tcMar>
              <w:top w:w="100" w:type="dxa"/>
              <w:left w:w="120" w:type="dxa"/>
              <w:bottom w:w="100" w:type="dxa"/>
              <w:right w:w="120" w:type="dxa"/>
            </w:tcMar>
          </w:tcPr>
          <w:p w14:paraId="7BC940A6"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Warns about potential digital exclusion gaps among low-literacy segments in West Africa.</w:t>
            </w:r>
          </w:p>
        </w:tc>
      </w:tr>
      <w:tr w:rsidR="003E660B" w:rsidRPr="008B3127" w14:paraId="7C5DC7C8" w14:textId="77777777" w:rsidTr="003676BA">
        <w:tc>
          <w:tcPr>
            <w:tcW w:w="562" w:type="dxa"/>
            <w:shd w:val="clear" w:color="auto" w:fill="F9FBFD"/>
            <w:tcMar>
              <w:top w:w="100" w:type="dxa"/>
              <w:left w:w="120" w:type="dxa"/>
              <w:bottom w:w="100" w:type="dxa"/>
              <w:right w:w="120" w:type="dxa"/>
            </w:tcMar>
          </w:tcPr>
          <w:p w14:paraId="19217289" w14:textId="511C067F" w:rsidR="003E660B" w:rsidRPr="001A3546" w:rsidRDefault="00E17282"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66</w:t>
            </w:r>
          </w:p>
        </w:tc>
        <w:tc>
          <w:tcPr>
            <w:tcW w:w="3686" w:type="dxa"/>
            <w:shd w:val="clear" w:color="auto" w:fill="F9FBFD"/>
            <w:tcMar>
              <w:top w:w="100" w:type="dxa"/>
              <w:left w:w="120" w:type="dxa"/>
              <w:bottom w:w="100" w:type="dxa"/>
              <w:right w:w="120" w:type="dxa"/>
            </w:tcMar>
          </w:tcPr>
          <w:p w14:paraId="3333AED6"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Asongu, S.A. and Nwachukwu, J.C. (2016) 'The role of governance in mobile phones for financial inclusion in Sub-Saharan Africa', </w:t>
            </w:r>
            <w:r w:rsidRPr="001A3546">
              <w:rPr>
                <w:rFonts w:ascii="Book Antiqua" w:hAnsi="Book Antiqua"/>
                <w:i/>
                <w:iCs/>
                <w:sz w:val="15"/>
                <w:szCs w:val="15"/>
              </w:rPr>
              <w:t>Information Development,</w:t>
            </w:r>
            <w:r w:rsidRPr="001A3546">
              <w:rPr>
                <w:rFonts w:ascii="Book Antiqua" w:hAnsi="Book Antiqua"/>
                <w:sz w:val="15"/>
                <w:szCs w:val="15"/>
              </w:rPr>
              <w:t xml:space="preserve"> 32(3), pp. 306–316.</w:t>
            </w:r>
          </w:p>
        </w:tc>
        <w:tc>
          <w:tcPr>
            <w:tcW w:w="2551" w:type="dxa"/>
            <w:shd w:val="clear" w:color="auto" w:fill="F9FBFD"/>
            <w:tcMar>
              <w:top w:w="100" w:type="dxa"/>
              <w:left w:w="120" w:type="dxa"/>
              <w:bottom w:w="100" w:type="dxa"/>
              <w:right w:w="120" w:type="dxa"/>
            </w:tcMar>
          </w:tcPr>
          <w:p w14:paraId="60C72301"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Finds that robust institutional governance and regulatory quality amplify the inclusion benefits of mobile networks.</w:t>
            </w:r>
          </w:p>
        </w:tc>
        <w:tc>
          <w:tcPr>
            <w:tcW w:w="2561" w:type="dxa"/>
            <w:shd w:val="clear" w:color="auto" w:fill="F9FBFD"/>
            <w:tcMar>
              <w:top w:w="100" w:type="dxa"/>
              <w:left w:w="120" w:type="dxa"/>
              <w:bottom w:w="100" w:type="dxa"/>
              <w:right w:w="120" w:type="dxa"/>
            </w:tcMar>
          </w:tcPr>
          <w:p w14:paraId="5296C058" w14:textId="5E1F2114" w:rsidR="003E660B" w:rsidRPr="001A3546" w:rsidRDefault="006314CD" w:rsidP="00CC2FB9">
            <w:pPr>
              <w:spacing w:after="0" w:line="240" w:lineRule="auto"/>
              <w:rPr>
                <w:rFonts w:ascii="Book Antiqua" w:hAnsi="Book Antiqua"/>
                <w:sz w:val="15"/>
                <w:szCs w:val="15"/>
              </w:rPr>
            </w:pPr>
            <w:r w:rsidRPr="001A3546">
              <w:rPr>
                <w:rFonts w:ascii="Book Antiqua" w:hAnsi="Book Antiqua"/>
                <w:sz w:val="15"/>
                <w:szCs w:val="15"/>
              </w:rPr>
              <w:t>Affirms that digital technology depends on enabling institutions and clear regulatory governance.</w:t>
            </w:r>
          </w:p>
        </w:tc>
      </w:tr>
      <w:tr w:rsidR="003E660B" w:rsidRPr="008B3127" w14:paraId="7A990F5E" w14:textId="77777777" w:rsidTr="003676BA">
        <w:tc>
          <w:tcPr>
            <w:tcW w:w="562" w:type="dxa"/>
            <w:shd w:val="clear" w:color="auto" w:fill="FFFFFF"/>
            <w:tcMar>
              <w:top w:w="100" w:type="dxa"/>
              <w:left w:w="120" w:type="dxa"/>
              <w:bottom w:w="100" w:type="dxa"/>
              <w:right w:w="120" w:type="dxa"/>
            </w:tcMar>
          </w:tcPr>
          <w:p w14:paraId="34C63F5D" w14:textId="26D2C11A" w:rsidR="003E660B" w:rsidRPr="001A3546" w:rsidRDefault="00E17282"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67</w:t>
            </w:r>
          </w:p>
        </w:tc>
        <w:tc>
          <w:tcPr>
            <w:tcW w:w="3686" w:type="dxa"/>
            <w:shd w:val="clear" w:color="auto" w:fill="FFFFFF"/>
            <w:tcMar>
              <w:top w:w="100" w:type="dxa"/>
              <w:left w:w="120" w:type="dxa"/>
              <w:bottom w:w="100" w:type="dxa"/>
              <w:right w:w="120" w:type="dxa"/>
            </w:tcMar>
          </w:tcPr>
          <w:p w14:paraId="3479A86E" w14:textId="40761042"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David-West, O. (2016) '</w:t>
            </w:r>
            <w:r w:rsidR="00EF1817" w:rsidRPr="00EF1817">
              <w:rPr>
                <w:rFonts w:ascii="Book Antiqua" w:hAnsi="Book Antiqua"/>
                <w:sz w:val="15"/>
                <w:szCs w:val="15"/>
              </w:rPr>
              <w:t>The path to digital financial inclusion in Nigeria: Experiences of Firstmonie</w:t>
            </w:r>
            <w:r w:rsidR="00EF1817" w:rsidRPr="001A3546">
              <w:rPr>
                <w:rFonts w:ascii="Book Antiqua" w:hAnsi="Book Antiqua"/>
                <w:sz w:val="15"/>
                <w:szCs w:val="15"/>
              </w:rPr>
              <w:t>'</w:t>
            </w:r>
            <w:r w:rsidR="00EF1817">
              <w:rPr>
                <w:rFonts w:ascii="Book Antiqua" w:hAnsi="Book Antiqua"/>
                <w:sz w:val="15"/>
                <w:szCs w:val="15"/>
              </w:rPr>
              <w:t xml:space="preserve">, </w:t>
            </w:r>
            <w:r w:rsidR="00EF1817" w:rsidRPr="00EF1817">
              <w:rPr>
                <w:rFonts w:ascii="Book Antiqua" w:hAnsi="Book Antiqua"/>
                <w:i/>
                <w:iCs/>
                <w:sz w:val="15"/>
                <w:szCs w:val="15"/>
              </w:rPr>
              <w:t>Journal of Payments Strategy &amp; Systems</w:t>
            </w:r>
            <w:r w:rsidR="00EF1817" w:rsidRPr="00EF1817">
              <w:rPr>
                <w:rFonts w:ascii="Book Antiqua" w:hAnsi="Book Antiqua"/>
                <w:sz w:val="15"/>
                <w:szCs w:val="15"/>
              </w:rPr>
              <w:t>, </w:t>
            </w:r>
            <w:r w:rsidR="00EF1817" w:rsidRPr="00EF1817">
              <w:rPr>
                <w:rFonts w:ascii="Book Antiqua" w:hAnsi="Book Antiqua"/>
                <w:i/>
                <w:iCs/>
                <w:sz w:val="15"/>
                <w:szCs w:val="15"/>
              </w:rPr>
              <w:t>9</w:t>
            </w:r>
            <w:r w:rsidR="00EF1817" w:rsidRPr="00EF1817">
              <w:rPr>
                <w:rFonts w:ascii="Book Antiqua" w:hAnsi="Book Antiqua"/>
                <w:sz w:val="15"/>
                <w:szCs w:val="15"/>
              </w:rPr>
              <w:t>(4), pp.256-273.</w:t>
            </w:r>
          </w:p>
        </w:tc>
        <w:tc>
          <w:tcPr>
            <w:tcW w:w="2551" w:type="dxa"/>
            <w:shd w:val="clear" w:color="auto" w:fill="FFFFFF"/>
            <w:tcMar>
              <w:top w:w="100" w:type="dxa"/>
              <w:left w:w="120" w:type="dxa"/>
              <w:bottom w:w="100" w:type="dxa"/>
              <w:right w:w="120" w:type="dxa"/>
            </w:tcMar>
          </w:tcPr>
          <w:p w14:paraId="3A3F4F0A" w14:textId="567836B9" w:rsidR="003E660B" w:rsidRPr="001A3546" w:rsidRDefault="00980A8C" w:rsidP="00CC2FB9">
            <w:pPr>
              <w:spacing w:after="0" w:line="240" w:lineRule="auto"/>
              <w:rPr>
                <w:rFonts w:ascii="Book Antiqua" w:hAnsi="Book Antiqua"/>
                <w:sz w:val="15"/>
                <w:szCs w:val="15"/>
              </w:rPr>
            </w:pPr>
            <w:r w:rsidRPr="001A3546">
              <w:rPr>
                <w:rFonts w:ascii="Book Antiqua" w:hAnsi="Book Antiqua"/>
                <w:sz w:val="15"/>
                <w:szCs w:val="15"/>
              </w:rPr>
              <w:t>Examines how bank-centric regulatory frameworks restrict mobile money growth and digital adoption in Nigeria.</w:t>
            </w:r>
          </w:p>
        </w:tc>
        <w:tc>
          <w:tcPr>
            <w:tcW w:w="2561" w:type="dxa"/>
            <w:shd w:val="clear" w:color="auto" w:fill="FFFFFF"/>
            <w:tcMar>
              <w:top w:w="100" w:type="dxa"/>
              <w:left w:w="120" w:type="dxa"/>
              <w:bottom w:w="100" w:type="dxa"/>
              <w:right w:w="120" w:type="dxa"/>
            </w:tcMar>
          </w:tcPr>
          <w:p w14:paraId="29C80CA0"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Offers a sharp contrast between Kenya's telco-led success and Nigeria's bank-led regulatory caution.</w:t>
            </w:r>
          </w:p>
        </w:tc>
      </w:tr>
      <w:tr w:rsidR="003E660B" w:rsidRPr="008B3127" w14:paraId="2AD72051" w14:textId="77777777" w:rsidTr="003676BA">
        <w:tc>
          <w:tcPr>
            <w:tcW w:w="562" w:type="dxa"/>
            <w:shd w:val="clear" w:color="auto" w:fill="F9FBFD"/>
            <w:tcMar>
              <w:top w:w="100" w:type="dxa"/>
              <w:left w:w="120" w:type="dxa"/>
              <w:bottom w:w="100" w:type="dxa"/>
              <w:right w:w="120" w:type="dxa"/>
            </w:tcMar>
          </w:tcPr>
          <w:p w14:paraId="5CEF80A8" w14:textId="4B0EC53F" w:rsidR="003E660B" w:rsidRPr="001A3546" w:rsidRDefault="00E17282"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68</w:t>
            </w:r>
          </w:p>
        </w:tc>
        <w:tc>
          <w:tcPr>
            <w:tcW w:w="3686" w:type="dxa"/>
            <w:shd w:val="clear" w:color="auto" w:fill="F9FBFD"/>
            <w:tcMar>
              <w:top w:w="100" w:type="dxa"/>
              <w:left w:w="120" w:type="dxa"/>
              <w:bottom w:w="100" w:type="dxa"/>
              <w:right w:w="120" w:type="dxa"/>
            </w:tcMar>
          </w:tcPr>
          <w:p w14:paraId="6B27A271"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Duvendack, M. and Palmer-Jones, R. (2017) 'Microfinance, financial inclusion and development: A systematic review of reviews', </w:t>
            </w:r>
            <w:r w:rsidRPr="001A3546">
              <w:rPr>
                <w:rFonts w:ascii="Book Antiqua" w:hAnsi="Book Antiqua"/>
                <w:i/>
                <w:iCs/>
                <w:sz w:val="15"/>
                <w:szCs w:val="15"/>
              </w:rPr>
              <w:t>Journal of Development Effectiveness,</w:t>
            </w:r>
            <w:r w:rsidRPr="001A3546">
              <w:rPr>
                <w:rFonts w:ascii="Book Antiqua" w:hAnsi="Book Antiqua"/>
                <w:sz w:val="15"/>
                <w:szCs w:val="15"/>
              </w:rPr>
              <w:t xml:space="preserve"> 9(4), pp. 518–541.</w:t>
            </w:r>
          </w:p>
        </w:tc>
        <w:tc>
          <w:tcPr>
            <w:tcW w:w="2551" w:type="dxa"/>
            <w:shd w:val="clear" w:color="auto" w:fill="F9FBFD"/>
            <w:tcMar>
              <w:top w:w="100" w:type="dxa"/>
              <w:left w:w="120" w:type="dxa"/>
              <w:bottom w:w="100" w:type="dxa"/>
              <w:right w:w="120" w:type="dxa"/>
            </w:tcMar>
          </w:tcPr>
          <w:p w14:paraId="6A8FBB17" w14:textId="6DD217FC" w:rsidR="003E660B" w:rsidRPr="001A3546" w:rsidRDefault="00461146" w:rsidP="00CC2FB9">
            <w:pPr>
              <w:spacing w:after="0" w:line="240" w:lineRule="auto"/>
              <w:rPr>
                <w:rFonts w:ascii="Book Antiqua" w:hAnsi="Book Antiqua"/>
                <w:sz w:val="15"/>
                <w:szCs w:val="15"/>
              </w:rPr>
            </w:pPr>
            <w:r w:rsidRPr="001A3546">
              <w:rPr>
                <w:rFonts w:ascii="Book Antiqua" w:hAnsi="Book Antiqua"/>
                <w:sz w:val="15"/>
                <w:szCs w:val="15"/>
              </w:rPr>
              <w:t>Systematically challenges overstated claims of developmental returns from basic microfinance.</w:t>
            </w:r>
          </w:p>
        </w:tc>
        <w:tc>
          <w:tcPr>
            <w:tcW w:w="2561" w:type="dxa"/>
            <w:shd w:val="clear" w:color="auto" w:fill="F9FBFD"/>
            <w:tcMar>
              <w:top w:w="100" w:type="dxa"/>
              <w:left w:w="120" w:type="dxa"/>
              <w:bottom w:w="100" w:type="dxa"/>
              <w:right w:w="120" w:type="dxa"/>
            </w:tcMar>
          </w:tcPr>
          <w:p w14:paraId="27094CE1"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Establishes a rigorous methodology for evaluating empirical claims in financial inclusion studies.</w:t>
            </w:r>
          </w:p>
        </w:tc>
      </w:tr>
      <w:tr w:rsidR="003E660B" w:rsidRPr="008B3127" w14:paraId="0BF07475" w14:textId="77777777" w:rsidTr="003676BA">
        <w:tc>
          <w:tcPr>
            <w:tcW w:w="562" w:type="dxa"/>
            <w:shd w:val="clear" w:color="auto" w:fill="FFFFFF"/>
            <w:tcMar>
              <w:top w:w="100" w:type="dxa"/>
              <w:left w:w="120" w:type="dxa"/>
              <w:bottom w:w="100" w:type="dxa"/>
              <w:right w:w="120" w:type="dxa"/>
            </w:tcMar>
          </w:tcPr>
          <w:p w14:paraId="19FF8F55" w14:textId="0A496A14" w:rsidR="003E660B" w:rsidRPr="001A3546" w:rsidRDefault="00E17282"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69</w:t>
            </w:r>
          </w:p>
        </w:tc>
        <w:tc>
          <w:tcPr>
            <w:tcW w:w="3686" w:type="dxa"/>
            <w:shd w:val="clear" w:color="auto" w:fill="FFFFFF"/>
            <w:tcMar>
              <w:top w:w="100" w:type="dxa"/>
              <w:left w:w="120" w:type="dxa"/>
              <w:bottom w:w="100" w:type="dxa"/>
              <w:right w:w="120" w:type="dxa"/>
            </w:tcMar>
          </w:tcPr>
          <w:p w14:paraId="7C2A636D" w14:textId="50F194D1" w:rsidR="003E660B" w:rsidRPr="001A3546" w:rsidRDefault="00675ACC" w:rsidP="00CC2FB9">
            <w:pPr>
              <w:spacing w:after="0" w:line="240" w:lineRule="auto"/>
              <w:rPr>
                <w:rFonts w:ascii="Book Antiqua" w:hAnsi="Book Antiqua"/>
                <w:sz w:val="15"/>
                <w:szCs w:val="15"/>
              </w:rPr>
            </w:pPr>
            <w:r w:rsidRPr="00675ACC">
              <w:rPr>
                <w:rFonts w:ascii="Book Antiqua" w:hAnsi="Book Antiqua"/>
                <w:sz w:val="15"/>
                <w:szCs w:val="15"/>
              </w:rPr>
              <w:t>Asongu, S.A. and Nwachukwu, J.C.</w:t>
            </w:r>
            <w:r>
              <w:rPr>
                <w:rFonts w:ascii="Book Antiqua" w:hAnsi="Book Antiqua"/>
                <w:sz w:val="15"/>
                <w:szCs w:val="15"/>
              </w:rPr>
              <w:t xml:space="preserve"> (</w:t>
            </w:r>
            <w:r w:rsidRPr="00675ACC">
              <w:rPr>
                <w:rFonts w:ascii="Book Antiqua" w:hAnsi="Book Antiqua"/>
                <w:sz w:val="15"/>
                <w:szCs w:val="15"/>
              </w:rPr>
              <w:t>2016</w:t>
            </w:r>
            <w:r>
              <w:rPr>
                <w:rFonts w:ascii="Book Antiqua" w:hAnsi="Book Antiqua"/>
                <w:sz w:val="15"/>
                <w:szCs w:val="15"/>
              </w:rPr>
              <w:t xml:space="preserve">) </w:t>
            </w:r>
            <w:r w:rsidR="00DE337E" w:rsidRPr="001A3546">
              <w:rPr>
                <w:rFonts w:ascii="Book Antiqua" w:hAnsi="Book Antiqua"/>
                <w:sz w:val="15"/>
                <w:szCs w:val="15"/>
              </w:rPr>
              <w:t>'</w:t>
            </w:r>
            <w:r w:rsidRPr="00675ACC">
              <w:rPr>
                <w:rFonts w:ascii="Book Antiqua" w:hAnsi="Book Antiqua"/>
                <w:sz w:val="15"/>
                <w:szCs w:val="15"/>
              </w:rPr>
              <w:t>Mobile phone penetration, mobile banking and inclusive development in Africa</w:t>
            </w:r>
            <w:r w:rsidR="00DE337E" w:rsidRPr="001A3546">
              <w:rPr>
                <w:rFonts w:ascii="Book Antiqua" w:hAnsi="Book Antiqua"/>
                <w:sz w:val="15"/>
                <w:szCs w:val="15"/>
              </w:rPr>
              <w:t>'</w:t>
            </w:r>
            <w:r w:rsidR="00DE337E">
              <w:rPr>
                <w:rFonts w:ascii="Book Antiqua" w:hAnsi="Book Antiqua"/>
                <w:sz w:val="15"/>
                <w:szCs w:val="15"/>
              </w:rPr>
              <w:t xml:space="preserve">, </w:t>
            </w:r>
            <w:r w:rsidRPr="00675ACC">
              <w:rPr>
                <w:rFonts w:ascii="Book Antiqua" w:hAnsi="Book Antiqua"/>
                <w:i/>
                <w:iCs/>
                <w:sz w:val="15"/>
                <w:szCs w:val="15"/>
              </w:rPr>
              <w:t>African Finance Journal</w:t>
            </w:r>
            <w:r w:rsidRPr="00675ACC">
              <w:rPr>
                <w:rFonts w:ascii="Book Antiqua" w:hAnsi="Book Antiqua"/>
                <w:sz w:val="15"/>
                <w:szCs w:val="15"/>
              </w:rPr>
              <w:t>, </w:t>
            </w:r>
            <w:r w:rsidRPr="00675ACC">
              <w:rPr>
                <w:rFonts w:ascii="Book Antiqua" w:hAnsi="Book Antiqua"/>
                <w:i/>
                <w:iCs/>
                <w:sz w:val="15"/>
                <w:szCs w:val="15"/>
              </w:rPr>
              <w:t>18</w:t>
            </w:r>
            <w:r w:rsidRPr="00675ACC">
              <w:rPr>
                <w:rFonts w:ascii="Book Antiqua" w:hAnsi="Book Antiqua"/>
                <w:sz w:val="15"/>
                <w:szCs w:val="15"/>
              </w:rPr>
              <w:t>(1), pp.34-52.</w:t>
            </w:r>
          </w:p>
        </w:tc>
        <w:tc>
          <w:tcPr>
            <w:tcW w:w="2551" w:type="dxa"/>
            <w:shd w:val="clear" w:color="auto" w:fill="FFFFFF"/>
            <w:tcMar>
              <w:top w:w="100" w:type="dxa"/>
              <w:left w:w="120" w:type="dxa"/>
              <w:bottom w:w="100" w:type="dxa"/>
              <w:right w:w="120" w:type="dxa"/>
            </w:tcMar>
          </w:tcPr>
          <w:p w14:paraId="01354B9B" w14:textId="70AC4062" w:rsidR="003E660B" w:rsidRPr="001A3546" w:rsidRDefault="007513E6" w:rsidP="00CC2FB9">
            <w:pPr>
              <w:spacing w:after="0" w:line="240" w:lineRule="auto"/>
              <w:rPr>
                <w:rFonts w:ascii="Book Antiqua" w:hAnsi="Book Antiqua"/>
                <w:sz w:val="15"/>
                <w:szCs w:val="15"/>
              </w:rPr>
            </w:pPr>
            <w:r w:rsidRPr="007513E6">
              <w:rPr>
                <w:rFonts w:ascii="Book Antiqua" w:hAnsi="Book Antiqua"/>
                <w:sz w:val="15"/>
                <w:szCs w:val="15"/>
              </w:rPr>
              <w:t>Extends traditional financial development theory by showing that digital infrastructure can act as an alternative pathway to financial deepening.</w:t>
            </w:r>
          </w:p>
        </w:tc>
        <w:tc>
          <w:tcPr>
            <w:tcW w:w="2561" w:type="dxa"/>
            <w:shd w:val="clear" w:color="auto" w:fill="FFFFFF"/>
            <w:tcMar>
              <w:top w:w="100" w:type="dxa"/>
              <w:left w:w="120" w:type="dxa"/>
              <w:bottom w:w="100" w:type="dxa"/>
              <w:right w:w="120" w:type="dxa"/>
            </w:tcMar>
          </w:tcPr>
          <w:p w14:paraId="74A22849" w14:textId="11037DF2" w:rsidR="003E660B" w:rsidRPr="001A3546" w:rsidRDefault="00D159E1" w:rsidP="00CC2FB9">
            <w:pPr>
              <w:spacing w:after="0" w:line="240" w:lineRule="auto"/>
              <w:rPr>
                <w:rFonts w:ascii="Book Antiqua" w:hAnsi="Book Antiqua"/>
                <w:sz w:val="15"/>
                <w:szCs w:val="15"/>
              </w:rPr>
            </w:pPr>
            <w:r w:rsidRPr="00D159E1">
              <w:rPr>
                <w:rFonts w:ascii="Book Antiqua" w:hAnsi="Book Antiqua"/>
                <w:sz w:val="15"/>
                <w:szCs w:val="15"/>
              </w:rPr>
              <w:t>Useful for explaining how FinTech acts as an alternative pathway to financial deepening beyond traditional banking systems.</w:t>
            </w:r>
          </w:p>
        </w:tc>
      </w:tr>
      <w:tr w:rsidR="003E660B" w:rsidRPr="008B3127" w14:paraId="685E3D6E" w14:textId="77777777" w:rsidTr="003676BA">
        <w:tc>
          <w:tcPr>
            <w:tcW w:w="562" w:type="dxa"/>
            <w:shd w:val="clear" w:color="auto" w:fill="F9FBFD"/>
            <w:tcMar>
              <w:top w:w="100" w:type="dxa"/>
              <w:left w:w="120" w:type="dxa"/>
              <w:bottom w:w="100" w:type="dxa"/>
              <w:right w:w="120" w:type="dxa"/>
            </w:tcMar>
          </w:tcPr>
          <w:p w14:paraId="22B055CB" w14:textId="7CDFC4B1" w:rsidR="003E660B" w:rsidRPr="001A3546" w:rsidRDefault="00E17282" w:rsidP="00CC2FB9">
            <w:pPr>
              <w:spacing w:after="0" w:line="240" w:lineRule="auto"/>
              <w:jc w:val="center"/>
              <w:rPr>
                <w:rFonts w:ascii="Book Antiqua" w:hAnsi="Book Antiqua"/>
                <w:bCs/>
                <w:color w:val="auto"/>
                <w:sz w:val="15"/>
                <w:szCs w:val="15"/>
              </w:rPr>
            </w:pPr>
            <w:r w:rsidRPr="001A3546">
              <w:rPr>
                <w:rFonts w:ascii="Book Antiqua" w:hAnsi="Book Antiqua"/>
                <w:bCs/>
                <w:color w:val="auto"/>
                <w:sz w:val="15"/>
                <w:szCs w:val="15"/>
              </w:rPr>
              <w:t>70</w:t>
            </w:r>
          </w:p>
        </w:tc>
        <w:tc>
          <w:tcPr>
            <w:tcW w:w="3686" w:type="dxa"/>
            <w:shd w:val="clear" w:color="auto" w:fill="F9FBFD"/>
            <w:tcMar>
              <w:top w:w="100" w:type="dxa"/>
              <w:left w:w="120" w:type="dxa"/>
              <w:bottom w:w="100" w:type="dxa"/>
              <w:right w:w="120" w:type="dxa"/>
            </w:tcMar>
          </w:tcPr>
          <w:p w14:paraId="61D80371"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 xml:space="preserve">Senyo, P.K. and Osabutey, E.L. (2020) 'Unearthing antecedents to financial inclusion through mobile money', </w:t>
            </w:r>
            <w:r w:rsidRPr="001A3546">
              <w:rPr>
                <w:rFonts w:ascii="Book Antiqua" w:hAnsi="Book Antiqua"/>
                <w:i/>
                <w:iCs/>
                <w:sz w:val="15"/>
                <w:szCs w:val="15"/>
              </w:rPr>
              <w:t>Information Technology &amp; People,</w:t>
            </w:r>
            <w:r w:rsidRPr="001A3546">
              <w:rPr>
                <w:rFonts w:ascii="Book Antiqua" w:hAnsi="Book Antiqua"/>
                <w:sz w:val="15"/>
                <w:szCs w:val="15"/>
              </w:rPr>
              <w:t xml:space="preserve"> 33(3), pp. 891–913.</w:t>
            </w:r>
          </w:p>
        </w:tc>
        <w:tc>
          <w:tcPr>
            <w:tcW w:w="2551" w:type="dxa"/>
            <w:shd w:val="clear" w:color="auto" w:fill="F9FBFD"/>
            <w:tcMar>
              <w:top w:w="100" w:type="dxa"/>
              <w:left w:w="120" w:type="dxa"/>
              <w:bottom w:w="100" w:type="dxa"/>
              <w:right w:w="120" w:type="dxa"/>
            </w:tcMar>
          </w:tcPr>
          <w:p w14:paraId="3708F6D2" w14:textId="15BA8A44" w:rsidR="003E660B" w:rsidRPr="001A3546" w:rsidRDefault="00BF28FB" w:rsidP="00CC2FB9">
            <w:pPr>
              <w:spacing w:after="0" w:line="240" w:lineRule="auto"/>
              <w:rPr>
                <w:rFonts w:ascii="Book Antiqua" w:hAnsi="Book Antiqua"/>
                <w:sz w:val="15"/>
                <w:szCs w:val="15"/>
              </w:rPr>
            </w:pPr>
            <w:r w:rsidRPr="001A3546">
              <w:rPr>
                <w:rFonts w:ascii="Book Antiqua" w:hAnsi="Book Antiqua"/>
                <w:sz w:val="15"/>
                <w:szCs w:val="15"/>
              </w:rPr>
              <w:t>Applies SEM to identify trust, convenience, and perceived usefulness as key drivers of mobile money adoption.</w:t>
            </w:r>
          </w:p>
        </w:tc>
        <w:tc>
          <w:tcPr>
            <w:tcW w:w="2561" w:type="dxa"/>
            <w:shd w:val="clear" w:color="auto" w:fill="F9FBFD"/>
            <w:tcMar>
              <w:top w:w="100" w:type="dxa"/>
              <w:left w:w="120" w:type="dxa"/>
              <w:bottom w:w="100" w:type="dxa"/>
              <w:right w:w="120" w:type="dxa"/>
            </w:tcMar>
          </w:tcPr>
          <w:p w14:paraId="6DF197EC" w14:textId="77777777" w:rsidR="003E660B" w:rsidRPr="001A3546" w:rsidRDefault="003E660B" w:rsidP="00CC2FB9">
            <w:pPr>
              <w:spacing w:after="0" w:line="240" w:lineRule="auto"/>
              <w:rPr>
                <w:rFonts w:ascii="Book Antiqua" w:hAnsi="Book Antiqua"/>
                <w:sz w:val="15"/>
                <w:szCs w:val="15"/>
              </w:rPr>
            </w:pPr>
            <w:r w:rsidRPr="001A3546">
              <w:rPr>
                <w:rFonts w:ascii="Book Antiqua" w:hAnsi="Book Antiqua"/>
                <w:sz w:val="15"/>
                <w:szCs w:val="15"/>
              </w:rPr>
              <w:t>Provides a validated methodological framework for analyzing user adoption pathways.</w:t>
            </w:r>
          </w:p>
        </w:tc>
      </w:tr>
    </w:tbl>
    <w:p w14:paraId="2A05C02A" w14:textId="5305F1EC" w:rsidR="006B04E3" w:rsidRPr="008263BC" w:rsidRDefault="006B04E3" w:rsidP="008263BC">
      <w:pPr>
        <w:spacing w:before="240" w:after="0" w:line="240" w:lineRule="auto"/>
        <w:jc w:val="both"/>
        <w:rPr>
          <w:rFonts w:ascii="Book Antiqua" w:hAnsi="Book Antiqua"/>
          <w:b/>
          <w:color w:val="156082" w:themeColor="accent1"/>
          <w:sz w:val="16"/>
          <w:szCs w:val="16"/>
        </w:rPr>
      </w:pPr>
      <w:r w:rsidRPr="008263BC">
        <w:rPr>
          <w:rFonts w:ascii="Book Antiqua" w:hAnsi="Book Antiqua"/>
          <w:b/>
          <w:color w:val="156082" w:themeColor="accent1"/>
          <w:sz w:val="16"/>
          <w:szCs w:val="16"/>
        </w:rPr>
        <w:t xml:space="preserve">Stage 4: </w:t>
      </w:r>
      <w:r w:rsidR="00017E68" w:rsidRPr="008263BC">
        <w:rPr>
          <w:rFonts w:ascii="Book Antiqua" w:hAnsi="Book Antiqua"/>
          <w:b/>
          <w:color w:val="156082" w:themeColor="accent1"/>
          <w:sz w:val="16"/>
          <w:szCs w:val="16"/>
        </w:rPr>
        <w:t>South and Southeast Asia</w:t>
      </w:r>
    </w:p>
    <w:p w14:paraId="346FF856" w14:textId="6FA4D90C" w:rsidR="00DB2D52" w:rsidRPr="008263BC" w:rsidRDefault="00017E68" w:rsidP="008263BC">
      <w:pPr>
        <w:spacing w:line="240" w:lineRule="auto"/>
        <w:jc w:val="both"/>
        <w:rPr>
          <w:rFonts w:ascii="Book Antiqua" w:hAnsi="Book Antiqua"/>
          <w:bCs/>
          <w:color w:val="auto"/>
          <w:sz w:val="16"/>
          <w:szCs w:val="16"/>
        </w:rPr>
      </w:pPr>
      <w:r w:rsidRPr="008263BC">
        <w:rPr>
          <w:rFonts w:ascii="Book Antiqua" w:hAnsi="Book Antiqua"/>
          <w:bCs/>
          <w:color w:val="auto"/>
          <w:sz w:val="16"/>
          <w:szCs w:val="16"/>
        </w:rPr>
        <w:t>This stage concentrates on South and Southeast Asian contexts, focusing deeply on socio-cultural barriers, state-led infrastructures, and the direct impacts on livelihoods and micro-entrepreneurship.</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969"/>
        <w:gridCol w:w="2835"/>
        <w:gridCol w:w="1994"/>
      </w:tblGrid>
      <w:tr w:rsidR="00D71981" w:rsidRPr="008263BC" w14:paraId="75C920DE" w14:textId="77777777" w:rsidTr="00F25CA7">
        <w:tc>
          <w:tcPr>
            <w:tcW w:w="562" w:type="dxa"/>
            <w:shd w:val="clear" w:color="auto" w:fill="1B365D"/>
            <w:tcMar>
              <w:top w:w="140" w:type="dxa"/>
              <w:left w:w="150" w:type="dxa"/>
              <w:bottom w:w="140" w:type="dxa"/>
              <w:right w:w="150" w:type="dxa"/>
            </w:tcMar>
          </w:tcPr>
          <w:p w14:paraId="003D6DA7"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b/>
                <w:color w:val="FFFFFF"/>
                <w:sz w:val="15"/>
                <w:szCs w:val="15"/>
              </w:rPr>
              <w:t>ID</w:t>
            </w:r>
          </w:p>
        </w:tc>
        <w:tc>
          <w:tcPr>
            <w:tcW w:w="3969" w:type="dxa"/>
            <w:shd w:val="clear" w:color="auto" w:fill="1B365D"/>
            <w:tcMar>
              <w:top w:w="140" w:type="dxa"/>
              <w:left w:w="150" w:type="dxa"/>
              <w:bottom w:w="140" w:type="dxa"/>
              <w:right w:w="150" w:type="dxa"/>
            </w:tcMar>
          </w:tcPr>
          <w:p w14:paraId="4FA45B63"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b/>
                <w:color w:val="FFFFFF"/>
                <w:sz w:val="15"/>
                <w:szCs w:val="15"/>
              </w:rPr>
              <w:t>Journal Reference</w:t>
            </w:r>
          </w:p>
        </w:tc>
        <w:tc>
          <w:tcPr>
            <w:tcW w:w="2835" w:type="dxa"/>
            <w:shd w:val="clear" w:color="auto" w:fill="1B365D"/>
            <w:tcMar>
              <w:top w:w="140" w:type="dxa"/>
              <w:left w:w="150" w:type="dxa"/>
              <w:bottom w:w="140" w:type="dxa"/>
              <w:right w:w="150" w:type="dxa"/>
            </w:tcMar>
          </w:tcPr>
          <w:p w14:paraId="6F52B5E3"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b/>
                <w:color w:val="FFFFFF"/>
                <w:sz w:val="15"/>
                <w:szCs w:val="15"/>
              </w:rPr>
              <w:t>Key Findings</w:t>
            </w:r>
          </w:p>
        </w:tc>
        <w:tc>
          <w:tcPr>
            <w:tcW w:w="1994" w:type="dxa"/>
            <w:shd w:val="clear" w:color="auto" w:fill="1B365D"/>
            <w:tcMar>
              <w:top w:w="140" w:type="dxa"/>
              <w:left w:w="150" w:type="dxa"/>
              <w:bottom w:w="140" w:type="dxa"/>
              <w:right w:w="150" w:type="dxa"/>
            </w:tcMar>
          </w:tcPr>
          <w:p w14:paraId="5318B448"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b/>
                <w:color w:val="FFFFFF"/>
                <w:sz w:val="15"/>
                <w:szCs w:val="15"/>
              </w:rPr>
              <w:t>Analytical Usefulness</w:t>
            </w:r>
          </w:p>
        </w:tc>
      </w:tr>
      <w:tr w:rsidR="00D71981" w:rsidRPr="008263BC" w14:paraId="23E1056D" w14:textId="77777777" w:rsidTr="00F25CA7">
        <w:tc>
          <w:tcPr>
            <w:tcW w:w="562" w:type="dxa"/>
            <w:shd w:val="clear" w:color="auto" w:fill="FFFFFF"/>
            <w:tcMar>
              <w:top w:w="100" w:type="dxa"/>
              <w:left w:w="120" w:type="dxa"/>
              <w:bottom w:w="100" w:type="dxa"/>
              <w:right w:w="120" w:type="dxa"/>
            </w:tcMar>
          </w:tcPr>
          <w:p w14:paraId="3FFEE85F" w14:textId="090320B7"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71</w:t>
            </w:r>
          </w:p>
        </w:tc>
        <w:tc>
          <w:tcPr>
            <w:tcW w:w="3969" w:type="dxa"/>
            <w:shd w:val="clear" w:color="auto" w:fill="FFFFFF"/>
            <w:tcMar>
              <w:top w:w="100" w:type="dxa"/>
              <w:left w:w="120" w:type="dxa"/>
              <w:bottom w:w="100" w:type="dxa"/>
              <w:right w:w="120" w:type="dxa"/>
            </w:tcMar>
          </w:tcPr>
          <w:p w14:paraId="31256AF1" w14:textId="519FCFAA" w:rsidR="00D71981" w:rsidRPr="00E461E4" w:rsidRDefault="00486A29" w:rsidP="008263BC">
            <w:pPr>
              <w:spacing w:after="0" w:line="240" w:lineRule="auto"/>
              <w:rPr>
                <w:rFonts w:ascii="Book Antiqua" w:hAnsi="Book Antiqua"/>
                <w:sz w:val="15"/>
                <w:szCs w:val="15"/>
              </w:rPr>
            </w:pPr>
            <w:r w:rsidRPr="00E461E4">
              <w:rPr>
                <w:rFonts w:ascii="Book Antiqua" w:hAnsi="Book Antiqua"/>
                <w:sz w:val="15"/>
                <w:szCs w:val="15"/>
              </w:rPr>
              <w:t xml:space="preserve">Morgan, P.J. (2022) 'Fintech and financial inclusion in Southeast Asia and India', </w:t>
            </w:r>
            <w:r w:rsidRPr="00E461E4">
              <w:rPr>
                <w:rFonts w:ascii="Book Antiqua" w:hAnsi="Book Antiqua"/>
                <w:i/>
                <w:iCs/>
                <w:sz w:val="15"/>
                <w:szCs w:val="15"/>
              </w:rPr>
              <w:t>Asian Economic Policy Review</w:t>
            </w:r>
            <w:r w:rsidRPr="00E461E4">
              <w:rPr>
                <w:rFonts w:ascii="Book Antiqua" w:hAnsi="Book Antiqua"/>
                <w:sz w:val="15"/>
                <w:szCs w:val="15"/>
              </w:rPr>
              <w:t>, 17(2), pp. 183–208.</w:t>
            </w:r>
          </w:p>
        </w:tc>
        <w:tc>
          <w:tcPr>
            <w:tcW w:w="2835" w:type="dxa"/>
            <w:shd w:val="clear" w:color="auto" w:fill="FFFFFF"/>
            <w:tcMar>
              <w:top w:w="100" w:type="dxa"/>
              <w:left w:w="120" w:type="dxa"/>
              <w:bottom w:w="100" w:type="dxa"/>
              <w:right w:w="120" w:type="dxa"/>
            </w:tcMar>
          </w:tcPr>
          <w:p w14:paraId="03845EA5" w14:textId="5BF59036" w:rsidR="00D71981" w:rsidRPr="00224BE8" w:rsidRDefault="00527D70" w:rsidP="008263BC">
            <w:pPr>
              <w:spacing w:after="0" w:line="240" w:lineRule="auto"/>
              <w:rPr>
                <w:rFonts w:ascii="Book Antiqua" w:hAnsi="Book Antiqua"/>
                <w:sz w:val="15"/>
                <w:szCs w:val="15"/>
              </w:rPr>
            </w:pPr>
            <w:r w:rsidRPr="00527D70">
              <w:rPr>
                <w:rFonts w:ascii="Book Antiqua" w:hAnsi="Book Antiqua"/>
                <w:sz w:val="15"/>
                <w:szCs w:val="15"/>
              </w:rPr>
              <w:t>India follow different policy and regulatory pathways but demonstrate improvements in access to finance.</w:t>
            </w:r>
          </w:p>
        </w:tc>
        <w:tc>
          <w:tcPr>
            <w:tcW w:w="1994" w:type="dxa"/>
            <w:shd w:val="clear" w:color="auto" w:fill="FFFFFF"/>
            <w:tcMar>
              <w:top w:w="100" w:type="dxa"/>
              <w:left w:w="120" w:type="dxa"/>
              <w:bottom w:w="100" w:type="dxa"/>
              <w:right w:w="120" w:type="dxa"/>
            </w:tcMar>
          </w:tcPr>
          <w:p w14:paraId="082F912C" w14:textId="316C53CA" w:rsidR="00D71981" w:rsidRPr="00B26521" w:rsidRDefault="00B26521" w:rsidP="008263BC">
            <w:pPr>
              <w:spacing w:after="0" w:line="240" w:lineRule="auto"/>
              <w:rPr>
                <w:rFonts w:ascii="Book Antiqua" w:hAnsi="Book Antiqua"/>
                <w:sz w:val="15"/>
                <w:szCs w:val="15"/>
              </w:rPr>
            </w:pPr>
            <w:r w:rsidRPr="00B26521">
              <w:rPr>
                <w:rFonts w:ascii="Book Antiqua" w:hAnsi="Book Antiqua"/>
                <w:sz w:val="15"/>
                <w:szCs w:val="15"/>
              </w:rPr>
              <w:t>Compares South Asia (India) with Southeast Asia and fram</w:t>
            </w:r>
            <w:r>
              <w:rPr>
                <w:rFonts w:ascii="Book Antiqua" w:hAnsi="Book Antiqua"/>
                <w:sz w:val="15"/>
                <w:szCs w:val="15"/>
              </w:rPr>
              <w:t xml:space="preserve">es </w:t>
            </w:r>
            <w:r w:rsidRPr="00B26521">
              <w:rPr>
                <w:rFonts w:ascii="Book Antiqua" w:hAnsi="Book Antiqua"/>
                <w:sz w:val="15"/>
                <w:szCs w:val="15"/>
              </w:rPr>
              <w:t>regional policy differences.</w:t>
            </w:r>
          </w:p>
        </w:tc>
      </w:tr>
      <w:tr w:rsidR="00D71981" w:rsidRPr="008263BC" w14:paraId="0E67D910" w14:textId="77777777" w:rsidTr="00F25CA7">
        <w:tc>
          <w:tcPr>
            <w:tcW w:w="562" w:type="dxa"/>
            <w:shd w:val="clear" w:color="auto" w:fill="F9FBFD"/>
            <w:tcMar>
              <w:top w:w="100" w:type="dxa"/>
              <w:left w:w="120" w:type="dxa"/>
              <w:bottom w:w="100" w:type="dxa"/>
              <w:right w:w="120" w:type="dxa"/>
            </w:tcMar>
          </w:tcPr>
          <w:p w14:paraId="0A99E22B" w14:textId="6F6D911F"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72</w:t>
            </w:r>
          </w:p>
        </w:tc>
        <w:tc>
          <w:tcPr>
            <w:tcW w:w="3969" w:type="dxa"/>
            <w:shd w:val="clear" w:color="auto" w:fill="F9FBFD"/>
            <w:tcMar>
              <w:top w:w="100" w:type="dxa"/>
              <w:left w:w="120" w:type="dxa"/>
              <w:bottom w:w="100" w:type="dxa"/>
              <w:right w:w="120" w:type="dxa"/>
            </w:tcMar>
          </w:tcPr>
          <w:p w14:paraId="4C864E9B" w14:textId="3BAAEDD3" w:rsidR="00D71981" w:rsidRPr="00E461E4" w:rsidRDefault="00D145C6" w:rsidP="008263BC">
            <w:pPr>
              <w:spacing w:after="0" w:line="240" w:lineRule="auto"/>
              <w:rPr>
                <w:rFonts w:ascii="Book Antiqua" w:hAnsi="Book Antiqua"/>
                <w:sz w:val="15"/>
                <w:szCs w:val="15"/>
              </w:rPr>
            </w:pPr>
            <w:r w:rsidRPr="00E461E4">
              <w:rPr>
                <w:rFonts w:ascii="Book Antiqua" w:hAnsi="Book Antiqua"/>
                <w:sz w:val="15"/>
                <w:szCs w:val="15"/>
              </w:rPr>
              <w:t xml:space="preserve">Kakar, M.K., Mahmood, T. and Shahab, S. (2022) 'Control causality in the finance-growth nexus: Super-exogeneity test evidence from SAARC countries', </w:t>
            </w:r>
            <w:r w:rsidRPr="00E461E4">
              <w:rPr>
                <w:rFonts w:ascii="Book Antiqua" w:hAnsi="Book Antiqua"/>
                <w:i/>
                <w:iCs/>
                <w:sz w:val="15"/>
                <w:szCs w:val="15"/>
              </w:rPr>
              <w:t>South Asian Journal of Macroeconomics and Public Finance</w:t>
            </w:r>
            <w:r w:rsidRPr="00E461E4">
              <w:rPr>
                <w:rFonts w:ascii="Book Antiqua" w:hAnsi="Book Antiqua"/>
                <w:sz w:val="15"/>
                <w:szCs w:val="15"/>
              </w:rPr>
              <w:t>.</w:t>
            </w:r>
          </w:p>
        </w:tc>
        <w:tc>
          <w:tcPr>
            <w:tcW w:w="2835" w:type="dxa"/>
            <w:shd w:val="clear" w:color="auto" w:fill="F9FBFD"/>
            <w:tcMar>
              <w:top w:w="100" w:type="dxa"/>
              <w:left w:w="120" w:type="dxa"/>
              <w:bottom w:w="100" w:type="dxa"/>
              <w:right w:w="120" w:type="dxa"/>
            </w:tcMar>
          </w:tcPr>
          <w:p w14:paraId="578278FB" w14:textId="56DEE72A" w:rsidR="00D71981" w:rsidRPr="00224BE8" w:rsidRDefault="00AE5790" w:rsidP="008263BC">
            <w:pPr>
              <w:spacing w:after="0" w:line="240" w:lineRule="auto"/>
              <w:rPr>
                <w:rFonts w:ascii="Book Antiqua" w:hAnsi="Book Antiqua"/>
                <w:sz w:val="15"/>
                <w:szCs w:val="15"/>
              </w:rPr>
            </w:pPr>
            <w:r w:rsidRPr="00AE5790">
              <w:rPr>
                <w:rFonts w:ascii="Book Antiqua" w:hAnsi="Book Antiqua"/>
                <w:sz w:val="15"/>
                <w:szCs w:val="15"/>
              </w:rPr>
              <w:t>Finds mixed causal relationships between financial deepening and economic growth across South Asian economies.</w:t>
            </w:r>
          </w:p>
        </w:tc>
        <w:tc>
          <w:tcPr>
            <w:tcW w:w="1994" w:type="dxa"/>
            <w:shd w:val="clear" w:color="auto" w:fill="F9FBFD"/>
            <w:tcMar>
              <w:top w:w="100" w:type="dxa"/>
              <w:left w:w="120" w:type="dxa"/>
              <w:bottom w:w="100" w:type="dxa"/>
              <w:right w:w="120" w:type="dxa"/>
            </w:tcMar>
          </w:tcPr>
          <w:p w14:paraId="43682BDF" w14:textId="5260DA12" w:rsidR="00D71981" w:rsidRPr="00224BE8" w:rsidRDefault="00AE5790" w:rsidP="008263BC">
            <w:pPr>
              <w:spacing w:after="0" w:line="240" w:lineRule="auto"/>
              <w:rPr>
                <w:rFonts w:ascii="Book Antiqua" w:hAnsi="Book Antiqua"/>
                <w:sz w:val="15"/>
                <w:szCs w:val="15"/>
              </w:rPr>
            </w:pPr>
            <w:r w:rsidRPr="00AE5790">
              <w:rPr>
                <w:rFonts w:ascii="Book Antiqua" w:hAnsi="Book Antiqua"/>
                <w:sz w:val="15"/>
                <w:szCs w:val="15"/>
              </w:rPr>
              <w:t>Demonstrates that financial deepening has heterogeneous effects across South Asia.</w:t>
            </w:r>
          </w:p>
        </w:tc>
      </w:tr>
      <w:tr w:rsidR="00D71981" w:rsidRPr="008263BC" w14:paraId="7D845B5E" w14:textId="77777777" w:rsidTr="00F25CA7">
        <w:trPr>
          <w:trHeight w:val="504"/>
        </w:trPr>
        <w:tc>
          <w:tcPr>
            <w:tcW w:w="562" w:type="dxa"/>
            <w:shd w:val="clear" w:color="auto" w:fill="FFFFFF"/>
            <w:tcMar>
              <w:top w:w="100" w:type="dxa"/>
              <w:left w:w="120" w:type="dxa"/>
              <w:bottom w:w="100" w:type="dxa"/>
              <w:right w:w="120" w:type="dxa"/>
            </w:tcMar>
          </w:tcPr>
          <w:p w14:paraId="40FF067E" w14:textId="46732B89"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73</w:t>
            </w:r>
          </w:p>
        </w:tc>
        <w:tc>
          <w:tcPr>
            <w:tcW w:w="3969" w:type="dxa"/>
            <w:shd w:val="clear" w:color="auto" w:fill="FFFFFF"/>
            <w:tcMar>
              <w:top w:w="100" w:type="dxa"/>
              <w:left w:w="120" w:type="dxa"/>
              <w:bottom w:w="100" w:type="dxa"/>
              <w:right w:w="120" w:type="dxa"/>
            </w:tcMar>
          </w:tcPr>
          <w:p w14:paraId="12A8D4C9" w14:textId="2F02D9DD" w:rsidR="00D71981" w:rsidRPr="00E461E4" w:rsidRDefault="00D71981" w:rsidP="008263BC">
            <w:pPr>
              <w:spacing w:after="0" w:line="240" w:lineRule="auto"/>
              <w:rPr>
                <w:rFonts w:ascii="Book Antiqua" w:hAnsi="Book Antiqua"/>
                <w:sz w:val="15"/>
                <w:szCs w:val="15"/>
              </w:rPr>
            </w:pPr>
            <w:r w:rsidRPr="00E461E4">
              <w:rPr>
                <w:rFonts w:ascii="Book Antiqua" w:hAnsi="Book Antiqua"/>
                <w:sz w:val="15"/>
                <w:szCs w:val="15"/>
              </w:rPr>
              <w:t xml:space="preserve">Shofawati, A. (2019) 'The role of digital finance </w:t>
            </w:r>
            <w:r w:rsidR="003C21B3" w:rsidRPr="00E461E4">
              <w:rPr>
                <w:rFonts w:ascii="Book Antiqua" w:hAnsi="Book Antiqua"/>
                <w:sz w:val="15"/>
                <w:szCs w:val="15"/>
              </w:rPr>
              <w:t xml:space="preserve">to strengthen financial inclusion and the growth of SME </w:t>
            </w:r>
            <w:r w:rsidRPr="00E461E4">
              <w:rPr>
                <w:rFonts w:ascii="Book Antiqua" w:hAnsi="Book Antiqua"/>
                <w:sz w:val="15"/>
                <w:szCs w:val="15"/>
              </w:rPr>
              <w:t xml:space="preserve">in Indonesia', </w:t>
            </w:r>
            <w:r w:rsidR="003C4AF0" w:rsidRPr="00E461E4">
              <w:rPr>
                <w:rFonts w:ascii="Book Antiqua" w:hAnsi="Book Antiqua"/>
                <w:i/>
                <w:iCs/>
                <w:sz w:val="15"/>
                <w:szCs w:val="15"/>
              </w:rPr>
              <w:t>KnE Social Sciences</w:t>
            </w:r>
            <w:r w:rsidR="003C4AF0" w:rsidRPr="00E461E4">
              <w:rPr>
                <w:rFonts w:ascii="Book Antiqua" w:hAnsi="Book Antiqua"/>
                <w:sz w:val="15"/>
                <w:szCs w:val="15"/>
              </w:rPr>
              <w:t xml:space="preserve">, </w:t>
            </w:r>
            <w:r w:rsidR="003C4AF0" w:rsidRPr="00F25CA7">
              <w:rPr>
                <w:rFonts w:ascii="Book Antiqua" w:hAnsi="Book Antiqua"/>
                <w:sz w:val="13"/>
                <w:szCs w:val="13"/>
              </w:rPr>
              <w:t>pp.389-407.</w:t>
            </w:r>
          </w:p>
        </w:tc>
        <w:tc>
          <w:tcPr>
            <w:tcW w:w="2835" w:type="dxa"/>
            <w:shd w:val="clear" w:color="auto" w:fill="FFFFFF"/>
            <w:tcMar>
              <w:top w:w="100" w:type="dxa"/>
              <w:left w:w="120" w:type="dxa"/>
              <w:bottom w:w="100" w:type="dxa"/>
              <w:right w:w="120" w:type="dxa"/>
            </w:tcMar>
          </w:tcPr>
          <w:p w14:paraId="71F7E1A8" w14:textId="0BB31F77" w:rsidR="00D71981" w:rsidRPr="00224BE8" w:rsidRDefault="00D71981" w:rsidP="008263BC">
            <w:pPr>
              <w:spacing w:after="0" w:line="240" w:lineRule="auto"/>
              <w:rPr>
                <w:rFonts w:ascii="Book Antiqua" w:hAnsi="Book Antiqua"/>
                <w:sz w:val="15"/>
                <w:szCs w:val="15"/>
              </w:rPr>
            </w:pPr>
            <w:r w:rsidRPr="00224BE8">
              <w:rPr>
                <w:rFonts w:ascii="Book Antiqua" w:hAnsi="Book Antiqua"/>
                <w:sz w:val="15"/>
                <w:szCs w:val="15"/>
              </w:rPr>
              <w:t xml:space="preserve">Analyzes how Islamic fintech and </w:t>
            </w:r>
            <w:r w:rsidR="00F25CA7">
              <w:rPr>
                <w:rFonts w:ascii="Book Antiqua" w:hAnsi="Book Antiqua"/>
                <w:sz w:val="15"/>
                <w:szCs w:val="15"/>
              </w:rPr>
              <w:t>P2P</w:t>
            </w:r>
            <w:r w:rsidRPr="00224BE8">
              <w:rPr>
                <w:rFonts w:ascii="Book Antiqua" w:hAnsi="Book Antiqua"/>
                <w:sz w:val="15"/>
                <w:szCs w:val="15"/>
              </w:rPr>
              <w:t xml:space="preserve"> lending bypass conventional financial constraints in Indonesia.</w:t>
            </w:r>
          </w:p>
        </w:tc>
        <w:tc>
          <w:tcPr>
            <w:tcW w:w="1994" w:type="dxa"/>
            <w:shd w:val="clear" w:color="auto" w:fill="FFFFFF"/>
            <w:tcMar>
              <w:top w:w="100" w:type="dxa"/>
              <w:left w:w="120" w:type="dxa"/>
              <w:bottom w:w="100" w:type="dxa"/>
              <w:right w:w="120" w:type="dxa"/>
            </w:tcMar>
          </w:tcPr>
          <w:p w14:paraId="4D98E48A"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sz w:val="15"/>
                <w:szCs w:val="15"/>
              </w:rPr>
              <w:t>Provides a cultural framework for analyzing fintech adoption models in Southeast Asia.</w:t>
            </w:r>
          </w:p>
        </w:tc>
      </w:tr>
      <w:tr w:rsidR="00D71981" w:rsidRPr="008263BC" w14:paraId="44147FAE" w14:textId="77777777" w:rsidTr="00F25CA7">
        <w:trPr>
          <w:trHeight w:val="532"/>
        </w:trPr>
        <w:tc>
          <w:tcPr>
            <w:tcW w:w="562" w:type="dxa"/>
            <w:shd w:val="clear" w:color="auto" w:fill="F9FBFD"/>
            <w:tcMar>
              <w:top w:w="100" w:type="dxa"/>
              <w:left w:w="120" w:type="dxa"/>
              <w:bottom w:w="100" w:type="dxa"/>
              <w:right w:w="120" w:type="dxa"/>
            </w:tcMar>
          </w:tcPr>
          <w:p w14:paraId="59B2322A" w14:textId="67593259"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74</w:t>
            </w:r>
          </w:p>
        </w:tc>
        <w:tc>
          <w:tcPr>
            <w:tcW w:w="3969" w:type="dxa"/>
            <w:shd w:val="clear" w:color="auto" w:fill="F9FBFD"/>
            <w:tcMar>
              <w:top w:w="100" w:type="dxa"/>
              <w:left w:w="120" w:type="dxa"/>
              <w:bottom w:w="100" w:type="dxa"/>
              <w:right w:w="120" w:type="dxa"/>
            </w:tcMar>
          </w:tcPr>
          <w:p w14:paraId="243B4968" w14:textId="1C8C86FD" w:rsidR="00D71981" w:rsidRPr="00E461E4" w:rsidRDefault="004E061D" w:rsidP="008263BC">
            <w:pPr>
              <w:spacing w:after="0" w:line="240" w:lineRule="auto"/>
              <w:rPr>
                <w:rFonts w:ascii="Book Antiqua" w:hAnsi="Book Antiqua"/>
                <w:sz w:val="15"/>
                <w:szCs w:val="15"/>
              </w:rPr>
            </w:pPr>
            <w:r w:rsidRPr="00E461E4">
              <w:rPr>
                <w:rFonts w:ascii="Book Antiqua" w:hAnsi="Book Antiqua"/>
                <w:sz w:val="15"/>
                <w:szCs w:val="15"/>
              </w:rPr>
              <w:t xml:space="preserve">Qamruzzaman, M. and Wei, J. (2018) 'Nexus between financial innovation and economic growth in South Asia: Evidence from ARDL and nonlinear ARDL approaches', </w:t>
            </w:r>
            <w:r w:rsidRPr="00E461E4">
              <w:rPr>
                <w:rFonts w:ascii="Book Antiqua" w:hAnsi="Book Antiqua"/>
                <w:i/>
                <w:iCs/>
                <w:sz w:val="15"/>
                <w:szCs w:val="15"/>
              </w:rPr>
              <w:t>Financial Innovation</w:t>
            </w:r>
            <w:r w:rsidRPr="00E461E4">
              <w:rPr>
                <w:rFonts w:ascii="Book Antiqua" w:hAnsi="Book Antiqua"/>
                <w:sz w:val="15"/>
                <w:szCs w:val="15"/>
              </w:rPr>
              <w:t>, 4, Article 20.</w:t>
            </w:r>
          </w:p>
        </w:tc>
        <w:tc>
          <w:tcPr>
            <w:tcW w:w="2835" w:type="dxa"/>
            <w:shd w:val="clear" w:color="auto" w:fill="F9FBFD"/>
            <w:tcMar>
              <w:top w:w="100" w:type="dxa"/>
              <w:left w:w="120" w:type="dxa"/>
              <w:bottom w:w="100" w:type="dxa"/>
              <w:right w:w="120" w:type="dxa"/>
            </w:tcMar>
          </w:tcPr>
          <w:p w14:paraId="117BCD96" w14:textId="2A8C8E04" w:rsidR="00D71981" w:rsidRPr="00224BE8" w:rsidRDefault="00340A59" w:rsidP="008263BC">
            <w:pPr>
              <w:spacing w:after="0" w:line="240" w:lineRule="auto"/>
              <w:rPr>
                <w:rFonts w:ascii="Book Antiqua" w:hAnsi="Book Antiqua"/>
                <w:sz w:val="15"/>
                <w:szCs w:val="15"/>
              </w:rPr>
            </w:pPr>
            <w:r w:rsidRPr="00340A59">
              <w:rPr>
                <w:rFonts w:ascii="Book Antiqua" w:hAnsi="Book Antiqua"/>
                <w:sz w:val="15"/>
                <w:szCs w:val="15"/>
              </w:rPr>
              <w:t>Financial innovation and economic growth reinforce each other through bidirectional causality.</w:t>
            </w:r>
          </w:p>
        </w:tc>
        <w:tc>
          <w:tcPr>
            <w:tcW w:w="1994" w:type="dxa"/>
            <w:shd w:val="clear" w:color="auto" w:fill="F9FBFD"/>
            <w:tcMar>
              <w:top w:w="100" w:type="dxa"/>
              <w:left w:w="120" w:type="dxa"/>
              <w:bottom w:w="100" w:type="dxa"/>
              <w:right w:w="120" w:type="dxa"/>
            </w:tcMar>
          </w:tcPr>
          <w:p w14:paraId="558AACD0" w14:textId="3CB94F87" w:rsidR="00D71981" w:rsidRPr="00224BE8" w:rsidRDefault="00D71981" w:rsidP="008263BC">
            <w:pPr>
              <w:spacing w:after="0" w:line="240" w:lineRule="auto"/>
              <w:rPr>
                <w:rFonts w:ascii="Book Antiqua" w:hAnsi="Book Antiqua"/>
                <w:sz w:val="15"/>
                <w:szCs w:val="15"/>
              </w:rPr>
            </w:pPr>
            <w:r w:rsidRPr="00224BE8">
              <w:rPr>
                <w:rFonts w:ascii="Book Antiqua" w:hAnsi="Book Antiqua"/>
                <w:sz w:val="15"/>
                <w:szCs w:val="15"/>
              </w:rPr>
              <w:t xml:space="preserve">Links </w:t>
            </w:r>
            <w:r w:rsidR="000A4091">
              <w:rPr>
                <w:rFonts w:ascii="Book Antiqua" w:hAnsi="Book Antiqua"/>
                <w:sz w:val="15"/>
                <w:szCs w:val="15"/>
              </w:rPr>
              <w:t>FinTech innovation</w:t>
            </w:r>
            <w:r w:rsidRPr="00224BE8">
              <w:rPr>
                <w:rFonts w:ascii="Book Antiqua" w:hAnsi="Book Antiqua"/>
                <w:sz w:val="15"/>
                <w:szCs w:val="15"/>
              </w:rPr>
              <w:t xml:space="preserve"> with macroeconomic resilience.</w:t>
            </w:r>
          </w:p>
        </w:tc>
      </w:tr>
      <w:tr w:rsidR="00D71981" w:rsidRPr="008263BC" w14:paraId="0D316284" w14:textId="77777777" w:rsidTr="00F25CA7">
        <w:trPr>
          <w:trHeight w:val="32"/>
        </w:trPr>
        <w:tc>
          <w:tcPr>
            <w:tcW w:w="562" w:type="dxa"/>
            <w:shd w:val="clear" w:color="auto" w:fill="FFFFFF"/>
            <w:tcMar>
              <w:top w:w="100" w:type="dxa"/>
              <w:left w:w="120" w:type="dxa"/>
              <w:bottom w:w="100" w:type="dxa"/>
              <w:right w:w="120" w:type="dxa"/>
            </w:tcMar>
          </w:tcPr>
          <w:p w14:paraId="61730110" w14:textId="2DB8D69A"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75</w:t>
            </w:r>
          </w:p>
        </w:tc>
        <w:tc>
          <w:tcPr>
            <w:tcW w:w="3969" w:type="dxa"/>
            <w:shd w:val="clear" w:color="auto" w:fill="FFFFFF"/>
            <w:tcMar>
              <w:top w:w="100" w:type="dxa"/>
              <w:left w:w="120" w:type="dxa"/>
              <w:bottom w:w="100" w:type="dxa"/>
              <w:right w:w="120" w:type="dxa"/>
            </w:tcMar>
          </w:tcPr>
          <w:p w14:paraId="13FCAE43" w14:textId="48364E87" w:rsidR="00D71981" w:rsidRPr="00E461E4" w:rsidRDefault="009F1E3D" w:rsidP="008263BC">
            <w:pPr>
              <w:spacing w:after="0" w:line="240" w:lineRule="auto"/>
              <w:rPr>
                <w:rFonts w:ascii="Book Antiqua" w:hAnsi="Book Antiqua"/>
                <w:sz w:val="15"/>
                <w:szCs w:val="15"/>
              </w:rPr>
            </w:pPr>
            <w:r w:rsidRPr="00E461E4">
              <w:rPr>
                <w:rFonts w:ascii="Book Antiqua" w:hAnsi="Book Antiqua"/>
                <w:sz w:val="15"/>
                <w:szCs w:val="15"/>
              </w:rPr>
              <w:t>Khera, P., Ng, S., Ogawa, S. and Sahay, R. (2022) 'Measuring digital financial inclusion in emerging market and developing economies: A new index', </w:t>
            </w:r>
            <w:r w:rsidRPr="00E461E4">
              <w:rPr>
                <w:rFonts w:ascii="Book Antiqua" w:hAnsi="Book Antiqua"/>
                <w:i/>
                <w:iCs/>
                <w:sz w:val="15"/>
                <w:szCs w:val="15"/>
              </w:rPr>
              <w:t>Asian Economic Policy Review</w:t>
            </w:r>
            <w:r w:rsidRPr="00E461E4">
              <w:rPr>
                <w:rFonts w:ascii="Book Antiqua" w:hAnsi="Book Antiqua"/>
                <w:sz w:val="15"/>
                <w:szCs w:val="15"/>
              </w:rPr>
              <w:t>, </w:t>
            </w:r>
            <w:r w:rsidRPr="00E461E4">
              <w:rPr>
                <w:rFonts w:ascii="Book Antiqua" w:hAnsi="Book Antiqua"/>
                <w:i/>
                <w:iCs/>
                <w:sz w:val="15"/>
                <w:szCs w:val="15"/>
              </w:rPr>
              <w:t>17</w:t>
            </w:r>
            <w:r w:rsidRPr="00E461E4">
              <w:rPr>
                <w:rFonts w:ascii="Book Antiqua" w:hAnsi="Book Antiqua"/>
                <w:sz w:val="15"/>
                <w:szCs w:val="15"/>
              </w:rPr>
              <w:t>(2), pp.213-230.</w:t>
            </w:r>
          </w:p>
        </w:tc>
        <w:tc>
          <w:tcPr>
            <w:tcW w:w="2835" w:type="dxa"/>
            <w:shd w:val="clear" w:color="auto" w:fill="FFFFFF"/>
            <w:tcMar>
              <w:top w:w="100" w:type="dxa"/>
              <w:left w:w="120" w:type="dxa"/>
              <w:bottom w:w="100" w:type="dxa"/>
              <w:right w:w="120" w:type="dxa"/>
            </w:tcMar>
          </w:tcPr>
          <w:p w14:paraId="5FB605F2"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sz w:val="15"/>
                <w:szCs w:val="15"/>
              </w:rPr>
              <w:t>Evaluates the gap between access to payment services and the lack of credit and insurance options in South Asia.</w:t>
            </w:r>
          </w:p>
        </w:tc>
        <w:tc>
          <w:tcPr>
            <w:tcW w:w="1994" w:type="dxa"/>
            <w:shd w:val="clear" w:color="auto" w:fill="FFFFFF"/>
            <w:tcMar>
              <w:top w:w="100" w:type="dxa"/>
              <w:left w:w="120" w:type="dxa"/>
              <w:bottom w:w="100" w:type="dxa"/>
              <w:right w:w="120" w:type="dxa"/>
            </w:tcMar>
          </w:tcPr>
          <w:p w14:paraId="650F0B4C"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sz w:val="15"/>
                <w:szCs w:val="15"/>
              </w:rPr>
              <w:t xml:space="preserve">Essential for analyzing why payment adoption does not automatically </w:t>
            </w:r>
            <w:r w:rsidRPr="00224BE8">
              <w:rPr>
                <w:rFonts w:ascii="Book Antiqua" w:hAnsi="Book Antiqua"/>
                <w:sz w:val="15"/>
                <w:szCs w:val="15"/>
              </w:rPr>
              <w:lastRenderedPageBreak/>
              <w:t>equal structural capital deepening.</w:t>
            </w:r>
          </w:p>
        </w:tc>
      </w:tr>
      <w:tr w:rsidR="00D71981" w:rsidRPr="008263BC" w14:paraId="306C23F1" w14:textId="77777777" w:rsidTr="00F25CA7">
        <w:tc>
          <w:tcPr>
            <w:tcW w:w="562" w:type="dxa"/>
            <w:shd w:val="clear" w:color="auto" w:fill="F9FBFD"/>
            <w:tcMar>
              <w:top w:w="100" w:type="dxa"/>
              <w:left w:w="120" w:type="dxa"/>
              <w:bottom w:w="100" w:type="dxa"/>
              <w:right w:w="120" w:type="dxa"/>
            </w:tcMar>
          </w:tcPr>
          <w:p w14:paraId="3A9D17C1" w14:textId="762AD525"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lastRenderedPageBreak/>
              <w:t>76</w:t>
            </w:r>
          </w:p>
        </w:tc>
        <w:tc>
          <w:tcPr>
            <w:tcW w:w="3969" w:type="dxa"/>
            <w:shd w:val="clear" w:color="auto" w:fill="F9FBFD"/>
            <w:tcMar>
              <w:top w:w="100" w:type="dxa"/>
              <w:left w:w="120" w:type="dxa"/>
              <w:bottom w:w="100" w:type="dxa"/>
              <w:right w:w="120" w:type="dxa"/>
            </w:tcMar>
          </w:tcPr>
          <w:p w14:paraId="37A50AA0" w14:textId="3F08AE98" w:rsidR="00D71981" w:rsidRPr="00E461E4" w:rsidRDefault="00F33943" w:rsidP="008263BC">
            <w:pPr>
              <w:spacing w:after="0" w:line="240" w:lineRule="auto"/>
              <w:rPr>
                <w:rFonts w:ascii="Book Antiqua" w:hAnsi="Book Antiqua"/>
                <w:sz w:val="15"/>
                <w:szCs w:val="15"/>
              </w:rPr>
            </w:pPr>
            <w:r w:rsidRPr="00E461E4">
              <w:rPr>
                <w:rFonts w:ascii="Book Antiqua" w:hAnsi="Book Antiqua"/>
                <w:sz w:val="15"/>
                <w:szCs w:val="15"/>
              </w:rPr>
              <w:t xml:space="preserve">Perera, A. and Wickramanayake, J. (2012) 'Financial integration in selected South Asian countries', </w:t>
            </w:r>
            <w:r w:rsidRPr="00E461E4">
              <w:rPr>
                <w:rFonts w:ascii="Book Antiqua" w:hAnsi="Book Antiqua"/>
                <w:i/>
                <w:iCs/>
                <w:sz w:val="15"/>
                <w:szCs w:val="15"/>
              </w:rPr>
              <w:t>South Asian Journal of Global Business Research</w:t>
            </w:r>
            <w:r w:rsidRPr="00E461E4">
              <w:rPr>
                <w:rFonts w:ascii="Book Antiqua" w:hAnsi="Book Antiqua"/>
                <w:sz w:val="15"/>
                <w:szCs w:val="15"/>
              </w:rPr>
              <w:t>, 1(2), pp.210–237.</w:t>
            </w:r>
          </w:p>
        </w:tc>
        <w:tc>
          <w:tcPr>
            <w:tcW w:w="2835" w:type="dxa"/>
            <w:shd w:val="clear" w:color="auto" w:fill="F9FBFD"/>
            <w:tcMar>
              <w:top w:w="100" w:type="dxa"/>
              <w:left w:w="120" w:type="dxa"/>
              <w:bottom w:w="100" w:type="dxa"/>
              <w:right w:w="120" w:type="dxa"/>
            </w:tcMar>
          </w:tcPr>
          <w:p w14:paraId="519568DA" w14:textId="5674A9F0" w:rsidR="00D71981" w:rsidRPr="00224BE8" w:rsidRDefault="004D57F7" w:rsidP="008263BC">
            <w:pPr>
              <w:spacing w:after="0" w:line="240" w:lineRule="auto"/>
              <w:rPr>
                <w:rFonts w:ascii="Book Antiqua" w:hAnsi="Book Antiqua"/>
                <w:sz w:val="15"/>
                <w:szCs w:val="15"/>
              </w:rPr>
            </w:pPr>
            <w:r w:rsidRPr="004D57F7">
              <w:rPr>
                <w:rFonts w:ascii="Book Antiqua" w:hAnsi="Book Antiqua"/>
                <w:sz w:val="15"/>
                <w:szCs w:val="15"/>
              </w:rPr>
              <w:t>Financial market integration enhances capital market development and supports financial deepening.</w:t>
            </w:r>
          </w:p>
        </w:tc>
        <w:tc>
          <w:tcPr>
            <w:tcW w:w="1994" w:type="dxa"/>
            <w:shd w:val="clear" w:color="auto" w:fill="F9FBFD"/>
            <w:tcMar>
              <w:top w:w="100" w:type="dxa"/>
              <w:left w:w="120" w:type="dxa"/>
              <w:bottom w:w="100" w:type="dxa"/>
              <w:right w:w="120" w:type="dxa"/>
            </w:tcMar>
          </w:tcPr>
          <w:p w14:paraId="6BE44D08" w14:textId="7FAA3D59" w:rsidR="00D71981" w:rsidRPr="00224BE8" w:rsidRDefault="004D57F7" w:rsidP="008263BC">
            <w:pPr>
              <w:spacing w:after="0" w:line="240" w:lineRule="auto"/>
              <w:rPr>
                <w:rFonts w:ascii="Book Antiqua" w:hAnsi="Book Antiqua"/>
                <w:sz w:val="15"/>
                <w:szCs w:val="15"/>
              </w:rPr>
            </w:pPr>
            <w:r w:rsidRPr="004D57F7">
              <w:rPr>
                <w:rFonts w:ascii="Book Antiqua" w:hAnsi="Book Antiqua"/>
                <w:sz w:val="15"/>
                <w:szCs w:val="15"/>
              </w:rPr>
              <w:t>Useful for explaining regional financial deepening through market integration.</w:t>
            </w:r>
          </w:p>
        </w:tc>
      </w:tr>
      <w:tr w:rsidR="00D71981" w:rsidRPr="008263BC" w14:paraId="72A48CDC" w14:textId="77777777" w:rsidTr="00F25CA7">
        <w:tc>
          <w:tcPr>
            <w:tcW w:w="562" w:type="dxa"/>
            <w:shd w:val="clear" w:color="auto" w:fill="FFFFFF"/>
            <w:tcMar>
              <w:top w:w="100" w:type="dxa"/>
              <w:left w:w="120" w:type="dxa"/>
              <w:bottom w:w="100" w:type="dxa"/>
              <w:right w:w="120" w:type="dxa"/>
            </w:tcMar>
          </w:tcPr>
          <w:p w14:paraId="3FABAE17" w14:textId="6FF4DCBB"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77</w:t>
            </w:r>
          </w:p>
        </w:tc>
        <w:tc>
          <w:tcPr>
            <w:tcW w:w="3969" w:type="dxa"/>
            <w:shd w:val="clear" w:color="auto" w:fill="FFFFFF"/>
            <w:tcMar>
              <w:top w:w="100" w:type="dxa"/>
              <w:left w:w="120" w:type="dxa"/>
              <w:bottom w:w="100" w:type="dxa"/>
              <w:right w:w="120" w:type="dxa"/>
            </w:tcMar>
          </w:tcPr>
          <w:p w14:paraId="38428485" w14:textId="6706A897" w:rsidR="00D71981" w:rsidRPr="00E461E4" w:rsidRDefault="00513EDC" w:rsidP="008263BC">
            <w:pPr>
              <w:spacing w:after="0" w:line="240" w:lineRule="auto"/>
              <w:rPr>
                <w:rFonts w:ascii="Book Antiqua" w:hAnsi="Book Antiqua"/>
                <w:sz w:val="15"/>
                <w:szCs w:val="15"/>
              </w:rPr>
            </w:pPr>
            <w:r w:rsidRPr="00E461E4">
              <w:rPr>
                <w:rFonts w:ascii="Book Antiqua" w:hAnsi="Book Antiqua"/>
                <w:sz w:val="15"/>
                <w:szCs w:val="15"/>
              </w:rPr>
              <w:t>Anwar, S., Shahzadi, H. and Nasreen, S. (2017) 'Determinants of financial development for selected SAARC countries: A panel data analysis'</w:t>
            </w:r>
            <w:r w:rsidR="00952000" w:rsidRPr="00E461E4">
              <w:rPr>
                <w:rFonts w:ascii="Book Antiqua" w:hAnsi="Book Antiqua"/>
                <w:sz w:val="15"/>
                <w:szCs w:val="15"/>
              </w:rPr>
              <w:t xml:space="preserve">, </w:t>
            </w:r>
            <w:r w:rsidR="00D71981" w:rsidRPr="00E461E4">
              <w:rPr>
                <w:rFonts w:ascii="Book Antiqua" w:hAnsi="Book Antiqua"/>
                <w:i/>
                <w:iCs/>
                <w:sz w:val="15"/>
                <w:szCs w:val="15"/>
              </w:rPr>
              <w:t xml:space="preserve">Journal of </w:t>
            </w:r>
            <w:r w:rsidR="00952000" w:rsidRPr="00E461E4">
              <w:rPr>
                <w:rFonts w:ascii="Book Antiqua" w:hAnsi="Book Antiqua"/>
                <w:i/>
                <w:iCs/>
                <w:sz w:val="15"/>
                <w:szCs w:val="15"/>
              </w:rPr>
              <w:t>Applied Environmental and Biological Sciences</w:t>
            </w:r>
            <w:r w:rsidR="00D71981" w:rsidRPr="00E461E4">
              <w:rPr>
                <w:rFonts w:ascii="Book Antiqua" w:hAnsi="Book Antiqua"/>
                <w:i/>
                <w:iCs/>
                <w:sz w:val="15"/>
                <w:szCs w:val="15"/>
              </w:rPr>
              <w:t>,</w:t>
            </w:r>
            <w:r w:rsidR="00D71981" w:rsidRPr="00E461E4">
              <w:rPr>
                <w:rFonts w:ascii="Book Antiqua" w:hAnsi="Book Antiqua"/>
                <w:sz w:val="15"/>
                <w:szCs w:val="15"/>
              </w:rPr>
              <w:t xml:space="preserve"> </w:t>
            </w:r>
            <w:r w:rsidR="001C183C" w:rsidRPr="00E461E4">
              <w:rPr>
                <w:rFonts w:ascii="Book Antiqua" w:hAnsi="Book Antiqua"/>
                <w:i/>
                <w:iCs/>
                <w:sz w:val="15"/>
                <w:szCs w:val="15"/>
              </w:rPr>
              <w:t>7</w:t>
            </w:r>
            <w:r w:rsidR="001C183C" w:rsidRPr="00E461E4">
              <w:rPr>
                <w:rFonts w:ascii="Book Antiqua" w:hAnsi="Book Antiqua"/>
                <w:sz w:val="15"/>
                <w:szCs w:val="15"/>
              </w:rPr>
              <w:t>(7), pp.109-118.</w:t>
            </w:r>
          </w:p>
        </w:tc>
        <w:tc>
          <w:tcPr>
            <w:tcW w:w="2835" w:type="dxa"/>
            <w:shd w:val="clear" w:color="auto" w:fill="FFFFFF"/>
            <w:tcMar>
              <w:top w:w="100" w:type="dxa"/>
              <w:left w:w="120" w:type="dxa"/>
              <w:bottom w:w="100" w:type="dxa"/>
              <w:right w:w="120" w:type="dxa"/>
            </w:tcMar>
          </w:tcPr>
          <w:p w14:paraId="6AE2A5D3" w14:textId="1714D37C" w:rsidR="00D71981" w:rsidRPr="00224BE8" w:rsidRDefault="003536D0" w:rsidP="008263BC">
            <w:pPr>
              <w:spacing w:after="0" w:line="240" w:lineRule="auto"/>
              <w:rPr>
                <w:rFonts w:ascii="Book Antiqua" w:hAnsi="Book Antiqua"/>
                <w:sz w:val="15"/>
                <w:szCs w:val="15"/>
              </w:rPr>
            </w:pPr>
            <w:r w:rsidRPr="003536D0">
              <w:rPr>
                <w:rFonts w:ascii="Book Antiqua" w:hAnsi="Book Antiqua"/>
                <w:sz w:val="15"/>
                <w:szCs w:val="15"/>
              </w:rPr>
              <w:t>Trade openness, FDI, governance and education positively influence financial depth.</w:t>
            </w:r>
          </w:p>
        </w:tc>
        <w:tc>
          <w:tcPr>
            <w:tcW w:w="1994" w:type="dxa"/>
            <w:shd w:val="clear" w:color="auto" w:fill="FFFFFF"/>
            <w:tcMar>
              <w:top w:w="100" w:type="dxa"/>
              <w:left w:w="120" w:type="dxa"/>
              <w:bottom w:w="100" w:type="dxa"/>
              <w:right w:w="120" w:type="dxa"/>
            </w:tcMar>
          </w:tcPr>
          <w:p w14:paraId="140082BF" w14:textId="02D70DFD" w:rsidR="00D71981" w:rsidRPr="00224BE8" w:rsidRDefault="003536D0" w:rsidP="008263BC">
            <w:pPr>
              <w:spacing w:after="0" w:line="240" w:lineRule="auto"/>
              <w:rPr>
                <w:rFonts w:ascii="Book Antiqua" w:hAnsi="Book Antiqua"/>
                <w:sz w:val="15"/>
                <w:szCs w:val="15"/>
              </w:rPr>
            </w:pPr>
            <w:r w:rsidRPr="003536D0">
              <w:rPr>
                <w:rFonts w:ascii="Book Antiqua" w:hAnsi="Book Antiqua"/>
                <w:sz w:val="15"/>
                <w:szCs w:val="15"/>
              </w:rPr>
              <w:t>Identifies macroeconomic drivers of financial deepening.</w:t>
            </w:r>
          </w:p>
        </w:tc>
      </w:tr>
      <w:tr w:rsidR="00D71981" w:rsidRPr="008263BC" w14:paraId="38F34A02" w14:textId="77777777" w:rsidTr="00F25CA7">
        <w:tc>
          <w:tcPr>
            <w:tcW w:w="562" w:type="dxa"/>
            <w:shd w:val="clear" w:color="auto" w:fill="F9FBFD"/>
            <w:tcMar>
              <w:top w:w="100" w:type="dxa"/>
              <w:left w:w="120" w:type="dxa"/>
              <w:bottom w:w="100" w:type="dxa"/>
              <w:right w:w="120" w:type="dxa"/>
            </w:tcMar>
          </w:tcPr>
          <w:p w14:paraId="2DBCCBF5" w14:textId="22BA9387"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78</w:t>
            </w:r>
          </w:p>
        </w:tc>
        <w:tc>
          <w:tcPr>
            <w:tcW w:w="3969" w:type="dxa"/>
            <w:shd w:val="clear" w:color="auto" w:fill="F9FBFD"/>
            <w:tcMar>
              <w:top w:w="100" w:type="dxa"/>
              <w:left w:w="120" w:type="dxa"/>
              <w:bottom w:w="100" w:type="dxa"/>
              <w:right w:w="120" w:type="dxa"/>
            </w:tcMar>
          </w:tcPr>
          <w:p w14:paraId="3EE94F8B" w14:textId="068D06CD" w:rsidR="00D71981" w:rsidRPr="00E461E4" w:rsidRDefault="00297686" w:rsidP="008263BC">
            <w:pPr>
              <w:spacing w:after="0" w:line="240" w:lineRule="auto"/>
              <w:rPr>
                <w:rFonts w:ascii="Book Antiqua" w:hAnsi="Book Antiqua"/>
                <w:sz w:val="15"/>
                <w:szCs w:val="15"/>
              </w:rPr>
            </w:pPr>
            <w:r w:rsidRPr="00E461E4">
              <w:rPr>
                <w:rFonts w:ascii="Book Antiqua" w:hAnsi="Book Antiqua"/>
                <w:sz w:val="15"/>
                <w:szCs w:val="15"/>
              </w:rPr>
              <w:t xml:space="preserve">Hossin, M.S. (2020) 'Interest rate deregulation, financial development and economic growth: Evidence from Bangladesh', </w:t>
            </w:r>
            <w:r w:rsidRPr="00E461E4">
              <w:rPr>
                <w:rFonts w:ascii="Book Antiqua" w:hAnsi="Book Antiqua"/>
                <w:i/>
                <w:iCs/>
                <w:sz w:val="15"/>
                <w:szCs w:val="15"/>
              </w:rPr>
              <w:t>Vision</w:t>
            </w:r>
            <w:r w:rsidRPr="00E461E4">
              <w:rPr>
                <w:rFonts w:ascii="Book Antiqua" w:hAnsi="Book Antiqua"/>
                <w:sz w:val="15"/>
                <w:szCs w:val="15"/>
              </w:rPr>
              <w:t>, 24(4)</w:t>
            </w:r>
            <w:r w:rsidR="00DF775D" w:rsidRPr="00E461E4">
              <w:rPr>
                <w:rFonts w:ascii="Book Antiqua" w:hAnsi="Book Antiqua"/>
                <w:sz w:val="15"/>
                <w:szCs w:val="15"/>
              </w:rPr>
              <w:t>, pp.690-703.</w:t>
            </w:r>
          </w:p>
        </w:tc>
        <w:tc>
          <w:tcPr>
            <w:tcW w:w="2835" w:type="dxa"/>
            <w:shd w:val="clear" w:color="auto" w:fill="F9FBFD"/>
            <w:tcMar>
              <w:top w:w="100" w:type="dxa"/>
              <w:left w:w="120" w:type="dxa"/>
              <w:bottom w:w="100" w:type="dxa"/>
              <w:right w:w="120" w:type="dxa"/>
            </w:tcMar>
          </w:tcPr>
          <w:p w14:paraId="179D63A9" w14:textId="5A443644" w:rsidR="00D71981" w:rsidRPr="00224BE8" w:rsidRDefault="00DF775D" w:rsidP="008263BC">
            <w:pPr>
              <w:spacing w:after="0" w:line="240" w:lineRule="auto"/>
              <w:rPr>
                <w:rFonts w:ascii="Book Antiqua" w:hAnsi="Book Antiqua"/>
                <w:sz w:val="15"/>
                <w:szCs w:val="15"/>
              </w:rPr>
            </w:pPr>
            <w:r w:rsidRPr="00DF775D">
              <w:rPr>
                <w:rFonts w:ascii="Book Antiqua" w:hAnsi="Book Antiqua"/>
                <w:sz w:val="15"/>
                <w:szCs w:val="15"/>
              </w:rPr>
              <w:t>Interest-rate liberalization promotes financial depth and economic growth.</w:t>
            </w:r>
          </w:p>
        </w:tc>
        <w:tc>
          <w:tcPr>
            <w:tcW w:w="1994" w:type="dxa"/>
            <w:shd w:val="clear" w:color="auto" w:fill="F9FBFD"/>
            <w:tcMar>
              <w:top w:w="100" w:type="dxa"/>
              <w:left w:w="120" w:type="dxa"/>
              <w:bottom w:w="100" w:type="dxa"/>
              <w:right w:w="120" w:type="dxa"/>
            </w:tcMar>
          </w:tcPr>
          <w:p w14:paraId="0C050DE9" w14:textId="6AD89984" w:rsidR="00D71981" w:rsidRPr="00224BE8" w:rsidRDefault="007F5B83" w:rsidP="008263BC">
            <w:pPr>
              <w:spacing w:after="0" w:line="240" w:lineRule="auto"/>
              <w:rPr>
                <w:rFonts w:ascii="Book Antiqua" w:hAnsi="Book Antiqua"/>
                <w:sz w:val="15"/>
                <w:szCs w:val="15"/>
              </w:rPr>
            </w:pPr>
            <w:r w:rsidRPr="007F5B83">
              <w:rPr>
                <w:rFonts w:ascii="Book Antiqua" w:hAnsi="Book Antiqua"/>
                <w:sz w:val="15"/>
                <w:szCs w:val="15"/>
              </w:rPr>
              <w:t>Strong Bangladesh evidence on banking-sector deepening.</w:t>
            </w:r>
          </w:p>
        </w:tc>
      </w:tr>
      <w:tr w:rsidR="00D71981" w:rsidRPr="008263BC" w14:paraId="62CB83F2" w14:textId="77777777" w:rsidTr="00F25CA7">
        <w:trPr>
          <w:trHeight w:val="690"/>
        </w:trPr>
        <w:tc>
          <w:tcPr>
            <w:tcW w:w="562" w:type="dxa"/>
            <w:shd w:val="clear" w:color="auto" w:fill="FFFFFF"/>
            <w:tcMar>
              <w:top w:w="100" w:type="dxa"/>
              <w:left w:w="120" w:type="dxa"/>
              <w:bottom w:w="100" w:type="dxa"/>
              <w:right w:w="120" w:type="dxa"/>
            </w:tcMar>
          </w:tcPr>
          <w:p w14:paraId="686B0890" w14:textId="746509E0"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79</w:t>
            </w:r>
          </w:p>
        </w:tc>
        <w:tc>
          <w:tcPr>
            <w:tcW w:w="3969" w:type="dxa"/>
            <w:shd w:val="clear" w:color="auto" w:fill="FFFFFF"/>
            <w:tcMar>
              <w:top w:w="100" w:type="dxa"/>
              <w:left w:w="120" w:type="dxa"/>
              <w:bottom w:w="100" w:type="dxa"/>
              <w:right w:w="120" w:type="dxa"/>
            </w:tcMar>
          </w:tcPr>
          <w:p w14:paraId="6D347458" w14:textId="04DA6FD4" w:rsidR="00D71981" w:rsidRPr="00E461E4" w:rsidRDefault="00180EC4" w:rsidP="008263BC">
            <w:pPr>
              <w:spacing w:after="0" w:line="240" w:lineRule="auto"/>
              <w:rPr>
                <w:rFonts w:ascii="Book Antiqua" w:hAnsi="Book Antiqua"/>
                <w:sz w:val="15"/>
                <w:szCs w:val="15"/>
              </w:rPr>
            </w:pPr>
            <w:r w:rsidRPr="00E461E4">
              <w:rPr>
                <w:rFonts w:ascii="Book Antiqua" w:hAnsi="Book Antiqua"/>
                <w:sz w:val="15"/>
                <w:szCs w:val="15"/>
              </w:rPr>
              <w:t>Prasad, E., Rogoff, K., Wei, S.J. and Kose, M.A. (</w:t>
            </w:r>
            <w:r w:rsidR="001822A9" w:rsidRPr="00E461E4">
              <w:rPr>
                <w:rFonts w:ascii="Book Antiqua" w:hAnsi="Book Antiqua"/>
                <w:sz w:val="15"/>
                <w:szCs w:val="15"/>
              </w:rPr>
              <w:t>2003)</w:t>
            </w:r>
            <w:r w:rsidRPr="00E461E4">
              <w:rPr>
                <w:rFonts w:ascii="Book Antiqua" w:hAnsi="Book Antiqua"/>
                <w:sz w:val="15"/>
                <w:szCs w:val="15"/>
              </w:rPr>
              <w:t xml:space="preserve"> </w:t>
            </w:r>
            <w:r w:rsidR="001822A9" w:rsidRPr="00E461E4">
              <w:rPr>
                <w:rFonts w:ascii="Book Antiqua" w:hAnsi="Book Antiqua"/>
                <w:sz w:val="15"/>
                <w:szCs w:val="15"/>
              </w:rPr>
              <w:t>'</w:t>
            </w:r>
            <w:r w:rsidRPr="00E461E4">
              <w:rPr>
                <w:rFonts w:ascii="Book Antiqua" w:hAnsi="Book Antiqua"/>
                <w:sz w:val="15"/>
                <w:szCs w:val="15"/>
              </w:rPr>
              <w:t>Effects of financial globalization on developing countries: some empirical evidence</w:t>
            </w:r>
            <w:r w:rsidR="001822A9" w:rsidRPr="00E461E4">
              <w:rPr>
                <w:rFonts w:ascii="Book Antiqua" w:hAnsi="Book Antiqua"/>
                <w:sz w:val="15"/>
                <w:szCs w:val="15"/>
              </w:rPr>
              <w:t>',</w:t>
            </w:r>
            <w:r w:rsidRPr="00E461E4">
              <w:rPr>
                <w:rFonts w:ascii="Book Antiqua" w:hAnsi="Book Antiqua"/>
                <w:sz w:val="15"/>
                <w:szCs w:val="15"/>
              </w:rPr>
              <w:t xml:space="preserve"> In </w:t>
            </w:r>
            <w:r w:rsidRPr="00E461E4">
              <w:rPr>
                <w:rFonts w:ascii="Book Antiqua" w:hAnsi="Book Antiqua"/>
                <w:i/>
                <w:iCs/>
                <w:sz w:val="15"/>
                <w:szCs w:val="15"/>
              </w:rPr>
              <w:t>India’s and China’s recent experience with reform and growth</w:t>
            </w:r>
            <w:r w:rsidRPr="00E461E4">
              <w:rPr>
                <w:rFonts w:ascii="Book Antiqua" w:hAnsi="Book Antiqua"/>
                <w:sz w:val="15"/>
                <w:szCs w:val="15"/>
              </w:rPr>
              <w:t> (pp. 201-228). London: Palgrave Macmillan UK.</w:t>
            </w:r>
          </w:p>
        </w:tc>
        <w:tc>
          <w:tcPr>
            <w:tcW w:w="2835" w:type="dxa"/>
            <w:shd w:val="clear" w:color="auto" w:fill="FFFFFF"/>
            <w:tcMar>
              <w:top w:w="100" w:type="dxa"/>
              <w:left w:w="120" w:type="dxa"/>
              <w:bottom w:w="100" w:type="dxa"/>
              <w:right w:w="120" w:type="dxa"/>
            </w:tcMar>
          </w:tcPr>
          <w:p w14:paraId="106053BA" w14:textId="5830FC6B" w:rsidR="00D71981" w:rsidRPr="00224BE8" w:rsidRDefault="00586529" w:rsidP="008263BC">
            <w:pPr>
              <w:spacing w:after="0" w:line="240" w:lineRule="auto"/>
              <w:rPr>
                <w:rFonts w:ascii="Book Antiqua" w:hAnsi="Book Antiqua"/>
                <w:sz w:val="15"/>
                <w:szCs w:val="15"/>
              </w:rPr>
            </w:pPr>
            <w:r w:rsidRPr="00586529">
              <w:rPr>
                <w:rFonts w:ascii="Book Antiqua" w:hAnsi="Book Antiqua"/>
                <w:sz w:val="15"/>
                <w:szCs w:val="15"/>
              </w:rPr>
              <w:t>Financial liberalization contributes to financial market development when institutions are strong.</w:t>
            </w:r>
          </w:p>
        </w:tc>
        <w:tc>
          <w:tcPr>
            <w:tcW w:w="1994" w:type="dxa"/>
            <w:shd w:val="clear" w:color="auto" w:fill="FFFFFF"/>
            <w:tcMar>
              <w:top w:w="100" w:type="dxa"/>
              <w:left w:w="120" w:type="dxa"/>
              <w:bottom w:w="100" w:type="dxa"/>
              <w:right w:w="120" w:type="dxa"/>
            </w:tcMar>
          </w:tcPr>
          <w:p w14:paraId="5A78AE81" w14:textId="7BDB949E" w:rsidR="00D71981" w:rsidRPr="00224BE8" w:rsidRDefault="00567878" w:rsidP="008263BC">
            <w:pPr>
              <w:spacing w:after="0" w:line="240" w:lineRule="auto"/>
              <w:rPr>
                <w:rFonts w:ascii="Book Antiqua" w:hAnsi="Book Antiqua"/>
                <w:sz w:val="15"/>
                <w:szCs w:val="15"/>
              </w:rPr>
            </w:pPr>
            <w:r w:rsidRPr="00567878">
              <w:rPr>
                <w:rFonts w:ascii="Book Antiqua" w:hAnsi="Book Antiqua"/>
                <w:sz w:val="15"/>
                <w:szCs w:val="15"/>
              </w:rPr>
              <w:t>Supports institutional explanations of financial deepening.</w:t>
            </w:r>
          </w:p>
        </w:tc>
      </w:tr>
      <w:tr w:rsidR="00D71981" w:rsidRPr="008263BC" w14:paraId="46875BA2" w14:textId="77777777" w:rsidTr="00F25CA7">
        <w:trPr>
          <w:trHeight w:val="435"/>
        </w:trPr>
        <w:tc>
          <w:tcPr>
            <w:tcW w:w="562" w:type="dxa"/>
            <w:shd w:val="clear" w:color="auto" w:fill="F9FBFD"/>
            <w:tcMar>
              <w:top w:w="100" w:type="dxa"/>
              <w:left w:w="120" w:type="dxa"/>
              <w:bottom w:w="100" w:type="dxa"/>
              <w:right w:w="120" w:type="dxa"/>
            </w:tcMar>
          </w:tcPr>
          <w:p w14:paraId="3491C922" w14:textId="15451B23"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80</w:t>
            </w:r>
          </w:p>
        </w:tc>
        <w:tc>
          <w:tcPr>
            <w:tcW w:w="3969" w:type="dxa"/>
            <w:shd w:val="clear" w:color="auto" w:fill="F9FBFD"/>
            <w:tcMar>
              <w:top w:w="100" w:type="dxa"/>
              <w:left w:w="120" w:type="dxa"/>
              <w:bottom w:w="100" w:type="dxa"/>
              <w:right w:w="120" w:type="dxa"/>
            </w:tcMar>
          </w:tcPr>
          <w:p w14:paraId="57DDFE9B" w14:textId="3A9DCA63" w:rsidR="00D71981" w:rsidRPr="00E461E4" w:rsidRDefault="00153A67" w:rsidP="008263BC">
            <w:pPr>
              <w:spacing w:after="0" w:line="240" w:lineRule="auto"/>
              <w:rPr>
                <w:rFonts w:ascii="Book Antiqua" w:hAnsi="Book Antiqua"/>
                <w:sz w:val="15"/>
                <w:szCs w:val="15"/>
              </w:rPr>
            </w:pPr>
            <w:r w:rsidRPr="00E461E4">
              <w:rPr>
                <w:rFonts w:ascii="Book Antiqua" w:hAnsi="Book Antiqua"/>
                <w:sz w:val="15"/>
                <w:szCs w:val="15"/>
              </w:rPr>
              <w:t xml:space="preserve">Goyal, A. (2012) 'The future of financial liberalization in South Asia', </w:t>
            </w:r>
            <w:r w:rsidRPr="00E461E4">
              <w:rPr>
                <w:rFonts w:ascii="Book Antiqua" w:hAnsi="Book Antiqua"/>
                <w:i/>
                <w:iCs/>
                <w:sz w:val="15"/>
                <w:szCs w:val="15"/>
              </w:rPr>
              <w:t>Asia-Pacific Development Journal</w:t>
            </w:r>
            <w:r w:rsidRPr="00E461E4">
              <w:rPr>
                <w:rFonts w:ascii="Book Antiqua" w:hAnsi="Book Antiqua"/>
                <w:sz w:val="15"/>
                <w:szCs w:val="15"/>
              </w:rPr>
              <w:t>, 19(1), pp</w:t>
            </w:r>
            <w:r w:rsidR="00E461E4" w:rsidRPr="00E461E4">
              <w:rPr>
                <w:rFonts w:ascii="Book Antiqua" w:hAnsi="Book Antiqua"/>
                <w:sz w:val="15"/>
                <w:szCs w:val="15"/>
              </w:rPr>
              <w:t>.63-96.</w:t>
            </w:r>
          </w:p>
        </w:tc>
        <w:tc>
          <w:tcPr>
            <w:tcW w:w="2835" w:type="dxa"/>
            <w:shd w:val="clear" w:color="auto" w:fill="F9FBFD"/>
            <w:tcMar>
              <w:top w:w="100" w:type="dxa"/>
              <w:left w:w="120" w:type="dxa"/>
              <w:bottom w:w="100" w:type="dxa"/>
              <w:right w:w="120" w:type="dxa"/>
            </w:tcMar>
          </w:tcPr>
          <w:p w14:paraId="7A7D77AB" w14:textId="76916AEE" w:rsidR="00D71981" w:rsidRPr="00224BE8" w:rsidRDefault="00E461E4" w:rsidP="008263BC">
            <w:pPr>
              <w:spacing w:after="0" w:line="240" w:lineRule="auto"/>
              <w:rPr>
                <w:rFonts w:ascii="Book Antiqua" w:hAnsi="Book Antiqua"/>
                <w:sz w:val="15"/>
                <w:szCs w:val="15"/>
              </w:rPr>
            </w:pPr>
            <w:r w:rsidRPr="00E461E4">
              <w:rPr>
                <w:rFonts w:ascii="Book Antiqua" w:hAnsi="Book Antiqua"/>
                <w:sz w:val="15"/>
                <w:szCs w:val="15"/>
              </w:rPr>
              <w:t>Reviews financial reforms and their implications for banking-sector development across South Asia.</w:t>
            </w:r>
          </w:p>
        </w:tc>
        <w:tc>
          <w:tcPr>
            <w:tcW w:w="1994" w:type="dxa"/>
            <w:shd w:val="clear" w:color="auto" w:fill="F9FBFD"/>
            <w:tcMar>
              <w:top w:w="100" w:type="dxa"/>
              <w:left w:w="120" w:type="dxa"/>
              <w:bottom w:w="100" w:type="dxa"/>
              <w:right w:w="120" w:type="dxa"/>
            </w:tcMar>
          </w:tcPr>
          <w:p w14:paraId="3A64C286" w14:textId="0B287088" w:rsidR="00D71981" w:rsidRPr="00224BE8" w:rsidRDefault="00E461E4" w:rsidP="008263BC">
            <w:pPr>
              <w:spacing w:after="0" w:line="240" w:lineRule="auto"/>
              <w:rPr>
                <w:rFonts w:ascii="Book Antiqua" w:hAnsi="Book Antiqua"/>
                <w:sz w:val="15"/>
                <w:szCs w:val="15"/>
              </w:rPr>
            </w:pPr>
            <w:r w:rsidRPr="00E461E4">
              <w:rPr>
                <w:rFonts w:ascii="Book Antiqua" w:hAnsi="Book Antiqua"/>
                <w:sz w:val="15"/>
                <w:szCs w:val="15"/>
              </w:rPr>
              <w:t>Useful background on financial deepening policies.</w:t>
            </w:r>
          </w:p>
        </w:tc>
      </w:tr>
      <w:tr w:rsidR="00D71981" w:rsidRPr="008263BC" w14:paraId="442A703A" w14:textId="77777777" w:rsidTr="00F25CA7">
        <w:trPr>
          <w:trHeight w:val="490"/>
        </w:trPr>
        <w:tc>
          <w:tcPr>
            <w:tcW w:w="562" w:type="dxa"/>
            <w:shd w:val="clear" w:color="auto" w:fill="FFFFFF"/>
            <w:tcMar>
              <w:top w:w="100" w:type="dxa"/>
              <w:left w:w="120" w:type="dxa"/>
              <w:bottom w:w="100" w:type="dxa"/>
              <w:right w:w="120" w:type="dxa"/>
            </w:tcMar>
          </w:tcPr>
          <w:p w14:paraId="51D31E3B" w14:textId="64B53453"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81</w:t>
            </w:r>
          </w:p>
        </w:tc>
        <w:tc>
          <w:tcPr>
            <w:tcW w:w="3969" w:type="dxa"/>
            <w:shd w:val="clear" w:color="auto" w:fill="FFFFFF"/>
            <w:tcMar>
              <w:top w:w="100" w:type="dxa"/>
              <w:left w:w="120" w:type="dxa"/>
              <w:bottom w:w="100" w:type="dxa"/>
              <w:right w:w="120" w:type="dxa"/>
            </w:tcMar>
          </w:tcPr>
          <w:p w14:paraId="2B3BA91B" w14:textId="33D6B21E" w:rsidR="00D71981" w:rsidRPr="00224BE8" w:rsidRDefault="00735306" w:rsidP="008263BC">
            <w:pPr>
              <w:spacing w:after="0" w:line="240" w:lineRule="auto"/>
              <w:rPr>
                <w:rFonts w:ascii="Book Antiqua" w:hAnsi="Book Antiqua"/>
                <w:sz w:val="15"/>
                <w:szCs w:val="15"/>
              </w:rPr>
            </w:pPr>
            <w:r w:rsidRPr="00735306">
              <w:rPr>
                <w:rFonts w:ascii="Book Antiqua" w:hAnsi="Book Antiqua"/>
                <w:sz w:val="15"/>
                <w:szCs w:val="15"/>
              </w:rPr>
              <w:t>Arif, I. and Rawat, A.S.</w:t>
            </w:r>
            <w:r>
              <w:rPr>
                <w:rFonts w:ascii="Book Antiqua" w:hAnsi="Book Antiqua"/>
                <w:sz w:val="15"/>
                <w:szCs w:val="15"/>
              </w:rPr>
              <w:t xml:space="preserve"> (</w:t>
            </w:r>
            <w:r w:rsidRPr="00735306">
              <w:rPr>
                <w:rFonts w:ascii="Book Antiqua" w:hAnsi="Book Antiqua"/>
                <w:sz w:val="15"/>
                <w:szCs w:val="15"/>
              </w:rPr>
              <w:t>2019</w:t>
            </w:r>
            <w:r>
              <w:rPr>
                <w:rFonts w:ascii="Book Antiqua" w:hAnsi="Book Antiqua"/>
                <w:sz w:val="15"/>
                <w:szCs w:val="15"/>
              </w:rPr>
              <w:t xml:space="preserve">) </w:t>
            </w:r>
            <w:r w:rsidRPr="00E461E4">
              <w:rPr>
                <w:rFonts w:ascii="Book Antiqua" w:hAnsi="Book Antiqua"/>
                <w:sz w:val="15"/>
                <w:szCs w:val="15"/>
              </w:rPr>
              <w:t>'</w:t>
            </w:r>
            <w:r w:rsidRPr="00735306">
              <w:rPr>
                <w:rFonts w:ascii="Book Antiqua" w:hAnsi="Book Antiqua"/>
                <w:sz w:val="15"/>
                <w:szCs w:val="15"/>
              </w:rPr>
              <w:t>Trade and financial openness and their impact on financial development: Evidence from South Asian economies</w:t>
            </w:r>
            <w:r w:rsidRPr="00E461E4">
              <w:rPr>
                <w:rFonts w:ascii="Book Antiqua" w:hAnsi="Book Antiqua"/>
                <w:sz w:val="15"/>
                <w:szCs w:val="15"/>
              </w:rPr>
              <w:t>'</w:t>
            </w:r>
            <w:r>
              <w:rPr>
                <w:rFonts w:ascii="Book Antiqua" w:hAnsi="Book Antiqua"/>
                <w:sz w:val="15"/>
                <w:szCs w:val="15"/>
              </w:rPr>
              <w:t xml:space="preserve">, </w:t>
            </w:r>
            <w:r w:rsidRPr="00735306">
              <w:rPr>
                <w:rFonts w:ascii="Book Antiqua" w:hAnsi="Book Antiqua"/>
                <w:i/>
                <w:iCs/>
                <w:sz w:val="15"/>
                <w:szCs w:val="15"/>
              </w:rPr>
              <w:t>South Asian Journal of Business Studies</w:t>
            </w:r>
            <w:r w:rsidRPr="00735306">
              <w:rPr>
                <w:rFonts w:ascii="Book Antiqua" w:hAnsi="Book Antiqua"/>
                <w:sz w:val="15"/>
                <w:szCs w:val="15"/>
              </w:rPr>
              <w:t>, </w:t>
            </w:r>
            <w:r w:rsidRPr="00735306">
              <w:rPr>
                <w:rFonts w:ascii="Book Antiqua" w:hAnsi="Book Antiqua"/>
                <w:i/>
                <w:iCs/>
                <w:sz w:val="15"/>
                <w:szCs w:val="15"/>
              </w:rPr>
              <w:t>8</w:t>
            </w:r>
            <w:r w:rsidRPr="00735306">
              <w:rPr>
                <w:rFonts w:ascii="Book Antiqua" w:hAnsi="Book Antiqua"/>
                <w:sz w:val="15"/>
                <w:szCs w:val="15"/>
              </w:rPr>
              <w:t>(1), pp.26-39.</w:t>
            </w:r>
          </w:p>
        </w:tc>
        <w:tc>
          <w:tcPr>
            <w:tcW w:w="2835" w:type="dxa"/>
            <w:shd w:val="clear" w:color="auto" w:fill="FFFFFF"/>
            <w:tcMar>
              <w:top w:w="100" w:type="dxa"/>
              <w:left w:w="120" w:type="dxa"/>
              <w:bottom w:w="100" w:type="dxa"/>
              <w:right w:w="120" w:type="dxa"/>
            </w:tcMar>
          </w:tcPr>
          <w:p w14:paraId="2AD34B53" w14:textId="6A0767B6" w:rsidR="00D71981" w:rsidRPr="00042C7B" w:rsidRDefault="00E33DCA" w:rsidP="008263BC">
            <w:pPr>
              <w:spacing w:after="0" w:line="240" w:lineRule="auto"/>
              <w:rPr>
                <w:rFonts w:ascii="Book Antiqua" w:hAnsi="Book Antiqua"/>
                <w:sz w:val="15"/>
                <w:szCs w:val="15"/>
              </w:rPr>
            </w:pPr>
            <w:r w:rsidRPr="00042C7B">
              <w:rPr>
                <w:rFonts w:ascii="Book Antiqua" w:hAnsi="Book Antiqua"/>
                <w:sz w:val="15"/>
                <w:szCs w:val="15"/>
              </w:rPr>
              <w:t xml:space="preserve">Trade openness supports financial </w:t>
            </w:r>
            <w:r w:rsidR="00EF401D">
              <w:rPr>
                <w:rFonts w:ascii="Book Antiqua" w:hAnsi="Book Antiqua"/>
                <w:sz w:val="15"/>
                <w:szCs w:val="15"/>
              </w:rPr>
              <w:t>advancement</w:t>
            </w:r>
            <w:r w:rsidRPr="00042C7B">
              <w:rPr>
                <w:rFonts w:ascii="Book Antiqua" w:hAnsi="Book Antiqua"/>
                <w:sz w:val="15"/>
                <w:szCs w:val="15"/>
              </w:rPr>
              <w:t xml:space="preserve">, while </w:t>
            </w:r>
            <w:r w:rsidR="007643E3" w:rsidRPr="00042C7B">
              <w:rPr>
                <w:rFonts w:ascii="Book Antiqua" w:hAnsi="Book Antiqua"/>
                <w:sz w:val="15"/>
                <w:szCs w:val="15"/>
              </w:rPr>
              <w:t>economic</w:t>
            </w:r>
            <w:r w:rsidRPr="00042C7B">
              <w:rPr>
                <w:rFonts w:ascii="Book Antiqua" w:hAnsi="Book Antiqua"/>
                <w:sz w:val="15"/>
                <w:szCs w:val="15"/>
              </w:rPr>
              <w:t xml:space="preserve"> openness alone may not.</w:t>
            </w:r>
          </w:p>
        </w:tc>
        <w:tc>
          <w:tcPr>
            <w:tcW w:w="1994" w:type="dxa"/>
            <w:shd w:val="clear" w:color="auto" w:fill="FFFFFF"/>
            <w:tcMar>
              <w:top w:w="100" w:type="dxa"/>
              <w:left w:w="120" w:type="dxa"/>
              <w:bottom w:w="100" w:type="dxa"/>
              <w:right w:w="120" w:type="dxa"/>
            </w:tcMar>
          </w:tcPr>
          <w:p w14:paraId="06FD72D1" w14:textId="24CF73C1" w:rsidR="00D71981" w:rsidRPr="00042C7B" w:rsidRDefault="0090526F" w:rsidP="008263BC">
            <w:pPr>
              <w:spacing w:after="0" w:line="240" w:lineRule="auto"/>
              <w:rPr>
                <w:rFonts w:ascii="Book Antiqua" w:hAnsi="Book Antiqua"/>
                <w:sz w:val="15"/>
                <w:szCs w:val="15"/>
              </w:rPr>
            </w:pPr>
            <w:r w:rsidRPr="00042C7B">
              <w:rPr>
                <w:rFonts w:ascii="Book Antiqua" w:hAnsi="Book Antiqua"/>
                <w:sz w:val="15"/>
                <w:szCs w:val="15"/>
              </w:rPr>
              <w:t>Direct evidence on determinants of financial development/</w:t>
            </w:r>
            <w:r w:rsidR="00042C7B" w:rsidRPr="00042C7B">
              <w:rPr>
                <w:rFonts w:ascii="Book Antiqua" w:hAnsi="Book Antiqua"/>
                <w:sz w:val="15"/>
                <w:szCs w:val="15"/>
              </w:rPr>
              <w:t>deepening.</w:t>
            </w:r>
          </w:p>
        </w:tc>
      </w:tr>
      <w:tr w:rsidR="00D71981" w:rsidRPr="008263BC" w14:paraId="1DDB9B55" w14:textId="77777777" w:rsidTr="00F25CA7">
        <w:tc>
          <w:tcPr>
            <w:tcW w:w="562" w:type="dxa"/>
            <w:shd w:val="clear" w:color="auto" w:fill="F9FBFD"/>
            <w:tcMar>
              <w:top w:w="100" w:type="dxa"/>
              <w:left w:w="120" w:type="dxa"/>
              <w:bottom w:w="100" w:type="dxa"/>
              <w:right w:w="120" w:type="dxa"/>
            </w:tcMar>
          </w:tcPr>
          <w:p w14:paraId="2B2032AB" w14:textId="089707EA"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82</w:t>
            </w:r>
          </w:p>
        </w:tc>
        <w:tc>
          <w:tcPr>
            <w:tcW w:w="3969" w:type="dxa"/>
            <w:shd w:val="clear" w:color="auto" w:fill="F9FBFD"/>
            <w:tcMar>
              <w:top w:w="100" w:type="dxa"/>
              <w:left w:w="120" w:type="dxa"/>
              <w:bottom w:w="100" w:type="dxa"/>
              <w:right w:w="120" w:type="dxa"/>
            </w:tcMar>
          </w:tcPr>
          <w:p w14:paraId="0D449C8C" w14:textId="2C29B3AF" w:rsidR="00D71981" w:rsidRPr="00224BE8" w:rsidRDefault="00392374" w:rsidP="008263BC">
            <w:pPr>
              <w:spacing w:after="0" w:line="240" w:lineRule="auto"/>
              <w:rPr>
                <w:rFonts w:ascii="Book Antiqua" w:hAnsi="Book Antiqua"/>
                <w:sz w:val="15"/>
                <w:szCs w:val="15"/>
              </w:rPr>
            </w:pPr>
            <w:r w:rsidRPr="00392374">
              <w:rPr>
                <w:rFonts w:ascii="Book Antiqua" w:hAnsi="Book Antiqua"/>
                <w:sz w:val="15"/>
                <w:szCs w:val="15"/>
              </w:rPr>
              <w:t xml:space="preserve">Samargandi, N., Fidrmuc, J. and Ghosh, S. (2015) 'Is the relationship between financial development and economic growth monotonic?', </w:t>
            </w:r>
            <w:r w:rsidRPr="00392374">
              <w:rPr>
                <w:rFonts w:ascii="Book Antiqua" w:hAnsi="Book Antiqua"/>
                <w:i/>
                <w:iCs/>
                <w:sz w:val="15"/>
                <w:szCs w:val="15"/>
              </w:rPr>
              <w:t>World Development</w:t>
            </w:r>
            <w:r w:rsidRPr="00392374">
              <w:rPr>
                <w:rFonts w:ascii="Book Antiqua" w:hAnsi="Book Antiqua"/>
                <w:sz w:val="15"/>
                <w:szCs w:val="15"/>
              </w:rPr>
              <w:t>, 68, pp.66–81.</w:t>
            </w:r>
          </w:p>
        </w:tc>
        <w:tc>
          <w:tcPr>
            <w:tcW w:w="2835" w:type="dxa"/>
            <w:shd w:val="clear" w:color="auto" w:fill="F9FBFD"/>
            <w:tcMar>
              <w:top w:w="100" w:type="dxa"/>
              <w:left w:w="120" w:type="dxa"/>
              <w:bottom w:w="100" w:type="dxa"/>
              <w:right w:w="120" w:type="dxa"/>
            </w:tcMar>
          </w:tcPr>
          <w:p w14:paraId="1C3652D8" w14:textId="65A4DDFD" w:rsidR="00D71981" w:rsidRPr="00224BE8" w:rsidRDefault="002C00D2" w:rsidP="008263BC">
            <w:pPr>
              <w:spacing w:after="0" w:line="240" w:lineRule="auto"/>
              <w:rPr>
                <w:rFonts w:ascii="Book Antiqua" w:hAnsi="Book Antiqua"/>
                <w:sz w:val="15"/>
                <w:szCs w:val="15"/>
              </w:rPr>
            </w:pPr>
            <w:r w:rsidRPr="002C00D2">
              <w:rPr>
                <w:rFonts w:ascii="Book Antiqua" w:hAnsi="Book Antiqua"/>
                <w:sz w:val="15"/>
                <w:szCs w:val="15"/>
              </w:rPr>
              <w:t xml:space="preserve">Finds </w:t>
            </w:r>
            <w:r w:rsidR="003C2EDA" w:rsidRPr="002C00D2">
              <w:rPr>
                <w:rFonts w:ascii="Book Antiqua" w:hAnsi="Book Antiqua"/>
                <w:sz w:val="15"/>
                <w:szCs w:val="15"/>
              </w:rPr>
              <w:t>deviating</w:t>
            </w:r>
            <w:r w:rsidRPr="002C00D2">
              <w:rPr>
                <w:rFonts w:ascii="Book Antiqua" w:hAnsi="Book Antiqua"/>
                <w:sz w:val="15"/>
                <w:szCs w:val="15"/>
              </w:rPr>
              <w:t xml:space="preserve"> effects of financial development on growth.</w:t>
            </w:r>
          </w:p>
        </w:tc>
        <w:tc>
          <w:tcPr>
            <w:tcW w:w="1994" w:type="dxa"/>
            <w:shd w:val="clear" w:color="auto" w:fill="F9FBFD"/>
            <w:tcMar>
              <w:top w:w="100" w:type="dxa"/>
              <w:left w:w="120" w:type="dxa"/>
              <w:bottom w:w="100" w:type="dxa"/>
              <w:right w:w="120" w:type="dxa"/>
            </w:tcMar>
          </w:tcPr>
          <w:p w14:paraId="6B14F3D8" w14:textId="69B2113E" w:rsidR="00D71981" w:rsidRPr="00224BE8" w:rsidRDefault="002C00D2" w:rsidP="008263BC">
            <w:pPr>
              <w:spacing w:after="0" w:line="240" w:lineRule="auto"/>
              <w:rPr>
                <w:rFonts w:ascii="Book Antiqua" w:hAnsi="Book Antiqua"/>
                <w:sz w:val="15"/>
                <w:szCs w:val="15"/>
              </w:rPr>
            </w:pPr>
            <w:r w:rsidRPr="002C00D2">
              <w:rPr>
                <w:rFonts w:ascii="Book Antiqua" w:hAnsi="Book Antiqua"/>
                <w:sz w:val="15"/>
                <w:szCs w:val="15"/>
              </w:rPr>
              <w:t>Helps explain diminishing returns to financial deepening.</w:t>
            </w:r>
          </w:p>
        </w:tc>
      </w:tr>
      <w:tr w:rsidR="00D71981" w:rsidRPr="008263BC" w14:paraId="15CA4B65" w14:textId="77777777" w:rsidTr="00F25CA7">
        <w:trPr>
          <w:trHeight w:val="600"/>
        </w:trPr>
        <w:tc>
          <w:tcPr>
            <w:tcW w:w="562" w:type="dxa"/>
            <w:shd w:val="clear" w:color="auto" w:fill="FFFFFF"/>
            <w:tcMar>
              <w:top w:w="100" w:type="dxa"/>
              <w:left w:w="120" w:type="dxa"/>
              <w:bottom w:w="100" w:type="dxa"/>
              <w:right w:w="120" w:type="dxa"/>
            </w:tcMar>
          </w:tcPr>
          <w:p w14:paraId="0CE2DB15" w14:textId="204623EE"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83</w:t>
            </w:r>
          </w:p>
        </w:tc>
        <w:tc>
          <w:tcPr>
            <w:tcW w:w="3969" w:type="dxa"/>
            <w:shd w:val="clear" w:color="auto" w:fill="FFFFFF"/>
            <w:tcMar>
              <w:top w:w="100" w:type="dxa"/>
              <w:left w:w="120" w:type="dxa"/>
              <w:bottom w:w="100" w:type="dxa"/>
              <w:right w:w="120" w:type="dxa"/>
            </w:tcMar>
          </w:tcPr>
          <w:p w14:paraId="75FB67E0" w14:textId="1C1EED0E" w:rsidR="00D71981" w:rsidRPr="00224BE8" w:rsidRDefault="0033786D" w:rsidP="008263BC">
            <w:pPr>
              <w:spacing w:after="0" w:line="240" w:lineRule="auto"/>
              <w:rPr>
                <w:rFonts w:ascii="Book Antiqua" w:hAnsi="Book Antiqua"/>
                <w:sz w:val="15"/>
                <w:szCs w:val="15"/>
              </w:rPr>
            </w:pPr>
            <w:r w:rsidRPr="0033786D">
              <w:rPr>
                <w:rFonts w:ascii="Book Antiqua" w:hAnsi="Book Antiqua"/>
                <w:sz w:val="15"/>
                <w:szCs w:val="15"/>
              </w:rPr>
              <w:t>Almekinders, G.J., Ahmed, F. and Ogawa, S.</w:t>
            </w:r>
            <w:r w:rsidR="00424341">
              <w:rPr>
                <w:rFonts w:ascii="Book Antiqua" w:hAnsi="Book Antiqua"/>
                <w:sz w:val="15"/>
                <w:szCs w:val="15"/>
              </w:rPr>
              <w:t xml:space="preserve"> (</w:t>
            </w:r>
            <w:r w:rsidRPr="0033786D">
              <w:rPr>
                <w:rFonts w:ascii="Book Antiqua" w:hAnsi="Book Antiqua"/>
                <w:sz w:val="15"/>
                <w:szCs w:val="15"/>
              </w:rPr>
              <w:t>2023</w:t>
            </w:r>
            <w:r w:rsidR="00424341">
              <w:rPr>
                <w:rFonts w:ascii="Book Antiqua" w:hAnsi="Book Antiqua"/>
                <w:sz w:val="15"/>
                <w:szCs w:val="15"/>
              </w:rPr>
              <w:t xml:space="preserve">) </w:t>
            </w:r>
            <w:r w:rsidR="00424341" w:rsidRPr="00392374">
              <w:rPr>
                <w:rFonts w:ascii="Book Antiqua" w:hAnsi="Book Antiqua"/>
                <w:sz w:val="15"/>
                <w:szCs w:val="15"/>
              </w:rPr>
              <w:t>'</w:t>
            </w:r>
            <w:r w:rsidRPr="0033786D">
              <w:rPr>
                <w:rFonts w:ascii="Book Antiqua" w:hAnsi="Book Antiqua"/>
                <w:sz w:val="15"/>
                <w:szCs w:val="15"/>
              </w:rPr>
              <w:t>Advancing financial development and inclusion in South Asia</w:t>
            </w:r>
            <w:r w:rsidR="00424341" w:rsidRPr="00392374">
              <w:rPr>
                <w:rFonts w:ascii="Book Antiqua" w:hAnsi="Book Antiqua"/>
                <w:sz w:val="15"/>
                <w:szCs w:val="15"/>
              </w:rPr>
              <w:t>'</w:t>
            </w:r>
            <w:r w:rsidR="00424341">
              <w:rPr>
                <w:rFonts w:ascii="Book Antiqua" w:hAnsi="Book Antiqua"/>
                <w:sz w:val="15"/>
                <w:szCs w:val="15"/>
              </w:rPr>
              <w:t>,</w:t>
            </w:r>
            <w:r w:rsidRPr="0033786D">
              <w:rPr>
                <w:rFonts w:ascii="Book Antiqua" w:hAnsi="Book Antiqua"/>
                <w:sz w:val="15"/>
                <w:szCs w:val="15"/>
              </w:rPr>
              <w:t> </w:t>
            </w:r>
            <w:r w:rsidRPr="0033786D">
              <w:rPr>
                <w:rFonts w:ascii="Book Antiqua" w:hAnsi="Book Antiqua"/>
                <w:i/>
                <w:iCs/>
                <w:sz w:val="15"/>
                <w:szCs w:val="15"/>
              </w:rPr>
              <w:t>South Asia’s Path to Resilient Growth</w:t>
            </w:r>
            <w:r w:rsidRPr="0033786D">
              <w:rPr>
                <w:rFonts w:ascii="Book Antiqua" w:hAnsi="Book Antiqua"/>
                <w:sz w:val="15"/>
                <w:szCs w:val="15"/>
              </w:rPr>
              <w:t>.</w:t>
            </w:r>
          </w:p>
        </w:tc>
        <w:tc>
          <w:tcPr>
            <w:tcW w:w="2835" w:type="dxa"/>
            <w:shd w:val="clear" w:color="auto" w:fill="FFFFFF"/>
            <w:tcMar>
              <w:top w:w="100" w:type="dxa"/>
              <w:left w:w="120" w:type="dxa"/>
              <w:bottom w:w="100" w:type="dxa"/>
              <w:right w:w="120" w:type="dxa"/>
            </w:tcMar>
          </w:tcPr>
          <w:p w14:paraId="48CD05DE" w14:textId="720BE367" w:rsidR="00D71981" w:rsidRPr="00224BE8" w:rsidRDefault="00BC2271" w:rsidP="008263BC">
            <w:pPr>
              <w:spacing w:after="0" w:line="240" w:lineRule="auto"/>
              <w:rPr>
                <w:rFonts w:ascii="Book Antiqua" w:hAnsi="Book Antiqua"/>
                <w:sz w:val="15"/>
                <w:szCs w:val="15"/>
              </w:rPr>
            </w:pPr>
            <w:r>
              <w:rPr>
                <w:rFonts w:ascii="Book Antiqua" w:hAnsi="Book Antiqua"/>
                <w:sz w:val="15"/>
                <w:szCs w:val="15"/>
              </w:rPr>
              <w:t>R</w:t>
            </w:r>
            <w:r w:rsidRPr="00BC2271">
              <w:rPr>
                <w:rFonts w:ascii="Book Antiqua" w:hAnsi="Book Antiqua"/>
                <w:sz w:val="15"/>
                <w:szCs w:val="15"/>
              </w:rPr>
              <w:t>eviews banking-sector deepening, credit expansion and capital-market development across South Asia.</w:t>
            </w:r>
          </w:p>
        </w:tc>
        <w:tc>
          <w:tcPr>
            <w:tcW w:w="1994" w:type="dxa"/>
            <w:shd w:val="clear" w:color="auto" w:fill="FFFFFF"/>
            <w:tcMar>
              <w:top w:w="100" w:type="dxa"/>
              <w:left w:w="120" w:type="dxa"/>
              <w:bottom w:w="100" w:type="dxa"/>
              <w:right w:w="120" w:type="dxa"/>
            </w:tcMar>
          </w:tcPr>
          <w:p w14:paraId="7C66FB79" w14:textId="695C7277" w:rsidR="00D71981" w:rsidRPr="00224BE8" w:rsidRDefault="00063494" w:rsidP="008263BC">
            <w:pPr>
              <w:spacing w:after="0" w:line="240" w:lineRule="auto"/>
              <w:rPr>
                <w:rFonts w:ascii="Book Antiqua" w:hAnsi="Book Antiqua"/>
                <w:sz w:val="15"/>
                <w:szCs w:val="15"/>
              </w:rPr>
            </w:pPr>
            <w:r w:rsidRPr="00063494">
              <w:rPr>
                <w:rFonts w:ascii="Book Antiqua" w:hAnsi="Book Antiqua"/>
                <w:sz w:val="15"/>
                <w:szCs w:val="15"/>
              </w:rPr>
              <w:t>Excellent regional overview of financial deepening trends.</w:t>
            </w:r>
          </w:p>
        </w:tc>
      </w:tr>
      <w:tr w:rsidR="00D71981" w:rsidRPr="008263BC" w14:paraId="76A3A2C6" w14:textId="77777777" w:rsidTr="00F25CA7">
        <w:trPr>
          <w:trHeight w:val="642"/>
        </w:trPr>
        <w:tc>
          <w:tcPr>
            <w:tcW w:w="562" w:type="dxa"/>
            <w:shd w:val="clear" w:color="auto" w:fill="F9FBFD"/>
            <w:tcMar>
              <w:top w:w="100" w:type="dxa"/>
              <w:left w:w="120" w:type="dxa"/>
              <w:bottom w:w="100" w:type="dxa"/>
              <w:right w:w="120" w:type="dxa"/>
            </w:tcMar>
          </w:tcPr>
          <w:p w14:paraId="0CBB0DAE" w14:textId="074F0D5E"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84</w:t>
            </w:r>
          </w:p>
        </w:tc>
        <w:tc>
          <w:tcPr>
            <w:tcW w:w="3969" w:type="dxa"/>
            <w:shd w:val="clear" w:color="auto" w:fill="F9FBFD"/>
            <w:tcMar>
              <w:top w:w="100" w:type="dxa"/>
              <w:left w:w="120" w:type="dxa"/>
              <w:bottom w:w="100" w:type="dxa"/>
              <w:right w:w="120" w:type="dxa"/>
            </w:tcMar>
          </w:tcPr>
          <w:p w14:paraId="7F087139" w14:textId="1ECC653C" w:rsidR="00D71981" w:rsidRPr="00224BE8" w:rsidRDefault="00B72722" w:rsidP="008263BC">
            <w:pPr>
              <w:spacing w:after="0" w:line="240" w:lineRule="auto"/>
              <w:rPr>
                <w:rFonts w:ascii="Book Antiqua" w:hAnsi="Book Antiqua"/>
                <w:sz w:val="15"/>
                <w:szCs w:val="15"/>
              </w:rPr>
            </w:pPr>
            <w:r w:rsidRPr="00B72722">
              <w:rPr>
                <w:rFonts w:ascii="Book Antiqua" w:hAnsi="Book Antiqua"/>
                <w:sz w:val="15"/>
                <w:szCs w:val="15"/>
              </w:rPr>
              <w:t>Howlader, S. and Halder, P. (2025) 'Fintech's impact on financial inclusion through mobile financial services in Bangladesh'</w:t>
            </w:r>
            <w:r w:rsidRPr="00B72722">
              <w:rPr>
                <w:rFonts w:ascii="Book Antiqua" w:hAnsi="Book Antiqua"/>
                <w:i/>
                <w:iCs/>
                <w:sz w:val="15"/>
                <w:szCs w:val="15"/>
              </w:rPr>
              <w:t>,</w:t>
            </w:r>
            <w:r>
              <w:rPr>
                <w:rFonts w:ascii="Book Antiqua" w:hAnsi="Book Antiqua"/>
                <w:i/>
                <w:iCs/>
                <w:sz w:val="15"/>
                <w:szCs w:val="15"/>
              </w:rPr>
              <w:t xml:space="preserve"> </w:t>
            </w:r>
            <w:r w:rsidR="007642D9" w:rsidRPr="007642D9">
              <w:rPr>
                <w:rFonts w:ascii="Book Antiqua" w:hAnsi="Book Antiqua"/>
                <w:i/>
                <w:iCs/>
                <w:sz w:val="15"/>
                <w:szCs w:val="15"/>
              </w:rPr>
              <w:t>Millennial Asia</w:t>
            </w:r>
            <w:r w:rsidR="007642D9" w:rsidRPr="007642D9">
              <w:rPr>
                <w:rFonts w:ascii="Book Antiqua" w:hAnsi="Book Antiqua"/>
                <w:sz w:val="15"/>
                <w:szCs w:val="15"/>
              </w:rPr>
              <w:t>, p.09763996251356998.</w:t>
            </w:r>
          </w:p>
        </w:tc>
        <w:tc>
          <w:tcPr>
            <w:tcW w:w="2835" w:type="dxa"/>
            <w:shd w:val="clear" w:color="auto" w:fill="F9FBFD"/>
            <w:tcMar>
              <w:top w:w="100" w:type="dxa"/>
              <w:left w:w="120" w:type="dxa"/>
              <w:bottom w:w="100" w:type="dxa"/>
              <w:right w:w="120" w:type="dxa"/>
            </w:tcMar>
          </w:tcPr>
          <w:p w14:paraId="01EC8D93" w14:textId="2CAAD08D" w:rsidR="00D71981" w:rsidRPr="00224BE8" w:rsidRDefault="00470F77" w:rsidP="008263BC">
            <w:pPr>
              <w:spacing w:after="0" w:line="240" w:lineRule="auto"/>
              <w:rPr>
                <w:rFonts w:ascii="Book Antiqua" w:hAnsi="Book Antiqua"/>
                <w:sz w:val="15"/>
                <w:szCs w:val="15"/>
              </w:rPr>
            </w:pPr>
            <w:r w:rsidRPr="00470F77">
              <w:rPr>
                <w:rFonts w:ascii="Book Antiqua" w:hAnsi="Book Antiqua"/>
                <w:sz w:val="15"/>
                <w:szCs w:val="15"/>
              </w:rPr>
              <w:t xml:space="preserve">Mobile financial services have </w:t>
            </w:r>
            <w:r w:rsidR="00166A3E" w:rsidRPr="00470F77">
              <w:rPr>
                <w:rFonts w:ascii="Book Antiqua" w:hAnsi="Book Antiqua"/>
                <w:sz w:val="15"/>
                <w:szCs w:val="15"/>
              </w:rPr>
              <w:t>drastically</w:t>
            </w:r>
            <w:r w:rsidRPr="00470F77">
              <w:rPr>
                <w:rFonts w:ascii="Book Antiqua" w:hAnsi="Book Antiqua"/>
                <w:sz w:val="15"/>
                <w:szCs w:val="15"/>
              </w:rPr>
              <w:t xml:space="preserve"> </w:t>
            </w:r>
            <w:r w:rsidR="00166A3E" w:rsidRPr="00470F77">
              <w:rPr>
                <w:rFonts w:ascii="Book Antiqua" w:hAnsi="Book Antiqua"/>
                <w:sz w:val="15"/>
                <w:szCs w:val="15"/>
              </w:rPr>
              <w:t>extended</w:t>
            </w:r>
            <w:r w:rsidRPr="00470F77">
              <w:rPr>
                <w:rFonts w:ascii="Book Antiqua" w:hAnsi="Book Antiqua"/>
                <w:sz w:val="15"/>
                <w:szCs w:val="15"/>
              </w:rPr>
              <w:t xml:space="preserve"> the use of </w:t>
            </w:r>
            <w:r w:rsidR="004A778D" w:rsidRPr="00470F77">
              <w:rPr>
                <w:rFonts w:ascii="Book Antiqua" w:hAnsi="Book Antiqua"/>
                <w:sz w:val="15"/>
                <w:szCs w:val="15"/>
              </w:rPr>
              <w:t>conventional</w:t>
            </w:r>
            <w:r w:rsidRPr="00470F77">
              <w:rPr>
                <w:rFonts w:ascii="Book Antiqua" w:hAnsi="Book Antiqua"/>
                <w:sz w:val="15"/>
                <w:szCs w:val="15"/>
              </w:rPr>
              <w:t xml:space="preserve"> financial services and accelerated digital financial market development.</w:t>
            </w:r>
          </w:p>
        </w:tc>
        <w:tc>
          <w:tcPr>
            <w:tcW w:w="1994" w:type="dxa"/>
            <w:shd w:val="clear" w:color="auto" w:fill="F9FBFD"/>
            <w:tcMar>
              <w:top w:w="100" w:type="dxa"/>
              <w:left w:w="120" w:type="dxa"/>
              <w:bottom w:w="100" w:type="dxa"/>
              <w:right w:w="120" w:type="dxa"/>
            </w:tcMar>
          </w:tcPr>
          <w:p w14:paraId="6AFFE93C" w14:textId="28E8F72F" w:rsidR="00D71981" w:rsidRPr="00224BE8" w:rsidRDefault="00470F77" w:rsidP="008263BC">
            <w:pPr>
              <w:spacing w:after="0" w:line="240" w:lineRule="auto"/>
              <w:rPr>
                <w:rFonts w:ascii="Book Antiqua" w:hAnsi="Book Antiqua"/>
                <w:sz w:val="15"/>
                <w:szCs w:val="15"/>
              </w:rPr>
            </w:pPr>
            <w:r w:rsidRPr="00470F77">
              <w:rPr>
                <w:rFonts w:ascii="Book Antiqua" w:hAnsi="Book Antiqua"/>
                <w:sz w:val="15"/>
                <w:szCs w:val="15"/>
              </w:rPr>
              <w:t>Direct Bangladesh evidence showing how FinTech contributes to financial deepening through</w:t>
            </w:r>
            <w:r w:rsidR="006E1F1D">
              <w:rPr>
                <w:rFonts w:ascii="Book Antiqua" w:hAnsi="Book Antiqua"/>
                <w:sz w:val="15"/>
                <w:szCs w:val="15"/>
              </w:rPr>
              <w:t xml:space="preserve"> MFS.</w:t>
            </w:r>
          </w:p>
        </w:tc>
      </w:tr>
      <w:tr w:rsidR="00D71981" w:rsidRPr="008263BC" w14:paraId="3A70EB2E" w14:textId="77777777" w:rsidTr="00F25CA7">
        <w:tc>
          <w:tcPr>
            <w:tcW w:w="562" w:type="dxa"/>
            <w:shd w:val="clear" w:color="auto" w:fill="FFFFFF"/>
            <w:tcMar>
              <w:top w:w="100" w:type="dxa"/>
              <w:left w:w="120" w:type="dxa"/>
              <w:bottom w:w="100" w:type="dxa"/>
              <w:right w:w="120" w:type="dxa"/>
            </w:tcMar>
          </w:tcPr>
          <w:p w14:paraId="7EA88022" w14:textId="45088CE8"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85</w:t>
            </w:r>
          </w:p>
        </w:tc>
        <w:tc>
          <w:tcPr>
            <w:tcW w:w="3969" w:type="dxa"/>
            <w:shd w:val="clear" w:color="auto" w:fill="FFFFFF"/>
            <w:tcMar>
              <w:top w:w="100" w:type="dxa"/>
              <w:left w:w="120" w:type="dxa"/>
              <w:bottom w:w="100" w:type="dxa"/>
              <w:right w:w="120" w:type="dxa"/>
            </w:tcMar>
          </w:tcPr>
          <w:p w14:paraId="2148A272" w14:textId="2D41B8A3" w:rsidR="00D71981" w:rsidRPr="00224BE8" w:rsidRDefault="006E1F1D" w:rsidP="008263BC">
            <w:pPr>
              <w:spacing w:after="0" w:line="240" w:lineRule="auto"/>
              <w:rPr>
                <w:rFonts w:ascii="Book Antiqua" w:hAnsi="Book Antiqua"/>
                <w:sz w:val="15"/>
                <w:szCs w:val="15"/>
              </w:rPr>
            </w:pPr>
            <w:r>
              <w:rPr>
                <w:rFonts w:ascii="Book Antiqua" w:hAnsi="Book Antiqua"/>
                <w:sz w:val="15"/>
                <w:szCs w:val="15"/>
              </w:rPr>
              <w:t>Safdar, L</w:t>
            </w:r>
            <w:r w:rsidR="00D71981" w:rsidRPr="00224BE8">
              <w:rPr>
                <w:rFonts w:ascii="Book Antiqua" w:hAnsi="Book Antiqua"/>
                <w:sz w:val="15"/>
                <w:szCs w:val="15"/>
              </w:rPr>
              <w:t xml:space="preserve"> (201</w:t>
            </w:r>
            <w:r>
              <w:rPr>
                <w:rFonts w:ascii="Book Antiqua" w:hAnsi="Book Antiqua"/>
                <w:sz w:val="15"/>
                <w:szCs w:val="15"/>
              </w:rPr>
              <w:t>4</w:t>
            </w:r>
            <w:r w:rsidR="00D71981" w:rsidRPr="00224BE8">
              <w:rPr>
                <w:rFonts w:ascii="Book Antiqua" w:hAnsi="Book Antiqua"/>
                <w:sz w:val="15"/>
                <w:szCs w:val="15"/>
              </w:rPr>
              <w:t xml:space="preserve">) 'Financial deepening and economic growth in Pakistan: </w:t>
            </w:r>
            <w:r w:rsidR="00C45F49" w:rsidRPr="00224BE8">
              <w:rPr>
                <w:rFonts w:ascii="Book Antiqua" w:hAnsi="Book Antiqua"/>
                <w:sz w:val="15"/>
                <w:szCs w:val="15"/>
              </w:rPr>
              <w:t xml:space="preserve">An </w:t>
            </w:r>
            <w:r w:rsidR="00C45F49" w:rsidRPr="00C45F49">
              <w:rPr>
                <w:rFonts w:ascii="Book Antiqua" w:hAnsi="Book Antiqua"/>
                <w:sz w:val="15"/>
                <w:szCs w:val="15"/>
              </w:rPr>
              <w:t>application of cointegration and Vecm approach. </w:t>
            </w:r>
            <w:r w:rsidR="00C45F49" w:rsidRPr="00C45F49">
              <w:rPr>
                <w:rFonts w:ascii="Book Antiqua" w:hAnsi="Book Antiqua"/>
                <w:i/>
                <w:iCs/>
                <w:sz w:val="15"/>
                <w:szCs w:val="15"/>
              </w:rPr>
              <w:t>Interdisciplinary journal of contemporary research in business</w:t>
            </w:r>
            <w:r w:rsidR="00C45F49" w:rsidRPr="00C45F49">
              <w:rPr>
                <w:rFonts w:ascii="Book Antiqua" w:hAnsi="Book Antiqua"/>
                <w:sz w:val="15"/>
                <w:szCs w:val="15"/>
              </w:rPr>
              <w:t>, </w:t>
            </w:r>
            <w:r w:rsidR="00C45F49" w:rsidRPr="00C45F49">
              <w:rPr>
                <w:rFonts w:ascii="Book Antiqua" w:hAnsi="Book Antiqua"/>
                <w:i/>
                <w:iCs/>
                <w:sz w:val="15"/>
                <w:szCs w:val="15"/>
              </w:rPr>
              <w:t>5</w:t>
            </w:r>
            <w:r w:rsidR="00C45F49" w:rsidRPr="00C45F49">
              <w:rPr>
                <w:rFonts w:ascii="Book Antiqua" w:hAnsi="Book Antiqua"/>
                <w:sz w:val="15"/>
                <w:szCs w:val="15"/>
              </w:rPr>
              <w:t>(12), pp.368-382.</w:t>
            </w:r>
          </w:p>
        </w:tc>
        <w:tc>
          <w:tcPr>
            <w:tcW w:w="2835" w:type="dxa"/>
            <w:shd w:val="clear" w:color="auto" w:fill="FFFFFF"/>
            <w:tcMar>
              <w:top w:w="100" w:type="dxa"/>
              <w:left w:w="120" w:type="dxa"/>
              <w:bottom w:w="100" w:type="dxa"/>
              <w:right w:w="120" w:type="dxa"/>
            </w:tcMar>
          </w:tcPr>
          <w:p w14:paraId="7A8CC042" w14:textId="3B4AC134" w:rsidR="00D71981" w:rsidRPr="00224BE8" w:rsidRDefault="00D71981" w:rsidP="008263BC">
            <w:pPr>
              <w:spacing w:after="0" w:line="240" w:lineRule="auto"/>
              <w:rPr>
                <w:rFonts w:ascii="Book Antiqua" w:hAnsi="Book Antiqua"/>
                <w:sz w:val="15"/>
                <w:szCs w:val="15"/>
              </w:rPr>
            </w:pPr>
            <w:r w:rsidRPr="00224BE8">
              <w:rPr>
                <w:rFonts w:ascii="Book Antiqua" w:hAnsi="Book Antiqua"/>
                <w:sz w:val="15"/>
                <w:szCs w:val="15"/>
              </w:rPr>
              <w:t xml:space="preserve">Shows a </w:t>
            </w:r>
            <w:r w:rsidR="005619DA" w:rsidRPr="00224BE8">
              <w:rPr>
                <w:rFonts w:ascii="Book Antiqua" w:hAnsi="Book Antiqua"/>
                <w:sz w:val="15"/>
                <w:szCs w:val="15"/>
              </w:rPr>
              <w:t>long</w:t>
            </w:r>
            <w:r w:rsidR="005619DA">
              <w:rPr>
                <w:rFonts w:ascii="Book Antiqua" w:hAnsi="Book Antiqua"/>
                <w:sz w:val="15"/>
                <w:szCs w:val="15"/>
              </w:rPr>
              <w:t xml:space="preserve"> lasting</w:t>
            </w:r>
            <w:r w:rsidRPr="00224BE8">
              <w:rPr>
                <w:rFonts w:ascii="Book Antiqua" w:hAnsi="Book Antiqua"/>
                <w:sz w:val="15"/>
                <w:szCs w:val="15"/>
              </w:rPr>
              <w:t xml:space="preserve"> cointegrated </w:t>
            </w:r>
            <w:r w:rsidR="005619DA" w:rsidRPr="00224BE8">
              <w:rPr>
                <w:rFonts w:ascii="Book Antiqua" w:hAnsi="Book Antiqua"/>
                <w:sz w:val="15"/>
                <w:szCs w:val="15"/>
              </w:rPr>
              <w:t>correlation</w:t>
            </w:r>
            <w:r w:rsidRPr="00224BE8">
              <w:rPr>
                <w:rFonts w:ascii="Book Antiqua" w:hAnsi="Book Antiqua"/>
                <w:sz w:val="15"/>
                <w:szCs w:val="15"/>
              </w:rPr>
              <w:t xml:space="preserve"> between credit deepening and GDP </w:t>
            </w:r>
            <w:r w:rsidR="00C6729D" w:rsidRPr="00224BE8">
              <w:rPr>
                <w:rFonts w:ascii="Book Antiqua" w:hAnsi="Book Antiqua"/>
                <w:sz w:val="15"/>
                <w:szCs w:val="15"/>
              </w:rPr>
              <w:t>growth but</w:t>
            </w:r>
            <w:r w:rsidRPr="00224BE8">
              <w:rPr>
                <w:rFonts w:ascii="Book Antiqua" w:hAnsi="Book Antiqua"/>
                <w:sz w:val="15"/>
                <w:szCs w:val="15"/>
              </w:rPr>
              <w:t xml:space="preserve"> notes short-term instability.</w:t>
            </w:r>
          </w:p>
        </w:tc>
        <w:tc>
          <w:tcPr>
            <w:tcW w:w="1994" w:type="dxa"/>
            <w:shd w:val="clear" w:color="auto" w:fill="FFFFFF"/>
            <w:tcMar>
              <w:top w:w="100" w:type="dxa"/>
              <w:left w:w="120" w:type="dxa"/>
              <w:bottom w:w="100" w:type="dxa"/>
              <w:right w:w="120" w:type="dxa"/>
            </w:tcMar>
          </w:tcPr>
          <w:p w14:paraId="04B8A3CF" w14:textId="77777777" w:rsidR="00D71981" w:rsidRPr="00224BE8" w:rsidRDefault="00D71981" w:rsidP="008263BC">
            <w:pPr>
              <w:spacing w:after="0" w:line="240" w:lineRule="auto"/>
              <w:rPr>
                <w:rFonts w:ascii="Book Antiqua" w:hAnsi="Book Antiqua"/>
                <w:sz w:val="15"/>
                <w:szCs w:val="15"/>
              </w:rPr>
            </w:pPr>
            <w:r w:rsidRPr="00224BE8">
              <w:rPr>
                <w:rFonts w:ascii="Book Antiqua" w:hAnsi="Book Antiqua"/>
                <w:sz w:val="15"/>
                <w:szCs w:val="15"/>
              </w:rPr>
              <w:t>Emphasizes the need for stable, long-term credit systems rather than volatile consumer credit.</w:t>
            </w:r>
          </w:p>
        </w:tc>
      </w:tr>
      <w:tr w:rsidR="00D71981" w:rsidRPr="008263BC" w14:paraId="448B35C7" w14:textId="77777777" w:rsidTr="00F25CA7">
        <w:tc>
          <w:tcPr>
            <w:tcW w:w="562" w:type="dxa"/>
            <w:shd w:val="clear" w:color="auto" w:fill="F9FBFD"/>
            <w:tcMar>
              <w:top w:w="100" w:type="dxa"/>
              <w:left w:w="120" w:type="dxa"/>
              <w:bottom w:w="100" w:type="dxa"/>
              <w:right w:w="120" w:type="dxa"/>
            </w:tcMar>
          </w:tcPr>
          <w:p w14:paraId="18FB1948" w14:textId="0792C982"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86</w:t>
            </w:r>
          </w:p>
        </w:tc>
        <w:tc>
          <w:tcPr>
            <w:tcW w:w="3969" w:type="dxa"/>
            <w:shd w:val="clear" w:color="auto" w:fill="F9FBFD"/>
            <w:tcMar>
              <w:top w:w="100" w:type="dxa"/>
              <w:left w:w="120" w:type="dxa"/>
              <w:bottom w:w="100" w:type="dxa"/>
              <w:right w:w="120" w:type="dxa"/>
            </w:tcMar>
          </w:tcPr>
          <w:p w14:paraId="7405A343" w14:textId="5A9FA658" w:rsidR="00D71981" w:rsidRPr="00224BE8" w:rsidRDefault="009E6567" w:rsidP="008263BC">
            <w:pPr>
              <w:spacing w:after="0" w:line="240" w:lineRule="auto"/>
              <w:rPr>
                <w:rFonts w:ascii="Book Antiqua" w:hAnsi="Book Antiqua"/>
                <w:sz w:val="15"/>
                <w:szCs w:val="15"/>
              </w:rPr>
            </w:pPr>
            <w:r w:rsidRPr="009E6567">
              <w:rPr>
                <w:rFonts w:ascii="Book Antiqua" w:hAnsi="Book Antiqua"/>
                <w:sz w:val="15"/>
                <w:szCs w:val="15"/>
              </w:rPr>
              <w:t xml:space="preserve">Datta, R.K. (2024) 'Fintech-based financial inclusion in Bangladesh: Overview, challenges and policy directives', </w:t>
            </w:r>
            <w:r w:rsidRPr="009E6567">
              <w:rPr>
                <w:rFonts w:ascii="Book Antiqua" w:hAnsi="Book Antiqua"/>
                <w:i/>
                <w:iCs/>
                <w:sz w:val="15"/>
                <w:szCs w:val="15"/>
              </w:rPr>
              <w:t>International Journal of Finance &amp; Banking Studies</w:t>
            </w:r>
            <w:r w:rsidRPr="009E6567">
              <w:rPr>
                <w:rFonts w:ascii="Book Antiqua" w:hAnsi="Book Antiqua"/>
                <w:sz w:val="15"/>
                <w:szCs w:val="15"/>
              </w:rPr>
              <w:t>, 13(1), pp.1–16.</w:t>
            </w:r>
          </w:p>
        </w:tc>
        <w:tc>
          <w:tcPr>
            <w:tcW w:w="2835" w:type="dxa"/>
            <w:shd w:val="clear" w:color="auto" w:fill="F9FBFD"/>
            <w:tcMar>
              <w:top w:w="100" w:type="dxa"/>
              <w:left w:w="120" w:type="dxa"/>
              <w:bottom w:w="100" w:type="dxa"/>
              <w:right w:w="120" w:type="dxa"/>
            </w:tcMar>
          </w:tcPr>
          <w:p w14:paraId="175545D1" w14:textId="23F019F2" w:rsidR="00D71981" w:rsidRPr="00224BE8" w:rsidRDefault="00CF3B8A" w:rsidP="008263BC">
            <w:pPr>
              <w:spacing w:after="0" w:line="240" w:lineRule="auto"/>
              <w:rPr>
                <w:rFonts w:ascii="Book Antiqua" w:hAnsi="Book Antiqua"/>
                <w:sz w:val="15"/>
                <w:szCs w:val="15"/>
              </w:rPr>
            </w:pPr>
            <w:r w:rsidRPr="00CF3B8A">
              <w:rPr>
                <w:rFonts w:ascii="Book Antiqua" w:hAnsi="Book Antiqua"/>
                <w:sz w:val="15"/>
                <w:szCs w:val="15"/>
              </w:rPr>
              <w:t>Reviews the evolution of Bangladesh's FinTech ecosystem, identifying regulatory, infrastructure, and digital adoption challenges.</w:t>
            </w:r>
          </w:p>
        </w:tc>
        <w:tc>
          <w:tcPr>
            <w:tcW w:w="1994" w:type="dxa"/>
            <w:shd w:val="clear" w:color="auto" w:fill="F9FBFD"/>
            <w:tcMar>
              <w:top w:w="100" w:type="dxa"/>
              <w:left w:w="120" w:type="dxa"/>
              <w:bottom w:w="100" w:type="dxa"/>
              <w:right w:w="120" w:type="dxa"/>
            </w:tcMar>
          </w:tcPr>
          <w:p w14:paraId="3D641BCC" w14:textId="0BEDFE0F" w:rsidR="00D71981" w:rsidRPr="00224BE8" w:rsidRDefault="00CF3B8A" w:rsidP="008263BC">
            <w:pPr>
              <w:spacing w:after="0" w:line="240" w:lineRule="auto"/>
              <w:rPr>
                <w:rFonts w:ascii="Book Antiqua" w:hAnsi="Book Antiqua"/>
                <w:sz w:val="15"/>
                <w:szCs w:val="15"/>
              </w:rPr>
            </w:pPr>
            <w:r w:rsidRPr="00CF3B8A">
              <w:rPr>
                <w:rFonts w:ascii="Book Antiqua" w:hAnsi="Book Antiqua"/>
                <w:sz w:val="15"/>
                <w:szCs w:val="15"/>
              </w:rPr>
              <w:t>Useful for analyzing policy and institutional factors shaping financial sector deepening.</w:t>
            </w:r>
          </w:p>
        </w:tc>
      </w:tr>
      <w:tr w:rsidR="00D71981" w:rsidRPr="008263BC" w14:paraId="5228D34C" w14:textId="77777777" w:rsidTr="00F25CA7">
        <w:tc>
          <w:tcPr>
            <w:tcW w:w="562" w:type="dxa"/>
            <w:shd w:val="clear" w:color="auto" w:fill="FFFFFF"/>
            <w:tcMar>
              <w:top w:w="100" w:type="dxa"/>
              <w:left w:w="120" w:type="dxa"/>
              <w:bottom w:w="100" w:type="dxa"/>
              <w:right w:w="120" w:type="dxa"/>
            </w:tcMar>
          </w:tcPr>
          <w:p w14:paraId="2B9AF6E0" w14:textId="12B97671"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87</w:t>
            </w:r>
          </w:p>
        </w:tc>
        <w:tc>
          <w:tcPr>
            <w:tcW w:w="3969" w:type="dxa"/>
            <w:shd w:val="clear" w:color="auto" w:fill="FFFFFF"/>
            <w:tcMar>
              <w:top w:w="100" w:type="dxa"/>
              <w:left w:w="120" w:type="dxa"/>
              <w:bottom w:w="100" w:type="dxa"/>
              <w:right w:w="120" w:type="dxa"/>
            </w:tcMar>
          </w:tcPr>
          <w:p w14:paraId="72FDB235" w14:textId="3DB1E74E" w:rsidR="00D71981" w:rsidRPr="00224BE8" w:rsidRDefault="00542109" w:rsidP="008263BC">
            <w:pPr>
              <w:spacing w:after="0" w:line="240" w:lineRule="auto"/>
              <w:rPr>
                <w:rFonts w:ascii="Book Antiqua" w:hAnsi="Book Antiqua"/>
                <w:sz w:val="15"/>
                <w:szCs w:val="15"/>
              </w:rPr>
            </w:pPr>
            <w:r w:rsidRPr="00542109">
              <w:rPr>
                <w:rFonts w:ascii="Book Antiqua" w:hAnsi="Book Antiqua"/>
                <w:sz w:val="15"/>
                <w:szCs w:val="15"/>
              </w:rPr>
              <w:t xml:space="preserve">Esquivias, M.A., Sethi, N., Ramandha, M.D. and Jayanti, A.D. (2021) 'Financial inclusion dynamics in Southeast Asia: An empirical investigation on three countries', </w:t>
            </w:r>
            <w:r w:rsidRPr="00542109">
              <w:rPr>
                <w:rFonts w:ascii="Book Antiqua" w:hAnsi="Book Antiqua"/>
                <w:i/>
                <w:iCs/>
                <w:sz w:val="15"/>
                <w:szCs w:val="15"/>
              </w:rPr>
              <w:t>Business Strategy and Development</w:t>
            </w:r>
            <w:r w:rsidRPr="00542109">
              <w:rPr>
                <w:rFonts w:ascii="Book Antiqua" w:hAnsi="Book Antiqua"/>
                <w:sz w:val="15"/>
                <w:szCs w:val="15"/>
              </w:rPr>
              <w:t>, 4(2), pp.203–215</w:t>
            </w:r>
          </w:p>
        </w:tc>
        <w:tc>
          <w:tcPr>
            <w:tcW w:w="2835" w:type="dxa"/>
            <w:shd w:val="clear" w:color="auto" w:fill="FFFFFF"/>
            <w:tcMar>
              <w:top w:w="100" w:type="dxa"/>
              <w:left w:w="120" w:type="dxa"/>
              <w:bottom w:w="100" w:type="dxa"/>
              <w:right w:w="120" w:type="dxa"/>
            </w:tcMar>
          </w:tcPr>
          <w:p w14:paraId="09AA9C5C" w14:textId="1A3BB9DF" w:rsidR="00D71981" w:rsidRPr="00224BE8" w:rsidRDefault="002F4228" w:rsidP="008263BC">
            <w:pPr>
              <w:spacing w:after="0" w:line="240" w:lineRule="auto"/>
              <w:rPr>
                <w:rFonts w:ascii="Book Antiqua" w:hAnsi="Book Antiqua"/>
                <w:sz w:val="15"/>
                <w:szCs w:val="15"/>
              </w:rPr>
            </w:pPr>
            <w:r w:rsidRPr="002F4228">
              <w:rPr>
                <w:rFonts w:ascii="Book Antiqua" w:hAnsi="Book Antiqua"/>
                <w:sz w:val="15"/>
                <w:szCs w:val="15"/>
              </w:rPr>
              <w:t xml:space="preserve">Financial sector expansion is driven by </w:t>
            </w:r>
            <w:r w:rsidR="00F5608E">
              <w:rPr>
                <w:rFonts w:ascii="Book Antiqua" w:hAnsi="Book Antiqua"/>
                <w:sz w:val="15"/>
                <w:szCs w:val="15"/>
              </w:rPr>
              <w:t>DFS</w:t>
            </w:r>
            <w:r w:rsidRPr="002F4228">
              <w:rPr>
                <w:rFonts w:ascii="Book Antiqua" w:hAnsi="Book Antiqua"/>
                <w:sz w:val="15"/>
                <w:szCs w:val="15"/>
              </w:rPr>
              <w:t>, income growth, and education, although progress varies across countries.</w:t>
            </w:r>
          </w:p>
        </w:tc>
        <w:tc>
          <w:tcPr>
            <w:tcW w:w="1994" w:type="dxa"/>
            <w:shd w:val="clear" w:color="auto" w:fill="FFFFFF"/>
            <w:tcMar>
              <w:top w:w="100" w:type="dxa"/>
              <w:left w:w="120" w:type="dxa"/>
              <w:bottom w:w="100" w:type="dxa"/>
              <w:right w:w="120" w:type="dxa"/>
            </w:tcMar>
          </w:tcPr>
          <w:p w14:paraId="713D27B2" w14:textId="4EF71977" w:rsidR="00D71981" w:rsidRPr="00224BE8" w:rsidRDefault="00F5608E" w:rsidP="008263BC">
            <w:pPr>
              <w:spacing w:after="0" w:line="240" w:lineRule="auto"/>
              <w:rPr>
                <w:rFonts w:ascii="Book Antiqua" w:hAnsi="Book Antiqua"/>
                <w:sz w:val="15"/>
                <w:szCs w:val="15"/>
              </w:rPr>
            </w:pPr>
            <w:r w:rsidRPr="00F5608E">
              <w:rPr>
                <w:rFonts w:ascii="Book Antiqua" w:hAnsi="Book Antiqua"/>
                <w:sz w:val="15"/>
                <w:szCs w:val="15"/>
              </w:rPr>
              <w:t>Provides robust Southeast Asian comparative evidence on</w:t>
            </w:r>
            <w:r>
              <w:rPr>
                <w:rFonts w:ascii="Book Antiqua" w:hAnsi="Book Antiqua"/>
                <w:sz w:val="15"/>
                <w:szCs w:val="15"/>
              </w:rPr>
              <w:t xml:space="preserve"> DFS</w:t>
            </w:r>
            <w:r w:rsidRPr="00F5608E">
              <w:rPr>
                <w:rFonts w:ascii="Book Antiqua" w:hAnsi="Book Antiqua"/>
                <w:sz w:val="15"/>
                <w:szCs w:val="15"/>
              </w:rPr>
              <w:t xml:space="preserve"> and financial deepening.</w:t>
            </w:r>
          </w:p>
        </w:tc>
      </w:tr>
      <w:tr w:rsidR="00D71981" w:rsidRPr="008263BC" w14:paraId="52ED0B45" w14:textId="77777777" w:rsidTr="00F25CA7">
        <w:tc>
          <w:tcPr>
            <w:tcW w:w="562" w:type="dxa"/>
            <w:shd w:val="clear" w:color="auto" w:fill="F9FBFD"/>
            <w:tcMar>
              <w:top w:w="100" w:type="dxa"/>
              <w:left w:w="120" w:type="dxa"/>
              <w:bottom w:w="100" w:type="dxa"/>
              <w:right w:w="120" w:type="dxa"/>
            </w:tcMar>
          </w:tcPr>
          <w:p w14:paraId="033ED95D" w14:textId="15F08C12" w:rsidR="00D71981" w:rsidRPr="00224BE8" w:rsidRDefault="00E17282" w:rsidP="008263BC">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t>88</w:t>
            </w:r>
          </w:p>
        </w:tc>
        <w:tc>
          <w:tcPr>
            <w:tcW w:w="3969" w:type="dxa"/>
            <w:shd w:val="clear" w:color="auto" w:fill="F9FBFD"/>
            <w:tcMar>
              <w:top w:w="100" w:type="dxa"/>
              <w:left w:w="120" w:type="dxa"/>
              <w:bottom w:w="100" w:type="dxa"/>
              <w:right w:w="120" w:type="dxa"/>
            </w:tcMar>
          </w:tcPr>
          <w:p w14:paraId="1D257498" w14:textId="2FD44E8D" w:rsidR="00D71981" w:rsidRPr="00224BE8" w:rsidRDefault="00475B38" w:rsidP="008263BC">
            <w:pPr>
              <w:spacing w:after="0" w:line="240" w:lineRule="auto"/>
              <w:rPr>
                <w:rFonts w:ascii="Book Antiqua" w:hAnsi="Book Antiqua"/>
                <w:sz w:val="15"/>
                <w:szCs w:val="15"/>
              </w:rPr>
            </w:pPr>
            <w:r w:rsidRPr="00475B38">
              <w:rPr>
                <w:rFonts w:ascii="Book Antiqua" w:hAnsi="Book Antiqua"/>
                <w:sz w:val="15"/>
                <w:szCs w:val="15"/>
              </w:rPr>
              <w:t>Ha, D., Nguyen, M., Nguyen, K. and Şensoy, A.</w:t>
            </w:r>
            <w:r>
              <w:rPr>
                <w:rFonts w:ascii="Book Antiqua" w:hAnsi="Book Antiqua"/>
                <w:sz w:val="15"/>
                <w:szCs w:val="15"/>
              </w:rPr>
              <w:t xml:space="preserve"> (</w:t>
            </w:r>
            <w:r w:rsidRPr="00475B38">
              <w:rPr>
                <w:rFonts w:ascii="Book Antiqua" w:hAnsi="Book Antiqua"/>
                <w:sz w:val="15"/>
                <w:szCs w:val="15"/>
              </w:rPr>
              <w:t>2025</w:t>
            </w:r>
            <w:r>
              <w:rPr>
                <w:rFonts w:ascii="Book Antiqua" w:hAnsi="Book Antiqua"/>
                <w:sz w:val="15"/>
                <w:szCs w:val="15"/>
              </w:rPr>
              <w:t>)</w:t>
            </w:r>
            <w:r w:rsidRPr="00475B38">
              <w:rPr>
                <w:rFonts w:ascii="Book Antiqua" w:hAnsi="Book Antiqua"/>
                <w:sz w:val="15"/>
                <w:szCs w:val="15"/>
              </w:rPr>
              <w:t xml:space="preserve"> </w:t>
            </w:r>
            <w:r w:rsidRPr="00542109">
              <w:rPr>
                <w:rFonts w:ascii="Book Antiqua" w:hAnsi="Book Antiqua"/>
                <w:sz w:val="15"/>
                <w:szCs w:val="15"/>
              </w:rPr>
              <w:t>'</w:t>
            </w:r>
            <w:r w:rsidRPr="00475B38">
              <w:rPr>
                <w:rFonts w:ascii="Book Antiqua" w:hAnsi="Book Antiqua"/>
                <w:sz w:val="15"/>
                <w:szCs w:val="15"/>
              </w:rPr>
              <w:t>Unveiling financial inclusion dynamics: Fintech's resonance in Association of Southeast Asian Nations (ASEAN)</w:t>
            </w:r>
            <w:r w:rsidRPr="00542109">
              <w:rPr>
                <w:rFonts w:ascii="Book Antiqua" w:hAnsi="Book Antiqua"/>
                <w:sz w:val="15"/>
                <w:szCs w:val="15"/>
              </w:rPr>
              <w:t xml:space="preserve"> '</w:t>
            </w:r>
            <w:r>
              <w:rPr>
                <w:rFonts w:ascii="Book Antiqua" w:hAnsi="Book Antiqua"/>
                <w:sz w:val="15"/>
                <w:szCs w:val="15"/>
              </w:rPr>
              <w:t>,</w:t>
            </w:r>
            <w:r w:rsidRPr="00475B38">
              <w:rPr>
                <w:rFonts w:ascii="Book Antiqua" w:hAnsi="Book Antiqua"/>
                <w:sz w:val="15"/>
                <w:szCs w:val="15"/>
              </w:rPr>
              <w:t> </w:t>
            </w:r>
            <w:r w:rsidRPr="00475B38">
              <w:rPr>
                <w:rFonts w:ascii="Book Antiqua" w:hAnsi="Book Antiqua"/>
                <w:i/>
                <w:iCs/>
                <w:sz w:val="15"/>
                <w:szCs w:val="15"/>
              </w:rPr>
              <w:t>International Journal of Finance &amp; Economics</w:t>
            </w:r>
            <w:r w:rsidRPr="00475B38">
              <w:rPr>
                <w:rFonts w:ascii="Book Antiqua" w:hAnsi="Book Antiqua"/>
                <w:sz w:val="15"/>
                <w:szCs w:val="15"/>
              </w:rPr>
              <w:t>, </w:t>
            </w:r>
            <w:r w:rsidRPr="00475B38">
              <w:rPr>
                <w:rFonts w:ascii="Book Antiqua" w:hAnsi="Book Antiqua"/>
                <w:i/>
                <w:iCs/>
                <w:sz w:val="15"/>
                <w:szCs w:val="15"/>
              </w:rPr>
              <w:t>30</w:t>
            </w:r>
            <w:r w:rsidRPr="00475B38">
              <w:rPr>
                <w:rFonts w:ascii="Book Antiqua" w:hAnsi="Book Antiqua"/>
                <w:sz w:val="15"/>
                <w:szCs w:val="15"/>
              </w:rPr>
              <w:t>(2), pp.1348-1371.</w:t>
            </w:r>
          </w:p>
        </w:tc>
        <w:tc>
          <w:tcPr>
            <w:tcW w:w="2835" w:type="dxa"/>
            <w:shd w:val="clear" w:color="auto" w:fill="F9FBFD"/>
            <w:tcMar>
              <w:top w:w="100" w:type="dxa"/>
              <w:left w:w="120" w:type="dxa"/>
              <w:bottom w:w="100" w:type="dxa"/>
              <w:right w:w="120" w:type="dxa"/>
            </w:tcMar>
          </w:tcPr>
          <w:p w14:paraId="40F69A5A" w14:textId="53AEF76F" w:rsidR="00D71981" w:rsidRPr="00224BE8" w:rsidRDefault="000137EB" w:rsidP="008263BC">
            <w:pPr>
              <w:spacing w:after="0" w:line="240" w:lineRule="auto"/>
              <w:rPr>
                <w:rFonts w:ascii="Book Antiqua" w:hAnsi="Book Antiqua"/>
                <w:sz w:val="15"/>
                <w:szCs w:val="15"/>
              </w:rPr>
            </w:pPr>
            <w:r w:rsidRPr="000137EB">
              <w:rPr>
                <w:rFonts w:ascii="Book Antiqua" w:hAnsi="Book Antiqua"/>
                <w:sz w:val="15"/>
                <w:szCs w:val="15"/>
              </w:rPr>
              <w:t>FinTech adoption significantly strengthens financial sector development, particularly in Malaysia, Thailand, Indonesia, and Vietnam.</w:t>
            </w:r>
          </w:p>
        </w:tc>
        <w:tc>
          <w:tcPr>
            <w:tcW w:w="1994" w:type="dxa"/>
            <w:shd w:val="clear" w:color="auto" w:fill="F9FBFD"/>
            <w:tcMar>
              <w:top w:w="100" w:type="dxa"/>
              <w:left w:w="120" w:type="dxa"/>
              <w:bottom w:w="100" w:type="dxa"/>
              <w:right w:w="120" w:type="dxa"/>
            </w:tcMar>
          </w:tcPr>
          <w:p w14:paraId="4F8C42D7" w14:textId="1DF41121" w:rsidR="00D71981" w:rsidRPr="00224BE8" w:rsidRDefault="000137EB" w:rsidP="008263BC">
            <w:pPr>
              <w:spacing w:after="0" w:line="240" w:lineRule="auto"/>
              <w:rPr>
                <w:rFonts w:ascii="Book Antiqua" w:hAnsi="Book Antiqua"/>
                <w:sz w:val="15"/>
                <w:szCs w:val="15"/>
              </w:rPr>
            </w:pPr>
            <w:r w:rsidRPr="000137EB">
              <w:rPr>
                <w:rFonts w:ascii="Book Antiqua" w:hAnsi="Book Antiqua"/>
                <w:sz w:val="15"/>
                <w:szCs w:val="15"/>
              </w:rPr>
              <w:t>Strong recent evidence linking FinTech adoption with financial deepening across Southeast Asia.</w:t>
            </w:r>
          </w:p>
        </w:tc>
      </w:tr>
      <w:tr w:rsidR="00D448A9" w:rsidRPr="008263BC" w14:paraId="3C7961E3" w14:textId="77777777" w:rsidTr="00F25CA7">
        <w:tc>
          <w:tcPr>
            <w:tcW w:w="562" w:type="dxa"/>
            <w:shd w:val="clear" w:color="auto" w:fill="FFFFFF"/>
            <w:tcMar>
              <w:top w:w="100" w:type="dxa"/>
              <w:left w:w="120" w:type="dxa"/>
              <w:bottom w:w="100" w:type="dxa"/>
              <w:right w:w="120" w:type="dxa"/>
            </w:tcMar>
          </w:tcPr>
          <w:p w14:paraId="6AD635BF" w14:textId="0224D43C" w:rsidR="00D448A9" w:rsidRPr="00224BE8" w:rsidRDefault="00D448A9" w:rsidP="00D448A9">
            <w:pPr>
              <w:spacing w:after="0" w:line="240" w:lineRule="auto"/>
              <w:jc w:val="center"/>
              <w:rPr>
                <w:rFonts w:ascii="Book Antiqua" w:hAnsi="Book Antiqua"/>
                <w:bCs/>
                <w:color w:val="auto"/>
                <w:sz w:val="15"/>
                <w:szCs w:val="15"/>
              </w:rPr>
            </w:pPr>
            <w:r w:rsidRPr="00224BE8">
              <w:rPr>
                <w:rFonts w:ascii="Book Antiqua" w:hAnsi="Book Antiqua"/>
                <w:bCs/>
                <w:color w:val="auto"/>
                <w:sz w:val="15"/>
                <w:szCs w:val="15"/>
              </w:rPr>
              <w:lastRenderedPageBreak/>
              <w:t>89</w:t>
            </w:r>
          </w:p>
        </w:tc>
        <w:tc>
          <w:tcPr>
            <w:tcW w:w="3969" w:type="dxa"/>
            <w:shd w:val="clear" w:color="auto" w:fill="FFFFFF"/>
            <w:tcMar>
              <w:top w:w="100" w:type="dxa"/>
              <w:left w:w="120" w:type="dxa"/>
              <w:bottom w:w="100" w:type="dxa"/>
              <w:right w:w="120" w:type="dxa"/>
            </w:tcMar>
          </w:tcPr>
          <w:p w14:paraId="36D8DEDE" w14:textId="46990421" w:rsidR="00D448A9" w:rsidRPr="00224BE8" w:rsidRDefault="00D448A9" w:rsidP="00D448A9">
            <w:pPr>
              <w:spacing w:after="0" w:line="240" w:lineRule="auto"/>
              <w:rPr>
                <w:rFonts w:ascii="Book Antiqua" w:hAnsi="Book Antiqua"/>
                <w:sz w:val="15"/>
                <w:szCs w:val="15"/>
              </w:rPr>
            </w:pPr>
            <w:r w:rsidRPr="00225639">
              <w:rPr>
                <w:rFonts w:ascii="Book Antiqua" w:hAnsi="Book Antiqua"/>
                <w:sz w:val="15"/>
                <w:szCs w:val="15"/>
              </w:rPr>
              <w:t>Tram, N.H.M.</w:t>
            </w:r>
            <w:r>
              <w:rPr>
                <w:rFonts w:ascii="Book Antiqua" w:hAnsi="Book Antiqua"/>
                <w:sz w:val="15"/>
                <w:szCs w:val="15"/>
              </w:rPr>
              <w:t xml:space="preserve"> (</w:t>
            </w:r>
            <w:r w:rsidRPr="00225639">
              <w:rPr>
                <w:rFonts w:ascii="Book Antiqua" w:hAnsi="Book Antiqua"/>
                <w:sz w:val="15"/>
                <w:szCs w:val="15"/>
              </w:rPr>
              <w:t>2025</w:t>
            </w:r>
            <w:r>
              <w:rPr>
                <w:rFonts w:ascii="Book Antiqua" w:hAnsi="Book Antiqua"/>
                <w:sz w:val="15"/>
                <w:szCs w:val="15"/>
              </w:rPr>
              <w:t xml:space="preserve">) </w:t>
            </w:r>
            <w:r w:rsidRPr="00542109">
              <w:rPr>
                <w:rFonts w:ascii="Book Antiqua" w:hAnsi="Book Antiqua"/>
                <w:sz w:val="15"/>
                <w:szCs w:val="15"/>
              </w:rPr>
              <w:t>'</w:t>
            </w:r>
            <w:r w:rsidRPr="00225639">
              <w:rPr>
                <w:rFonts w:ascii="Book Antiqua" w:hAnsi="Book Antiqua"/>
                <w:sz w:val="15"/>
                <w:szCs w:val="15"/>
              </w:rPr>
              <w:t>Digital transformation, financial development and economic growth as determinants of environmental sustainability in ASEAN countries</w:t>
            </w:r>
            <w:r w:rsidRPr="00542109">
              <w:rPr>
                <w:rFonts w:ascii="Book Antiqua" w:hAnsi="Book Antiqua"/>
                <w:sz w:val="15"/>
                <w:szCs w:val="15"/>
              </w:rPr>
              <w:t>'</w:t>
            </w:r>
            <w:r>
              <w:rPr>
                <w:rFonts w:ascii="Book Antiqua" w:hAnsi="Book Antiqua"/>
                <w:sz w:val="15"/>
                <w:szCs w:val="15"/>
              </w:rPr>
              <w:t>,</w:t>
            </w:r>
            <w:r w:rsidRPr="00225639">
              <w:rPr>
                <w:rFonts w:ascii="Book Antiqua" w:hAnsi="Book Antiqua"/>
                <w:sz w:val="15"/>
                <w:szCs w:val="15"/>
              </w:rPr>
              <w:t> </w:t>
            </w:r>
            <w:r w:rsidRPr="00225639">
              <w:rPr>
                <w:rFonts w:ascii="Book Antiqua" w:hAnsi="Book Antiqua"/>
                <w:i/>
                <w:iCs/>
                <w:sz w:val="15"/>
                <w:szCs w:val="15"/>
              </w:rPr>
              <w:t>Discover Sustainability</w:t>
            </w:r>
            <w:r w:rsidRPr="00225639">
              <w:rPr>
                <w:rFonts w:ascii="Book Antiqua" w:hAnsi="Book Antiqua"/>
                <w:sz w:val="15"/>
                <w:szCs w:val="15"/>
              </w:rPr>
              <w:t>, </w:t>
            </w:r>
            <w:r w:rsidRPr="00225639">
              <w:rPr>
                <w:rFonts w:ascii="Book Antiqua" w:hAnsi="Book Antiqua"/>
                <w:i/>
                <w:iCs/>
                <w:sz w:val="15"/>
                <w:szCs w:val="15"/>
              </w:rPr>
              <w:t>6</w:t>
            </w:r>
            <w:r w:rsidRPr="00225639">
              <w:rPr>
                <w:rFonts w:ascii="Book Antiqua" w:hAnsi="Book Antiqua"/>
                <w:sz w:val="15"/>
                <w:szCs w:val="15"/>
              </w:rPr>
              <w:t>(1), p.848.</w:t>
            </w:r>
          </w:p>
        </w:tc>
        <w:tc>
          <w:tcPr>
            <w:tcW w:w="2835" w:type="dxa"/>
            <w:shd w:val="clear" w:color="auto" w:fill="FFFFFF"/>
            <w:tcMar>
              <w:top w:w="100" w:type="dxa"/>
              <w:left w:w="120" w:type="dxa"/>
              <w:bottom w:w="100" w:type="dxa"/>
              <w:right w:w="120" w:type="dxa"/>
            </w:tcMar>
          </w:tcPr>
          <w:p w14:paraId="38EAB581" w14:textId="08EFDD69" w:rsidR="00D448A9" w:rsidRPr="00224BE8" w:rsidRDefault="00D448A9" w:rsidP="00D448A9">
            <w:pPr>
              <w:spacing w:after="0" w:line="240" w:lineRule="auto"/>
              <w:rPr>
                <w:rFonts w:ascii="Book Antiqua" w:hAnsi="Book Antiqua"/>
                <w:sz w:val="15"/>
                <w:szCs w:val="15"/>
              </w:rPr>
            </w:pPr>
            <w:r w:rsidRPr="003F4ED6">
              <w:rPr>
                <w:rFonts w:ascii="Book Antiqua" w:hAnsi="Book Antiqua"/>
                <w:sz w:val="15"/>
                <w:szCs w:val="15"/>
              </w:rPr>
              <w:t xml:space="preserve">Digital transformation enhances market development and promotes long-run </w:t>
            </w:r>
            <w:r w:rsidR="00720906" w:rsidRPr="003F4ED6">
              <w:rPr>
                <w:rFonts w:ascii="Book Antiqua" w:hAnsi="Book Antiqua"/>
                <w:sz w:val="15"/>
                <w:szCs w:val="15"/>
              </w:rPr>
              <w:t>commercial</w:t>
            </w:r>
            <w:r w:rsidRPr="003F4ED6">
              <w:rPr>
                <w:rFonts w:ascii="Book Antiqua" w:hAnsi="Book Antiqua"/>
                <w:sz w:val="15"/>
                <w:szCs w:val="15"/>
              </w:rPr>
              <w:t xml:space="preserve"> growth through deeper financial intermediation.</w:t>
            </w:r>
          </w:p>
        </w:tc>
        <w:tc>
          <w:tcPr>
            <w:tcW w:w="1994" w:type="dxa"/>
            <w:shd w:val="clear" w:color="auto" w:fill="FFFFFF"/>
            <w:tcMar>
              <w:top w:w="100" w:type="dxa"/>
              <w:left w:w="120" w:type="dxa"/>
              <w:bottom w:w="100" w:type="dxa"/>
              <w:right w:w="120" w:type="dxa"/>
            </w:tcMar>
          </w:tcPr>
          <w:p w14:paraId="1F41DAF3" w14:textId="179B35A1" w:rsidR="00D448A9" w:rsidRPr="00224BE8" w:rsidRDefault="00D448A9" w:rsidP="00D448A9">
            <w:pPr>
              <w:spacing w:after="0" w:line="240" w:lineRule="auto"/>
              <w:rPr>
                <w:rFonts w:ascii="Book Antiqua" w:hAnsi="Book Antiqua"/>
                <w:sz w:val="15"/>
                <w:szCs w:val="15"/>
              </w:rPr>
            </w:pPr>
            <w:r w:rsidRPr="003F4ED6">
              <w:rPr>
                <w:rFonts w:ascii="Book Antiqua" w:hAnsi="Book Antiqua"/>
                <w:sz w:val="15"/>
                <w:szCs w:val="15"/>
              </w:rPr>
              <w:t>Directly supports the argument that digital transformation is a driver of financial deepening in Southeast Asia.</w:t>
            </w:r>
          </w:p>
        </w:tc>
      </w:tr>
      <w:tr w:rsidR="00D71981" w:rsidRPr="008263BC" w14:paraId="1715C60B" w14:textId="77777777" w:rsidTr="00F25CA7">
        <w:trPr>
          <w:trHeight w:val="1154"/>
        </w:trPr>
        <w:tc>
          <w:tcPr>
            <w:tcW w:w="562" w:type="dxa"/>
            <w:shd w:val="clear" w:color="auto" w:fill="F9FBFD"/>
            <w:tcMar>
              <w:top w:w="100" w:type="dxa"/>
              <w:left w:w="120" w:type="dxa"/>
              <w:bottom w:w="100" w:type="dxa"/>
              <w:right w:w="120" w:type="dxa"/>
            </w:tcMar>
          </w:tcPr>
          <w:p w14:paraId="17AD117E" w14:textId="61ABE96B" w:rsidR="00D71981" w:rsidRPr="00224BE8" w:rsidRDefault="00CE6C09" w:rsidP="008263BC">
            <w:pPr>
              <w:spacing w:after="0" w:line="240" w:lineRule="auto"/>
              <w:rPr>
                <w:rFonts w:ascii="Book Antiqua" w:hAnsi="Book Antiqua"/>
                <w:bCs/>
                <w:color w:val="auto"/>
                <w:sz w:val="15"/>
                <w:szCs w:val="15"/>
              </w:rPr>
            </w:pPr>
            <w:r w:rsidRPr="00224BE8">
              <w:rPr>
                <w:rFonts w:ascii="Book Antiqua" w:hAnsi="Book Antiqua"/>
                <w:bCs/>
                <w:color w:val="auto"/>
                <w:sz w:val="15"/>
                <w:szCs w:val="15"/>
              </w:rPr>
              <w:t xml:space="preserve"> 90</w:t>
            </w:r>
          </w:p>
        </w:tc>
        <w:tc>
          <w:tcPr>
            <w:tcW w:w="3969" w:type="dxa"/>
            <w:shd w:val="clear" w:color="auto" w:fill="F9FBFD"/>
            <w:tcMar>
              <w:top w:w="100" w:type="dxa"/>
              <w:left w:w="120" w:type="dxa"/>
              <w:bottom w:w="100" w:type="dxa"/>
              <w:right w:w="120" w:type="dxa"/>
            </w:tcMar>
          </w:tcPr>
          <w:p w14:paraId="6584C1F3" w14:textId="691D1BAD" w:rsidR="00D71981" w:rsidRPr="00224BE8" w:rsidRDefault="007F2DA8" w:rsidP="008263BC">
            <w:pPr>
              <w:spacing w:after="0" w:line="240" w:lineRule="auto"/>
              <w:rPr>
                <w:rFonts w:ascii="Book Antiqua" w:hAnsi="Book Antiqua"/>
                <w:sz w:val="15"/>
                <w:szCs w:val="15"/>
              </w:rPr>
            </w:pPr>
            <w:r w:rsidRPr="007F2DA8">
              <w:rPr>
                <w:rFonts w:ascii="Book Antiqua" w:hAnsi="Book Antiqua"/>
                <w:sz w:val="15"/>
                <w:szCs w:val="15"/>
              </w:rPr>
              <w:t xml:space="preserve">Nam, H.J., Bang, J. and Ryu, D. (2024) 'Nonlinear effects of financial openness on financial development in ASEAN', Journal of Multinational Financial Management, 73, </w:t>
            </w:r>
            <w:r w:rsidR="00A85E3E">
              <w:rPr>
                <w:rFonts w:ascii="Book Antiqua" w:hAnsi="Book Antiqua"/>
                <w:sz w:val="15"/>
                <w:szCs w:val="15"/>
              </w:rPr>
              <w:t>p.</w:t>
            </w:r>
            <w:r w:rsidRPr="007F2DA8">
              <w:rPr>
                <w:rFonts w:ascii="Book Antiqua" w:hAnsi="Book Antiqua"/>
                <w:sz w:val="15"/>
                <w:szCs w:val="15"/>
              </w:rPr>
              <w:t>100846.</w:t>
            </w:r>
          </w:p>
        </w:tc>
        <w:tc>
          <w:tcPr>
            <w:tcW w:w="2835" w:type="dxa"/>
            <w:shd w:val="clear" w:color="auto" w:fill="F9FBFD"/>
            <w:tcMar>
              <w:top w:w="100" w:type="dxa"/>
              <w:left w:w="120" w:type="dxa"/>
              <w:bottom w:w="100" w:type="dxa"/>
              <w:right w:w="120" w:type="dxa"/>
            </w:tcMar>
          </w:tcPr>
          <w:p w14:paraId="31116371" w14:textId="04718A26" w:rsidR="00D71981" w:rsidRPr="00224BE8" w:rsidRDefault="00FF1BD1" w:rsidP="008263BC">
            <w:pPr>
              <w:spacing w:after="0" w:line="240" w:lineRule="auto"/>
              <w:rPr>
                <w:rFonts w:ascii="Book Antiqua" w:hAnsi="Book Antiqua"/>
                <w:sz w:val="15"/>
                <w:szCs w:val="15"/>
              </w:rPr>
            </w:pPr>
            <w:r w:rsidRPr="00FF1BD1">
              <w:rPr>
                <w:rFonts w:ascii="Book Antiqua" w:hAnsi="Book Antiqua"/>
                <w:sz w:val="15"/>
                <w:szCs w:val="15"/>
              </w:rPr>
              <w:t xml:space="preserve">Financial openness promotes financial </w:t>
            </w:r>
            <w:r w:rsidR="00AD1B42" w:rsidRPr="00FF1BD1">
              <w:rPr>
                <w:rFonts w:ascii="Book Antiqua" w:hAnsi="Book Antiqua"/>
                <w:sz w:val="15"/>
                <w:szCs w:val="15"/>
              </w:rPr>
              <w:t>progress</w:t>
            </w:r>
            <w:r w:rsidRPr="00FF1BD1">
              <w:rPr>
                <w:rFonts w:ascii="Book Antiqua" w:hAnsi="Book Antiqua"/>
                <w:sz w:val="15"/>
                <w:szCs w:val="15"/>
              </w:rPr>
              <w:t xml:space="preserve"> only up to an optimal </w:t>
            </w:r>
            <w:r w:rsidR="00A91AAA" w:rsidRPr="00FF1BD1">
              <w:rPr>
                <w:rFonts w:ascii="Book Antiqua" w:hAnsi="Book Antiqua"/>
                <w:sz w:val="15"/>
                <w:szCs w:val="15"/>
              </w:rPr>
              <w:t>limit</w:t>
            </w:r>
            <w:r w:rsidRPr="00FF1BD1">
              <w:rPr>
                <w:rFonts w:ascii="Book Antiqua" w:hAnsi="Book Antiqua"/>
                <w:sz w:val="15"/>
                <w:szCs w:val="15"/>
              </w:rPr>
              <w:t xml:space="preserve">. </w:t>
            </w:r>
            <w:r w:rsidR="00A91AAA" w:rsidRPr="00FF1BD1">
              <w:rPr>
                <w:rFonts w:ascii="Book Antiqua" w:hAnsi="Book Antiqua"/>
                <w:sz w:val="15"/>
                <w:szCs w:val="15"/>
              </w:rPr>
              <w:t>Outside</w:t>
            </w:r>
            <w:r w:rsidRPr="00FF1BD1">
              <w:rPr>
                <w:rFonts w:ascii="Book Antiqua" w:hAnsi="Book Antiqua"/>
                <w:sz w:val="15"/>
                <w:szCs w:val="15"/>
              </w:rPr>
              <w:t xml:space="preserve"> that</w:t>
            </w:r>
            <w:r w:rsidR="00A91AAA">
              <w:rPr>
                <w:rFonts w:ascii="Book Antiqua" w:hAnsi="Book Antiqua"/>
                <w:sz w:val="15"/>
                <w:szCs w:val="15"/>
              </w:rPr>
              <w:t xml:space="preserve">, </w:t>
            </w:r>
            <w:r w:rsidRPr="00FF1BD1">
              <w:rPr>
                <w:rFonts w:ascii="Book Antiqua" w:hAnsi="Book Antiqua"/>
                <w:sz w:val="15"/>
                <w:szCs w:val="15"/>
              </w:rPr>
              <w:t>excessive openness weakens financial development, indicating an inverse U-shaped relationship.</w:t>
            </w:r>
          </w:p>
        </w:tc>
        <w:tc>
          <w:tcPr>
            <w:tcW w:w="1994" w:type="dxa"/>
            <w:shd w:val="clear" w:color="auto" w:fill="F9FBFD"/>
            <w:tcMar>
              <w:top w:w="100" w:type="dxa"/>
              <w:left w:w="120" w:type="dxa"/>
              <w:bottom w:w="100" w:type="dxa"/>
              <w:right w:w="120" w:type="dxa"/>
            </w:tcMar>
          </w:tcPr>
          <w:p w14:paraId="0320A991" w14:textId="5DEA6B01" w:rsidR="00D71981" w:rsidRPr="00224BE8" w:rsidRDefault="00990BBD" w:rsidP="008263BC">
            <w:pPr>
              <w:spacing w:after="0" w:line="240" w:lineRule="auto"/>
              <w:rPr>
                <w:rFonts w:ascii="Book Antiqua" w:hAnsi="Book Antiqua"/>
                <w:sz w:val="15"/>
                <w:szCs w:val="15"/>
              </w:rPr>
            </w:pPr>
            <w:r>
              <w:rPr>
                <w:rFonts w:ascii="Book Antiqua" w:hAnsi="Book Antiqua"/>
                <w:sz w:val="15"/>
                <w:szCs w:val="15"/>
              </w:rPr>
              <w:t xml:space="preserve">Shows </w:t>
            </w:r>
            <w:r w:rsidRPr="00990BBD">
              <w:rPr>
                <w:rFonts w:ascii="Book Antiqua" w:hAnsi="Book Antiqua"/>
                <w:sz w:val="15"/>
                <w:szCs w:val="15"/>
              </w:rPr>
              <w:t>that financial deepening in ASEAN depends on the quality of financial sector development rather than financial liberalization alone</w:t>
            </w:r>
            <w:r>
              <w:rPr>
                <w:rFonts w:ascii="Book Antiqua" w:hAnsi="Book Antiqua"/>
                <w:sz w:val="15"/>
                <w:szCs w:val="15"/>
              </w:rPr>
              <w:t>.</w:t>
            </w:r>
          </w:p>
        </w:tc>
      </w:tr>
    </w:tbl>
    <w:p w14:paraId="365F44F4" w14:textId="77777777" w:rsidR="006A1E20" w:rsidRDefault="006A1E20" w:rsidP="004005B1">
      <w:pPr>
        <w:spacing w:after="0" w:line="240" w:lineRule="auto"/>
        <w:jc w:val="both"/>
        <w:rPr>
          <w:rFonts w:ascii="Book Antiqua" w:hAnsi="Book Antiqua"/>
          <w:b/>
          <w:color w:val="156082" w:themeColor="accent1"/>
          <w:sz w:val="16"/>
          <w:szCs w:val="16"/>
        </w:rPr>
      </w:pPr>
    </w:p>
    <w:p w14:paraId="3A26E05A" w14:textId="564BD60B" w:rsidR="00DE2D33" w:rsidRPr="00F612E6" w:rsidRDefault="00DE2D33" w:rsidP="004005B1">
      <w:pPr>
        <w:spacing w:after="0" w:line="240" w:lineRule="auto"/>
        <w:jc w:val="both"/>
        <w:rPr>
          <w:rFonts w:ascii="Book Antiqua" w:hAnsi="Book Antiqua"/>
          <w:b/>
          <w:color w:val="156082" w:themeColor="accent1"/>
          <w:sz w:val="16"/>
          <w:szCs w:val="16"/>
        </w:rPr>
      </w:pPr>
      <w:r w:rsidRPr="00F612E6">
        <w:rPr>
          <w:rFonts w:ascii="Book Antiqua" w:hAnsi="Book Antiqua"/>
          <w:b/>
          <w:color w:val="156082" w:themeColor="accent1"/>
          <w:sz w:val="16"/>
          <w:szCs w:val="16"/>
        </w:rPr>
        <w:t xml:space="preserve">Stage 5: Comparative Studies, </w:t>
      </w:r>
      <w:r w:rsidR="00EF79C5" w:rsidRPr="00F612E6">
        <w:rPr>
          <w:rFonts w:ascii="Book Antiqua" w:hAnsi="Book Antiqua"/>
          <w:b/>
          <w:color w:val="156082" w:themeColor="accent1"/>
          <w:sz w:val="16"/>
          <w:szCs w:val="16"/>
        </w:rPr>
        <w:t>Bibliometric Reviews</w:t>
      </w:r>
      <w:r w:rsidR="006E3BA1" w:rsidRPr="00F612E6">
        <w:rPr>
          <w:rFonts w:ascii="Book Antiqua" w:hAnsi="Book Antiqua"/>
          <w:b/>
          <w:color w:val="156082" w:themeColor="accent1"/>
          <w:sz w:val="16"/>
          <w:szCs w:val="16"/>
        </w:rPr>
        <w:t xml:space="preserve"> and Recent Evidence</w:t>
      </w:r>
    </w:p>
    <w:p w14:paraId="25EFC999" w14:textId="0A7F257B" w:rsidR="00EC398B" w:rsidRDefault="00EC398B" w:rsidP="004005B1">
      <w:pPr>
        <w:spacing w:after="0" w:line="240" w:lineRule="auto"/>
        <w:jc w:val="both"/>
        <w:rPr>
          <w:rFonts w:ascii="Book Antiqua" w:hAnsi="Book Antiqua"/>
          <w:bCs/>
          <w:color w:val="auto"/>
          <w:sz w:val="16"/>
          <w:szCs w:val="16"/>
        </w:rPr>
      </w:pPr>
      <w:r w:rsidRPr="00F612E6">
        <w:rPr>
          <w:rFonts w:ascii="Book Antiqua" w:hAnsi="Book Antiqua"/>
          <w:bCs/>
          <w:color w:val="auto"/>
          <w:sz w:val="16"/>
          <w:szCs w:val="16"/>
        </w:rPr>
        <w:t>The final stage scales the lens back to a global comparative perspective, analyzing bibliometric trends, cross-regional policy sandboxes, and long-term socio-economic shifts in the digital landscape.</w:t>
      </w:r>
    </w:p>
    <w:p w14:paraId="4A4EED9D" w14:textId="77777777" w:rsidR="00F612E6" w:rsidRPr="00F612E6" w:rsidRDefault="00F612E6" w:rsidP="004005B1">
      <w:pPr>
        <w:spacing w:after="0" w:line="240" w:lineRule="auto"/>
        <w:jc w:val="both"/>
        <w:rPr>
          <w:rFonts w:ascii="Book Antiqua" w:hAnsi="Book Antiqua"/>
          <w:bCs/>
          <w:color w:val="auto"/>
          <w:sz w:val="16"/>
          <w:szCs w:val="16"/>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3917"/>
        <w:gridCol w:w="2436"/>
        <w:gridCol w:w="2456"/>
      </w:tblGrid>
      <w:tr w:rsidR="00331FE2" w:rsidRPr="00331FE2" w14:paraId="074478D3" w14:textId="77777777" w:rsidTr="002E6ECA">
        <w:trPr>
          <w:trHeight w:val="300"/>
        </w:trPr>
        <w:tc>
          <w:tcPr>
            <w:tcW w:w="551" w:type="dxa"/>
            <w:shd w:val="clear" w:color="000000" w:fill="1B365D"/>
            <w:vAlign w:val="center"/>
            <w:hideMark/>
          </w:tcPr>
          <w:p w14:paraId="2DD5CF3B" w14:textId="77777777" w:rsidR="00331FE2" w:rsidRPr="00331FE2" w:rsidRDefault="00331FE2" w:rsidP="00331FE2">
            <w:pPr>
              <w:spacing w:after="0" w:line="240" w:lineRule="auto"/>
              <w:ind w:firstLineChars="100" w:firstLine="151"/>
              <w:rPr>
                <w:rFonts w:ascii="Book Antiqua" w:eastAsia="Times New Roman" w:hAnsi="Book Antiqua" w:cs="Times New Roman"/>
                <w:b/>
                <w:bCs/>
                <w:color w:val="FFFFFF"/>
                <w:sz w:val="15"/>
                <w:szCs w:val="15"/>
                <w:lang w:val="en-GB" w:eastAsia="en-GB"/>
              </w:rPr>
            </w:pPr>
            <w:r w:rsidRPr="00331FE2">
              <w:rPr>
                <w:rFonts w:ascii="Book Antiqua" w:eastAsia="Times New Roman" w:hAnsi="Book Antiqua" w:cs="Times New Roman"/>
                <w:b/>
                <w:bCs/>
                <w:color w:val="FFFFFF"/>
                <w:sz w:val="15"/>
                <w:szCs w:val="15"/>
                <w:lang w:eastAsia="en-GB"/>
              </w:rPr>
              <w:t>ID</w:t>
            </w:r>
          </w:p>
        </w:tc>
        <w:tc>
          <w:tcPr>
            <w:tcW w:w="3917" w:type="dxa"/>
            <w:shd w:val="clear" w:color="000000" w:fill="1B365D"/>
            <w:vAlign w:val="center"/>
            <w:hideMark/>
          </w:tcPr>
          <w:p w14:paraId="7E7BE731" w14:textId="77777777" w:rsidR="00331FE2" w:rsidRPr="00331FE2" w:rsidRDefault="00331FE2" w:rsidP="00331FE2">
            <w:pPr>
              <w:spacing w:after="0" w:line="240" w:lineRule="auto"/>
              <w:ind w:firstLineChars="100" w:firstLine="151"/>
              <w:rPr>
                <w:rFonts w:ascii="Book Antiqua" w:eastAsia="Times New Roman" w:hAnsi="Book Antiqua" w:cs="Times New Roman"/>
                <w:b/>
                <w:bCs/>
                <w:color w:val="FFFFFF"/>
                <w:sz w:val="15"/>
                <w:szCs w:val="15"/>
                <w:lang w:val="en-GB" w:eastAsia="en-GB"/>
              </w:rPr>
            </w:pPr>
            <w:r w:rsidRPr="00331FE2">
              <w:rPr>
                <w:rFonts w:ascii="Book Antiqua" w:eastAsia="Times New Roman" w:hAnsi="Book Antiqua" w:cs="Times New Roman"/>
                <w:b/>
                <w:bCs/>
                <w:color w:val="FFFFFF"/>
                <w:sz w:val="15"/>
                <w:szCs w:val="15"/>
                <w:lang w:eastAsia="en-GB"/>
              </w:rPr>
              <w:t>Journal Reference</w:t>
            </w:r>
          </w:p>
        </w:tc>
        <w:tc>
          <w:tcPr>
            <w:tcW w:w="2436" w:type="dxa"/>
            <w:shd w:val="clear" w:color="000000" w:fill="1B365D"/>
            <w:vAlign w:val="center"/>
            <w:hideMark/>
          </w:tcPr>
          <w:p w14:paraId="72613E0E" w14:textId="77777777" w:rsidR="00331FE2" w:rsidRPr="00331FE2" w:rsidRDefault="00331FE2" w:rsidP="00331FE2">
            <w:pPr>
              <w:spacing w:after="0" w:line="240" w:lineRule="auto"/>
              <w:ind w:firstLineChars="100" w:firstLine="151"/>
              <w:rPr>
                <w:rFonts w:ascii="Book Antiqua" w:eastAsia="Times New Roman" w:hAnsi="Book Antiqua" w:cs="Times New Roman"/>
                <w:b/>
                <w:bCs/>
                <w:color w:val="FFFFFF"/>
                <w:sz w:val="15"/>
                <w:szCs w:val="15"/>
                <w:lang w:val="en-GB" w:eastAsia="en-GB"/>
              </w:rPr>
            </w:pPr>
            <w:r w:rsidRPr="00331FE2">
              <w:rPr>
                <w:rFonts w:ascii="Book Antiqua" w:eastAsia="Times New Roman" w:hAnsi="Book Antiqua" w:cs="Times New Roman"/>
                <w:b/>
                <w:bCs/>
                <w:color w:val="FFFFFF"/>
                <w:sz w:val="15"/>
                <w:szCs w:val="15"/>
                <w:lang w:eastAsia="en-GB"/>
              </w:rPr>
              <w:t>Key Findings</w:t>
            </w:r>
          </w:p>
        </w:tc>
        <w:tc>
          <w:tcPr>
            <w:tcW w:w="2456" w:type="dxa"/>
            <w:shd w:val="clear" w:color="000000" w:fill="1B365D"/>
            <w:vAlign w:val="center"/>
            <w:hideMark/>
          </w:tcPr>
          <w:p w14:paraId="179697A6" w14:textId="77777777" w:rsidR="00331FE2" w:rsidRPr="00331FE2" w:rsidRDefault="00331FE2" w:rsidP="00331FE2">
            <w:pPr>
              <w:spacing w:after="0" w:line="240" w:lineRule="auto"/>
              <w:ind w:firstLineChars="100" w:firstLine="151"/>
              <w:rPr>
                <w:rFonts w:ascii="Book Antiqua" w:eastAsia="Times New Roman" w:hAnsi="Book Antiqua" w:cs="Times New Roman"/>
                <w:b/>
                <w:bCs/>
                <w:color w:val="FFFFFF"/>
                <w:sz w:val="15"/>
                <w:szCs w:val="15"/>
                <w:lang w:val="en-GB" w:eastAsia="en-GB"/>
              </w:rPr>
            </w:pPr>
            <w:r w:rsidRPr="00331FE2">
              <w:rPr>
                <w:rFonts w:ascii="Book Antiqua" w:eastAsia="Times New Roman" w:hAnsi="Book Antiqua" w:cs="Times New Roman"/>
                <w:b/>
                <w:bCs/>
                <w:color w:val="FFFFFF"/>
                <w:sz w:val="15"/>
                <w:szCs w:val="15"/>
                <w:lang w:eastAsia="en-GB"/>
              </w:rPr>
              <w:t>Analytical Usefulness</w:t>
            </w:r>
          </w:p>
        </w:tc>
      </w:tr>
      <w:tr w:rsidR="00331FE2" w:rsidRPr="00331FE2" w14:paraId="528869A0" w14:textId="77777777" w:rsidTr="002E6ECA">
        <w:trPr>
          <w:trHeight w:val="712"/>
        </w:trPr>
        <w:tc>
          <w:tcPr>
            <w:tcW w:w="551" w:type="dxa"/>
            <w:shd w:val="clear" w:color="000000" w:fill="F9FBFD"/>
            <w:vAlign w:val="center"/>
            <w:hideMark/>
          </w:tcPr>
          <w:p w14:paraId="68DBEEFF"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91</w:t>
            </w:r>
          </w:p>
        </w:tc>
        <w:tc>
          <w:tcPr>
            <w:tcW w:w="3917" w:type="dxa"/>
            <w:shd w:val="clear" w:color="000000" w:fill="F9FBFD"/>
            <w:vAlign w:val="center"/>
            <w:hideMark/>
          </w:tcPr>
          <w:p w14:paraId="586C9D41" w14:textId="77777777" w:rsidR="00331FE2" w:rsidRPr="00331FE2" w:rsidRDefault="00331FE2" w:rsidP="00331FE2">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Koch, J.-A., Sagarra, M., Amirbagheri, K. and Gomber, P. (2026) 'A systematic bibliometric literature review on digital finance and fintech literature: following the 2SLSS approach', Financial Innovation, 12(1), p.115.</w:t>
            </w:r>
          </w:p>
        </w:tc>
        <w:tc>
          <w:tcPr>
            <w:tcW w:w="2436" w:type="dxa"/>
            <w:shd w:val="clear" w:color="000000" w:fill="F9FBFD"/>
            <w:vAlign w:val="center"/>
            <w:hideMark/>
          </w:tcPr>
          <w:p w14:paraId="59D9A0AD" w14:textId="09C0EBDF"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Maps the </w:t>
            </w:r>
            <w:r w:rsidR="009E71F9" w:rsidRPr="00331FE2">
              <w:rPr>
                <w:rFonts w:ascii="Book Antiqua" w:eastAsia="Times New Roman" w:hAnsi="Book Antiqua" w:cs="Times New Roman"/>
                <w:sz w:val="15"/>
                <w:szCs w:val="15"/>
                <w:lang w:eastAsia="en-GB"/>
              </w:rPr>
              <w:t>progression</w:t>
            </w:r>
            <w:r w:rsidRPr="00331FE2">
              <w:rPr>
                <w:rFonts w:ascii="Book Antiqua" w:eastAsia="Times New Roman" w:hAnsi="Book Antiqua" w:cs="Times New Roman"/>
                <w:sz w:val="15"/>
                <w:szCs w:val="15"/>
                <w:lang w:eastAsia="en-GB"/>
              </w:rPr>
              <w:t xml:space="preserve"> of digital finance </w:t>
            </w:r>
            <w:r w:rsidR="00CB1A52">
              <w:rPr>
                <w:rFonts w:ascii="Book Antiqua" w:eastAsia="Times New Roman" w:hAnsi="Book Antiqua" w:cs="Times New Roman"/>
                <w:sz w:val="15"/>
                <w:szCs w:val="15"/>
                <w:lang w:eastAsia="en-GB"/>
              </w:rPr>
              <w:t xml:space="preserve">studies </w:t>
            </w:r>
            <w:r w:rsidRPr="00331FE2">
              <w:rPr>
                <w:rFonts w:ascii="Book Antiqua" w:eastAsia="Times New Roman" w:hAnsi="Book Antiqua" w:cs="Times New Roman"/>
                <w:sz w:val="15"/>
                <w:szCs w:val="15"/>
                <w:lang w:eastAsia="en-GB"/>
              </w:rPr>
              <w:t>and proposes future research priorities.</w:t>
            </w:r>
          </w:p>
        </w:tc>
        <w:tc>
          <w:tcPr>
            <w:tcW w:w="2456" w:type="dxa"/>
            <w:shd w:val="clear" w:color="000000" w:fill="F9FBFD"/>
            <w:vAlign w:val="center"/>
            <w:hideMark/>
          </w:tcPr>
          <w:p w14:paraId="0CF5F36E" w14:textId="0DC40F75"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Useful for identifying underexplored regions.</w:t>
            </w:r>
          </w:p>
        </w:tc>
      </w:tr>
      <w:tr w:rsidR="00331FE2" w:rsidRPr="00331FE2" w14:paraId="107D29B2" w14:textId="77777777" w:rsidTr="002E6ECA">
        <w:trPr>
          <w:trHeight w:val="227"/>
        </w:trPr>
        <w:tc>
          <w:tcPr>
            <w:tcW w:w="551" w:type="dxa"/>
            <w:shd w:val="clear" w:color="000000" w:fill="FFFFFF"/>
            <w:vAlign w:val="center"/>
            <w:hideMark/>
          </w:tcPr>
          <w:p w14:paraId="5648EE79"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92</w:t>
            </w:r>
          </w:p>
        </w:tc>
        <w:tc>
          <w:tcPr>
            <w:tcW w:w="3917" w:type="dxa"/>
            <w:shd w:val="clear" w:color="000000" w:fill="FFFFFF"/>
            <w:vAlign w:val="center"/>
            <w:hideMark/>
          </w:tcPr>
          <w:p w14:paraId="46F17F82" w14:textId="77777777" w:rsidR="00331FE2" w:rsidRPr="00331FE2" w:rsidRDefault="00331FE2" w:rsidP="00331FE2">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Demir, A., Pesqué-Cela, V., Altunbas, Y. and Murinde, V. (2022) 'Fintech, financial inclusion and income inequality: a quantile regression approach', </w:t>
            </w:r>
            <w:r w:rsidRPr="00331FE2">
              <w:rPr>
                <w:rFonts w:ascii="Book Antiqua" w:eastAsia="Times New Roman" w:hAnsi="Book Antiqua" w:cs="Times New Roman"/>
                <w:i/>
                <w:iCs/>
                <w:sz w:val="15"/>
                <w:szCs w:val="15"/>
                <w:lang w:eastAsia="en-GB"/>
              </w:rPr>
              <w:t>World Development</w:t>
            </w:r>
            <w:r w:rsidRPr="00331FE2">
              <w:rPr>
                <w:rFonts w:ascii="Book Antiqua" w:eastAsia="Times New Roman" w:hAnsi="Book Antiqua" w:cs="Times New Roman"/>
                <w:sz w:val="15"/>
                <w:szCs w:val="15"/>
                <w:lang w:eastAsia="en-GB"/>
              </w:rPr>
              <w:t>, 149, p. 105686.</w:t>
            </w:r>
          </w:p>
        </w:tc>
        <w:tc>
          <w:tcPr>
            <w:tcW w:w="2436" w:type="dxa"/>
            <w:shd w:val="clear" w:color="000000" w:fill="FFFFFF"/>
            <w:vAlign w:val="center"/>
            <w:hideMark/>
          </w:tcPr>
          <w:p w14:paraId="39B5791E"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FinTech improves financial sector outcomes and reduces inequality through stronger financial intermediation.</w:t>
            </w:r>
          </w:p>
        </w:tc>
        <w:tc>
          <w:tcPr>
            <w:tcW w:w="2456" w:type="dxa"/>
            <w:shd w:val="clear" w:color="000000" w:fill="FFFFFF"/>
            <w:vAlign w:val="center"/>
            <w:hideMark/>
          </w:tcPr>
          <w:p w14:paraId="01F4340B"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Strong comparative evidence supporting FinTech-led financial sector development.</w:t>
            </w:r>
          </w:p>
        </w:tc>
      </w:tr>
      <w:tr w:rsidR="00331FE2" w:rsidRPr="00331FE2" w14:paraId="66BFE91F" w14:textId="77777777" w:rsidTr="002E6ECA">
        <w:trPr>
          <w:trHeight w:val="479"/>
        </w:trPr>
        <w:tc>
          <w:tcPr>
            <w:tcW w:w="551" w:type="dxa"/>
            <w:shd w:val="clear" w:color="000000" w:fill="F9FBFD"/>
            <w:vAlign w:val="center"/>
            <w:hideMark/>
          </w:tcPr>
          <w:p w14:paraId="2CB53EC6"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93</w:t>
            </w:r>
          </w:p>
        </w:tc>
        <w:tc>
          <w:tcPr>
            <w:tcW w:w="3917" w:type="dxa"/>
            <w:shd w:val="clear" w:color="000000" w:fill="F9FBFD"/>
            <w:vAlign w:val="center"/>
            <w:hideMark/>
          </w:tcPr>
          <w:p w14:paraId="403609BF" w14:textId="77777777" w:rsidR="00331FE2" w:rsidRPr="00331FE2" w:rsidRDefault="00331FE2" w:rsidP="00331FE2">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Pandey, D.K., Hassan, M.K., Kumari, V., Ben Zaied, Y. and Rai, V.K. (2024) 'Mapping the landscape of FinTech in banking and finance: A bibliometric review', </w:t>
            </w:r>
            <w:r w:rsidRPr="00331FE2">
              <w:rPr>
                <w:rFonts w:ascii="Book Antiqua" w:eastAsia="Times New Roman" w:hAnsi="Book Antiqua" w:cs="Times New Roman"/>
                <w:i/>
                <w:iCs/>
                <w:sz w:val="15"/>
                <w:szCs w:val="15"/>
                <w:lang w:eastAsia="en-GB"/>
              </w:rPr>
              <w:t>Research in International Business and Finance,</w:t>
            </w:r>
            <w:r w:rsidRPr="00331FE2">
              <w:rPr>
                <w:rFonts w:ascii="Book Antiqua" w:eastAsia="Times New Roman" w:hAnsi="Book Antiqua" w:cs="Times New Roman"/>
                <w:sz w:val="15"/>
                <w:szCs w:val="15"/>
                <w:lang w:eastAsia="en-GB"/>
              </w:rPr>
              <w:t xml:space="preserve"> 69, 102116.</w:t>
            </w:r>
          </w:p>
        </w:tc>
        <w:tc>
          <w:tcPr>
            <w:tcW w:w="2436" w:type="dxa"/>
            <w:shd w:val="clear" w:color="000000" w:fill="F9FBFD"/>
            <w:vAlign w:val="center"/>
            <w:hideMark/>
          </w:tcPr>
          <w:p w14:paraId="7420B9BA"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Identifies major FinTech research streams including banking, lending, digital payments and financial markets.</w:t>
            </w:r>
          </w:p>
        </w:tc>
        <w:tc>
          <w:tcPr>
            <w:tcW w:w="2456" w:type="dxa"/>
            <w:shd w:val="clear" w:color="000000" w:fill="F9FBFD"/>
            <w:vAlign w:val="center"/>
            <w:hideMark/>
          </w:tcPr>
          <w:p w14:paraId="26821081"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Excellent for identifying research gaps and positioning</w:t>
            </w:r>
          </w:p>
        </w:tc>
      </w:tr>
      <w:tr w:rsidR="00331FE2" w:rsidRPr="00331FE2" w14:paraId="49BA167B" w14:textId="77777777" w:rsidTr="002E6ECA">
        <w:trPr>
          <w:trHeight w:val="50"/>
        </w:trPr>
        <w:tc>
          <w:tcPr>
            <w:tcW w:w="551" w:type="dxa"/>
            <w:shd w:val="clear" w:color="000000" w:fill="FFFFFF"/>
            <w:vAlign w:val="center"/>
            <w:hideMark/>
          </w:tcPr>
          <w:p w14:paraId="6B5F364E"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94</w:t>
            </w:r>
          </w:p>
        </w:tc>
        <w:tc>
          <w:tcPr>
            <w:tcW w:w="3917" w:type="dxa"/>
            <w:shd w:val="clear" w:color="000000" w:fill="FFFFFF"/>
            <w:vAlign w:val="center"/>
            <w:hideMark/>
          </w:tcPr>
          <w:p w14:paraId="3EB34BB1" w14:textId="77777777" w:rsidR="00331FE2" w:rsidRPr="00331FE2" w:rsidRDefault="00331FE2" w:rsidP="00331FE2">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Das, A.R., Chakraborty, A., Goyal, N. and Roy, P. (2026) 'Financial Technology in Transition: Trends, Development, and Ways Forward', </w:t>
            </w:r>
            <w:r w:rsidRPr="00331FE2">
              <w:rPr>
                <w:rFonts w:ascii="Book Antiqua" w:eastAsia="Times New Roman" w:hAnsi="Book Antiqua" w:cs="Times New Roman"/>
                <w:i/>
                <w:iCs/>
                <w:sz w:val="15"/>
                <w:szCs w:val="15"/>
                <w:lang w:eastAsia="en-GB"/>
              </w:rPr>
              <w:t>Journal of Economic Surveys,</w:t>
            </w:r>
            <w:r w:rsidRPr="00331FE2">
              <w:rPr>
                <w:rFonts w:ascii="Book Antiqua" w:eastAsia="Times New Roman" w:hAnsi="Book Antiqua" w:cs="Times New Roman"/>
                <w:sz w:val="15"/>
                <w:szCs w:val="15"/>
                <w:lang w:eastAsia="en-GB"/>
              </w:rPr>
              <w:t xml:space="preserve"> 40(2), pp.839-860.</w:t>
            </w:r>
          </w:p>
        </w:tc>
        <w:tc>
          <w:tcPr>
            <w:tcW w:w="2436" w:type="dxa"/>
            <w:shd w:val="clear" w:color="000000" w:fill="FFFFFF"/>
            <w:vAlign w:val="center"/>
            <w:hideMark/>
          </w:tcPr>
          <w:p w14:paraId="7F6B9ACA"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Reviews more than 1,000 FinTech publications and identifies major research themes and future directions.</w:t>
            </w:r>
          </w:p>
        </w:tc>
        <w:tc>
          <w:tcPr>
            <w:tcW w:w="2456" w:type="dxa"/>
            <w:shd w:val="clear" w:color="000000" w:fill="FFFFFF"/>
            <w:vAlign w:val="center"/>
            <w:hideMark/>
          </w:tcPr>
          <w:p w14:paraId="5E1E4140"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One of the strongest recent review papers for framing FinTech literature.</w:t>
            </w:r>
          </w:p>
        </w:tc>
      </w:tr>
      <w:tr w:rsidR="00331FE2" w:rsidRPr="00331FE2" w14:paraId="5BC5A21D" w14:textId="77777777" w:rsidTr="000E36C1">
        <w:trPr>
          <w:trHeight w:val="528"/>
        </w:trPr>
        <w:tc>
          <w:tcPr>
            <w:tcW w:w="551" w:type="dxa"/>
            <w:shd w:val="clear" w:color="000000" w:fill="F9FBFD"/>
            <w:vAlign w:val="center"/>
            <w:hideMark/>
          </w:tcPr>
          <w:p w14:paraId="02FD4B8C"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95</w:t>
            </w:r>
          </w:p>
        </w:tc>
        <w:tc>
          <w:tcPr>
            <w:tcW w:w="3917" w:type="dxa"/>
            <w:shd w:val="clear" w:color="000000" w:fill="F9FBFD"/>
            <w:vAlign w:val="center"/>
            <w:hideMark/>
          </w:tcPr>
          <w:p w14:paraId="4A47EBB0" w14:textId="77777777" w:rsidR="00331FE2" w:rsidRPr="00331FE2" w:rsidRDefault="00331FE2" w:rsidP="00331FE2">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Almekinders, G.J., Ahmed, F. and Ogawa, S. (2023) 'Advancing financial development and inclusion in South Asia', in South Asia's Path to Resilient Growth. </w:t>
            </w:r>
          </w:p>
        </w:tc>
        <w:tc>
          <w:tcPr>
            <w:tcW w:w="2436" w:type="dxa"/>
            <w:shd w:val="clear" w:color="000000" w:fill="F9FBFD"/>
            <w:vAlign w:val="center"/>
            <w:hideMark/>
          </w:tcPr>
          <w:p w14:paraId="442990C3" w14:textId="4FAC8B59"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Reviews financial sector reforms, digital finance and financial </w:t>
            </w:r>
            <w:r w:rsidR="00482431" w:rsidRPr="00331FE2">
              <w:rPr>
                <w:rFonts w:ascii="Book Antiqua" w:eastAsia="Times New Roman" w:hAnsi="Book Antiqua" w:cs="Times New Roman"/>
                <w:sz w:val="15"/>
                <w:szCs w:val="15"/>
                <w:lang w:eastAsia="en-GB"/>
              </w:rPr>
              <w:t>enhancement</w:t>
            </w:r>
            <w:r w:rsidRPr="00331FE2">
              <w:rPr>
                <w:rFonts w:ascii="Book Antiqua" w:eastAsia="Times New Roman" w:hAnsi="Book Antiqua" w:cs="Times New Roman"/>
                <w:sz w:val="15"/>
                <w:szCs w:val="15"/>
                <w:lang w:eastAsia="en-GB"/>
              </w:rPr>
              <w:t xml:space="preserve"> in South Asia.</w:t>
            </w:r>
          </w:p>
        </w:tc>
        <w:tc>
          <w:tcPr>
            <w:tcW w:w="2456" w:type="dxa"/>
            <w:shd w:val="clear" w:color="000000" w:fill="F9FBFD"/>
            <w:vAlign w:val="center"/>
            <w:hideMark/>
          </w:tcPr>
          <w:p w14:paraId="09A360CF"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Strong policy-oriented synthesis for recent regional evidence.</w:t>
            </w:r>
          </w:p>
        </w:tc>
      </w:tr>
      <w:tr w:rsidR="00331FE2" w:rsidRPr="00331FE2" w14:paraId="0A25C35A" w14:textId="77777777" w:rsidTr="000E36C1">
        <w:trPr>
          <w:trHeight w:val="754"/>
        </w:trPr>
        <w:tc>
          <w:tcPr>
            <w:tcW w:w="551" w:type="dxa"/>
            <w:vAlign w:val="center"/>
            <w:hideMark/>
          </w:tcPr>
          <w:p w14:paraId="70431499" w14:textId="2CB97FC4" w:rsidR="00331FE2" w:rsidRPr="00331FE2" w:rsidRDefault="002E6ECA" w:rsidP="000E36C1">
            <w:pPr>
              <w:spacing w:after="0" w:line="240" w:lineRule="auto"/>
              <w:jc w:val="center"/>
              <w:rPr>
                <w:rFonts w:ascii="Book Antiqua" w:eastAsia="Times New Roman" w:hAnsi="Book Antiqua" w:cs="Times New Roman"/>
                <w:color w:val="000000"/>
                <w:sz w:val="15"/>
                <w:szCs w:val="15"/>
                <w:lang w:val="en-GB" w:eastAsia="en-GB"/>
              </w:rPr>
            </w:pPr>
            <w:r>
              <w:rPr>
                <w:rFonts w:ascii="Book Antiqua" w:eastAsia="Times New Roman" w:hAnsi="Book Antiqua" w:cs="Times New Roman"/>
                <w:color w:val="000000"/>
                <w:sz w:val="15"/>
                <w:szCs w:val="15"/>
                <w:lang w:val="en-GB" w:eastAsia="en-GB"/>
              </w:rPr>
              <w:t>96</w:t>
            </w:r>
          </w:p>
        </w:tc>
        <w:tc>
          <w:tcPr>
            <w:tcW w:w="3917" w:type="dxa"/>
            <w:shd w:val="clear" w:color="000000" w:fill="FFFFFF"/>
            <w:vAlign w:val="center"/>
            <w:hideMark/>
          </w:tcPr>
          <w:p w14:paraId="587A32E8" w14:textId="6A244DA8" w:rsidR="002E6ECA" w:rsidRPr="002E6ECA" w:rsidRDefault="00331FE2" w:rsidP="002E6ECA">
            <w:pPr>
              <w:spacing w:after="0" w:line="240" w:lineRule="auto"/>
              <w:rPr>
                <w:rFonts w:ascii="Book Antiqua" w:eastAsia="Times New Roman" w:hAnsi="Book Antiqua" w:cs="Times New Roman"/>
                <w:sz w:val="15"/>
                <w:szCs w:val="15"/>
                <w:lang w:eastAsia="en-GB"/>
              </w:rPr>
            </w:pPr>
            <w:r w:rsidRPr="00331FE2">
              <w:rPr>
                <w:rFonts w:ascii="Book Antiqua" w:eastAsia="Times New Roman" w:hAnsi="Book Antiqua" w:cs="Times New Roman"/>
                <w:sz w:val="15"/>
                <w:szCs w:val="15"/>
                <w:lang w:eastAsia="en-GB"/>
              </w:rPr>
              <w:t xml:space="preserve">Pradhan, R.P., Arvin, M.B. and Hall, J.H. (2016) 'Economic growth, development of telecommunications infrastructure, and financial development in Asia, 1991–2012', </w:t>
            </w:r>
            <w:r w:rsidRPr="00331FE2">
              <w:rPr>
                <w:rFonts w:ascii="Book Antiqua" w:eastAsia="Times New Roman" w:hAnsi="Book Antiqua" w:cs="Times New Roman"/>
                <w:i/>
                <w:iCs/>
                <w:sz w:val="15"/>
                <w:szCs w:val="15"/>
                <w:lang w:eastAsia="en-GB"/>
              </w:rPr>
              <w:t>The Quarterly Review of Economics and Finance</w:t>
            </w:r>
            <w:r w:rsidRPr="00331FE2">
              <w:rPr>
                <w:rFonts w:ascii="Book Antiqua" w:eastAsia="Times New Roman" w:hAnsi="Book Antiqua" w:cs="Times New Roman"/>
                <w:sz w:val="15"/>
                <w:szCs w:val="15"/>
                <w:lang w:eastAsia="en-GB"/>
              </w:rPr>
              <w:t>, </w:t>
            </w:r>
            <w:r w:rsidRPr="00331FE2">
              <w:rPr>
                <w:rFonts w:ascii="Book Antiqua" w:eastAsia="Times New Roman" w:hAnsi="Book Antiqua" w:cs="Times New Roman"/>
                <w:i/>
                <w:iCs/>
                <w:sz w:val="15"/>
                <w:szCs w:val="15"/>
                <w:lang w:eastAsia="en-GB"/>
              </w:rPr>
              <w:t>59</w:t>
            </w:r>
            <w:r w:rsidRPr="00331FE2">
              <w:rPr>
                <w:rFonts w:ascii="Book Antiqua" w:eastAsia="Times New Roman" w:hAnsi="Book Antiqua" w:cs="Times New Roman"/>
                <w:sz w:val="15"/>
                <w:szCs w:val="15"/>
                <w:lang w:eastAsia="en-GB"/>
              </w:rPr>
              <w:t>, pp.25-38.</w:t>
            </w:r>
          </w:p>
        </w:tc>
        <w:tc>
          <w:tcPr>
            <w:tcW w:w="2436" w:type="dxa"/>
            <w:vAlign w:val="center"/>
            <w:hideMark/>
          </w:tcPr>
          <w:p w14:paraId="3E6322B1" w14:textId="425C9446" w:rsidR="002E6ECA" w:rsidRDefault="002E6ECA" w:rsidP="002E6ECA">
            <w:pPr>
              <w:spacing w:after="0" w:line="240" w:lineRule="auto"/>
              <w:rPr>
                <w:rFonts w:ascii="Book Antiqua" w:eastAsia="Times New Roman" w:hAnsi="Book Antiqua" w:cs="Times New Roman"/>
                <w:sz w:val="15"/>
                <w:szCs w:val="15"/>
                <w:lang w:eastAsia="en-GB"/>
              </w:rPr>
            </w:pPr>
            <w:r w:rsidRPr="00331FE2">
              <w:rPr>
                <w:rFonts w:ascii="Book Antiqua" w:eastAsia="Times New Roman" w:hAnsi="Book Antiqua" w:cs="Times New Roman"/>
                <w:sz w:val="15"/>
                <w:szCs w:val="15"/>
                <w:lang w:eastAsia="en-GB"/>
              </w:rPr>
              <w:t xml:space="preserve">ICT development strengthens financial </w:t>
            </w:r>
            <w:r w:rsidR="00142C7F" w:rsidRPr="00331FE2">
              <w:rPr>
                <w:rFonts w:ascii="Book Antiqua" w:eastAsia="Times New Roman" w:hAnsi="Book Antiqua" w:cs="Times New Roman"/>
                <w:sz w:val="15"/>
                <w:szCs w:val="15"/>
                <w:lang w:eastAsia="en-GB"/>
              </w:rPr>
              <w:t>advance</w:t>
            </w:r>
            <w:r w:rsidR="00142C7F">
              <w:rPr>
                <w:rFonts w:ascii="Book Antiqua" w:eastAsia="Times New Roman" w:hAnsi="Book Antiqua" w:cs="Times New Roman"/>
                <w:sz w:val="15"/>
                <w:szCs w:val="15"/>
                <w:lang w:eastAsia="en-GB"/>
              </w:rPr>
              <w:t>ment</w:t>
            </w:r>
            <w:r w:rsidRPr="00331FE2">
              <w:rPr>
                <w:rFonts w:ascii="Book Antiqua" w:eastAsia="Times New Roman" w:hAnsi="Book Antiqua" w:cs="Times New Roman"/>
                <w:sz w:val="15"/>
                <w:szCs w:val="15"/>
                <w:lang w:eastAsia="en-GB"/>
              </w:rPr>
              <w:t xml:space="preserve"> and long-</w:t>
            </w:r>
            <w:r w:rsidR="00142C7F">
              <w:rPr>
                <w:rFonts w:ascii="Book Antiqua" w:eastAsia="Times New Roman" w:hAnsi="Book Antiqua" w:cs="Times New Roman"/>
                <w:sz w:val="15"/>
                <w:szCs w:val="15"/>
                <w:lang w:eastAsia="en-GB"/>
              </w:rPr>
              <w:t>effecting</w:t>
            </w:r>
            <w:r w:rsidRPr="00331FE2">
              <w:rPr>
                <w:rFonts w:ascii="Book Antiqua" w:eastAsia="Times New Roman" w:hAnsi="Book Antiqua" w:cs="Times New Roman"/>
                <w:sz w:val="15"/>
                <w:szCs w:val="15"/>
                <w:lang w:eastAsia="en-GB"/>
              </w:rPr>
              <w:t xml:space="preserve"> growth.</w:t>
            </w:r>
          </w:p>
          <w:p w14:paraId="62FFDBE6" w14:textId="3790BE08" w:rsidR="00331FE2" w:rsidRPr="00331FE2" w:rsidRDefault="00331FE2" w:rsidP="002E6ECA">
            <w:pPr>
              <w:spacing w:after="0" w:line="240" w:lineRule="auto"/>
              <w:rPr>
                <w:rFonts w:ascii="Book Antiqua" w:eastAsia="Times New Roman" w:hAnsi="Book Antiqua" w:cs="Times New Roman"/>
                <w:sz w:val="15"/>
                <w:szCs w:val="15"/>
                <w:lang w:val="en-GB" w:eastAsia="en-GB"/>
              </w:rPr>
            </w:pPr>
          </w:p>
        </w:tc>
        <w:tc>
          <w:tcPr>
            <w:tcW w:w="2456" w:type="dxa"/>
            <w:vAlign w:val="center"/>
            <w:hideMark/>
          </w:tcPr>
          <w:p w14:paraId="0CA3FCCC" w14:textId="46D6FCDE" w:rsidR="00331FE2" w:rsidRPr="00331FE2" w:rsidRDefault="002E6ECA" w:rsidP="00331FE2">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Supports the argument that digital technologies underpin financial deepening.</w:t>
            </w:r>
          </w:p>
        </w:tc>
      </w:tr>
      <w:tr w:rsidR="00331FE2" w:rsidRPr="00331FE2" w14:paraId="56577CA6" w14:textId="77777777" w:rsidTr="000E36C1">
        <w:trPr>
          <w:trHeight w:val="501"/>
        </w:trPr>
        <w:tc>
          <w:tcPr>
            <w:tcW w:w="551" w:type="dxa"/>
            <w:shd w:val="clear" w:color="000000" w:fill="F9FBFD"/>
            <w:vAlign w:val="center"/>
            <w:hideMark/>
          </w:tcPr>
          <w:p w14:paraId="65C411BC"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97</w:t>
            </w:r>
          </w:p>
        </w:tc>
        <w:tc>
          <w:tcPr>
            <w:tcW w:w="3917" w:type="dxa"/>
            <w:shd w:val="clear" w:color="000000" w:fill="F9FBFD"/>
            <w:vAlign w:val="center"/>
            <w:hideMark/>
          </w:tcPr>
          <w:p w14:paraId="2DE9426C"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Berg, T., Fuster, A. and Puri, M. (2022) 'FinTech lending', Annual Review of Financial Economics, 14, pp.187–207.</w:t>
            </w:r>
          </w:p>
        </w:tc>
        <w:tc>
          <w:tcPr>
            <w:tcW w:w="2436" w:type="dxa"/>
            <w:shd w:val="clear" w:color="000000" w:fill="F9FBFD"/>
            <w:vAlign w:val="center"/>
            <w:hideMark/>
          </w:tcPr>
          <w:p w14:paraId="68A5FD01" w14:textId="41B59D22"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FinTech lending expands credit allocation through data-driven screening, improving efficiency</w:t>
            </w:r>
            <w:r w:rsidR="000E36C1">
              <w:rPr>
                <w:rFonts w:ascii="Book Antiqua" w:eastAsia="Times New Roman" w:hAnsi="Book Antiqua" w:cs="Times New Roman"/>
                <w:sz w:val="15"/>
                <w:szCs w:val="15"/>
                <w:lang w:eastAsia="en-GB"/>
              </w:rPr>
              <w:t>.</w:t>
            </w:r>
          </w:p>
        </w:tc>
        <w:tc>
          <w:tcPr>
            <w:tcW w:w="2456" w:type="dxa"/>
            <w:shd w:val="clear" w:color="000000" w:fill="F9FBFD"/>
            <w:vAlign w:val="center"/>
            <w:hideMark/>
          </w:tcPr>
          <w:p w14:paraId="42E7EC0D"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Useful for discussing credit-market deepening through FinTech.</w:t>
            </w:r>
          </w:p>
        </w:tc>
      </w:tr>
      <w:tr w:rsidR="00331FE2" w:rsidRPr="00331FE2" w14:paraId="5B9B47D8" w14:textId="77777777" w:rsidTr="00B50F3C">
        <w:trPr>
          <w:trHeight w:val="431"/>
        </w:trPr>
        <w:tc>
          <w:tcPr>
            <w:tcW w:w="551" w:type="dxa"/>
            <w:shd w:val="clear" w:color="000000" w:fill="FFFFFF"/>
            <w:vAlign w:val="center"/>
            <w:hideMark/>
          </w:tcPr>
          <w:p w14:paraId="7555C28B"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98</w:t>
            </w:r>
          </w:p>
        </w:tc>
        <w:tc>
          <w:tcPr>
            <w:tcW w:w="3917" w:type="dxa"/>
            <w:shd w:val="clear" w:color="000000" w:fill="FFFFFF"/>
            <w:vAlign w:val="center"/>
            <w:hideMark/>
          </w:tcPr>
          <w:p w14:paraId="76155151" w14:textId="77777777"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Thakor, A.V. (2020) 'FinTech and banking: What do we know?', Journal of Financial Intermediation, 41, p.100833.</w:t>
            </w:r>
          </w:p>
        </w:tc>
        <w:tc>
          <w:tcPr>
            <w:tcW w:w="2436" w:type="dxa"/>
            <w:shd w:val="clear" w:color="000000" w:fill="FFFFFF"/>
            <w:vAlign w:val="center"/>
            <w:hideMark/>
          </w:tcPr>
          <w:p w14:paraId="2ADD9653" w14:textId="6176563C"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FinTech promotes innovation while changing the structure of financial mediation.</w:t>
            </w:r>
          </w:p>
        </w:tc>
        <w:tc>
          <w:tcPr>
            <w:tcW w:w="2456" w:type="dxa"/>
            <w:shd w:val="clear" w:color="000000" w:fill="FFFFFF"/>
            <w:vAlign w:val="center"/>
            <w:hideMark/>
          </w:tcPr>
          <w:p w14:paraId="11DCB869" w14:textId="2FBBA964" w:rsidR="00331FE2" w:rsidRPr="00331FE2" w:rsidRDefault="00331FE2" w:rsidP="000E36C1">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Useful for framing </w:t>
            </w:r>
            <w:r w:rsidR="00B50F3C" w:rsidRPr="00331FE2">
              <w:rPr>
                <w:rFonts w:ascii="Book Antiqua" w:eastAsia="Times New Roman" w:hAnsi="Book Antiqua" w:cs="Times New Roman"/>
                <w:sz w:val="15"/>
                <w:szCs w:val="15"/>
                <w:lang w:eastAsia="en-GB"/>
              </w:rPr>
              <w:t>banking sector</w:t>
            </w:r>
            <w:r w:rsidRPr="00331FE2">
              <w:rPr>
                <w:rFonts w:ascii="Book Antiqua" w:eastAsia="Times New Roman" w:hAnsi="Book Antiqua" w:cs="Times New Roman"/>
                <w:sz w:val="15"/>
                <w:szCs w:val="15"/>
                <w:lang w:eastAsia="en-GB"/>
              </w:rPr>
              <w:t xml:space="preserve"> deepening in both emerging economies.</w:t>
            </w:r>
          </w:p>
        </w:tc>
      </w:tr>
      <w:tr w:rsidR="00331FE2" w:rsidRPr="00331FE2" w14:paraId="1AFAD013" w14:textId="77777777" w:rsidTr="00B50F3C">
        <w:trPr>
          <w:trHeight w:val="850"/>
        </w:trPr>
        <w:tc>
          <w:tcPr>
            <w:tcW w:w="551" w:type="dxa"/>
            <w:shd w:val="clear" w:color="000000" w:fill="F9FBFD"/>
            <w:vAlign w:val="center"/>
            <w:hideMark/>
          </w:tcPr>
          <w:p w14:paraId="6F20100B"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99</w:t>
            </w:r>
          </w:p>
        </w:tc>
        <w:tc>
          <w:tcPr>
            <w:tcW w:w="3917" w:type="dxa"/>
            <w:shd w:val="clear" w:color="000000" w:fill="F9FBFD"/>
            <w:vAlign w:val="center"/>
            <w:hideMark/>
          </w:tcPr>
          <w:p w14:paraId="3C146963" w14:textId="77777777" w:rsidR="00331FE2" w:rsidRPr="00331FE2" w:rsidRDefault="00331FE2" w:rsidP="00B50F3C">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Pal, S. and Villanthenkodath, M.A. (2026) 'The Role of Digitization in Shaping Financial Development: Insights from Emerging Asia', </w:t>
            </w:r>
            <w:r w:rsidRPr="00331FE2">
              <w:rPr>
                <w:rFonts w:ascii="Book Antiqua" w:eastAsia="Times New Roman" w:hAnsi="Book Antiqua" w:cs="Times New Roman"/>
                <w:i/>
                <w:iCs/>
                <w:sz w:val="15"/>
                <w:szCs w:val="15"/>
                <w:lang w:eastAsia="en-GB"/>
              </w:rPr>
              <w:t>Millennial Asia</w:t>
            </w:r>
            <w:r w:rsidRPr="00331FE2">
              <w:rPr>
                <w:rFonts w:ascii="Book Antiqua" w:eastAsia="Times New Roman" w:hAnsi="Book Antiqua" w:cs="Times New Roman"/>
                <w:sz w:val="15"/>
                <w:szCs w:val="15"/>
                <w:lang w:eastAsia="en-GB"/>
              </w:rPr>
              <w:t>, p.09763996261427272.</w:t>
            </w:r>
          </w:p>
        </w:tc>
        <w:tc>
          <w:tcPr>
            <w:tcW w:w="2436" w:type="dxa"/>
            <w:shd w:val="clear" w:color="000000" w:fill="F9FBFD"/>
            <w:vAlign w:val="center"/>
            <w:hideMark/>
          </w:tcPr>
          <w:p w14:paraId="761BCA50" w14:textId="77777777" w:rsidR="00331FE2" w:rsidRPr="00331FE2" w:rsidRDefault="00331FE2" w:rsidP="00B50F3C">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Finds that digitization positively influences financial development after controlling institutional quality, economic growth and other macro factors.</w:t>
            </w:r>
          </w:p>
        </w:tc>
        <w:tc>
          <w:tcPr>
            <w:tcW w:w="2456" w:type="dxa"/>
            <w:shd w:val="clear" w:color="000000" w:fill="F9FBFD"/>
            <w:vAlign w:val="center"/>
            <w:hideMark/>
          </w:tcPr>
          <w:p w14:paraId="232D469E" w14:textId="77777777" w:rsidR="00331FE2" w:rsidRPr="00331FE2" w:rsidRDefault="00331FE2" w:rsidP="00B50F3C">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Directly supports the argument that digital transformation is a modern driver of financial deepening in Asia.</w:t>
            </w:r>
          </w:p>
        </w:tc>
      </w:tr>
      <w:tr w:rsidR="00331FE2" w:rsidRPr="00331FE2" w14:paraId="0A1E28E3" w14:textId="77777777" w:rsidTr="00B50F3C">
        <w:trPr>
          <w:trHeight w:val="906"/>
        </w:trPr>
        <w:tc>
          <w:tcPr>
            <w:tcW w:w="551" w:type="dxa"/>
            <w:shd w:val="clear" w:color="000000" w:fill="FFFFFF"/>
            <w:vAlign w:val="center"/>
            <w:hideMark/>
          </w:tcPr>
          <w:p w14:paraId="230D36FB"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100</w:t>
            </w:r>
          </w:p>
        </w:tc>
        <w:tc>
          <w:tcPr>
            <w:tcW w:w="3917" w:type="dxa"/>
            <w:shd w:val="clear" w:color="000000" w:fill="FFFFFF"/>
            <w:vAlign w:val="center"/>
            <w:hideMark/>
          </w:tcPr>
          <w:p w14:paraId="4D02F900" w14:textId="77777777" w:rsidR="00331FE2" w:rsidRPr="00331FE2" w:rsidRDefault="00331FE2" w:rsidP="00B50F3C">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Huong, A.Y.Z., Puah, C.H. and Chong, M.T. (2021) 'Embrace Fintech in ASEAN: A perception through Fintech adoption index', Research in World Economy, 12(1), pp.1.</w:t>
            </w:r>
          </w:p>
        </w:tc>
        <w:tc>
          <w:tcPr>
            <w:tcW w:w="2436" w:type="dxa"/>
            <w:shd w:val="clear" w:color="000000" w:fill="FFFFFF"/>
            <w:vAlign w:val="center"/>
            <w:hideMark/>
          </w:tcPr>
          <w:p w14:paraId="06174939" w14:textId="77777777" w:rsidR="00331FE2" w:rsidRPr="00331FE2" w:rsidRDefault="00331FE2" w:rsidP="00B50F3C">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Constructs a FinTech adoption index and shows large variations between advanced economies (Singapore, Malaysia) and developing ASEAN economies.</w:t>
            </w:r>
          </w:p>
        </w:tc>
        <w:tc>
          <w:tcPr>
            <w:tcW w:w="2456" w:type="dxa"/>
            <w:shd w:val="clear" w:color="000000" w:fill="FFFFFF"/>
            <w:vAlign w:val="center"/>
            <w:hideMark/>
          </w:tcPr>
          <w:p w14:paraId="4660C97A" w14:textId="77777777" w:rsidR="00331FE2" w:rsidRPr="00331FE2" w:rsidRDefault="00331FE2" w:rsidP="00B50F3C">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Useful for measuring FinTech maturity differences and explaining uneven financial sector transformation.</w:t>
            </w:r>
          </w:p>
        </w:tc>
      </w:tr>
      <w:tr w:rsidR="00331FE2" w:rsidRPr="00331FE2" w14:paraId="681934AE" w14:textId="77777777" w:rsidTr="00B50F3C">
        <w:trPr>
          <w:trHeight w:val="1408"/>
        </w:trPr>
        <w:tc>
          <w:tcPr>
            <w:tcW w:w="551" w:type="dxa"/>
            <w:shd w:val="clear" w:color="000000" w:fill="F9FBFD"/>
            <w:vAlign w:val="center"/>
            <w:hideMark/>
          </w:tcPr>
          <w:p w14:paraId="42133E98" w14:textId="77777777" w:rsidR="00331FE2" w:rsidRPr="00331FE2" w:rsidRDefault="00331FE2" w:rsidP="00331FE2">
            <w:pPr>
              <w:spacing w:after="0" w:line="240" w:lineRule="auto"/>
              <w:jc w:val="center"/>
              <w:rPr>
                <w:rFonts w:ascii="Book Antiqua" w:eastAsia="Times New Roman" w:hAnsi="Book Antiqua" w:cs="Times New Roman"/>
                <w:color w:val="000000"/>
                <w:sz w:val="15"/>
                <w:szCs w:val="15"/>
                <w:lang w:val="en-GB" w:eastAsia="en-GB"/>
              </w:rPr>
            </w:pPr>
            <w:r w:rsidRPr="00331FE2">
              <w:rPr>
                <w:rFonts w:ascii="Book Antiqua" w:eastAsia="Times New Roman" w:hAnsi="Book Antiqua" w:cs="Times New Roman"/>
                <w:color w:val="000000"/>
                <w:sz w:val="15"/>
                <w:szCs w:val="15"/>
                <w:lang w:eastAsia="en-GB"/>
              </w:rPr>
              <w:t>101</w:t>
            </w:r>
          </w:p>
        </w:tc>
        <w:tc>
          <w:tcPr>
            <w:tcW w:w="3917" w:type="dxa"/>
            <w:shd w:val="clear" w:color="000000" w:fill="F9FBFD"/>
            <w:vAlign w:val="center"/>
            <w:hideMark/>
          </w:tcPr>
          <w:p w14:paraId="7755148C" w14:textId="77777777" w:rsidR="00331FE2" w:rsidRPr="00331FE2" w:rsidRDefault="00331FE2" w:rsidP="004517BE">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 xml:space="preserve">Wang, C.-N., Nhieu, N.-L. and Liu, W.-L. (2024) 'Unveiling the landscape of FinTech in ASEAN: assessing development, regulations, and economic implications by decision-making approach', </w:t>
            </w:r>
            <w:r w:rsidRPr="00331FE2">
              <w:rPr>
                <w:rFonts w:ascii="Book Antiqua" w:eastAsia="Times New Roman" w:hAnsi="Book Antiqua" w:cs="Times New Roman"/>
                <w:i/>
                <w:iCs/>
                <w:sz w:val="15"/>
                <w:szCs w:val="15"/>
                <w:lang w:eastAsia="en-GB"/>
              </w:rPr>
              <w:t>Humanities and Social Sciences Communications</w:t>
            </w:r>
            <w:r w:rsidRPr="00331FE2">
              <w:rPr>
                <w:rFonts w:ascii="Book Antiqua" w:eastAsia="Times New Roman" w:hAnsi="Book Antiqua" w:cs="Times New Roman"/>
                <w:sz w:val="15"/>
                <w:szCs w:val="15"/>
                <w:lang w:eastAsia="en-GB"/>
              </w:rPr>
              <w:t>, 11(1), p.1-16.</w:t>
            </w:r>
          </w:p>
        </w:tc>
        <w:tc>
          <w:tcPr>
            <w:tcW w:w="2436" w:type="dxa"/>
            <w:shd w:val="clear" w:color="000000" w:fill="F9FBFD"/>
            <w:vAlign w:val="center"/>
            <w:hideMark/>
          </w:tcPr>
          <w:p w14:paraId="16023C11" w14:textId="77777777" w:rsidR="00331FE2" w:rsidRPr="00331FE2" w:rsidRDefault="00331FE2" w:rsidP="004517BE">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Develops a comparative FinTech development assessment framework using technology infrastructure, financial activity and regulatory indicators. Finds significant differences in FinTech readiness among ASEAN economies.</w:t>
            </w:r>
          </w:p>
        </w:tc>
        <w:tc>
          <w:tcPr>
            <w:tcW w:w="2456" w:type="dxa"/>
            <w:shd w:val="clear" w:color="000000" w:fill="F9FBFD"/>
            <w:vAlign w:val="center"/>
            <w:hideMark/>
          </w:tcPr>
          <w:p w14:paraId="6EC71FBB" w14:textId="77777777" w:rsidR="00331FE2" w:rsidRPr="00331FE2" w:rsidRDefault="00331FE2" w:rsidP="004517BE">
            <w:pPr>
              <w:spacing w:after="0" w:line="240" w:lineRule="auto"/>
              <w:rPr>
                <w:rFonts w:ascii="Book Antiqua" w:eastAsia="Times New Roman" w:hAnsi="Book Antiqua" w:cs="Times New Roman"/>
                <w:sz w:val="15"/>
                <w:szCs w:val="15"/>
                <w:lang w:val="en-GB" w:eastAsia="en-GB"/>
              </w:rPr>
            </w:pPr>
            <w:r w:rsidRPr="00331FE2">
              <w:rPr>
                <w:rFonts w:ascii="Book Antiqua" w:eastAsia="Times New Roman" w:hAnsi="Book Antiqua" w:cs="Times New Roman"/>
                <w:sz w:val="15"/>
                <w:szCs w:val="15"/>
                <w:lang w:eastAsia="en-GB"/>
              </w:rPr>
              <w:t>Useful for explaining cross-country differences in FinTech-driven financial deepening and institutional readiness in Southeast Asia.</w:t>
            </w:r>
          </w:p>
        </w:tc>
      </w:tr>
    </w:tbl>
    <w:p w14:paraId="4EA6FA21" w14:textId="77777777" w:rsidR="00EC398B" w:rsidRPr="00E94793" w:rsidRDefault="00EC398B" w:rsidP="004005B1">
      <w:pPr>
        <w:spacing w:after="0" w:line="240" w:lineRule="auto"/>
        <w:jc w:val="both"/>
        <w:rPr>
          <w:rFonts w:ascii="Book Antiqua" w:hAnsi="Book Antiqua"/>
          <w:bCs/>
          <w:color w:val="auto"/>
          <w:sz w:val="18"/>
          <w:szCs w:val="18"/>
        </w:rPr>
      </w:pPr>
    </w:p>
    <w:p w14:paraId="4ED525E7" w14:textId="55D77257" w:rsidR="00736650" w:rsidRPr="00D51CD9" w:rsidRDefault="000F28B0" w:rsidP="004005B1">
      <w:pPr>
        <w:spacing w:before="480" w:after="240" w:line="240" w:lineRule="auto"/>
        <w:jc w:val="center"/>
        <w:rPr>
          <w:rFonts w:ascii="Book Antiqua" w:hAnsi="Book Antiqua"/>
          <w:b/>
          <w:color w:val="0070C0"/>
        </w:rPr>
      </w:pPr>
      <w:r w:rsidRPr="00D51CD9">
        <w:rPr>
          <w:rFonts w:ascii="Book Antiqua" w:hAnsi="Book Antiqua"/>
          <w:b/>
          <w:color w:val="0070C0"/>
        </w:rPr>
        <w:lastRenderedPageBreak/>
        <w:t>Part III: Critical litera</w:t>
      </w:r>
      <w:r w:rsidR="001805B5" w:rsidRPr="00D51CD9">
        <w:rPr>
          <w:rFonts w:ascii="Book Antiqua" w:hAnsi="Book Antiqua"/>
          <w:b/>
          <w:color w:val="0070C0"/>
        </w:rPr>
        <w:t>ture Review</w:t>
      </w:r>
    </w:p>
    <w:p w14:paraId="12FEB718" w14:textId="68314602" w:rsidR="004A3188" w:rsidRDefault="007C6FFE" w:rsidP="004005B1">
      <w:pPr>
        <w:spacing w:after="0" w:line="240" w:lineRule="auto"/>
        <w:jc w:val="center"/>
        <w:rPr>
          <w:rFonts w:ascii="Book Antiqua" w:hAnsi="Book Antiqua"/>
          <w:b/>
          <w:color w:val="0A2F41" w:themeColor="accent1" w:themeShade="80"/>
        </w:rPr>
      </w:pPr>
      <w:r w:rsidRPr="00DA0D42">
        <w:rPr>
          <w:rFonts w:ascii="Book Antiqua" w:hAnsi="Book Antiqua"/>
          <w:b/>
          <w:color w:val="0A2F41" w:themeColor="accent1" w:themeShade="80"/>
        </w:rPr>
        <w:t>Fin</w:t>
      </w:r>
      <w:r w:rsidR="005D172F">
        <w:rPr>
          <w:rFonts w:ascii="Book Antiqua" w:hAnsi="Book Antiqua"/>
          <w:b/>
          <w:color w:val="0A2F41" w:themeColor="accent1" w:themeShade="80"/>
        </w:rPr>
        <w:t>t</w:t>
      </w:r>
      <w:r w:rsidRPr="00DA0D42">
        <w:rPr>
          <w:rFonts w:ascii="Book Antiqua" w:hAnsi="Book Antiqua"/>
          <w:b/>
          <w:color w:val="0A2F41" w:themeColor="accent1" w:themeShade="80"/>
        </w:rPr>
        <w:t>ech and Financial Deepening</w:t>
      </w:r>
      <w:r w:rsidR="00F44EDA">
        <w:rPr>
          <w:rFonts w:ascii="Book Antiqua" w:hAnsi="Book Antiqua"/>
          <w:b/>
          <w:color w:val="0A2F41" w:themeColor="accent1" w:themeShade="80"/>
        </w:rPr>
        <w:t>:</w:t>
      </w:r>
      <w:r w:rsidR="004A3188">
        <w:rPr>
          <w:rFonts w:ascii="Book Antiqua" w:hAnsi="Book Antiqua"/>
          <w:b/>
          <w:color w:val="0A2F41" w:themeColor="accent1" w:themeShade="80"/>
        </w:rPr>
        <w:t xml:space="preserve"> </w:t>
      </w:r>
      <w:r w:rsidR="004A3188" w:rsidRPr="004A3188">
        <w:rPr>
          <w:rFonts w:ascii="Book Antiqua" w:hAnsi="Book Antiqua"/>
          <w:b/>
          <w:color w:val="0A2F41" w:themeColor="accent1" w:themeShade="80"/>
        </w:rPr>
        <w:t xml:space="preserve">A </w:t>
      </w:r>
      <w:r w:rsidR="004A3188" w:rsidRPr="004A3188">
        <w:rPr>
          <w:rFonts w:ascii="Book Antiqua" w:hAnsi="Book Antiqua"/>
          <w:b/>
          <w:bCs/>
          <w:color w:val="0A2F41" w:themeColor="accent1" w:themeShade="80"/>
        </w:rPr>
        <w:t>Cross-Regional</w:t>
      </w:r>
      <w:r w:rsidR="004A3188" w:rsidRPr="004A3188">
        <w:rPr>
          <w:rFonts w:ascii="Book Antiqua" w:hAnsi="Book Antiqua"/>
          <w:b/>
          <w:color w:val="0A2F41" w:themeColor="accent1" w:themeShade="80"/>
        </w:rPr>
        <w:t xml:space="preserve"> Comparative </w:t>
      </w:r>
      <w:r w:rsidR="004A3188" w:rsidRPr="004A3188">
        <w:rPr>
          <w:rFonts w:ascii="Book Antiqua" w:hAnsi="Book Antiqua"/>
          <w:b/>
          <w:bCs/>
          <w:color w:val="0A2F41" w:themeColor="accent1" w:themeShade="80"/>
        </w:rPr>
        <w:t>Analysis</w:t>
      </w:r>
      <w:r w:rsidR="004A3188" w:rsidRPr="004A3188">
        <w:rPr>
          <w:rFonts w:ascii="Book Antiqua" w:hAnsi="Book Antiqua"/>
          <w:b/>
          <w:color w:val="0A2F41" w:themeColor="accent1" w:themeShade="80"/>
        </w:rPr>
        <w:t xml:space="preserve"> of Sub-Saharan Africa and South/Southeast Asia</w:t>
      </w:r>
    </w:p>
    <w:p w14:paraId="4132132C" w14:textId="5F567621" w:rsidR="007C6FFE" w:rsidRPr="00F563F9" w:rsidRDefault="007C6FFE" w:rsidP="004005B1">
      <w:pPr>
        <w:keepNext/>
        <w:spacing w:before="360" w:after="120" w:line="240" w:lineRule="auto"/>
        <w:jc w:val="both"/>
        <w:rPr>
          <w:rFonts w:ascii="Book Antiqua" w:hAnsi="Book Antiqua"/>
          <w:color w:val="215E99" w:themeColor="text2" w:themeTint="BF"/>
          <w:sz w:val="18"/>
          <w:szCs w:val="18"/>
        </w:rPr>
      </w:pPr>
      <w:r w:rsidRPr="00F563F9">
        <w:rPr>
          <w:rFonts w:ascii="Book Antiqua" w:hAnsi="Book Antiqua"/>
          <w:b/>
          <w:color w:val="215E99" w:themeColor="text2" w:themeTint="BF"/>
          <w:sz w:val="18"/>
          <w:szCs w:val="18"/>
        </w:rPr>
        <w:t>1. Introduction</w:t>
      </w:r>
    </w:p>
    <w:p w14:paraId="5FCFF6F5" w14:textId="3846B459" w:rsidR="007A17E0" w:rsidRPr="00D51CD9" w:rsidRDefault="007A17E0" w:rsidP="004005B1">
      <w:pPr>
        <w:spacing w:after="120" w:line="240" w:lineRule="auto"/>
        <w:jc w:val="both"/>
        <w:rPr>
          <w:rFonts w:ascii="Book Antiqua" w:hAnsi="Book Antiqua"/>
          <w:sz w:val="16"/>
          <w:szCs w:val="16"/>
        </w:rPr>
      </w:pPr>
      <w:r w:rsidRPr="00D51CD9">
        <w:rPr>
          <w:rFonts w:ascii="Book Antiqua" w:hAnsi="Book Antiqua"/>
          <w:sz w:val="16"/>
          <w:szCs w:val="16"/>
        </w:rPr>
        <w:t>Financial technology</w:t>
      </w:r>
      <w:r w:rsidR="00F93C28" w:rsidRPr="00D51CD9">
        <w:rPr>
          <w:rFonts w:ascii="Book Antiqua" w:hAnsi="Book Antiqua"/>
          <w:sz w:val="16"/>
          <w:szCs w:val="16"/>
        </w:rPr>
        <w:t xml:space="preserve"> (</w:t>
      </w:r>
      <w:r w:rsidR="003A2E31" w:rsidRPr="00D51CD9">
        <w:rPr>
          <w:rFonts w:ascii="Book Antiqua" w:hAnsi="Book Antiqua"/>
          <w:sz w:val="16"/>
          <w:szCs w:val="16"/>
        </w:rPr>
        <w:t>F</w:t>
      </w:r>
      <w:r w:rsidRPr="00D51CD9">
        <w:rPr>
          <w:rFonts w:ascii="Book Antiqua" w:hAnsi="Book Antiqua"/>
          <w:sz w:val="16"/>
          <w:szCs w:val="16"/>
        </w:rPr>
        <w:t>in</w:t>
      </w:r>
      <w:r w:rsidR="005D172F" w:rsidRPr="00D51CD9">
        <w:rPr>
          <w:rFonts w:ascii="Book Antiqua" w:hAnsi="Book Antiqua"/>
          <w:sz w:val="16"/>
          <w:szCs w:val="16"/>
        </w:rPr>
        <w:t>t</w:t>
      </w:r>
      <w:r w:rsidRPr="00D51CD9">
        <w:rPr>
          <w:rFonts w:ascii="Book Antiqua" w:hAnsi="Book Antiqua"/>
          <w:sz w:val="16"/>
          <w:szCs w:val="16"/>
        </w:rPr>
        <w:t>ech</w:t>
      </w:r>
      <w:r w:rsidR="00F93C28" w:rsidRPr="00D51CD9">
        <w:rPr>
          <w:rFonts w:ascii="Book Antiqua" w:hAnsi="Book Antiqua"/>
          <w:sz w:val="16"/>
          <w:szCs w:val="16"/>
        </w:rPr>
        <w:t>)</w:t>
      </w:r>
      <w:r w:rsidRPr="00D51CD9">
        <w:rPr>
          <w:rFonts w:ascii="Book Antiqua" w:hAnsi="Book Antiqua"/>
          <w:sz w:val="16"/>
          <w:szCs w:val="16"/>
        </w:rPr>
        <w:t xml:space="preserve"> has fundamentally altered </w:t>
      </w:r>
      <w:r w:rsidR="00F93C28" w:rsidRPr="00D51CD9">
        <w:rPr>
          <w:rFonts w:ascii="Book Antiqua" w:hAnsi="Book Antiqua"/>
          <w:sz w:val="16"/>
          <w:szCs w:val="16"/>
        </w:rPr>
        <w:t>financial access across developing economies</w:t>
      </w:r>
      <w:r w:rsidRPr="00D51CD9">
        <w:rPr>
          <w:rFonts w:ascii="Book Antiqua" w:hAnsi="Book Antiqua"/>
          <w:sz w:val="16"/>
          <w:szCs w:val="16"/>
        </w:rPr>
        <w:t xml:space="preserve">. </w:t>
      </w:r>
      <w:r w:rsidR="00436F86" w:rsidRPr="00D51CD9">
        <w:rPr>
          <w:rFonts w:ascii="Book Antiqua" w:hAnsi="Book Antiqua"/>
          <w:sz w:val="16"/>
          <w:szCs w:val="16"/>
        </w:rPr>
        <w:t>Through m</w:t>
      </w:r>
      <w:r w:rsidRPr="00D51CD9">
        <w:rPr>
          <w:rFonts w:ascii="Book Antiqua" w:hAnsi="Book Antiqua"/>
          <w:sz w:val="16"/>
          <w:szCs w:val="16"/>
        </w:rPr>
        <w:t>obile money platforms, digital payment applications, and state-backed digital payment infrastructures</w:t>
      </w:r>
      <w:r w:rsidR="00436F86" w:rsidRPr="00D51CD9">
        <w:rPr>
          <w:rFonts w:ascii="Book Antiqua" w:hAnsi="Book Antiqua"/>
          <w:sz w:val="16"/>
          <w:szCs w:val="16"/>
        </w:rPr>
        <w:t>,</w:t>
      </w:r>
      <w:r w:rsidRPr="00D51CD9">
        <w:rPr>
          <w:rFonts w:ascii="Book Antiqua" w:hAnsi="Book Antiqua"/>
          <w:sz w:val="16"/>
          <w:szCs w:val="16"/>
        </w:rPr>
        <w:t xml:space="preserve"> </w:t>
      </w:r>
      <w:r w:rsidR="00606E39" w:rsidRPr="00D51CD9">
        <w:rPr>
          <w:rFonts w:ascii="Book Antiqua" w:hAnsi="Book Antiqua"/>
          <w:sz w:val="16"/>
          <w:szCs w:val="16"/>
        </w:rPr>
        <w:t xml:space="preserve">now </w:t>
      </w:r>
      <w:r w:rsidR="00226EC1" w:rsidRPr="00D51CD9">
        <w:rPr>
          <w:rFonts w:ascii="Book Antiqua" w:hAnsi="Book Antiqua"/>
          <w:sz w:val="16"/>
          <w:szCs w:val="16"/>
        </w:rPr>
        <w:t xml:space="preserve">a </w:t>
      </w:r>
      <w:r w:rsidR="00606E39" w:rsidRPr="00D51CD9">
        <w:rPr>
          <w:rFonts w:ascii="Book Antiqua" w:hAnsi="Book Antiqua"/>
          <w:sz w:val="16"/>
          <w:szCs w:val="16"/>
        </w:rPr>
        <w:t xml:space="preserve">vast </w:t>
      </w:r>
      <w:r w:rsidR="00DA473D" w:rsidRPr="00D51CD9">
        <w:rPr>
          <w:rFonts w:ascii="Book Antiqua" w:hAnsi="Book Antiqua"/>
          <w:sz w:val="16"/>
          <w:szCs w:val="16"/>
        </w:rPr>
        <w:t xml:space="preserve">global </w:t>
      </w:r>
      <w:r w:rsidR="00606E39" w:rsidRPr="00D51CD9">
        <w:rPr>
          <w:rFonts w:ascii="Book Antiqua" w:hAnsi="Book Antiqua"/>
          <w:sz w:val="16"/>
          <w:szCs w:val="16"/>
        </w:rPr>
        <w:t xml:space="preserve">population who were historically excluded from </w:t>
      </w:r>
      <w:r w:rsidR="00A67FC0" w:rsidRPr="00D51CD9">
        <w:rPr>
          <w:rFonts w:ascii="Book Antiqua" w:hAnsi="Book Antiqua"/>
          <w:sz w:val="16"/>
          <w:szCs w:val="16"/>
        </w:rPr>
        <w:t xml:space="preserve">the </w:t>
      </w:r>
      <w:r w:rsidR="00606E39" w:rsidRPr="00D51CD9">
        <w:rPr>
          <w:rFonts w:ascii="Book Antiqua" w:hAnsi="Book Antiqua"/>
          <w:sz w:val="16"/>
          <w:szCs w:val="16"/>
        </w:rPr>
        <w:t xml:space="preserve">financial sector have now been integrated into the modern economy </w:t>
      </w:r>
      <w:r w:rsidRPr="00D51CD9">
        <w:rPr>
          <w:rFonts w:ascii="Book Antiqua" w:hAnsi="Book Antiqua"/>
          <w:sz w:val="16"/>
          <w:szCs w:val="16"/>
        </w:rPr>
        <w:t>(</w:t>
      </w:r>
      <w:r w:rsidRPr="00D51CD9">
        <w:rPr>
          <w:rFonts w:ascii="Book Antiqua" w:hAnsi="Book Antiqua"/>
          <w:color w:val="0070C0"/>
          <w:sz w:val="16"/>
          <w:szCs w:val="16"/>
        </w:rPr>
        <w:t xml:space="preserve">Pazarbasioglu </w:t>
      </w:r>
      <w:r w:rsidRPr="00D51CD9">
        <w:rPr>
          <w:rFonts w:ascii="Book Antiqua" w:hAnsi="Book Antiqua"/>
          <w:i/>
          <w:iCs/>
          <w:color w:val="0070C0"/>
          <w:sz w:val="16"/>
          <w:szCs w:val="16"/>
        </w:rPr>
        <w:t xml:space="preserve">et al., </w:t>
      </w:r>
      <w:r w:rsidRPr="00D51CD9">
        <w:rPr>
          <w:rFonts w:ascii="Book Antiqua" w:hAnsi="Book Antiqua"/>
          <w:color w:val="0070C0"/>
          <w:sz w:val="16"/>
          <w:szCs w:val="16"/>
        </w:rPr>
        <w:t>2020</w:t>
      </w:r>
      <w:r w:rsidRPr="00D51CD9">
        <w:rPr>
          <w:rFonts w:ascii="Book Antiqua" w:hAnsi="Book Antiqua"/>
          <w:sz w:val="16"/>
          <w:szCs w:val="16"/>
        </w:rPr>
        <w:t xml:space="preserve">). </w:t>
      </w:r>
      <w:r w:rsidR="00FF10CF" w:rsidRPr="00D51CD9">
        <w:rPr>
          <w:rFonts w:ascii="Book Antiqua" w:hAnsi="Book Antiqua"/>
          <w:sz w:val="16"/>
          <w:szCs w:val="16"/>
        </w:rPr>
        <w:t xml:space="preserve">This structural shift is widely recognized as a "leapfrogging" mechanism </w:t>
      </w:r>
      <w:r w:rsidR="00E9056E" w:rsidRPr="00D51CD9">
        <w:rPr>
          <w:rFonts w:ascii="Book Antiqua" w:hAnsi="Book Antiqua"/>
          <w:sz w:val="16"/>
          <w:szCs w:val="16"/>
        </w:rPr>
        <w:t>(</w:t>
      </w:r>
      <w:r w:rsidR="00E9056E" w:rsidRPr="00D51CD9">
        <w:rPr>
          <w:rFonts w:ascii="Book Antiqua" w:hAnsi="Book Antiqua"/>
          <w:color w:val="0070C0"/>
          <w:sz w:val="16"/>
          <w:szCs w:val="16"/>
        </w:rPr>
        <w:t>Beck, 2020</w:t>
      </w:r>
      <w:r w:rsidR="00E9056E" w:rsidRPr="00D51CD9">
        <w:rPr>
          <w:rFonts w:ascii="Book Antiqua" w:hAnsi="Book Antiqua"/>
          <w:sz w:val="16"/>
          <w:szCs w:val="16"/>
        </w:rPr>
        <w:t xml:space="preserve">). </w:t>
      </w:r>
      <w:r w:rsidR="00255BE9" w:rsidRPr="00D51CD9">
        <w:rPr>
          <w:rFonts w:ascii="Book Antiqua" w:hAnsi="Book Antiqua"/>
          <w:sz w:val="16"/>
          <w:szCs w:val="16"/>
        </w:rPr>
        <w:t>By leveraging mobile infrastructure, developing nations have successfully bypassed the need to construct capital-intensive, brick-and-mortar commercial banking networks</w:t>
      </w:r>
      <w:r w:rsidRPr="00D51CD9">
        <w:rPr>
          <w:rFonts w:ascii="Book Antiqua" w:hAnsi="Book Antiqua"/>
          <w:sz w:val="16"/>
          <w:szCs w:val="16"/>
        </w:rPr>
        <w:t xml:space="preserve"> (</w:t>
      </w:r>
      <w:r w:rsidRPr="00D51CD9">
        <w:rPr>
          <w:rFonts w:ascii="Book Antiqua" w:hAnsi="Book Antiqua"/>
          <w:color w:val="0070C0"/>
          <w:sz w:val="16"/>
          <w:szCs w:val="16"/>
        </w:rPr>
        <w:t>Han and Wang, 202</w:t>
      </w:r>
      <w:r w:rsidR="004517BE">
        <w:rPr>
          <w:rFonts w:ascii="Book Antiqua" w:hAnsi="Book Antiqua"/>
          <w:color w:val="0070C0"/>
          <w:sz w:val="16"/>
          <w:szCs w:val="16"/>
        </w:rPr>
        <w:t>6</w:t>
      </w:r>
      <w:r w:rsidRPr="00D51CD9">
        <w:rPr>
          <w:rFonts w:ascii="Book Antiqua" w:hAnsi="Book Antiqua"/>
          <w:sz w:val="16"/>
          <w:szCs w:val="16"/>
        </w:rPr>
        <w:t xml:space="preserve">). The scale of this achievement is </w:t>
      </w:r>
      <w:r w:rsidR="005C0C6F" w:rsidRPr="00D51CD9">
        <w:rPr>
          <w:rFonts w:ascii="Book Antiqua" w:hAnsi="Book Antiqua"/>
          <w:sz w:val="16"/>
          <w:szCs w:val="16"/>
        </w:rPr>
        <w:t>most visible</w:t>
      </w:r>
      <w:r w:rsidR="00D42D45" w:rsidRPr="00D51CD9">
        <w:rPr>
          <w:rFonts w:ascii="Book Antiqua" w:hAnsi="Book Antiqua"/>
          <w:sz w:val="16"/>
          <w:szCs w:val="16"/>
        </w:rPr>
        <w:t xml:space="preserve"> </w:t>
      </w:r>
      <w:r w:rsidR="00334C2F" w:rsidRPr="00D51CD9">
        <w:rPr>
          <w:rFonts w:ascii="Book Antiqua" w:hAnsi="Book Antiqua"/>
          <w:sz w:val="16"/>
          <w:szCs w:val="16"/>
        </w:rPr>
        <w:t>in</w:t>
      </w:r>
      <w:r w:rsidRPr="00D51CD9">
        <w:rPr>
          <w:rFonts w:ascii="Book Antiqua" w:hAnsi="Book Antiqua"/>
          <w:sz w:val="16"/>
          <w:szCs w:val="16"/>
        </w:rPr>
        <w:t xml:space="preserve"> Sub-Saharan Africa and Sout</w:t>
      </w:r>
      <w:r w:rsidR="00334C2F" w:rsidRPr="00D51CD9">
        <w:rPr>
          <w:rFonts w:ascii="Book Antiqua" w:hAnsi="Book Antiqua"/>
          <w:sz w:val="16"/>
          <w:szCs w:val="16"/>
        </w:rPr>
        <w:t>h/</w:t>
      </w:r>
      <w:r w:rsidRPr="00D51CD9">
        <w:rPr>
          <w:rFonts w:ascii="Book Antiqua" w:hAnsi="Book Antiqua"/>
          <w:sz w:val="16"/>
          <w:szCs w:val="16"/>
        </w:rPr>
        <w:t xml:space="preserve">Southeast Asia, </w:t>
      </w:r>
      <w:r w:rsidR="00BC3381" w:rsidRPr="00D51CD9">
        <w:rPr>
          <w:rFonts w:ascii="Book Antiqua" w:hAnsi="Book Antiqua"/>
          <w:sz w:val="16"/>
          <w:szCs w:val="16"/>
        </w:rPr>
        <w:t xml:space="preserve">where rapid expansions in </w:t>
      </w:r>
      <w:r w:rsidR="005F184C" w:rsidRPr="00D51CD9">
        <w:rPr>
          <w:rFonts w:ascii="Book Antiqua" w:hAnsi="Book Antiqua"/>
          <w:sz w:val="16"/>
          <w:szCs w:val="16"/>
        </w:rPr>
        <w:t xml:space="preserve">fintech </w:t>
      </w:r>
      <w:r w:rsidR="00BC3381" w:rsidRPr="00D51CD9">
        <w:rPr>
          <w:rFonts w:ascii="Book Antiqua" w:hAnsi="Book Antiqua"/>
          <w:sz w:val="16"/>
          <w:szCs w:val="16"/>
        </w:rPr>
        <w:t xml:space="preserve">account ownership have successfully brought historically unbanked populations into the </w:t>
      </w:r>
      <w:r w:rsidR="00F930F1" w:rsidRPr="00D51CD9">
        <w:rPr>
          <w:rFonts w:ascii="Book Antiqua" w:hAnsi="Book Antiqua"/>
          <w:sz w:val="16"/>
          <w:szCs w:val="16"/>
        </w:rPr>
        <w:t>standard</w:t>
      </w:r>
      <w:r w:rsidR="00BC3381" w:rsidRPr="00D51CD9">
        <w:rPr>
          <w:rFonts w:ascii="Book Antiqua" w:hAnsi="Book Antiqua"/>
          <w:sz w:val="16"/>
          <w:szCs w:val="16"/>
        </w:rPr>
        <w:t xml:space="preserve"> financial </w:t>
      </w:r>
      <w:r w:rsidR="00262361" w:rsidRPr="00D51CD9">
        <w:rPr>
          <w:rFonts w:ascii="Book Antiqua" w:hAnsi="Book Antiqua"/>
          <w:sz w:val="16"/>
          <w:szCs w:val="16"/>
        </w:rPr>
        <w:t>fold</w:t>
      </w:r>
      <w:r w:rsidRPr="00D51CD9">
        <w:rPr>
          <w:rFonts w:ascii="Book Antiqua" w:hAnsi="Book Antiqua"/>
          <w:sz w:val="16"/>
          <w:szCs w:val="16"/>
        </w:rPr>
        <w:t xml:space="preserve"> (</w:t>
      </w:r>
      <w:r w:rsidR="00C62B44" w:rsidRPr="00D51CD9">
        <w:rPr>
          <w:rFonts w:ascii="Book Antiqua" w:hAnsi="Book Antiqua"/>
          <w:color w:val="0070C0"/>
          <w:sz w:val="16"/>
          <w:szCs w:val="16"/>
        </w:rPr>
        <w:t>Ozili</w:t>
      </w:r>
      <w:r w:rsidRPr="00D51CD9">
        <w:rPr>
          <w:rFonts w:ascii="Book Antiqua" w:hAnsi="Book Antiqua"/>
          <w:i/>
          <w:iCs/>
          <w:color w:val="0070C0"/>
          <w:sz w:val="16"/>
          <w:szCs w:val="16"/>
        </w:rPr>
        <w:t>,</w:t>
      </w:r>
      <w:r w:rsidRPr="00D51CD9">
        <w:rPr>
          <w:rFonts w:ascii="Book Antiqua" w:hAnsi="Book Antiqua"/>
          <w:color w:val="0070C0"/>
          <w:sz w:val="16"/>
          <w:szCs w:val="16"/>
        </w:rPr>
        <w:t xml:space="preserve"> 201</w:t>
      </w:r>
      <w:r w:rsidR="00C62B44" w:rsidRPr="00D51CD9">
        <w:rPr>
          <w:rFonts w:ascii="Book Antiqua" w:hAnsi="Book Antiqua"/>
          <w:color w:val="0070C0"/>
          <w:sz w:val="16"/>
          <w:szCs w:val="16"/>
        </w:rPr>
        <w:t>8</w:t>
      </w:r>
      <w:r w:rsidRPr="00D51CD9">
        <w:rPr>
          <w:rFonts w:ascii="Book Antiqua" w:hAnsi="Book Antiqua"/>
          <w:sz w:val="16"/>
          <w:szCs w:val="16"/>
        </w:rPr>
        <w:t>).</w:t>
      </w:r>
      <w:r w:rsidR="002304EB" w:rsidRPr="00D51CD9">
        <w:rPr>
          <w:rFonts w:ascii="Book Antiqua" w:hAnsi="Book Antiqua"/>
          <w:sz w:val="16"/>
          <w:szCs w:val="16"/>
        </w:rPr>
        <w:t xml:space="preserve"> </w:t>
      </w:r>
    </w:p>
    <w:p w14:paraId="30626864" w14:textId="74D2BA79" w:rsidR="007A17E0" w:rsidRPr="00D51CD9" w:rsidRDefault="00E92D43"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Crucially, financial inclusion must not be conflated with financial deepening. </w:t>
      </w:r>
      <w:r w:rsidR="00073627" w:rsidRPr="00D51CD9">
        <w:rPr>
          <w:rFonts w:ascii="Book Antiqua" w:hAnsi="Book Antiqua"/>
          <w:sz w:val="16"/>
          <w:szCs w:val="16"/>
        </w:rPr>
        <w:t>While</w:t>
      </w:r>
      <w:r w:rsidR="004C5E61" w:rsidRPr="00D51CD9">
        <w:rPr>
          <w:rFonts w:ascii="Book Antiqua" w:hAnsi="Book Antiqua"/>
          <w:sz w:val="16"/>
          <w:szCs w:val="16"/>
        </w:rPr>
        <w:t xml:space="preserve"> inclusion refers to access, deepening describes a more structural process: </w:t>
      </w:r>
      <w:r w:rsidR="0024015C" w:rsidRPr="00D51CD9">
        <w:rPr>
          <w:rFonts w:ascii="Book Antiqua" w:hAnsi="Book Antiqua"/>
          <w:sz w:val="16"/>
          <w:szCs w:val="16"/>
        </w:rPr>
        <w:t xml:space="preserve">the systematic mobilization of domestic savings, the extension of long-term credit to productive private enterprises, and the enhanced capacity of a </w:t>
      </w:r>
      <w:r w:rsidR="00EC728B" w:rsidRPr="00D51CD9">
        <w:rPr>
          <w:rFonts w:ascii="Book Antiqua" w:hAnsi="Book Antiqua"/>
          <w:sz w:val="16"/>
          <w:szCs w:val="16"/>
        </w:rPr>
        <w:t>fiscal</w:t>
      </w:r>
      <w:r w:rsidR="0024015C" w:rsidRPr="00D51CD9">
        <w:rPr>
          <w:rFonts w:ascii="Book Antiqua" w:hAnsi="Book Antiqua"/>
          <w:sz w:val="16"/>
          <w:szCs w:val="16"/>
        </w:rPr>
        <w:t xml:space="preserve"> system to efficiently </w:t>
      </w:r>
      <w:r w:rsidR="00203DD3" w:rsidRPr="00D51CD9">
        <w:rPr>
          <w:rFonts w:ascii="Book Antiqua" w:hAnsi="Book Antiqua"/>
          <w:sz w:val="16"/>
          <w:szCs w:val="16"/>
        </w:rPr>
        <w:t>network</w:t>
      </w:r>
      <w:r w:rsidR="0024015C" w:rsidRPr="00D51CD9">
        <w:rPr>
          <w:rFonts w:ascii="Book Antiqua" w:hAnsi="Book Antiqua"/>
          <w:sz w:val="16"/>
          <w:szCs w:val="16"/>
        </w:rPr>
        <w:t xml:space="preserve"> resources from </w:t>
      </w:r>
      <w:r w:rsidR="00F07173">
        <w:rPr>
          <w:rFonts w:ascii="Book Antiqua" w:hAnsi="Book Antiqua"/>
          <w:sz w:val="16"/>
          <w:szCs w:val="16"/>
        </w:rPr>
        <w:t xml:space="preserve">household </w:t>
      </w:r>
      <w:r w:rsidR="0024015C" w:rsidRPr="00D51CD9">
        <w:rPr>
          <w:rFonts w:ascii="Book Antiqua" w:hAnsi="Book Antiqua"/>
          <w:sz w:val="16"/>
          <w:szCs w:val="16"/>
        </w:rPr>
        <w:t>savers to capital investors</w:t>
      </w:r>
      <w:r w:rsidR="004C5E61" w:rsidRPr="00D51CD9">
        <w:rPr>
          <w:rFonts w:ascii="Book Antiqua" w:hAnsi="Book Antiqua"/>
          <w:sz w:val="16"/>
          <w:szCs w:val="16"/>
        </w:rPr>
        <w:t xml:space="preserve"> (</w:t>
      </w:r>
      <w:r w:rsidR="004C5E61" w:rsidRPr="00D51CD9">
        <w:rPr>
          <w:rFonts w:ascii="Book Antiqua" w:hAnsi="Book Antiqua"/>
          <w:color w:val="0070C0"/>
          <w:sz w:val="16"/>
          <w:szCs w:val="16"/>
        </w:rPr>
        <w:t>Levine, 2005; Shaw, 1973</w:t>
      </w:r>
      <w:r w:rsidR="004C5E61" w:rsidRPr="00D51CD9">
        <w:rPr>
          <w:rFonts w:ascii="Book Antiqua" w:hAnsi="Book Antiqua"/>
          <w:sz w:val="16"/>
          <w:szCs w:val="16"/>
        </w:rPr>
        <w:t xml:space="preserve">). </w:t>
      </w:r>
      <w:r w:rsidR="00C94B0E" w:rsidRPr="00D51CD9">
        <w:rPr>
          <w:rFonts w:ascii="Book Antiqua" w:hAnsi="Book Antiqua"/>
          <w:sz w:val="16"/>
          <w:szCs w:val="16"/>
        </w:rPr>
        <w:t xml:space="preserve">Within development and growth economics, financial deepening has long been </w:t>
      </w:r>
      <w:r w:rsidR="007B1C28" w:rsidRPr="00D51CD9">
        <w:rPr>
          <w:rFonts w:ascii="Book Antiqua" w:hAnsi="Book Antiqua"/>
          <w:sz w:val="16"/>
          <w:szCs w:val="16"/>
        </w:rPr>
        <w:t>regarded</w:t>
      </w:r>
      <w:r w:rsidR="00C94B0E" w:rsidRPr="00D51CD9">
        <w:rPr>
          <w:rFonts w:ascii="Book Antiqua" w:hAnsi="Book Antiqua"/>
          <w:sz w:val="16"/>
          <w:szCs w:val="16"/>
        </w:rPr>
        <w:t xml:space="preserve"> as </w:t>
      </w:r>
      <w:r w:rsidR="007B1C28" w:rsidRPr="00D51CD9">
        <w:rPr>
          <w:rFonts w:ascii="Book Antiqua" w:hAnsi="Book Antiqua"/>
          <w:sz w:val="16"/>
          <w:szCs w:val="16"/>
        </w:rPr>
        <w:t>a prerequisite</w:t>
      </w:r>
      <w:r w:rsidR="00C94B0E" w:rsidRPr="00D51CD9">
        <w:rPr>
          <w:rFonts w:ascii="Book Antiqua" w:hAnsi="Book Antiqua"/>
          <w:sz w:val="16"/>
          <w:szCs w:val="16"/>
        </w:rPr>
        <w:t xml:space="preserve"> for sustained capital accumulation and </w:t>
      </w:r>
      <w:r w:rsidR="002412E7" w:rsidRPr="00D51CD9">
        <w:rPr>
          <w:rFonts w:ascii="Book Antiqua" w:hAnsi="Book Antiqua"/>
          <w:sz w:val="16"/>
          <w:szCs w:val="16"/>
        </w:rPr>
        <w:t>long-term</w:t>
      </w:r>
      <w:r w:rsidR="00C94B0E" w:rsidRPr="00D51CD9">
        <w:rPr>
          <w:rFonts w:ascii="Book Antiqua" w:hAnsi="Book Antiqua"/>
          <w:sz w:val="16"/>
          <w:szCs w:val="16"/>
        </w:rPr>
        <w:t xml:space="preserve"> productivity </w:t>
      </w:r>
      <w:r w:rsidR="002412E7" w:rsidRPr="00D51CD9">
        <w:rPr>
          <w:rFonts w:ascii="Book Antiqua" w:hAnsi="Book Antiqua"/>
          <w:sz w:val="16"/>
          <w:szCs w:val="16"/>
        </w:rPr>
        <w:t>progress</w:t>
      </w:r>
      <w:r w:rsidR="007B1C28" w:rsidRPr="00D51CD9">
        <w:rPr>
          <w:rFonts w:ascii="Book Antiqua" w:hAnsi="Book Antiqua"/>
          <w:sz w:val="16"/>
          <w:szCs w:val="16"/>
        </w:rPr>
        <w:t xml:space="preserve"> </w:t>
      </w:r>
      <w:r w:rsidR="004C5E61" w:rsidRPr="00D51CD9">
        <w:rPr>
          <w:rFonts w:ascii="Book Antiqua" w:hAnsi="Book Antiqua"/>
          <w:sz w:val="16"/>
          <w:szCs w:val="16"/>
        </w:rPr>
        <w:t>(</w:t>
      </w:r>
      <w:r w:rsidR="004C5E61" w:rsidRPr="00D51CD9">
        <w:rPr>
          <w:rFonts w:ascii="Book Antiqua" w:hAnsi="Book Antiqua"/>
          <w:color w:val="0070C0"/>
          <w:sz w:val="16"/>
          <w:szCs w:val="16"/>
        </w:rPr>
        <w:t>Beck</w:t>
      </w:r>
      <w:r w:rsidR="004C5E61" w:rsidRPr="00D51CD9">
        <w:rPr>
          <w:rFonts w:ascii="Book Antiqua" w:hAnsi="Book Antiqua"/>
          <w:i/>
          <w:iCs/>
          <w:color w:val="0070C0"/>
          <w:sz w:val="16"/>
          <w:szCs w:val="16"/>
        </w:rPr>
        <w:t>,</w:t>
      </w:r>
      <w:r w:rsidR="004C5E61" w:rsidRPr="00D51CD9">
        <w:rPr>
          <w:rFonts w:ascii="Book Antiqua" w:hAnsi="Book Antiqua"/>
          <w:color w:val="0070C0"/>
          <w:sz w:val="16"/>
          <w:szCs w:val="16"/>
        </w:rPr>
        <w:t xml:space="preserve"> 20</w:t>
      </w:r>
      <w:r w:rsidR="00FD1CD3" w:rsidRPr="00D51CD9">
        <w:rPr>
          <w:rFonts w:ascii="Book Antiqua" w:hAnsi="Book Antiqua"/>
          <w:color w:val="0070C0"/>
          <w:sz w:val="16"/>
          <w:szCs w:val="16"/>
        </w:rPr>
        <w:t>2</w:t>
      </w:r>
      <w:r w:rsidR="004C5E61" w:rsidRPr="00D51CD9">
        <w:rPr>
          <w:rFonts w:ascii="Book Antiqua" w:hAnsi="Book Antiqua"/>
          <w:color w:val="0070C0"/>
          <w:sz w:val="16"/>
          <w:szCs w:val="16"/>
        </w:rPr>
        <w:t>0</w:t>
      </w:r>
      <w:r w:rsidR="004C5E61" w:rsidRPr="00D51CD9">
        <w:rPr>
          <w:rFonts w:ascii="Book Antiqua" w:hAnsi="Book Antiqua"/>
          <w:sz w:val="16"/>
          <w:szCs w:val="16"/>
        </w:rPr>
        <w:t xml:space="preserve">). Consequently, prevailing assumption in </w:t>
      </w:r>
      <w:r w:rsidR="004E4858" w:rsidRPr="00D51CD9">
        <w:rPr>
          <w:rFonts w:ascii="Book Antiqua" w:hAnsi="Book Antiqua"/>
          <w:sz w:val="16"/>
          <w:szCs w:val="16"/>
        </w:rPr>
        <w:t>development</w:t>
      </w:r>
      <w:r w:rsidR="004C5E61" w:rsidRPr="00D51CD9">
        <w:rPr>
          <w:rFonts w:ascii="Book Antiqua" w:hAnsi="Book Antiqua"/>
          <w:sz w:val="16"/>
          <w:szCs w:val="16"/>
        </w:rPr>
        <w:t xml:space="preserve"> discourse </w:t>
      </w:r>
      <w:r w:rsidR="00C8376B" w:rsidRPr="00D51CD9">
        <w:rPr>
          <w:rFonts w:ascii="Book Antiqua" w:hAnsi="Book Antiqua"/>
          <w:sz w:val="16"/>
          <w:szCs w:val="16"/>
        </w:rPr>
        <w:t>posits a natural transmission channe</w:t>
      </w:r>
      <w:r w:rsidR="00DD2350" w:rsidRPr="00D51CD9">
        <w:rPr>
          <w:rFonts w:ascii="Book Antiqua" w:hAnsi="Book Antiqua"/>
          <w:sz w:val="16"/>
          <w:szCs w:val="16"/>
        </w:rPr>
        <w:t>l</w:t>
      </w:r>
      <w:r w:rsidR="00C8376B" w:rsidRPr="00D51CD9">
        <w:rPr>
          <w:rFonts w:ascii="Book Antiqua" w:hAnsi="Book Antiqua"/>
          <w:sz w:val="16"/>
          <w:szCs w:val="16"/>
        </w:rPr>
        <w:t>: as digital account ownership rises, it is expected to organically catalyze broader deposit mobilization, expand private sector credit allocation, and ultimately drive macroeconomic depth</w:t>
      </w:r>
      <w:r w:rsidR="004C5E61" w:rsidRPr="00D51CD9">
        <w:rPr>
          <w:rFonts w:ascii="Book Antiqua" w:hAnsi="Book Antiqua"/>
          <w:sz w:val="16"/>
          <w:szCs w:val="16"/>
        </w:rPr>
        <w:t xml:space="preserve"> (</w:t>
      </w:r>
      <w:r w:rsidR="004C5E61" w:rsidRPr="00D51CD9">
        <w:rPr>
          <w:rFonts w:ascii="Book Antiqua" w:hAnsi="Book Antiqua"/>
          <w:color w:val="0070C0"/>
          <w:sz w:val="16"/>
          <w:szCs w:val="16"/>
        </w:rPr>
        <w:t xml:space="preserve">Sahay </w:t>
      </w:r>
      <w:r w:rsidR="004C5E61" w:rsidRPr="00D51CD9">
        <w:rPr>
          <w:rFonts w:ascii="Book Antiqua" w:hAnsi="Book Antiqua"/>
          <w:i/>
          <w:iCs/>
          <w:color w:val="0070C0"/>
          <w:sz w:val="16"/>
          <w:szCs w:val="16"/>
        </w:rPr>
        <w:t>et al.,</w:t>
      </w:r>
      <w:r w:rsidR="004C5E61" w:rsidRPr="00D51CD9">
        <w:rPr>
          <w:rFonts w:ascii="Book Antiqua" w:hAnsi="Book Antiqua"/>
          <w:color w:val="0070C0"/>
          <w:sz w:val="16"/>
          <w:szCs w:val="16"/>
        </w:rPr>
        <w:t xml:space="preserve"> 2020; Aghion</w:t>
      </w:r>
      <w:r w:rsidR="002734D1" w:rsidRPr="00D51CD9">
        <w:rPr>
          <w:rFonts w:ascii="Book Antiqua" w:hAnsi="Book Antiqua"/>
          <w:color w:val="0070C0"/>
          <w:sz w:val="16"/>
          <w:szCs w:val="16"/>
        </w:rPr>
        <w:t xml:space="preserve"> </w:t>
      </w:r>
      <w:r w:rsidR="002734D1" w:rsidRPr="00D51CD9">
        <w:rPr>
          <w:rFonts w:ascii="Book Antiqua" w:hAnsi="Book Antiqua"/>
          <w:i/>
          <w:iCs/>
          <w:color w:val="0070C0"/>
          <w:sz w:val="16"/>
          <w:szCs w:val="16"/>
        </w:rPr>
        <w:t>et al</w:t>
      </w:r>
      <w:r w:rsidR="004C5E61" w:rsidRPr="00D51CD9">
        <w:rPr>
          <w:rFonts w:ascii="Book Antiqua" w:hAnsi="Book Antiqua"/>
          <w:i/>
          <w:iCs/>
          <w:color w:val="0070C0"/>
          <w:sz w:val="16"/>
          <w:szCs w:val="16"/>
        </w:rPr>
        <w:t>,</w:t>
      </w:r>
      <w:r w:rsidR="004C5E61" w:rsidRPr="00D51CD9">
        <w:rPr>
          <w:rFonts w:ascii="Book Antiqua" w:hAnsi="Book Antiqua"/>
          <w:color w:val="0070C0"/>
          <w:sz w:val="16"/>
          <w:szCs w:val="16"/>
        </w:rPr>
        <w:t xml:space="preserve"> 2005</w:t>
      </w:r>
      <w:r w:rsidR="004C5E61" w:rsidRPr="00D51CD9">
        <w:rPr>
          <w:rFonts w:ascii="Book Antiqua" w:hAnsi="Book Antiqua"/>
          <w:sz w:val="16"/>
          <w:szCs w:val="16"/>
        </w:rPr>
        <w:t>).</w:t>
      </w:r>
    </w:p>
    <w:p w14:paraId="02CAF430" w14:textId="2E48C1E4" w:rsidR="00200461" w:rsidRPr="00D51CD9" w:rsidRDefault="00AA3EB3" w:rsidP="004005B1">
      <w:pPr>
        <w:spacing w:after="120" w:line="240" w:lineRule="auto"/>
        <w:jc w:val="both"/>
        <w:rPr>
          <w:rFonts w:ascii="Book Antiqua" w:hAnsi="Book Antiqua"/>
          <w:sz w:val="16"/>
          <w:szCs w:val="16"/>
        </w:rPr>
      </w:pPr>
      <w:r w:rsidRPr="00D51CD9">
        <w:rPr>
          <w:rFonts w:ascii="Book Antiqua" w:hAnsi="Book Antiqua"/>
          <w:sz w:val="16"/>
          <w:szCs w:val="16"/>
        </w:rPr>
        <w:t>The main debate in modern development economics centers on whether widespread access to basic digital financial inclusion automatically leads to comprehensive, macro-level financial deepening</w:t>
      </w:r>
      <w:r w:rsidR="007940E9" w:rsidRPr="00D51CD9">
        <w:rPr>
          <w:rFonts w:ascii="Book Antiqua" w:hAnsi="Book Antiqua"/>
          <w:sz w:val="16"/>
          <w:szCs w:val="16"/>
        </w:rPr>
        <w:t xml:space="preserve"> (</w:t>
      </w:r>
      <w:r w:rsidR="007940E9" w:rsidRPr="00D51CD9">
        <w:rPr>
          <w:rFonts w:ascii="Book Antiqua" w:hAnsi="Book Antiqua"/>
          <w:color w:val="0070C0"/>
          <w:sz w:val="16"/>
          <w:szCs w:val="16"/>
        </w:rPr>
        <w:t xml:space="preserve">Levine, 2005; Sahay </w:t>
      </w:r>
      <w:r w:rsidR="007940E9" w:rsidRPr="00D51CD9">
        <w:rPr>
          <w:rFonts w:ascii="Book Antiqua" w:hAnsi="Book Antiqua"/>
          <w:i/>
          <w:iCs/>
          <w:color w:val="0070C0"/>
          <w:sz w:val="16"/>
          <w:szCs w:val="16"/>
        </w:rPr>
        <w:t xml:space="preserve">et al., </w:t>
      </w:r>
      <w:r w:rsidR="007940E9" w:rsidRPr="00D51CD9">
        <w:rPr>
          <w:rFonts w:ascii="Book Antiqua" w:hAnsi="Book Antiqua"/>
          <w:color w:val="0070C0"/>
          <w:sz w:val="16"/>
          <w:szCs w:val="16"/>
        </w:rPr>
        <w:t>20</w:t>
      </w:r>
      <w:r w:rsidR="00623EEF">
        <w:rPr>
          <w:rFonts w:ascii="Book Antiqua" w:hAnsi="Book Antiqua"/>
          <w:color w:val="0070C0"/>
          <w:sz w:val="16"/>
          <w:szCs w:val="16"/>
        </w:rPr>
        <w:t>20</w:t>
      </w:r>
      <w:r w:rsidR="007940E9" w:rsidRPr="00D51CD9">
        <w:rPr>
          <w:rFonts w:ascii="Book Antiqua" w:hAnsi="Book Antiqua"/>
          <w:sz w:val="16"/>
          <w:szCs w:val="16"/>
        </w:rPr>
        <w:t>)</w:t>
      </w:r>
      <w:r w:rsidRPr="00D51CD9">
        <w:rPr>
          <w:rFonts w:ascii="Book Antiqua" w:hAnsi="Book Antiqua"/>
          <w:sz w:val="16"/>
          <w:szCs w:val="16"/>
        </w:rPr>
        <w:t xml:space="preserve">. </w:t>
      </w:r>
      <w:r w:rsidR="00D7426C" w:rsidRPr="00D51CD9">
        <w:rPr>
          <w:rFonts w:ascii="Book Antiqua" w:hAnsi="Book Antiqua"/>
          <w:sz w:val="16"/>
          <w:szCs w:val="16"/>
        </w:rPr>
        <w:t>Early research assumed a direct link where expanding financial access would automatically boost capital savings and improve investment efficiency (</w:t>
      </w:r>
      <w:r w:rsidR="00DC10FD" w:rsidRPr="00D51CD9">
        <w:rPr>
          <w:rFonts w:ascii="Book Antiqua" w:hAnsi="Book Antiqua"/>
          <w:color w:val="0070C0"/>
          <w:sz w:val="16"/>
          <w:szCs w:val="16"/>
        </w:rPr>
        <w:t>King and Levine, 1993</w:t>
      </w:r>
      <w:r w:rsidR="00885F31" w:rsidRPr="00D51CD9">
        <w:rPr>
          <w:rFonts w:ascii="Book Antiqua" w:hAnsi="Book Antiqua"/>
          <w:color w:val="0070C0"/>
          <w:sz w:val="16"/>
          <w:szCs w:val="16"/>
        </w:rPr>
        <w:t>; Levine, 1997</w:t>
      </w:r>
      <w:r w:rsidR="00D7426C" w:rsidRPr="00D51CD9">
        <w:rPr>
          <w:rFonts w:ascii="Book Antiqua" w:hAnsi="Book Antiqua"/>
          <w:sz w:val="16"/>
          <w:szCs w:val="16"/>
        </w:rPr>
        <w:t>)</w:t>
      </w:r>
      <w:r w:rsidR="007C6FFE" w:rsidRPr="00D51CD9">
        <w:rPr>
          <w:rFonts w:ascii="Book Antiqua" w:hAnsi="Book Antiqua"/>
          <w:sz w:val="16"/>
          <w:szCs w:val="16"/>
        </w:rPr>
        <w:t xml:space="preserve">. </w:t>
      </w:r>
      <w:r w:rsidR="00864207" w:rsidRPr="00D51CD9">
        <w:rPr>
          <w:rFonts w:ascii="Book Antiqua" w:hAnsi="Book Antiqua"/>
          <w:sz w:val="16"/>
          <w:szCs w:val="16"/>
        </w:rPr>
        <w:t xml:space="preserve">As </w:t>
      </w:r>
      <w:r w:rsidR="00971147" w:rsidRPr="00D51CD9">
        <w:rPr>
          <w:rFonts w:ascii="Book Antiqua" w:hAnsi="Book Antiqua"/>
          <w:color w:val="0070C0"/>
          <w:sz w:val="16"/>
          <w:szCs w:val="16"/>
        </w:rPr>
        <w:t xml:space="preserve">Stiglitz and Weiss (1981) </w:t>
      </w:r>
      <w:r w:rsidR="00F46577" w:rsidRPr="00D51CD9">
        <w:rPr>
          <w:rFonts w:ascii="Book Antiqua" w:hAnsi="Book Antiqua"/>
          <w:sz w:val="16"/>
          <w:szCs w:val="16"/>
        </w:rPr>
        <w:t xml:space="preserve">show, </w:t>
      </w:r>
      <w:r w:rsidR="00410CBD" w:rsidRPr="00D51CD9">
        <w:rPr>
          <w:rFonts w:ascii="Book Antiqua" w:hAnsi="Book Antiqua"/>
          <w:sz w:val="16"/>
          <w:szCs w:val="16"/>
        </w:rPr>
        <w:t>informational asymmetries prevent bank</w:t>
      </w:r>
      <w:r w:rsidR="00CF5CF7" w:rsidRPr="00D51CD9">
        <w:rPr>
          <w:rFonts w:ascii="Book Antiqua" w:hAnsi="Book Antiqua"/>
          <w:sz w:val="16"/>
          <w:szCs w:val="16"/>
        </w:rPr>
        <w:t>s</w:t>
      </w:r>
      <w:r w:rsidR="00410CBD" w:rsidRPr="00D51CD9">
        <w:rPr>
          <w:rFonts w:ascii="Book Antiqua" w:hAnsi="Book Antiqua"/>
          <w:sz w:val="16"/>
          <w:szCs w:val="16"/>
        </w:rPr>
        <w:t xml:space="preserve"> from using interest rate hikes </w:t>
      </w:r>
      <w:r w:rsidR="00B32CF3" w:rsidRPr="00D51CD9">
        <w:rPr>
          <w:rFonts w:ascii="Book Antiqua" w:hAnsi="Book Antiqua"/>
          <w:sz w:val="16"/>
          <w:szCs w:val="16"/>
        </w:rPr>
        <w:t xml:space="preserve">to balance credit </w:t>
      </w:r>
      <w:r w:rsidR="00D84108" w:rsidRPr="00D51CD9">
        <w:rPr>
          <w:rFonts w:ascii="Book Antiqua" w:hAnsi="Book Antiqua"/>
          <w:sz w:val="16"/>
          <w:szCs w:val="16"/>
        </w:rPr>
        <w:t>demand</w:t>
      </w:r>
      <w:r w:rsidR="00B32CF3" w:rsidRPr="00D51CD9">
        <w:rPr>
          <w:rFonts w:ascii="Book Antiqua" w:hAnsi="Book Antiqua"/>
          <w:sz w:val="16"/>
          <w:szCs w:val="16"/>
        </w:rPr>
        <w:t xml:space="preserve"> without triggering </w:t>
      </w:r>
      <w:r w:rsidR="00971147" w:rsidRPr="00D51CD9">
        <w:rPr>
          <w:rFonts w:ascii="Book Antiqua" w:hAnsi="Book Antiqua"/>
          <w:sz w:val="16"/>
          <w:szCs w:val="16"/>
        </w:rPr>
        <w:t>adverse selection and moral hazard</w:t>
      </w:r>
      <w:r w:rsidR="00B32CF3" w:rsidRPr="00D51CD9">
        <w:rPr>
          <w:rFonts w:ascii="Book Antiqua" w:hAnsi="Book Antiqua"/>
          <w:sz w:val="16"/>
          <w:szCs w:val="16"/>
        </w:rPr>
        <w:t xml:space="preserve">. </w:t>
      </w:r>
      <w:r w:rsidR="00971147" w:rsidRPr="00D51CD9">
        <w:rPr>
          <w:rFonts w:ascii="Book Antiqua" w:hAnsi="Book Antiqua"/>
          <w:sz w:val="16"/>
          <w:szCs w:val="16"/>
        </w:rPr>
        <w:t xml:space="preserve">Consequently, intermediaries </w:t>
      </w:r>
      <w:r w:rsidR="00200461" w:rsidRPr="00D51CD9">
        <w:rPr>
          <w:rFonts w:ascii="Book Antiqua" w:hAnsi="Book Antiqua"/>
          <w:sz w:val="16"/>
          <w:szCs w:val="16"/>
        </w:rPr>
        <w:t>constrain credit supply through rationing rather than price adjustment.</w:t>
      </w:r>
    </w:p>
    <w:p w14:paraId="7AA77B6E" w14:textId="79CD3276" w:rsidR="007C6FFE" w:rsidRPr="00D51CD9" w:rsidRDefault="009C1651"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Despite the exponential growth of mobile wallet adoption, </w:t>
      </w:r>
      <w:r w:rsidR="00BB0C21">
        <w:rPr>
          <w:rFonts w:ascii="Book Antiqua" w:hAnsi="Book Antiqua"/>
          <w:sz w:val="16"/>
          <w:szCs w:val="16"/>
        </w:rPr>
        <w:t xml:space="preserve">the </w:t>
      </w:r>
      <w:r w:rsidRPr="00D51CD9">
        <w:rPr>
          <w:rFonts w:ascii="Book Antiqua" w:hAnsi="Book Antiqua"/>
          <w:sz w:val="16"/>
          <w:szCs w:val="16"/>
        </w:rPr>
        <w:t>credit</w:t>
      </w:r>
      <w:r w:rsidR="00EE1AE8" w:rsidRPr="00D51CD9">
        <w:rPr>
          <w:rFonts w:ascii="Book Antiqua" w:hAnsi="Book Antiqua"/>
          <w:sz w:val="16"/>
          <w:szCs w:val="16"/>
        </w:rPr>
        <w:t xml:space="preserve"> </w:t>
      </w:r>
      <w:r w:rsidRPr="00D51CD9">
        <w:rPr>
          <w:rFonts w:ascii="Book Antiqua" w:hAnsi="Book Antiqua"/>
          <w:sz w:val="16"/>
          <w:szCs w:val="16"/>
        </w:rPr>
        <w:t>to</w:t>
      </w:r>
      <w:r w:rsidR="00EE1AE8" w:rsidRPr="00D51CD9">
        <w:rPr>
          <w:rFonts w:ascii="Book Antiqua" w:hAnsi="Book Antiqua"/>
          <w:sz w:val="16"/>
          <w:szCs w:val="16"/>
        </w:rPr>
        <w:t xml:space="preserve"> </w:t>
      </w:r>
      <w:r w:rsidRPr="00D51CD9">
        <w:rPr>
          <w:rFonts w:ascii="Book Antiqua" w:hAnsi="Book Antiqua"/>
          <w:sz w:val="16"/>
          <w:szCs w:val="16"/>
        </w:rPr>
        <w:t>GDP ratio</w:t>
      </w:r>
      <w:r w:rsidR="00FA01C0">
        <w:rPr>
          <w:rFonts w:ascii="Book Antiqua" w:hAnsi="Book Antiqua"/>
          <w:sz w:val="16"/>
          <w:szCs w:val="16"/>
        </w:rPr>
        <w:t xml:space="preserve"> of private sectors</w:t>
      </w:r>
      <w:r w:rsidR="004A136C" w:rsidRPr="00D51CD9">
        <w:rPr>
          <w:rFonts w:ascii="Book Antiqua" w:hAnsi="Book Antiqua"/>
          <w:sz w:val="16"/>
          <w:szCs w:val="16"/>
        </w:rPr>
        <w:t xml:space="preserve">, </w:t>
      </w:r>
      <w:r w:rsidR="00EF17D1" w:rsidRPr="00D51CD9">
        <w:rPr>
          <w:rFonts w:ascii="Book Antiqua" w:hAnsi="Book Antiqua"/>
          <w:sz w:val="16"/>
          <w:szCs w:val="16"/>
        </w:rPr>
        <w:t xml:space="preserve">which </w:t>
      </w:r>
      <w:r w:rsidR="00EE1AE8" w:rsidRPr="00D51CD9">
        <w:rPr>
          <w:rFonts w:ascii="Book Antiqua" w:hAnsi="Book Antiqua"/>
          <w:sz w:val="16"/>
          <w:szCs w:val="16"/>
        </w:rPr>
        <w:t xml:space="preserve">represents </w:t>
      </w:r>
      <w:r w:rsidRPr="00D51CD9">
        <w:rPr>
          <w:rFonts w:ascii="Book Antiqua" w:hAnsi="Book Antiqua"/>
          <w:sz w:val="16"/>
          <w:szCs w:val="16"/>
        </w:rPr>
        <w:t xml:space="preserve">a </w:t>
      </w:r>
      <w:r w:rsidR="00E361FC" w:rsidRPr="00D51CD9">
        <w:rPr>
          <w:rFonts w:ascii="Book Antiqua" w:hAnsi="Book Antiqua"/>
          <w:sz w:val="16"/>
          <w:szCs w:val="16"/>
        </w:rPr>
        <w:t xml:space="preserve">core indicator </w:t>
      </w:r>
      <w:r w:rsidRPr="00D51CD9">
        <w:rPr>
          <w:rFonts w:ascii="Book Antiqua" w:hAnsi="Book Antiqua"/>
          <w:sz w:val="16"/>
          <w:szCs w:val="16"/>
        </w:rPr>
        <w:t xml:space="preserve">of macroeconomic depth, has </w:t>
      </w:r>
      <w:r w:rsidR="00A342C1" w:rsidRPr="00D51CD9">
        <w:rPr>
          <w:rFonts w:ascii="Book Antiqua" w:hAnsi="Book Antiqua"/>
          <w:sz w:val="16"/>
          <w:szCs w:val="16"/>
        </w:rPr>
        <w:t>often</w:t>
      </w:r>
      <w:r w:rsidRPr="00D51CD9">
        <w:rPr>
          <w:rFonts w:ascii="Book Antiqua" w:hAnsi="Book Antiqua"/>
          <w:sz w:val="16"/>
          <w:szCs w:val="16"/>
        </w:rPr>
        <w:t xml:space="preserve"> stagnated or decoupled entirely</w:t>
      </w:r>
      <w:r w:rsidR="00482824" w:rsidRPr="00D51CD9">
        <w:rPr>
          <w:rFonts w:ascii="Book Antiqua" w:hAnsi="Book Antiqua"/>
          <w:sz w:val="16"/>
          <w:szCs w:val="16"/>
        </w:rPr>
        <w:t xml:space="preserve"> (</w:t>
      </w:r>
      <w:r w:rsidR="00806897" w:rsidRPr="00D51CD9">
        <w:rPr>
          <w:rFonts w:ascii="Book Antiqua" w:hAnsi="Book Antiqua"/>
          <w:color w:val="0070C0"/>
          <w:sz w:val="16"/>
          <w:szCs w:val="16"/>
        </w:rPr>
        <w:t xml:space="preserve">Vives, </w:t>
      </w:r>
      <w:r w:rsidR="00482824" w:rsidRPr="00D51CD9">
        <w:rPr>
          <w:rFonts w:ascii="Book Antiqua" w:hAnsi="Book Antiqua"/>
          <w:color w:val="0070C0"/>
          <w:sz w:val="16"/>
          <w:szCs w:val="16"/>
        </w:rPr>
        <w:t>201</w:t>
      </w:r>
      <w:r w:rsidR="00806897" w:rsidRPr="00D51CD9">
        <w:rPr>
          <w:rFonts w:ascii="Book Antiqua" w:hAnsi="Book Antiqua"/>
          <w:color w:val="0070C0"/>
          <w:sz w:val="16"/>
          <w:szCs w:val="16"/>
        </w:rPr>
        <w:t>9</w:t>
      </w:r>
      <w:r w:rsidR="00482824" w:rsidRPr="00D51CD9">
        <w:rPr>
          <w:rFonts w:ascii="Book Antiqua" w:hAnsi="Book Antiqua"/>
          <w:sz w:val="16"/>
          <w:szCs w:val="16"/>
        </w:rPr>
        <w:t>)</w:t>
      </w:r>
      <w:r w:rsidR="007C6FFE" w:rsidRPr="00D51CD9">
        <w:rPr>
          <w:rFonts w:ascii="Book Antiqua" w:hAnsi="Book Antiqua"/>
          <w:sz w:val="16"/>
          <w:szCs w:val="16"/>
        </w:rPr>
        <w:t xml:space="preserve">. This decoupling implies that the transmission channels between micro-level transactional velocity and macro-level capital formation </w:t>
      </w:r>
      <w:r w:rsidR="00E64C2C" w:rsidRPr="00D51CD9">
        <w:rPr>
          <w:rFonts w:ascii="Book Antiqua" w:hAnsi="Book Antiqua"/>
          <w:sz w:val="16"/>
          <w:szCs w:val="16"/>
        </w:rPr>
        <w:t xml:space="preserve">depends heavily on the laws, infrastructure, and regulations governing the digital finance network </w:t>
      </w:r>
      <w:r w:rsidR="0009325D" w:rsidRPr="00D51CD9">
        <w:rPr>
          <w:rFonts w:ascii="Book Antiqua" w:hAnsi="Book Antiqua"/>
          <w:sz w:val="16"/>
          <w:szCs w:val="16"/>
        </w:rPr>
        <w:t>(</w:t>
      </w:r>
      <w:r w:rsidR="0009325D" w:rsidRPr="00D51CD9">
        <w:rPr>
          <w:rFonts w:ascii="Book Antiqua" w:hAnsi="Book Antiqua"/>
          <w:color w:val="0070C0"/>
          <w:sz w:val="16"/>
          <w:szCs w:val="16"/>
        </w:rPr>
        <w:t>Adrian and Mancini-Griffoli, 2019</w:t>
      </w:r>
      <w:r w:rsidR="0009325D" w:rsidRPr="00D51CD9">
        <w:rPr>
          <w:rFonts w:ascii="Book Antiqua" w:hAnsi="Book Antiqua"/>
          <w:sz w:val="16"/>
          <w:szCs w:val="16"/>
        </w:rPr>
        <w:t>).</w:t>
      </w:r>
    </w:p>
    <w:p w14:paraId="429A6DAC" w14:textId="226029B3" w:rsidR="00CC510B" w:rsidRPr="00D51CD9" w:rsidRDefault="00CC510B"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This analytical study critically examines the structural mechanisms, institutional variations, and empirical boundaries governing the </w:t>
      </w:r>
      <w:r w:rsidR="00A31A6C" w:rsidRPr="00D51CD9">
        <w:rPr>
          <w:rFonts w:ascii="Book Antiqua" w:hAnsi="Book Antiqua"/>
          <w:sz w:val="16"/>
          <w:szCs w:val="16"/>
        </w:rPr>
        <w:t>interconnection</w:t>
      </w:r>
      <w:r w:rsidRPr="00D51CD9">
        <w:rPr>
          <w:rFonts w:ascii="Book Antiqua" w:hAnsi="Book Antiqua"/>
          <w:sz w:val="16"/>
          <w:szCs w:val="16"/>
        </w:rPr>
        <w:t xml:space="preserve"> of digital finance and </w:t>
      </w:r>
      <w:r w:rsidR="00D7491B" w:rsidRPr="00D51CD9">
        <w:rPr>
          <w:rFonts w:ascii="Book Antiqua" w:hAnsi="Book Antiqua"/>
          <w:sz w:val="16"/>
          <w:szCs w:val="16"/>
        </w:rPr>
        <w:t>macro</w:t>
      </w:r>
      <w:r w:rsidR="00D7491B">
        <w:rPr>
          <w:rFonts w:ascii="Book Antiqua" w:hAnsi="Book Antiqua"/>
          <w:sz w:val="16"/>
          <w:szCs w:val="16"/>
        </w:rPr>
        <w:t xml:space="preserve">-economic </w:t>
      </w:r>
      <w:r w:rsidRPr="00D51CD9">
        <w:rPr>
          <w:rFonts w:ascii="Book Antiqua" w:hAnsi="Book Antiqua"/>
          <w:sz w:val="16"/>
          <w:szCs w:val="16"/>
        </w:rPr>
        <w:t>development. By ex</w:t>
      </w:r>
      <w:r w:rsidR="00B75F2D">
        <w:rPr>
          <w:rFonts w:ascii="Book Antiqua" w:hAnsi="Book Antiqua"/>
          <w:sz w:val="16"/>
          <w:szCs w:val="16"/>
        </w:rPr>
        <w:t>ercis</w:t>
      </w:r>
      <w:r w:rsidRPr="00D51CD9">
        <w:rPr>
          <w:rFonts w:ascii="Book Antiqua" w:hAnsi="Book Antiqua"/>
          <w:sz w:val="16"/>
          <w:szCs w:val="16"/>
        </w:rPr>
        <w:t>ing the tension between localized transaction efficiency and systemic capital accumulation, th</w:t>
      </w:r>
      <w:r w:rsidR="003F514C" w:rsidRPr="00D51CD9">
        <w:rPr>
          <w:rFonts w:ascii="Book Antiqua" w:hAnsi="Book Antiqua"/>
          <w:sz w:val="16"/>
          <w:szCs w:val="16"/>
        </w:rPr>
        <w:t>e</w:t>
      </w:r>
      <w:r w:rsidRPr="00D51CD9">
        <w:rPr>
          <w:rFonts w:ascii="Book Antiqua" w:hAnsi="Book Antiqua"/>
          <w:sz w:val="16"/>
          <w:szCs w:val="16"/>
        </w:rPr>
        <w:t xml:space="preserve"> study seeks to provide </w:t>
      </w:r>
      <w:r w:rsidR="004E69C4" w:rsidRPr="00D51CD9">
        <w:rPr>
          <w:rFonts w:ascii="Book Antiqua" w:hAnsi="Book Antiqua"/>
          <w:sz w:val="16"/>
          <w:szCs w:val="16"/>
        </w:rPr>
        <w:t>a</w:t>
      </w:r>
      <w:r w:rsidRPr="00D51CD9">
        <w:rPr>
          <w:rFonts w:ascii="Book Antiqua" w:hAnsi="Book Antiqua"/>
          <w:sz w:val="16"/>
          <w:szCs w:val="16"/>
        </w:rPr>
        <w:t xml:space="preserve"> theoretical synthesis of institutional variables that determine whether fintech acts as an isolated operational tool for micro-transactions or as a systemic engine for macroeconomic transformation.</w:t>
      </w:r>
    </w:p>
    <w:p w14:paraId="4638FFBB" w14:textId="732E5F49" w:rsidR="002F790D" w:rsidRPr="00F563F9" w:rsidRDefault="00796E28" w:rsidP="004005B1">
      <w:pPr>
        <w:keepNext/>
        <w:spacing w:before="36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 xml:space="preserve">2. </w:t>
      </w:r>
      <w:r w:rsidR="00E72A1A" w:rsidRPr="00F563F9">
        <w:rPr>
          <w:rFonts w:ascii="Book Antiqua" w:hAnsi="Book Antiqua"/>
          <w:b/>
          <w:color w:val="215E99" w:themeColor="text2" w:themeTint="BF"/>
          <w:sz w:val="18"/>
          <w:szCs w:val="18"/>
        </w:rPr>
        <w:t>Finan</w:t>
      </w:r>
      <w:r w:rsidR="003868FB" w:rsidRPr="00F563F9">
        <w:rPr>
          <w:rFonts w:ascii="Book Antiqua" w:hAnsi="Book Antiqua"/>
          <w:b/>
          <w:color w:val="215E99" w:themeColor="text2" w:themeTint="BF"/>
          <w:sz w:val="18"/>
          <w:szCs w:val="18"/>
        </w:rPr>
        <w:t>cial Technology</w:t>
      </w:r>
    </w:p>
    <w:p w14:paraId="15DE784A" w14:textId="5907A367" w:rsidR="002F790D" w:rsidRPr="008A1352" w:rsidRDefault="00575D0D" w:rsidP="00920DF4">
      <w:pPr>
        <w:keepNext/>
        <w:spacing w:after="80" w:line="240" w:lineRule="auto"/>
        <w:jc w:val="both"/>
        <w:rPr>
          <w:rFonts w:ascii="Book Antiqua" w:hAnsi="Book Antiqua"/>
          <w:color w:val="auto"/>
          <w:sz w:val="16"/>
          <w:szCs w:val="16"/>
        </w:rPr>
      </w:pPr>
      <w:r w:rsidRPr="008A1352">
        <w:rPr>
          <w:rFonts w:ascii="Book Antiqua" w:hAnsi="Book Antiqua"/>
          <w:b/>
          <w:color w:val="auto"/>
          <w:sz w:val="16"/>
          <w:szCs w:val="16"/>
        </w:rPr>
        <w:t xml:space="preserve">2.1 </w:t>
      </w:r>
      <w:r w:rsidR="002F790D" w:rsidRPr="008A1352">
        <w:rPr>
          <w:rFonts w:ascii="Book Antiqua" w:hAnsi="Book Antiqua"/>
          <w:b/>
          <w:color w:val="auto"/>
          <w:sz w:val="16"/>
          <w:szCs w:val="16"/>
        </w:rPr>
        <w:t>Digital Financial Inclusion vs. Macroeconomic Deepening</w:t>
      </w:r>
    </w:p>
    <w:p w14:paraId="6C4BF469" w14:textId="292A24C6" w:rsidR="00D578D8"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The macroeconomic impact o</w:t>
      </w:r>
      <w:r w:rsidR="00712A10" w:rsidRPr="00D51CD9">
        <w:rPr>
          <w:rFonts w:ascii="Book Antiqua" w:hAnsi="Book Antiqua"/>
          <w:bCs/>
          <w:color w:val="0C2340"/>
          <w:sz w:val="16"/>
          <w:szCs w:val="16"/>
        </w:rPr>
        <w:t>f</w:t>
      </w:r>
      <w:r w:rsidRPr="00D51CD9">
        <w:rPr>
          <w:rFonts w:ascii="Book Antiqua" w:hAnsi="Book Antiqua"/>
          <w:bCs/>
          <w:color w:val="0C2340"/>
          <w:sz w:val="16"/>
          <w:szCs w:val="16"/>
        </w:rPr>
        <w:t xml:space="preserve"> fintech </w:t>
      </w:r>
      <w:r w:rsidR="00712A10" w:rsidRPr="00D51CD9">
        <w:rPr>
          <w:rFonts w:ascii="Book Antiqua" w:hAnsi="Book Antiqua"/>
          <w:bCs/>
          <w:color w:val="0C2340"/>
          <w:sz w:val="16"/>
          <w:szCs w:val="16"/>
        </w:rPr>
        <w:t>in</w:t>
      </w:r>
      <w:r w:rsidRPr="00D51CD9">
        <w:rPr>
          <w:rFonts w:ascii="Book Antiqua" w:hAnsi="Book Antiqua"/>
          <w:bCs/>
          <w:color w:val="0C2340"/>
          <w:sz w:val="16"/>
          <w:szCs w:val="16"/>
        </w:rPr>
        <w:t xml:space="preserve"> financial inclusion ha</w:t>
      </w:r>
      <w:r w:rsidR="00460D27">
        <w:rPr>
          <w:rFonts w:ascii="Book Antiqua" w:hAnsi="Book Antiqua"/>
          <w:bCs/>
          <w:color w:val="0C2340"/>
          <w:sz w:val="16"/>
          <w:szCs w:val="16"/>
        </w:rPr>
        <w:t>s</w:t>
      </w:r>
      <w:r w:rsidRPr="00D51CD9">
        <w:rPr>
          <w:rFonts w:ascii="Book Antiqua" w:hAnsi="Book Antiqua"/>
          <w:bCs/>
          <w:color w:val="0C2340"/>
          <w:sz w:val="16"/>
          <w:szCs w:val="16"/>
        </w:rPr>
        <w:t xml:space="preserve"> generated a</w:t>
      </w:r>
      <w:r w:rsidR="004C7C8E" w:rsidRPr="00D51CD9">
        <w:rPr>
          <w:rFonts w:ascii="Book Antiqua" w:hAnsi="Book Antiqua"/>
          <w:bCs/>
          <w:color w:val="0C2340"/>
          <w:sz w:val="16"/>
          <w:szCs w:val="16"/>
        </w:rPr>
        <w:t>n</w:t>
      </w:r>
      <w:r w:rsidRPr="00D51CD9">
        <w:rPr>
          <w:rFonts w:ascii="Book Antiqua" w:hAnsi="Book Antiqua"/>
          <w:bCs/>
          <w:color w:val="0C2340"/>
          <w:sz w:val="16"/>
          <w:szCs w:val="16"/>
        </w:rPr>
        <w:t xml:space="preserve"> </w:t>
      </w:r>
      <w:r w:rsidR="004C7C8E" w:rsidRPr="00D51CD9">
        <w:rPr>
          <w:rFonts w:ascii="Book Antiqua" w:hAnsi="Book Antiqua"/>
          <w:bCs/>
          <w:color w:val="0C2340"/>
          <w:sz w:val="16"/>
          <w:szCs w:val="16"/>
        </w:rPr>
        <w:t xml:space="preserve">extensive </w:t>
      </w:r>
      <w:r w:rsidRPr="00D51CD9">
        <w:rPr>
          <w:rFonts w:ascii="Book Antiqua" w:hAnsi="Book Antiqua"/>
          <w:bCs/>
          <w:color w:val="0C2340"/>
          <w:sz w:val="16"/>
          <w:szCs w:val="16"/>
        </w:rPr>
        <w:t>literature</w:t>
      </w:r>
      <w:r w:rsidR="00712A10" w:rsidRPr="00D51CD9">
        <w:rPr>
          <w:rFonts w:ascii="Book Antiqua" w:hAnsi="Book Antiqua"/>
          <w:bCs/>
          <w:color w:val="0C2340"/>
          <w:sz w:val="16"/>
          <w:szCs w:val="16"/>
        </w:rPr>
        <w:t xml:space="preserve"> reservoir</w:t>
      </w:r>
      <w:r w:rsidR="004C7C8E" w:rsidRPr="00D51CD9">
        <w:rPr>
          <w:rFonts w:ascii="Book Antiqua" w:hAnsi="Book Antiqua"/>
          <w:bCs/>
          <w:color w:val="0C2340"/>
          <w:sz w:val="16"/>
          <w:szCs w:val="16"/>
        </w:rPr>
        <w:t xml:space="preserve"> spanning </w:t>
      </w:r>
      <w:r w:rsidR="004E69C4" w:rsidRPr="00D51CD9">
        <w:rPr>
          <w:rFonts w:ascii="Book Antiqua" w:hAnsi="Book Antiqua"/>
          <w:bCs/>
          <w:color w:val="0C2340"/>
          <w:sz w:val="16"/>
          <w:szCs w:val="16"/>
        </w:rPr>
        <w:t>several eras of economic thought</w:t>
      </w:r>
      <w:r w:rsidRPr="00D51CD9">
        <w:rPr>
          <w:rFonts w:ascii="Book Antiqua" w:hAnsi="Book Antiqua"/>
          <w:bCs/>
          <w:color w:val="0C2340"/>
          <w:sz w:val="16"/>
          <w:szCs w:val="16"/>
        </w:rPr>
        <w:t>. Early empirical literature firmly assumed that lowering transaction barriers and expanding account access would naturally deepen the financial sector (</w:t>
      </w:r>
      <w:r w:rsidRPr="00D51CD9">
        <w:rPr>
          <w:rFonts w:ascii="Book Antiqua" w:hAnsi="Book Antiqua"/>
          <w:bCs/>
          <w:color w:val="0070C0"/>
          <w:sz w:val="16"/>
          <w:szCs w:val="16"/>
        </w:rPr>
        <w:t>Levine, 2005</w:t>
      </w:r>
      <w:r w:rsidRPr="00D51CD9">
        <w:rPr>
          <w:rFonts w:ascii="Book Antiqua" w:hAnsi="Book Antiqua"/>
          <w:bCs/>
          <w:color w:val="0C2340"/>
          <w:sz w:val="16"/>
          <w:szCs w:val="16"/>
        </w:rPr>
        <w:t>).</w:t>
      </w:r>
      <w:r w:rsidR="00E038D4" w:rsidRPr="00D51CD9">
        <w:rPr>
          <w:rFonts w:ascii="Book Antiqua" w:hAnsi="Book Antiqua"/>
          <w:bCs/>
          <w:color w:val="0C2340"/>
          <w:sz w:val="16"/>
          <w:szCs w:val="16"/>
        </w:rPr>
        <w:t xml:space="preserve"> Concurrently, a</w:t>
      </w:r>
      <w:r w:rsidRPr="00D51CD9">
        <w:rPr>
          <w:rFonts w:ascii="Book Antiqua" w:hAnsi="Book Antiqua"/>
          <w:bCs/>
          <w:color w:val="0C2340"/>
          <w:sz w:val="16"/>
          <w:szCs w:val="16"/>
        </w:rPr>
        <w:t xml:space="preserve"> foundational body of research evaluated how reducing transaction costs affected microeconomic metrics, highlighting localized welfare outcomes. A prominent example is the extensive scholarship on early mobile payment platforms in East Africa, notably Kenya’s M-Pesa ecosystem.</w:t>
      </w:r>
      <w:r w:rsidR="00D578D8" w:rsidRPr="00D51CD9">
        <w:rPr>
          <w:rFonts w:ascii="Book Antiqua" w:hAnsi="Book Antiqua"/>
          <w:bCs/>
          <w:color w:val="0C2340"/>
          <w:sz w:val="16"/>
          <w:szCs w:val="16"/>
        </w:rPr>
        <w:t xml:space="preserve"> </w:t>
      </w:r>
      <w:r w:rsidR="00AB3BD4" w:rsidRPr="00D51CD9">
        <w:rPr>
          <w:rFonts w:ascii="Book Antiqua" w:hAnsi="Book Antiqua"/>
          <w:bCs/>
          <w:color w:val="0C2340"/>
          <w:sz w:val="16"/>
          <w:szCs w:val="16"/>
        </w:rPr>
        <w:t xml:space="preserve">Through multi-year panel datasets tracking thousands of households, researchers demonstrated that mobile account access significantly enhanced </w:t>
      </w:r>
      <w:r w:rsidR="007A4005" w:rsidRPr="00D51CD9">
        <w:rPr>
          <w:rFonts w:ascii="Book Antiqua" w:hAnsi="Book Antiqua"/>
          <w:bCs/>
          <w:color w:val="0C2340"/>
          <w:sz w:val="16"/>
          <w:szCs w:val="16"/>
        </w:rPr>
        <w:t>household</w:t>
      </w:r>
      <w:r w:rsidR="00AB3BD4" w:rsidRPr="00D51CD9">
        <w:rPr>
          <w:rFonts w:ascii="Book Antiqua" w:hAnsi="Book Antiqua"/>
          <w:bCs/>
          <w:color w:val="0C2340"/>
          <w:sz w:val="16"/>
          <w:szCs w:val="16"/>
        </w:rPr>
        <w:t xml:space="preserve"> financial </w:t>
      </w:r>
      <w:r w:rsidR="007A4005" w:rsidRPr="00D51CD9">
        <w:rPr>
          <w:rFonts w:ascii="Book Antiqua" w:hAnsi="Book Antiqua"/>
          <w:bCs/>
          <w:color w:val="0C2340"/>
          <w:sz w:val="16"/>
          <w:szCs w:val="16"/>
        </w:rPr>
        <w:t>strength</w:t>
      </w:r>
      <w:r w:rsidR="002D52C3" w:rsidRPr="00D51CD9">
        <w:rPr>
          <w:rFonts w:ascii="Book Antiqua" w:hAnsi="Book Antiqua"/>
          <w:bCs/>
          <w:color w:val="0C2340"/>
          <w:sz w:val="16"/>
          <w:szCs w:val="16"/>
        </w:rPr>
        <w:t xml:space="preserve"> </w:t>
      </w:r>
      <w:r w:rsidRPr="00D51CD9">
        <w:rPr>
          <w:rFonts w:ascii="Book Antiqua" w:hAnsi="Book Antiqua"/>
          <w:bCs/>
          <w:color w:val="0C2340"/>
          <w:sz w:val="16"/>
          <w:szCs w:val="16"/>
        </w:rPr>
        <w:t>(</w:t>
      </w:r>
      <w:r w:rsidRPr="00D51CD9">
        <w:rPr>
          <w:rFonts w:ascii="Book Antiqua" w:hAnsi="Book Antiqua"/>
          <w:bCs/>
          <w:color w:val="0070C0"/>
          <w:sz w:val="16"/>
          <w:szCs w:val="16"/>
        </w:rPr>
        <w:t>Jack and Suri, 2014</w:t>
      </w:r>
      <w:r w:rsidRPr="00D51CD9">
        <w:rPr>
          <w:rFonts w:ascii="Book Antiqua" w:hAnsi="Book Antiqua"/>
          <w:bCs/>
          <w:color w:val="0C2340"/>
          <w:sz w:val="16"/>
          <w:szCs w:val="16"/>
        </w:rPr>
        <w:t xml:space="preserve">). </w:t>
      </w:r>
      <w:r w:rsidR="00D578D8" w:rsidRPr="00D51CD9">
        <w:rPr>
          <w:rFonts w:ascii="Book Antiqua" w:hAnsi="Book Antiqua"/>
          <w:bCs/>
          <w:color w:val="0C2340"/>
          <w:sz w:val="16"/>
          <w:szCs w:val="16"/>
        </w:rPr>
        <w:t xml:space="preserve">The seminal </w:t>
      </w:r>
      <w:r w:rsidR="00B57B98" w:rsidRPr="00D51CD9">
        <w:rPr>
          <w:rFonts w:ascii="Book Antiqua" w:hAnsi="Book Antiqua"/>
          <w:bCs/>
          <w:color w:val="0C2340"/>
          <w:sz w:val="16"/>
          <w:szCs w:val="16"/>
        </w:rPr>
        <w:t>research</w:t>
      </w:r>
      <w:r w:rsidR="00D578D8" w:rsidRPr="00D51CD9">
        <w:rPr>
          <w:rFonts w:ascii="Book Antiqua" w:hAnsi="Book Antiqua"/>
          <w:bCs/>
          <w:color w:val="0C2340"/>
          <w:sz w:val="16"/>
          <w:szCs w:val="16"/>
        </w:rPr>
        <w:t xml:space="preserve"> established that mobile money networks enabled rural households to rapidly mobilize financial support from urban networks during asymmetric economic shocks, such as</w:t>
      </w:r>
      <w:r w:rsidR="002E234F" w:rsidRPr="00D51CD9">
        <w:rPr>
          <w:rFonts w:ascii="Book Antiqua" w:hAnsi="Book Antiqua"/>
          <w:bCs/>
          <w:color w:val="0C2340"/>
          <w:sz w:val="16"/>
          <w:szCs w:val="16"/>
        </w:rPr>
        <w:t xml:space="preserve"> </w:t>
      </w:r>
      <w:r w:rsidR="00D578D8" w:rsidRPr="00D51CD9">
        <w:rPr>
          <w:rFonts w:ascii="Book Antiqua" w:hAnsi="Book Antiqua"/>
          <w:bCs/>
          <w:color w:val="0C2340"/>
          <w:sz w:val="16"/>
          <w:szCs w:val="16"/>
        </w:rPr>
        <w:t>droughts or health crises.</w:t>
      </w:r>
    </w:p>
    <w:p w14:paraId="43F40931" w14:textId="1DD89B60" w:rsidR="003E4661"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 xml:space="preserve">However, when evaluated from the perspective of systemic financial development, these micro-centric methods reveal profound limitations. By focusing almost entirely on </w:t>
      </w:r>
      <w:r w:rsidR="00756FEB" w:rsidRPr="00D51CD9">
        <w:rPr>
          <w:rFonts w:ascii="Book Antiqua" w:hAnsi="Book Antiqua"/>
          <w:bCs/>
          <w:color w:val="0C2340"/>
          <w:sz w:val="16"/>
          <w:szCs w:val="16"/>
        </w:rPr>
        <w:t>household</w:t>
      </w:r>
      <w:r w:rsidRPr="00D51CD9">
        <w:rPr>
          <w:rFonts w:ascii="Book Antiqua" w:hAnsi="Book Antiqua"/>
          <w:bCs/>
          <w:color w:val="0C2340"/>
          <w:sz w:val="16"/>
          <w:szCs w:val="16"/>
        </w:rPr>
        <w:t xml:space="preserve"> welfare and poverty relief, early scholarship treated digital finance </w:t>
      </w:r>
      <w:r w:rsidR="002849A4" w:rsidRPr="002849A4">
        <w:rPr>
          <w:rFonts w:ascii="Book Antiqua" w:hAnsi="Book Antiqua"/>
          <w:bCs/>
          <w:color w:val="0C2340"/>
          <w:sz w:val="16"/>
          <w:szCs w:val="16"/>
        </w:rPr>
        <w:t xml:space="preserve">primarily as a poverty-alleviation instrument, with limited attention to its long-run macroeconomic implications </w:t>
      </w:r>
      <w:r w:rsidRPr="00D51CD9">
        <w:rPr>
          <w:rFonts w:ascii="Book Antiqua" w:hAnsi="Book Antiqua"/>
          <w:bCs/>
          <w:color w:val="0C2340"/>
          <w:sz w:val="16"/>
          <w:szCs w:val="16"/>
        </w:rPr>
        <w:t>(</w:t>
      </w:r>
      <w:r w:rsidRPr="00D51CD9">
        <w:rPr>
          <w:rFonts w:ascii="Book Antiqua" w:hAnsi="Book Antiqua"/>
          <w:bCs/>
          <w:color w:val="0070C0"/>
          <w:sz w:val="16"/>
          <w:szCs w:val="16"/>
        </w:rPr>
        <w:t>Mawejje and Lakuma, 2019</w:t>
      </w:r>
      <w:r w:rsidRPr="00D51CD9">
        <w:rPr>
          <w:rFonts w:ascii="Book Antiqua" w:hAnsi="Book Antiqua"/>
          <w:bCs/>
          <w:color w:val="0C2340"/>
          <w:sz w:val="16"/>
          <w:szCs w:val="16"/>
        </w:rPr>
        <w:t xml:space="preserve">). </w:t>
      </w:r>
      <w:r w:rsidR="00623FBC" w:rsidRPr="00D51CD9">
        <w:rPr>
          <w:rFonts w:ascii="Book Antiqua" w:hAnsi="Book Antiqua"/>
          <w:bCs/>
          <w:color w:val="0C2340"/>
          <w:sz w:val="16"/>
          <w:szCs w:val="16"/>
        </w:rPr>
        <w:t xml:space="preserve">Here, the </w:t>
      </w:r>
      <w:r w:rsidRPr="00D51CD9">
        <w:rPr>
          <w:rFonts w:ascii="Book Antiqua" w:hAnsi="Book Antiqua"/>
          <w:bCs/>
          <w:color w:val="0C2340"/>
          <w:sz w:val="16"/>
          <w:szCs w:val="16"/>
        </w:rPr>
        <w:t xml:space="preserve">primary limitation is its inability to track whether </w:t>
      </w:r>
      <w:r w:rsidR="00107180" w:rsidRPr="00107180">
        <w:rPr>
          <w:rFonts w:ascii="Book Antiqua" w:hAnsi="Book Antiqua"/>
          <w:bCs/>
          <w:color w:val="0C2340"/>
          <w:sz w:val="16"/>
          <w:szCs w:val="16"/>
        </w:rPr>
        <w:t>mobile-wallet balances were subsequently converted into formal commercial credit</w:t>
      </w:r>
      <w:r w:rsidR="008A4ED7">
        <w:rPr>
          <w:rFonts w:ascii="Book Antiqua" w:hAnsi="Book Antiqua"/>
          <w:bCs/>
          <w:color w:val="0C2340"/>
          <w:sz w:val="16"/>
          <w:szCs w:val="16"/>
        </w:rPr>
        <w:t xml:space="preserve"> </w:t>
      </w:r>
      <w:r w:rsidRPr="00D51CD9">
        <w:rPr>
          <w:rFonts w:ascii="Book Antiqua" w:hAnsi="Book Antiqua"/>
          <w:bCs/>
          <w:color w:val="0C2340"/>
          <w:sz w:val="16"/>
          <w:szCs w:val="16"/>
        </w:rPr>
        <w:t>(</w:t>
      </w:r>
      <w:r w:rsidRPr="00D51CD9">
        <w:rPr>
          <w:rFonts w:ascii="Book Antiqua" w:hAnsi="Book Antiqua"/>
          <w:bCs/>
          <w:color w:val="0070C0"/>
          <w:sz w:val="16"/>
          <w:szCs w:val="16"/>
        </w:rPr>
        <w:t>Beck, 20</w:t>
      </w:r>
      <w:r w:rsidR="00FC3403" w:rsidRPr="00D51CD9">
        <w:rPr>
          <w:rFonts w:ascii="Book Antiqua" w:hAnsi="Book Antiqua"/>
          <w:bCs/>
          <w:color w:val="0070C0"/>
          <w:sz w:val="16"/>
          <w:szCs w:val="16"/>
        </w:rPr>
        <w:t>2</w:t>
      </w:r>
      <w:r w:rsidRPr="00D51CD9">
        <w:rPr>
          <w:rFonts w:ascii="Book Antiqua" w:hAnsi="Book Antiqua"/>
          <w:bCs/>
          <w:color w:val="0070C0"/>
          <w:sz w:val="16"/>
          <w:szCs w:val="16"/>
        </w:rPr>
        <w:t>0</w:t>
      </w:r>
      <w:r w:rsidRPr="00D51CD9">
        <w:rPr>
          <w:rFonts w:ascii="Book Antiqua" w:hAnsi="Book Antiqua"/>
          <w:bCs/>
          <w:color w:val="0C2340"/>
          <w:sz w:val="16"/>
          <w:szCs w:val="16"/>
        </w:rPr>
        <w:t>). While transaction velocities increased, the underlying capital often remained locked within short-term retail loops, failing to boost the private sector</w:t>
      </w:r>
      <w:r w:rsidR="005739D3" w:rsidRPr="00D51CD9">
        <w:rPr>
          <w:rFonts w:ascii="Book Antiqua" w:hAnsi="Book Antiqua"/>
          <w:bCs/>
          <w:color w:val="0C2340"/>
          <w:sz w:val="16"/>
          <w:szCs w:val="16"/>
        </w:rPr>
        <w:t>’s</w:t>
      </w:r>
      <w:r w:rsidRPr="00D51CD9">
        <w:rPr>
          <w:rFonts w:ascii="Book Antiqua" w:hAnsi="Book Antiqua"/>
          <w:bCs/>
          <w:color w:val="0C2340"/>
          <w:sz w:val="16"/>
          <w:szCs w:val="16"/>
        </w:rPr>
        <w:t xml:space="preserve"> credit-to-GDP ratios required for broader industrialization (</w:t>
      </w:r>
      <w:r w:rsidRPr="00D51CD9">
        <w:rPr>
          <w:rFonts w:ascii="Book Antiqua" w:hAnsi="Book Antiqua"/>
          <w:bCs/>
          <w:color w:val="0070C0"/>
          <w:sz w:val="16"/>
          <w:szCs w:val="16"/>
        </w:rPr>
        <w:t xml:space="preserve">Ocansey </w:t>
      </w:r>
      <w:r w:rsidRPr="00D51CD9">
        <w:rPr>
          <w:rFonts w:ascii="Book Antiqua" w:hAnsi="Book Antiqua"/>
          <w:bCs/>
          <w:i/>
          <w:iCs/>
          <w:color w:val="0070C0"/>
          <w:sz w:val="16"/>
          <w:szCs w:val="16"/>
        </w:rPr>
        <w:t>et al.,</w:t>
      </w:r>
      <w:r w:rsidRPr="00D51CD9">
        <w:rPr>
          <w:rFonts w:ascii="Book Antiqua" w:hAnsi="Book Antiqua"/>
          <w:bCs/>
          <w:color w:val="0070C0"/>
          <w:sz w:val="16"/>
          <w:szCs w:val="16"/>
        </w:rPr>
        <w:t xml:space="preserve"> 2024</w:t>
      </w:r>
      <w:r w:rsidRPr="00D51CD9">
        <w:rPr>
          <w:rFonts w:ascii="Book Antiqua" w:hAnsi="Book Antiqua"/>
          <w:bCs/>
          <w:color w:val="0C2340"/>
          <w:sz w:val="16"/>
          <w:szCs w:val="16"/>
        </w:rPr>
        <w:t>).</w:t>
      </w:r>
    </w:p>
    <w:p w14:paraId="2202F40E" w14:textId="25D2F905" w:rsidR="00AC6730"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Subsequent macroeconomic studies attempted to bridge this gap by examining cross-country panel data to determine if digital financial access directly impacts broad money supply and capital market depth. While some cross-sectional studies found positive associations between digital account ownership and formal deposit mobilization (</w:t>
      </w:r>
      <w:r w:rsidRPr="00D51CD9">
        <w:rPr>
          <w:rFonts w:ascii="Book Antiqua" w:hAnsi="Book Antiqua"/>
          <w:bCs/>
          <w:color w:val="0070C0"/>
          <w:sz w:val="16"/>
          <w:szCs w:val="16"/>
        </w:rPr>
        <w:t xml:space="preserve">Allen </w:t>
      </w:r>
      <w:r w:rsidRPr="00D51CD9">
        <w:rPr>
          <w:rFonts w:ascii="Book Antiqua" w:hAnsi="Book Antiqua"/>
          <w:bCs/>
          <w:i/>
          <w:iCs/>
          <w:color w:val="0070C0"/>
          <w:sz w:val="16"/>
          <w:szCs w:val="16"/>
        </w:rPr>
        <w:t>et al.,</w:t>
      </w:r>
      <w:r w:rsidRPr="00D51CD9">
        <w:rPr>
          <w:rFonts w:ascii="Book Antiqua" w:hAnsi="Book Antiqua"/>
          <w:bCs/>
          <w:color w:val="0070C0"/>
          <w:sz w:val="16"/>
          <w:szCs w:val="16"/>
        </w:rPr>
        <w:t xml:space="preserve"> 2016</w:t>
      </w:r>
      <w:r w:rsidRPr="00D51CD9">
        <w:rPr>
          <w:rFonts w:ascii="Book Antiqua" w:hAnsi="Book Antiqua"/>
          <w:bCs/>
          <w:color w:val="0C2340"/>
          <w:sz w:val="16"/>
          <w:szCs w:val="16"/>
        </w:rPr>
        <w:t>), their findings are heavily critiqued for failing to adequately address endogeneity (</w:t>
      </w:r>
      <w:r w:rsidRPr="00D51CD9">
        <w:rPr>
          <w:rFonts w:ascii="Book Antiqua" w:hAnsi="Book Antiqua"/>
          <w:bCs/>
          <w:color w:val="0070C0"/>
          <w:sz w:val="16"/>
          <w:szCs w:val="16"/>
        </w:rPr>
        <w:t>Mawejje and Lakuma, 2019</w:t>
      </w:r>
      <w:r w:rsidRPr="00D51CD9">
        <w:rPr>
          <w:rFonts w:ascii="Book Antiqua" w:hAnsi="Book Antiqua"/>
          <w:bCs/>
          <w:color w:val="0C2340"/>
          <w:sz w:val="16"/>
          <w:szCs w:val="16"/>
        </w:rPr>
        <w:t xml:space="preserve">). Specifically, reverse causality remains a </w:t>
      </w:r>
      <w:r w:rsidR="00FD7D63" w:rsidRPr="00D51CD9">
        <w:rPr>
          <w:rFonts w:ascii="Book Antiqua" w:hAnsi="Book Antiqua"/>
          <w:bCs/>
          <w:color w:val="0C2340"/>
          <w:sz w:val="16"/>
          <w:szCs w:val="16"/>
        </w:rPr>
        <w:t>persistent</w:t>
      </w:r>
      <w:r w:rsidRPr="00D51CD9">
        <w:rPr>
          <w:rFonts w:ascii="Book Antiqua" w:hAnsi="Book Antiqua"/>
          <w:bCs/>
          <w:color w:val="0C2340"/>
          <w:sz w:val="16"/>
          <w:szCs w:val="16"/>
        </w:rPr>
        <w:t xml:space="preserve"> </w:t>
      </w:r>
      <w:r w:rsidRPr="00D51CD9">
        <w:rPr>
          <w:rFonts w:ascii="Book Antiqua" w:hAnsi="Book Antiqua"/>
          <w:bCs/>
          <w:color w:val="0C2340"/>
          <w:sz w:val="16"/>
          <w:szCs w:val="16"/>
        </w:rPr>
        <w:lastRenderedPageBreak/>
        <w:t>challenge: does fintech drive financial deepening, or does pre-existing, robust institutional architecture merely accelerate the adoption of fintech platforms (</w:t>
      </w:r>
      <w:r w:rsidRPr="00D51CD9">
        <w:rPr>
          <w:rFonts w:ascii="Book Antiqua" w:hAnsi="Book Antiqua"/>
          <w:bCs/>
          <w:color w:val="0070C0"/>
          <w:sz w:val="16"/>
          <w:szCs w:val="16"/>
        </w:rPr>
        <w:t>Ozili, 2018</w:t>
      </w:r>
      <w:r w:rsidRPr="00D51CD9">
        <w:rPr>
          <w:rFonts w:ascii="Book Antiqua" w:hAnsi="Book Antiqua"/>
          <w:bCs/>
          <w:color w:val="0C2340"/>
          <w:sz w:val="16"/>
          <w:szCs w:val="16"/>
        </w:rPr>
        <w:t>)?</w:t>
      </w:r>
    </w:p>
    <w:p w14:paraId="444FBCE4" w14:textId="333DF3D0" w:rsidR="00073BBB"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Furthermore, these macro-level studies often rely on aggregated indices that treat basic mobile wallets identically to interest-bearing commercial bank accounts (</w:t>
      </w:r>
      <w:r w:rsidRPr="00D51CD9">
        <w:rPr>
          <w:rFonts w:ascii="Book Antiqua" w:hAnsi="Book Antiqua"/>
          <w:bCs/>
          <w:color w:val="0070C0"/>
          <w:sz w:val="16"/>
          <w:szCs w:val="16"/>
        </w:rPr>
        <w:t>Beck, 2020</w:t>
      </w:r>
      <w:r w:rsidRPr="00D51CD9">
        <w:rPr>
          <w:rFonts w:ascii="Book Antiqua" w:hAnsi="Book Antiqua"/>
          <w:bCs/>
          <w:color w:val="0C2340"/>
          <w:sz w:val="16"/>
          <w:szCs w:val="16"/>
        </w:rPr>
        <w:t>). This lack of granular distinction obscures the structural reality that high-velocity retail transaction networks frequently operate independently of the formal commercial banking systems responsible for long-term domestic capital accumulation (</w:t>
      </w:r>
      <w:r w:rsidRPr="00D51CD9">
        <w:rPr>
          <w:rFonts w:ascii="Book Antiqua" w:hAnsi="Book Antiqua"/>
          <w:bCs/>
          <w:color w:val="0070C0"/>
          <w:sz w:val="16"/>
          <w:szCs w:val="16"/>
        </w:rPr>
        <w:t>Del Sarto and Ozili, 2025</w:t>
      </w:r>
      <w:r w:rsidRPr="00D51CD9">
        <w:rPr>
          <w:rFonts w:ascii="Book Antiqua" w:hAnsi="Book Antiqua"/>
          <w:bCs/>
          <w:color w:val="0C2340"/>
          <w:sz w:val="16"/>
          <w:szCs w:val="16"/>
        </w:rPr>
        <w:t xml:space="preserve">). </w:t>
      </w:r>
      <w:r w:rsidR="00073BBB" w:rsidRPr="00D51CD9">
        <w:rPr>
          <w:rFonts w:ascii="Book Antiqua" w:hAnsi="Book Antiqua"/>
          <w:bCs/>
          <w:color w:val="0C2340"/>
          <w:sz w:val="16"/>
          <w:szCs w:val="16"/>
        </w:rPr>
        <w:t xml:space="preserve">The existing literature highlights a unique structural deviation between the telecommunications-led models predominant </w:t>
      </w:r>
      <w:r w:rsidR="00F34C1F" w:rsidRPr="00D51CD9">
        <w:rPr>
          <w:rFonts w:ascii="Book Antiqua" w:hAnsi="Book Antiqua"/>
          <w:bCs/>
          <w:color w:val="0C2340"/>
          <w:sz w:val="16"/>
          <w:szCs w:val="16"/>
        </w:rPr>
        <w:t>of</w:t>
      </w:r>
      <w:r w:rsidR="00073BBB" w:rsidRPr="00D51CD9">
        <w:rPr>
          <w:rFonts w:ascii="Book Antiqua" w:hAnsi="Book Antiqua"/>
          <w:bCs/>
          <w:color w:val="0C2340"/>
          <w:sz w:val="16"/>
          <w:szCs w:val="16"/>
        </w:rPr>
        <w:t xml:space="preserve"> Sub-Saharan Africa (SSA)</w:t>
      </w:r>
      <w:r w:rsidR="00167A15" w:rsidRPr="00D51CD9">
        <w:rPr>
          <w:rFonts w:ascii="Book Antiqua" w:hAnsi="Book Antiqua"/>
          <w:bCs/>
          <w:color w:val="0C2340"/>
          <w:sz w:val="16"/>
          <w:szCs w:val="16"/>
        </w:rPr>
        <w:t xml:space="preserve">, </w:t>
      </w:r>
      <w:r w:rsidR="00073BBB" w:rsidRPr="00D51CD9">
        <w:rPr>
          <w:rFonts w:ascii="Book Antiqua" w:hAnsi="Book Antiqua"/>
          <w:bCs/>
          <w:color w:val="0C2340"/>
          <w:sz w:val="16"/>
          <w:szCs w:val="16"/>
        </w:rPr>
        <w:t>and the bank- or state-driven ecosystems characteristic of South and Southeast Asia (S/SEA).</w:t>
      </w:r>
    </w:p>
    <w:p w14:paraId="0648A39C" w14:textId="6681C9AE" w:rsidR="00687EA3" w:rsidRPr="008A1352" w:rsidRDefault="00575D0D" w:rsidP="004005B1">
      <w:pPr>
        <w:keepNext/>
        <w:spacing w:before="240" w:after="80" w:line="240" w:lineRule="auto"/>
        <w:jc w:val="both"/>
        <w:rPr>
          <w:rFonts w:ascii="Book Antiqua" w:hAnsi="Book Antiqua"/>
          <w:color w:val="auto"/>
          <w:sz w:val="16"/>
          <w:szCs w:val="16"/>
        </w:rPr>
      </w:pPr>
      <w:r w:rsidRPr="008A1352">
        <w:rPr>
          <w:rFonts w:ascii="Book Antiqua" w:hAnsi="Book Antiqua"/>
          <w:b/>
          <w:color w:val="auto"/>
          <w:sz w:val="16"/>
          <w:szCs w:val="16"/>
        </w:rPr>
        <w:t xml:space="preserve">2.2 </w:t>
      </w:r>
      <w:r w:rsidR="00687EA3" w:rsidRPr="008A1352">
        <w:rPr>
          <w:rFonts w:ascii="Book Antiqua" w:hAnsi="Book Antiqua"/>
          <w:b/>
          <w:color w:val="auto"/>
          <w:sz w:val="16"/>
          <w:szCs w:val="16"/>
        </w:rPr>
        <w:t>Institutional Architectures: Telco-Led vs. Bank/State-Led Structural Pathways</w:t>
      </w:r>
    </w:p>
    <w:p w14:paraId="5C0BDAFB" w14:textId="75FC21EE" w:rsidR="006C0375"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 xml:space="preserve">Literature focusing strictly on SSA highlights an institutional framework where mobile money networks operate largely as parallel ecosystems separate from traditional commercial banking infrastructures. The </w:t>
      </w:r>
      <w:r w:rsidR="001A386F" w:rsidRPr="00D51CD9">
        <w:rPr>
          <w:rFonts w:ascii="Book Antiqua" w:hAnsi="Book Antiqua"/>
          <w:bCs/>
          <w:color w:val="0C2340"/>
          <w:sz w:val="16"/>
          <w:szCs w:val="16"/>
        </w:rPr>
        <w:t>aim</w:t>
      </w:r>
      <w:r w:rsidRPr="00D51CD9">
        <w:rPr>
          <w:rFonts w:ascii="Book Antiqua" w:hAnsi="Book Antiqua"/>
          <w:bCs/>
          <w:color w:val="0C2340"/>
          <w:sz w:val="16"/>
          <w:szCs w:val="16"/>
        </w:rPr>
        <w:t xml:space="preserve"> of this literature </w:t>
      </w:r>
      <w:r w:rsidR="00E75311" w:rsidRPr="00D51CD9">
        <w:rPr>
          <w:rFonts w:ascii="Book Antiqua" w:hAnsi="Book Antiqua"/>
          <w:bCs/>
          <w:color w:val="0C2340"/>
          <w:sz w:val="16"/>
          <w:szCs w:val="16"/>
        </w:rPr>
        <w:t>is</w:t>
      </w:r>
      <w:r w:rsidRPr="00D51CD9">
        <w:rPr>
          <w:rFonts w:ascii="Book Antiqua" w:hAnsi="Book Antiqua"/>
          <w:bCs/>
          <w:color w:val="0C2340"/>
          <w:sz w:val="16"/>
          <w:szCs w:val="16"/>
        </w:rPr>
        <w:t xml:space="preserve"> to </w:t>
      </w:r>
      <w:r w:rsidR="008C61D1" w:rsidRPr="00D51CD9">
        <w:rPr>
          <w:rFonts w:ascii="Book Antiqua" w:hAnsi="Book Antiqua"/>
          <w:bCs/>
          <w:color w:val="0C2340"/>
          <w:sz w:val="16"/>
          <w:szCs w:val="16"/>
        </w:rPr>
        <w:t>identify</w:t>
      </w:r>
      <w:r w:rsidRPr="00D51CD9">
        <w:rPr>
          <w:rFonts w:ascii="Book Antiqua" w:hAnsi="Book Antiqua"/>
          <w:bCs/>
          <w:color w:val="0C2340"/>
          <w:sz w:val="16"/>
          <w:szCs w:val="16"/>
        </w:rPr>
        <w:t xml:space="preserve"> how non-bank intermediaries bypass rigid, document-heavy compliance frameworks to reach </w:t>
      </w:r>
      <w:r w:rsidR="00331815" w:rsidRPr="00D51CD9">
        <w:rPr>
          <w:rFonts w:ascii="Book Antiqua" w:hAnsi="Book Antiqua"/>
          <w:bCs/>
          <w:color w:val="0C2340"/>
          <w:sz w:val="16"/>
          <w:szCs w:val="16"/>
        </w:rPr>
        <w:t xml:space="preserve">underserved </w:t>
      </w:r>
      <w:r w:rsidRPr="00D51CD9">
        <w:rPr>
          <w:rFonts w:ascii="Book Antiqua" w:hAnsi="Book Antiqua"/>
          <w:bCs/>
          <w:color w:val="0C2340"/>
          <w:sz w:val="16"/>
          <w:szCs w:val="16"/>
        </w:rPr>
        <w:t xml:space="preserve">rural populations. Critically, the findings reveal a dual-edged </w:t>
      </w:r>
      <w:r w:rsidR="00434113" w:rsidRPr="00D51CD9">
        <w:rPr>
          <w:rFonts w:ascii="Book Antiqua" w:hAnsi="Book Antiqua"/>
          <w:bCs/>
          <w:color w:val="0C2340"/>
          <w:sz w:val="16"/>
          <w:szCs w:val="16"/>
        </w:rPr>
        <w:t>outcome</w:t>
      </w:r>
      <w:r w:rsidRPr="00D51CD9">
        <w:rPr>
          <w:rFonts w:ascii="Book Antiqua" w:hAnsi="Book Antiqua"/>
          <w:bCs/>
          <w:color w:val="0C2340"/>
          <w:sz w:val="16"/>
          <w:szCs w:val="16"/>
        </w:rPr>
        <w:t>: while telco-led architecture successfully catalyzes basic financial access, its institutional design frequently drains retail liquidity away from traditional commercial banks</w:t>
      </w:r>
      <w:r w:rsidR="00697B5A" w:rsidRPr="00D51CD9">
        <w:rPr>
          <w:rFonts w:ascii="Book Antiqua" w:hAnsi="Book Antiqua"/>
          <w:bCs/>
          <w:color w:val="0C2340"/>
          <w:sz w:val="16"/>
          <w:szCs w:val="16"/>
        </w:rPr>
        <w:t>. This c</w:t>
      </w:r>
      <w:r w:rsidRPr="00D51CD9">
        <w:rPr>
          <w:rFonts w:ascii="Book Antiqua" w:hAnsi="Book Antiqua"/>
          <w:bCs/>
          <w:color w:val="0C2340"/>
          <w:sz w:val="16"/>
          <w:szCs w:val="16"/>
        </w:rPr>
        <w:t>reat</w:t>
      </w:r>
      <w:r w:rsidR="00E75230" w:rsidRPr="00D51CD9">
        <w:rPr>
          <w:rFonts w:ascii="Book Antiqua" w:hAnsi="Book Antiqua"/>
          <w:bCs/>
          <w:color w:val="0C2340"/>
          <w:sz w:val="16"/>
          <w:szCs w:val="16"/>
        </w:rPr>
        <w:t>e</w:t>
      </w:r>
      <w:r w:rsidR="00697B5A" w:rsidRPr="00D51CD9">
        <w:rPr>
          <w:rFonts w:ascii="Book Antiqua" w:hAnsi="Book Antiqua"/>
          <w:bCs/>
          <w:color w:val="0C2340"/>
          <w:sz w:val="16"/>
          <w:szCs w:val="16"/>
        </w:rPr>
        <w:t>s</w:t>
      </w:r>
      <w:r w:rsidRPr="00D51CD9">
        <w:rPr>
          <w:rFonts w:ascii="Book Antiqua" w:hAnsi="Book Antiqua"/>
          <w:bCs/>
          <w:color w:val="0C2340"/>
          <w:sz w:val="16"/>
          <w:szCs w:val="16"/>
        </w:rPr>
        <w:t xml:space="preserve"> a parallel transactional layer that leaves commercial banks with highly volatile, expensive funding bases. Consequently, the credit mechanisms that </w:t>
      </w:r>
      <w:r w:rsidR="00C17516" w:rsidRPr="00D51CD9">
        <w:rPr>
          <w:rFonts w:ascii="Book Antiqua" w:hAnsi="Book Antiqua"/>
          <w:bCs/>
          <w:color w:val="0C2340"/>
          <w:sz w:val="16"/>
          <w:szCs w:val="16"/>
        </w:rPr>
        <w:t xml:space="preserve">have </w:t>
      </w:r>
      <w:r w:rsidRPr="00D51CD9">
        <w:rPr>
          <w:rFonts w:ascii="Book Antiqua" w:hAnsi="Book Antiqua"/>
          <w:bCs/>
          <w:color w:val="0C2340"/>
          <w:sz w:val="16"/>
          <w:szCs w:val="16"/>
        </w:rPr>
        <w:t xml:space="preserve">emerged within these ecosystems </w:t>
      </w:r>
      <w:r w:rsidR="00C17516" w:rsidRPr="00D51CD9">
        <w:rPr>
          <w:rFonts w:ascii="Book Antiqua" w:hAnsi="Book Antiqua"/>
          <w:bCs/>
          <w:color w:val="0C2340"/>
          <w:sz w:val="16"/>
          <w:szCs w:val="16"/>
        </w:rPr>
        <w:t xml:space="preserve">have </w:t>
      </w:r>
      <w:r w:rsidRPr="00D51CD9">
        <w:rPr>
          <w:rFonts w:ascii="Book Antiqua" w:hAnsi="Book Antiqua"/>
          <w:bCs/>
          <w:color w:val="0C2340"/>
          <w:sz w:val="16"/>
          <w:szCs w:val="16"/>
        </w:rPr>
        <w:t>evolved into high-interest, algorithmic micro-loans designed for immediate consumer spending rather than long-term</w:t>
      </w:r>
      <w:r w:rsidR="007075D8" w:rsidRPr="00D51CD9">
        <w:rPr>
          <w:rFonts w:ascii="Book Antiqua" w:hAnsi="Book Antiqua"/>
          <w:bCs/>
          <w:color w:val="0C2340"/>
          <w:sz w:val="16"/>
          <w:szCs w:val="16"/>
        </w:rPr>
        <w:t xml:space="preserve">, </w:t>
      </w:r>
      <w:r w:rsidRPr="00D51CD9">
        <w:rPr>
          <w:rFonts w:ascii="Book Antiqua" w:hAnsi="Book Antiqua"/>
          <w:bCs/>
          <w:color w:val="0C2340"/>
          <w:sz w:val="16"/>
          <w:szCs w:val="16"/>
        </w:rPr>
        <w:t>productive asset accumulation.</w:t>
      </w:r>
    </w:p>
    <w:p w14:paraId="42E6B4E7" w14:textId="76CAA965" w:rsidR="006C2C6C" w:rsidRPr="00D51CD9" w:rsidRDefault="00A258D2" w:rsidP="004005B1">
      <w:pPr>
        <w:keepNext/>
        <w:spacing w:after="0" w:line="240" w:lineRule="auto"/>
        <w:jc w:val="both"/>
        <w:rPr>
          <w:rFonts w:ascii="Book Antiqua" w:hAnsi="Book Antiqua"/>
          <w:bCs/>
          <w:color w:val="0C2340"/>
          <w:sz w:val="16"/>
          <w:szCs w:val="16"/>
        </w:rPr>
      </w:pPr>
      <w:r w:rsidRPr="00D51CD9">
        <w:rPr>
          <w:rFonts w:ascii="Book Antiqua" w:hAnsi="Book Antiqua"/>
          <w:bCs/>
          <w:color w:val="0C2340"/>
          <w:sz w:val="16"/>
          <w:szCs w:val="16"/>
        </w:rPr>
        <w:t>Conversely, the literature covering S/SEA explores an ecosystem characterized by highly integrated, bank-led, or state-driven digital infrastructures</w:t>
      </w:r>
      <w:r w:rsidR="006C0375" w:rsidRPr="00D51CD9">
        <w:rPr>
          <w:rFonts w:ascii="Book Antiqua" w:hAnsi="Book Antiqua"/>
          <w:bCs/>
          <w:color w:val="0C2340"/>
          <w:sz w:val="16"/>
          <w:szCs w:val="16"/>
        </w:rPr>
        <w:t>.</w:t>
      </w:r>
      <w:r w:rsidR="00D627E8" w:rsidRPr="00D51CD9">
        <w:rPr>
          <w:rFonts w:ascii="Book Antiqua" w:hAnsi="Book Antiqua"/>
          <w:bCs/>
          <w:color w:val="0C2340"/>
          <w:sz w:val="16"/>
          <w:szCs w:val="16"/>
        </w:rPr>
        <w:t xml:space="preserve"> </w:t>
      </w:r>
      <w:r w:rsidR="00F833CD" w:rsidRPr="00D51CD9">
        <w:rPr>
          <w:rFonts w:ascii="Book Antiqua" w:hAnsi="Book Antiqua"/>
          <w:bCs/>
          <w:color w:val="0C2340"/>
          <w:sz w:val="16"/>
          <w:szCs w:val="16"/>
        </w:rPr>
        <w:t xml:space="preserve">In evaluating these </w:t>
      </w:r>
      <w:r w:rsidR="000C6507" w:rsidRPr="00D51CD9">
        <w:rPr>
          <w:rFonts w:ascii="Book Antiqua" w:hAnsi="Book Antiqua"/>
          <w:bCs/>
          <w:color w:val="0C2340"/>
          <w:sz w:val="16"/>
          <w:szCs w:val="16"/>
        </w:rPr>
        <w:t>frameworks, r</w:t>
      </w:r>
      <w:r w:rsidRPr="00D51CD9">
        <w:rPr>
          <w:rFonts w:ascii="Book Antiqua" w:hAnsi="Book Antiqua"/>
          <w:bCs/>
          <w:color w:val="0C2340"/>
          <w:sz w:val="16"/>
          <w:szCs w:val="16"/>
        </w:rPr>
        <w:t xml:space="preserve">esearchers </w:t>
      </w:r>
      <w:r w:rsidR="000C6507" w:rsidRPr="00D51CD9">
        <w:rPr>
          <w:rFonts w:ascii="Book Antiqua" w:hAnsi="Book Antiqua"/>
          <w:bCs/>
          <w:color w:val="0C2340"/>
          <w:sz w:val="16"/>
          <w:szCs w:val="16"/>
        </w:rPr>
        <w:t>frequently</w:t>
      </w:r>
      <w:r w:rsidR="008F0BEB" w:rsidRPr="00D51CD9">
        <w:rPr>
          <w:rFonts w:ascii="Book Antiqua" w:hAnsi="Book Antiqua"/>
          <w:bCs/>
          <w:color w:val="0C2340"/>
          <w:sz w:val="16"/>
          <w:szCs w:val="16"/>
        </w:rPr>
        <w:t xml:space="preserve"> </w:t>
      </w:r>
      <w:r w:rsidRPr="00D51CD9">
        <w:rPr>
          <w:rFonts w:ascii="Book Antiqua" w:hAnsi="Book Antiqua"/>
          <w:bCs/>
          <w:color w:val="0C2340"/>
          <w:sz w:val="16"/>
          <w:szCs w:val="16"/>
        </w:rPr>
        <w:t>utilize advanced panel econometrics</w:t>
      </w:r>
      <w:r w:rsidR="000C6507" w:rsidRPr="00D51CD9">
        <w:rPr>
          <w:rFonts w:ascii="Book Antiqua" w:hAnsi="Book Antiqua"/>
          <w:bCs/>
          <w:color w:val="0C2340"/>
          <w:sz w:val="16"/>
          <w:szCs w:val="16"/>
        </w:rPr>
        <w:t xml:space="preserve"> to</w:t>
      </w:r>
      <w:r w:rsidRPr="00D51CD9">
        <w:rPr>
          <w:rFonts w:ascii="Book Antiqua" w:hAnsi="Book Antiqua"/>
          <w:bCs/>
          <w:color w:val="0C2340"/>
          <w:sz w:val="16"/>
          <w:szCs w:val="16"/>
        </w:rPr>
        <w:t xml:space="preserve"> captur</w:t>
      </w:r>
      <w:r w:rsidR="000C6507" w:rsidRPr="00D51CD9">
        <w:rPr>
          <w:rFonts w:ascii="Book Antiqua" w:hAnsi="Book Antiqua"/>
          <w:bCs/>
          <w:color w:val="0C2340"/>
          <w:sz w:val="16"/>
          <w:szCs w:val="16"/>
        </w:rPr>
        <w:t>e</w:t>
      </w:r>
      <w:r w:rsidRPr="00D51CD9">
        <w:rPr>
          <w:rFonts w:ascii="Book Antiqua" w:hAnsi="Book Antiqua"/>
          <w:bCs/>
          <w:color w:val="0C2340"/>
          <w:sz w:val="16"/>
          <w:szCs w:val="16"/>
        </w:rPr>
        <w:t xml:space="preserve"> cross-sectional dependencies across dynamic Asian markets</w:t>
      </w:r>
      <w:r w:rsidR="00A22DA3" w:rsidRPr="00D51CD9">
        <w:rPr>
          <w:rFonts w:ascii="Book Antiqua" w:hAnsi="Book Antiqua"/>
          <w:bCs/>
          <w:color w:val="0C2340"/>
          <w:sz w:val="16"/>
          <w:szCs w:val="16"/>
        </w:rPr>
        <w:t xml:space="preserve">. </w:t>
      </w:r>
      <w:r w:rsidRPr="00D51CD9">
        <w:rPr>
          <w:rFonts w:ascii="Book Antiqua" w:hAnsi="Book Antiqua"/>
          <w:bCs/>
          <w:color w:val="0C2340"/>
          <w:sz w:val="16"/>
          <w:szCs w:val="16"/>
        </w:rPr>
        <w:t>The findings indicate that when fintech operates directly on top of</w:t>
      </w:r>
      <w:r w:rsidR="006F636E" w:rsidRPr="00D51CD9">
        <w:rPr>
          <w:rFonts w:ascii="Book Antiqua" w:hAnsi="Book Antiqua"/>
          <w:bCs/>
          <w:color w:val="0C2340"/>
          <w:sz w:val="16"/>
          <w:szCs w:val="16"/>
        </w:rPr>
        <w:t>,</w:t>
      </w:r>
      <w:r w:rsidRPr="00D51CD9">
        <w:rPr>
          <w:rFonts w:ascii="Book Antiqua" w:hAnsi="Book Antiqua"/>
          <w:bCs/>
          <w:color w:val="0C2340"/>
          <w:sz w:val="16"/>
          <w:szCs w:val="16"/>
        </w:rPr>
        <w:t xml:space="preserve"> </w:t>
      </w:r>
      <w:r w:rsidR="00AC3895" w:rsidRPr="00D51CD9">
        <w:rPr>
          <w:rFonts w:ascii="Book Antiqua" w:hAnsi="Book Antiqua"/>
          <w:bCs/>
          <w:color w:val="0C2340"/>
          <w:sz w:val="16"/>
          <w:szCs w:val="16"/>
        </w:rPr>
        <w:t>or</w:t>
      </w:r>
      <w:r w:rsidRPr="00D51CD9">
        <w:rPr>
          <w:rFonts w:ascii="Book Antiqua" w:hAnsi="Book Antiqua"/>
          <w:bCs/>
          <w:color w:val="0C2340"/>
          <w:sz w:val="16"/>
          <w:szCs w:val="16"/>
        </w:rPr>
        <w:t xml:space="preserve"> </w:t>
      </w:r>
      <w:r w:rsidR="00562C72" w:rsidRPr="00D51CD9">
        <w:rPr>
          <w:rFonts w:ascii="Book Antiqua" w:hAnsi="Book Antiqua"/>
          <w:bCs/>
          <w:color w:val="0C2340"/>
          <w:sz w:val="16"/>
          <w:szCs w:val="16"/>
        </w:rPr>
        <w:t xml:space="preserve">in </w:t>
      </w:r>
      <w:r w:rsidRPr="00D51CD9">
        <w:rPr>
          <w:rFonts w:ascii="Book Antiqua" w:hAnsi="Book Antiqua"/>
          <w:bCs/>
          <w:color w:val="0C2340"/>
          <w:sz w:val="16"/>
          <w:szCs w:val="16"/>
        </w:rPr>
        <w:t>close alignment with commercial banking networks, retail-level transactions are smoothly converted into formal bank deposits. This integration provides commercial bank</w:t>
      </w:r>
      <w:r w:rsidR="000263BA" w:rsidRPr="00D51CD9">
        <w:rPr>
          <w:rFonts w:ascii="Book Antiqua" w:hAnsi="Book Antiqua"/>
          <w:bCs/>
          <w:color w:val="0C2340"/>
          <w:sz w:val="16"/>
          <w:szCs w:val="16"/>
        </w:rPr>
        <w:t xml:space="preserve">ing systems </w:t>
      </w:r>
      <w:r w:rsidRPr="00D51CD9">
        <w:rPr>
          <w:rFonts w:ascii="Book Antiqua" w:hAnsi="Book Antiqua"/>
          <w:bCs/>
          <w:color w:val="0C2340"/>
          <w:sz w:val="16"/>
          <w:szCs w:val="16"/>
        </w:rPr>
        <w:t xml:space="preserve">with stable, low-cost liquidity, enabling them to expand sustainable domestic credit to private productive sectors. However, a critical limitation of the S/SEA literature is its tendency to minimize the risks of state over-centralization and regulatory capture, </w:t>
      </w:r>
      <w:r w:rsidR="009B73C6" w:rsidRPr="00D51CD9">
        <w:rPr>
          <w:rFonts w:ascii="Book Antiqua" w:hAnsi="Book Antiqua"/>
          <w:bCs/>
          <w:color w:val="0C2340"/>
          <w:sz w:val="16"/>
          <w:szCs w:val="16"/>
        </w:rPr>
        <w:t>specifically regarding</w:t>
      </w:r>
      <w:r w:rsidRPr="00D51CD9">
        <w:rPr>
          <w:rFonts w:ascii="Book Antiqua" w:hAnsi="Book Antiqua"/>
          <w:bCs/>
          <w:color w:val="0C2340"/>
          <w:sz w:val="16"/>
          <w:szCs w:val="16"/>
        </w:rPr>
        <w:t xml:space="preserve"> consumer surveillance</w:t>
      </w:r>
      <w:r w:rsidR="009B73C6" w:rsidRPr="00D51CD9">
        <w:rPr>
          <w:rFonts w:ascii="Book Antiqua" w:hAnsi="Book Antiqua"/>
          <w:bCs/>
          <w:color w:val="0C2340"/>
          <w:sz w:val="16"/>
          <w:szCs w:val="16"/>
        </w:rPr>
        <w:t xml:space="preserve"> </w:t>
      </w:r>
      <w:r w:rsidRPr="00D51CD9">
        <w:rPr>
          <w:rFonts w:ascii="Book Antiqua" w:hAnsi="Book Antiqua"/>
          <w:bCs/>
          <w:color w:val="0C2340"/>
          <w:sz w:val="16"/>
          <w:szCs w:val="16"/>
        </w:rPr>
        <w:t>and the crowding out of independent</w:t>
      </w:r>
      <w:r w:rsidR="009B73C6" w:rsidRPr="00D51CD9">
        <w:rPr>
          <w:rFonts w:ascii="Book Antiqua" w:hAnsi="Book Antiqua"/>
          <w:bCs/>
          <w:color w:val="0C2340"/>
          <w:sz w:val="16"/>
          <w:szCs w:val="16"/>
        </w:rPr>
        <w:t>,</w:t>
      </w:r>
      <w:r w:rsidRPr="00D51CD9">
        <w:rPr>
          <w:rFonts w:ascii="Book Antiqua" w:hAnsi="Book Antiqua"/>
          <w:bCs/>
          <w:color w:val="0C2340"/>
          <w:sz w:val="16"/>
          <w:szCs w:val="16"/>
        </w:rPr>
        <w:t xml:space="preserve"> non-bank financial innovation.</w:t>
      </w:r>
    </w:p>
    <w:p w14:paraId="4E2323CF" w14:textId="77777777" w:rsidR="00DA4667" w:rsidRPr="00E94793" w:rsidRDefault="00DA4667" w:rsidP="004005B1">
      <w:pPr>
        <w:keepNext/>
        <w:spacing w:after="0" w:line="240" w:lineRule="auto"/>
        <w:jc w:val="both"/>
        <w:rPr>
          <w:rFonts w:ascii="Book Antiqua" w:hAnsi="Book Antiqua"/>
          <w:bCs/>
          <w:color w:val="0C2340"/>
          <w:sz w:val="18"/>
          <w:szCs w:val="18"/>
        </w:rPr>
      </w:pPr>
    </w:p>
    <w:p w14:paraId="275E3F7D" w14:textId="1BE7AB2C" w:rsidR="006C2C6C" w:rsidRPr="00F563F9" w:rsidRDefault="00796E28" w:rsidP="004005B1">
      <w:pPr>
        <w:keepNext/>
        <w:spacing w:after="0" w:line="240" w:lineRule="auto"/>
        <w:jc w:val="both"/>
        <w:rPr>
          <w:rFonts w:ascii="Book Antiqua" w:hAnsi="Book Antiqua"/>
          <w:color w:val="215E99" w:themeColor="text2" w:themeTint="BF"/>
          <w:sz w:val="18"/>
          <w:szCs w:val="18"/>
        </w:rPr>
      </w:pPr>
      <w:r w:rsidRPr="00F563F9">
        <w:rPr>
          <w:rFonts w:ascii="Book Antiqua" w:hAnsi="Book Antiqua"/>
          <w:b/>
          <w:color w:val="215E99" w:themeColor="text2" w:themeTint="BF"/>
          <w:sz w:val="18"/>
          <w:szCs w:val="18"/>
        </w:rPr>
        <w:t xml:space="preserve">3. </w:t>
      </w:r>
      <w:r w:rsidR="007C6FFE" w:rsidRPr="00F563F9">
        <w:rPr>
          <w:rFonts w:ascii="Book Antiqua" w:hAnsi="Book Antiqua"/>
          <w:b/>
          <w:color w:val="215E99" w:themeColor="text2" w:themeTint="BF"/>
          <w:sz w:val="18"/>
          <w:szCs w:val="18"/>
        </w:rPr>
        <w:t>Financial Intermediation, Leapfrogging, and Transmission Channels</w:t>
      </w:r>
    </w:p>
    <w:p w14:paraId="14DC3799" w14:textId="77777777" w:rsidR="006C2C6C" w:rsidRPr="00E94793" w:rsidRDefault="006C2C6C" w:rsidP="004005B1">
      <w:pPr>
        <w:keepNext/>
        <w:spacing w:after="0" w:line="240" w:lineRule="auto"/>
        <w:jc w:val="both"/>
        <w:rPr>
          <w:rFonts w:ascii="Book Antiqua" w:hAnsi="Book Antiqua"/>
          <w:b/>
          <w:color w:val="4682B4"/>
          <w:sz w:val="18"/>
          <w:szCs w:val="18"/>
        </w:rPr>
      </w:pPr>
    </w:p>
    <w:p w14:paraId="668B3806" w14:textId="3DE4FBE7" w:rsidR="00DA4667" w:rsidRPr="008A1352" w:rsidRDefault="00575D0D" w:rsidP="004005B1">
      <w:pPr>
        <w:keepNext/>
        <w:spacing w:line="240" w:lineRule="auto"/>
        <w:jc w:val="both"/>
        <w:rPr>
          <w:rFonts w:ascii="Book Antiqua" w:hAnsi="Book Antiqua"/>
          <w:b/>
          <w:color w:val="auto"/>
          <w:sz w:val="16"/>
          <w:szCs w:val="16"/>
        </w:rPr>
      </w:pPr>
      <w:r w:rsidRPr="008A1352">
        <w:rPr>
          <w:rFonts w:ascii="Book Antiqua" w:hAnsi="Book Antiqua"/>
          <w:b/>
          <w:color w:val="auto"/>
          <w:sz w:val="16"/>
          <w:szCs w:val="16"/>
        </w:rPr>
        <w:t xml:space="preserve">3.1 </w:t>
      </w:r>
      <w:r w:rsidR="007C6FFE" w:rsidRPr="008A1352">
        <w:rPr>
          <w:rFonts w:ascii="Book Antiqua" w:hAnsi="Book Antiqua"/>
          <w:b/>
          <w:color w:val="auto"/>
          <w:sz w:val="16"/>
          <w:szCs w:val="16"/>
        </w:rPr>
        <w:t>The Classic Paradigms of Financial Deepening</w:t>
      </w:r>
    </w:p>
    <w:p w14:paraId="41EC7A36" w14:textId="759559F2" w:rsidR="00F77855" w:rsidRPr="00D51CD9" w:rsidRDefault="00A50C10"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Evaluating the macroeconomic footprint of financial technology requires grounding in core intermediation theory. </w:t>
      </w:r>
      <w:r w:rsidR="007C6FFE" w:rsidRPr="00D51CD9">
        <w:rPr>
          <w:rFonts w:ascii="Book Antiqua" w:hAnsi="Book Antiqua"/>
          <w:sz w:val="16"/>
          <w:szCs w:val="16"/>
        </w:rPr>
        <w:t xml:space="preserve">The foundational paradigms established by </w:t>
      </w:r>
      <w:r w:rsidR="007C6FFE" w:rsidRPr="00D51CD9">
        <w:rPr>
          <w:rFonts w:ascii="Book Antiqua" w:hAnsi="Book Antiqua"/>
          <w:color w:val="0070C0"/>
          <w:sz w:val="16"/>
          <w:szCs w:val="16"/>
        </w:rPr>
        <w:t xml:space="preserve">Gurley and Shaw (1955) </w:t>
      </w:r>
      <w:r w:rsidR="00723112" w:rsidRPr="00D51CD9">
        <w:rPr>
          <w:rFonts w:ascii="Book Antiqua" w:hAnsi="Book Antiqua"/>
          <w:sz w:val="16"/>
          <w:szCs w:val="16"/>
        </w:rPr>
        <w:t>identify structural financial deepening as a driver of</w:t>
      </w:r>
      <w:r w:rsidR="00E245D1" w:rsidRPr="00D51CD9">
        <w:rPr>
          <w:rFonts w:ascii="Book Antiqua" w:hAnsi="Book Antiqua"/>
          <w:sz w:val="16"/>
          <w:szCs w:val="16"/>
        </w:rPr>
        <w:t xml:space="preserve"> financially viable</w:t>
      </w:r>
      <w:r w:rsidR="00723112" w:rsidRPr="00D51CD9">
        <w:rPr>
          <w:rFonts w:ascii="Book Antiqua" w:hAnsi="Book Antiqua"/>
          <w:sz w:val="16"/>
          <w:szCs w:val="16"/>
        </w:rPr>
        <w:t xml:space="preserve"> expansion. </w:t>
      </w:r>
      <w:r w:rsidR="00052C3C" w:rsidRPr="00D51CD9">
        <w:rPr>
          <w:rFonts w:ascii="Book Antiqua" w:hAnsi="Book Antiqua"/>
          <w:color w:val="0070C0"/>
          <w:sz w:val="16"/>
          <w:szCs w:val="16"/>
        </w:rPr>
        <w:t>King and Levine (1993)</w:t>
      </w:r>
      <w:r w:rsidR="00052C3C" w:rsidRPr="00D51CD9">
        <w:rPr>
          <w:rFonts w:ascii="Book Antiqua" w:hAnsi="Book Antiqua"/>
          <w:sz w:val="16"/>
          <w:szCs w:val="16"/>
        </w:rPr>
        <w:t xml:space="preserve"> </w:t>
      </w:r>
      <w:r w:rsidR="00147205" w:rsidRPr="00D51CD9">
        <w:rPr>
          <w:rFonts w:ascii="Book Antiqua" w:hAnsi="Book Antiqua"/>
          <w:sz w:val="16"/>
          <w:szCs w:val="16"/>
        </w:rPr>
        <w:t>later proved</w:t>
      </w:r>
      <w:r w:rsidR="00052C3C" w:rsidRPr="00D51CD9">
        <w:rPr>
          <w:rFonts w:ascii="Book Antiqua" w:hAnsi="Book Antiqua"/>
          <w:sz w:val="16"/>
          <w:szCs w:val="16"/>
        </w:rPr>
        <w:t xml:space="preserve"> </w:t>
      </w:r>
      <w:r w:rsidR="00730A9C" w:rsidRPr="00D51CD9">
        <w:rPr>
          <w:rFonts w:ascii="Book Antiqua" w:hAnsi="Book Antiqua"/>
          <w:sz w:val="16"/>
          <w:szCs w:val="16"/>
        </w:rPr>
        <w:t xml:space="preserve">this relationship empirically, </w:t>
      </w:r>
      <w:r w:rsidR="008A5A4C" w:rsidRPr="00D51CD9">
        <w:rPr>
          <w:rFonts w:ascii="Book Antiqua" w:hAnsi="Book Antiqua"/>
          <w:sz w:val="16"/>
          <w:szCs w:val="16"/>
        </w:rPr>
        <w:t xml:space="preserve">showing </w:t>
      </w:r>
      <w:r w:rsidR="00052C3C" w:rsidRPr="00D51CD9">
        <w:rPr>
          <w:rFonts w:ascii="Book Antiqua" w:hAnsi="Book Antiqua"/>
          <w:sz w:val="16"/>
          <w:szCs w:val="16"/>
        </w:rPr>
        <w:t xml:space="preserve">that higher </w:t>
      </w:r>
      <w:r w:rsidR="00147205" w:rsidRPr="00D51CD9">
        <w:rPr>
          <w:rFonts w:ascii="Book Antiqua" w:hAnsi="Book Antiqua"/>
          <w:sz w:val="16"/>
          <w:szCs w:val="16"/>
        </w:rPr>
        <w:t xml:space="preserve">private sector </w:t>
      </w:r>
      <w:r w:rsidR="00746002" w:rsidRPr="00D51CD9">
        <w:rPr>
          <w:rFonts w:ascii="Book Antiqua" w:hAnsi="Book Antiqua"/>
          <w:sz w:val="16"/>
          <w:szCs w:val="16"/>
        </w:rPr>
        <w:t>credit</w:t>
      </w:r>
      <w:r w:rsidR="00052C3C" w:rsidRPr="00D51CD9">
        <w:rPr>
          <w:rFonts w:ascii="Book Antiqua" w:hAnsi="Book Antiqua"/>
          <w:sz w:val="16"/>
          <w:szCs w:val="16"/>
        </w:rPr>
        <w:t xml:space="preserve"> </w:t>
      </w:r>
      <w:r w:rsidR="006C7849" w:rsidRPr="00D51CD9">
        <w:rPr>
          <w:rFonts w:ascii="Book Antiqua" w:hAnsi="Book Antiqua"/>
          <w:sz w:val="16"/>
          <w:szCs w:val="16"/>
        </w:rPr>
        <w:t>allocation</w:t>
      </w:r>
      <w:r w:rsidR="00E51B20" w:rsidRPr="00D51CD9">
        <w:rPr>
          <w:rFonts w:ascii="Book Antiqua" w:hAnsi="Book Antiqua"/>
          <w:sz w:val="16"/>
          <w:szCs w:val="16"/>
        </w:rPr>
        <w:t xml:space="preserve"> </w:t>
      </w:r>
      <w:r w:rsidR="0060699F" w:rsidRPr="00D51CD9">
        <w:rPr>
          <w:rFonts w:ascii="Book Antiqua" w:hAnsi="Book Antiqua"/>
          <w:sz w:val="16"/>
          <w:szCs w:val="16"/>
        </w:rPr>
        <w:t xml:space="preserve">directly </w:t>
      </w:r>
      <w:r w:rsidR="00355536" w:rsidRPr="00D51CD9">
        <w:rPr>
          <w:rFonts w:ascii="Book Antiqua" w:hAnsi="Book Antiqua"/>
          <w:sz w:val="16"/>
          <w:szCs w:val="16"/>
        </w:rPr>
        <w:t>forecast</w:t>
      </w:r>
      <w:r w:rsidR="00052C3C" w:rsidRPr="00D51CD9">
        <w:rPr>
          <w:rFonts w:ascii="Book Antiqua" w:hAnsi="Book Antiqua"/>
          <w:sz w:val="16"/>
          <w:szCs w:val="16"/>
        </w:rPr>
        <w:t xml:space="preserve"> </w:t>
      </w:r>
      <w:r w:rsidR="0088375D" w:rsidRPr="00D51CD9">
        <w:rPr>
          <w:rFonts w:ascii="Book Antiqua" w:hAnsi="Book Antiqua"/>
          <w:sz w:val="16"/>
          <w:szCs w:val="16"/>
        </w:rPr>
        <w:t xml:space="preserve">capital </w:t>
      </w:r>
      <w:r w:rsidR="00052C3C" w:rsidRPr="00D51CD9">
        <w:rPr>
          <w:rFonts w:ascii="Book Antiqua" w:hAnsi="Book Antiqua"/>
          <w:sz w:val="16"/>
          <w:szCs w:val="16"/>
        </w:rPr>
        <w:t>accumulation and productivity gains.</w:t>
      </w:r>
      <w:r w:rsidR="008A1352">
        <w:rPr>
          <w:rFonts w:ascii="Book Antiqua" w:hAnsi="Book Antiqua"/>
          <w:sz w:val="16"/>
          <w:szCs w:val="16"/>
        </w:rPr>
        <w:t xml:space="preserve"> </w:t>
      </w:r>
      <w:r w:rsidR="00052C3C" w:rsidRPr="00D51CD9">
        <w:rPr>
          <w:rFonts w:ascii="Book Antiqua" w:hAnsi="Book Antiqua"/>
          <w:sz w:val="16"/>
          <w:szCs w:val="16"/>
        </w:rPr>
        <w:t xml:space="preserve">Synthesizing these findings, </w:t>
      </w:r>
      <w:r w:rsidR="00052C3C" w:rsidRPr="00D51CD9">
        <w:rPr>
          <w:rFonts w:ascii="Book Antiqua" w:hAnsi="Book Antiqua"/>
          <w:color w:val="0070C0"/>
          <w:sz w:val="16"/>
          <w:szCs w:val="16"/>
        </w:rPr>
        <w:t>Levine (1997)</w:t>
      </w:r>
      <w:r w:rsidR="00052C3C" w:rsidRPr="00D51CD9">
        <w:rPr>
          <w:rFonts w:ascii="Book Antiqua" w:hAnsi="Book Antiqua"/>
          <w:sz w:val="16"/>
          <w:szCs w:val="16"/>
        </w:rPr>
        <w:t xml:space="preserve"> explained that a deeper financial sector accelerates growth by </w:t>
      </w:r>
      <w:r w:rsidR="00316357" w:rsidRPr="00D51CD9">
        <w:rPr>
          <w:rFonts w:ascii="Book Antiqua" w:hAnsi="Book Antiqua"/>
          <w:sz w:val="16"/>
          <w:szCs w:val="16"/>
        </w:rPr>
        <w:t>reduc</w:t>
      </w:r>
      <w:r w:rsidR="00052C3C" w:rsidRPr="00D51CD9">
        <w:rPr>
          <w:rFonts w:ascii="Book Antiqua" w:hAnsi="Book Antiqua"/>
          <w:sz w:val="16"/>
          <w:szCs w:val="16"/>
        </w:rPr>
        <w:t xml:space="preserve">ing borrowing costs for innovative firms and executing five core functions: screening borrowers, </w:t>
      </w:r>
      <w:r w:rsidR="00F5164F" w:rsidRPr="00D51CD9">
        <w:rPr>
          <w:rFonts w:ascii="Book Antiqua" w:hAnsi="Book Antiqua"/>
          <w:sz w:val="16"/>
          <w:szCs w:val="16"/>
        </w:rPr>
        <w:t xml:space="preserve">pooling savings, </w:t>
      </w:r>
      <w:r w:rsidR="00052C3C" w:rsidRPr="00D51CD9">
        <w:rPr>
          <w:rFonts w:ascii="Book Antiqua" w:hAnsi="Book Antiqua"/>
          <w:sz w:val="16"/>
          <w:szCs w:val="16"/>
        </w:rPr>
        <w:t xml:space="preserve">monitoring investments, managing </w:t>
      </w:r>
      <w:r w:rsidR="00706F07" w:rsidRPr="00D51CD9">
        <w:rPr>
          <w:rFonts w:ascii="Book Antiqua" w:hAnsi="Book Antiqua"/>
          <w:sz w:val="16"/>
          <w:szCs w:val="16"/>
        </w:rPr>
        <w:t>risks</w:t>
      </w:r>
      <w:r w:rsidR="00052C3C" w:rsidRPr="00D51CD9">
        <w:rPr>
          <w:rFonts w:ascii="Book Antiqua" w:hAnsi="Book Antiqua"/>
          <w:sz w:val="16"/>
          <w:szCs w:val="16"/>
        </w:rPr>
        <w:t xml:space="preserve">, and </w:t>
      </w:r>
      <w:r w:rsidR="00387221" w:rsidRPr="00D51CD9">
        <w:rPr>
          <w:rFonts w:ascii="Book Antiqua" w:hAnsi="Book Antiqua"/>
          <w:sz w:val="16"/>
          <w:szCs w:val="16"/>
        </w:rPr>
        <w:t>minimiz</w:t>
      </w:r>
      <w:r w:rsidR="00052C3C" w:rsidRPr="00D51CD9">
        <w:rPr>
          <w:rFonts w:ascii="Book Antiqua" w:hAnsi="Book Antiqua"/>
          <w:sz w:val="16"/>
          <w:szCs w:val="16"/>
        </w:rPr>
        <w:t xml:space="preserve">ing transaction costs. When these functions work efficiently, domestic savings are </w:t>
      </w:r>
      <w:r w:rsidR="00706F07" w:rsidRPr="00D51CD9">
        <w:rPr>
          <w:rFonts w:ascii="Book Antiqua" w:hAnsi="Book Antiqua"/>
          <w:sz w:val="16"/>
          <w:szCs w:val="16"/>
        </w:rPr>
        <w:t>seamlessly</w:t>
      </w:r>
      <w:r w:rsidR="00052C3C" w:rsidRPr="00D51CD9">
        <w:rPr>
          <w:rFonts w:ascii="Book Antiqua" w:hAnsi="Book Antiqua"/>
          <w:sz w:val="16"/>
          <w:szCs w:val="16"/>
        </w:rPr>
        <w:t xml:space="preserve"> converted into productive, long-term capital investments.</w:t>
      </w:r>
    </w:p>
    <w:p w14:paraId="6DA9CAFA" w14:textId="45BCBE04" w:rsidR="007C6FFE" w:rsidRPr="008A1352" w:rsidRDefault="00575D0D" w:rsidP="004005B1">
      <w:pPr>
        <w:spacing w:after="120" w:line="240" w:lineRule="auto"/>
        <w:jc w:val="both"/>
        <w:rPr>
          <w:rFonts w:ascii="Book Antiqua" w:hAnsi="Book Antiqua"/>
          <w:color w:val="auto"/>
          <w:sz w:val="16"/>
          <w:szCs w:val="16"/>
        </w:rPr>
      </w:pPr>
      <w:r w:rsidRPr="008A1352">
        <w:rPr>
          <w:rFonts w:ascii="Book Antiqua" w:hAnsi="Book Antiqua"/>
          <w:b/>
          <w:color w:val="auto"/>
          <w:sz w:val="16"/>
          <w:szCs w:val="16"/>
        </w:rPr>
        <w:t xml:space="preserve">3.2 </w:t>
      </w:r>
      <w:r w:rsidR="007C6FFE" w:rsidRPr="008A1352">
        <w:rPr>
          <w:rFonts w:ascii="Book Antiqua" w:hAnsi="Book Antiqua"/>
          <w:b/>
          <w:color w:val="auto"/>
          <w:sz w:val="16"/>
          <w:szCs w:val="16"/>
        </w:rPr>
        <w:t>The Economics of Technological "Leapfrogging"</w:t>
      </w:r>
    </w:p>
    <w:p w14:paraId="1DAC3747" w14:textId="25A749CC" w:rsidR="00CF4418" w:rsidRPr="00D51CD9" w:rsidRDefault="00CF4418"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In developing countries, </w:t>
      </w:r>
      <w:r w:rsidR="007A5050" w:rsidRPr="00D51CD9">
        <w:rPr>
          <w:rFonts w:ascii="Book Antiqua" w:hAnsi="Book Antiqua"/>
          <w:sz w:val="16"/>
          <w:szCs w:val="16"/>
        </w:rPr>
        <w:t xml:space="preserve">the expansion of </w:t>
      </w:r>
      <w:r w:rsidRPr="00D51CD9">
        <w:rPr>
          <w:rFonts w:ascii="Book Antiqua" w:hAnsi="Book Antiqua"/>
          <w:sz w:val="16"/>
          <w:szCs w:val="16"/>
        </w:rPr>
        <w:t>traditional banks has always been difficult due to major structural barriers</w:t>
      </w:r>
      <w:r w:rsidR="00EA32C7" w:rsidRPr="00D51CD9">
        <w:rPr>
          <w:rFonts w:ascii="Book Antiqua" w:hAnsi="Book Antiqua"/>
          <w:sz w:val="16"/>
          <w:szCs w:val="16"/>
        </w:rPr>
        <w:t xml:space="preserve">. </w:t>
      </w:r>
      <w:r w:rsidR="003C4FD0" w:rsidRPr="00D51CD9">
        <w:rPr>
          <w:rFonts w:ascii="Book Antiqua" w:hAnsi="Book Antiqua"/>
          <w:sz w:val="16"/>
          <w:szCs w:val="16"/>
        </w:rPr>
        <w:t>Establish</w:t>
      </w:r>
      <w:r w:rsidRPr="00D51CD9">
        <w:rPr>
          <w:rFonts w:ascii="Book Antiqua" w:hAnsi="Book Antiqua"/>
          <w:sz w:val="16"/>
          <w:szCs w:val="16"/>
        </w:rPr>
        <w:t>ing physical bank branches costs too much money, making them unprofitable in rural areas (</w:t>
      </w:r>
      <w:r w:rsidRPr="00D51CD9">
        <w:rPr>
          <w:rFonts w:ascii="Book Antiqua" w:hAnsi="Book Antiqua"/>
          <w:color w:val="0070C0"/>
          <w:sz w:val="16"/>
          <w:szCs w:val="16"/>
        </w:rPr>
        <w:t>Del Sarto and Ozili, 2025</w:t>
      </w:r>
      <w:r w:rsidRPr="00D51CD9">
        <w:rPr>
          <w:rFonts w:ascii="Book Antiqua" w:hAnsi="Book Antiqua"/>
          <w:sz w:val="16"/>
          <w:szCs w:val="16"/>
        </w:rPr>
        <w:t xml:space="preserve">). In addition, large informal economies and </w:t>
      </w:r>
      <w:r w:rsidR="00157236">
        <w:rPr>
          <w:rFonts w:ascii="Book Antiqua" w:hAnsi="Book Antiqua"/>
          <w:sz w:val="16"/>
          <w:szCs w:val="16"/>
        </w:rPr>
        <w:t>the absence</w:t>
      </w:r>
      <w:r w:rsidRPr="00D51CD9">
        <w:rPr>
          <w:rFonts w:ascii="Book Antiqua" w:hAnsi="Book Antiqua"/>
          <w:sz w:val="16"/>
          <w:szCs w:val="16"/>
        </w:rPr>
        <w:t xml:space="preserve"> of central credit bureaus </w:t>
      </w:r>
      <w:r w:rsidR="00EB39F0">
        <w:rPr>
          <w:rFonts w:ascii="Book Antiqua" w:hAnsi="Book Antiqua"/>
          <w:sz w:val="16"/>
          <w:szCs w:val="16"/>
        </w:rPr>
        <w:t>constrains</w:t>
      </w:r>
      <w:r w:rsidRPr="00D51CD9">
        <w:rPr>
          <w:rFonts w:ascii="Book Antiqua" w:hAnsi="Book Antiqua"/>
          <w:sz w:val="16"/>
          <w:szCs w:val="16"/>
        </w:rPr>
        <w:t xml:space="preserve"> banks</w:t>
      </w:r>
      <w:r w:rsidR="00EB39F0">
        <w:rPr>
          <w:rFonts w:ascii="Book Antiqua" w:hAnsi="Book Antiqua"/>
          <w:sz w:val="16"/>
          <w:szCs w:val="16"/>
        </w:rPr>
        <w:t>’ capacity</w:t>
      </w:r>
      <w:r w:rsidRPr="00D51CD9">
        <w:rPr>
          <w:rFonts w:ascii="Book Antiqua" w:hAnsi="Book Antiqua"/>
          <w:sz w:val="16"/>
          <w:szCs w:val="16"/>
        </w:rPr>
        <w:t xml:space="preserve"> to verify who is a safe borrower (</w:t>
      </w:r>
      <w:r w:rsidR="0043317D" w:rsidRPr="00D51CD9">
        <w:rPr>
          <w:rFonts w:ascii="Book Antiqua" w:hAnsi="Book Antiqua"/>
          <w:color w:val="0070C0"/>
          <w:sz w:val="16"/>
          <w:szCs w:val="16"/>
        </w:rPr>
        <w:t>Ozili, 2018</w:t>
      </w:r>
      <w:r w:rsidRPr="00D51CD9">
        <w:rPr>
          <w:rFonts w:ascii="Book Antiqua" w:hAnsi="Book Antiqua"/>
          <w:sz w:val="16"/>
          <w:szCs w:val="16"/>
        </w:rPr>
        <w:t>).</w:t>
      </w:r>
      <w:r w:rsidR="00AA709A" w:rsidRPr="00D51CD9">
        <w:rPr>
          <w:sz w:val="16"/>
          <w:szCs w:val="16"/>
        </w:rPr>
        <w:t xml:space="preserve"> </w:t>
      </w:r>
      <w:r w:rsidR="005C367E" w:rsidRPr="00D51CD9">
        <w:rPr>
          <w:rFonts w:ascii="Book Antiqua" w:hAnsi="Book Antiqua"/>
          <w:sz w:val="16"/>
          <w:szCs w:val="16"/>
        </w:rPr>
        <w:t>As modeled by</w:t>
      </w:r>
      <w:r w:rsidR="00AA709A" w:rsidRPr="00D51CD9">
        <w:rPr>
          <w:rFonts w:ascii="Book Antiqua" w:hAnsi="Book Antiqua"/>
          <w:sz w:val="16"/>
          <w:szCs w:val="16"/>
        </w:rPr>
        <w:t xml:space="preserve"> </w:t>
      </w:r>
      <w:r w:rsidR="00AA709A" w:rsidRPr="00D51CD9">
        <w:rPr>
          <w:rFonts w:ascii="Book Antiqua" w:hAnsi="Book Antiqua"/>
          <w:color w:val="0070C0"/>
          <w:sz w:val="16"/>
          <w:szCs w:val="16"/>
        </w:rPr>
        <w:t>Stiglitz and Weiss (1981)</w:t>
      </w:r>
      <w:r w:rsidR="00AA709A" w:rsidRPr="00D51CD9">
        <w:rPr>
          <w:rFonts w:ascii="Book Antiqua" w:hAnsi="Book Antiqua"/>
          <w:sz w:val="16"/>
          <w:szCs w:val="16"/>
        </w:rPr>
        <w:t>, this severe lack of verifiable data forces banks to rely on blunt screening devices like high collateral requirements to identify safe borrower types. When borrowers cannot provide such assets, banks are unable to distinguish between "safe" and "risky" projects, leading to a sorting effect where lower-risk borrowers are driven out, and credit is ultimately rationed.</w:t>
      </w:r>
      <w:r w:rsidRPr="00D51CD9">
        <w:rPr>
          <w:rFonts w:ascii="Book Antiqua" w:hAnsi="Book Antiqua"/>
          <w:sz w:val="16"/>
          <w:szCs w:val="16"/>
        </w:rPr>
        <w:t xml:space="preserve"> This structural friction forces banks to </w:t>
      </w:r>
      <w:r w:rsidR="00546072" w:rsidRPr="00D51CD9">
        <w:rPr>
          <w:rFonts w:ascii="Book Antiqua" w:hAnsi="Book Antiqua"/>
          <w:sz w:val="16"/>
          <w:szCs w:val="16"/>
        </w:rPr>
        <w:t>impose</w:t>
      </w:r>
      <w:r w:rsidRPr="00D51CD9">
        <w:rPr>
          <w:rFonts w:ascii="Book Antiqua" w:hAnsi="Book Antiqua"/>
          <w:sz w:val="16"/>
          <w:szCs w:val="16"/>
        </w:rPr>
        <w:t xml:space="preserve"> expensive collateral</w:t>
      </w:r>
      <w:r w:rsidR="00546072" w:rsidRPr="00D51CD9">
        <w:rPr>
          <w:rFonts w:ascii="Book Antiqua" w:hAnsi="Book Antiqua"/>
          <w:sz w:val="16"/>
          <w:szCs w:val="16"/>
        </w:rPr>
        <w:t xml:space="preserve"> requirements</w:t>
      </w:r>
      <w:r w:rsidR="00CD76E0" w:rsidRPr="00D51CD9">
        <w:rPr>
          <w:rFonts w:ascii="Book Antiqua" w:hAnsi="Book Antiqua"/>
          <w:sz w:val="16"/>
          <w:szCs w:val="16"/>
        </w:rPr>
        <w:t xml:space="preserve"> </w:t>
      </w:r>
      <w:r w:rsidRPr="00D51CD9">
        <w:rPr>
          <w:rFonts w:ascii="Book Antiqua" w:hAnsi="Book Antiqua"/>
          <w:sz w:val="16"/>
          <w:szCs w:val="16"/>
        </w:rPr>
        <w:t xml:space="preserve">and high interest rates, leaving millions of people unbanked and </w:t>
      </w:r>
      <w:r w:rsidR="00D43A65">
        <w:rPr>
          <w:rFonts w:ascii="Book Antiqua" w:hAnsi="Book Antiqua"/>
          <w:sz w:val="16"/>
          <w:szCs w:val="16"/>
        </w:rPr>
        <w:t xml:space="preserve">the </w:t>
      </w:r>
      <w:r w:rsidRPr="00D51CD9">
        <w:rPr>
          <w:rFonts w:ascii="Book Antiqua" w:hAnsi="Book Antiqua"/>
          <w:sz w:val="16"/>
          <w:szCs w:val="16"/>
        </w:rPr>
        <w:t>small</w:t>
      </w:r>
      <w:r w:rsidR="00830533" w:rsidRPr="00D51CD9">
        <w:rPr>
          <w:rFonts w:ascii="Book Antiqua" w:hAnsi="Book Antiqua"/>
          <w:sz w:val="16"/>
          <w:szCs w:val="16"/>
        </w:rPr>
        <w:t>-</w:t>
      </w:r>
      <w:r w:rsidR="009F29C2" w:rsidRPr="00D51CD9">
        <w:rPr>
          <w:rFonts w:ascii="Book Antiqua" w:hAnsi="Book Antiqua"/>
          <w:sz w:val="16"/>
          <w:szCs w:val="16"/>
        </w:rPr>
        <w:t>medium</w:t>
      </w:r>
      <w:r w:rsidR="00CD76E0" w:rsidRPr="00D51CD9">
        <w:rPr>
          <w:rFonts w:ascii="Book Antiqua" w:hAnsi="Book Antiqua"/>
          <w:sz w:val="16"/>
          <w:szCs w:val="16"/>
        </w:rPr>
        <w:t xml:space="preserve"> </w:t>
      </w:r>
      <w:r w:rsidR="009F29C2" w:rsidRPr="00D51CD9">
        <w:rPr>
          <w:rFonts w:ascii="Book Antiqua" w:hAnsi="Book Antiqua"/>
          <w:sz w:val="16"/>
          <w:szCs w:val="16"/>
        </w:rPr>
        <w:t>enterprises (SMEs)</w:t>
      </w:r>
      <w:r w:rsidRPr="00D51CD9">
        <w:rPr>
          <w:rFonts w:ascii="Book Antiqua" w:hAnsi="Book Antiqua"/>
          <w:sz w:val="16"/>
          <w:szCs w:val="16"/>
        </w:rPr>
        <w:t xml:space="preserve"> capital</w:t>
      </w:r>
      <w:r w:rsidR="00B648FF" w:rsidRPr="00D51CD9">
        <w:rPr>
          <w:rFonts w:ascii="Book Antiqua" w:hAnsi="Book Antiqua"/>
          <w:sz w:val="16"/>
          <w:szCs w:val="16"/>
        </w:rPr>
        <w:t>-starved</w:t>
      </w:r>
      <w:r w:rsidRPr="00D51CD9">
        <w:rPr>
          <w:rFonts w:ascii="Book Antiqua" w:hAnsi="Book Antiqua"/>
          <w:sz w:val="16"/>
          <w:szCs w:val="16"/>
        </w:rPr>
        <w:t xml:space="preserve"> (</w:t>
      </w:r>
      <w:r w:rsidR="009D4002" w:rsidRPr="00D51CD9">
        <w:rPr>
          <w:rFonts w:ascii="Book Antiqua" w:hAnsi="Book Antiqua"/>
          <w:color w:val="0070C0"/>
          <w:sz w:val="16"/>
          <w:szCs w:val="16"/>
        </w:rPr>
        <w:t xml:space="preserve">Allen </w:t>
      </w:r>
      <w:r w:rsidR="009D4002" w:rsidRPr="00D51CD9">
        <w:rPr>
          <w:rFonts w:ascii="Book Antiqua" w:hAnsi="Book Antiqua"/>
          <w:i/>
          <w:iCs/>
          <w:color w:val="0070C0"/>
          <w:sz w:val="16"/>
          <w:szCs w:val="16"/>
        </w:rPr>
        <w:t xml:space="preserve">et al., </w:t>
      </w:r>
      <w:r w:rsidR="009D4002" w:rsidRPr="00D51CD9">
        <w:rPr>
          <w:rFonts w:ascii="Book Antiqua" w:hAnsi="Book Antiqua"/>
          <w:color w:val="0070C0"/>
          <w:sz w:val="16"/>
          <w:szCs w:val="16"/>
        </w:rPr>
        <w:t>2016</w:t>
      </w:r>
      <w:r w:rsidRPr="00D51CD9">
        <w:rPr>
          <w:rFonts w:ascii="Book Antiqua" w:hAnsi="Book Antiqua"/>
          <w:sz w:val="16"/>
          <w:szCs w:val="16"/>
        </w:rPr>
        <w:t>).</w:t>
      </w:r>
    </w:p>
    <w:p w14:paraId="20935A23" w14:textId="3FB70583" w:rsidR="007C6FFE" w:rsidRPr="00D51CD9" w:rsidRDefault="00162960" w:rsidP="004005B1">
      <w:pPr>
        <w:spacing w:after="120" w:line="240" w:lineRule="auto"/>
        <w:jc w:val="both"/>
        <w:rPr>
          <w:rFonts w:ascii="Book Antiqua" w:hAnsi="Book Antiqua"/>
          <w:sz w:val="16"/>
          <w:szCs w:val="16"/>
        </w:rPr>
      </w:pPr>
      <w:r>
        <w:rPr>
          <w:rFonts w:ascii="Book Antiqua" w:hAnsi="Book Antiqua"/>
          <w:sz w:val="16"/>
          <w:szCs w:val="16"/>
        </w:rPr>
        <w:t xml:space="preserve">The </w:t>
      </w:r>
      <w:r w:rsidR="0039727F">
        <w:rPr>
          <w:rFonts w:ascii="Book Antiqua" w:hAnsi="Book Antiqua"/>
          <w:sz w:val="16"/>
          <w:szCs w:val="16"/>
        </w:rPr>
        <w:t>f</w:t>
      </w:r>
      <w:r w:rsidR="007C6FFE" w:rsidRPr="00D51CD9">
        <w:rPr>
          <w:rFonts w:ascii="Book Antiqua" w:hAnsi="Book Antiqua"/>
          <w:sz w:val="16"/>
          <w:szCs w:val="16"/>
        </w:rPr>
        <w:t>intech</w:t>
      </w:r>
      <w:r w:rsidR="003732BC" w:rsidRPr="00D51CD9">
        <w:rPr>
          <w:rFonts w:ascii="Book Antiqua" w:hAnsi="Book Antiqua"/>
          <w:sz w:val="16"/>
          <w:szCs w:val="16"/>
        </w:rPr>
        <w:t xml:space="preserve"> sector</w:t>
      </w:r>
      <w:r w:rsidR="007C6FFE" w:rsidRPr="00D51CD9">
        <w:rPr>
          <w:rFonts w:ascii="Book Antiqua" w:hAnsi="Book Antiqua"/>
          <w:sz w:val="16"/>
          <w:szCs w:val="16"/>
        </w:rPr>
        <w:t xml:space="preserve"> introduces </w:t>
      </w:r>
      <w:r w:rsidR="0039727F">
        <w:rPr>
          <w:rFonts w:ascii="Book Antiqua" w:hAnsi="Book Antiqua"/>
          <w:sz w:val="16"/>
          <w:szCs w:val="16"/>
        </w:rPr>
        <w:t>a</w:t>
      </w:r>
      <w:r w:rsidR="007C6FFE" w:rsidRPr="00D51CD9">
        <w:rPr>
          <w:rFonts w:ascii="Book Antiqua" w:hAnsi="Book Antiqua"/>
          <w:sz w:val="16"/>
          <w:szCs w:val="16"/>
        </w:rPr>
        <w:t xml:space="preserve"> "leapfrogging" dynamic </w:t>
      </w:r>
      <w:r w:rsidR="003732BC" w:rsidRPr="00D51CD9">
        <w:rPr>
          <w:rFonts w:ascii="Book Antiqua" w:hAnsi="Book Antiqua"/>
          <w:sz w:val="16"/>
          <w:szCs w:val="16"/>
        </w:rPr>
        <w:t xml:space="preserve">which </w:t>
      </w:r>
      <w:r w:rsidR="00E0420F" w:rsidRPr="00D51CD9">
        <w:rPr>
          <w:rFonts w:ascii="Book Antiqua" w:hAnsi="Book Antiqua"/>
          <w:sz w:val="16"/>
          <w:szCs w:val="16"/>
        </w:rPr>
        <w:t>restructures</w:t>
      </w:r>
      <w:r w:rsidR="007C6FFE" w:rsidRPr="00D51CD9">
        <w:rPr>
          <w:rFonts w:ascii="Book Antiqua" w:hAnsi="Book Antiqua"/>
          <w:sz w:val="16"/>
          <w:szCs w:val="16"/>
        </w:rPr>
        <w:t xml:space="preserve"> the cost </w:t>
      </w:r>
      <w:r w:rsidR="00A50B11" w:rsidRPr="00D51CD9">
        <w:rPr>
          <w:rFonts w:ascii="Book Antiqua" w:hAnsi="Book Antiqua"/>
          <w:sz w:val="16"/>
          <w:szCs w:val="16"/>
        </w:rPr>
        <w:t>econom</w:t>
      </w:r>
      <w:r w:rsidR="00E0420F" w:rsidRPr="00D51CD9">
        <w:rPr>
          <w:rFonts w:ascii="Book Antiqua" w:hAnsi="Book Antiqua"/>
          <w:sz w:val="16"/>
          <w:szCs w:val="16"/>
        </w:rPr>
        <w:t>ies</w:t>
      </w:r>
      <w:r w:rsidR="007C6FFE" w:rsidRPr="00D51CD9">
        <w:rPr>
          <w:rFonts w:ascii="Book Antiqua" w:hAnsi="Book Antiqua"/>
          <w:sz w:val="16"/>
          <w:szCs w:val="16"/>
        </w:rPr>
        <w:t xml:space="preserve"> of financial services</w:t>
      </w:r>
      <w:r w:rsidR="00E0420F" w:rsidRPr="00D51CD9">
        <w:rPr>
          <w:rFonts w:ascii="Book Antiqua" w:hAnsi="Book Antiqua"/>
          <w:sz w:val="16"/>
          <w:szCs w:val="16"/>
        </w:rPr>
        <w:t>.</w:t>
      </w:r>
      <w:r w:rsidR="00D15181" w:rsidRPr="00D51CD9">
        <w:rPr>
          <w:rFonts w:ascii="Book Antiqua" w:hAnsi="Book Antiqua"/>
          <w:sz w:val="16"/>
          <w:szCs w:val="16"/>
        </w:rPr>
        <w:t xml:space="preserve"> </w:t>
      </w:r>
      <w:r w:rsidR="00E0420F" w:rsidRPr="00D51CD9">
        <w:rPr>
          <w:rFonts w:ascii="Book Antiqua" w:hAnsi="Book Antiqua"/>
          <w:sz w:val="16"/>
          <w:szCs w:val="16"/>
        </w:rPr>
        <w:t>B</w:t>
      </w:r>
      <w:r w:rsidR="007C6FFE" w:rsidRPr="00D51CD9">
        <w:rPr>
          <w:rFonts w:ascii="Book Antiqua" w:hAnsi="Book Antiqua"/>
          <w:sz w:val="16"/>
          <w:szCs w:val="16"/>
        </w:rPr>
        <w:t xml:space="preserve">y leveraging widespread mobile phone penetration, </w:t>
      </w:r>
      <w:r w:rsidR="00122AE4" w:rsidRPr="00D51CD9">
        <w:rPr>
          <w:rFonts w:ascii="Book Antiqua" w:hAnsi="Book Antiqua"/>
          <w:sz w:val="16"/>
          <w:szCs w:val="16"/>
        </w:rPr>
        <w:t xml:space="preserve">cloud computing </w:t>
      </w:r>
      <w:r w:rsidR="007C6FFE" w:rsidRPr="00D51CD9">
        <w:rPr>
          <w:rFonts w:ascii="Book Antiqua" w:hAnsi="Book Antiqua"/>
          <w:sz w:val="16"/>
          <w:szCs w:val="16"/>
        </w:rPr>
        <w:t>and open application programming interfaces (APIs),</w:t>
      </w:r>
      <w:r w:rsidR="008E118B" w:rsidRPr="00D51CD9">
        <w:rPr>
          <w:rFonts w:ascii="Book Antiqua" w:hAnsi="Book Antiqua"/>
          <w:sz w:val="16"/>
          <w:szCs w:val="16"/>
        </w:rPr>
        <w:t xml:space="preserve"> digital platforms</w:t>
      </w:r>
      <w:r w:rsidR="007C6FFE" w:rsidRPr="00D51CD9">
        <w:rPr>
          <w:rFonts w:ascii="Book Antiqua" w:hAnsi="Book Antiqua"/>
          <w:sz w:val="16"/>
          <w:szCs w:val="16"/>
        </w:rPr>
        <w:t xml:space="preserve"> reduc</w:t>
      </w:r>
      <w:r w:rsidR="008E118B" w:rsidRPr="00D51CD9">
        <w:rPr>
          <w:rFonts w:ascii="Book Antiqua" w:hAnsi="Book Antiqua"/>
          <w:sz w:val="16"/>
          <w:szCs w:val="16"/>
        </w:rPr>
        <w:t>e</w:t>
      </w:r>
      <w:r w:rsidR="007C6FFE" w:rsidRPr="00D51CD9">
        <w:rPr>
          <w:rFonts w:ascii="Book Antiqua" w:hAnsi="Book Antiqua"/>
          <w:sz w:val="16"/>
          <w:szCs w:val="16"/>
        </w:rPr>
        <w:t xml:space="preserve"> the marginal transaction cost to near zero</w:t>
      </w:r>
      <w:r w:rsidR="00F31497" w:rsidRPr="00D51CD9">
        <w:rPr>
          <w:rFonts w:ascii="Book Antiqua" w:hAnsi="Book Antiqua"/>
          <w:sz w:val="16"/>
          <w:szCs w:val="16"/>
        </w:rPr>
        <w:t xml:space="preserve"> (</w:t>
      </w:r>
      <w:r w:rsidR="00424C65" w:rsidRPr="00D51CD9">
        <w:rPr>
          <w:rFonts w:ascii="Book Antiqua" w:hAnsi="Book Antiqua"/>
          <w:color w:val="0070C0"/>
          <w:sz w:val="16"/>
          <w:szCs w:val="16"/>
        </w:rPr>
        <w:t xml:space="preserve">Berg </w:t>
      </w:r>
      <w:r w:rsidR="00424C65" w:rsidRPr="00D51CD9">
        <w:rPr>
          <w:rFonts w:ascii="Book Antiqua" w:hAnsi="Book Antiqua"/>
          <w:i/>
          <w:iCs/>
          <w:color w:val="0070C0"/>
          <w:sz w:val="16"/>
          <w:szCs w:val="16"/>
        </w:rPr>
        <w:t xml:space="preserve">et al., </w:t>
      </w:r>
      <w:r w:rsidR="00424C65" w:rsidRPr="00D51CD9">
        <w:rPr>
          <w:rFonts w:ascii="Book Antiqua" w:hAnsi="Book Antiqua"/>
          <w:color w:val="0070C0"/>
          <w:sz w:val="16"/>
          <w:szCs w:val="16"/>
        </w:rPr>
        <w:t>2022</w:t>
      </w:r>
      <w:r w:rsidR="00424C65" w:rsidRPr="00D51CD9">
        <w:rPr>
          <w:rFonts w:ascii="Book Antiqua" w:hAnsi="Book Antiqua"/>
          <w:sz w:val="16"/>
          <w:szCs w:val="16"/>
        </w:rPr>
        <w:t>)</w:t>
      </w:r>
      <w:r w:rsidR="007C6FFE" w:rsidRPr="00D51CD9">
        <w:rPr>
          <w:rFonts w:ascii="Book Antiqua" w:hAnsi="Book Antiqua"/>
          <w:sz w:val="16"/>
          <w:szCs w:val="16"/>
        </w:rPr>
        <w:t xml:space="preserve">. </w:t>
      </w:r>
      <w:r w:rsidR="006758B9" w:rsidRPr="00D51CD9">
        <w:rPr>
          <w:rFonts w:ascii="Book Antiqua" w:hAnsi="Book Antiqua"/>
          <w:sz w:val="16"/>
          <w:szCs w:val="16"/>
        </w:rPr>
        <w:t xml:space="preserve">This structural shift successfully expands the production frontier of financial intermediation, enabling the digital onboarding and integration of millions of historically excluded individuals without necessitating physical bank infrastructure </w:t>
      </w:r>
      <w:r w:rsidR="00A91445" w:rsidRPr="00D51CD9">
        <w:rPr>
          <w:rFonts w:ascii="Book Antiqua" w:hAnsi="Book Antiqua"/>
          <w:sz w:val="16"/>
          <w:szCs w:val="16"/>
        </w:rPr>
        <w:t>(</w:t>
      </w:r>
      <w:r w:rsidR="00A91445" w:rsidRPr="00D51CD9">
        <w:rPr>
          <w:rFonts w:ascii="Book Antiqua" w:hAnsi="Book Antiqua"/>
          <w:color w:val="0070C0"/>
          <w:sz w:val="16"/>
          <w:szCs w:val="16"/>
        </w:rPr>
        <w:t>Ozili, 2018</w:t>
      </w:r>
      <w:r w:rsidR="00A91445" w:rsidRPr="00D51CD9">
        <w:rPr>
          <w:rFonts w:ascii="Book Antiqua" w:hAnsi="Book Antiqua"/>
          <w:sz w:val="16"/>
          <w:szCs w:val="16"/>
        </w:rPr>
        <w:t>)</w:t>
      </w:r>
      <w:r w:rsidR="007C6FFE" w:rsidRPr="00D51CD9">
        <w:rPr>
          <w:rFonts w:ascii="Book Antiqua" w:hAnsi="Book Antiqua"/>
          <w:sz w:val="16"/>
          <w:szCs w:val="16"/>
        </w:rPr>
        <w:t>.</w:t>
      </w:r>
    </w:p>
    <w:p w14:paraId="4FF5C47C" w14:textId="7BE3608D" w:rsidR="007C6FFE" w:rsidRPr="008A1352" w:rsidRDefault="00575D0D" w:rsidP="004005B1">
      <w:pPr>
        <w:keepNext/>
        <w:spacing w:before="240" w:after="80" w:line="240" w:lineRule="auto"/>
        <w:jc w:val="both"/>
        <w:rPr>
          <w:rFonts w:ascii="Book Antiqua" w:hAnsi="Book Antiqua"/>
          <w:color w:val="auto"/>
          <w:sz w:val="16"/>
          <w:szCs w:val="16"/>
        </w:rPr>
      </w:pPr>
      <w:r w:rsidRPr="008A1352">
        <w:rPr>
          <w:rFonts w:ascii="Book Antiqua" w:hAnsi="Book Antiqua"/>
          <w:b/>
          <w:color w:val="auto"/>
          <w:sz w:val="16"/>
          <w:szCs w:val="16"/>
        </w:rPr>
        <w:t xml:space="preserve">3.3 </w:t>
      </w:r>
      <w:r w:rsidR="007C6FFE" w:rsidRPr="008A1352">
        <w:rPr>
          <w:rFonts w:ascii="Book Antiqua" w:hAnsi="Book Antiqua"/>
          <w:b/>
          <w:color w:val="auto"/>
          <w:sz w:val="16"/>
          <w:szCs w:val="16"/>
        </w:rPr>
        <w:t>The Macroeconomic Transmission Channels of Digital Finance</w:t>
      </w:r>
    </w:p>
    <w:p w14:paraId="6BFAE3CA" w14:textId="3DE96E1A" w:rsidR="009A6A51" w:rsidRPr="00D51CD9" w:rsidRDefault="009A6A51"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To analyze how digital leapfrogging restructures the financial system, we must critically examine the specific macroeconomic transmission channels through which digital liquidity moves. </w:t>
      </w:r>
      <w:r w:rsidR="00EE5C5A" w:rsidRPr="00D51CD9">
        <w:rPr>
          <w:rFonts w:ascii="Book Antiqua" w:hAnsi="Book Antiqua"/>
          <w:sz w:val="16"/>
          <w:szCs w:val="16"/>
        </w:rPr>
        <w:t xml:space="preserve">A foundational theoretical foundation is provided by the neoclassical quantity theory of money and its underlying transaction framework </w:t>
      </w:r>
      <w:r w:rsidRPr="00D51CD9">
        <w:rPr>
          <w:rFonts w:ascii="Book Antiqua" w:hAnsi="Book Antiqua"/>
          <w:sz w:val="16"/>
          <w:szCs w:val="16"/>
        </w:rPr>
        <w:t>(</w:t>
      </w:r>
      <w:r w:rsidRPr="00D51CD9">
        <w:rPr>
          <w:rFonts w:ascii="Book Antiqua" w:hAnsi="Book Antiqua"/>
          <w:color w:val="0070C0"/>
          <w:sz w:val="16"/>
          <w:szCs w:val="16"/>
        </w:rPr>
        <w:t>Friedman, 1970</w:t>
      </w:r>
      <w:r w:rsidRPr="00D51CD9">
        <w:rPr>
          <w:rFonts w:ascii="Book Antiqua" w:hAnsi="Book Antiqua"/>
          <w:sz w:val="16"/>
          <w:szCs w:val="16"/>
        </w:rPr>
        <w:t>)</w:t>
      </w:r>
      <w:r w:rsidR="00C31175" w:rsidRPr="00D51CD9">
        <w:rPr>
          <w:rFonts w:ascii="Book Antiqua" w:hAnsi="Book Antiqua"/>
          <w:sz w:val="16"/>
          <w:szCs w:val="16"/>
        </w:rPr>
        <w:t xml:space="preserve">. This relationship can be expressed through the classical exchange </w:t>
      </w:r>
      <w:r w:rsidR="003717E1" w:rsidRPr="00D51CD9">
        <w:rPr>
          <w:rFonts w:ascii="Book Antiqua" w:hAnsi="Book Antiqua"/>
          <w:sz w:val="16"/>
          <w:szCs w:val="16"/>
        </w:rPr>
        <w:t>formula</w:t>
      </w:r>
      <w:r w:rsidR="00C31175" w:rsidRPr="00D51CD9">
        <w:rPr>
          <w:rFonts w:ascii="Book Antiqua" w:hAnsi="Book Antiqua"/>
          <w:sz w:val="16"/>
          <w:szCs w:val="16"/>
        </w:rPr>
        <w:t>:</w:t>
      </w:r>
    </w:p>
    <w:p w14:paraId="7446FB4E" w14:textId="7DA89BF6" w:rsidR="00875735" w:rsidRPr="008A1352" w:rsidRDefault="007C6FFE" w:rsidP="004005B1">
      <w:pPr>
        <w:spacing w:after="120" w:line="240" w:lineRule="auto"/>
        <w:ind w:left="1440" w:firstLine="720"/>
        <w:rPr>
          <w:rFonts w:ascii="Book Antiqua" w:hAnsi="Book Antiqua"/>
          <w:b/>
          <w:bCs/>
          <w:sz w:val="18"/>
          <w:szCs w:val="18"/>
        </w:rPr>
      </w:pPr>
      <w:r w:rsidRPr="008A1352">
        <w:rPr>
          <w:rFonts w:ascii="Book Antiqua" w:hAnsi="Book Antiqua"/>
          <w:b/>
          <w:bCs/>
          <w:sz w:val="18"/>
          <w:szCs w:val="18"/>
        </w:rPr>
        <w:t xml:space="preserve">M </w:t>
      </w:r>
      <w:r w:rsidR="003717E1" w:rsidRPr="008A1352">
        <w:rPr>
          <w:rFonts w:ascii="Book Antiqua" w:hAnsi="Book Antiqua"/>
          <w:b/>
          <w:bCs/>
          <w:sz w:val="18"/>
          <w:szCs w:val="18"/>
        </w:rPr>
        <w:t>x</w:t>
      </w:r>
      <w:r w:rsidRPr="008A1352">
        <w:rPr>
          <w:rFonts w:ascii="Book Antiqua" w:hAnsi="Book Antiqua"/>
          <w:b/>
          <w:bCs/>
          <w:sz w:val="18"/>
          <w:szCs w:val="18"/>
        </w:rPr>
        <w:t xml:space="preserve"> V</w:t>
      </w:r>
      <w:r w:rsidR="003824C4" w:rsidRPr="008A1352">
        <w:rPr>
          <w:rFonts w:ascii="Book Antiqua" w:hAnsi="Book Antiqua"/>
          <w:b/>
          <w:bCs/>
          <w:sz w:val="18"/>
          <w:szCs w:val="18"/>
        </w:rPr>
        <w:t>(T)</w:t>
      </w:r>
      <w:r w:rsidRPr="008A1352">
        <w:rPr>
          <w:rFonts w:ascii="Book Antiqua" w:hAnsi="Book Antiqua"/>
          <w:b/>
          <w:bCs/>
          <w:sz w:val="18"/>
          <w:szCs w:val="18"/>
        </w:rPr>
        <w:t xml:space="preserve"> = P </w:t>
      </w:r>
      <w:r w:rsidR="003717E1" w:rsidRPr="008A1352">
        <w:rPr>
          <w:rFonts w:ascii="Book Antiqua" w:hAnsi="Book Antiqua"/>
          <w:b/>
          <w:bCs/>
          <w:sz w:val="18"/>
          <w:szCs w:val="18"/>
        </w:rPr>
        <w:t xml:space="preserve">x </w:t>
      </w:r>
      <w:r w:rsidRPr="008A1352">
        <w:rPr>
          <w:rFonts w:ascii="Book Antiqua" w:hAnsi="Book Antiqua"/>
          <w:b/>
          <w:bCs/>
          <w:sz w:val="18"/>
          <w:szCs w:val="18"/>
        </w:rPr>
        <w:t>Y</w:t>
      </w:r>
    </w:p>
    <w:p w14:paraId="6813BF5A" w14:textId="77777777" w:rsidR="008A1352" w:rsidRDefault="008A1352" w:rsidP="004005B1">
      <w:pPr>
        <w:spacing w:after="120" w:line="240" w:lineRule="auto"/>
        <w:jc w:val="both"/>
        <w:rPr>
          <w:rFonts w:ascii="Book Antiqua" w:hAnsi="Book Antiqua"/>
          <w:sz w:val="16"/>
          <w:szCs w:val="16"/>
        </w:rPr>
      </w:pPr>
    </w:p>
    <w:p w14:paraId="7EBA92A7" w14:textId="54309D6A" w:rsidR="003E5F0B" w:rsidRPr="00D51CD9" w:rsidRDefault="003E5F0B" w:rsidP="004005B1">
      <w:pPr>
        <w:spacing w:after="120" w:line="240" w:lineRule="auto"/>
        <w:jc w:val="both"/>
        <w:rPr>
          <w:rFonts w:ascii="Book Antiqua" w:hAnsi="Book Antiqua"/>
          <w:sz w:val="16"/>
          <w:szCs w:val="16"/>
        </w:rPr>
      </w:pPr>
      <w:r w:rsidRPr="00D51CD9">
        <w:rPr>
          <w:rFonts w:ascii="Book Antiqua" w:hAnsi="Book Antiqua"/>
          <w:sz w:val="16"/>
          <w:szCs w:val="16"/>
        </w:rPr>
        <w:lastRenderedPageBreak/>
        <w:t>In this equation:</w:t>
      </w:r>
    </w:p>
    <w:p w14:paraId="61827BFB" w14:textId="3418AEB6" w:rsidR="003E5F0B" w:rsidRPr="00D51CD9"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M</w:t>
      </w:r>
      <w:r w:rsidR="0076373C" w:rsidRPr="00D51CD9">
        <w:rPr>
          <w:rFonts w:ascii="Book Antiqua" w:hAnsi="Book Antiqua"/>
          <w:sz w:val="16"/>
          <w:szCs w:val="16"/>
        </w:rPr>
        <w:t xml:space="preserve"> = </w:t>
      </w:r>
      <w:r w:rsidR="00A41FC0" w:rsidRPr="00D51CD9">
        <w:rPr>
          <w:rFonts w:ascii="Book Antiqua" w:hAnsi="Book Antiqua"/>
          <w:sz w:val="16"/>
          <w:szCs w:val="16"/>
        </w:rPr>
        <w:t>T</w:t>
      </w:r>
      <w:r w:rsidRPr="00D51CD9">
        <w:rPr>
          <w:rFonts w:ascii="Book Antiqua" w:hAnsi="Book Antiqua"/>
          <w:sz w:val="16"/>
          <w:szCs w:val="16"/>
        </w:rPr>
        <w:t xml:space="preserve">he </w:t>
      </w:r>
      <w:r w:rsidR="00A41FC0" w:rsidRPr="00D51CD9">
        <w:rPr>
          <w:rFonts w:ascii="Book Antiqua" w:hAnsi="Book Antiqua"/>
          <w:sz w:val="16"/>
          <w:szCs w:val="16"/>
        </w:rPr>
        <w:t>money supply</w:t>
      </w:r>
      <w:r w:rsidR="006A3130" w:rsidRPr="00D51CD9">
        <w:rPr>
          <w:rFonts w:ascii="Book Antiqua" w:hAnsi="Book Antiqua"/>
          <w:sz w:val="16"/>
          <w:szCs w:val="16"/>
        </w:rPr>
        <w:t xml:space="preserve"> </w:t>
      </w:r>
      <w:r w:rsidR="003E5F0B" w:rsidRPr="00D51CD9">
        <w:rPr>
          <w:rFonts w:ascii="Book Antiqua" w:hAnsi="Book Antiqua"/>
          <w:sz w:val="16"/>
          <w:szCs w:val="16"/>
        </w:rPr>
        <w:t>in the economy</w:t>
      </w:r>
      <w:r w:rsidRPr="00D51CD9">
        <w:rPr>
          <w:rFonts w:ascii="Book Antiqua" w:hAnsi="Book Antiqua"/>
          <w:sz w:val="16"/>
          <w:szCs w:val="16"/>
        </w:rPr>
        <w:t xml:space="preserve">, </w:t>
      </w:r>
    </w:p>
    <w:p w14:paraId="659ABDD7" w14:textId="1456645E" w:rsidR="005E6C3E" w:rsidRPr="00D51CD9"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V</w:t>
      </w:r>
      <w:r w:rsidR="00C20272" w:rsidRPr="00D51CD9">
        <w:rPr>
          <w:rFonts w:ascii="Book Antiqua" w:hAnsi="Book Antiqua"/>
          <w:sz w:val="16"/>
          <w:szCs w:val="16"/>
        </w:rPr>
        <w:t>(T)</w:t>
      </w:r>
      <w:r w:rsidR="00A41FC0" w:rsidRPr="00D51CD9">
        <w:rPr>
          <w:rFonts w:ascii="Book Antiqua" w:hAnsi="Book Antiqua"/>
          <w:sz w:val="16"/>
          <w:szCs w:val="16"/>
        </w:rPr>
        <w:t xml:space="preserve"> = The </w:t>
      </w:r>
      <w:r w:rsidR="00090D32" w:rsidRPr="00D51CD9">
        <w:rPr>
          <w:rFonts w:ascii="Book Antiqua" w:hAnsi="Book Antiqua"/>
          <w:sz w:val="16"/>
          <w:szCs w:val="16"/>
        </w:rPr>
        <w:t xml:space="preserve">transactional </w:t>
      </w:r>
      <w:r w:rsidRPr="00D51CD9">
        <w:rPr>
          <w:rFonts w:ascii="Book Antiqua" w:hAnsi="Book Antiqua"/>
          <w:sz w:val="16"/>
          <w:szCs w:val="16"/>
        </w:rPr>
        <w:t>income velocity</w:t>
      </w:r>
      <w:r w:rsidR="005E6C3E" w:rsidRPr="00D51CD9">
        <w:rPr>
          <w:rFonts w:ascii="Book Antiqua" w:hAnsi="Book Antiqua"/>
          <w:sz w:val="16"/>
          <w:szCs w:val="16"/>
        </w:rPr>
        <w:t xml:space="preserve">, </w:t>
      </w:r>
    </w:p>
    <w:p w14:paraId="52160654" w14:textId="04C72CA5" w:rsidR="00491CD2" w:rsidRPr="00D51CD9"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 xml:space="preserve">P </w:t>
      </w:r>
      <w:r w:rsidR="00A41FC0" w:rsidRPr="00D51CD9">
        <w:rPr>
          <w:rFonts w:ascii="Book Antiqua" w:hAnsi="Book Antiqua"/>
          <w:sz w:val="16"/>
          <w:szCs w:val="16"/>
        </w:rPr>
        <w:t>= Th</w:t>
      </w:r>
      <w:r w:rsidRPr="00D51CD9">
        <w:rPr>
          <w:rFonts w:ascii="Book Antiqua" w:hAnsi="Book Antiqua"/>
          <w:sz w:val="16"/>
          <w:szCs w:val="16"/>
        </w:rPr>
        <w:t xml:space="preserve">e price </w:t>
      </w:r>
      <w:r w:rsidR="003750AD" w:rsidRPr="00D51CD9">
        <w:rPr>
          <w:rFonts w:ascii="Book Antiqua" w:hAnsi="Book Antiqua"/>
          <w:sz w:val="16"/>
          <w:szCs w:val="16"/>
        </w:rPr>
        <w:t>of goods</w:t>
      </w:r>
      <w:r w:rsidR="00491CD2" w:rsidRPr="00D51CD9">
        <w:rPr>
          <w:rFonts w:ascii="Book Antiqua" w:hAnsi="Book Antiqua"/>
          <w:sz w:val="16"/>
          <w:szCs w:val="16"/>
        </w:rPr>
        <w:t>, and</w:t>
      </w:r>
      <w:r w:rsidRPr="00D51CD9">
        <w:rPr>
          <w:rFonts w:ascii="Book Antiqua" w:hAnsi="Book Antiqua"/>
          <w:sz w:val="16"/>
          <w:szCs w:val="16"/>
        </w:rPr>
        <w:t xml:space="preserve"> </w:t>
      </w:r>
    </w:p>
    <w:p w14:paraId="227FA5BC" w14:textId="1AF01C91" w:rsidR="007C6FFE"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 xml:space="preserve">Y </w:t>
      </w:r>
      <w:r w:rsidR="00A41FC0" w:rsidRPr="00D51CD9">
        <w:rPr>
          <w:rFonts w:ascii="Book Antiqua" w:hAnsi="Book Antiqua"/>
          <w:sz w:val="16"/>
          <w:szCs w:val="16"/>
        </w:rPr>
        <w:t>= T</w:t>
      </w:r>
      <w:r w:rsidR="00491CD2" w:rsidRPr="00D51CD9">
        <w:rPr>
          <w:rFonts w:ascii="Book Antiqua" w:hAnsi="Book Antiqua"/>
          <w:sz w:val="16"/>
          <w:szCs w:val="16"/>
        </w:rPr>
        <w:t>he actual economic production.</w:t>
      </w:r>
    </w:p>
    <w:p w14:paraId="6C7B264E" w14:textId="77777777" w:rsidR="009C07B5" w:rsidRPr="00D51CD9" w:rsidRDefault="009C07B5" w:rsidP="009C07B5">
      <w:pPr>
        <w:spacing w:after="0" w:line="240" w:lineRule="auto"/>
        <w:ind w:firstLine="720"/>
        <w:jc w:val="both"/>
        <w:rPr>
          <w:rFonts w:ascii="Book Antiqua" w:hAnsi="Book Antiqua"/>
          <w:sz w:val="16"/>
          <w:szCs w:val="16"/>
        </w:rPr>
      </w:pPr>
    </w:p>
    <w:p w14:paraId="5B26AFF2" w14:textId="77777777" w:rsidR="00A71CAB" w:rsidRPr="00D51CD9" w:rsidRDefault="001D2B3C"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Within </w:t>
      </w:r>
      <w:r w:rsidR="00BD5873" w:rsidRPr="00D51CD9">
        <w:rPr>
          <w:rFonts w:ascii="Book Antiqua" w:hAnsi="Book Antiqua"/>
          <w:sz w:val="16"/>
          <w:szCs w:val="16"/>
        </w:rPr>
        <w:t>this framework, the introduction of digital payment platforms acts as an operational shock that accelerates the transactional velocity of money, V(T) (</w:t>
      </w:r>
      <w:r w:rsidR="00BD5873" w:rsidRPr="00D51CD9">
        <w:rPr>
          <w:rFonts w:ascii="Book Antiqua" w:hAnsi="Book Antiqua"/>
          <w:color w:val="0070C0"/>
          <w:sz w:val="16"/>
          <w:szCs w:val="16"/>
        </w:rPr>
        <w:t xml:space="preserve">Ocansey </w:t>
      </w:r>
      <w:r w:rsidR="00BD5873" w:rsidRPr="00D51CD9">
        <w:rPr>
          <w:rFonts w:ascii="Book Antiqua" w:hAnsi="Book Antiqua"/>
          <w:i/>
          <w:iCs/>
          <w:color w:val="0070C0"/>
          <w:sz w:val="16"/>
          <w:szCs w:val="16"/>
        </w:rPr>
        <w:t>et al.,</w:t>
      </w:r>
      <w:r w:rsidR="00BD5873" w:rsidRPr="00D51CD9">
        <w:rPr>
          <w:rFonts w:ascii="Book Antiqua" w:hAnsi="Book Antiqua"/>
          <w:color w:val="0070C0"/>
          <w:sz w:val="16"/>
          <w:szCs w:val="16"/>
        </w:rPr>
        <w:t xml:space="preserve"> 2024</w:t>
      </w:r>
      <w:r w:rsidR="00BD5873" w:rsidRPr="00D51CD9">
        <w:rPr>
          <w:rFonts w:ascii="Book Antiqua" w:hAnsi="Book Antiqua"/>
          <w:sz w:val="16"/>
          <w:szCs w:val="16"/>
        </w:rPr>
        <w:t xml:space="preserve">). </w:t>
      </w:r>
      <w:r w:rsidR="00A71CAB" w:rsidRPr="00D51CD9">
        <w:rPr>
          <w:rFonts w:ascii="Book Antiqua" w:hAnsi="Book Antiqua"/>
          <w:sz w:val="16"/>
          <w:szCs w:val="16"/>
        </w:rPr>
        <w:t>Fintech platforms streamline monetary circulation by eliminating physical cash dependencies, minimizing settlement friction, and enabling instantaneous peer-to-peer and merchant payments (</w:t>
      </w:r>
      <w:r w:rsidR="00A71CAB" w:rsidRPr="00D51CD9">
        <w:rPr>
          <w:rFonts w:ascii="Book Antiqua" w:hAnsi="Book Antiqua"/>
          <w:color w:val="0070C0"/>
          <w:sz w:val="16"/>
          <w:szCs w:val="16"/>
        </w:rPr>
        <w:t>Ozili, 2018</w:t>
      </w:r>
      <w:r w:rsidR="00A71CAB" w:rsidRPr="00D51CD9">
        <w:rPr>
          <w:rFonts w:ascii="Book Antiqua" w:hAnsi="Book Antiqua"/>
          <w:sz w:val="16"/>
          <w:szCs w:val="16"/>
        </w:rPr>
        <w:t>).</w:t>
      </w:r>
    </w:p>
    <w:p w14:paraId="63471CC7" w14:textId="45049075" w:rsidR="00BE16C3" w:rsidRPr="00D51CD9" w:rsidRDefault="00BE16C3"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However, a critical limitation of this formula is its exclusive focus on transaction-based transmission. Because the equation of exchange operates on the assumption of money neutrality and treats money strictly as a high-velocity medium of exchange, it fails to support or explain long-term credit savings, deposit mobilization, and capital accumulation. While an increase in </w:t>
      </w:r>
      <w:r w:rsidR="0012787C" w:rsidRPr="00D51CD9">
        <w:rPr>
          <w:rFonts w:ascii="Book Antiqua" w:hAnsi="Book Antiqua"/>
          <w:sz w:val="16"/>
          <w:szCs w:val="16"/>
        </w:rPr>
        <w:t>velocity</w:t>
      </w:r>
      <w:r w:rsidRPr="00D51CD9">
        <w:rPr>
          <w:rFonts w:ascii="Book Antiqua" w:hAnsi="Book Antiqua"/>
          <w:sz w:val="16"/>
          <w:szCs w:val="16"/>
        </w:rPr>
        <w:t xml:space="preserve"> optimizes short-term consumption smoothing and transactional efficiency at the micro-level (</w:t>
      </w:r>
      <w:r w:rsidRPr="00D51CD9">
        <w:rPr>
          <w:rFonts w:ascii="Book Antiqua" w:hAnsi="Book Antiqua"/>
          <w:color w:val="0070C0"/>
          <w:sz w:val="16"/>
          <w:szCs w:val="16"/>
        </w:rPr>
        <w:t>Jack and Suri, 2014</w:t>
      </w:r>
      <w:r w:rsidRPr="00D51CD9">
        <w:rPr>
          <w:rFonts w:ascii="Book Antiqua" w:hAnsi="Book Antiqua"/>
          <w:sz w:val="16"/>
          <w:szCs w:val="16"/>
        </w:rPr>
        <w:t>), it does not automatically expand the domestic loanable funds market or catalyze real macroeconomic output (</w:t>
      </w:r>
      <w:r w:rsidR="0012787C" w:rsidRPr="00D51CD9">
        <w:rPr>
          <w:rFonts w:ascii="Book Antiqua" w:hAnsi="Book Antiqua"/>
          <w:sz w:val="16"/>
          <w:szCs w:val="16"/>
        </w:rPr>
        <w:t>Y</w:t>
      </w:r>
      <w:r w:rsidRPr="00D51CD9">
        <w:rPr>
          <w:rFonts w:ascii="Book Antiqua" w:hAnsi="Book Antiqua"/>
          <w:sz w:val="16"/>
          <w:szCs w:val="16"/>
        </w:rPr>
        <w:t>) through productive capital investment.</w:t>
      </w:r>
    </w:p>
    <w:p w14:paraId="5374BA68" w14:textId="7AFC88A3" w:rsidR="000126D8" w:rsidRPr="00D51CD9" w:rsidRDefault="006F2C91" w:rsidP="004005B1">
      <w:pPr>
        <w:spacing w:after="120" w:line="240" w:lineRule="auto"/>
        <w:jc w:val="both"/>
        <w:rPr>
          <w:rFonts w:ascii="Book Antiqua" w:hAnsi="Book Antiqua"/>
          <w:sz w:val="16"/>
          <w:szCs w:val="16"/>
        </w:rPr>
      </w:pPr>
      <w:r w:rsidRPr="00D51CD9">
        <w:rPr>
          <w:rFonts w:ascii="Book Antiqua" w:hAnsi="Book Antiqua"/>
          <w:sz w:val="16"/>
          <w:szCs w:val="16"/>
        </w:rPr>
        <w:t>To bridge this transmission gap, the theoretical framework must go beyond transaction dynamics and integrate classical financial intermediation and credit-savings paradigms (</w:t>
      </w:r>
      <w:r w:rsidRPr="00D51CD9">
        <w:rPr>
          <w:rFonts w:ascii="Book Antiqua" w:hAnsi="Book Antiqua"/>
          <w:color w:val="0070C0"/>
          <w:sz w:val="16"/>
          <w:szCs w:val="16"/>
        </w:rPr>
        <w:t>Gurley and Shaw, 1955; Diamond, 1984</w:t>
      </w:r>
      <w:r w:rsidRPr="00D51CD9">
        <w:rPr>
          <w:rFonts w:ascii="Book Antiqua" w:hAnsi="Book Antiqua"/>
          <w:sz w:val="16"/>
          <w:szCs w:val="16"/>
        </w:rPr>
        <w:t>). For digital finance to drive genuine macroeconomic deepening, the high-velocity transaction loops must be systematically captured and converted into stable, interest-bearing liabilities within licensed commercial banking institutions (</w:t>
      </w:r>
      <w:r w:rsidRPr="00D51CD9">
        <w:rPr>
          <w:rFonts w:ascii="Book Antiqua" w:hAnsi="Book Antiqua"/>
          <w:color w:val="0070C0"/>
          <w:sz w:val="16"/>
          <w:szCs w:val="16"/>
        </w:rPr>
        <w:t>Levine, 1997</w:t>
      </w:r>
      <w:r w:rsidRPr="00D51CD9">
        <w:rPr>
          <w:rFonts w:ascii="Book Antiqua" w:hAnsi="Book Antiqua"/>
          <w:sz w:val="16"/>
          <w:szCs w:val="16"/>
        </w:rPr>
        <w:t xml:space="preserve">). </w:t>
      </w:r>
      <w:r w:rsidR="00116D6D" w:rsidRPr="00D51CD9">
        <w:rPr>
          <w:rFonts w:ascii="Book Antiqua" w:hAnsi="Book Antiqua"/>
          <w:sz w:val="16"/>
          <w:szCs w:val="16"/>
        </w:rPr>
        <w:t xml:space="preserve">As </w:t>
      </w:r>
      <w:r w:rsidR="00110843" w:rsidRPr="00D51CD9">
        <w:rPr>
          <w:rFonts w:ascii="Book Antiqua" w:hAnsi="Book Antiqua"/>
          <w:color w:val="0070C0"/>
          <w:sz w:val="16"/>
          <w:szCs w:val="16"/>
        </w:rPr>
        <w:t xml:space="preserve">King and Levine </w:t>
      </w:r>
      <w:r w:rsidR="00116D6D" w:rsidRPr="00D51CD9">
        <w:rPr>
          <w:rFonts w:ascii="Book Antiqua" w:hAnsi="Book Antiqua"/>
          <w:color w:val="0070C0"/>
          <w:sz w:val="16"/>
          <w:szCs w:val="16"/>
        </w:rPr>
        <w:t>(19</w:t>
      </w:r>
      <w:r w:rsidR="00110843" w:rsidRPr="00D51CD9">
        <w:rPr>
          <w:rFonts w:ascii="Book Antiqua" w:hAnsi="Book Antiqua"/>
          <w:color w:val="0070C0"/>
          <w:sz w:val="16"/>
          <w:szCs w:val="16"/>
        </w:rPr>
        <w:t>9</w:t>
      </w:r>
      <w:r w:rsidR="00116D6D" w:rsidRPr="00D51CD9">
        <w:rPr>
          <w:rFonts w:ascii="Book Antiqua" w:hAnsi="Book Antiqua"/>
          <w:color w:val="0070C0"/>
          <w:sz w:val="16"/>
          <w:szCs w:val="16"/>
        </w:rPr>
        <w:t xml:space="preserve">3) </w:t>
      </w:r>
      <w:r w:rsidR="00116D6D" w:rsidRPr="00D51CD9">
        <w:rPr>
          <w:rFonts w:ascii="Book Antiqua" w:hAnsi="Book Antiqua"/>
          <w:color w:val="0E2841" w:themeColor="text2"/>
          <w:sz w:val="16"/>
          <w:szCs w:val="16"/>
        </w:rPr>
        <w:t xml:space="preserve">and </w:t>
      </w:r>
      <w:r w:rsidR="00116D6D" w:rsidRPr="00D51CD9">
        <w:rPr>
          <w:rFonts w:ascii="Book Antiqua" w:hAnsi="Book Antiqua"/>
          <w:color w:val="0070C0"/>
          <w:sz w:val="16"/>
          <w:szCs w:val="16"/>
        </w:rPr>
        <w:t xml:space="preserve">Holmström and Tirole (1997) </w:t>
      </w:r>
      <w:r w:rsidR="00116D6D" w:rsidRPr="00D51CD9">
        <w:rPr>
          <w:rFonts w:ascii="Book Antiqua" w:hAnsi="Book Antiqua"/>
          <w:sz w:val="16"/>
          <w:szCs w:val="16"/>
        </w:rPr>
        <w:t xml:space="preserve">emphasize, </w:t>
      </w:r>
      <w:r w:rsidR="004D7F56" w:rsidRPr="00D51CD9">
        <w:rPr>
          <w:rFonts w:ascii="Book Antiqua" w:hAnsi="Book Antiqua"/>
          <w:sz w:val="16"/>
          <w:szCs w:val="16"/>
        </w:rPr>
        <w:t xml:space="preserve">real economic progress is fundamentally linked to maturity transformation, </w:t>
      </w:r>
      <w:r w:rsidR="000126D8" w:rsidRPr="00D51CD9">
        <w:rPr>
          <w:rFonts w:ascii="Book Antiqua" w:hAnsi="Book Antiqua"/>
          <w:sz w:val="16"/>
          <w:szCs w:val="16"/>
        </w:rPr>
        <w:t>wherein financial institutions pool short-term retail liquidity to finance long-term, illiquid enterprise credit.</w:t>
      </w:r>
    </w:p>
    <w:p w14:paraId="0F908CBC" w14:textId="3BCD70FF" w:rsidR="00DD4959" w:rsidRPr="00D51CD9" w:rsidRDefault="00DD4959"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If the digital financial </w:t>
      </w:r>
      <w:r w:rsidR="00B70FC5" w:rsidRPr="00D51CD9">
        <w:rPr>
          <w:rFonts w:ascii="Book Antiqua" w:hAnsi="Book Antiqua"/>
          <w:sz w:val="16"/>
          <w:szCs w:val="16"/>
        </w:rPr>
        <w:t>ecosystem</w:t>
      </w:r>
      <w:r w:rsidRPr="00D51CD9">
        <w:rPr>
          <w:rFonts w:ascii="Book Antiqua" w:hAnsi="Book Antiqua"/>
          <w:sz w:val="16"/>
          <w:szCs w:val="16"/>
        </w:rPr>
        <w:t xml:space="preserve"> is designed as a parallel, non-bank network (such as the telco-led models in S</w:t>
      </w:r>
      <w:r w:rsidR="000B5C44" w:rsidRPr="00D51CD9">
        <w:rPr>
          <w:rFonts w:ascii="Book Antiqua" w:hAnsi="Book Antiqua"/>
          <w:sz w:val="16"/>
          <w:szCs w:val="16"/>
        </w:rPr>
        <w:t>SA</w:t>
      </w:r>
      <w:r w:rsidRPr="00D51CD9">
        <w:rPr>
          <w:rFonts w:ascii="Book Antiqua" w:hAnsi="Book Antiqua"/>
          <w:sz w:val="16"/>
          <w:szCs w:val="16"/>
        </w:rPr>
        <w:t xml:space="preserve">), retail liquidity remains highly fragmented and legally isolated in non-lending escrow accounts, preventing it from expanding the formal commercial banking deposit base needed for long-term private sector credit. Conversely, when digital payment systems are built on bank-led, integrated digital public infrastructures (as seen in </w:t>
      </w:r>
      <w:r w:rsidR="00FC725C" w:rsidRPr="00D51CD9">
        <w:rPr>
          <w:rFonts w:ascii="Book Antiqua" w:hAnsi="Book Antiqua"/>
          <w:sz w:val="16"/>
          <w:szCs w:val="16"/>
        </w:rPr>
        <w:t>S/SEA</w:t>
      </w:r>
      <w:r w:rsidRPr="00D51CD9">
        <w:rPr>
          <w:rFonts w:ascii="Book Antiqua" w:hAnsi="Book Antiqua"/>
          <w:sz w:val="16"/>
          <w:szCs w:val="16"/>
        </w:rPr>
        <w:t>), high-velocity retail transactions flow directly through formal banking ledgers. This structural integration successfully captures everyday transactions as core bank deposits, mobilizing domestic savings into a robust, sustainable pool of loanable funds capable of driving genuine macroeconomic deepening.</w:t>
      </w:r>
    </w:p>
    <w:p w14:paraId="5A28CA86" w14:textId="77777777" w:rsidR="0072143B" w:rsidRDefault="00C10A2C" w:rsidP="00FA4BD2">
      <w:pPr>
        <w:keepNext/>
        <w:spacing w:before="36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4</w:t>
      </w:r>
      <w:r w:rsidR="007C6FFE" w:rsidRPr="00F563F9">
        <w:rPr>
          <w:rFonts w:ascii="Book Antiqua" w:hAnsi="Book Antiqua"/>
          <w:b/>
          <w:color w:val="215E99" w:themeColor="text2" w:themeTint="BF"/>
          <w:sz w:val="18"/>
          <w:szCs w:val="18"/>
        </w:rPr>
        <w:t xml:space="preserve">. </w:t>
      </w:r>
      <w:r w:rsidR="00FA4BD2" w:rsidRPr="00FA4BD2">
        <w:rPr>
          <w:rFonts w:ascii="Book Antiqua" w:hAnsi="Book Antiqua"/>
          <w:b/>
          <w:color w:val="215E99" w:themeColor="text2" w:themeTint="BF"/>
          <w:sz w:val="18"/>
          <w:szCs w:val="18"/>
        </w:rPr>
        <w:t>Critical Synthesis of Existing Knowledge: Uncovering Research Gaps and Developing Research Questions</w:t>
      </w:r>
    </w:p>
    <w:p w14:paraId="3438F37D" w14:textId="483FFF0F" w:rsidR="00E12240" w:rsidRPr="0072143B" w:rsidRDefault="002F1C95" w:rsidP="0072143B">
      <w:pPr>
        <w:keepNext/>
        <w:spacing w:after="120" w:line="240" w:lineRule="auto"/>
        <w:jc w:val="both"/>
        <w:rPr>
          <w:rFonts w:ascii="Book Antiqua" w:hAnsi="Book Antiqua"/>
          <w:b/>
          <w:color w:val="215E99" w:themeColor="text2" w:themeTint="BF"/>
          <w:sz w:val="18"/>
          <w:szCs w:val="18"/>
        </w:rPr>
      </w:pPr>
      <w:r w:rsidRPr="00D51CD9">
        <w:rPr>
          <w:rFonts w:ascii="Book Antiqua" w:hAnsi="Book Antiqua"/>
          <w:sz w:val="16"/>
          <w:szCs w:val="16"/>
        </w:rPr>
        <w:t>The</w:t>
      </w:r>
      <w:r w:rsidR="0016799E" w:rsidRPr="00D51CD9">
        <w:rPr>
          <w:rFonts w:ascii="Book Antiqua" w:hAnsi="Book Antiqua"/>
          <w:sz w:val="16"/>
          <w:szCs w:val="16"/>
        </w:rPr>
        <w:t xml:space="preserve"> contemporary </w:t>
      </w:r>
      <w:r w:rsidRPr="00D51CD9">
        <w:rPr>
          <w:rFonts w:ascii="Book Antiqua" w:hAnsi="Book Antiqua"/>
          <w:sz w:val="16"/>
          <w:szCs w:val="16"/>
        </w:rPr>
        <w:t>literature remains deeply fragmented, split between micro-level welfare assessments and unintegrated, single-region macro analyses. Existing scholarship falls short because it treats fintech as a monolithic entity, ignoring the profound structural variations in how digital finance interacts with institutional banking systems across different macro-econometric realities.</w:t>
      </w:r>
    </w:p>
    <w:p w14:paraId="7C494552" w14:textId="38D6E562" w:rsidR="00F7002F" w:rsidRPr="00D51CD9" w:rsidRDefault="00AD1616" w:rsidP="004005B1">
      <w:pPr>
        <w:keepNext/>
        <w:spacing w:before="240" w:after="80" w:line="240" w:lineRule="auto"/>
        <w:jc w:val="both"/>
        <w:rPr>
          <w:rFonts w:ascii="Book Antiqua" w:hAnsi="Book Antiqua"/>
          <w:sz w:val="16"/>
          <w:szCs w:val="16"/>
        </w:rPr>
      </w:pPr>
      <w:r w:rsidRPr="00D51CD9">
        <w:rPr>
          <w:rFonts w:ascii="Book Antiqua" w:hAnsi="Book Antiqua"/>
          <w:sz w:val="16"/>
          <w:szCs w:val="16"/>
        </w:rPr>
        <w:t xml:space="preserve">The primary contradiction emerging from the existing </w:t>
      </w:r>
      <w:r w:rsidR="00DD44FD">
        <w:rPr>
          <w:rFonts w:ascii="Book Antiqua" w:hAnsi="Book Antiqua"/>
          <w:sz w:val="16"/>
          <w:szCs w:val="16"/>
        </w:rPr>
        <w:t>evidence</w:t>
      </w:r>
      <w:r w:rsidRPr="00D51CD9">
        <w:rPr>
          <w:rFonts w:ascii="Book Antiqua" w:hAnsi="Book Antiqua"/>
          <w:sz w:val="16"/>
          <w:szCs w:val="16"/>
        </w:rPr>
        <w:t xml:space="preserve"> </w:t>
      </w:r>
      <w:r w:rsidR="001B5674">
        <w:rPr>
          <w:rFonts w:ascii="Book Antiqua" w:hAnsi="Book Antiqua"/>
          <w:sz w:val="16"/>
          <w:szCs w:val="16"/>
        </w:rPr>
        <w:t>arises from</w:t>
      </w:r>
      <w:r w:rsidRPr="00D51CD9">
        <w:rPr>
          <w:rFonts w:ascii="Book Antiqua" w:hAnsi="Book Antiqua"/>
          <w:sz w:val="16"/>
          <w:szCs w:val="16"/>
        </w:rPr>
        <w:t xml:space="preserve"> the decoupling of financial inclusion metrics from macroeconomic financial deepening indicators.</w:t>
      </w:r>
      <w:r w:rsidR="00A03228" w:rsidRPr="00D51CD9">
        <w:rPr>
          <w:rFonts w:ascii="Book Antiqua" w:hAnsi="Book Antiqua"/>
          <w:sz w:val="16"/>
          <w:szCs w:val="16"/>
        </w:rPr>
        <w:t xml:space="preserve"> While classical financial development theories dictate that expanding access should naturally enhance credit availability and reduce the cost of capital, empirical realities documented across developing landscapes directly challenge this assumption. Paradoxically, despite reaching historic highs in digital account ownership and transactional velocity, private sector</w:t>
      </w:r>
      <w:r w:rsidR="00B337A4">
        <w:rPr>
          <w:rFonts w:ascii="Book Antiqua" w:hAnsi="Book Antiqua"/>
          <w:sz w:val="16"/>
          <w:szCs w:val="16"/>
        </w:rPr>
        <w:t>’s</w:t>
      </w:r>
      <w:r w:rsidR="00A03228" w:rsidRPr="00D51CD9">
        <w:rPr>
          <w:rFonts w:ascii="Book Antiqua" w:hAnsi="Book Antiqua"/>
          <w:sz w:val="16"/>
          <w:szCs w:val="16"/>
        </w:rPr>
        <w:t xml:space="preserve"> credit</w:t>
      </w:r>
      <w:r w:rsidR="00FC725C" w:rsidRPr="00D51CD9">
        <w:rPr>
          <w:rFonts w:ascii="Book Antiqua" w:hAnsi="Book Antiqua"/>
          <w:sz w:val="16"/>
          <w:szCs w:val="16"/>
        </w:rPr>
        <w:t xml:space="preserve"> </w:t>
      </w:r>
      <w:r w:rsidR="00A03228" w:rsidRPr="00D51CD9">
        <w:rPr>
          <w:rFonts w:ascii="Book Antiqua" w:hAnsi="Book Antiqua"/>
          <w:sz w:val="16"/>
          <w:szCs w:val="16"/>
        </w:rPr>
        <w:t>to</w:t>
      </w:r>
      <w:r w:rsidR="00FC725C" w:rsidRPr="00D51CD9">
        <w:rPr>
          <w:rFonts w:ascii="Book Antiqua" w:hAnsi="Book Antiqua"/>
          <w:sz w:val="16"/>
          <w:szCs w:val="16"/>
        </w:rPr>
        <w:t xml:space="preserve"> </w:t>
      </w:r>
      <w:r w:rsidR="00A03228" w:rsidRPr="00D51CD9">
        <w:rPr>
          <w:rFonts w:ascii="Book Antiqua" w:hAnsi="Book Antiqua"/>
          <w:sz w:val="16"/>
          <w:szCs w:val="16"/>
        </w:rPr>
        <w:t xml:space="preserve">GDP ratios across </w:t>
      </w:r>
      <w:r w:rsidR="004120F3" w:rsidRPr="00D51CD9">
        <w:rPr>
          <w:rFonts w:ascii="Book Antiqua" w:hAnsi="Book Antiqua"/>
          <w:sz w:val="16"/>
          <w:szCs w:val="16"/>
        </w:rPr>
        <w:t>various</w:t>
      </w:r>
      <w:r w:rsidR="00A03228" w:rsidRPr="00D51CD9">
        <w:rPr>
          <w:rFonts w:ascii="Book Antiqua" w:hAnsi="Book Antiqua"/>
          <w:sz w:val="16"/>
          <w:szCs w:val="16"/>
        </w:rPr>
        <w:t xml:space="preserve"> </w:t>
      </w:r>
      <w:r w:rsidR="002E390E" w:rsidRPr="00D51CD9">
        <w:rPr>
          <w:rFonts w:ascii="Book Antiqua" w:hAnsi="Book Antiqua"/>
          <w:sz w:val="16"/>
          <w:szCs w:val="16"/>
        </w:rPr>
        <w:t>territories</w:t>
      </w:r>
      <w:r w:rsidR="00A03228" w:rsidRPr="00D51CD9">
        <w:rPr>
          <w:rFonts w:ascii="Book Antiqua" w:hAnsi="Book Antiqua"/>
          <w:sz w:val="16"/>
          <w:szCs w:val="16"/>
        </w:rPr>
        <w:t xml:space="preserve"> have stagnated or even experienced declines.</w:t>
      </w:r>
    </w:p>
    <w:p w14:paraId="58201BE2" w14:textId="77777777" w:rsidR="008A1352" w:rsidRDefault="00954868" w:rsidP="004005B1">
      <w:pPr>
        <w:keepNext/>
        <w:spacing w:before="240" w:after="80" w:line="240" w:lineRule="auto"/>
        <w:jc w:val="both"/>
        <w:rPr>
          <w:rFonts w:ascii="Book Antiqua" w:hAnsi="Book Antiqua"/>
          <w:sz w:val="16"/>
          <w:szCs w:val="16"/>
        </w:rPr>
      </w:pPr>
      <w:r w:rsidRPr="00D51CD9">
        <w:rPr>
          <w:rFonts w:ascii="Book Antiqua" w:hAnsi="Book Antiqua"/>
          <w:sz w:val="16"/>
          <w:szCs w:val="16"/>
        </w:rPr>
        <w:t>Existing l</w:t>
      </w:r>
      <w:r w:rsidR="00AD1616" w:rsidRPr="00D51CD9">
        <w:rPr>
          <w:rFonts w:ascii="Book Antiqua" w:hAnsi="Book Antiqua"/>
          <w:sz w:val="16"/>
          <w:szCs w:val="16"/>
        </w:rPr>
        <w:t xml:space="preserve">iterature fails to reconcile this phenomenon because it remains geographically isolated. </w:t>
      </w:r>
      <w:r w:rsidR="008777A9" w:rsidRPr="00D51CD9">
        <w:rPr>
          <w:rFonts w:ascii="Book Antiqua" w:hAnsi="Book Antiqua"/>
          <w:sz w:val="16"/>
          <w:szCs w:val="16"/>
        </w:rPr>
        <w:t xml:space="preserve">Prevailing empirical studies are typically bound within </w:t>
      </w:r>
      <w:r w:rsidR="005620F0" w:rsidRPr="00D51CD9">
        <w:rPr>
          <w:rFonts w:ascii="Book Antiqua" w:hAnsi="Book Antiqua"/>
          <w:sz w:val="16"/>
          <w:szCs w:val="16"/>
        </w:rPr>
        <w:t xml:space="preserve">a </w:t>
      </w:r>
      <w:r w:rsidR="008777A9" w:rsidRPr="00D51CD9">
        <w:rPr>
          <w:rFonts w:ascii="Book Antiqua" w:hAnsi="Book Antiqua"/>
          <w:sz w:val="16"/>
          <w:szCs w:val="16"/>
        </w:rPr>
        <w:t>single, homogenous regional bloc</w:t>
      </w:r>
      <w:r w:rsidR="00F8355A" w:rsidRPr="00D51CD9">
        <w:rPr>
          <w:rFonts w:ascii="Book Antiqua" w:hAnsi="Book Antiqua"/>
          <w:sz w:val="16"/>
          <w:szCs w:val="16"/>
        </w:rPr>
        <w:t>k</w:t>
      </w:r>
      <w:r w:rsidR="008777A9" w:rsidRPr="00D51CD9">
        <w:rPr>
          <w:rFonts w:ascii="Book Antiqua" w:hAnsi="Book Antiqua"/>
          <w:sz w:val="16"/>
          <w:szCs w:val="16"/>
        </w:rPr>
        <w:t>, analyzing either non-bank mobile money landscapes or digital banking architectures in isolation.</w:t>
      </w:r>
      <w:r w:rsidR="00290F2F" w:rsidRPr="00D51CD9">
        <w:rPr>
          <w:rFonts w:ascii="Book Antiqua" w:hAnsi="Book Antiqua"/>
          <w:sz w:val="16"/>
          <w:szCs w:val="16"/>
        </w:rPr>
        <w:t xml:space="preserve"> </w:t>
      </w:r>
      <w:r w:rsidR="00CF3A7D" w:rsidRPr="00D51CD9">
        <w:rPr>
          <w:rFonts w:ascii="Book Antiqua" w:hAnsi="Book Antiqua"/>
          <w:sz w:val="16"/>
          <w:szCs w:val="16"/>
        </w:rPr>
        <w:t xml:space="preserve">By failing to analyze the structural dichotomy between market-led, telco-driven models and state-directed, bank-centric infrastructure, existing studies miss how fundamental variations in institutional governance dictate macroeconomic outcomes. </w:t>
      </w:r>
      <w:r w:rsidR="00AD1616" w:rsidRPr="00D51CD9">
        <w:rPr>
          <w:rFonts w:ascii="Book Antiqua" w:hAnsi="Book Antiqua"/>
          <w:sz w:val="16"/>
          <w:szCs w:val="16"/>
        </w:rPr>
        <w:t>Because these analyses lack an explicit, rigorous comparative cross-regional framework, they miss the systemic institutional and regulatory variations that dictate how different digital ecosystems function under varying degrees of state intervention, central bank oversight, and telecommunications dominance. Methodologically, there is an</w:t>
      </w:r>
      <w:r w:rsidR="004D7090" w:rsidRPr="00D51CD9">
        <w:rPr>
          <w:rFonts w:ascii="Book Antiqua" w:hAnsi="Book Antiqua"/>
          <w:sz w:val="16"/>
          <w:szCs w:val="16"/>
        </w:rPr>
        <w:t xml:space="preserve"> </w:t>
      </w:r>
      <w:r w:rsidR="00452896" w:rsidRPr="00D51CD9">
        <w:rPr>
          <w:rFonts w:ascii="Book Antiqua" w:hAnsi="Book Antiqua"/>
          <w:sz w:val="16"/>
          <w:szCs w:val="16"/>
        </w:rPr>
        <w:t>urg</w:t>
      </w:r>
      <w:r w:rsidR="00AD1616" w:rsidRPr="00D51CD9">
        <w:rPr>
          <w:rFonts w:ascii="Book Antiqua" w:hAnsi="Book Antiqua"/>
          <w:sz w:val="16"/>
          <w:szCs w:val="16"/>
        </w:rPr>
        <w:t>ent need to move beyond simple correlation</w:t>
      </w:r>
      <w:r w:rsidR="00611D42" w:rsidRPr="00D51CD9">
        <w:rPr>
          <w:rFonts w:ascii="Book Antiqua" w:hAnsi="Book Antiqua"/>
          <w:sz w:val="16"/>
          <w:szCs w:val="16"/>
        </w:rPr>
        <w:t>-driven</w:t>
      </w:r>
      <w:r w:rsidR="0015441C" w:rsidRPr="00D51CD9">
        <w:rPr>
          <w:rFonts w:ascii="Book Antiqua" w:hAnsi="Book Antiqua"/>
          <w:sz w:val="16"/>
          <w:szCs w:val="16"/>
        </w:rPr>
        <w:t xml:space="preserve"> models and i</w:t>
      </w:r>
      <w:r w:rsidR="00AD1616" w:rsidRPr="00D51CD9">
        <w:rPr>
          <w:rFonts w:ascii="Book Antiqua" w:hAnsi="Book Antiqua"/>
          <w:sz w:val="16"/>
          <w:szCs w:val="16"/>
        </w:rPr>
        <w:t>mplement robust data econometrics that account for endogeneity, institutional heterogeneity, and cross-sectional dependencies.</w:t>
      </w:r>
    </w:p>
    <w:p w14:paraId="1031542A" w14:textId="2A3BEDD7" w:rsidR="00E572CF" w:rsidRPr="008A1352" w:rsidRDefault="00E572CF" w:rsidP="004005B1">
      <w:pPr>
        <w:keepNext/>
        <w:spacing w:before="240" w:after="80" w:line="240" w:lineRule="auto"/>
        <w:jc w:val="both"/>
        <w:rPr>
          <w:rFonts w:ascii="Book Antiqua" w:hAnsi="Book Antiqua"/>
          <w:sz w:val="16"/>
          <w:szCs w:val="16"/>
        </w:rPr>
      </w:pPr>
      <w:r w:rsidRPr="008A1352">
        <w:rPr>
          <w:rFonts w:ascii="Book Antiqua" w:hAnsi="Book Antiqua"/>
          <w:b/>
          <w:bCs/>
          <w:color w:val="auto"/>
          <w:sz w:val="16"/>
          <w:szCs w:val="16"/>
        </w:rPr>
        <w:t>Research Questions</w:t>
      </w:r>
    </w:p>
    <w:p w14:paraId="4F768B0D" w14:textId="6FCDD629" w:rsidR="00E572CF" w:rsidRPr="00D51CD9" w:rsidRDefault="009B3F14" w:rsidP="004005B1">
      <w:pPr>
        <w:keepNext/>
        <w:spacing w:before="240" w:after="80" w:line="240" w:lineRule="auto"/>
        <w:jc w:val="both"/>
        <w:rPr>
          <w:rFonts w:ascii="Book Antiqua" w:hAnsi="Book Antiqua"/>
          <w:sz w:val="16"/>
          <w:szCs w:val="16"/>
        </w:rPr>
      </w:pPr>
      <w:r w:rsidRPr="00D51CD9">
        <w:rPr>
          <w:rFonts w:ascii="Book Antiqua" w:hAnsi="Book Antiqua"/>
          <w:b/>
          <w:bCs/>
          <w:color w:val="0070C0"/>
          <w:sz w:val="16"/>
          <w:szCs w:val="16"/>
        </w:rPr>
        <w:t>RQ</w:t>
      </w:r>
      <w:r w:rsidR="00E572CF" w:rsidRPr="00D51CD9">
        <w:rPr>
          <w:rFonts w:ascii="Book Antiqua" w:hAnsi="Book Antiqua"/>
          <w:b/>
          <w:bCs/>
          <w:color w:val="0070C0"/>
          <w:sz w:val="16"/>
          <w:szCs w:val="16"/>
        </w:rPr>
        <w:t>1</w:t>
      </w:r>
      <w:r w:rsidRPr="00D51CD9">
        <w:rPr>
          <w:rFonts w:ascii="Book Antiqua" w:hAnsi="Book Antiqua"/>
          <w:b/>
          <w:bCs/>
          <w:color w:val="0070C0"/>
          <w:sz w:val="16"/>
          <w:szCs w:val="16"/>
        </w:rPr>
        <w:t xml:space="preserve">: </w:t>
      </w:r>
      <w:r w:rsidR="00E572CF" w:rsidRPr="00D51CD9">
        <w:rPr>
          <w:rFonts w:ascii="Book Antiqua" w:hAnsi="Book Antiqua"/>
          <w:sz w:val="16"/>
          <w:szCs w:val="16"/>
        </w:rPr>
        <w:t xml:space="preserve">Through what specific structural transmission channels </w:t>
      </w:r>
      <w:r w:rsidRPr="00D51CD9">
        <w:rPr>
          <w:rFonts w:ascii="Book Antiqua" w:hAnsi="Book Antiqua"/>
          <w:sz w:val="16"/>
          <w:szCs w:val="16"/>
        </w:rPr>
        <w:t>do</w:t>
      </w:r>
      <w:r w:rsidR="00E572CF" w:rsidRPr="00D51CD9">
        <w:rPr>
          <w:rFonts w:ascii="Book Antiqua" w:hAnsi="Book Antiqua"/>
          <w:sz w:val="16"/>
          <w:szCs w:val="16"/>
        </w:rPr>
        <w:t xml:space="preserve"> retail-level digital transactional velocity affect macro-level capital formation and private sector</w:t>
      </w:r>
      <w:r w:rsidR="008864AC">
        <w:rPr>
          <w:rFonts w:ascii="Book Antiqua" w:hAnsi="Book Antiqua"/>
          <w:sz w:val="16"/>
          <w:szCs w:val="16"/>
        </w:rPr>
        <w:t>’s</w:t>
      </w:r>
      <w:r w:rsidR="00E572CF" w:rsidRPr="00D51CD9">
        <w:rPr>
          <w:rFonts w:ascii="Book Antiqua" w:hAnsi="Book Antiqua"/>
          <w:sz w:val="16"/>
          <w:szCs w:val="16"/>
        </w:rPr>
        <w:t xml:space="preserve"> credit-to-GDP ratios?</w:t>
      </w:r>
    </w:p>
    <w:p w14:paraId="7614077D" w14:textId="082C51F8" w:rsidR="00106ACD" w:rsidRPr="00D51CD9" w:rsidRDefault="00106ACD" w:rsidP="004005B1">
      <w:pPr>
        <w:spacing w:line="240" w:lineRule="auto"/>
        <w:jc w:val="both"/>
        <w:rPr>
          <w:rFonts w:ascii="Book Antiqua" w:hAnsi="Book Antiqua"/>
          <w:sz w:val="16"/>
          <w:szCs w:val="16"/>
        </w:rPr>
      </w:pPr>
      <w:r w:rsidRPr="00D51CD9">
        <w:rPr>
          <w:rFonts w:ascii="Book Antiqua" w:hAnsi="Book Antiqua"/>
          <w:b/>
          <w:bCs/>
          <w:sz w:val="16"/>
          <w:szCs w:val="16"/>
        </w:rPr>
        <w:t>Analytical Focus:</w:t>
      </w:r>
      <w:r w:rsidRPr="00D51CD9">
        <w:rPr>
          <w:rFonts w:ascii="Book Antiqua" w:hAnsi="Book Antiqua"/>
          <w:sz w:val="16"/>
          <w:szCs w:val="16"/>
        </w:rPr>
        <w:t xml:space="preserve"> This question isolates the micro-to-macro transmission mechanism, exploring whether high-frequency, small-value digital transactions can scale into formal, long-term capital pools or if they remain trapped in retail-level consumption loops.</w:t>
      </w:r>
    </w:p>
    <w:p w14:paraId="77E05BDC" w14:textId="77777777" w:rsidR="0015441C" w:rsidRPr="00D51CD9" w:rsidRDefault="009B3F14" w:rsidP="004005B1">
      <w:pPr>
        <w:pStyle w:val="NoSpacing"/>
        <w:jc w:val="both"/>
        <w:rPr>
          <w:rFonts w:ascii="Book Antiqua" w:hAnsi="Book Antiqua"/>
          <w:sz w:val="16"/>
          <w:szCs w:val="16"/>
        </w:rPr>
      </w:pPr>
      <w:r w:rsidRPr="00D51CD9">
        <w:rPr>
          <w:rFonts w:ascii="Book Antiqua" w:hAnsi="Book Antiqua"/>
          <w:b/>
          <w:bCs/>
          <w:color w:val="0070C0"/>
          <w:sz w:val="16"/>
          <w:szCs w:val="16"/>
        </w:rPr>
        <w:t>RQ2:</w:t>
      </w:r>
      <w:r w:rsidRPr="00D51CD9">
        <w:rPr>
          <w:b/>
          <w:bCs/>
          <w:color w:val="0070C0"/>
          <w:sz w:val="16"/>
          <w:szCs w:val="16"/>
        </w:rPr>
        <w:t xml:space="preserve"> </w:t>
      </w:r>
      <w:r w:rsidR="00E572CF" w:rsidRPr="00D51CD9">
        <w:rPr>
          <w:rFonts w:ascii="Book Antiqua" w:hAnsi="Book Antiqua"/>
          <w:sz w:val="16"/>
          <w:szCs w:val="16"/>
        </w:rPr>
        <w:t>How do institutional, infrastructural, and regulatory differences between telecommunications-led parallel networks and bank-led integrated architecture influence national deposit mobilization?</w:t>
      </w:r>
    </w:p>
    <w:p w14:paraId="38A8C45C" w14:textId="77777777" w:rsidR="00283C8B" w:rsidRPr="00D51CD9" w:rsidRDefault="00283C8B" w:rsidP="004005B1">
      <w:pPr>
        <w:pStyle w:val="NoSpacing"/>
        <w:jc w:val="both"/>
        <w:rPr>
          <w:rFonts w:ascii="Book Antiqua" w:hAnsi="Book Antiqua"/>
          <w:b/>
          <w:bCs/>
          <w:sz w:val="16"/>
          <w:szCs w:val="16"/>
        </w:rPr>
      </w:pPr>
    </w:p>
    <w:p w14:paraId="3D491C5C" w14:textId="77777777" w:rsidR="00283C8B" w:rsidRPr="00D51CD9" w:rsidRDefault="00DF3158" w:rsidP="004005B1">
      <w:pPr>
        <w:pStyle w:val="NoSpacing"/>
        <w:jc w:val="both"/>
        <w:rPr>
          <w:rFonts w:ascii="Book Antiqua" w:hAnsi="Book Antiqua"/>
          <w:sz w:val="16"/>
          <w:szCs w:val="16"/>
        </w:rPr>
      </w:pPr>
      <w:r w:rsidRPr="00D51CD9">
        <w:rPr>
          <w:rFonts w:ascii="Book Antiqua" w:hAnsi="Book Antiqua"/>
          <w:b/>
          <w:bCs/>
          <w:sz w:val="16"/>
          <w:szCs w:val="16"/>
        </w:rPr>
        <w:t xml:space="preserve">Analytical Focus: </w:t>
      </w:r>
      <w:r w:rsidRPr="00D51CD9">
        <w:rPr>
          <w:rFonts w:ascii="Book Antiqua" w:hAnsi="Book Antiqua"/>
          <w:sz w:val="16"/>
          <w:szCs w:val="16"/>
        </w:rPr>
        <w:t>This addresses the cross-regional comparative core of your study, contrasting the liquidity-diverting tendencies of telecom-centric ecosystems (e.g., Sub-Saharan Africa) with the formal deposit-capture mechanisms of bank-aligned digital public infrastructures (e.g., South/Southeast Asia).</w:t>
      </w:r>
    </w:p>
    <w:p w14:paraId="6320397C" w14:textId="77777777" w:rsidR="00283C8B" w:rsidRPr="00D51CD9" w:rsidRDefault="00283C8B" w:rsidP="004005B1">
      <w:pPr>
        <w:pStyle w:val="NoSpacing"/>
        <w:jc w:val="both"/>
        <w:rPr>
          <w:rFonts w:ascii="Book Antiqua" w:hAnsi="Book Antiqua"/>
          <w:sz w:val="16"/>
          <w:szCs w:val="16"/>
        </w:rPr>
      </w:pPr>
    </w:p>
    <w:p w14:paraId="50F4E947" w14:textId="77777777" w:rsidR="00283C8B" w:rsidRPr="00D51CD9" w:rsidRDefault="009B3F14" w:rsidP="004005B1">
      <w:pPr>
        <w:pStyle w:val="NoSpacing"/>
        <w:jc w:val="both"/>
        <w:rPr>
          <w:rFonts w:ascii="Book Antiqua" w:hAnsi="Book Antiqua"/>
          <w:sz w:val="16"/>
          <w:szCs w:val="16"/>
        </w:rPr>
      </w:pPr>
      <w:r w:rsidRPr="00D51CD9">
        <w:rPr>
          <w:rFonts w:ascii="Book Antiqua" w:hAnsi="Book Antiqua"/>
          <w:b/>
          <w:bCs/>
          <w:color w:val="0070C0"/>
          <w:sz w:val="16"/>
          <w:szCs w:val="16"/>
        </w:rPr>
        <w:t xml:space="preserve">RQ3: </w:t>
      </w:r>
      <w:r w:rsidR="00E572CF" w:rsidRPr="00D51CD9">
        <w:rPr>
          <w:rFonts w:ascii="Book Antiqua" w:hAnsi="Book Antiqua"/>
          <w:sz w:val="16"/>
          <w:szCs w:val="16"/>
        </w:rPr>
        <w:t>Can digital financial development successfully achieve long-term macroeconomic deepening without pre-existing, robust institutional legal frameworks and traditional commercial banking integration?</w:t>
      </w:r>
    </w:p>
    <w:p w14:paraId="26C4EFF0" w14:textId="77777777" w:rsidR="00283C8B" w:rsidRPr="00D51CD9" w:rsidRDefault="00283C8B" w:rsidP="004005B1">
      <w:pPr>
        <w:pStyle w:val="NoSpacing"/>
        <w:jc w:val="both"/>
        <w:rPr>
          <w:rFonts w:ascii="Book Antiqua" w:hAnsi="Book Antiqua"/>
          <w:sz w:val="16"/>
          <w:szCs w:val="16"/>
        </w:rPr>
      </w:pPr>
    </w:p>
    <w:p w14:paraId="15D1B7B3" w14:textId="5EA62421" w:rsidR="005C174B" w:rsidRPr="00D51CD9" w:rsidRDefault="00353A1C" w:rsidP="004005B1">
      <w:pPr>
        <w:pStyle w:val="NoSpacing"/>
        <w:jc w:val="both"/>
        <w:rPr>
          <w:rFonts w:ascii="Book Antiqua" w:hAnsi="Book Antiqua"/>
          <w:sz w:val="16"/>
          <w:szCs w:val="16"/>
        </w:rPr>
      </w:pPr>
      <w:r w:rsidRPr="00D51CD9">
        <w:rPr>
          <w:rFonts w:ascii="Book Antiqua" w:hAnsi="Book Antiqua"/>
          <w:b/>
          <w:bCs/>
          <w:sz w:val="16"/>
          <w:szCs w:val="16"/>
        </w:rPr>
        <w:t>Analytical Focus:</w:t>
      </w:r>
      <w:r w:rsidRPr="00D51CD9">
        <w:rPr>
          <w:rFonts w:ascii="Book Antiqua" w:hAnsi="Book Antiqua"/>
          <w:sz w:val="16"/>
          <w:szCs w:val="16"/>
        </w:rPr>
        <w:t xml:space="preserve"> This question targets the boundary conditions of "leapfrogging" theory, critically evaluating whether digital finance requires a foundation of traditional commercial banking architecture and legal oversight to drive genuine structural development.</w:t>
      </w:r>
    </w:p>
    <w:p w14:paraId="3D6D6C3D" w14:textId="77777777" w:rsidR="006A63CA" w:rsidRPr="00F563F9" w:rsidRDefault="00C10A2C" w:rsidP="004005B1">
      <w:pPr>
        <w:keepNext/>
        <w:spacing w:before="36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5</w:t>
      </w:r>
      <w:r w:rsidR="007C6FFE" w:rsidRPr="00F563F9">
        <w:rPr>
          <w:rFonts w:ascii="Book Antiqua" w:hAnsi="Book Antiqua"/>
          <w:b/>
          <w:color w:val="215E99" w:themeColor="text2" w:themeTint="BF"/>
          <w:sz w:val="18"/>
          <w:szCs w:val="18"/>
        </w:rPr>
        <w:t xml:space="preserve">. </w:t>
      </w:r>
      <w:r w:rsidR="00273EAA" w:rsidRPr="00F563F9">
        <w:rPr>
          <w:rFonts w:ascii="Book Antiqua" w:hAnsi="Book Antiqua"/>
          <w:b/>
          <w:color w:val="215E99" w:themeColor="text2" w:themeTint="BF"/>
          <w:sz w:val="18"/>
          <w:szCs w:val="18"/>
        </w:rPr>
        <w:t>Deep Regional</w:t>
      </w:r>
      <w:r w:rsidR="007C6FFE" w:rsidRPr="00F563F9">
        <w:rPr>
          <w:rFonts w:ascii="Book Antiqua" w:hAnsi="Book Antiqua"/>
          <w:b/>
          <w:color w:val="215E99" w:themeColor="text2" w:themeTint="BF"/>
          <w:sz w:val="18"/>
          <w:szCs w:val="18"/>
        </w:rPr>
        <w:t xml:space="preserve"> Div</w:t>
      </w:r>
      <w:r w:rsidR="00273EAA" w:rsidRPr="00F563F9">
        <w:rPr>
          <w:rFonts w:ascii="Book Antiqua" w:hAnsi="Book Antiqua"/>
          <w:b/>
          <w:color w:val="215E99" w:themeColor="text2" w:themeTint="BF"/>
          <w:sz w:val="18"/>
          <w:szCs w:val="18"/>
        </w:rPr>
        <w:t>ide</w:t>
      </w:r>
      <w:r w:rsidR="007C6FFE" w:rsidRPr="00F563F9">
        <w:rPr>
          <w:rFonts w:ascii="Book Antiqua" w:hAnsi="Book Antiqua"/>
          <w:b/>
          <w:color w:val="215E99" w:themeColor="text2" w:themeTint="BF"/>
          <w:sz w:val="18"/>
          <w:szCs w:val="18"/>
        </w:rPr>
        <w:t xml:space="preserve">: </w:t>
      </w:r>
      <w:r w:rsidR="003B3226" w:rsidRPr="00F563F9">
        <w:rPr>
          <w:rFonts w:ascii="Book Antiqua" w:hAnsi="Book Antiqua"/>
          <w:b/>
          <w:color w:val="215E99" w:themeColor="text2" w:themeTint="BF"/>
          <w:sz w:val="18"/>
          <w:szCs w:val="18"/>
        </w:rPr>
        <w:t>Sub-Saharan Africa (SSA) and South/Southeast Asia (S/SEA)</w:t>
      </w:r>
    </w:p>
    <w:p w14:paraId="10756E06" w14:textId="1E90BDF7" w:rsidR="00E64DA0" w:rsidRDefault="006A63CA" w:rsidP="004005B1">
      <w:pPr>
        <w:keepNext/>
        <w:spacing w:after="120" w:line="240" w:lineRule="auto"/>
        <w:jc w:val="both"/>
        <w:rPr>
          <w:rFonts w:ascii="Book Antiqua" w:hAnsi="Book Antiqua"/>
          <w:sz w:val="16"/>
          <w:szCs w:val="16"/>
        </w:rPr>
      </w:pPr>
      <w:r w:rsidRPr="00D51CD9">
        <w:rPr>
          <w:rFonts w:ascii="Book Antiqua" w:hAnsi="Book Antiqua"/>
          <w:sz w:val="16"/>
          <w:szCs w:val="16"/>
        </w:rPr>
        <w:t xml:space="preserve">This </w:t>
      </w:r>
      <w:r w:rsidR="00DD6385" w:rsidRPr="00D51CD9">
        <w:rPr>
          <w:rFonts w:ascii="Book Antiqua" w:hAnsi="Book Antiqua"/>
          <w:sz w:val="16"/>
          <w:szCs w:val="16"/>
        </w:rPr>
        <w:t xml:space="preserve">study </w:t>
      </w:r>
      <w:r w:rsidRPr="00D51CD9">
        <w:rPr>
          <w:rFonts w:ascii="Book Antiqua" w:hAnsi="Book Antiqua"/>
          <w:sz w:val="16"/>
          <w:szCs w:val="16"/>
        </w:rPr>
        <w:t xml:space="preserve">examines digital financial architectures across two primary developing regions: </w:t>
      </w:r>
      <w:r w:rsidR="00E51646" w:rsidRPr="00D51CD9">
        <w:rPr>
          <w:rFonts w:ascii="Book Antiqua" w:hAnsi="Book Antiqua"/>
          <w:sz w:val="16"/>
          <w:szCs w:val="16"/>
        </w:rPr>
        <w:t xml:space="preserve">(i) </w:t>
      </w:r>
      <w:r w:rsidRPr="00D51CD9">
        <w:rPr>
          <w:rFonts w:ascii="Book Antiqua" w:hAnsi="Book Antiqua"/>
          <w:sz w:val="16"/>
          <w:szCs w:val="16"/>
        </w:rPr>
        <w:t>Sub-Saharan Africa (SSA)</w:t>
      </w:r>
      <w:r w:rsidR="00DD6385" w:rsidRPr="00D51CD9">
        <w:rPr>
          <w:rFonts w:ascii="Book Antiqua" w:hAnsi="Book Antiqua"/>
          <w:sz w:val="16"/>
          <w:szCs w:val="16"/>
        </w:rPr>
        <w:t xml:space="preserve">, </w:t>
      </w:r>
      <w:r w:rsidRPr="00D51CD9">
        <w:rPr>
          <w:rFonts w:ascii="Book Antiqua" w:hAnsi="Book Antiqua"/>
          <w:sz w:val="16"/>
          <w:szCs w:val="16"/>
        </w:rPr>
        <w:t>encompassing Eastern, Western, Central, and Southern Africa, excluding North Africa</w:t>
      </w:r>
      <w:r w:rsidR="00DD6385" w:rsidRPr="00D51CD9">
        <w:rPr>
          <w:rFonts w:ascii="Book Antiqua" w:hAnsi="Book Antiqua"/>
          <w:sz w:val="16"/>
          <w:szCs w:val="16"/>
        </w:rPr>
        <w:t xml:space="preserve"> </w:t>
      </w:r>
      <w:r w:rsidRPr="00D51CD9">
        <w:rPr>
          <w:rFonts w:ascii="Book Antiqua" w:hAnsi="Book Antiqua"/>
          <w:sz w:val="16"/>
          <w:szCs w:val="16"/>
        </w:rPr>
        <w:t xml:space="preserve">and </w:t>
      </w:r>
      <w:r w:rsidR="00FE2511" w:rsidRPr="00D51CD9">
        <w:rPr>
          <w:rFonts w:ascii="Book Antiqua" w:hAnsi="Book Antiqua"/>
          <w:sz w:val="16"/>
          <w:szCs w:val="16"/>
        </w:rPr>
        <w:t>(ii)</w:t>
      </w:r>
      <w:r w:rsidR="00CE3507" w:rsidRPr="00D51CD9">
        <w:rPr>
          <w:rFonts w:ascii="Book Antiqua" w:hAnsi="Book Antiqua"/>
          <w:sz w:val="16"/>
          <w:szCs w:val="16"/>
        </w:rPr>
        <w:t xml:space="preserve"> </w:t>
      </w:r>
      <w:r w:rsidR="00FE2511" w:rsidRPr="00D51CD9">
        <w:rPr>
          <w:rFonts w:ascii="Book Antiqua" w:hAnsi="Book Antiqua"/>
          <w:sz w:val="16"/>
          <w:szCs w:val="16"/>
        </w:rPr>
        <w:t xml:space="preserve">Developing </w:t>
      </w:r>
      <w:r w:rsidRPr="00D51CD9">
        <w:rPr>
          <w:rFonts w:ascii="Book Antiqua" w:hAnsi="Book Antiqua"/>
          <w:sz w:val="16"/>
          <w:szCs w:val="16"/>
        </w:rPr>
        <w:t>Asia, specifically South Asia (SA, including economies such as India, Bangladesh, and Pakistan) and Southeast Asia (SEA, comprising ASEAN economies including Indonesia, Singapore, and Thailand).</w:t>
      </w:r>
    </w:p>
    <w:p w14:paraId="3E94FF3B" w14:textId="77777777" w:rsidR="00E64DA0" w:rsidRPr="00E64DA0" w:rsidRDefault="00E64DA0" w:rsidP="00E64DA0">
      <w:pPr>
        <w:keepNext/>
        <w:spacing w:after="0" w:line="240" w:lineRule="auto"/>
        <w:jc w:val="both"/>
        <w:rPr>
          <w:rFonts w:ascii="Book Antiqua" w:hAnsi="Book Antiqua"/>
          <w:sz w:val="16"/>
          <w:szCs w:val="16"/>
        </w:rPr>
      </w:pPr>
    </w:p>
    <w:p w14:paraId="123CCDE0" w14:textId="25E295AE" w:rsidR="007C6FFE" w:rsidRPr="008A1352" w:rsidRDefault="00C10A2C" w:rsidP="00E64DA0">
      <w:pPr>
        <w:keepNext/>
        <w:spacing w:after="120" w:line="240" w:lineRule="auto"/>
        <w:jc w:val="both"/>
        <w:rPr>
          <w:rFonts w:ascii="Book Antiqua" w:hAnsi="Book Antiqua"/>
          <w:color w:val="auto"/>
          <w:sz w:val="18"/>
          <w:szCs w:val="18"/>
        </w:rPr>
      </w:pPr>
      <w:r w:rsidRPr="008A1352">
        <w:rPr>
          <w:rFonts w:ascii="Book Antiqua" w:hAnsi="Book Antiqua"/>
          <w:b/>
          <w:color w:val="auto"/>
          <w:sz w:val="18"/>
          <w:szCs w:val="18"/>
        </w:rPr>
        <w:t>5</w:t>
      </w:r>
      <w:r w:rsidR="001926ED" w:rsidRPr="008A1352">
        <w:rPr>
          <w:rFonts w:ascii="Book Antiqua" w:hAnsi="Book Antiqua"/>
          <w:b/>
          <w:color w:val="auto"/>
          <w:sz w:val="18"/>
          <w:szCs w:val="18"/>
        </w:rPr>
        <w:t xml:space="preserve">.1 </w:t>
      </w:r>
      <w:r w:rsidR="007C6FFE" w:rsidRPr="008A1352">
        <w:rPr>
          <w:rFonts w:ascii="Book Antiqua" w:hAnsi="Book Antiqua"/>
          <w:b/>
          <w:color w:val="auto"/>
          <w:sz w:val="18"/>
          <w:szCs w:val="18"/>
        </w:rPr>
        <w:t>The Sub-Saharan African Telco-Led Paradigm</w:t>
      </w:r>
    </w:p>
    <w:p w14:paraId="41B2C797" w14:textId="6E566695" w:rsidR="007C6FFE" w:rsidRPr="00FA4A87" w:rsidRDefault="000535EF" w:rsidP="00E64DA0">
      <w:pPr>
        <w:keepNext/>
        <w:spacing w:after="80" w:line="240" w:lineRule="auto"/>
        <w:jc w:val="both"/>
        <w:rPr>
          <w:rFonts w:ascii="Book Antiqua" w:hAnsi="Book Antiqua"/>
          <w:color w:val="0070C0"/>
          <w:sz w:val="16"/>
          <w:szCs w:val="16"/>
        </w:rPr>
      </w:pPr>
      <w:r w:rsidRPr="00FA4A87">
        <w:rPr>
          <w:rFonts w:ascii="Book Antiqua" w:hAnsi="Book Antiqua"/>
          <w:b/>
          <w:color w:val="0070C0"/>
          <w:sz w:val="16"/>
          <w:szCs w:val="16"/>
        </w:rPr>
        <w:t xml:space="preserve">5.1.1 </w:t>
      </w:r>
      <w:r w:rsidR="007C6FFE" w:rsidRPr="00FA4A87">
        <w:rPr>
          <w:rFonts w:ascii="Book Antiqua" w:hAnsi="Book Antiqua"/>
          <w:b/>
          <w:color w:val="0070C0"/>
          <w:sz w:val="16"/>
          <w:szCs w:val="16"/>
        </w:rPr>
        <w:t>The Genesis and Structural Mechanics of Parallel Networks</w:t>
      </w:r>
    </w:p>
    <w:p w14:paraId="029FD50F" w14:textId="764DEF76" w:rsidR="007C6FFE" w:rsidRPr="00D51CD9" w:rsidRDefault="007C665C"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The emergence of fintech in </w:t>
      </w:r>
      <w:r w:rsidR="00EA3C22" w:rsidRPr="00D51CD9">
        <w:rPr>
          <w:rFonts w:ascii="Book Antiqua" w:hAnsi="Book Antiqua"/>
          <w:sz w:val="16"/>
          <w:szCs w:val="16"/>
        </w:rPr>
        <w:t>SSA</w:t>
      </w:r>
      <w:r w:rsidRPr="00D51CD9">
        <w:rPr>
          <w:rFonts w:ascii="Book Antiqua" w:hAnsi="Book Antiqua"/>
          <w:sz w:val="16"/>
          <w:szCs w:val="16"/>
        </w:rPr>
        <w:t xml:space="preserve"> is fundamentally rooted in the structural deficiencies of </w:t>
      </w:r>
      <w:r w:rsidR="002225A3">
        <w:rPr>
          <w:rFonts w:ascii="Book Antiqua" w:hAnsi="Book Antiqua"/>
          <w:sz w:val="16"/>
          <w:szCs w:val="16"/>
        </w:rPr>
        <w:t xml:space="preserve">the </w:t>
      </w:r>
      <w:r w:rsidRPr="00D51CD9">
        <w:rPr>
          <w:rFonts w:ascii="Book Antiqua" w:hAnsi="Book Antiqua"/>
          <w:sz w:val="16"/>
          <w:szCs w:val="16"/>
        </w:rPr>
        <w:t xml:space="preserve">region's legacy commercial banking sector. Historically, commercial banks in markets such as Kenya, Tanzania, Ghana, and Uganda adopted a highly risk-averse, exclusionary business model. Throughout the early 2000s, these institutions focused almost exclusively on serving corporate clients and high-net-worth individuals, while simultaneously allocating capital toward high-yield government debt rather than consumer credit. </w:t>
      </w:r>
      <w:r w:rsidR="007C6FFE" w:rsidRPr="00D51CD9">
        <w:rPr>
          <w:rFonts w:ascii="Book Antiqua" w:hAnsi="Book Antiqua"/>
          <w:sz w:val="16"/>
          <w:szCs w:val="16"/>
        </w:rPr>
        <w:t>The high</w:t>
      </w:r>
      <w:r w:rsidR="00F82872" w:rsidRPr="00D51CD9">
        <w:rPr>
          <w:rFonts w:ascii="Book Antiqua" w:hAnsi="Book Antiqua"/>
          <w:sz w:val="16"/>
          <w:szCs w:val="16"/>
        </w:rPr>
        <w:t xml:space="preserve"> </w:t>
      </w:r>
      <w:r w:rsidR="007C6FFE" w:rsidRPr="00D51CD9">
        <w:rPr>
          <w:rFonts w:ascii="Book Antiqua" w:hAnsi="Book Antiqua"/>
          <w:sz w:val="16"/>
          <w:szCs w:val="16"/>
        </w:rPr>
        <w:t>branch</w:t>
      </w:r>
      <w:r w:rsidR="00684A9F" w:rsidRPr="00D51CD9">
        <w:rPr>
          <w:rFonts w:ascii="Book Antiqua" w:hAnsi="Book Antiqua"/>
          <w:sz w:val="16"/>
          <w:szCs w:val="16"/>
        </w:rPr>
        <w:t xml:space="preserve"> maintenance expenses and strict </w:t>
      </w:r>
      <w:r w:rsidR="007C6FFE" w:rsidRPr="00D51CD9">
        <w:rPr>
          <w:rFonts w:ascii="Book Antiqua" w:hAnsi="Book Antiqua"/>
          <w:sz w:val="16"/>
          <w:szCs w:val="16"/>
        </w:rPr>
        <w:t xml:space="preserve">Know-Your-Customer (KYC) </w:t>
      </w:r>
      <w:r w:rsidR="009E3BD1" w:rsidRPr="00D51CD9">
        <w:rPr>
          <w:rFonts w:ascii="Book Antiqua" w:hAnsi="Book Antiqua"/>
          <w:sz w:val="16"/>
          <w:szCs w:val="16"/>
        </w:rPr>
        <w:t>requirements</w:t>
      </w:r>
      <w:r w:rsidR="007C6FFE" w:rsidRPr="00D51CD9">
        <w:rPr>
          <w:rFonts w:ascii="Book Antiqua" w:hAnsi="Book Antiqua"/>
          <w:sz w:val="16"/>
          <w:szCs w:val="16"/>
        </w:rPr>
        <w:t xml:space="preserve"> </w:t>
      </w:r>
      <w:r w:rsidR="009E3BD1" w:rsidRPr="00D51CD9">
        <w:rPr>
          <w:rFonts w:ascii="Book Antiqua" w:hAnsi="Book Antiqua"/>
          <w:sz w:val="16"/>
          <w:szCs w:val="16"/>
        </w:rPr>
        <w:t>barred</w:t>
      </w:r>
      <w:r w:rsidR="007C6FFE" w:rsidRPr="00D51CD9">
        <w:rPr>
          <w:rFonts w:ascii="Book Antiqua" w:hAnsi="Book Antiqua"/>
          <w:sz w:val="16"/>
          <w:szCs w:val="16"/>
        </w:rPr>
        <w:t xml:space="preserve"> over </w:t>
      </w:r>
      <w:r w:rsidR="00B97FCB">
        <w:rPr>
          <w:rFonts w:ascii="Book Antiqua" w:hAnsi="Book Antiqua"/>
          <w:sz w:val="16"/>
          <w:szCs w:val="16"/>
        </w:rPr>
        <w:t xml:space="preserve">eighty percent </w:t>
      </w:r>
      <w:r w:rsidR="007C6FFE" w:rsidRPr="00D51CD9">
        <w:rPr>
          <w:rFonts w:ascii="Book Antiqua" w:hAnsi="Book Antiqua"/>
          <w:sz w:val="16"/>
          <w:szCs w:val="16"/>
        </w:rPr>
        <w:t>of</w:t>
      </w:r>
      <w:r w:rsidR="006F3929">
        <w:rPr>
          <w:rFonts w:ascii="Book Antiqua" w:hAnsi="Book Antiqua"/>
          <w:sz w:val="16"/>
          <w:szCs w:val="16"/>
        </w:rPr>
        <w:t xml:space="preserve"> the</w:t>
      </w:r>
      <w:r w:rsidR="007C6FFE" w:rsidRPr="00D51CD9">
        <w:rPr>
          <w:rFonts w:ascii="Book Antiqua" w:hAnsi="Book Antiqua"/>
          <w:sz w:val="16"/>
          <w:szCs w:val="16"/>
        </w:rPr>
        <w:t xml:space="preserve"> </w:t>
      </w:r>
      <w:r w:rsidR="00AA5266" w:rsidRPr="00D51CD9">
        <w:rPr>
          <w:rFonts w:ascii="Book Antiqua" w:hAnsi="Book Antiqua"/>
          <w:sz w:val="16"/>
          <w:szCs w:val="16"/>
        </w:rPr>
        <w:t>adult</w:t>
      </w:r>
      <w:r w:rsidR="007C6FFE" w:rsidRPr="00D51CD9">
        <w:rPr>
          <w:rFonts w:ascii="Book Antiqua" w:hAnsi="Book Antiqua"/>
          <w:sz w:val="16"/>
          <w:szCs w:val="16"/>
        </w:rPr>
        <w:t xml:space="preserve"> population </w:t>
      </w:r>
      <w:r w:rsidR="006250B7" w:rsidRPr="00D51CD9">
        <w:rPr>
          <w:rFonts w:ascii="Book Antiqua" w:hAnsi="Book Antiqua"/>
          <w:sz w:val="16"/>
          <w:szCs w:val="16"/>
        </w:rPr>
        <w:t>from</w:t>
      </w:r>
      <w:r w:rsidR="007C6FFE" w:rsidRPr="00D51CD9">
        <w:rPr>
          <w:rFonts w:ascii="Book Antiqua" w:hAnsi="Book Antiqua"/>
          <w:sz w:val="16"/>
          <w:szCs w:val="16"/>
        </w:rPr>
        <w:t xml:space="preserve"> </w:t>
      </w:r>
      <w:r w:rsidR="00B97FCB" w:rsidRPr="00D51CD9">
        <w:rPr>
          <w:rFonts w:ascii="Book Antiqua" w:hAnsi="Book Antiqua"/>
          <w:sz w:val="16"/>
          <w:szCs w:val="16"/>
        </w:rPr>
        <w:t>recognised</w:t>
      </w:r>
      <w:r w:rsidR="006250B7" w:rsidRPr="00D51CD9">
        <w:rPr>
          <w:rFonts w:ascii="Book Antiqua" w:hAnsi="Book Antiqua"/>
          <w:sz w:val="16"/>
          <w:szCs w:val="16"/>
        </w:rPr>
        <w:t xml:space="preserve"> </w:t>
      </w:r>
      <w:r w:rsidR="007C6FFE" w:rsidRPr="00D51CD9">
        <w:rPr>
          <w:rFonts w:ascii="Book Antiqua" w:hAnsi="Book Antiqua"/>
          <w:sz w:val="16"/>
          <w:szCs w:val="16"/>
        </w:rPr>
        <w:t xml:space="preserve">financial </w:t>
      </w:r>
      <w:r w:rsidR="006250B7" w:rsidRPr="00D51CD9">
        <w:rPr>
          <w:rFonts w:ascii="Book Antiqua" w:hAnsi="Book Antiqua"/>
          <w:sz w:val="16"/>
          <w:szCs w:val="16"/>
        </w:rPr>
        <w:t>network</w:t>
      </w:r>
      <w:r w:rsidR="0089580C" w:rsidRPr="00D51CD9">
        <w:rPr>
          <w:rFonts w:ascii="Book Antiqua" w:hAnsi="Book Antiqua"/>
          <w:sz w:val="16"/>
          <w:szCs w:val="16"/>
        </w:rPr>
        <w:t>s</w:t>
      </w:r>
      <w:r w:rsidR="007C6FFE" w:rsidRPr="00D51CD9">
        <w:rPr>
          <w:rFonts w:ascii="Book Antiqua" w:hAnsi="Book Antiqua"/>
          <w:sz w:val="16"/>
          <w:szCs w:val="16"/>
        </w:rPr>
        <w:t>.</w:t>
      </w:r>
    </w:p>
    <w:p w14:paraId="226BFB39" w14:textId="4DEE9271"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Telecommunications </w:t>
      </w:r>
      <w:r w:rsidR="00090E73">
        <w:rPr>
          <w:rFonts w:ascii="Book Antiqua" w:hAnsi="Book Antiqua"/>
          <w:sz w:val="16"/>
          <w:szCs w:val="16"/>
        </w:rPr>
        <w:t>operators</w:t>
      </w:r>
      <w:r w:rsidRPr="00D51CD9">
        <w:rPr>
          <w:rFonts w:ascii="Book Antiqua" w:hAnsi="Book Antiqua"/>
          <w:sz w:val="16"/>
          <w:szCs w:val="16"/>
        </w:rPr>
        <w:t xml:space="preserve"> stepped into this institutional void by utilizing their pre-existing prepaid airtime distribution networks as a foundational layer for financial transactions. The classic structural prototype for this model is M-Pesa</w:t>
      </w:r>
      <w:r w:rsidR="0089580C" w:rsidRPr="00D51CD9">
        <w:rPr>
          <w:rFonts w:ascii="Book Antiqua" w:hAnsi="Book Antiqua"/>
          <w:sz w:val="16"/>
          <w:szCs w:val="16"/>
        </w:rPr>
        <w:t xml:space="preserve"> (Safaricom)</w:t>
      </w:r>
      <w:r w:rsidRPr="00D51CD9">
        <w:rPr>
          <w:rFonts w:ascii="Book Antiqua" w:hAnsi="Book Antiqua"/>
          <w:sz w:val="16"/>
          <w:szCs w:val="16"/>
        </w:rPr>
        <w:t xml:space="preserve"> in Kenya, which </w:t>
      </w:r>
      <w:r w:rsidR="002920C0" w:rsidRPr="00D51CD9">
        <w:rPr>
          <w:rFonts w:ascii="Book Antiqua" w:hAnsi="Book Antiqua"/>
          <w:sz w:val="16"/>
          <w:szCs w:val="16"/>
        </w:rPr>
        <w:t>has</w:t>
      </w:r>
      <w:r w:rsidRPr="00D51CD9">
        <w:rPr>
          <w:rFonts w:ascii="Book Antiqua" w:hAnsi="Book Antiqua"/>
          <w:sz w:val="16"/>
          <w:szCs w:val="16"/>
        </w:rPr>
        <w:t xml:space="preserve"> later </w:t>
      </w:r>
      <w:r w:rsidR="00AA5266" w:rsidRPr="00D51CD9">
        <w:rPr>
          <w:rFonts w:ascii="Book Antiqua" w:hAnsi="Book Antiqua"/>
          <w:sz w:val="16"/>
          <w:szCs w:val="16"/>
        </w:rPr>
        <w:t xml:space="preserve">been </w:t>
      </w:r>
      <w:r w:rsidRPr="00D51CD9">
        <w:rPr>
          <w:rFonts w:ascii="Book Antiqua" w:hAnsi="Book Antiqua"/>
          <w:sz w:val="16"/>
          <w:szCs w:val="16"/>
        </w:rPr>
        <w:t>emulated across the continent by operators such as MTN, Airtel, and Orange.</w:t>
      </w:r>
      <w:r w:rsidR="00090138" w:rsidRPr="00D51CD9">
        <w:rPr>
          <w:rFonts w:ascii="Book Antiqua" w:hAnsi="Book Antiqua"/>
          <w:sz w:val="16"/>
          <w:szCs w:val="16"/>
        </w:rPr>
        <w:t xml:space="preserve"> </w:t>
      </w:r>
      <w:r w:rsidRPr="00D51CD9">
        <w:rPr>
          <w:rFonts w:ascii="Book Antiqua" w:hAnsi="Book Antiqua"/>
          <w:sz w:val="16"/>
          <w:szCs w:val="16"/>
        </w:rPr>
        <w:t xml:space="preserve">The structural mechanics of the telco-led paradigm </w:t>
      </w:r>
      <w:r w:rsidR="00EA3C22" w:rsidRPr="00D51CD9">
        <w:rPr>
          <w:rFonts w:ascii="Book Antiqua" w:hAnsi="Book Antiqua"/>
          <w:sz w:val="16"/>
          <w:szCs w:val="16"/>
        </w:rPr>
        <w:t>depend on</w:t>
      </w:r>
      <w:r w:rsidRPr="00D51CD9">
        <w:rPr>
          <w:rFonts w:ascii="Book Antiqua" w:hAnsi="Book Antiqua"/>
          <w:sz w:val="16"/>
          <w:szCs w:val="16"/>
        </w:rPr>
        <w:t xml:space="preserve"> a network of third-party retail agents (e.g., local shopkeepers, kiosks)</w:t>
      </w:r>
      <w:r w:rsidR="004862CB" w:rsidRPr="00D51CD9">
        <w:rPr>
          <w:rFonts w:ascii="Book Antiqua" w:hAnsi="Book Antiqua"/>
          <w:sz w:val="16"/>
          <w:szCs w:val="16"/>
        </w:rPr>
        <w:t xml:space="preserve"> acting</w:t>
      </w:r>
      <w:r w:rsidR="005852A2" w:rsidRPr="00D51CD9">
        <w:rPr>
          <w:rFonts w:ascii="Book Antiqua" w:hAnsi="Book Antiqua"/>
          <w:sz w:val="16"/>
          <w:szCs w:val="16"/>
        </w:rPr>
        <w:t xml:space="preserve"> as human ATMs to facilitate physical cash</w:t>
      </w:r>
      <w:r w:rsidR="00D2057B" w:rsidRPr="00D51CD9">
        <w:rPr>
          <w:rFonts w:ascii="Book Antiqua" w:hAnsi="Book Antiqua"/>
          <w:sz w:val="16"/>
          <w:szCs w:val="16"/>
        </w:rPr>
        <w:t xml:space="preserve"> </w:t>
      </w:r>
      <w:r w:rsidR="005852A2" w:rsidRPr="00D51CD9">
        <w:rPr>
          <w:rFonts w:ascii="Book Antiqua" w:hAnsi="Book Antiqua"/>
          <w:sz w:val="16"/>
          <w:szCs w:val="16"/>
        </w:rPr>
        <w:t>in (digitization) and cash</w:t>
      </w:r>
      <w:r w:rsidR="00D2057B" w:rsidRPr="00D51CD9">
        <w:rPr>
          <w:rFonts w:ascii="Book Antiqua" w:hAnsi="Book Antiqua"/>
          <w:sz w:val="16"/>
          <w:szCs w:val="16"/>
        </w:rPr>
        <w:t xml:space="preserve"> </w:t>
      </w:r>
      <w:r w:rsidR="005852A2" w:rsidRPr="00D51CD9">
        <w:rPr>
          <w:rFonts w:ascii="Book Antiqua" w:hAnsi="Book Antiqua"/>
          <w:sz w:val="16"/>
          <w:szCs w:val="16"/>
        </w:rPr>
        <w:t>out (liquidation)</w:t>
      </w:r>
      <w:r w:rsidR="001F46FE" w:rsidRPr="00D51CD9">
        <w:rPr>
          <w:rFonts w:ascii="Book Antiqua" w:hAnsi="Book Antiqua"/>
          <w:sz w:val="16"/>
          <w:szCs w:val="16"/>
        </w:rPr>
        <w:t>.</w:t>
      </w:r>
      <w:r w:rsidR="00F67BDA" w:rsidRPr="00D51CD9">
        <w:rPr>
          <w:rFonts w:ascii="Book Antiqua" w:hAnsi="Book Antiqua"/>
          <w:sz w:val="16"/>
          <w:szCs w:val="16"/>
        </w:rPr>
        <w:t xml:space="preserve"> By anchoring the consumer’s financial identity directly to their Subscriber Identity Module (SIM) card, this model effectively decouples banking functionality from traditional bank account structures, drastically lowering entry barriers for unbanked populations.</w:t>
      </w:r>
    </w:p>
    <w:p w14:paraId="239178A6" w14:textId="3115AD75"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From a regulatory standpoint, central banks initially adopted a policy of </w:t>
      </w:r>
      <w:r w:rsidR="00382267" w:rsidRPr="00D51CD9">
        <w:rPr>
          <w:rFonts w:ascii="Book Antiqua" w:hAnsi="Book Antiqua"/>
          <w:sz w:val="16"/>
          <w:szCs w:val="16"/>
        </w:rPr>
        <w:t>‘</w:t>
      </w:r>
      <w:r w:rsidRPr="00D51CD9">
        <w:rPr>
          <w:rFonts w:ascii="Book Antiqua" w:hAnsi="Book Antiqua"/>
          <w:sz w:val="16"/>
          <w:szCs w:val="16"/>
        </w:rPr>
        <w:t>regulatory forbearance</w:t>
      </w:r>
      <w:r w:rsidR="00382267" w:rsidRPr="00D51CD9">
        <w:rPr>
          <w:rFonts w:ascii="Book Antiqua" w:hAnsi="Book Antiqua"/>
          <w:sz w:val="16"/>
          <w:szCs w:val="16"/>
        </w:rPr>
        <w:t>’,</w:t>
      </w:r>
      <w:r w:rsidRPr="00D51CD9">
        <w:rPr>
          <w:rFonts w:ascii="Book Antiqua" w:hAnsi="Book Antiqua"/>
          <w:sz w:val="16"/>
          <w:szCs w:val="16"/>
        </w:rPr>
        <w:t xml:space="preserve"> allowing mobile network operators (MNOs) to issue electronic money (e-money) </w:t>
      </w:r>
      <w:r w:rsidR="009364B2" w:rsidRPr="00D51CD9">
        <w:rPr>
          <w:rFonts w:ascii="Book Antiqua" w:hAnsi="Book Antiqua"/>
          <w:sz w:val="16"/>
          <w:szCs w:val="16"/>
        </w:rPr>
        <w:t>via</w:t>
      </w:r>
      <w:r w:rsidRPr="00D51CD9">
        <w:rPr>
          <w:rFonts w:ascii="Book Antiqua" w:hAnsi="Book Antiqua"/>
          <w:sz w:val="16"/>
          <w:szCs w:val="16"/>
        </w:rPr>
        <w:t xml:space="preserve"> non-bank financial institution licenses. To protect consumers from systemic fraud and speculative runs, regulators mandated that 100% of the aggregate value of outstanding e-money tokens be backed by physical cash deposits held in pooled escrow trust accounts distributed across a select group of commercial banks.</w:t>
      </w:r>
    </w:p>
    <w:p w14:paraId="1ECE41F6" w14:textId="3D78E6BB" w:rsidR="007C6FFE" w:rsidRPr="00D51CD9" w:rsidRDefault="000535EF" w:rsidP="004005B1">
      <w:pPr>
        <w:keepNext/>
        <w:spacing w:before="240" w:after="80" w:line="240" w:lineRule="auto"/>
        <w:jc w:val="both"/>
        <w:rPr>
          <w:rFonts w:ascii="Book Antiqua" w:hAnsi="Book Antiqua"/>
          <w:sz w:val="16"/>
          <w:szCs w:val="16"/>
        </w:rPr>
      </w:pPr>
      <w:r w:rsidRPr="00D51CD9">
        <w:rPr>
          <w:rFonts w:ascii="Book Antiqua" w:hAnsi="Book Antiqua"/>
          <w:b/>
          <w:color w:val="4682B4"/>
          <w:sz w:val="16"/>
          <w:szCs w:val="16"/>
        </w:rPr>
        <w:t xml:space="preserve">5.1.2 </w:t>
      </w:r>
      <w:r w:rsidR="007C6FFE" w:rsidRPr="00D51CD9">
        <w:rPr>
          <w:rFonts w:ascii="Book Antiqua" w:hAnsi="Book Antiqua"/>
          <w:b/>
          <w:color w:val="4682B4"/>
          <w:sz w:val="16"/>
          <w:szCs w:val="16"/>
        </w:rPr>
        <w:t>The Fractionalization of Capital and the Credit Paradox</w:t>
      </w:r>
    </w:p>
    <w:p w14:paraId="69C5430C" w14:textId="77777777"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While this trust-account structure protected consumer deposits, it introduced a significant structural barrier to macroeconomic financial deepening. By law, the commercial banks holding these escrow accounts could not treat these funds as core commercial deposits available for lending. Instead, the liquidity remained highly isolated. The funds were typically placed in low-risk government securities or overnight central bank deposits, removing them from the domestic credit-creation loop.</w:t>
      </w:r>
    </w:p>
    <w:p w14:paraId="4FAA048A" w14:textId="784E0B51"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Consequently, the telco-led model creates a distinct capital fractionalization paradox. At the microeconomic level, transactional liquidity circulates rapidly through P2P transfers, merchant payments, and utility bill settlements. </w:t>
      </w:r>
      <w:r w:rsidR="00DA5200" w:rsidRPr="00D51CD9">
        <w:rPr>
          <w:rFonts w:ascii="Book Antiqua" w:hAnsi="Book Antiqua"/>
          <w:sz w:val="16"/>
          <w:szCs w:val="16"/>
        </w:rPr>
        <w:t>Critically</w:t>
      </w:r>
      <w:r w:rsidRPr="00D51CD9">
        <w:rPr>
          <w:rFonts w:ascii="Book Antiqua" w:hAnsi="Book Antiqua"/>
          <w:sz w:val="16"/>
          <w:szCs w:val="16"/>
        </w:rPr>
        <w:t>,</w:t>
      </w:r>
      <w:r w:rsidR="00DA5200" w:rsidRPr="00D51CD9">
        <w:rPr>
          <w:rFonts w:ascii="Book Antiqua" w:hAnsi="Book Antiqua"/>
          <w:sz w:val="16"/>
          <w:szCs w:val="16"/>
        </w:rPr>
        <w:t xml:space="preserve"> however,</w:t>
      </w:r>
      <w:r w:rsidRPr="00D51CD9">
        <w:rPr>
          <w:rFonts w:ascii="Book Antiqua" w:hAnsi="Book Antiqua"/>
          <w:sz w:val="16"/>
          <w:szCs w:val="16"/>
        </w:rPr>
        <w:t xml:space="preserve"> this high velocity fails to increase the domestic credit pool. </w:t>
      </w:r>
      <w:r w:rsidR="009D41A8" w:rsidRPr="00D51CD9">
        <w:rPr>
          <w:rFonts w:ascii="Book Antiqua" w:hAnsi="Book Antiqua"/>
          <w:sz w:val="16"/>
          <w:szCs w:val="16"/>
        </w:rPr>
        <w:t>Despite near-ubiquitous retail financial inclusion, t</w:t>
      </w:r>
      <w:r w:rsidRPr="00D51CD9">
        <w:rPr>
          <w:rFonts w:ascii="Book Antiqua" w:hAnsi="Book Antiqua"/>
          <w:sz w:val="16"/>
          <w:szCs w:val="16"/>
        </w:rPr>
        <w:t>he formal private sector</w:t>
      </w:r>
      <w:r w:rsidR="00B337A4">
        <w:rPr>
          <w:rFonts w:ascii="Book Antiqua" w:hAnsi="Book Antiqua"/>
          <w:sz w:val="16"/>
          <w:szCs w:val="16"/>
        </w:rPr>
        <w:t>’s</w:t>
      </w:r>
      <w:r w:rsidRPr="00D51CD9">
        <w:rPr>
          <w:rFonts w:ascii="Book Antiqua" w:hAnsi="Book Antiqua"/>
          <w:sz w:val="16"/>
          <w:szCs w:val="16"/>
        </w:rPr>
        <w:t xml:space="preserve"> credit</w:t>
      </w:r>
      <w:r w:rsidR="00E3630D" w:rsidRPr="00D51CD9">
        <w:rPr>
          <w:rFonts w:ascii="Book Antiqua" w:hAnsi="Book Antiqua"/>
          <w:sz w:val="16"/>
          <w:szCs w:val="16"/>
        </w:rPr>
        <w:t xml:space="preserve"> </w:t>
      </w:r>
      <w:r w:rsidRPr="00D51CD9">
        <w:rPr>
          <w:rFonts w:ascii="Book Antiqua" w:hAnsi="Book Antiqua"/>
          <w:sz w:val="16"/>
          <w:szCs w:val="16"/>
        </w:rPr>
        <w:t>to</w:t>
      </w:r>
      <w:r w:rsidR="00E3630D" w:rsidRPr="00D51CD9">
        <w:rPr>
          <w:rFonts w:ascii="Book Antiqua" w:hAnsi="Book Antiqua"/>
          <w:sz w:val="16"/>
          <w:szCs w:val="16"/>
        </w:rPr>
        <w:t xml:space="preserve"> </w:t>
      </w:r>
      <w:r w:rsidRPr="00D51CD9">
        <w:rPr>
          <w:rFonts w:ascii="Book Antiqua" w:hAnsi="Book Antiqua"/>
          <w:sz w:val="16"/>
          <w:szCs w:val="16"/>
        </w:rPr>
        <w:t>GDP ratio across many SSA</w:t>
      </w:r>
      <w:r w:rsidR="00E3630D" w:rsidRPr="00D51CD9">
        <w:rPr>
          <w:rFonts w:ascii="Book Antiqua" w:hAnsi="Book Antiqua"/>
          <w:sz w:val="16"/>
          <w:szCs w:val="16"/>
        </w:rPr>
        <w:t xml:space="preserve"> countries</w:t>
      </w:r>
      <w:r w:rsidRPr="00D51CD9">
        <w:rPr>
          <w:rFonts w:ascii="Book Antiqua" w:hAnsi="Book Antiqua"/>
          <w:sz w:val="16"/>
          <w:szCs w:val="16"/>
        </w:rPr>
        <w:t xml:space="preserve"> with high mobile money adoption has remained structurally stagnant.</w:t>
      </w:r>
    </w:p>
    <w:p w14:paraId="487D1286" w14:textId="150A23C4"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When credit mechanisms eventually developed within the telco-led ecosystems, they took the form of partnerships between MNOs and commercial banks to offer short-term digital micro-loans (e.g., M-Shwari in Kenya, Mokash in Uganda). These credit products utilize</w:t>
      </w:r>
      <w:r w:rsidR="00C9608E" w:rsidRPr="00D51CD9">
        <w:rPr>
          <w:rFonts w:ascii="Book Antiqua" w:hAnsi="Book Antiqua"/>
          <w:sz w:val="16"/>
          <w:szCs w:val="16"/>
        </w:rPr>
        <w:t xml:space="preserve"> </w:t>
      </w:r>
      <w:r w:rsidRPr="00D51CD9">
        <w:rPr>
          <w:rFonts w:ascii="Book Antiqua" w:hAnsi="Book Antiqua"/>
          <w:sz w:val="16"/>
          <w:szCs w:val="16"/>
        </w:rPr>
        <w:t>alternative data</w:t>
      </w:r>
      <w:r w:rsidR="00510C58" w:rsidRPr="00D51CD9">
        <w:rPr>
          <w:rFonts w:ascii="Book Antiqua" w:hAnsi="Book Antiqua"/>
          <w:sz w:val="16"/>
          <w:szCs w:val="16"/>
        </w:rPr>
        <w:t xml:space="preserve"> within algorithmic underwriting models</w:t>
      </w:r>
      <w:r w:rsidRPr="00D51CD9">
        <w:rPr>
          <w:rFonts w:ascii="Book Antiqua" w:hAnsi="Book Antiqua"/>
          <w:sz w:val="16"/>
          <w:szCs w:val="16"/>
        </w:rPr>
        <w:t>, including airtime usage, data consumption, transactional velocity</w:t>
      </w:r>
      <w:r w:rsidR="00FD713C" w:rsidRPr="00D51CD9">
        <w:rPr>
          <w:rFonts w:ascii="Book Antiqua" w:hAnsi="Book Antiqua"/>
          <w:sz w:val="16"/>
          <w:szCs w:val="16"/>
        </w:rPr>
        <w:t xml:space="preserve"> to assess borrower creditworthiness and automated underwriting</w:t>
      </w:r>
      <w:r w:rsidRPr="00D51CD9">
        <w:rPr>
          <w:rFonts w:ascii="Book Antiqua" w:hAnsi="Book Antiqua"/>
          <w:sz w:val="16"/>
          <w:szCs w:val="16"/>
        </w:rPr>
        <w:t>.</w:t>
      </w:r>
    </w:p>
    <w:p w14:paraId="4933E679" w14:textId="77777777" w:rsidR="00FA4A87" w:rsidRDefault="000A08EF" w:rsidP="00FA4A87">
      <w:pPr>
        <w:spacing w:after="120" w:line="240" w:lineRule="auto"/>
        <w:jc w:val="both"/>
        <w:rPr>
          <w:rFonts w:ascii="Book Antiqua" w:hAnsi="Book Antiqua"/>
          <w:sz w:val="16"/>
          <w:szCs w:val="16"/>
        </w:rPr>
      </w:pPr>
      <w:r w:rsidRPr="00D51CD9">
        <w:rPr>
          <w:rFonts w:ascii="Book Antiqua" w:hAnsi="Book Antiqua"/>
          <w:sz w:val="16"/>
          <w:szCs w:val="16"/>
        </w:rPr>
        <w:t>Although</w:t>
      </w:r>
      <w:r w:rsidR="007C6FFE" w:rsidRPr="00D51CD9">
        <w:rPr>
          <w:rFonts w:ascii="Book Antiqua" w:hAnsi="Book Antiqua"/>
          <w:sz w:val="16"/>
          <w:szCs w:val="16"/>
        </w:rPr>
        <w:t xml:space="preserve"> these digital credit platforms offer rapid access to funds, their structural design has faced criticism in development literature. The loans are typically characterized by ultra-short maturities (7 to 30 days), high annualized interest rates (often exceeding 60-100% APR), and allocation primarily toward immediate consumption smoothing rather than industrial asset development. </w:t>
      </w:r>
      <w:r w:rsidR="0014315D" w:rsidRPr="00D51CD9">
        <w:rPr>
          <w:rFonts w:ascii="Book Antiqua" w:hAnsi="Book Antiqua"/>
          <w:sz w:val="16"/>
          <w:szCs w:val="16"/>
        </w:rPr>
        <w:t>Consequently, i</w:t>
      </w:r>
      <w:r w:rsidR="007C6FFE" w:rsidRPr="00D51CD9">
        <w:rPr>
          <w:rFonts w:ascii="Book Antiqua" w:hAnsi="Book Antiqua"/>
          <w:sz w:val="16"/>
          <w:szCs w:val="16"/>
        </w:rPr>
        <w:t>nstead of fostering sustainable financial deepening, this model can lead to cycles of digital over-indebtedness.</w:t>
      </w:r>
    </w:p>
    <w:p w14:paraId="0A8EB979" w14:textId="6F4F1DB7" w:rsidR="007C6FFE" w:rsidRPr="00FA4A87" w:rsidRDefault="00C10A2C" w:rsidP="00FA4A87">
      <w:pPr>
        <w:spacing w:after="120" w:line="240" w:lineRule="auto"/>
        <w:jc w:val="both"/>
        <w:rPr>
          <w:rFonts w:ascii="Book Antiqua" w:hAnsi="Book Antiqua"/>
          <w:sz w:val="16"/>
          <w:szCs w:val="16"/>
        </w:rPr>
      </w:pPr>
      <w:r w:rsidRPr="00E94793">
        <w:rPr>
          <w:rFonts w:ascii="Book Antiqua" w:hAnsi="Book Antiqua"/>
          <w:b/>
          <w:color w:val="0C2340"/>
          <w:sz w:val="18"/>
          <w:szCs w:val="18"/>
        </w:rPr>
        <w:t>5</w:t>
      </w:r>
      <w:r w:rsidR="00EB6485" w:rsidRPr="00E94793">
        <w:rPr>
          <w:rFonts w:ascii="Book Antiqua" w:hAnsi="Book Antiqua"/>
          <w:b/>
          <w:color w:val="0C2340"/>
          <w:sz w:val="18"/>
          <w:szCs w:val="18"/>
        </w:rPr>
        <w:t xml:space="preserve">.2 </w:t>
      </w:r>
      <w:r w:rsidR="007C6FFE" w:rsidRPr="00E94793">
        <w:rPr>
          <w:rFonts w:ascii="Book Antiqua" w:hAnsi="Book Antiqua"/>
          <w:b/>
          <w:color w:val="0C2340"/>
          <w:sz w:val="18"/>
          <w:szCs w:val="18"/>
        </w:rPr>
        <w:t>The South and Southeast Asian Bank- and State-Led Paradigm</w:t>
      </w:r>
    </w:p>
    <w:p w14:paraId="064742F9" w14:textId="618BD43E" w:rsidR="001C5311" w:rsidRPr="00D51CD9" w:rsidRDefault="000535EF" w:rsidP="004005B1">
      <w:pPr>
        <w:spacing w:after="120" w:line="240" w:lineRule="auto"/>
        <w:jc w:val="both"/>
        <w:rPr>
          <w:rFonts w:ascii="Book Antiqua" w:hAnsi="Book Antiqua"/>
          <w:b/>
          <w:color w:val="4682B4"/>
          <w:sz w:val="16"/>
          <w:szCs w:val="16"/>
        </w:rPr>
      </w:pPr>
      <w:r w:rsidRPr="00D51CD9">
        <w:rPr>
          <w:rFonts w:ascii="Book Antiqua" w:hAnsi="Book Antiqua"/>
          <w:b/>
          <w:color w:val="4682B4"/>
          <w:sz w:val="16"/>
          <w:szCs w:val="16"/>
        </w:rPr>
        <w:t xml:space="preserve">5.2.1 </w:t>
      </w:r>
      <w:r w:rsidR="001C5311" w:rsidRPr="00D51CD9">
        <w:rPr>
          <w:rFonts w:ascii="Book Antiqua" w:hAnsi="Book Antiqua"/>
          <w:b/>
          <w:color w:val="4682B4"/>
          <w:sz w:val="16"/>
          <w:szCs w:val="16"/>
        </w:rPr>
        <w:t>The Architectural Dichotomy: Market-Led Telco Networks vs. State-Directed DPI</w:t>
      </w:r>
    </w:p>
    <w:p w14:paraId="54E3A08F" w14:textId="6CDB5FB0" w:rsidR="00680082"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In contrast to the parallel networks of S</w:t>
      </w:r>
      <w:r w:rsidR="00C00853" w:rsidRPr="00D51CD9">
        <w:rPr>
          <w:rFonts w:ascii="Book Antiqua" w:hAnsi="Book Antiqua"/>
          <w:sz w:val="16"/>
          <w:szCs w:val="16"/>
        </w:rPr>
        <w:t>SA</w:t>
      </w:r>
      <w:r w:rsidRPr="00D51CD9">
        <w:rPr>
          <w:rFonts w:ascii="Book Antiqua" w:hAnsi="Book Antiqua"/>
          <w:sz w:val="16"/>
          <w:szCs w:val="16"/>
        </w:rPr>
        <w:t xml:space="preserve">, the digital financial evolution across S/SEA has been driven by state-directed initiatives and bank-centric architectures. Rather than allowing telecommunications companies to build separate proprietary ledgers, governments in countries such as India, Indonesia, Singapore, </w:t>
      </w:r>
      <w:r w:rsidR="006B490E" w:rsidRPr="00D51CD9">
        <w:rPr>
          <w:rFonts w:ascii="Book Antiqua" w:hAnsi="Book Antiqua"/>
          <w:sz w:val="16"/>
          <w:szCs w:val="16"/>
        </w:rPr>
        <w:t xml:space="preserve">Bangladesh </w:t>
      </w:r>
      <w:r w:rsidRPr="00D51CD9">
        <w:rPr>
          <w:rFonts w:ascii="Book Antiqua" w:hAnsi="Book Antiqua"/>
          <w:sz w:val="16"/>
          <w:szCs w:val="16"/>
        </w:rPr>
        <w:t>and Thailand have developed integrated Digital Public Infrastructure (DPI). This approach positions licensed commercial banking institutions as the core custodians of digital liquidity.</w:t>
      </w:r>
    </w:p>
    <w:p w14:paraId="604FFD82" w14:textId="1E439270"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lastRenderedPageBreak/>
        <w:t xml:space="preserve">The primary structural benchmark for this model is India's "JAM Trinity" framework, which integrates </w:t>
      </w:r>
      <w:r w:rsidR="007A086F" w:rsidRPr="00D51CD9">
        <w:rPr>
          <w:rFonts w:ascii="Book Antiqua" w:hAnsi="Book Antiqua"/>
          <w:sz w:val="16"/>
          <w:szCs w:val="16"/>
        </w:rPr>
        <w:t>basic bank account</w:t>
      </w:r>
      <w:r w:rsidRPr="00D51CD9">
        <w:rPr>
          <w:rFonts w:ascii="Book Antiqua" w:hAnsi="Book Antiqua"/>
          <w:sz w:val="16"/>
          <w:szCs w:val="16"/>
        </w:rPr>
        <w:t xml:space="preserve">, biometric </w:t>
      </w:r>
      <w:r w:rsidR="00713C3C" w:rsidRPr="00D51CD9">
        <w:rPr>
          <w:rFonts w:ascii="Book Antiqua" w:hAnsi="Book Antiqua"/>
          <w:sz w:val="16"/>
          <w:szCs w:val="16"/>
        </w:rPr>
        <w:t xml:space="preserve">national </w:t>
      </w:r>
      <w:r w:rsidRPr="00D51CD9">
        <w:rPr>
          <w:rFonts w:ascii="Book Antiqua" w:hAnsi="Book Antiqua"/>
          <w:sz w:val="16"/>
          <w:szCs w:val="16"/>
        </w:rPr>
        <w:t>identi</w:t>
      </w:r>
      <w:r w:rsidR="00713C3C" w:rsidRPr="00D51CD9">
        <w:rPr>
          <w:rFonts w:ascii="Book Antiqua" w:hAnsi="Book Antiqua"/>
          <w:sz w:val="16"/>
          <w:szCs w:val="16"/>
        </w:rPr>
        <w:t>ty</w:t>
      </w:r>
      <w:r w:rsidRPr="00D51CD9">
        <w:rPr>
          <w:rFonts w:ascii="Book Antiqua" w:hAnsi="Book Antiqua"/>
          <w:sz w:val="16"/>
          <w:szCs w:val="16"/>
        </w:rPr>
        <w:t>, and mobile connectivity. At the center of th</w:t>
      </w:r>
      <w:r w:rsidR="006112EC" w:rsidRPr="00D51CD9">
        <w:rPr>
          <w:rFonts w:ascii="Book Antiqua" w:hAnsi="Book Antiqua"/>
          <w:sz w:val="16"/>
          <w:szCs w:val="16"/>
        </w:rPr>
        <w:t xml:space="preserve">e </w:t>
      </w:r>
      <w:r w:rsidRPr="00D51CD9">
        <w:rPr>
          <w:rFonts w:ascii="Book Antiqua" w:hAnsi="Book Antiqua"/>
          <w:sz w:val="16"/>
          <w:szCs w:val="16"/>
        </w:rPr>
        <w:t>infrastructure sits the Unified Payment</w:t>
      </w:r>
      <w:r w:rsidR="00C54C39" w:rsidRPr="00D51CD9">
        <w:rPr>
          <w:rFonts w:ascii="Book Antiqua" w:hAnsi="Book Antiqua"/>
          <w:sz w:val="16"/>
          <w:szCs w:val="16"/>
        </w:rPr>
        <w:t>s</w:t>
      </w:r>
      <w:r w:rsidRPr="00D51CD9">
        <w:rPr>
          <w:rFonts w:ascii="Book Antiqua" w:hAnsi="Book Antiqua"/>
          <w:sz w:val="16"/>
          <w:szCs w:val="16"/>
        </w:rPr>
        <w:t xml:space="preserve"> Interface</w:t>
      </w:r>
      <w:r w:rsidR="00E356C9" w:rsidRPr="00D51CD9">
        <w:rPr>
          <w:rFonts w:ascii="Book Antiqua" w:hAnsi="Book Antiqua"/>
          <w:sz w:val="16"/>
          <w:szCs w:val="16"/>
        </w:rPr>
        <w:t xml:space="preserve">, which </w:t>
      </w:r>
      <w:r w:rsidRPr="00D51CD9">
        <w:rPr>
          <w:rFonts w:ascii="Book Antiqua" w:hAnsi="Book Antiqua"/>
          <w:sz w:val="16"/>
          <w:szCs w:val="16"/>
        </w:rPr>
        <w:t xml:space="preserve">operates as an open-loop, real-time </w:t>
      </w:r>
      <w:r w:rsidR="003429E4" w:rsidRPr="00D51CD9">
        <w:rPr>
          <w:rFonts w:ascii="Book Antiqua" w:hAnsi="Book Antiqua"/>
          <w:sz w:val="16"/>
          <w:szCs w:val="16"/>
        </w:rPr>
        <w:t xml:space="preserve">compatible </w:t>
      </w:r>
      <w:r w:rsidRPr="00D51CD9">
        <w:rPr>
          <w:rFonts w:ascii="Book Antiqua" w:hAnsi="Book Antiqua"/>
          <w:sz w:val="16"/>
          <w:szCs w:val="16"/>
        </w:rPr>
        <w:t xml:space="preserve">payment rail that connects all commercial banks, regional rural banks, and licensed financial companies. Similar models have been deployed across </w:t>
      </w:r>
      <w:r w:rsidR="00366F96" w:rsidRPr="00D51CD9">
        <w:rPr>
          <w:rFonts w:ascii="Book Antiqua" w:hAnsi="Book Antiqua"/>
          <w:sz w:val="16"/>
          <w:szCs w:val="16"/>
        </w:rPr>
        <w:t xml:space="preserve">South Asia, including Bangladesh’s bKash </w:t>
      </w:r>
      <w:r w:rsidR="00881A6F" w:rsidRPr="00D51CD9">
        <w:rPr>
          <w:rFonts w:ascii="Book Antiqua" w:hAnsi="Book Antiqua"/>
          <w:sz w:val="16"/>
          <w:szCs w:val="16"/>
        </w:rPr>
        <w:t xml:space="preserve">and Pakistan’s </w:t>
      </w:r>
      <w:r w:rsidR="003B6BDB" w:rsidRPr="00D51CD9">
        <w:rPr>
          <w:rFonts w:ascii="Book Antiqua" w:hAnsi="Book Antiqua"/>
          <w:sz w:val="16"/>
          <w:szCs w:val="16"/>
        </w:rPr>
        <w:t xml:space="preserve">Easypaisa frameworks </w:t>
      </w:r>
      <w:r w:rsidR="00553CD3" w:rsidRPr="00D51CD9">
        <w:rPr>
          <w:rFonts w:ascii="Book Antiqua" w:hAnsi="Book Antiqua"/>
          <w:sz w:val="16"/>
          <w:szCs w:val="16"/>
        </w:rPr>
        <w:t xml:space="preserve">and across </w:t>
      </w:r>
      <w:r w:rsidRPr="00D51CD9">
        <w:rPr>
          <w:rFonts w:ascii="Book Antiqua" w:hAnsi="Book Antiqua"/>
          <w:sz w:val="16"/>
          <w:szCs w:val="16"/>
        </w:rPr>
        <w:t xml:space="preserve">Southeast Asia, including Indonesia's BI-FAST and Singapore's PayNow </w:t>
      </w:r>
      <w:r w:rsidR="002B5F72" w:rsidRPr="00D51CD9">
        <w:rPr>
          <w:rFonts w:ascii="Book Antiqua" w:hAnsi="Book Antiqua"/>
          <w:sz w:val="16"/>
          <w:szCs w:val="16"/>
        </w:rPr>
        <w:t>network</w:t>
      </w:r>
      <w:r w:rsidR="00553CD3" w:rsidRPr="00D51CD9">
        <w:rPr>
          <w:rFonts w:ascii="Book Antiqua" w:hAnsi="Book Antiqua"/>
          <w:sz w:val="16"/>
          <w:szCs w:val="16"/>
        </w:rPr>
        <w:t>s</w:t>
      </w:r>
      <w:r w:rsidRPr="00D51CD9">
        <w:rPr>
          <w:rFonts w:ascii="Book Antiqua" w:hAnsi="Book Antiqua"/>
          <w:sz w:val="16"/>
          <w:szCs w:val="16"/>
        </w:rPr>
        <w:t>.</w:t>
      </w:r>
    </w:p>
    <w:p w14:paraId="77BD604E" w14:textId="1B83BA58"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Under this architectural approach, third-party technology providers (such as Google Pay, PhonePe, or GoTo) operate exclusively as front-end user interfaces. </w:t>
      </w:r>
      <w:r w:rsidR="00150C0D" w:rsidRPr="00D51CD9">
        <w:rPr>
          <w:rFonts w:ascii="Book Antiqua" w:hAnsi="Book Antiqua"/>
          <w:sz w:val="16"/>
          <w:szCs w:val="16"/>
        </w:rPr>
        <w:t>Precisely, t</w:t>
      </w:r>
      <w:r w:rsidRPr="00D51CD9">
        <w:rPr>
          <w:rFonts w:ascii="Book Antiqua" w:hAnsi="Book Antiqua"/>
          <w:sz w:val="16"/>
          <w:szCs w:val="16"/>
        </w:rPr>
        <w:t xml:space="preserve">hey do not issue proprietary electronic tokens or hold consumer funds in separate escrow accounts. </w:t>
      </w:r>
      <w:r w:rsidR="00A242D0" w:rsidRPr="00D51CD9">
        <w:rPr>
          <w:rFonts w:ascii="Book Antiqua" w:hAnsi="Book Antiqua"/>
          <w:sz w:val="16"/>
          <w:szCs w:val="16"/>
        </w:rPr>
        <w:t xml:space="preserve">Rather, consumer-initiated digital payments instantly settle across central bank clearing rails, executing a direct ledger adjustment between the sender’s and receiver’s commercial bank accounts. </w:t>
      </w:r>
    </w:p>
    <w:p w14:paraId="372488BF" w14:textId="71BE6FE6" w:rsidR="007C6FFE" w:rsidRPr="00D51CD9" w:rsidRDefault="000535EF" w:rsidP="004005B1">
      <w:pPr>
        <w:keepNext/>
        <w:spacing w:before="240" w:after="80" w:line="240" w:lineRule="auto"/>
        <w:jc w:val="both"/>
        <w:rPr>
          <w:rFonts w:ascii="Book Antiqua" w:hAnsi="Book Antiqua"/>
          <w:sz w:val="16"/>
          <w:szCs w:val="16"/>
        </w:rPr>
      </w:pPr>
      <w:r w:rsidRPr="00D51CD9">
        <w:rPr>
          <w:rFonts w:ascii="Book Antiqua" w:hAnsi="Book Antiqua"/>
          <w:b/>
          <w:color w:val="4682B4"/>
          <w:sz w:val="16"/>
          <w:szCs w:val="16"/>
        </w:rPr>
        <w:t xml:space="preserve">5.2.2 </w:t>
      </w:r>
      <w:r w:rsidR="007C6FFE" w:rsidRPr="00D51CD9">
        <w:rPr>
          <w:rFonts w:ascii="Book Antiqua" w:hAnsi="Book Antiqua"/>
          <w:b/>
          <w:color w:val="4682B4"/>
          <w:sz w:val="16"/>
          <w:szCs w:val="16"/>
        </w:rPr>
        <w:t>Deposit Mobilization and Sustainable Credit Creation</w:t>
      </w:r>
    </w:p>
    <w:p w14:paraId="0F9EDD55" w14:textId="77777777"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This bank-led architecture offers clear advantages for macroeconomic financial deepening. Because every digital transaction originates and terminates within the formal commercial banking network, retail liquidity is directly captured as core, interest-bearing domestic bank deposits. This setup prevents the capital fractionalization seen in parallel systems, ensuring that retail money remains integrated into the formal financial system.</w:t>
      </w:r>
    </w:p>
    <w:p w14:paraId="5C9DC677" w14:textId="68EB7301"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By capturing these high-volume, low-cost retail deposits, commercial banks gain access to a stable funding base. According to classical banking theory, this expansion of the deposit base lowers the bank's marginal cost of funds, increasing its capacity to perform maturity transformation. </w:t>
      </w:r>
      <w:r w:rsidR="006171A7" w:rsidRPr="00D51CD9">
        <w:rPr>
          <w:rFonts w:ascii="Book Antiqua" w:hAnsi="Book Antiqua"/>
          <w:sz w:val="16"/>
          <w:szCs w:val="16"/>
        </w:rPr>
        <w:t>Consequently, b</w:t>
      </w:r>
      <w:r w:rsidRPr="00D51CD9">
        <w:rPr>
          <w:rFonts w:ascii="Book Antiqua" w:hAnsi="Book Antiqua"/>
          <w:sz w:val="16"/>
          <w:szCs w:val="16"/>
        </w:rPr>
        <w:t xml:space="preserve">anks </w:t>
      </w:r>
      <w:r w:rsidR="00A8492F" w:rsidRPr="00D51CD9">
        <w:rPr>
          <w:rFonts w:ascii="Book Antiqua" w:hAnsi="Book Antiqua"/>
          <w:sz w:val="16"/>
          <w:szCs w:val="16"/>
        </w:rPr>
        <w:t>can leverage</w:t>
      </w:r>
      <w:r w:rsidRPr="00D51CD9">
        <w:rPr>
          <w:rFonts w:ascii="Book Antiqua" w:hAnsi="Book Antiqua"/>
          <w:sz w:val="16"/>
          <w:szCs w:val="16"/>
        </w:rPr>
        <w:t xml:space="preserve"> these </w:t>
      </w:r>
      <w:r w:rsidR="00DD5344">
        <w:rPr>
          <w:rFonts w:ascii="Book Antiqua" w:hAnsi="Book Antiqua"/>
          <w:sz w:val="16"/>
          <w:szCs w:val="16"/>
        </w:rPr>
        <w:t>funds</w:t>
      </w:r>
      <w:r w:rsidRPr="00D51CD9">
        <w:rPr>
          <w:rFonts w:ascii="Book Antiqua" w:hAnsi="Book Antiqua"/>
          <w:sz w:val="16"/>
          <w:szCs w:val="16"/>
        </w:rPr>
        <w:t xml:space="preserve"> to extend long-term credit lines to the private productive sector</w:t>
      </w:r>
      <w:r w:rsidR="00DD5344">
        <w:rPr>
          <w:rFonts w:ascii="Book Antiqua" w:hAnsi="Book Antiqua"/>
          <w:sz w:val="16"/>
          <w:szCs w:val="16"/>
        </w:rPr>
        <w:t>s</w:t>
      </w:r>
      <w:r w:rsidRPr="00D51CD9">
        <w:rPr>
          <w:rFonts w:ascii="Book Antiqua" w:hAnsi="Book Antiqua"/>
          <w:sz w:val="16"/>
          <w:szCs w:val="16"/>
        </w:rPr>
        <w:t>, including industrial manufacturing, agricultural technology, and infrastructural development.</w:t>
      </w:r>
    </w:p>
    <w:p w14:paraId="04255CEB" w14:textId="2A7BB556" w:rsidR="0051215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Furthermore, the integration of biometric identification and centralized data exchange layers (such as India's Account Aggregator framework) helps address structural information asymmetries. Instead of relying solely on alternative airtime usage data, banks can analyze verified data funneled through the banking system, including tax returns, utility bills, and formal transaction histories. This enables the formulation of cash-flow-based lending models for </w:t>
      </w:r>
      <w:r w:rsidR="0079773C">
        <w:rPr>
          <w:rFonts w:ascii="Book Antiqua" w:hAnsi="Book Antiqua"/>
          <w:sz w:val="16"/>
          <w:szCs w:val="16"/>
        </w:rPr>
        <w:t xml:space="preserve">the </w:t>
      </w:r>
      <w:r w:rsidR="001A110C" w:rsidRPr="00D51CD9">
        <w:rPr>
          <w:rFonts w:ascii="Book Antiqua" w:hAnsi="Book Antiqua"/>
          <w:sz w:val="16"/>
          <w:szCs w:val="16"/>
        </w:rPr>
        <w:t>small, medium</w:t>
      </w:r>
      <w:r w:rsidRPr="00D51CD9">
        <w:rPr>
          <w:rFonts w:ascii="Book Antiqua" w:hAnsi="Book Antiqua"/>
          <w:sz w:val="16"/>
          <w:szCs w:val="16"/>
        </w:rPr>
        <w:t xml:space="preserve"> enterprises (SMEs) </w:t>
      </w:r>
      <w:r w:rsidR="00847D9F" w:rsidRPr="00D51CD9">
        <w:rPr>
          <w:rFonts w:ascii="Book Antiqua" w:hAnsi="Book Antiqua"/>
          <w:sz w:val="16"/>
          <w:szCs w:val="16"/>
        </w:rPr>
        <w:t xml:space="preserve">by allowing </w:t>
      </w:r>
      <w:r w:rsidRPr="00D51CD9">
        <w:rPr>
          <w:rFonts w:ascii="Book Antiqua" w:hAnsi="Book Antiqua"/>
          <w:sz w:val="16"/>
          <w:szCs w:val="16"/>
        </w:rPr>
        <w:t xml:space="preserve">them to expand </w:t>
      </w:r>
      <w:r w:rsidR="001838D9" w:rsidRPr="00D51CD9">
        <w:rPr>
          <w:rFonts w:ascii="Book Antiqua" w:hAnsi="Book Antiqua"/>
          <w:sz w:val="16"/>
          <w:szCs w:val="16"/>
        </w:rPr>
        <w:t>beyond</w:t>
      </w:r>
      <w:r w:rsidRPr="00D51CD9">
        <w:rPr>
          <w:rFonts w:ascii="Book Antiqua" w:hAnsi="Book Antiqua"/>
          <w:sz w:val="16"/>
          <w:szCs w:val="16"/>
        </w:rPr>
        <w:t xml:space="preserve"> rigid property collateral constraints.</w:t>
      </w:r>
    </w:p>
    <w:p w14:paraId="738AA730" w14:textId="5976EC79" w:rsidR="007C6FFE" w:rsidRPr="00F563F9" w:rsidRDefault="00C10A2C" w:rsidP="00E64DA0">
      <w:pPr>
        <w:spacing w:after="0" w:line="36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6</w:t>
      </w:r>
      <w:r w:rsidR="007C6FFE" w:rsidRPr="00F563F9">
        <w:rPr>
          <w:rFonts w:ascii="Book Antiqua" w:hAnsi="Book Antiqua"/>
          <w:b/>
          <w:color w:val="215E99" w:themeColor="text2" w:themeTint="BF"/>
          <w:sz w:val="18"/>
          <w:szCs w:val="18"/>
        </w:rPr>
        <w:t>. Comparative Analysis: Patterns, Contradictions, and Synthesis</w:t>
      </w:r>
    </w:p>
    <w:p w14:paraId="3AEAB032" w14:textId="3F1EF3B2" w:rsidR="00D51CD9" w:rsidRPr="004D2315" w:rsidRDefault="00FA4A87" w:rsidP="00E64DA0">
      <w:pPr>
        <w:keepNext/>
        <w:spacing w:after="0" w:line="360" w:lineRule="auto"/>
        <w:jc w:val="both"/>
        <w:rPr>
          <w:rFonts w:ascii="Book Antiqua" w:hAnsi="Book Antiqua"/>
          <w:b/>
          <w:color w:val="auto"/>
          <w:sz w:val="16"/>
          <w:szCs w:val="16"/>
        </w:rPr>
      </w:pPr>
      <w:r w:rsidRPr="004D2315">
        <w:rPr>
          <w:rFonts w:ascii="Book Antiqua" w:hAnsi="Book Antiqua"/>
          <w:b/>
          <w:color w:val="auto"/>
          <w:sz w:val="16"/>
          <w:szCs w:val="16"/>
        </w:rPr>
        <w:t xml:space="preserve">Table </w:t>
      </w:r>
      <w:r w:rsidR="004D2315" w:rsidRPr="004D2315">
        <w:rPr>
          <w:rFonts w:ascii="Book Antiqua" w:hAnsi="Book Antiqua"/>
          <w:b/>
          <w:color w:val="auto"/>
          <w:sz w:val="16"/>
          <w:szCs w:val="16"/>
        </w:rPr>
        <w:t xml:space="preserve">1: </w:t>
      </w:r>
      <w:r w:rsidR="007C6FFE" w:rsidRPr="004D2315">
        <w:rPr>
          <w:rFonts w:ascii="Book Antiqua" w:hAnsi="Book Antiqua"/>
          <w:b/>
          <w:color w:val="auto"/>
          <w:sz w:val="16"/>
          <w:szCs w:val="16"/>
        </w:rPr>
        <w:t>Systematizing the Regional Divergence</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3827"/>
        <w:gridCol w:w="3695"/>
      </w:tblGrid>
      <w:tr w:rsidR="007C6FFE" w:rsidRPr="00D51CD9" w14:paraId="3296FC9E" w14:textId="77777777" w:rsidTr="00D80792">
        <w:trPr>
          <w:jc w:val="center"/>
        </w:trPr>
        <w:tc>
          <w:tcPr>
            <w:tcW w:w="1838" w:type="dxa"/>
            <w:shd w:val="clear" w:color="auto" w:fill="0C2340"/>
            <w:tcMar>
              <w:top w:w="120" w:type="dxa"/>
              <w:left w:w="120" w:type="dxa"/>
              <w:bottom w:w="120" w:type="dxa"/>
              <w:right w:w="120" w:type="dxa"/>
            </w:tcMar>
          </w:tcPr>
          <w:p w14:paraId="1B7F78A4" w14:textId="77777777" w:rsidR="007C6FFE" w:rsidRPr="00D51CD9" w:rsidRDefault="007C6FFE" w:rsidP="004005B1">
            <w:pPr>
              <w:spacing w:after="0" w:line="240" w:lineRule="auto"/>
              <w:jc w:val="center"/>
              <w:rPr>
                <w:rFonts w:ascii="Book Antiqua" w:hAnsi="Book Antiqua"/>
                <w:sz w:val="16"/>
                <w:szCs w:val="16"/>
              </w:rPr>
            </w:pPr>
            <w:r w:rsidRPr="00D51CD9">
              <w:rPr>
                <w:rFonts w:ascii="Book Antiqua" w:hAnsi="Book Antiqua"/>
                <w:b/>
                <w:color w:val="FFFFFF"/>
                <w:sz w:val="16"/>
                <w:szCs w:val="16"/>
              </w:rPr>
              <w:t>Structural Dimension</w:t>
            </w:r>
          </w:p>
        </w:tc>
        <w:tc>
          <w:tcPr>
            <w:tcW w:w="3827" w:type="dxa"/>
            <w:shd w:val="clear" w:color="auto" w:fill="0C2340"/>
            <w:tcMar>
              <w:top w:w="120" w:type="dxa"/>
              <w:left w:w="120" w:type="dxa"/>
              <w:bottom w:w="120" w:type="dxa"/>
              <w:right w:w="120" w:type="dxa"/>
            </w:tcMar>
          </w:tcPr>
          <w:p w14:paraId="0443FEC1" w14:textId="77777777" w:rsidR="007C6FFE" w:rsidRPr="00D51CD9" w:rsidRDefault="007C6FFE" w:rsidP="004005B1">
            <w:pPr>
              <w:spacing w:after="0" w:line="240" w:lineRule="auto"/>
              <w:jc w:val="center"/>
              <w:rPr>
                <w:rFonts w:ascii="Book Antiqua" w:hAnsi="Book Antiqua"/>
                <w:sz w:val="16"/>
                <w:szCs w:val="16"/>
              </w:rPr>
            </w:pPr>
            <w:r w:rsidRPr="00D51CD9">
              <w:rPr>
                <w:rFonts w:ascii="Book Antiqua" w:hAnsi="Book Antiqua"/>
                <w:b/>
                <w:color w:val="FFFFFF"/>
                <w:sz w:val="16"/>
                <w:szCs w:val="16"/>
              </w:rPr>
              <w:t>Sub-Saharan Africa (SSA)</w:t>
            </w:r>
          </w:p>
        </w:tc>
        <w:tc>
          <w:tcPr>
            <w:tcW w:w="3695" w:type="dxa"/>
            <w:shd w:val="clear" w:color="auto" w:fill="0C2340"/>
            <w:tcMar>
              <w:top w:w="120" w:type="dxa"/>
              <w:left w:w="120" w:type="dxa"/>
              <w:bottom w:w="120" w:type="dxa"/>
              <w:right w:w="120" w:type="dxa"/>
            </w:tcMar>
          </w:tcPr>
          <w:p w14:paraId="3F90D70E" w14:textId="77777777" w:rsidR="007C6FFE" w:rsidRPr="00D51CD9" w:rsidRDefault="007C6FFE" w:rsidP="004005B1">
            <w:pPr>
              <w:spacing w:after="0" w:line="240" w:lineRule="auto"/>
              <w:jc w:val="center"/>
              <w:rPr>
                <w:rFonts w:ascii="Book Antiqua" w:hAnsi="Book Antiqua"/>
                <w:sz w:val="16"/>
                <w:szCs w:val="16"/>
              </w:rPr>
            </w:pPr>
            <w:r w:rsidRPr="00D51CD9">
              <w:rPr>
                <w:rFonts w:ascii="Book Antiqua" w:hAnsi="Book Antiqua"/>
                <w:b/>
                <w:color w:val="FFFFFF"/>
                <w:sz w:val="16"/>
                <w:szCs w:val="16"/>
              </w:rPr>
              <w:t>South/Southeast Asia (S/SEA)</w:t>
            </w:r>
          </w:p>
        </w:tc>
      </w:tr>
      <w:tr w:rsidR="007C6FFE" w:rsidRPr="00D51CD9" w14:paraId="253EB1F3" w14:textId="77777777" w:rsidTr="00D80792">
        <w:trPr>
          <w:jc w:val="center"/>
        </w:trPr>
        <w:tc>
          <w:tcPr>
            <w:tcW w:w="1838" w:type="dxa"/>
            <w:tcMar>
              <w:top w:w="100" w:type="dxa"/>
              <w:left w:w="120" w:type="dxa"/>
              <w:bottom w:w="100" w:type="dxa"/>
              <w:right w:w="120" w:type="dxa"/>
            </w:tcMar>
          </w:tcPr>
          <w:p w14:paraId="65660CA4"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Primary Architectural Focus</w:t>
            </w:r>
          </w:p>
        </w:tc>
        <w:tc>
          <w:tcPr>
            <w:tcW w:w="3827" w:type="dxa"/>
            <w:tcMar>
              <w:top w:w="100" w:type="dxa"/>
              <w:left w:w="120" w:type="dxa"/>
              <w:bottom w:w="100" w:type="dxa"/>
              <w:right w:w="120" w:type="dxa"/>
            </w:tcMar>
          </w:tcPr>
          <w:p w14:paraId="16FFE837"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Telco-led, parallel mobile money platforms operating outside formal banking rails.</w:t>
            </w:r>
          </w:p>
        </w:tc>
        <w:tc>
          <w:tcPr>
            <w:tcW w:w="3695" w:type="dxa"/>
            <w:tcMar>
              <w:top w:w="100" w:type="dxa"/>
              <w:left w:w="120" w:type="dxa"/>
              <w:bottom w:w="100" w:type="dxa"/>
              <w:right w:w="120" w:type="dxa"/>
            </w:tcMar>
          </w:tcPr>
          <w:p w14:paraId="727C4A63"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Bank-led, state-driven interoperable networks and integrated super-apps.</w:t>
            </w:r>
          </w:p>
        </w:tc>
      </w:tr>
      <w:tr w:rsidR="007C6FFE" w:rsidRPr="00D51CD9" w14:paraId="4161E2EB" w14:textId="77777777" w:rsidTr="00D80792">
        <w:trPr>
          <w:jc w:val="center"/>
        </w:trPr>
        <w:tc>
          <w:tcPr>
            <w:tcW w:w="1838" w:type="dxa"/>
            <w:shd w:val="clear" w:color="auto" w:fill="F4F6F9"/>
            <w:tcMar>
              <w:top w:w="100" w:type="dxa"/>
              <w:left w:w="120" w:type="dxa"/>
              <w:bottom w:w="100" w:type="dxa"/>
              <w:right w:w="120" w:type="dxa"/>
            </w:tcMar>
          </w:tcPr>
          <w:p w14:paraId="713D8606"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Macro-Financial Outcome</w:t>
            </w:r>
          </w:p>
        </w:tc>
        <w:tc>
          <w:tcPr>
            <w:tcW w:w="3827" w:type="dxa"/>
            <w:shd w:val="clear" w:color="auto" w:fill="F4F6F9"/>
            <w:tcMar>
              <w:top w:w="100" w:type="dxa"/>
              <w:left w:w="120" w:type="dxa"/>
              <w:bottom w:w="100" w:type="dxa"/>
              <w:right w:w="120" w:type="dxa"/>
            </w:tcMar>
          </w:tcPr>
          <w:p w14:paraId="604B90B5" w14:textId="76C4645F"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High retail velocity and transaction volumes; stagnant credit-to-GDP ratios</w:t>
            </w:r>
            <w:r w:rsidR="00E2264A">
              <w:rPr>
                <w:rFonts w:ascii="Book Antiqua" w:hAnsi="Book Antiqua"/>
                <w:sz w:val="16"/>
                <w:szCs w:val="16"/>
              </w:rPr>
              <w:t xml:space="preserve"> in the </w:t>
            </w:r>
            <w:r w:rsidR="00E2264A" w:rsidRPr="00D51CD9">
              <w:rPr>
                <w:rFonts w:ascii="Book Antiqua" w:hAnsi="Book Antiqua"/>
                <w:sz w:val="16"/>
                <w:szCs w:val="16"/>
              </w:rPr>
              <w:t>private sector</w:t>
            </w:r>
            <w:r w:rsidRPr="00D51CD9">
              <w:rPr>
                <w:rFonts w:ascii="Book Antiqua" w:hAnsi="Book Antiqua"/>
                <w:sz w:val="16"/>
                <w:szCs w:val="16"/>
              </w:rPr>
              <w:t>.</w:t>
            </w:r>
          </w:p>
        </w:tc>
        <w:tc>
          <w:tcPr>
            <w:tcW w:w="3695" w:type="dxa"/>
            <w:shd w:val="clear" w:color="auto" w:fill="F4F6F9"/>
            <w:tcMar>
              <w:top w:w="100" w:type="dxa"/>
              <w:left w:w="120" w:type="dxa"/>
              <w:bottom w:w="100" w:type="dxa"/>
              <w:right w:w="120" w:type="dxa"/>
            </w:tcMar>
          </w:tcPr>
          <w:p w14:paraId="4DFB6BC2" w14:textId="6442834E"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 xml:space="preserve">Enhanced capital </w:t>
            </w:r>
            <w:r w:rsidR="00485560" w:rsidRPr="00D51CD9">
              <w:rPr>
                <w:rFonts w:ascii="Book Antiqua" w:hAnsi="Book Antiqua"/>
                <w:sz w:val="16"/>
                <w:szCs w:val="16"/>
              </w:rPr>
              <w:t>collection</w:t>
            </w:r>
            <w:r w:rsidRPr="00D51CD9">
              <w:rPr>
                <w:rFonts w:ascii="Book Antiqua" w:hAnsi="Book Antiqua"/>
                <w:sz w:val="16"/>
                <w:szCs w:val="16"/>
              </w:rPr>
              <w:t xml:space="preserve">; </w:t>
            </w:r>
            <w:r w:rsidR="00485560" w:rsidRPr="00D51CD9">
              <w:rPr>
                <w:rFonts w:ascii="Book Antiqua" w:hAnsi="Book Antiqua"/>
                <w:sz w:val="16"/>
                <w:szCs w:val="16"/>
              </w:rPr>
              <w:t>augmented</w:t>
            </w:r>
            <w:r w:rsidRPr="00D51CD9">
              <w:rPr>
                <w:rFonts w:ascii="Book Antiqua" w:hAnsi="Book Antiqua"/>
                <w:sz w:val="16"/>
                <w:szCs w:val="16"/>
              </w:rPr>
              <w:t xml:space="preserve"> credit expansion to productive sectors.</w:t>
            </w:r>
          </w:p>
        </w:tc>
      </w:tr>
      <w:tr w:rsidR="007C6FFE" w:rsidRPr="00D51CD9" w14:paraId="2C81E410" w14:textId="77777777" w:rsidTr="00D80792">
        <w:trPr>
          <w:trHeight w:val="401"/>
          <w:jc w:val="center"/>
        </w:trPr>
        <w:tc>
          <w:tcPr>
            <w:tcW w:w="1838" w:type="dxa"/>
            <w:tcMar>
              <w:top w:w="100" w:type="dxa"/>
              <w:left w:w="120" w:type="dxa"/>
              <w:bottom w:w="100" w:type="dxa"/>
              <w:right w:w="120" w:type="dxa"/>
            </w:tcMar>
          </w:tcPr>
          <w:p w14:paraId="634B2B5C"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Dominant Methodological Lens</w:t>
            </w:r>
          </w:p>
        </w:tc>
        <w:tc>
          <w:tcPr>
            <w:tcW w:w="3827" w:type="dxa"/>
            <w:tcMar>
              <w:top w:w="100" w:type="dxa"/>
              <w:left w:w="120" w:type="dxa"/>
              <w:bottom w:w="100" w:type="dxa"/>
              <w:right w:w="120" w:type="dxa"/>
            </w:tcMar>
          </w:tcPr>
          <w:p w14:paraId="55CB4808"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Micro-level household welfare analysis, consumption smoothing, and poverty alleviation.</w:t>
            </w:r>
          </w:p>
        </w:tc>
        <w:tc>
          <w:tcPr>
            <w:tcW w:w="3695" w:type="dxa"/>
            <w:tcMar>
              <w:top w:w="100" w:type="dxa"/>
              <w:left w:w="120" w:type="dxa"/>
              <w:bottom w:w="100" w:type="dxa"/>
              <w:right w:w="120" w:type="dxa"/>
            </w:tcMar>
          </w:tcPr>
          <w:p w14:paraId="72972C0D"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Macro-econometric panel analysis, institutional quality assessments, and DPI efficiency.</w:t>
            </w:r>
          </w:p>
        </w:tc>
      </w:tr>
      <w:tr w:rsidR="007C6FFE" w:rsidRPr="00D51CD9" w14:paraId="0F285D17" w14:textId="77777777" w:rsidTr="00D80792">
        <w:trPr>
          <w:trHeight w:val="300"/>
          <w:jc w:val="center"/>
        </w:trPr>
        <w:tc>
          <w:tcPr>
            <w:tcW w:w="1838" w:type="dxa"/>
            <w:shd w:val="clear" w:color="auto" w:fill="F4F6F9"/>
            <w:tcMar>
              <w:top w:w="100" w:type="dxa"/>
              <w:left w:w="120" w:type="dxa"/>
              <w:bottom w:w="100" w:type="dxa"/>
              <w:right w:w="120" w:type="dxa"/>
            </w:tcMar>
          </w:tcPr>
          <w:p w14:paraId="0E16FEAD"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Core Empirical Limitation</w:t>
            </w:r>
          </w:p>
        </w:tc>
        <w:tc>
          <w:tcPr>
            <w:tcW w:w="3827" w:type="dxa"/>
            <w:shd w:val="clear" w:color="auto" w:fill="F4F6F9"/>
            <w:tcMar>
              <w:top w:w="100" w:type="dxa"/>
              <w:left w:w="120" w:type="dxa"/>
              <w:bottom w:w="100" w:type="dxa"/>
              <w:right w:w="120" w:type="dxa"/>
            </w:tcMar>
          </w:tcPr>
          <w:p w14:paraId="2334E38E"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Geographic isolation; fails to model cross-regional institutional variations.</w:t>
            </w:r>
          </w:p>
        </w:tc>
        <w:tc>
          <w:tcPr>
            <w:tcW w:w="3695" w:type="dxa"/>
            <w:shd w:val="clear" w:color="auto" w:fill="F4F6F9"/>
            <w:tcMar>
              <w:top w:w="100" w:type="dxa"/>
              <w:left w:w="120" w:type="dxa"/>
              <w:bottom w:w="100" w:type="dxa"/>
              <w:right w:w="120" w:type="dxa"/>
            </w:tcMar>
          </w:tcPr>
          <w:p w14:paraId="3F0A749C"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Minimizes risks of regulatory over-centralization and baseline inclusion barriers.</w:t>
            </w:r>
          </w:p>
        </w:tc>
      </w:tr>
    </w:tbl>
    <w:p w14:paraId="3D5971FE" w14:textId="6B192F8B" w:rsidR="00971A96" w:rsidRPr="00302455" w:rsidRDefault="007C6FFE" w:rsidP="00302455">
      <w:pPr>
        <w:keepNext/>
        <w:spacing w:before="240" w:after="80" w:line="240" w:lineRule="auto"/>
        <w:jc w:val="both"/>
        <w:rPr>
          <w:rFonts w:ascii="Book Antiqua" w:hAnsi="Book Antiqua"/>
          <w:color w:val="auto"/>
          <w:sz w:val="16"/>
          <w:szCs w:val="16"/>
        </w:rPr>
      </w:pPr>
      <w:r w:rsidRPr="004D2315">
        <w:rPr>
          <w:rFonts w:ascii="Book Antiqua" w:hAnsi="Book Antiqua"/>
          <w:b/>
          <w:color w:val="auto"/>
          <w:sz w:val="16"/>
          <w:szCs w:val="16"/>
        </w:rPr>
        <w:t>Resolving the Decoupling Paradox</w:t>
      </w:r>
      <w:r w:rsidR="00302455">
        <w:rPr>
          <w:rFonts w:ascii="Book Antiqua" w:hAnsi="Book Antiqua"/>
          <w:color w:val="auto"/>
          <w:sz w:val="16"/>
          <w:szCs w:val="16"/>
        </w:rPr>
        <w:t xml:space="preserve">: </w:t>
      </w:r>
      <w:r w:rsidR="008A1352" w:rsidRPr="008A1352">
        <w:rPr>
          <w:rFonts w:ascii="Book Antiqua" w:hAnsi="Book Antiqua"/>
          <w:sz w:val="16"/>
          <w:szCs w:val="16"/>
        </w:rPr>
        <w:t xml:space="preserve">As established in Section 4, the decoupling of financial inclusion from financial deepening is the central contradiction this review addresses. What the comparative lens in Table 1 adds is a structural explanation for </w:t>
      </w:r>
      <w:r w:rsidR="008A1352" w:rsidRPr="008A1352">
        <w:rPr>
          <w:rFonts w:ascii="Book Antiqua" w:hAnsi="Book Antiqua"/>
          <w:i/>
          <w:iCs/>
          <w:sz w:val="16"/>
          <w:szCs w:val="16"/>
        </w:rPr>
        <w:t>why</w:t>
      </w:r>
      <w:r w:rsidR="008A1352" w:rsidRPr="008A1352">
        <w:rPr>
          <w:rFonts w:ascii="Book Antiqua" w:hAnsi="Book Antiqua"/>
          <w:sz w:val="16"/>
          <w:szCs w:val="16"/>
        </w:rPr>
        <w:t xml:space="preserve"> the decoupling holds in SSA but attenuates in S/SEA: the two regions differ not in the intensity of digital adoption, but in whether retail liquidity is legally captured within the commercial banking system or held outside it in escrow.</w:t>
      </w:r>
      <w:r w:rsidR="008A1352">
        <w:rPr>
          <w:rFonts w:ascii="Book Antiqua" w:hAnsi="Book Antiqua"/>
          <w:sz w:val="16"/>
          <w:szCs w:val="16"/>
        </w:rPr>
        <w:t xml:space="preserve"> </w:t>
      </w:r>
      <w:r w:rsidR="00392866" w:rsidRPr="00392866">
        <w:rPr>
          <w:rFonts w:ascii="Book Antiqua" w:hAnsi="Book Antiqua"/>
          <w:sz w:val="16"/>
          <w:szCs w:val="16"/>
        </w:rPr>
        <w:t>This regional bifurcation is the mechanism the existing literature has been unable to see, precisely because it has stayed within single-region silos rather than testing the telco-led and bank-led models against each other directly.</w:t>
      </w:r>
    </w:p>
    <w:p w14:paraId="483A8694" w14:textId="01B8281B" w:rsidR="001F4765" w:rsidRPr="00F563F9" w:rsidRDefault="00573FA7" w:rsidP="0003411E">
      <w:pPr>
        <w:spacing w:before="24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7</w:t>
      </w:r>
      <w:r w:rsidR="007C6FFE" w:rsidRPr="00F563F9">
        <w:rPr>
          <w:rFonts w:ascii="Book Antiqua" w:hAnsi="Book Antiqua"/>
          <w:b/>
          <w:color w:val="215E99" w:themeColor="text2" w:themeTint="BF"/>
          <w:sz w:val="18"/>
          <w:szCs w:val="18"/>
        </w:rPr>
        <w:t>. Conclusion and Research Contribution</w:t>
      </w:r>
    </w:p>
    <w:p w14:paraId="586D3B06" w14:textId="7C67F30E" w:rsidR="00211CD7" w:rsidRPr="0003411E" w:rsidRDefault="001F4765" w:rsidP="004005B1">
      <w:pPr>
        <w:keepNext/>
        <w:spacing w:after="120" w:line="240" w:lineRule="auto"/>
        <w:jc w:val="both"/>
        <w:rPr>
          <w:rFonts w:ascii="Book Antiqua" w:hAnsi="Book Antiqua"/>
          <w:sz w:val="16"/>
          <w:szCs w:val="16"/>
        </w:rPr>
      </w:pPr>
      <w:r w:rsidRPr="0003411E">
        <w:rPr>
          <w:rFonts w:ascii="Book Antiqua" w:hAnsi="Book Antiqua"/>
          <w:sz w:val="16"/>
          <w:szCs w:val="16"/>
        </w:rPr>
        <w:t xml:space="preserve">This research directly addresses prominent theoretical and empirical gaps by executing a comprehensive, cross-regional comparative analysis of </w:t>
      </w:r>
      <w:r w:rsidR="008D61CE" w:rsidRPr="0003411E">
        <w:rPr>
          <w:rFonts w:ascii="Book Antiqua" w:hAnsi="Book Antiqua"/>
          <w:sz w:val="16"/>
          <w:szCs w:val="16"/>
        </w:rPr>
        <w:t>SSA and S/SEA</w:t>
      </w:r>
      <w:r w:rsidRPr="0003411E">
        <w:rPr>
          <w:rFonts w:ascii="Book Antiqua" w:hAnsi="Book Antiqua"/>
          <w:sz w:val="16"/>
          <w:szCs w:val="16"/>
        </w:rPr>
        <w:t xml:space="preserve">. Moving beyond localized inclusion metrics, this study </w:t>
      </w:r>
      <w:r w:rsidR="000C2D47" w:rsidRPr="0003411E">
        <w:rPr>
          <w:rFonts w:ascii="Book Antiqua" w:hAnsi="Book Antiqua"/>
          <w:sz w:val="16"/>
          <w:szCs w:val="16"/>
        </w:rPr>
        <w:t>develops</w:t>
      </w:r>
      <w:r w:rsidRPr="0003411E">
        <w:rPr>
          <w:rFonts w:ascii="Book Antiqua" w:hAnsi="Book Antiqua"/>
          <w:sz w:val="16"/>
          <w:szCs w:val="16"/>
        </w:rPr>
        <w:t xml:space="preserve"> a r</w:t>
      </w:r>
      <w:r w:rsidR="000C2D47" w:rsidRPr="0003411E">
        <w:rPr>
          <w:rFonts w:ascii="Book Antiqua" w:hAnsi="Book Antiqua"/>
          <w:sz w:val="16"/>
          <w:szCs w:val="16"/>
        </w:rPr>
        <w:t>obust</w:t>
      </w:r>
      <w:r w:rsidRPr="0003411E">
        <w:rPr>
          <w:rFonts w:ascii="Book Antiqua" w:hAnsi="Book Antiqua"/>
          <w:sz w:val="16"/>
          <w:szCs w:val="16"/>
        </w:rPr>
        <w:t xml:space="preserve"> macro-analytical framework </w:t>
      </w:r>
      <w:r w:rsidR="00E45438" w:rsidRPr="0003411E">
        <w:rPr>
          <w:rFonts w:ascii="Book Antiqua" w:hAnsi="Book Antiqua"/>
          <w:sz w:val="16"/>
          <w:szCs w:val="16"/>
        </w:rPr>
        <w:t>linking digital transaction flows to major financial deepening measures</w:t>
      </w:r>
      <w:r w:rsidR="0096336F" w:rsidRPr="0003411E">
        <w:rPr>
          <w:rFonts w:ascii="Book Antiqua" w:hAnsi="Book Antiqua"/>
          <w:sz w:val="16"/>
          <w:szCs w:val="16"/>
        </w:rPr>
        <w:t xml:space="preserve">, </w:t>
      </w:r>
      <w:r w:rsidRPr="0003411E">
        <w:rPr>
          <w:rFonts w:ascii="Book Antiqua" w:hAnsi="Book Antiqua"/>
          <w:sz w:val="16"/>
          <w:szCs w:val="16"/>
        </w:rPr>
        <w:t>specifically private sector</w:t>
      </w:r>
      <w:r w:rsidR="00FB41BB" w:rsidRPr="0003411E">
        <w:rPr>
          <w:rFonts w:ascii="Book Antiqua" w:hAnsi="Book Antiqua"/>
          <w:sz w:val="16"/>
          <w:szCs w:val="16"/>
        </w:rPr>
        <w:t>’s</w:t>
      </w:r>
      <w:r w:rsidRPr="0003411E">
        <w:rPr>
          <w:rFonts w:ascii="Book Antiqua" w:hAnsi="Book Antiqua"/>
          <w:sz w:val="16"/>
          <w:szCs w:val="16"/>
        </w:rPr>
        <w:t xml:space="preserve"> credit</w:t>
      </w:r>
      <w:r w:rsidR="000A2A88" w:rsidRPr="0003411E">
        <w:rPr>
          <w:rFonts w:ascii="Book Antiqua" w:hAnsi="Book Antiqua"/>
          <w:sz w:val="16"/>
          <w:szCs w:val="16"/>
        </w:rPr>
        <w:t xml:space="preserve"> </w:t>
      </w:r>
      <w:r w:rsidR="00A847CF" w:rsidRPr="0003411E">
        <w:rPr>
          <w:rFonts w:ascii="Book Antiqua" w:hAnsi="Book Antiqua"/>
          <w:sz w:val="16"/>
          <w:szCs w:val="16"/>
        </w:rPr>
        <w:t>allocation</w:t>
      </w:r>
      <w:r w:rsidRPr="0003411E">
        <w:rPr>
          <w:rFonts w:ascii="Book Antiqua" w:hAnsi="Book Antiqua"/>
          <w:sz w:val="16"/>
          <w:szCs w:val="16"/>
        </w:rPr>
        <w:t xml:space="preserve">, </w:t>
      </w:r>
      <w:r w:rsidR="00D140AC" w:rsidRPr="0003411E">
        <w:rPr>
          <w:rFonts w:ascii="Book Antiqua" w:hAnsi="Book Antiqua"/>
          <w:sz w:val="16"/>
          <w:szCs w:val="16"/>
        </w:rPr>
        <w:t>greater</w:t>
      </w:r>
      <w:r w:rsidR="00BE6390" w:rsidRPr="0003411E">
        <w:rPr>
          <w:rFonts w:ascii="Book Antiqua" w:hAnsi="Book Antiqua"/>
          <w:sz w:val="16"/>
          <w:szCs w:val="16"/>
        </w:rPr>
        <w:t xml:space="preserve"> supply of</w:t>
      </w:r>
      <w:r w:rsidR="00E97725" w:rsidRPr="0003411E">
        <w:rPr>
          <w:rFonts w:ascii="Book Antiqua" w:hAnsi="Book Antiqua"/>
          <w:sz w:val="16"/>
          <w:szCs w:val="16"/>
        </w:rPr>
        <w:t xml:space="preserve"> </w:t>
      </w:r>
      <w:r w:rsidRPr="0003411E">
        <w:rPr>
          <w:rFonts w:ascii="Book Antiqua" w:hAnsi="Book Antiqua"/>
          <w:sz w:val="16"/>
          <w:szCs w:val="16"/>
        </w:rPr>
        <w:t>money, and capital market capitalization.</w:t>
      </w:r>
    </w:p>
    <w:p w14:paraId="02DDEC76" w14:textId="77777777" w:rsidR="00302455" w:rsidRDefault="007C6FFE" w:rsidP="00F563F9">
      <w:pPr>
        <w:spacing w:after="120" w:line="240" w:lineRule="auto"/>
        <w:jc w:val="both"/>
        <w:rPr>
          <w:rFonts w:ascii="Book Antiqua" w:hAnsi="Book Antiqua"/>
          <w:sz w:val="16"/>
          <w:szCs w:val="16"/>
        </w:rPr>
      </w:pPr>
      <w:r w:rsidRPr="0003411E">
        <w:rPr>
          <w:rFonts w:ascii="Book Antiqua" w:hAnsi="Book Antiqua"/>
          <w:sz w:val="16"/>
          <w:szCs w:val="16"/>
        </w:rPr>
        <w:t>Methodologically, this study advances th</w:t>
      </w:r>
      <w:r w:rsidR="001A012F" w:rsidRPr="0003411E">
        <w:rPr>
          <w:rFonts w:ascii="Book Antiqua" w:hAnsi="Book Antiqua"/>
          <w:sz w:val="16"/>
          <w:szCs w:val="16"/>
        </w:rPr>
        <w:t>is</w:t>
      </w:r>
      <w:r w:rsidRPr="0003411E">
        <w:rPr>
          <w:rFonts w:ascii="Book Antiqua" w:hAnsi="Book Antiqua"/>
          <w:sz w:val="16"/>
          <w:szCs w:val="16"/>
        </w:rPr>
        <w:t xml:space="preserve"> literature by implementing </w:t>
      </w:r>
      <w:r w:rsidR="00DD4143" w:rsidRPr="0003411E">
        <w:rPr>
          <w:rFonts w:ascii="Book Antiqua" w:hAnsi="Book Antiqua"/>
          <w:sz w:val="16"/>
          <w:szCs w:val="16"/>
        </w:rPr>
        <w:t>an econometric framework designed to control</w:t>
      </w:r>
      <w:r w:rsidRPr="0003411E">
        <w:rPr>
          <w:rFonts w:ascii="Book Antiqua" w:hAnsi="Book Antiqua"/>
          <w:sz w:val="16"/>
          <w:szCs w:val="16"/>
        </w:rPr>
        <w:t xml:space="preserve"> endogeneity, institutional heterogeneity, and cross-sectional dependencies. By contrasting the telco-led, parallel digital ecosystems of SSA with the deeply integrated, bank-and-state-driven digital frameworks of S/SEA, this research isolates the institutional, regulatory, and infrastructural variables that determine whether digital finance successfully deepens a financial system or merely facilitates high-velocity retail transactions. Ultimately, this structural comparison provides empirical clarity on</w:t>
      </w:r>
      <w:r w:rsidR="005375AD" w:rsidRPr="0003411E">
        <w:rPr>
          <w:rFonts w:ascii="Book Antiqua" w:hAnsi="Book Antiqua"/>
          <w:sz w:val="16"/>
          <w:szCs w:val="16"/>
        </w:rPr>
        <w:t xml:space="preserve"> the precise institutional designs required to successfully transform short-term digital velocity into long-term, stable capital formation.</w:t>
      </w:r>
    </w:p>
    <w:p w14:paraId="336F7FC5" w14:textId="501200B8" w:rsidR="00F563F9" w:rsidRDefault="00C27940" w:rsidP="00F563F9">
      <w:pPr>
        <w:spacing w:after="120" w:line="240" w:lineRule="auto"/>
        <w:jc w:val="both"/>
        <w:rPr>
          <w:rFonts w:ascii="Book Antiqua" w:hAnsi="Book Antiqua"/>
          <w:sz w:val="16"/>
          <w:szCs w:val="16"/>
        </w:rPr>
      </w:pPr>
      <w:r w:rsidRPr="0003411E">
        <w:rPr>
          <w:rFonts w:ascii="Book Antiqua" w:hAnsi="Book Antiqua"/>
          <w:sz w:val="16"/>
          <w:szCs w:val="16"/>
        </w:rPr>
        <w:lastRenderedPageBreak/>
        <w:t xml:space="preserve">For policymakers and central banks, the </w:t>
      </w:r>
      <w:r w:rsidR="00E45E39" w:rsidRPr="0003411E">
        <w:rPr>
          <w:rFonts w:ascii="Book Antiqua" w:hAnsi="Book Antiqua"/>
          <w:sz w:val="16"/>
          <w:szCs w:val="16"/>
        </w:rPr>
        <w:t>fundamental</w:t>
      </w:r>
      <w:r w:rsidR="003D55A2" w:rsidRPr="0003411E">
        <w:rPr>
          <w:rFonts w:ascii="Book Antiqua" w:hAnsi="Book Antiqua"/>
          <w:sz w:val="16"/>
          <w:szCs w:val="16"/>
        </w:rPr>
        <w:t xml:space="preserve"> </w:t>
      </w:r>
      <w:r w:rsidRPr="0003411E">
        <w:rPr>
          <w:rFonts w:ascii="Book Antiqua" w:hAnsi="Book Antiqua"/>
          <w:sz w:val="16"/>
          <w:szCs w:val="16"/>
        </w:rPr>
        <w:t xml:space="preserve">contribution of this work </w:t>
      </w:r>
      <w:r w:rsidR="00645B06">
        <w:rPr>
          <w:rFonts w:ascii="Book Antiqua" w:hAnsi="Book Antiqua"/>
          <w:sz w:val="16"/>
          <w:szCs w:val="16"/>
        </w:rPr>
        <w:t xml:space="preserve">sits </w:t>
      </w:r>
      <w:r w:rsidRPr="0003411E">
        <w:rPr>
          <w:rFonts w:ascii="Book Antiqua" w:hAnsi="Book Antiqua"/>
          <w:sz w:val="16"/>
          <w:szCs w:val="16"/>
        </w:rPr>
        <w:t xml:space="preserve">in breaking the illusion that achieving high rates of digital account ownership is equivalent to financial development. Technology alone cannot substitute for the essential financial functions of pooling risk, scaling credit, and lowering capital costs. To maximize the macroeconomic returns of digital access, modern financial architecture must deliberately channel retail payment </w:t>
      </w:r>
      <w:r w:rsidR="0071093B" w:rsidRPr="0003411E">
        <w:rPr>
          <w:rFonts w:ascii="Book Antiqua" w:hAnsi="Book Antiqua"/>
          <w:sz w:val="16"/>
          <w:szCs w:val="16"/>
        </w:rPr>
        <w:t>liquidity</w:t>
      </w:r>
      <w:r w:rsidR="005E43BC" w:rsidRPr="0003411E">
        <w:rPr>
          <w:rFonts w:ascii="Book Antiqua" w:hAnsi="Book Antiqua"/>
          <w:sz w:val="16"/>
          <w:szCs w:val="16"/>
        </w:rPr>
        <w:t xml:space="preserve"> </w:t>
      </w:r>
      <w:r w:rsidR="0071093B" w:rsidRPr="0003411E">
        <w:rPr>
          <w:rFonts w:ascii="Book Antiqua" w:hAnsi="Book Antiqua"/>
          <w:sz w:val="16"/>
          <w:szCs w:val="16"/>
        </w:rPr>
        <w:t xml:space="preserve">back </w:t>
      </w:r>
      <w:r w:rsidRPr="0003411E">
        <w:rPr>
          <w:rFonts w:ascii="Book Antiqua" w:hAnsi="Book Antiqua"/>
          <w:sz w:val="16"/>
          <w:szCs w:val="16"/>
        </w:rPr>
        <w:t>into formal banking rails, resolving the structural friction between technological leapfrogging and long-term industrialization.</w:t>
      </w:r>
    </w:p>
    <w:p w14:paraId="092EA388" w14:textId="77777777" w:rsidR="00F276A3" w:rsidRDefault="00F276A3" w:rsidP="00633DB0">
      <w:pPr>
        <w:spacing w:after="120" w:line="240" w:lineRule="auto"/>
        <w:jc w:val="both"/>
        <w:rPr>
          <w:rFonts w:ascii="Book Antiqua" w:hAnsi="Book Antiqua"/>
          <w:b/>
          <w:color w:val="0C2340"/>
          <w:sz w:val="16"/>
          <w:szCs w:val="16"/>
        </w:rPr>
      </w:pPr>
    </w:p>
    <w:p w14:paraId="21364BF2" w14:textId="106EE407" w:rsidR="00633DB0" w:rsidRPr="00F0517A" w:rsidRDefault="00573FA7" w:rsidP="00633DB0">
      <w:pPr>
        <w:spacing w:after="120" w:line="240" w:lineRule="auto"/>
        <w:jc w:val="both"/>
        <w:rPr>
          <w:rFonts w:ascii="Book Antiqua" w:hAnsi="Book Antiqua"/>
          <w:b/>
          <w:color w:val="215E99" w:themeColor="text2" w:themeTint="BF"/>
          <w:sz w:val="18"/>
          <w:szCs w:val="18"/>
        </w:rPr>
      </w:pPr>
      <w:r w:rsidRPr="00F0517A">
        <w:rPr>
          <w:rFonts w:ascii="Book Antiqua" w:hAnsi="Book Antiqua"/>
          <w:b/>
          <w:color w:val="215E99" w:themeColor="text2" w:themeTint="BF"/>
          <w:sz w:val="18"/>
          <w:szCs w:val="18"/>
        </w:rPr>
        <w:t>8</w:t>
      </w:r>
      <w:r w:rsidR="007C6FFE" w:rsidRPr="00F0517A">
        <w:rPr>
          <w:rFonts w:ascii="Book Antiqua" w:hAnsi="Book Antiqua"/>
          <w:b/>
          <w:color w:val="215E99" w:themeColor="text2" w:themeTint="BF"/>
          <w:sz w:val="18"/>
          <w:szCs w:val="18"/>
        </w:rPr>
        <w:t>. References</w:t>
      </w:r>
    </w:p>
    <w:p w14:paraId="064124AE"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Adrian, T. and Mancini-Griffoli, T. (2019) </w:t>
      </w:r>
      <w:r w:rsidRPr="0003411E">
        <w:rPr>
          <w:rFonts w:ascii="Book Antiqua" w:hAnsi="Book Antiqua"/>
          <w:i/>
          <w:iCs/>
          <w:sz w:val="16"/>
          <w:szCs w:val="16"/>
        </w:rPr>
        <w:t>The rise of digital money</w:t>
      </w:r>
      <w:r w:rsidRPr="0003411E">
        <w:rPr>
          <w:rFonts w:ascii="Book Antiqua" w:hAnsi="Book Antiqua"/>
          <w:sz w:val="16"/>
          <w:szCs w:val="16"/>
        </w:rPr>
        <w:t>. International Monetary Fund Fintech Note No. 19/001. International Monetary Fund.</w:t>
      </w:r>
    </w:p>
    <w:p w14:paraId="42B76241" w14:textId="7470A768" w:rsidR="001F72FE" w:rsidRDefault="001F72FE" w:rsidP="00F276A3">
      <w:pPr>
        <w:spacing w:after="120" w:line="240" w:lineRule="auto"/>
        <w:ind w:left="720" w:hanging="720"/>
        <w:jc w:val="both"/>
        <w:rPr>
          <w:rFonts w:ascii="Book Antiqua" w:hAnsi="Book Antiqua"/>
          <w:sz w:val="16"/>
          <w:szCs w:val="16"/>
        </w:rPr>
      </w:pPr>
      <w:r w:rsidRPr="001F72FE">
        <w:rPr>
          <w:rFonts w:ascii="Book Antiqua" w:hAnsi="Book Antiqua"/>
          <w:sz w:val="16"/>
          <w:szCs w:val="16"/>
        </w:rPr>
        <w:t>Aghion, P., Howitt, P. and Mayer-Foulkes, D.</w:t>
      </w:r>
      <w:r>
        <w:rPr>
          <w:rFonts w:ascii="Book Antiqua" w:hAnsi="Book Antiqua"/>
          <w:sz w:val="16"/>
          <w:szCs w:val="16"/>
        </w:rPr>
        <w:t xml:space="preserve"> (</w:t>
      </w:r>
      <w:r w:rsidRPr="001F72FE">
        <w:rPr>
          <w:rFonts w:ascii="Book Antiqua" w:hAnsi="Book Antiqua"/>
          <w:sz w:val="16"/>
          <w:szCs w:val="16"/>
        </w:rPr>
        <w:t>2005</w:t>
      </w:r>
      <w:r>
        <w:rPr>
          <w:rFonts w:ascii="Book Antiqua" w:hAnsi="Book Antiqua"/>
          <w:sz w:val="16"/>
          <w:szCs w:val="16"/>
        </w:rPr>
        <w:t>)</w:t>
      </w:r>
      <w:r w:rsidRPr="001F72FE">
        <w:rPr>
          <w:rFonts w:ascii="Book Antiqua" w:hAnsi="Book Antiqua"/>
          <w:sz w:val="16"/>
          <w:szCs w:val="16"/>
        </w:rPr>
        <w:t xml:space="preserve"> The effect of financial development on convergence: Theory and evidence. </w:t>
      </w:r>
      <w:r w:rsidRPr="001F72FE">
        <w:rPr>
          <w:rFonts w:ascii="Book Antiqua" w:hAnsi="Book Antiqua"/>
          <w:i/>
          <w:iCs/>
          <w:sz w:val="16"/>
          <w:szCs w:val="16"/>
        </w:rPr>
        <w:t>The quarterly journal of economics</w:t>
      </w:r>
      <w:r w:rsidRPr="001F72FE">
        <w:rPr>
          <w:rFonts w:ascii="Book Antiqua" w:hAnsi="Book Antiqua"/>
          <w:sz w:val="16"/>
          <w:szCs w:val="16"/>
        </w:rPr>
        <w:t>, </w:t>
      </w:r>
      <w:r w:rsidRPr="001F72FE">
        <w:rPr>
          <w:rFonts w:ascii="Book Antiqua" w:hAnsi="Book Antiqua"/>
          <w:i/>
          <w:iCs/>
          <w:sz w:val="16"/>
          <w:szCs w:val="16"/>
        </w:rPr>
        <w:t>120</w:t>
      </w:r>
      <w:r w:rsidRPr="001F72FE">
        <w:rPr>
          <w:rFonts w:ascii="Book Antiqua" w:hAnsi="Book Antiqua"/>
          <w:sz w:val="16"/>
          <w:szCs w:val="16"/>
        </w:rPr>
        <w:t>(1), pp.173-222.</w:t>
      </w:r>
    </w:p>
    <w:p w14:paraId="78712D20" w14:textId="6E25FF13"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Allen, F., Demirguc-Kunt, A., Klapper, L. and Martinez Peria, M.S. (2016) 'The foundations of financial inclusion: understanding ownership and use of formal accounts', </w:t>
      </w:r>
      <w:r w:rsidRPr="0003411E">
        <w:rPr>
          <w:rFonts w:ascii="Book Antiqua" w:hAnsi="Book Antiqua"/>
          <w:i/>
          <w:iCs/>
          <w:sz w:val="16"/>
          <w:szCs w:val="16"/>
        </w:rPr>
        <w:t>Journal of Financial Intermediation</w:t>
      </w:r>
      <w:r w:rsidRPr="0003411E">
        <w:rPr>
          <w:rFonts w:ascii="Book Antiqua" w:hAnsi="Book Antiqua"/>
          <w:sz w:val="16"/>
          <w:szCs w:val="16"/>
        </w:rPr>
        <w:t>, 27, pp. 1–30.</w:t>
      </w:r>
    </w:p>
    <w:p w14:paraId="4E57918D"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Beck, T. (2020) </w:t>
      </w:r>
      <w:r w:rsidRPr="0003411E">
        <w:rPr>
          <w:rFonts w:ascii="Book Antiqua" w:hAnsi="Book Antiqua"/>
          <w:i/>
          <w:iCs/>
          <w:sz w:val="16"/>
          <w:szCs w:val="16"/>
        </w:rPr>
        <w:t>Fintech and financial inclusion: opportunities and pitfalls</w:t>
      </w:r>
      <w:r w:rsidRPr="0003411E">
        <w:rPr>
          <w:rFonts w:ascii="Book Antiqua" w:hAnsi="Book Antiqua"/>
          <w:sz w:val="16"/>
          <w:szCs w:val="16"/>
        </w:rPr>
        <w:t>. Asian Development Bank Institute Working Paper No. 1165. Asian Development Bank Institute.</w:t>
      </w:r>
    </w:p>
    <w:p w14:paraId="056C2CD8"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Berg, T., Fuster, A. and Puri, M. (2022) 'Fintech lending', </w:t>
      </w:r>
      <w:r w:rsidRPr="0003411E">
        <w:rPr>
          <w:rFonts w:ascii="Book Antiqua" w:hAnsi="Book Antiqua"/>
          <w:i/>
          <w:iCs/>
          <w:sz w:val="16"/>
          <w:szCs w:val="16"/>
        </w:rPr>
        <w:t>Annual Review of Financial Economics</w:t>
      </w:r>
      <w:r w:rsidRPr="0003411E">
        <w:rPr>
          <w:rFonts w:ascii="Book Antiqua" w:hAnsi="Book Antiqua"/>
          <w:sz w:val="16"/>
          <w:szCs w:val="16"/>
        </w:rPr>
        <w:t>, 14(1), pp. 187–207.</w:t>
      </w:r>
    </w:p>
    <w:p w14:paraId="761707C8"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Del Sarto, N. and Ozili, P.K. (2025) 'FinTech and financial inclusion in emerging markets: a bibliometric analysis and future research agenda', </w:t>
      </w:r>
      <w:r w:rsidRPr="0003411E">
        <w:rPr>
          <w:rFonts w:ascii="Book Antiqua" w:hAnsi="Book Antiqua"/>
          <w:i/>
          <w:iCs/>
          <w:sz w:val="16"/>
          <w:szCs w:val="16"/>
        </w:rPr>
        <w:t>International Journal of Emerging Markets</w:t>
      </w:r>
      <w:r w:rsidRPr="0003411E">
        <w:rPr>
          <w:rFonts w:ascii="Book Antiqua" w:hAnsi="Book Antiqua"/>
          <w:sz w:val="16"/>
          <w:szCs w:val="16"/>
        </w:rPr>
        <w:t>, 20(13), pp. 270–290.</w:t>
      </w:r>
    </w:p>
    <w:p w14:paraId="477DDC1A"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Diamond, D.W. (1984) 'Financial intermediation and delegated monitoring', </w:t>
      </w:r>
      <w:r w:rsidRPr="0003411E">
        <w:rPr>
          <w:rFonts w:ascii="Book Antiqua" w:hAnsi="Book Antiqua"/>
          <w:i/>
          <w:iCs/>
          <w:sz w:val="16"/>
          <w:szCs w:val="16"/>
        </w:rPr>
        <w:t>Review of Economic Studies</w:t>
      </w:r>
      <w:r w:rsidRPr="0003411E">
        <w:rPr>
          <w:rFonts w:ascii="Book Antiqua" w:hAnsi="Book Antiqua"/>
          <w:sz w:val="16"/>
          <w:szCs w:val="16"/>
        </w:rPr>
        <w:t>, 51(3), pp. 393–414.</w:t>
      </w:r>
    </w:p>
    <w:p w14:paraId="2392E6C0"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Friedman, M. (1970) 'A theoretical framework for monetary analysis', </w:t>
      </w:r>
      <w:r w:rsidRPr="0003411E">
        <w:rPr>
          <w:rFonts w:ascii="Book Antiqua" w:hAnsi="Book Antiqua"/>
          <w:i/>
          <w:iCs/>
          <w:sz w:val="16"/>
          <w:szCs w:val="16"/>
        </w:rPr>
        <w:t>Journal of Political Economy</w:t>
      </w:r>
      <w:r w:rsidRPr="0003411E">
        <w:rPr>
          <w:rFonts w:ascii="Book Antiqua" w:hAnsi="Book Antiqua"/>
          <w:sz w:val="16"/>
          <w:szCs w:val="16"/>
        </w:rPr>
        <w:t>, 78(2), pp. 193–238.</w:t>
      </w:r>
    </w:p>
    <w:p w14:paraId="63B19BFE"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Gurley, J.G. and Shaw, E.S. (1955) 'Financial aspects of economic development', </w:t>
      </w:r>
      <w:r w:rsidRPr="0003411E">
        <w:rPr>
          <w:rFonts w:ascii="Book Antiqua" w:hAnsi="Book Antiqua"/>
          <w:i/>
          <w:iCs/>
          <w:sz w:val="16"/>
          <w:szCs w:val="16"/>
        </w:rPr>
        <w:t>American Economic Review</w:t>
      </w:r>
      <w:r w:rsidRPr="0003411E">
        <w:rPr>
          <w:rFonts w:ascii="Book Antiqua" w:hAnsi="Book Antiqua"/>
          <w:sz w:val="16"/>
          <w:szCs w:val="16"/>
        </w:rPr>
        <w:t>, 45(4), pp. 515–538.</w:t>
      </w:r>
    </w:p>
    <w:p w14:paraId="5A3A4ABC" w14:textId="77777777" w:rsidR="00914930" w:rsidRDefault="00914930" w:rsidP="00F276A3">
      <w:pPr>
        <w:spacing w:after="120" w:line="240" w:lineRule="auto"/>
        <w:ind w:left="720" w:hanging="720"/>
        <w:jc w:val="both"/>
        <w:rPr>
          <w:rFonts w:ascii="Book Antiqua" w:hAnsi="Book Antiqua"/>
          <w:sz w:val="16"/>
          <w:szCs w:val="16"/>
        </w:rPr>
      </w:pPr>
      <w:r w:rsidRPr="00914930">
        <w:rPr>
          <w:rFonts w:ascii="Book Antiqua" w:hAnsi="Book Antiqua"/>
          <w:sz w:val="16"/>
          <w:szCs w:val="16"/>
        </w:rPr>
        <w:t>Han, P. and Wang, Z., 2026. Technology adoption and leapfrogging: Racing for mobile payments. </w:t>
      </w:r>
      <w:r w:rsidRPr="00914930">
        <w:rPr>
          <w:rFonts w:ascii="Book Antiqua" w:hAnsi="Book Antiqua"/>
          <w:i/>
          <w:iCs/>
          <w:sz w:val="16"/>
          <w:szCs w:val="16"/>
        </w:rPr>
        <w:t>Management Science</w:t>
      </w:r>
      <w:r w:rsidRPr="00914930">
        <w:rPr>
          <w:rFonts w:ascii="Book Antiqua" w:hAnsi="Book Antiqua"/>
          <w:sz w:val="16"/>
          <w:szCs w:val="16"/>
        </w:rPr>
        <w:t>.</w:t>
      </w:r>
    </w:p>
    <w:p w14:paraId="410303F3" w14:textId="3B62D962" w:rsidR="007E01EC" w:rsidRDefault="007E01EC" w:rsidP="00F276A3">
      <w:pPr>
        <w:spacing w:after="120" w:line="240" w:lineRule="auto"/>
        <w:ind w:left="720" w:hanging="720"/>
        <w:jc w:val="both"/>
        <w:rPr>
          <w:rFonts w:ascii="Book Antiqua" w:hAnsi="Book Antiqua"/>
          <w:sz w:val="16"/>
          <w:szCs w:val="16"/>
        </w:rPr>
      </w:pPr>
      <w:r w:rsidRPr="007E01EC">
        <w:rPr>
          <w:rFonts w:ascii="Book Antiqua" w:hAnsi="Book Antiqua"/>
          <w:sz w:val="16"/>
          <w:szCs w:val="16"/>
        </w:rPr>
        <w:t>Holmstrom, B. and Tirole, J., 1997. Financial intermediation, loanable funds, and the real sector. </w:t>
      </w:r>
      <w:r w:rsidRPr="007E01EC">
        <w:rPr>
          <w:rFonts w:ascii="Book Antiqua" w:hAnsi="Book Antiqua"/>
          <w:i/>
          <w:iCs/>
          <w:sz w:val="16"/>
          <w:szCs w:val="16"/>
        </w:rPr>
        <w:t>the Quarterly Journal of economics</w:t>
      </w:r>
      <w:r w:rsidRPr="007E01EC">
        <w:rPr>
          <w:rFonts w:ascii="Book Antiqua" w:hAnsi="Book Antiqua"/>
          <w:sz w:val="16"/>
          <w:szCs w:val="16"/>
        </w:rPr>
        <w:t>, </w:t>
      </w:r>
      <w:r w:rsidRPr="007E01EC">
        <w:rPr>
          <w:rFonts w:ascii="Book Antiqua" w:hAnsi="Book Antiqua"/>
          <w:i/>
          <w:iCs/>
          <w:sz w:val="16"/>
          <w:szCs w:val="16"/>
        </w:rPr>
        <w:t>112</w:t>
      </w:r>
      <w:r w:rsidRPr="007E01EC">
        <w:rPr>
          <w:rFonts w:ascii="Book Antiqua" w:hAnsi="Book Antiqua"/>
          <w:sz w:val="16"/>
          <w:szCs w:val="16"/>
        </w:rPr>
        <w:t>(3), pp.663-691.</w:t>
      </w:r>
    </w:p>
    <w:p w14:paraId="2413923A" w14:textId="746AD1E4"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Jack, W. and Suri, T. (2014) 'Risk sharing and transactions costs: evidence from Kenya's mobile money revolution', </w:t>
      </w:r>
      <w:r w:rsidRPr="0003411E">
        <w:rPr>
          <w:rFonts w:ascii="Book Antiqua" w:hAnsi="Book Antiqua"/>
          <w:i/>
          <w:iCs/>
          <w:sz w:val="16"/>
          <w:szCs w:val="16"/>
        </w:rPr>
        <w:t>American Economic Review</w:t>
      </w:r>
      <w:r w:rsidRPr="0003411E">
        <w:rPr>
          <w:rFonts w:ascii="Book Antiqua" w:hAnsi="Book Antiqua"/>
          <w:sz w:val="16"/>
          <w:szCs w:val="16"/>
        </w:rPr>
        <w:t>, 104(1), pp. 183–223.</w:t>
      </w:r>
    </w:p>
    <w:p w14:paraId="56884D2D"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King, R.G. and Levine, R. (1993) 'Finance and growth: Schumpeter might be right', </w:t>
      </w:r>
      <w:r w:rsidRPr="0003411E">
        <w:rPr>
          <w:rFonts w:ascii="Book Antiqua" w:hAnsi="Book Antiqua"/>
          <w:i/>
          <w:iCs/>
          <w:sz w:val="16"/>
          <w:szCs w:val="16"/>
        </w:rPr>
        <w:t>Quarterly Journal of Economics</w:t>
      </w:r>
      <w:r w:rsidRPr="0003411E">
        <w:rPr>
          <w:rFonts w:ascii="Book Antiqua" w:hAnsi="Book Antiqua"/>
          <w:sz w:val="16"/>
          <w:szCs w:val="16"/>
        </w:rPr>
        <w:t>, 108(3), pp. 717–737.</w:t>
      </w:r>
    </w:p>
    <w:p w14:paraId="1EA90FB2"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Levine, R. (1997) 'Financial development and economic growth: views and agenda', </w:t>
      </w:r>
      <w:r w:rsidRPr="0003411E">
        <w:rPr>
          <w:rFonts w:ascii="Book Antiqua" w:hAnsi="Book Antiqua"/>
          <w:i/>
          <w:iCs/>
          <w:sz w:val="16"/>
          <w:szCs w:val="16"/>
        </w:rPr>
        <w:t>Journal of Economic Literature</w:t>
      </w:r>
      <w:r w:rsidRPr="0003411E">
        <w:rPr>
          <w:rFonts w:ascii="Book Antiqua" w:hAnsi="Book Antiqua"/>
          <w:sz w:val="16"/>
          <w:szCs w:val="16"/>
        </w:rPr>
        <w:t>, 35(2), pp. 688–726.</w:t>
      </w:r>
    </w:p>
    <w:p w14:paraId="6F41BD4F"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Levine, R. (2005) 'Finance and growth: theory and evidence', in Aghion, P. and Durlauf, S. (eds.) </w:t>
      </w:r>
      <w:r w:rsidRPr="0003411E">
        <w:rPr>
          <w:rFonts w:ascii="Book Antiqua" w:hAnsi="Book Antiqua"/>
          <w:i/>
          <w:iCs/>
          <w:sz w:val="16"/>
          <w:szCs w:val="16"/>
        </w:rPr>
        <w:t>Handbook of economic growth</w:t>
      </w:r>
      <w:r w:rsidRPr="0003411E">
        <w:rPr>
          <w:rFonts w:ascii="Book Antiqua" w:hAnsi="Book Antiqua"/>
          <w:sz w:val="16"/>
          <w:szCs w:val="16"/>
        </w:rPr>
        <w:t>. Amsterdam: Elsevier, pp. 865–934.</w:t>
      </w:r>
    </w:p>
    <w:p w14:paraId="0D95D1CE"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Mawejje, J. and Lakuma, P. (2019) 'Macroeconomic effects of mobile money: evidence from Uganda', </w:t>
      </w:r>
      <w:r w:rsidRPr="0003411E">
        <w:rPr>
          <w:rFonts w:ascii="Book Antiqua" w:hAnsi="Book Antiqua"/>
          <w:i/>
          <w:iCs/>
          <w:sz w:val="16"/>
          <w:szCs w:val="16"/>
        </w:rPr>
        <w:t>Financial Innovation</w:t>
      </w:r>
      <w:r w:rsidRPr="0003411E">
        <w:rPr>
          <w:rFonts w:ascii="Book Antiqua" w:hAnsi="Book Antiqua"/>
          <w:sz w:val="16"/>
          <w:szCs w:val="16"/>
        </w:rPr>
        <w:t>, 5(1), pp. 1–20.</w:t>
      </w:r>
    </w:p>
    <w:p w14:paraId="5DB0217D"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Ocansey, E.N.N.D., Dadzie, P. and Nambie, N.B. (2024) 'Mobile Money Use, Digital Banking Services and Velocity of Money in Ghana', </w:t>
      </w:r>
      <w:r w:rsidRPr="0003411E">
        <w:rPr>
          <w:rFonts w:ascii="Book Antiqua" w:hAnsi="Book Antiqua"/>
          <w:i/>
          <w:iCs/>
          <w:sz w:val="16"/>
          <w:szCs w:val="16"/>
        </w:rPr>
        <w:t>International Journal of Economics and Financial Issues</w:t>
      </w:r>
      <w:r w:rsidRPr="0003411E">
        <w:rPr>
          <w:rFonts w:ascii="Book Antiqua" w:hAnsi="Book Antiqua"/>
          <w:sz w:val="16"/>
          <w:szCs w:val="16"/>
        </w:rPr>
        <w:t>, 14(2), pp. 218–233.</w:t>
      </w:r>
    </w:p>
    <w:p w14:paraId="51DA18B4"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Ozili, P.K. (2018) 'Impact of digital finance on financial inclusion and stability', </w:t>
      </w:r>
      <w:r w:rsidRPr="0003411E">
        <w:rPr>
          <w:rFonts w:ascii="Book Antiqua" w:hAnsi="Book Antiqua"/>
          <w:i/>
          <w:iCs/>
          <w:sz w:val="16"/>
          <w:szCs w:val="16"/>
        </w:rPr>
        <w:t>Borsa Istanbul Review</w:t>
      </w:r>
      <w:r w:rsidRPr="0003411E">
        <w:rPr>
          <w:rFonts w:ascii="Book Antiqua" w:hAnsi="Book Antiqua"/>
          <w:sz w:val="16"/>
          <w:szCs w:val="16"/>
        </w:rPr>
        <w:t>, 18(4), pp. 329–340.</w:t>
      </w:r>
    </w:p>
    <w:p w14:paraId="0B7E25C8"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Pazarbasioglu, C., Garcia Mora, A., Uttamchandani, M., Natarajan, H., Feyen, E. and Saal, M. (2020) </w:t>
      </w:r>
      <w:r w:rsidRPr="0003411E">
        <w:rPr>
          <w:rFonts w:ascii="Book Antiqua" w:hAnsi="Book Antiqua"/>
          <w:i/>
          <w:iCs/>
          <w:sz w:val="16"/>
          <w:szCs w:val="16"/>
        </w:rPr>
        <w:t>Digital financial services</w:t>
      </w:r>
      <w:r w:rsidRPr="0003411E">
        <w:rPr>
          <w:rFonts w:ascii="Book Antiqua" w:hAnsi="Book Antiqua"/>
          <w:sz w:val="16"/>
          <w:szCs w:val="16"/>
        </w:rPr>
        <w:t>. World Bank Group Joint Report. World Bank Group.</w:t>
      </w:r>
    </w:p>
    <w:p w14:paraId="7DDE023C"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Sahay, R., von Allmen, U.E., Lahreche, A., Khera, P., Ogawa, S., Bazarbash, M. and Beaton, K. (2020) </w:t>
      </w:r>
      <w:r w:rsidRPr="0003411E">
        <w:rPr>
          <w:rFonts w:ascii="Book Antiqua" w:hAnsi="Book Antiqua"/>
          <w:i/>
          <w:iCs/>
          <w:sz w:val="16"/>
          <w:szCs w:val="16"/>
        </w:rPr>
        <w:t>The promise of fintech: financial inclusion in the post-COVID-19 era</w:t>
      </w:r>
      <w:r w:rsidRPr="0003411E">
        <w:rPr>
          <w:rFonts w:ascii="Book Antiqua" w:hAnsi="Book Antiqua"/>
          <w:sz w:val="16"/>
          <w:szCs w:val="16"/>
        </w:rPr>
        <w:t>. International Monetary Fund Departmental Paper No. 20/09. International Monetary Fund.</w:t>
      </w:r>
    </w:p>
    <w:p w14:paraId="6CC6220B"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Shaw, E.S. (1973) </w:t>
      </w:r>
      <w:r w:rsidRPr="0003411E">
        <w:rPr>
          <w:rFonts w:ascii="Book Antiqua" w:hAnsi="Book Antiqua"/>
          <w:i/>
          <w:iCs/>
          <w:sz w:val="16"/>
          <w:szCs w:val="16"/>
        </w:rPr>
        <w:t>Financial deepening in economic development</w:t>
      </w:r>
      <w:r w:rsidRPr="0003411E">
        <w:rPr>
          <w:rFonts w:ascii="Book Antiqua" w:hAnsi="Book Antiqua"/>
          <w:sz w:val="16"/>
          <w:szCs w:val="16"/>
        </w:rPr>
        <w:t>. Oxford University Press.</w:t>
      </w:r>
    </w:p>
    <w:p w14:paraId="33B8EE95"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Stiglitz, J.E. and Weiss, A. (1981) 'Credit rationing in markets with imperfect information', </w:t>
      </w:r>
      <w:r w:rsidRPr="0003411E">
        <w:rPr>
          <w:rFonts w:ascii="Book Antiqua" w:hAnsi="Book Antiqua"/>
          <w:i/>
          <w:iCs/>
          <w:sz w:val="16"/>
          <w:szCs w:val="16"/>
        </w:rPr>
        <w:t>The American Economic Review</w:t>
      </w:r>
      <w:r w:rsidRPr="0003411E">
        <w:rPr>
          <w:rFonts w:ascii="Book Antiqua" w:hAnsi="Book Antiqua"/>
          <w:sz w:val="16"/>
          <w:szCs w:val="16"/>
        </w:rPr>
        <w:t>, 71(3), pp. 393–410.</w:t>
      </w:r>
    </w:p>
    <w:p w14:paraId="48629131" w14:textId="5F028FD8" w:rsidR="00E90CCD"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Vives, X. (2019) 'Digital disruption in banking', </w:t>
      </w:r>
      <w:r w:rsidRPr="0003411E">
        <w:rPr>
          <w:rFonts w:ascii="Book Antiqua" w:hAnsi="Book Antiqua"/>
          <w:i/>
          <w:iCs/>
          <w:sz w:val="16"/>
          <w:szCs w:val="16"/>
        </w:rPr>
        <w:t>Annual Review of Financial Economics</w:t>
      </w:r>
      <w:r w:rsidRPr="0003411E">
        <w:rPr>
          <w:rFonts w:ascii="Book Antiqua" w:hAnsi="Book Antiqua"/>
          <w:sz w:val="16"/>
          <w:szCs w:val="16"/>
        </w:rPr>
        <w:t>, 11(1), pp. 243–272</w:t>
      </w:r>
      <w:r w:rsidR="00472680">
        <w:rPr>
          <w:rFonts w:ascii="Book Antiqua" w:hAnsi="Book Antiqua"/>
          <w:sz w:val="16"/>
          <w:szCs w:val="16"/>
        </w:rPr>
        <w:t>.</w:t>
      </w:r>
    </w:p>
    <w:sectPr w:rsidR="00E90CCD" w:rsidSect="00F7002F">
      <w:pgSz w:w="12240" w:h="15840"/>
      <w:pgMar w:top="1440" w:right="1440" w:bottom="113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5B2EE" w14:textId="77777777" w:rsidR="00C40E58" w:rsidRDefault="00C40E58" w:rsidP="006856D3">
      <w:pPr>
        <w:spacing w:after="0" w:line="240" w:lineRule="auto"/>
      </w:pPr>
      <w:r>
        <w:separator/>
      </w:r>
    </w:p>
  </w:endnote>
  <w:endnote w:type="continuationSeparator" w:id="0">
    <w:p w14:paraId="38E41F48" w14:textId="77777777" w:rsidR="00C40E58" w:rsidRDefault="00C40E58" w:rsidP="00685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F13FA" w14:textId="77777777" w:rsidR="00C40E58" w:rsidRDefault="00C40E58" w:rsidP="006856D3">
      <w:pPr>
        <w:spacing w:after="0" w:line="240" w:lineRule="auto"/>
      </w:pPr>
      <w:r>
        <w:separator/>
      </w:r>
    </w:p>
  </w:footnote>
  <w:footnote w:type="continuationSeparator" w:id="0">
    <w:p w14:paraId="68FC0D54" w14:textId="77777777" w:rsidR="00C40E58" w:rsidRDefault="00C40E58" w:rsidP="00685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F32B39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48012301"/>
    <w:multiLevelType w:val="hybridMultilevel"/>
    <w:tmpl w:val="35D4692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301204493">
    <w:abstractNumId w:val="0"/>
  </w:num>
  <w:num w:numId="2" w16cid:durableId="2123063404">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6B6"/>
    <w:rsid w:val="00002470"/>
    <w:rsid w:val="00011EC0"/>
    <w:rsid w:val="000126D8"/>
    <w:rsid w:val="000137EB"/>
    <w:rsid w:val="00017E68"/>
    <w:rsid w:val="000263BA"/>
    <w:rsid w:val="00026613"/>
    <w:rsid w:val="00027CC0"/>
    <w:rsid w:val="00030588"/>
    <w:rsid w:val="000312FB"/>
    <w:rsid w:val="000329DD"/>
    <w:rsid w:val="0003411E"/>
    <w:rsid w:val="00035F3C"/>
    <w:rsid w:val="00037349"/>
    <w:rsid w:val="00040B6F"/>
    <w:rsid w:val="00040D1A"/>
    <w:rsid w:val="00042C7B"/>
    <w:rsid w:val="00043065"/>
    <w:rsid w:val="0004324B"/>
    <w:rsid w:val="000433E7"/>
    <w:rsid w:val="0004562D"/>
    <w:rsid w:val="00046D0F"/>
    <w:rsid w:val="000477B1"/>
    <w:rsid w:val="00052C3C"/>
    <w:rsid w:val="000530EF"/>
    <w:rsid w:val="000535EF"/>
    <w:rsid w:val="0005596A"/>
    <w:rsid w:val="0006131F"/>
    <w:rsid w:val="00061661"/>
    <w:rsid w:val="00063494"/>
    <w:rsid w:val="000648BB"/>
    <w:rsid w:val="00073627"/>
    <w:rsid w:val="00073BBB"/>
    <w:rsid w:val="00075A67"/>
    <w:rsid w:val="00077D0A"/>
    <w:rsid w:val="0008485A"/>
    <w:rsid w:val="00085C49"/>
    <w:rsid w:val="00086963"/>
    <w:rsid w:val="00087B61"/>
    <w:rsid w:val="00090138"/>
    <w:rsid w:val="00090356"/>
    <w:rsid w:val="000903D2"/>
    <w:rsid w:val="00090D32"/>
    <w:rsid w:val="00090E73"/>
    <w:rsid w:val="0009325D"/>
    <w:rsid w:val="00095D0E"/>
    <w:rsid w:val="000A05B4"/>
    <w:rsid w:val="000A08EF"/>
    <w:rsid w:val="000A2A88"/>
    <w:rsid w:val="000A4091"/>
    <w:rsid w:val="000A7234"/>
    <w:rsid w:val="000B48C0"/>
    <w:rsid w:val="000B5C44"/>
    <w:rsid w:val="000C07AD"/>
    <w:rsid w:val="000C1EDA"/>
    <w:rsid w:val="000C2D47"/>
    <w:rsid w:val="000C6507"/>
    <w:rsid w:val="000C75C7"/>
    <w:rsid w:val="000D46D6"/>
    <w:rsid w:val="000E088D"/>
    <w:rsid w:val="000E3028"/>
    <w:rsid w:val="000E3131"/>
    <w:rsid w:val="000E36C1"/>
    <w:rsid w:val="000E503B"/>
    <w:rsid w:val="000E50B8"/>
    <w:rsid w:val="000E5F9F"/>
    <w:rsid w:val="000F28B0"/>
    <w:rsid w:val="000F43C8"/>
    <w:rsid w:val="000F5C75"/>
    <w:rsid w:val="001049A1"/>
    <w:rsid w:val="00106ACD"/>
    <w:rsid w:val="00107180"/>
    <w:rsid w:val="00110169"/>
    <w:rsid w:val="00110843"/>
    <w:rsid w:val="001160C7"/>
    <w:rsid w:val="00116D6D"/>
    <w:rsid w:val="00117AB1"/>
    <w:rsid w:val="00121158"/>
    <w:rsid w:val="00122AE4"/>
    <w:rsid w:val="00122F4B"/>
    <w:rsid w:val="00125079"/>
    <w:rsid w:val="0012787C"/>
    <w:rsid w:val="00131119"/>
    <w:rsid w:val="00132EF4"/>
    <w:rsid w:val="00132F26"/>
    <w:rsid w:val="001350A2"/>
    <w:rsid w:val="00137520"/>
    <w:rsid w:val="00137D72"/>
    <w:rsid w:val="00142C7F"/>
    <w:rsid w:val="00142F1C"/>
    <w:rsid w:val="0014315D"/>
    <w:rsid w:val="00147205"/>
    <w:rsid w:val="00150C0D"/>
    <w:rsid w:val="00153A67"/>
    <w:rsid w:val="0015441C"/>
    <w:rsid w:val="00154AEE"/>
    <w:rsid w:val="00155C99"/>
    <w:rsid w:val="00157236"/>
    <w:rsid w:val="00160C0E"/>
    <w:rsid w:val="00161964"/>
    <w:rsid w:val="00162960"/>
    <w:rsid w:val="00166A3E"/>
    <w:rsid w:val="0016799E"/>
    <w:rsid w:val="00167A15"/>
    <w:rsid w:val="0017173B"/>
    <w:rsid w:val="00171ADC"/>
    <w:rsid w:val="001750AB"/>
    <w:rsid w:val="001805B5"/>
    <w:rsid w:val="0018094E"/>
    <w:rsid w:val="00180EC4"/>
    <w:rsid w:val="001822A9"/>
    <w:rsid w:val="001838D9"/>
    <w:rsid w:val="0018402E"/>
    <w:rsid w:val="00185378"/>
    <w:rsid w:val="00185C26"/>
    <w:rsid w:val="00190CB6"/>
    <w:rsid w:val="00190EA0"/>
    <w:rsid w:val="00191CF1"/>
    <w:rsid w:val="001926ED"/>
    <w:rsid w:val="00193F54"/>
    <w:rsid w:val="001959E7"/>
    <w:rsid w:val="001A012F"/>
    <w:rsid w:val="001A110C"/>
    <w:rsid w:val="001A1C9A"/>
    <w:rsid w:val="001A3546"/>
    <w:rsid w:val="001A386F"/>
    <w:rsid w:val="001B207F"/>
    <w:rsid w:val="001B4062"/>
    <w:rsid w:val="001B5674"/>
    <w:rsid w:val="001C10B1"/>
    <w:rsid w:val="001C183C"/>
    <w:rsid w:val="001C2490"/>
    <w:rsid w:val="001C5027"/>
    <w:rsid w:val="001C5311"/>
    <w:rsid w:val="001C581E"/>
    <w:rsid w:val="001C58A2"/>
    <w:rsid w:val="001D1465"/>
    <w:rsid w:val="001D2B3C"/>
    <w:rsid w:val="001D37B3"/>
    <w:rsid w:val="001D7B6D"/>
    <w:rsid w:val="001E4EA7"/>
    <w:rsid w:val="001E5B9D"/>
    <w:rsid w:val="001E5C25"/>
    <w:rsid w:val="001F0BAA"/>
    <w:rsid w:val="001F46FE"/>
    <w:rsid w:val="001F4765"/>
    <w:rsid w:val="001F4FB6"/>
    <w:rsid w:val="001F52AF"/>
    <w:rsid w:val="001F54CC"/>
    <w:rsid w:val="001F6357"/>
    <w:rsid w:val="001F682F"/>
    <w:rsid w:val="001F7162"/>
    <w:rsid w:val="001F72FE"/>
    <w:rsid w:val="00200461"/>
    <w:rsid w:val="002033BB"/>
    <w:rsid w:val="00203DD3"/>
    <w:rsid w:val="0020648E"/>
    <w:rsid w:val="00206DFB"/>
    <w:rsid w:val="00210C55"/>
    <w:rsid w:val="00211250"/>
    <w:rsid w:val="00211CD7"/>
    <w:rsid w:val="002163E2"/>
    <w:rsid w:val="00217256"/>
    <w:rsid w:val="002213EC"/>
    <w:rsid w:val="002216B4"/>
    <w:rsid w:val="002225A3"/>
    <w:rsid w:val="00223798"/>
    <w:rsid w:val="00224299"/>
    <w:rsid w:val="00224BE8"/>
    <w:rsid w:val="00225639"/>
    <w:rsid w:val="00226EC1"/>
    <w:rsid w:val="00227349"/>
    <w:rsid w:val="0022771D"/>
    <w:rsid w:val="002304EB"/>
    <w:rsid w:val="00237C15"/>
    <w:rsid w:val="0024015C"/>
    <w:rsid w:val="002405C9"/>
    <w:rsid w:val="00240E58"/>
    <w:rsid w:val="002412E7"/>
    <w:rsid w:val="00242C70"/>
    <w:rsid w:val="00242D28"/>
    <w:rsid w:val="00242F59"/>
    <w:rsid w:val="00243415"/>
    <w:rsid w:val="0024363D"/>
    <w:rsid w:val="002469C4"/>
    <w:rsid w:val="0025084C"/>
    <w:rsid w:val="00255BE9"/>
    <w:rsid w:val="002570F2"/>
    <w:rsid w:val="002615EB"/>
    <w:rsid w:val="002621A3"/>
    <w:rsid w:val="00262361"/>
    <w:rsid w:val="002632C2"/>
    <w:rsid w:val="002638CE"/>
    <w:rsid w:val="0026572D"/>
    <w:rsid w:val="00266806"/>
    <w:rsid w:val="00267781"/>
    <w:rsid w:val="00267F73"/>
    <w:rsid w:val="002701F2"/>
    <w:rsid w:val="002734D1"/>
    <w:rsid w:val="00273EAA"/>
    <w:rsid w:val="002753D7"/>
    <w:rsid w:val="00277361"/>
    <w:rsid w:val="00277FEA"/>
    <w:rsid w:val="00283A99"/>
    <w:rsid w:val="00283C8B"/>
    <w:rsid w:val="002840B6"/>
    <w:rsid w:val="00284212"/>
    <w:rsid w:val="002849A4"/>
    <w:rsid w:val="00285291"/>
    <w:rsid w:val="0028576F"/>
    <w:rsid w:val="00290F2F"/>
    <w:rsid w:val="002920C0"/>
    <w:rsid w:val="00297686"/>
    <w:rsid w:val="002A5E73"/>
    <w:rsid w:val="002B12E8"/>
    <w:rsid w:val="002B1E83"/>
    <w:rsid w:val="002B5F72"/>
    <w:rsid w:val="002B7453"/>
    <w:rsid w:val="002C00D2"/>
    <w:rsid w:val="002C4C57"/>
    <w:rsid w:val="002C6530"/>
    <w:rsid w:val="002D4796"/>
    <w:rsid w:val="002D52C3"/>
    <w:rsid w:val="002E0064"/>
    <w:rsid w:val="002E06C2"/>
    <w:rsid w:val="002E234F"/>
    <w:rsid w:val="002E23C5"/>
    <w:rsid w:val="002E390E"/>
    <w:rsid w:val="002E40D4"/>
    <w:rsid w:val="002E699D"/>
    <w:rsid w:val="002E6ECA"/>
    <w:rsid w:val="002F19B2"/>
    <w:rsid w:val="002F1C95"/>
    <w:rsid w:val="002F21B8"/>
    <w:rsid w:val="002F4228"/>
    <w:rsid w:val="002F73DF"/>
    <w:rsid w:val="002F790D"/>
    <w:rsid w:val="003019DC"/>
    <w:rsid w:val="00302455"/>
    <w:rsid w:val="00302B88"/>
    <w:rsid w:val="003039CB"/>
    <w:rsid w:val="003124D0"/>
    <w:rsid w:val="0031383F"/>
    <w:rsid w:val="00316357"/>
    <w:rsid w:val="00323211"/>
    <w:rsid w:val="00323438"/>
    <w:rsid w:val="0032544F"/>
    <w:rsid w:val="00327FA2"/>
    <w:rsid w:val="00331815"/>
    <w:rsid w:val="00331FE2"/>
    <w:rsid w:val="0033258A"/>
    <w:rsid w:val="00334C2F"/>
    <w:rsid w:val="0033674E"/>
    <w:rsid w:val="003372C3"/>
    <w:rsid w:val="003376BC"/>
    <w:rsid w:val="0033786D"/>
    <w:rsid w:val="00340A59"/>
    <w:rsid w:val="00340A61"/>
    <w:rsid w:val="003429E4"/>
    <w:rsid w:val="00342A8D"/>
    <w:rsid w:val="00346D65"/>
    <w:rsid w:val="003536D0"/>
    <w:rsid w:val="00353A1C"/>
    <w:rsid w:val="00355536"/>
    <w:rsid w:val="00356017"/>
    <w:rsid w:val="003566A4"/>
    <w:rsid w:val="003577C5"/>
    <w:rsid w:val="00363199"/>
    <w:rsid w:val="00366F96"/>
    <w:rsid w:val="003676BA"/>
    <w:rsid w:val="00370A56"/>
    <w:rsid w:val="003717E1"/>
    <w:rsid w:val="00371F95"/>
    <w:rsid w:val="00372BC4"/>
    <w:rsid w:val="003732BC"/>
    <w:rsid w:val="003750AD"/>
    <w:rsid w:val="003756D9"/>
    <w:rsid w:val="00377968"/>
    <w:rsid w:val="00380DFB"/>
    <w:rsid w:val="00381BB9"/>
    <w:rsid w:val="00382267"/>
    <w:rsid w:val="003824C4"/>
    <w:rsid w:val="003868FB"/>
    <w:rsid w:val="00386D6E"/>
    <w:rsid w:val="00387221"/>
    <w:rsid w:val="003874A9"/>
    <w:rsid w:val="00392374"/>
    <w:rsid w:val="00392866"/>
    <w:rsid w:val="003932AB"/>
    <w:rsid w:val="00395F69"/>
    <w:rsid w:val="0039727F"/>
    <w:rsid w:val="003A11A5"/>
    <w:rsid w:val="003A2E31"/>
    <w:rsid w:val="003A3E32"/>
    <w:rsid w:val="003A7755"/>
    <w:rsid w:val="003B22F0"/>
    <w:rsid w:val="003B3226"/>
    <w:rsid w:val="003B3341"/>
    <w:rsid w:val="003B6BDB"/>
    <w:rsid w:val="003C0740"/>
    <w:rsid w:val="003C21B3"/>
    <w:rsid w:val="003C2EDA"/>
    <w:rsid w:val="003C4AF0"/>
    <w:rsid w:val="003C4FD0"/>
    <w:rsid w:val="003D0923"/>
    <w:rsid w:val="003D5447"/>
    <w:rsid w:val="003D55A2"/>
    <w:rsid w:val="003D56F9"/>
    <w:rsid w:val="003E06FC"/>
    <w:rsid w:val="003E0861"/>
    <w:rsid w:val="003E2A5B"/>
    <w:rsid w:val="003E3D01"/>
    <w:rsid w:val="003E4661"/>
    <w:rsid w:val="003E5630"/>
    <w:rsid w:val="003E5B70"/>
    <w:rsid w:val="003E5F0B"/>
    <w:rsid w:val="003E660B"/>
    <w:rsid w:val="003E6F49"/>
    <w:rsid w:val="003E76F2"/>
    <w:rsid w:val="003F057C"/>
    <w:rsid w:val="003F1B93"/>
    <w:rsid w:val="003F1FE1"/>
    <w:rsid w:val="003F30CD"/>
    <w:rsid w:val="003F34B3"/>
    <w:rsid w:val="003F4ED6"/>
    <w:rsid w:val="003F514C"/>
    <w:rsid w:val="004005B1"/>
    <w:rsid w:val="004067AA"/>
    <w:rsid w:val="00406CA3"/>
    <w:rsid w:val="00410CBD"/>
    <w:rsid w:val="004120F3"/>
    <w:rsid w:val="00414DEE"/>
    <w:rsid w:val="00424000"/>
    <w:rsid w:val="00424341"/>
    <w:rsid w:val="00424402"/>
    <w:rsid w:val="00424C65"/>
    <w:rsid w:val="004251A7"/>
    <w:rsid w:val="0043317D"/>
    <w:rsid w:val="00434113"/>
    <w:rsid w:val="004348C9"/>
    <w:rsid w:val="0043588C"/>
    <w:rsid w:val="00436F86"/>
    <w:rsid w:val="004379D6"/>
    <w:rsid w:val="004405E8"/>
    <w:rsid w:val="004405F7"/>
    <w:rsid w:val="00440994"/>
    <w:rsid w:val="004427A1"/>
    <w:rsid w:val="004438E2"/>
    <w:rsid w:val="00443EB9"/>
    <w:rsid w:val="0044563A"/>
    <w:rsid w:val="004517BE"/>
    <w:rsid w:val="00452896"/>
    <w:rsid w:val="00454DB3"/>
    <w:rsid w:val="00460D27"/>
    <w:rsid w:val="00461146"/>
    <w:rsid w:val="00461B2B"/>
    <w:rsid w:val="00465554"/>
    <w:rsid w:val="00470F77"/>
    <w:rsid w:val="00472680"/>
    <w:rsid w:val="0047451C"/>
    <w:rsid w:val="00475B38"/>
    <w:rsid w:val="004760B7"/>
    <w:rsid w:val="004806CE"/>
    <w:rsid w:val="00482431"/>
    <w:rsid w:val="00482600"/>
    <w:rsid w:val="00482824"/>
    <w:rsid w:val="00484576"/>
    <w:rsid w:val="00485560"/>
    <w:rsid w:val="004862CB"/>
    <w:rsid w:val="00486A29"/>
    <w:rsid w:val="00487A5F"/>
    <w:rsid w:val="004910FD"/>
    <w:rsid w:val="004913FA"/>
    <w:rsid w:val="00491CD2"/>
    <w:rsid w:val="004A136C"/>
    <w:rsid w:val="004A30E1"/>
    <w:rsid w:val="004A3188"/>
    <w:rsid w:val="004A3E18"/>
    <w:rsid w:val="004A778D"/>
    <w:rsid w:val="004C4628"/>
    <w:rsid w:val="004C5138"/>
    <w:rsid w:val="004C54C8"/>
    <w:rsid w:val="004C5E61"/>
    <w:rsid w:val="004C7B66"/>
    <w:rsid w:val="004C7C8E"/>
    <w:rsid w:val="004D16E4"/>
    <w:rsid w:val="004D2315"/>
    <w:rsid w:val="004D57F7"/>
    <w:rsid w:val="004D7090"/>
    <w:rsid w:val="004D7F56"/>
    <w:rsid w:val="004E061D"/>
    <w:rsid w:val="004E1AAD"/>
    <w:rsid w:val="004E4858"/>
    <w:rsid w:val="004E62A8"/>
    <w:rsid w:val="004E69C4"/>
    <w:rsid w:val="004E6F65"/>
    <w:rsid w:val="004F49ED"/>
    <w:rsid w:val="004F4D70"/>
    <w:rsid w:val="004F6A64"/>
    <w:rsid w:val="004F6FDA"/>
    <w:rsid w:val="004F7C9E"/>
    <w:rsid w:val="00504924"/>
    <w:rsid w:val="00506357"/>
    <w:rsid w:val="00506E67"/>
    <w:rsid w:val="00510C58"/>
    <w:rsid w:val="00512159"/>
    <w:rsid w:val="005129EB"/>
    <w:rsid w:val="00513747"/>
    <w:rsid w:val="00513EDC"/>
    <w:rsid w:val="00514897"/>
    <w:rsid w:val="00515A6A"/>
    <w:rsid w:val="0051719B"/>
    <w:rsid w:val="00517247"/>
    <w:rsid w:val="00521796"/>
    <w:rsid w:val="0052434A"/>
    <w:rsid w:val="00527D70"/>
    <w:rsid w:val="00533CE5"/>
    <w:rsid w:val="005375AD"/>
    <w:rsid w:val="00542109"/>
    <w:rsid w:val="00546072"/>
    <w:rsid w:val="0055037E"/>
    <w:rsid w:val="00550917"/>
    <w:rsid w:val="00551C3E"/>
    <w:rsid w:val="00553175"/>
    <w:rsid w:val="00553CD3"/>
    <w:rsid w:val="0056024C"/>
    <w:rsid w:val="005619DA"/>
    <w:rsid w:val="005620F0"/>
    <w:rsid w:val="00562C72"/>
    <w:rsid w:val="00564CF6"/>
    <w:rsid w:val="00565E94"/>
    <w:rsid w:val="00567627"/>
    <w:rsid w:val="00567878"/>
    <w:rsid w:val="00570E58"/>
    <w:rsid w:val="00571A9A"/>
    <w:rsid w:val="005739D3"/>
    <w:rsid w:val="00573FA7"/>
    <w:rsid w:val="00575D0D"/>
    <w:rsid w:val="00577F72"/>
    <w:rsid w:val="00580C40"/>
    <w:rsid w:val="005822DB"/>
    <w:rsid w:val="00584BA4"/>
    <w:rsid w:val="005852A2"/>
    <w:rsid w:val="00585B87"/>
    <w:rsid w:val="00586529"/>
    <w:rsid w:val="005865C7"/>
    <w:rsid w:val="0059015D"/>
    <w:rsid w:val="005A0435"/>
    <w:rsid w:val="005A083E"/>
    <w:rsid w:val="005A2A01"/>
    <w:rsid w:val="005A61F1"/>
    <w:rsid w:val="005B192C"/>
    <w:rsid w:val="005B2223"/>
    <w:rsid w:val="005B2856"/>
    <w:rsid w:val="005B309A"/>
    <w:rsid w:val="005B3676"/>
    <w:rsid w:val="005B588A"/>
    <w:rsid w:val="005B6CC9"/>
    <w:rsid w:val="005C0AA0"/>
    <w:rsid w:val="005C0C6F"/>
    <w:rsid w:val="005C174B"/>
    <w:rsid w:val="005C1EFC"/>
    <w:rsid w:val="005C367E"/>
    <w:rsid w:val="005C4EA5"/>
    <w:rsid w:val="005D0474"/>
    <w:rsid w:val="005D0BDD"/>
    <w:rsid w:val="005D0BFB"/>
    <w:rsid w:val="005D172F"/>
    <w:rsid w:val="005D2598"/>
    <w:rsid w:val="005D74CC"/>
    <w:rsid w:val="005E2409"/>
    <w:rsid w:val="005E43BC"/>
    <w:rsid w:val="005E6C3E"/>
    <w:rsid w:val="005F0DB4"/>
    <w:rsid w:val="005F184C"/>
    <w:rsid w:val="005F437F"/>
    <w:rsid w:val="005F7599"/>
    <w:rsid w:val="006013FC"/>
    <w:rsid w:val="00602A3A"/>
    <w:rsid w:val="0060324C"/>
    <w:rsid w:val="0060699F"/>
    <w:rsid w:val="00606E39"/>
    <w:rsid w:val="0060762C"/>
    <w:rsid w:val="006112EC"/>
    <w:rsid w:val="00611D1D"/>
    <w:rsid w:val="00611D42"/>
    <w:rsid w:val="006171A7"/>
    <w:rsid w:val="006175E9"/>
    <w:rsid w:val="00623EEF"/>
    <w:rsid w:val="00623FBC"/>
    <w:rsid w:val="006250B7"/>
    <w:rsid w:val="006268CC"/>
    <w:rsid w:val="00627621"/>
    <w:rsid w:val="006314CD"/>
    <w:rsid w:val="006326D9"/>
    <w:rsid w:val="00633DB0"/>
    <w:rsid w:val="006352C1"/>
    <w:rsid w:val="006364FE"/>
    <w:rsid w:val="00640EF0"/>
    <w:rsid w:val="00644F61"/>
    <w:rsid w:val="00645B06"/>
    <w:rsid w:val="006536A3"/>
    <w:rsid w:val="00653932"/>
    <w:rsid w:val="00660D5D"/>
    <w:rsid w:val="006619A0"/>
    <w:rsid w:val="00672344"/>
    <w:rsid w:val="00674646"/>
    <w:rsid w:val="006758B9"/>
    <w:rsid w:val="00675ACC"/>
    <w:rsid w:val="00680082"/>
    <w:rsid w:val="00681A99"/>
    <w:rsid w:val="00681B41"/>
    <w:rsid w:val="00684A9F"/>
    <w:rsid w:val="006856D3"/>
    <w:rsid w:val="00686E1F"/>
    <w:rsid w:val="00687EA3"/>
    <w:rsid w:val="006917AC"/>
    <w:rsid w:val="00691FA4"/>
    <w:rsid w:val="00693C14"/>
    <w:rsid w:val="00697B5A"/>
    <w:rsid w:val="006A0C25"/>
    <w:rsid w:val="006A1E20"/>
    <w:rsid w:val="006A3130"/>
    <w:rsid w:val="006A480E"/>
    <w:rsid w:val="006A6112"/>
    <w:rsid w:val="006A63CA"/>
    <w:rsid w:val="006B04E3"/>
    <w:rsid w:val="006B490E"/>
    <w:rsid w:val="006B595C"/>
    <w:rsid w:val="006B7AF5"/>
    <w:rsid w:val="006C0375"/>
    <w:rsid w:val="006C287A"/>
    <w:rsid w:val="006C2C6C"/>
    <w:rsid w:val="006C43F8"/>
    <w:rsid w:val="006C60B9"/>
    <w:rsid w:val="006C7849"/>
    <w:rsid w:val="006D2CD8"/>
    <w:rsid w:val="006D2D8A"/>
    <w:rsid w:val="006D68B2"/>
    <w:rsid w:val="006D740B"/>
    <w:rsid w:val="006E1B39"/>
    <w:rsid w:val="006E1F1D"/>
    <w:rsid w:val="006E32AA"/>
    <w:rsid w:val="006E32CC"/>
    <w:rsid w:val="006E3BA1"/>
    <w:rsid w:val="006E7DFA"/>
    <w:rsid w:val="006F2C91"/>
    <w:rsid w:val="006F3929"/>
    <w:rsid w:val="006F636E"/>
    <w:rsid w:val="006F73CE"/>
    <w:rsid w:val="00701C85"/>
    <w:rsid w:val="00702B18"/>
    <w:rsid w:val="00706667"/>
    <w:rsid w:val="00706F07"/>
    <w:rsid w:val="007075D8"/>
    <w:rsid w:val="0071093B"/>
    <w:rsid w:val="00712A10"/>
    <w:rsid w:val="00713C3C"/>
    <w:rsid w:val="00714944"/>
    <w:rsid w:val="00720906"/>
    <w:rsid w:val="007209FA"/>
    <w:rsid w:val="0072143B"/>
    <w:rsid w:val="00723112"/>
    <w:rsid w:val="00730A9C"/>
    <w:rsid w:val="0073187F"/>
    <w:rsid w:val="00735306"/>
    <w:rsid w:val="007355BE"/>
    <w:rsid w:val="00736650"/>
    <w:rsid w:val="0073744C"/>
    <w:rsid w:val="00741E90"/>
    <w:rsid w:val="007445FF"/>
    <w:rsid w:val="00746002"/>
    <w:rsid w:val="007513E6"/>
    <w:rsid w:val="00751C99"/>
    <w:rsid w:val="0075282C"/>
    <w:rsid w:val="00756FEB"/>
    <w:rsid w:val="00760D15"/>
    <w:rsid w:val="00761908"/>
    <w:rsid w:val="0076373C"/>
    <w:rsid w:val="0076419C"/>
    <w:rsid w:val="007642D9"/>
    <w:rsid w:val="007643E3"/>
    <w:rsid w:val="00766065"/>
    <w:rsid w:val="00766F28"/>
    <w:rsid w:val="00772B98"/>
    <w:rsid w:val="007754E3"/>
    <w:rsid w:val="0078359C"/>
    <w:rsid w:val="00783C57"/>
    <w:rsid w:val="007940E9"/>
    <w:rsid w:val="0079530F"/>
    <w:rsid w:val="00796E28"/>
    <w:rsid w:val="0079773C"/>
    <w:rsid w:val="007A086F"/>
    <w:rsid w:val="007A17E0"/>
    <w:rsid w:val="007A4005"/>
    <w:rsid w:val="007A4933"/>
    <w:rsid w:val="007A4CA8"/>
    <w:rsid w:val="007A5050"/>
    <w:rsid w:val="007B174F"/>
    <w:rsid w:val="007B192A"/>
    <w:rsid w:val="007B1AE5"/>
    <w:rsid w:val="007B1C28"/>
    <w:rsid w:val="007B28FA"/>
    <w:rsid w:val="007B4EE9"/>
    <w:rsid w:val="007C06E7"/>
    <w:rsid w:val="007C330D"/>
    <w:rsid w:val="007C3513"/>
    <w:rsid w:val="007C665C"/>
    <w:rsid w:val="007C6DDD"/>
    <w:rsid w:val="007C6FFE"/>
    <w:rsid w:val="007D21B8"/>
    <w:rsid w:val="007D6BA7"/>
    <w:rsid w:val="007E0089"/>
    <w:rsid w:val="007E01EC"/>
    <w:rsid w:val="007E09EB"/>
    <w:rsid w:val="007E2595"/>
    <w:rsid w:val="007F06C9"/>
    <w:rsid w:val="007F141B"/>
    <w:rsid w:val="007F2DA8"/>
    <w:rsid w:val="007F5B83"/>
    <w:rsid w:val="00802F28"/>
    <w:rsid w:val="00803070"/>
    <w:rsid w:val="008035F0"/>
    <w:rsid w:val="00803BA1"/>
    <w:rsid w:val="00804FCE"/>
    <w:rsid w:val="00805F7D"/>
    <w:rsid w:val="00806897"/>
    <w:rsid w:val="008068D4"/>
    <w:rsid w:val="00806B08"/>
    <w:rsid w:val="00807C8D"/>
    <w:rsid w:val="00810A80"/>
    <w:rsid w:val="008126DB"/>
    <w:rsid w:val="008130A6"/>
    <w:rsid w:val="008159F0"/>
    <w:rsid w:val="0081736F"/>
    <w:rsid w:val="00821D0D"/>
    <w:rsid w:val="00824463"/>
    <w:rsid w:val="008263BC"/>
    <w:rsid w:val="00830533"/>
    <w:rsid w:val="0083595A"/>
    <w:rsid w:val="008368D2"/>
    <w:rsid w:val="00837576"/>
    <w:rsid w:val="00837EA1"/>
    <w:rsid w:val="008416D9"/>
    <w:rsid w:val="00846377"/>
    <w:rsid w:val="008477E1"/>
    <w:rsid w:val="00847D9F"/>
    <w:rsid w:val="0085285E"/>
    <w:rsid w:val="008532B5"/>
    <w:rsid w:val="008539F8"/>
    <w:rsid w:val="008555F4"/>
    <w:rsid w:val="00860E83"/>
    <w:rsid w:val="00864207"/>
    <w:rsid w:val="00864B07"/>
    <w:rsid w:val="008719E8"/>
    <w:rsid w:val="00871E38"/>
    <w:rsid w:val="0087212A"/>
    <w:rsid w:val="00872284"/>
    <w:rsid w:val="00875735"/>
    <w:rsid w:val="008770C8"/>
    <w:rsid w:val="008777A9"/>
    <w:rsid w:val="00881A6F"/>
    <w:rsid w:val="008833DF"/>
    <w:rsid w:val="0088375D"/>
    <w:rsid w:val="00885F31"/>
    <w:rsid w:val="008864AC"/>
    <w:rsid w:val="00887BA2"/>
    <w:rsid w:val="00890C9A"/>
    <w:rsid w:val="00892C5F"/>
    <w:rsid w:val="00894262"/>
    <w:rsid w:val="0089580C"/>
    <w:rsid w:val="00895EB9"/>
    <w:rsid w:val="0089698E"/>
    <w:rsid w:val="008A1352"/>
    <w:rsid w:val="008A4ED7"/>
    <w:rsid w:val="008A5A4C"/>
    <w:rsid w:val="008B0E1D"/>
    <w:rsid w:val="008B3127"/>
    <w:rsid w:val="008B4859"/>
    <w:rsid w:val="008B7CD5"/>
    <w:rsid w:val="008C0691"/>
    <w:rsid w:val="008C61D1"/>
    <w:rsid w:val="008C7D63"/>
    <w:rsid w:val="008D12C2"/>
    <w:rsid w:val="008D61CE"/>
    <w:rsid w:val="008E118B"/>
    <w:rsid w:val="008E1F13"/>
    <w:rsid w:val="008E4C21"/>
    <w:rsid w:val="008F04AD"/>
    <w:rsid w:val="008F0BEB"/>
    <w:rsid w:val="008F25BF"/>
    <w:rsid w:val="008F49AF"/>
    <w:rsid w:val="008F63F1"/>
    <w:rsid w:val="0090021B"/>
    <w:rsid w:val="00901BEC"/>
    <w:rsid w:val="00901C8C"/>
    <w:rsid w:val="0090526F"/>
    <w:rsid w:val="00911392"/>
    <w:rsid w:val="00911837"/>
    <w:rsid w:val="0091255D"/>
    <w:rsid w:val="00913D32"/>
    <w:rsid w:val="009143FE"/>
    <w:rsid w:val="00914930"/>
    <w:rsid w:val="00916FDD"/>
    <w:rsid w:val="00920DF4"/>
    <w:rsid w:val="00921AC6"/>
    <w:rsid w:val="00923050"/>
    <w:rsid w:val="0092651B"/>
    <w:rsid w:val="0093073C"/>
    <w:rsid w:val="00934052"/>
    <w:rsid w:val="00935CCE"/>
    <w:rsid w:val="009364B2"/>
    <w:rsid w:val="00940101"/>
    <w:rsid w:val="00940619"/>
    <w:rsid w:val="00944DDA"/>
    <w:rsid w:val="0094782C"/>
    <w:rsid w:val="0095048F"/>
    <w:rsid w:val="00952000"/>
    <w:rsid w:val="00954868"/>
    <w:rsid w:val="0096336F"/>
    <w:rsid w:val="00963775"/>
    <w:rsid w:val="00967E94"/>
    <w:rsid w:val="0097028A"/>
    <w:rsid w:val="00971147"/>
    <w:rsid w:val="00971A96"/>
    <w:rsid w:val="00971BA4"/>
    <w:rsid w:val="0097329F"/>
    <w:rsid w:val="00974DB0"/>
    <w:rsid w:val="009754C4"/>
    <w:rsid w:val="00980A8C"/>
    <w:rsid w:val="00981370"/>
    <w:rsid w:val="00981D82"/>
    <w:rsid w:val="00983853"/>
    <w:rsid w:val="00986080"/>
    <w:rsid w:val="009900B2"/>
    <w:rsid w:val="00990BBD"/>
    <w:rsid w:val="00990D67"/>
    <w:rsid w:val="009A4B1C"/>
    <w:rsid w:val="009A5B2D"/>
    <w:rsid w:val="009A5E3B"/>
    <w:rsid w:val="009A6A51"/>
    <w:rsid w:val="009A72E5"/>
    <w:rsid w:val="009B27AA"/>
    <w:rsid w:val="009B2BFE"/>
    <w:rsid w:val="009B3F14"/>
    <w:rsid w:val="009B40D4"/>
    <w:rsid w:val="009B44E2"/>
    <w:rsid w:val="009B65AF"/>
    <w:rsid w:val="009B73C6"/>
    <w:rsid w:val="009C04FE"/>
    <w:rsid w:val="009C07B5"/>
    <w:rsid w:val="009C15C6"/>
    <w:rsid w:val="009C1651"/>
    <w:rsid w:val="009C62F7"/>
    <w:rsid w:val="009D4002"/>
    <w:rsid w:val="009D41A8"/>
    <w:rsid w:val="009D5AC4"/>
    <w:rsid w:val="009E3BD1"/>
    <w:rsid w:val="009E5A50"/>
    <w:rsid w:val="009E6567"/>
    <w:rsid w:val="009E71F9"/>
    <w:rsid w:val="009F05FA"/>
    <w:rsid w:val="009F1E3D"/>
    <w:rsid w:val="009F29C2"/>
    <w:rsid w:val="009F4873"/>
    <w:rsid w:val="009F4C6C"/>
    <w:rsid w:val="009F6A93"/>
    <w:rsid w:val="009F7783"/>
    <w:rsid w:val="00A03228"/>
    <w:rsid w:val="00A059BC"/>
    <w:rsid w:val="00A071CB"/>
    <w:rsid w:val="00A1009B"/>
    <w:rsid w:val="00A106A8"/>
    <w:rsid w:val="00A113F3"/>
    <w:rsid w:val="00A118A3"/>
    <w:rsid w:val="00A11A8D"/>
    <w:rsid w:val="00A1685C"/>
    <w:rsid w:val="00A172D5"/>
    <w:rsid w:val="00A17EE8"/>
    <w:rsid w:val="00A21757"/>
    <w:rsid w:val="00A22CB2"/>
    <w:rsid w:val="00A22DA3"/>
    <w:rsid w:val="00A2348B"/>
    <w:rsid w:val="00A23BE6"/>
    <w:rsid w:val="00A242D0"/>
    <w:rsid w:val="00A258D2"/>
    <w:rsid w:val="00A25A8C"/>
    <w:rsid w:val="00A2604F"/>
    <w:rsid w:val="00A27B94"/>
    <w:rsid w:val="00A304F0"/>
    <w:rsid w:val="00A31A6C"/>
    <w:rsid w:val="00A342C1"/>
    <w:rsid w:val="00A41FC0"/>
    <w:rsid w:val="00A44265"/>
    <w:rsid w:val="00A50B11"/>
    <w:rsid w:val="00A50C10"/>
    <w:rsid w:val="00A52A4D"/>
    <w:rsid w:val="00A62B1B"/>
    <w:rsid w:val="00A652C5"/>
    <w:rsid w:val="00A66591"/>
    <w:rsid w:val="00A67FC0"/>
    <w:rsid w:val="00A71CAB"/>
    <w:rsid w:val="00A72D08"/>
    <w:rsid w:val="00A7731D"/>
    <w:rsid w:val="00A80277"/>
    <w:rsid w:val="00A8189F"/>
    <w:rsid w:val="00A820F4"/>
    <w:rsid w:val="00A824AF"/>
    <w:rsid w:val="00A847CF"/>
    <w:rsid w:val="00A8492F"/>
    <w:rsid w:val="00A85195"/>
    <w:rsid w:val="00A85E3E"/>
    <w:rsid w:val="00A90BE3"/>
    <w:rsid w:val="00A90F28"/>
    <w:rsid w:val="00A91445"/>
    <w:rsid w:val="00A91AAA"/>
    <w:rsid w:val="00A91FDD"/>
    <w:rsid w:val="00A94C14"/>
    <w:rsid w:val="00AA17B0"/>
    <w:rsid w:val="00AA1E07"/>
    <w:rsid w:val="00AA3EB3"/>
    <w:rsid w:val="00AA41BB"/>
    <w:rsid w:val="00AA5266"/>
    <w:rsid w:val="00AA6A7A"/>
    <w:rsid w:val="00AA709A"/>
    <w:rsid w:val="00AB358E"/>
    <w:rsid w:val="00AB3BD4"/>
    <w:rsid w:val="00AB53AD"/>
    <w:rsid w:val="00AB5BB7"/>
    <w:rsid w:val="00AC0818"/>
    <w:rsid w:val="00AC3895"/>
    <w:rsid w:val="00AC6730"/>
    <w:rsid w:val="00AC67DF"/>
    <w:rsid w:val="00AC7586"/>
    <w:rsid w:val="00AD1616"/>
    <w:rsid w:val="00AD1B42"/>
    <w:rsid w:val="00AD4661"/>
    <w:rsid w:val="00AD47D1"/>
    <w:rsid w:val="00AD6A5C"/>
    <w:rsid w:val="00AD6D71"/>
    <w:rsid w:val="00AE01DF"/>
    <w:rsid w:val="00AE322D"/>
    <w:rsid w:val="00AE5790"/>
    <w:rsid w:val="00AF0638"/>
    <w:rsid w:val="00AF2F82"/>
    <w:rsid w:val="00AF3071"/>
    <w:rsid w:val="00AF42CC"/>
    <w:rsid w:val="00AF58BE"/>
    <w:rsid w:val="00AF5B61"/>
    <w:rsid w:val="00AF75C8"/>
    <w:rsid w:val="00AF7E0E"/>
    <w:rsid w:val="00B06960"/>
    <w:rsid w:val="00B075ED"/>
    <w:rsid w:val="00B10708"/>
    <w:rsid w:val="00B10850"/>
    <w:rsid w:val="00B11879"/>
    <w:rsid w:val="00B120D4"/>
    <w:rsid w:val="00B13F93"/>
    <w:rsid w:val="00B16673"/>
    <w:rsid w:val="00B20278"/>
    <w:rsid w:val="00B26521"/>
    <w:rsid w:val="00B30F23"/>
    <w:rsid w:val="00B31643"/>
    <w:rsid w:val="00B32CF3"/>
    <w:rsid w:val="00B337A4"/>
    <w:rsid w:val="00B3451C"/>
    <w:rsid w:val="00B3524D"/>
    <w:rsid w:val="00B37A45"/>
    <w:rsid w:val="00B440DE"/>
    <w:rsid w:val="00B4439A"/>
    <w:rsid w:val="00B4515D"/>
    <w:rsid w:val="00B506FE"/>
    <w:rsid w:val="00B50F3C"/>
    <w:rsid w:val="00B53246"/>
    <w:rsid w:val="00B543EB"/>
    <w:rsid w:val="00B54F8C"/>
    <w:rsid w:val="00B56C8C"/>
    <w:rsid w:val="00B57B98"/>
    <w:rsid w:val="00B606C6"/>
    <w:rsid w:val="00B648FF"/>
    <w:rsid w:val="00B65CD4"/>
    <w:rsid w:val="00B7057F"/>
    <w:rsid w:val="00B70C7A"/>
    <w:rsid w:val="00B70FC5"/>
    <w:rsid w:val="00B7107F"/>
    <w:rsid w:val="00B7268D"/>
    <w:rsid w:val="00B72722"/>
    <w:rsid w:val="00B72CC0"/>
    <w:rsid w:val="00B73980"/>
    <w:rsid w:val="00B75A27"/>
    <w:rsid w:val="00B75F2D"/>
    <w:rsid w:val="00B813E8"/>
    <w:rsid w:val="00B826B4"/>
    <w:rsid w:val="00B82811"/>
    <w:rsid w:val="00B84FFF"/>
    <w:rsid w:val="00B85E3D"/>
    <w:rsid w:val="00B861C6"/>
    <w:rsid w:val="00B90466"/>
    <w:rsid w:val="00B92ABD"/>
    <w:rsid w:val="00B966A2"/>
    <w:rsid w:val="00B97FCB"/>
    <w:rsid w:val="00BB0C21"/>
    <w:rsid w:val="00BB1C0F"/>
    <w:rsid w:val="00BB5F37"/>
    <w:rsid w:val="00BC2271"/>
    <w:rsid w:val="00BC3381"/>
    <w:rsid w:val="00BC46B7"/>
    <w:rsid w:val="00BC6824"/>
    <w:rsid w:val="00BC691B"/>
    <w:rsid w:val="00BD04AD"/>
    <w:rsid w:val="00BD1590"/>
    <w:rsid w:val="00BD32EE"/>
    <w:rsid w:val="00BD5873"/>
    <w:rsid w:val="00BD5B6B"/>
    <w:rsid w:val="00BD73E0"/>
    <w:rsid w:val="00BD7B07"/>
    <w:rsid w:val="00BE16C3"/>
    <w:rsid w:val="00BE580B"/>
    <w:rsid w:val="00BE6390"/>
    <w:rsid w:val="00BE73C9"/>
    <w:rsid w:val="00BE7BC7"/>
    <w:rsid w:val="00BF28FB"/>
    <w:rsid w:val="00BF3440"/>
    <w:rsid w:val="00BF48BA"/>
    <w:rsid w:val="00BF56F3"/>
    <w:rsid w:val="00C00853"/>
    <w:rsid w:val="00C017A7"/>
    <w:rsid w:val="00C0579A"/>
    <w:rsid w:val="00C10A2C"/>
    <w:rsid w:val="00C122B3"/>
    <w:rsid w:val="00C166B6"/>
    <w:rsid w:val="00C16BBD"/>
    <w:rsid w:val="00C17516"/>
    <w:rsid w:val="00C20272"/>
    <w:rsid w:val="00C2223D"/>
    <w:rsid w:val="00C26251"/>
    <w:rsid w:val="00C27940"/>
    <w:rsid w:val="00C31175"/>
    <w:rsid w:val="00C36B52"/>
    <w:rsid w:val="00C36C9A"/>
    <w:rsid w:val="00C40E58"/>
    <w:rsid w:val="00C4350D"/>
    <w:rsid w:val="00C45F49"/>
    <w:rsid w:val="00C476DD"/>
    <w:rsid w:val="00C51214"/>
    <w:rsid w:val="00C52D88"/>
    <w:rsid w:val="00C54C39"/>
    <w:rsid w:val="00C5586E"/>
    <w:rsid w:val="00C622A0"/>
    <w:rsid w:val="00C62B44"/>
    <w:rsid w:val="00C6588C"/>
    <w:rsid w:val="00C6729D"/>
    <w:rsid w:val="00C7115B"/>
    <w:rsid w:val="00C73B3C"/>
    <w:rsid w:val="00C74BE0"/>
    <w:rsid w:val="00C75223"/>
    <w:rsid w:val="00C826B6"/>
    <w:rsid w:val="00C829DF"/>
    <w:rsid w:val="00C8376B"/>
    <w:rsid w:val="00C87938"/>
    <w:rsid w:val="00C87E17"/>
    <w:rsid w:val="00C93316"/>
    <w:rsid w:val="00C938DC"/>
    <w:rsid w:val="00C94B0E"/>
    <w:rsid w:val="00C9608E"/>
    <w:rsid w:val="00C97192"/>
    <w:rsid w:val="00C9739B"/>
    <w:rsid w:val="00CA2D1B"/>
    <w:rsid w:val="00CA3876"/>
    <w:rsid w:val="00CB17BC"/>
    <w:rsid w:val="00CB1A52"/>
    <w:rsid w:val="00CB1AE4"/>
    <w:rsid w:val="00CB218A"/>
    <w:rsid w:val="00CB43BC"/>
    <w:rsid w:val="00CB4CBA"/>
    <w:rsid w:val="00CB50E1"/>
    <w:rsid w:val="00CC10F4"/>
    <w:rsid w:val="00CC2052"/>
    <w:rsid w:val="00CC2FB3"/>
    <w:rsid w:val="00CC2FB9"/>
    <w:rsid w:val="00CC45AA"/>
    <w:rsid w:val="00CC510B"/>
    <w:rsid w:val="00CC6524"/>
    <w:rsid w:val="00CD043F"/>
    <w:rsid w:val="00CD06DB"/>
    <w:rsid w:val="00CD455B"/>
    <w:rsid w:val="00CD4B83"/>
    <w:rsid w:val="00CD5B6F"/>
    <w:rsid w:val="00CD7563"/>
    <w:rsid w:val="00CD76E0"/>
    <w:rsid w:val="00CE0E23"/>
    <w:rsid w:val="00CE22E7"/>
    <w:rsid w:val="00CE3507"/>
    <w:rsid w:val="00CE59CF"/>
    <w:rsid w:val="00CE6C09"/>
    <w:rsid w:val="00CF3A7D"/>
    <w:rsid w:val="00CF3B8A"/>
    <w:rsid w:val="00CF4418"/>
    <w:rsid w:val="00CF5CF7"/>
    <w:rsid w:val="00D00956"/>
    <w:rsid w:val="00D0422B"/>
    <w:rsid w:val="00D048A0"/>
    <w:rsid w:val="00D06FFE"/>
    <w:rsid w:val="00D11934"/>
    <w:rsid w:val="00D1218F"/>
    <w:rsid w:val="00D13227"/>
    <w:rsid w:val="00D13EE7"/>
    <w:rsid w:val="00D140AC"/>
    <w:rsid w:val="00D145C6"/>
    <w:rsid w:val="00D15181"/>
    <w:rsid w:val="00D159E1"/>
    <w:rsid w:val="00D2057B"/>
    <w:rsid w:val="00D20CAA"/>
    <w:rsid w:val="00D2390B"/>
    <w:rsid w:val="00D2582B"/>
    <w:rsid w:val="00D261F0"/>
    <w:rsid w:val="00D27517"/>
    <w:rsid w:val="00D3382F"/>
    <w:rsid w:val="00D40D04"/>
    <w:rsid w:val="00D4199B"/>
    <w:rsid w:val="00D42D45"/>
    <w:rsid w:val="00D43A65"/>
    <w:rsid w:val="00D448A9"/>
    <w:rsid w:val="00D51545"/>
    <w:rsid w:val="00D51CD9"/>
    <w:rsid w:val="00D578D8"/>
    <w:rsid w:val="00D627E8"/>
    <w:rsid w:val="00D65D5A"/>
    <w:rsid w:val="00D6624B"/>
    <w:rsid w:val="00D66334"/>
    <w:rsid w:val="00D702A9"/>
    <w:rsid w:val="00D702BF"/>
    <w:rsid w:val="00D704D6"/>
    <w:rsid w:val="00D71981"/>
    <w:rsid w:val="00D7426C"/>
    <w:rsid w:val="00D7491B"/>
    <w:rsid w:val="00D80792"/>
    <w:rsid w:val="00D80836"/>
    <w:rsid w:val="00D81FCD"/>
    <w:rsid w:val="00D82447"/>
    <w:rsid w:val="00D84108"/>
    <w:rsid w:val="00D86979"/>
    <w:rsid w:val="00D962E3"/>
    <w:rsid w:val="00DA0D42"/>
    <w:rsid w:val="00DA3AEC"/>
    <w:rsid w:val="00DA4667"/>
    <w:rsid w:val="00DA473D"/>
    <w:rsid w:val="00DA5200"/>
    <w:rsid w:val="00DB2D52"/>
    <w:rsid w:val="00DB4873"/>
    <w:rsid w:val="00DB638D"/>
    <w:rsid w:val="00DC10FD"/>
    <w:rsid w:val="00DC1E84"/>
    <w:rsid w:val="00DC306F"/>
    <w:rsid w:val="00DC3930"/>
    <w:rsid w:val="00DC5EC0"/>
    <w:rsid w:val="00DD0F4C"/>
    <w:rsid w:val="00DD159E"/>
    <w:rsid w:val="00DD226E"/>
    <w:rsid w:val="00DD2350"/>
    <w:rsid w:val="00DD4143"/>
    <w:rsid w:val="00DD44FD"/>
    <w:rsid w:val="00DD4959"/>
    <w:rsid w:val="00DD5344"/>
    <w:rsid w:val="00DD6385"/>
    <w:rsid w:val="00DD7F78"/>
    <w:rsid w:val="00DE2CE9"/>
    <w:rsid w:val="00DE2D33"/>
    <w:rsid w:val="00DE337E"/>
    <w:rsid w:val="00DE69B6"/>
    <w:rsid w:val="00DF0132"/>
    <w:rsid w:val="00DF15C5"/>
    <w:rsid w:val="00DF3158"/>
    <w:rsid w:val="00DF3A4D"/>
    <w:rsid w:val="00DF40F7"/>
    <w:rsid w:val="00DF60C9"/>
    <w:rsid w:val="00DF775D"/>
    <w:rsid w:val="00E038D4"/>
    <w:rsid w:val="00E0420F"/>
    <w:rsid w:val="00E047B0"/>
    <w:rsid w:val="00E04E1E"/>
    <w:rsid w:val="00E12240"/>
    <w:rsid w:val="00E1287D"/>
    <w:rsid w:val="00E139BB"/>
    <w:rsid w:val="00E13C37"/>
    <w:rsid w:val="00E17282"/>
    <w:rsid w:val="00E2049C"/>
    <w:rsid w:val="00E20C2A"/>
    <w:rsid w:val="00E2264A"/>
    <w:rsid w:val="00E245D1"/>
    <w:rsid w:val="00E30845"/>
    <w:rsid w:val="00E33DCA"/>
    <w:rsid w:val="00E34DBC"/>
    <w:rsid w:val="00E356C9"/>
    <w:rsid w:val="00E361FC"/>
    <w:rsid w:val="00E3630D"/>
    <w:rsid w:val="00E41BA7"/>
    <w:rsid w:val="00E41C5E"/>
    <w:rsid w:val="00E45438"/>
    <w:rsid w:val="00E45E39"/>
    <w:rsid w:val="00E461E4"/>
    <w:rsid w:val="00E51646"/>
    <w:rsid w:val="00E51B20"/>
    <w:rsid w:val="00E53430"/>
    <w:rsid w:val="00E54A76"/>
    <w:rsid w:val="00E553CB"/>
    <w:rsid w:val="00E55E7D"/>
    <w:rsid w:val="00E5648B"/>
    <w:rsid w:val="00E572CF"/>
    <w:rsid w:val="00E62ABE"/>
    <w:rsid w:val="00E64C2C"/>
    <w:rsid w:val="00E64DA0"/>
    <w:rsid w:val="00E66764"/>
    <w:rsid w:val="00E71F89"/>
    <w:rsid w:val="00E727FE"/>
    <w:rsid w:val="00E72A1A"/>
    <w:rsid w:val="00E73ED8"/>
    <w:rsid w:val="00E75230"/>
    <w:rsid w:val="00E75311"/>
    <w:rsid w:val="00E816CF"/>
    <w:rsid w:val="00E81893"/>
    <w:rsid w:val="00E83EA3"/>
    <w:rsid w:val="00E85F75"/>
    <w:rsid w:val="00E87AD8"/>
    <w:rsid w:val="00E9056E"/>
    <w:rsid w:val="00E90CCD"/>
    <w:rsid w:val="00E91B40"/>
    <w:rsid w:val="00E92D43"/>
    <w:rsid w:val="00E946B7"/>
    <w:rsid w:val="00E94793"/>
    <w:rsid w:val="00E97725"/>
    <w:rsid w:val="00EA32C7"/>
    <w:rsid w:val="00EA3C22"/>
    <w:rsid w:val="00EA3D0B"/>
    <w:rsid w:val="00EA651C"/>
    <w:rsid w:val="00EB39F0"/>
    <w:rsid w:val="00EB4330"/>
    <w:rsid w:val="00EB48F1"/>
    <w:rsid w:val="00EB5690"/>
    <w:rsid w:val="00EB6485"/>
    <w:rsid w:val="00EC0AD8"/>
    <w:rsid w:val="00EC10CB"/>
    <w:rsid w:val="00EC2B7B"/>
    <w:rsid w:val="00EC398B"/>
    <w:rsid w:val="00EC58D9"/>
    <w:rsid w:val="00EC728B"/>
    <w:rsid w:val="00ED12DE"/>
    <w:rsid w:val="00ED5F2D"/>
    <w:rsid w:val="00ED6A21"/>
    <w:rsid w:val="00EE1AE8"/>
    <w:rsid w:val="00EE5BD0"/>
    <w:rsid w:val="00EE5C5A"/>
    <w:rsid w:val="00EE6BB3"/>
    <w:rsid w:val="00EE7DBE"/>
    <w:rsid w:val="00EF17D1"/>
    <w:rsid w:val="00EF1817"/>
    <w:rsid w:val="00EF2AF2"/>
    <w:rsid w:val="00EF401D"/>
    <w:rsid w:val="00EF79C5"/>
    <w:rsid w:val="00EF7BA5"/>
    <w:rsid w:val="00F00805"/>
    <w:rsid w:val="00F023FF"/>
    <w:rsid w:val="00F030E3"/>
    <w:rsid w:val="00F0517A"/>
    <w:rsid w:val="00F0542F"/>
    <w:rsid w:val="00F07173"/>
    <w:rsid w:val="00F0721A"/>
    <w:rsid w:val="00F077F1"/>
    <w:rsid w:val="00F0797F"/>
    <w:rsid w:val="00F11C95"/>
    <w:rsid w:val="00F13D0D"/>
    <w:rsid w:val="00F142C8"/>
    <w:rsid w:val="00F1494D"/>
    <w:rsid w:val="00F150A8"/>
    <w:rsid w:val="00F1573A"/>
    <w:rsid w:val="00F16E68"/>
    <w:rsid w:val="00F20AF0"/>
    <w:rsid w:val="00F21F23"/>
    <w:rsid w:val="00F25CA7"/>
    <w:rsid w:val="00F276A3"/>
    <w:rsid w:val="00F31497"/>
    <w:rsid w:val="00F33943"/>
    <w:rsid w:val="00F34C1F"/>
    <w:rsid w:val="00F36873"/>
    <w:rsid w:val="00F36A42"/>
    <w:rsid w:val="00F434C9"/>
    <w:rsid w:val="00F44EDA"/>
    <w:rsid w:val="00F46577"/>
    <w:rsid w:val="00F47148"/>
    <w:rsid w:val="00F5164F"/>
    <w:rsid w:val="00F52609"/>
    <w:rsid w:val="00F53006"/>
    <w:rsid w:val="00F55F09"/>
    <w:rsid w:val="00F5608E"/>
    <w:rsid w:val="00F563F9"/>
    <w:rsid w:val="00F56578"/>
    <w:rsid w:val="00F612E6"/>
    <w:rsid w:val="00F67BDA"/>
    <w:rsid w:val="00F7002F"/>
    <w:rsid w:val="00F72E45"/>
    <w:rsid w:val="00F77855"/>
    <w:rsid w:val="00F77A65"/>
    <w:rsid w:val="00F809C2"/>
    <w:rsid w:val="00F81841"/>
    <w:rsid w:val="00F81E78"/>
    <w:rsid w:val="00F82872"/>
    <w:rsid w:val="00F82BD2"/>
    <w:rsid w:val="00F833CD"/>
    <w:rsid w:val="00F8355A"/>
    <w:rsid w:val="00F84AD5"/>
    <w:rsid w:val="00F87099"/>
    <w:rsid w:val="00F91F89"/>
    <w:rsid w:val="00F930F1"/>
    <w:rsid w:val="00F93C28"/>
    <w:rsid w:val="00F9475A"/>
    <w:rsid w:val="00F979D9"/>
    <w:rsid w:val="00FA01C0"/>
    <w:rsid w:val="00FA1E25"/>
    <w:rsid w:val="00FA3104"/>
    <w:rsid w:val="00FA38A5"/>
    <w:rsid w:val="00FA4A87"/>
    <w:rsid w:val="00FA4BD2"/>
    <w:rsid w:val="00FB13F5"/>
    <w:rsid w:val="00FB23A4"/>
    <w:rsid w:val="00FB35F1"/>
    <w:rsid w:val="00FB41BB"/>
    <w:rsid w:val="00FC0FEA"/>
    <w:rsid w:val="00FC1571"/>
    <w:rsid w:val="00FC3403"/>
    <w:rsid w:val="00FC4ED2"/>
    <w:rsid w:val="00FC59FD"/>
    <w:rsid w:val="00FC692F"/>
    <w:rsid w:val="00FC725C"/>
    <w:rsid w:val="00FD1CD3"/>
    <w:rsid w:val="00FD5E62"/>
    <w:rsid w:val="00FD713C"/>
    <w:rsid w:val="00FD7D63"/>
    <w:rsid w:val="00FE0732"/>
    <w:rsid w:val="00FE2511"/>
    <w:rsid w:val="00FE438E"/>
    <w:rsid w:val="00FE52D9"/>
    <w:rsid w:val="00FE6230"/>
    <w:rsid w:val="00FE62B6"/>
    <w:rsid w:val="00FE6845"/>
    <w:rsid w:val="00FE6EC0"/>
    <w:rsid w:val="00FF0A3C"/>
    <w:rsid w:val="00FF0EB9"/>
    <w:rsid w:val="00FF10CF"/>
    <w:rsid w:val="00FF1BD1"/>
    <w:rsid w:val="00FF224B"/>
    <w:rsid w:val="00FF6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91878"/>
  <w15:chartTrackingRefBased/>
  <w15:docId w15:val="{B5FB5549-0479-463A-91B9-E314D8553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FFE"/>
    <w:pPr>
      <w:spacing w:after="200" w:line="276" w:lineRule="auto"/>
    </w:pPr>
    <w:rPr>
      <w:rFonts w:ascii="Calibri" w:eastAsiaTheme="minorEastAsia" w:hAnsi="Calibri"/>
      <w:color w:val="333333"/>
      <w:kern w:val="0"/>
      <w:lang w:val="en-US"/>
      <w14:ligatures w14:val="none"/>
    </w:rPr>
  </w:style>
  <w:style w:type="paragraph" w:styleId="Heading1">
    <w:name w:val="heading 1"/>
    <w:basedOn w:val="Normal"/>
    <w:next w:val="Normal"/>
    <w:link w:val="Heading1Char"/>
    <w:uiPriority w:val="9"/>
    <w:qFormat/>
    <w:rsid w:val="00C166B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C166B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C166B6"/>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unhideWhenUsed/>
    <w:qFormat/>
    <w:rsid w:val="00C166B6"/>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C166B6"/>
    <w:pPr>
      <w:keepNext/>
      <w:keepLines/>
      <w:spacing w:before="80" w:after="40" w:line="259"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C166B6"/>
    <w:pPr>
      <w:keepNext/>
      <w:keepLines/>
      <w:spacing w:before="40" w:after="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C166B6"/>
    <w:pPr>
      <w:keepNext/>
      <w:keepLines/>
      <w:spacing w:before="40" w:after="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C166B6"/>
    <w:pPr>
      <w:keepNext/>
      <w:keepLines/>
      <w:spacing w:after="0"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C166B6"/>
    <w:pPr>
      <w:keepNext/>
      <w:keepLines/>
      <w:spacing w:after="0"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6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66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166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6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6B6"/>
    <w:rPr>
      <w:rFonts w:eastAsiaTheme="majorEastAsia" w:cstheme="majorBidi"/>
      <w:color w:val="272727" w:themeColor="text1" w:themeTint="D8"/>
    </w:rPr>
  </w:style>
  <w:style w:type="paragraph" w:styleId="Title">
    <w:name w:val="Title"/>
    <w:basedOn w:val="Normal"/>
    <w:next w:val="Normal"/>
    <w:link w:val="TitleChar"/>
    <w:uiPriority w:val="10"/>
    <w:qFormat/>
    <w:rsid w:val="00C166B6"/>
    <w:pPr>
      <w:spacing w:after="80" w:line="240" w:lineRule="auto"/>
      <w:contextualSpacing/>
    </w:pPr>
    <w:rPr>
      <w:rFonts w:asciiTheme="majorHAnsi" w:eastAsiaTheme="majorEastAsia" w:hAnsiTheme="majorHAnsi" w:cstheme="majorBidi"/>
      <w:color w:val="auto"/>
      <w:spacing w:val="-10"/>
      <w:kern w:val="28"/>
      <w:sz w:val="56"/>
      <w:szCs w:val="56"/>
      <w:lang w:val="en-GB"/>
      <w14:ligatures w14:val="standardContextual"/>
    </w:rPr>
  </w:style>
  <w:style w:type="character" w:customStyle="1" w:styleId="TitleChar">
    <w:name w:val="Title Char"/>
    <w:basedOn w:val="DefaultParagraphFont"/>
    <w:link w:val="Title"/>
    <w:uiPriority w:val="10"/>
    <w:rsid w:val="00C16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6B6"/>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C16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6B6"/>
    <w:pPr>
      <w:spacing w:before="160" w:after="160" w:line="259" w:lineRule="auto"/>
      <w:jc w:val="center"/>
    </w:pPr>
    <w:rPr>
      <w:rFonts w:asciiTheme="minorHAnsi" w:eastAsiaTheme="minorHAnsi" w:hAnsi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C166B6"/>
    <w:rPr>
      <w:i/>
      <w:iCs/>
      <w:color w:val="404040" w:themeColor="text1" w:themeTint="BF"/>
    </w:rPr>
  </w:style>
  <w:style w:type="paragraph" w:styleId="ListParagraph">
    <w:name w:val="List Paragraph"/>
    <w:basedOn w:val="Normal"/>
    <w:uiPriority w:val="34"/>
    <w:qFormat/>
    <w:rsid w:val="00C166B6"/>
    <w:pPr>
      <w:spacing w:after="160" w:line="259" w:lineRule="auto"/>
      <w:ind w:left="720"/>
      <w:contextualSpacing/>
    </w:pPr>
    <w:rPr>
      <w:rFonts w:asciiTheme="minorHAnsi" w:eastAsiaTheme="minorHAnsi" w:hAnsiTheme="minorHAnsi"/>
      <w:color w:val="auto"/>
      <w:kern w:val="2"/>
      <w:lang w:val="en-GB"/>
      <w14:ligatures w14:val="standardContextual"/>
    </w:rPr>
  </w:style>
  <w:style w:type="character" w:styleId="IntenseEmphasis">
    <w:name w:val="Intense Emphasis"/>
    <w:basedOn w:val="DefaultParagraphFont"/>
    <w:uiPriority w:val="21"/>
    <w:qFormat/>
    <w:rsid w:val="00C166B6"/>
    <w:rPr>
      <w:i/>
      <w:iCs/>
      <w:color w:val="0F4761" w:themeColor="accent1" w:themeShade="BF"/>
    </w:rPr>
  </w:style>
  <w:style w:type="paragraph" w:styleId="IntenseQuote">
    <w:name w:val="Intense Quote"/>
    <w:basedOn w:val="Normal"/>
    <w:next w:val="Normal"/>
    <w:link w:val="IntenseQuoteChar"/>
    <w:uiPriority w:val="30"/>
    <w:qFormat/>
    <w:rsid w:val="00C166B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C166B6"/>
    <w:rPr>
      <w:i/>
      <w:iCs/>
      <w:color w:val="0F4761" w:themeColor="accent1" w:themeShade="BF"/>
    </w:rPr>
  </w:style>
  <w:style w:type="character" w:styleId="IntenseReference">
    <w:name w:val="Intense Reference"/>
    <w:basedOn w:val="DefaultParagraphFont"/>
    <w:uiPriority w:val="32"/>
    <w:qFormat/>
    <w:rsid w:val="00C166B6"/>
    <w:rPr>
      <w:b/>
      <w:bCs/>
      <w:smallCaps/>
      <w:color w:val="0F4761" w:themeColor="accent1" w:themeShade="BF"/>
      <w:spacing w:val="5"/>
    </w:rPr>
  </w:style>
  <w:style w:type="paragraph" w:customStyle="1" w:styleId="msonormal0">
    <w:name w:val="msonormal"/>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user-query-container">
    <w:name w:val="user-query-container"/>
    <w:basedOn w:val="DefaultParagraphFont"/>
    <w:rsid w:val="00C166B6"/>
  </w:style>
  <w:style w:type="character" w:customStyle="1" w:styleId="user-query-bubble-with-background">
    <w:name w:val="user-query-bubble-with-background"/>
    <w:basedOn w:val="DefaultParagraphFont"/>
    <w:rsid w:val="00C166B6"/>
  </w:style>
  <w:style w:type="character" w:customStyle="1" w:styleId="horizontal-container">
    <w:name w:val="horizontal-container"/>
    <w:basedOn w:val="DefaultParagraphFont"/>
    <w:rsid w:val="00C166B6"/>
  </w:style>
  <w:style w:type="paragraph" w:customStyle="1" w:styleId="query-text-line">
    <w:name w:val="query-text-line"/>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semiHidden/>
    <w:unhideWhenUsed/>
    <w:rsid w:val="00C166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th-inline">
    <w:name w:val="math-inline"/>
    <w:basedOn w:val="DefaultParagraphFont"/>
    <w:rsid w:val="00C166B6"/>
  </w:style>
  <w:style w:type="character" w:customStyle="1" w:styleId="katex">
    <w:name w:val="katex"/>
    <w:basedOn w:val="DefaultParagraphFont"/>
    <w:rsid w:val="00C166B6"/>
  </w:style>
  <w:style w:type="character" w:customStyle="1" w:styleId="katex-html">
    <w:name w:val="katex-html"/>
    <w:basedOn w:val="DefaultParagraphFont"/>
    <w:rsid w:val="00C166B6"/>
  </w:style>
  <w:style w:type="character" w:customStyle="1" w:styleId="base">
    <w:name w:val="base"/>
    <w:basedOn w:val="DefaultParagraphFont"/>
    <w:rsid w:val="00C166B6"/>
  </w:style>
  <w:style w:type="character" w:customStyle="1" w:styleId="strut">
    <w:name w:val="strut"/>
    <w:basedOn w:val="DefaultParagraphFont"/>
    <w:rsid w:val="00C166B6"/>
  </w:style>
  <w:style w:type="character" w:customStyle="1" w:styleId="mord">
    <w:name w:val="mord"/>
    <w:basedOn w:val="DefaultParagraphFont"/>
    <w:rsid w:val="00C166B6"/>
  </w:style>
  <w:style w:type="character" w:customStyle="1" w:styleId="katex-display">
    <w:name w:val="katex-display"/>
    <w:basedOn w:val="DefaultParagraphFont"/>
    <w:rsid w:val="00C166B6"/>
  </w:style>
  <w:style w:type="character" w:customStyle="1" w:styleId="msupsub">
    <w:name w:val="msupsub"/>
    <w:basedOn w:val="DefaultParagraphFont"/>
    <w:rsid w:val="00C166B6"/>
  </w:style>
  <w:style w:type="character" w:customStyle="1" w:styleId="vlist-t">
    <w:name w:val="vlist-t"/>
    <w:basedOn w:val="DefaultParagraphFont"/>
    <w:rsid w:val="00C166B6"/>
  </w:style>
  <w:style w:type="character" w:customStyle="1" w:styleId="vlist-r">
    <w:name w:val="vlist-r"/>
    <w:basedOn w:val="DefaultParagraphFont"/>
    <w:rsid w:val="00C166B6"/>
  </w:style>
  <w:style w:type="character" w:customStyle="1" w:styleId="vlist">
    <w:name w:val="vlist"/>
    <w:basedOn w:val="DefaultParagraphFont"/>
    <w:rsid w:val="00C166B6"/>
  </w:style>
  <w:style w:type="character" w:customStyle="1" w:styleId="pstrut">
    <w:name w:val="pstrut"/>
    <w:basedOn w:val="DefaultParagraphFont"/>
    <w:rsid w:val="00C166B6"/>
  </w:style>
  <w:style w:type="character" w:customStyle="1" w:styleId="sizing">
    <w:name w:val="sizing"/>
    <w:basedOn w:val="DefaultParagraphFont"/>
    <w:rsid w:val="00C166B6"/>
  </w:style>
  <w:style w:type="character" w:customStyle="1" w:styleId="vlist-s">
    <w:name w:val="vlist-s"/>
    <w:basedOn w:val="DefaultParagraphFont"/>
    <w:rsid w:val="00C166B6"/>
  </w:style>
  <w:style w:type="character" w:customStyle="1" w:styleId="mspace">
    <w:name w:val="mspace"/>
    <w:basedOn w:val="DefaultParagraphFont"/>
    <w:rsid w:val="00C166B6"/>
  </w:style>
  <w:style w:type="character" w:customStyle="1" w:styleId="mrel">
    <w:name w:val="mrel"/>
    <w:basedOn w:val="DefaultParagraphFont"/>
    <w:rsid w:val="00C166B6"/>
  </w:style>
  <w:style w:type="character" w:customStyle="1" w:styleId="mbin">
    <w:name w:val="mbin"/>
    <w:basedOn w:val="DefaultParagraphFont"/>
    <w:rsid w:val="00C166B6"/>
  </w:style>
  <w:style w:type="character" w:customStyle="1" w:styleId="mop">
    <w:name w:val="mop"/>
    <w:basedOn w:val="DefaultParagraphFont"/>
    <w:rsid w:val="00C166B6"/>
  </w:style>
  <w:style w:type="character" w:customStyle="1" w:styleId="mopen">
    <w:name w:val="mopen"/>
    <w:basedOn w:val="DefaultParagraphFont"/>
    <w:rsid w:val="00C166B6"/>
  </w:style>
  <w:style w:type="character" w:customStyle="1" w:styleId="mclose">
    <w:name w:val="mclose"/>
    <w:basedOn w:val="DefaultParagraphFont"/>
    <w:rsid w:val="00C166B6"/>
  </w:style>
  <w:style w:type="paragraph" w:styleId="HTMLPreformatted">
    <w:name w:val="HTML Preformatted"/>
    <w:basedOn w:val="Normal"/>
    <w:link w:val="HTMLPreformattedChar"/>
    <w:uiPriority w:val="99"/>
    <w:semiHidden/>
    <w:unhideWhenUsed/>
    <w:rsid w:val="00C16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166B6"/>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C166B6"/>
    <w:rPr>
      <w:rFonts w:ascii="Courier New" w:eastAsia="Times New Roman" w:hAnsi="Courier New" w:cs="Courier New"/>
      <w:sz w:val="20"/>
      <w:szCs w:val="20"/>
    </w:rPr>
  </w:style>
  <w:style w:type="character" w:styleId="Hyperlink">
    <w:name w:val="Hyperlink"/>
    <w:basedOn w:val="DefaultParagraphFont"/>
    <w:uiPriority w:val="99"/>
    <w:unhideWhenUsed/>
    <w:rsid w:val="00C166B6"/>
    <w:rPr>
      <w:color w:val="0000FF"/>
      <w:u w:val="single"/>
    </w:rPr>
  </w:style>
  <w:style w:type="character" w:styleId="FollowedHyperlink">
    <w:name w:val="FollowedHyperlink"/>
    <w:basedOn w:val="DefaultParagraphFont"/>
    <w:uiPriority w:val="99"/>
    <w:semiHidden/>
    <w:unhideWhenUsed/>
    <w:rsid w:val="00C166B6"/>
    <w:rPr>
      <w:color w:val="800080"/>
      <w:u w:val="single"/>
    </w:rPr>
  </w:style>
  <w:style w:type="character" w:customStyle="1" w:styleId="mdc-buttonlabel">
    <w:name w:val="mdc-button__label"/>
    <w:basedOn w:val="DefaultParagraphFont"/>
    <w:rsid w:val="00C166B6"/>
  </w:style>
  <w:style w:type="character" w:customStyle="1" w:styleId="source-count">
    <w:name w:val="source-count"/>
    <w:basedOn w:val="DefaultParagraphFont"/>
    <w:rsid w:val="00C166B6"/>
  </w:style>
  <w:style w:type="character" w:customStyle="1" w:styleId="mpunct">
    <w:name w:val="mpunct"/>
    <w:basedOn w:val="DefaultParagraphFont"/>
    <w:rsid w:val="00C166B6"/>
  </w:style>
  <w:style w:type="character" w:customStyle="1" w:styleId="citation-6055">
    <w:name w:val="citation-6055"/>
    <w:basedOn w:val="DefaultParagraphFont"/>
    <w:rsid w:val="00C166B6"/>
  </w:style>
  <w:style w:type="character" w:customStyle="1" w:styleId="citation-6054">
    <w:name w:val="citation-6054"/>
    <w:basedOn w:val="DefaultParagraphFont"/>
    <w:rsid w:val="00C166B6"/>
  </w:style>
  <w:style w:type="character" w:customStyle="1" w:styleId="citation-6053">
    <w:name w:val="citation-6053"/>
    <w:basedOn w:val="DefaultParagraphFont"/>
    <w:rsid w:val="00C166B6"/>
  </w:style>
  <w:style w:type="character" w:customStyle="1" w:styleId="citation-6052">
    <w:name w:val="citation-6052"/>
    <w:basedOn w:val="DefaultParagraphFont"/>
    <w:rsid w:val="00C166B6"/>
  </w:style>
  <w:style w:type="character" w:customStyle="1" w:styleId="citation-6051">
    <w:name w:val="citation-6051"/>
    <w:basedOn w:val="DefaultParagraphFont"/>
    <w:rsid w:val="00C166B6"/>
  </w:style>
  <w:style w:type="character" w:customStyle="1" w:styleId="citation-6050">
    <w:name w:val="citation-6050"/>
    <w:basedOn w:val="DefaultParagraphFont"/>
    <w:rsid w:val="00C166B6"/>
  </w:style>
  <w:style w:type="character" w:customStyle="1" w:styleId="citation-6049">
    <w:name w:val="citation-6049"/>
    <w:basedOn w:val="DefaultParagraphFont"/>
    <w:rsid w:val="00C166B6"/>
  </w:style>
  <w:style w:type="character" w:customStyle="1" w:styleId="citation-6048">
    <w:name w:val="citation-6048"/>
    <w:basedOn w:val="DefaultParagraphFont"/>
    <w:rsid w:val="00C166B6"/>
  </w:style>
  <w:style w:type="character" w:customStyle="1" w:styleId="citation-6047">
    <w:name w:val="citation-6047"/>
    <w:basedOn w:val="DefaultParagraphFont"/>
    <w:rsid w:val="00C166B6"/>
  </w:style>
  <w:style w:type="character" w:customStyle="1" w:styleId="citation-6046">
    <w:name w:val="citation-6046"/>
    <w:basedOn w:val="DefaultParagraphFont"/>
    <w:rsid w:val="00C166B6"/>
  </w:style>
  <w:style w:type="character" w:customStyle="1" w:styleId="citation-6045">
    <w:name w:val="citation-6045"/>
    <w:basedOn w:val="DefaultParagraphFont"/>
    <w:rsid w:val="00C166B6"/>
  </w:style>
  <w:style w:type="character" w:customStyle="1" w:styleId="citation-6044">
    <w:name w:val="citation-6044"/>
    <w:basedOn w:val="DefaultParagraphFont"/>
    <w:rsid w:val="00C166B6"/>
  </w:style>
  <w:style w:type="character" w:customStyle="1" w:styleId="citation-6043">
    <w:name w:val="citation-6043"/>
    <w:basedOn w:val="DefaultParagraphFont"/>
    <w:rsid w:val="00C166B6"/>
  </w:style>
  <w:style w:type="character" w:customStyle="1" w:styleId="citation-6042">
    <w:name w:val="citation-6042"/>
    <w:basedOn w:val="DefaultParagraphFont"/>
    <w:rsid w:val="00C166B6"/>
  </w:style>
  <w:style w:type="character" w:customStyle="1" w:styleId="citation-6041">
    <w:name w:val="citation-6041"/>
    <w:basedOn w:val="DefaultParagraphFont"/>
    <w:rsid w:val="00C166B6"/>
  </w:style>
  <w:style w:type="character" w:customStyle="1" w:styleId="citation-6040">
    <w:name w:val="citation-6040"/>
    <w:basedOn w:val="DefaultParagraphFont"/>
    <w:rsid w:val="00C166B6"/>
  </w:style>
  <w:style w:type="character" w:customStyle="1" w:styleId="citation-6039">
    <w:name w:val="citation-6039"/>
    <w:basedOn w:val="DefaultParagraphFont"/>
    <w:rsid w:val="00C166B6"/>
  </w:style>
  <w:style w:type="character" w:customStyle="1" w:styleId="citation-6038">
    <w:name w:val="citation-6038"/>
    <w:basedOn w:val="DefaultParagraphFont"/>
    <w:rsid w:val="00C166B6"/>
  </w:style>
  <w:style w:type="character" w:customStyle="1" w:styleId="citation-6037">
    <w:name w:val="citation-6037"/>
    <w:basedOn w:val="DefaultParagraphFont"/>
    <w:rsid w:val="00C166B6"/>
  </w:style>
  <w:style w:type="character" w:customStyle="1" w:styleId="citation-6036">
    <w:name w:val="citation-6036"/>
    <w:basedOn w:val="DefaultParagraphFont"/>
    <w:rsid w:val="00C166B6"/>
  </w:style>
  <w:style w:type="character" w:customStyle="1" w:styleId="citation-6035">
    <w:name w:val="citation-6035"/>
    <w:basedOn w:val="DefaultParagraphFont"/>
    <w:rsid w:val="00C166B6"/>
  </w:style>
  <w:style w:type="character" w:customStyle="1" w:styleId="citation-6034">
    <w:name w:val="citation-6034"/>
    <w:basedOn w:val="DefaultParagraphFont"/>
    <w:rsid w:val="00C166B6"/>
  </w:style>
  <w:style w:type="character" w:customStyle="1" w:styleId="citation-6033">
    <w:name w:val="citation-6033"/>
    <w:basedOn w:val="DefaultParagraphFont"/>
    <w:rsid w:val="00C166B6"/>
  </w:style>
  <w:style w:type="character" w:customStyle="1" w:styleId="citation-6032">
    <w:name w:val="citation-6032"/>
    <w:basedOn w:val="DefaultParagraphFont"/>
    <w:rsid w:val="00C166B6"/>
  </w:style>
  <w:style w:type="character" w:customStyle="1" w:styleId="citation-6031">
    <w:name w:val="citation-6031"/>
    <w:basedOn w:val="DefaultParagraphFont"/>
    <w:rsid w:val="00C166B6"/>
  </w:style>
  <w:style w:type="character" w:customStyle="1" w:styleId="citation-6030">
    <w:name w:val="citation-6030"/>
    <w:basedOn w:val="DefaultParagraphFont"/>
    <w:rsid w:val="00C166B6"/>
  </w:style>
  <w:style w:type="character" w:customStyle="1" w:styleId="citation-6029">
    <w:name w:val="citation-6029"/>
    <w:basedOn w:val="DefaultParagraphFont"/>
    <w:rsid w:val="00C166B6"/>
  </w:style>
  <w:style w:type="character" w:customStyle="1" w:styleId="citation-6028">
    <w:name w:val="citation-6028"/>
    <w:basedOn w:val="DefaultParagraphFont"/>
    <w:rsid w:val="00C166B6"/>
  </w:style>
  <w:style w:type="character" w:customStyle="1" w:styleId="citation-6027">
    <w:name w:val="citation-6027"/>
    <w:basedOn w:val="DefaultParagraphFont"/>
    <w:rsid w:val="00C166B6"/>
  </w:style>
  <w:style w:type="character" w:customStyle="1" w:styleId="citation-6026">
    <w:name w:val="citation-6026"/>
    <w:basedOn w:val="DefaultParagraphFont"/>
    <w:rsid w:val="00C166B6"/>
  </w:style>
  <w:style w:type="character" w:customStyle="1" w:styleId="citation-6025">
    <w:name w:val="citation-6025"/>
    <w:basedOn w:val="DefaultParagraphFont"/>
    <w:rsid w:val="00C166B6"/>
  </w:style>
  <w:style w:type="character" w:customStyle="1" w:styleId="citation-6024">
    <w:name w:val="citation-6024"/>
    <w:basedOn w:val="DefaultParagraphFont"/>
    <w:rsid w:val="00C166B6"/>
  </w:style>
  <w:style w:type="character" w:customStyle="1" w:styleId="citation-6023">
    <w:name w:val="citation-6023"/>
    <w:basedOn w:val="DefaultParagraphFont"/>
    <w:rsid w:val="00C166B6"/>
  </w:style>
  <w:style w:type="character" w:customStyle="1" w:styleId="citation-6022">
    <w:name w:val="citation-6022"/>
    <w:basedOn w:val="DefaultParagraphFont"/>
    <w:rsid w:val="00C166B6"/>
  </w:style>
  <w:style w:type="character" w:customStyle="1" w:styleId="citation-6021">
    <w:name w:val="citation-6021"/>
    <w:basedOn w:val="DefaultParagraphFont"/>
    <w:rsid w:val="00C166B6"/>
  </w:style>
  <w:style w:type="character" w:customStyle="1" w:styleId="citation-6020">
    <w:name w:val="citation-6020"/>
    <w:basedOn w:val="DefaultParagraphFont"/>
    <w:rsid w:val="00C166B6"/>
  </w:style>
  <w:style w:type="character" w:customStyle="1" w:styleId="citation-6019">
    <w:name w:val="citation-6019"/>
    <w:basedOn w:val="DefaultParagraphFont"/>
    <w:rsid w:val="00C166B6"/>
  </w:style>
  <w:style w:type="character" w:customStyle="1" w:styleId="citation-6018">
    <w:name w:val="citation-6018"/>
    <w:basedOn w:val="DefaultParagraphFont"/>
    <w:rsid w:val="00C166B6"/>
  </w:style>
  <w:style w:type="character" w:customStyle="1" w:styleId="citation-6017">
    <w:name w:val="citation-6017"/>
    <w:basedOn w:val="DefaultParagraphFont"/>
    <w:rsid w:val="00C166B6"/>
  </w:style>
  <w:style w:type="character" w:customStyle="1" w:styleId="citation-6016">
    <w:name w:val="citation-6016"/>
    <w:basedOn w:val="DefaultParagraphFont"/>
    <w:rsid w:val="00C166B6"/>
  </w:style>
  <w:style w:type="character" w:customStyle="1" w:styleId="citation-6015">
    <w:name w:val="citation-6015"/>
    <w:basedOn w:val="DefaultParagraphFont"/>
    <w:rsid w:val="00C166B6"/>
  </w:style>
  <w:style w:type="character" w:customStyle="1" w:styleId="citation-6014">
    <w:name w:val="citation-6014"/>
    <w:basedOn w:val="DefaultParagraphFont"/>
    <w:rsid w:val="00C166B6"/>
  </w:style>
  <w:style w:type="character" w:customStyle="1" w:styleId="citation-6013">
    <w:name w:val="citation-6013"/>
    <w:basedOn w:val="DefaultParagraphFont"/>
    <w:rsid w:val="00C166B6"/>
  </w:style>
  <w:style w:type="character" w:customStyle="1" w:styleId="citation-6012">
    <w:name w:val="citation-6012"/>
    <w:basedOn w:val="DefaultParagraphFont"/>
    <w:rsid w:val="00C166B6"/>
  </w:style>
  <w:style w:type="character" w:customStyle="1" w:styleId="citation-6011">
    <w:name w:val="citation-6011"/>
    <w:basedOn w:val="DefaultParagraphFont"/>
    <w:rsid w:val="00C166B6"/>
  </w:style>
  <w:style w:type="character" w:customStyle="1" w:styleId="citation-6010">
    <w:name w:val="citation-6010"/>
    <w:basedOn w:val="DefaultParagraphFont"/>
    <w:rsid w:val="00C166B6"/>
  </w:style>
  <w:style w:type="character" w:customStyle="1" w:styleId="citation-6009">
    <w:name w:val="citation-6009"/>
    <w:basedOn w:val="DefaultParagraphFont"/>
    <w:rsid w:val="00C166B6"/>
  </w:style>
  <w:style w:type="character" w:customStyle="1" w:styleId="citation-6008">
    <w:name w:val="citation-6008"/>
    <w:basedOn w:val="DefaultParagraphFont"/>
    <w:rsid w:val="00C166B6"/>
  </w:style>
  <w:style w:type="character" w:customStyle="1" w:styleId="citation-6007">
    <w:name w:val="citation-6007"/>
    <w:basedOn w:val="DefaultParagraphFont"/>
    <w:rsid w:val="00C166B6"/>
  </w:style>
  <w:style w:type="character" w:customStyle="1" w:styleId="citation-6006">
    <w:name w:val="citation-6006"/>
    <w:basedOn w:val="DefaultParagraphFont"/>
    <w:rsid w:val="00C166B6"/>
  </w:style>
  <w:style w:type="character" w:customStyle="1" w:styleId="citation-6005">
    <w:name w:val="citation-6005"/>
    <w:basedOn w:val="DefaultParagraphFont"/>
    <w:rsid w:val="00C166B6"/>
  </w:style>
  <w:style w:type="character" w:customStyle="1" w:styleId="citation-6004">
    <w:name w:val="citation-6004"/>
    <w:basedOn w:val="DefaultParagraphFont"/>
    <w:rsid w:val="00C166B6"/>
  </w:style>
  <w:style w:type="character" w:customStyle="1" w:styleId="citation-6003">
    <w:name w:val="citation-6003"/>
    <w:basedOn w:val="DefaultParagraphFont"/>
    <w:rsid w:val="00C166B6"/>
  </w:style>
  <w:style w:type="character" w:customStyle="1" w:styleId="citation-6002">
    <w:name w:val="citation-6002"/>
    <w:basedOn w:val="DefaultParagraphFont"/>
    <w:rsid w:val="00C166B6"/>
  </w:style>
  <w:style w:type="character" w:customStyle="1" w:styleId="citation-6001">
    <w:name w:val="citation-6001"/>
    <w:basedOn w:val="DefaultParagraphFont"/>
    <w:rsid w:val="00C166B6"/>
  </w:style>
  <w:style w:type="character" w:customStyle="1" w:styleId="citation-6000">
    <w:name w:val="citation-6000"/>
    <w:basedOn w:val="DefaultParagraphFont"/>
    <w:rsid w:val="00C166B6"/>
  </w:style>
  <w:style w:type="character" w:customStyle="1" w:styleId="citation-5999">
    <w:name w:val="citation-5999"/>
    <w:basedOn w:val="DefaultParagraphFont"/>
    <w:rsid w:val="00C166B6"/>
  </w:style>
  <w:style w:type="character" w:customStyle="1" w:styleId="citation-5998">
    <w:name w:val="citation-5998"/>
    <w:basedOn w:val="DefaultParagraphFont"/>
    <w:rsid w:val="00C166B6"/>
  </w:style>
  <w:style w:type="character" w:customStyle="1" w:styleId="citation-5997">
    <w:name w:val="citation-5997"/>
    <w:basedOn w:val="DefaultParagraphFont"/>
    <w:rsid w:val="00C166B6"/>
  </w:style>
  <w:style w:type="character" w:customStyle="1" w:styleId="citation-5996">
    <w:name w:val="citation-5996"/>
    <w:basedOn w:val="DefaultParagraphFont"/>
    <w:rsid w:val="00C166B6"/>
  </w:style>
  <w:style w:type="character" w:customStyle="1" w:styleId="citation-5995">
    <w:name w:val="citation-5995"/>
    <w:basedOn w:val="DefaultParagraphFont"/>
    <w:rsid w:val="00C166B6"/>
  </w:style>
  <w:style w:type="character" w:customStyle="1" w:styleId="citation-5994">
    <w:name w:val="citation-5994"/>
    <w:basedOn w:val="DefaultParagraphFont"/>
    <w:rsid w:val="00C166B6"/>
  </w:style>
  <w:style w:type="character" w:customStyle="1" w:styleId="citation-5993">
    <w:name w:val="citation-5993"/>
    <w:basedOn w:val="DefaultParagraphFont"/>
    <w:rsid w:val="00C166B6"/>
  </w:style>
  <w:style w:type="character" w:customStyle="1" w:styleId="citation-5992">
    <w:name w:val="citation-5992"/>
    <w:basedOn w:val="DefaultParagraphFont"/>
    <w:rsid w:val="00C166B6"/>
  </w:style>
  <w:style w:type="character" w:customStyle="1" w:styleId="citation-5991">
    <w:name w:val="citation-5991"/>
    <w:basedOn w:val="DefaultParagraphFont"/>
    <w:rsid w:val="00C166B6"/>
  </w:style>
  <w:style w:type="character" w:customStyle="1" w:styleId="citation-5990">
    <w:name w:val="citation-5990"/>
    <w:basedOn w:val="DefaultParagraphFont"/>
    <w:rsid w:val="00C166B6"/>
  </w:style>
  <w:style w:type="character" w:customStyle="1" w:styleId="citation-5989">
    <w:name w:val="citation-5989"/>
    <w:basedOn w:val="DefaultParagraphFont"/>
    <w:rsid w:val="00C166B6"/>
  </w:style>
  <w:style w:type="character" w:customStyle="1" w:styleId="citation-5988">
    <w:name w:val="citation-5988"/>
    <w:basedOn w:val="DefaultParagraphFont"/>
    <w:rsid w:val="00C166B6"/>
  </w:style>
  <w:style w:type="character" w:customStyle="1" w:styleId="citation-5987">
    <w:name w:val="citation-5987"/>
    <w:basedOn w:val="DefaultParagraphFont"/>
    <w:rsid w:val="00C166B6"/>
  </w:style>
  <w:style w:type="character" w:customStyle="1" w:styleId="citation-5986">
    <w:name w:val="citation-5986"/>
    <w:basedOn w:val="DefaultParagraphFont"/>
    <w:rsid w:val="00C166B6"/>
  </w:style>
  <w:style w:type="character" w:customStyle="1" w:styleId="citation-5985">
    <w:name w:val="citation-5985"/>
    <w:basedOn w:val="DefaultParagraphFont"/>
    <w:rsid w:val="00C166B6"/>
  </w:style>
  <w:style w:type="character" w:customStyle="1" w:styleId="citation-5984">
    <w:name w:val="citation-5984"/>
    <w:basedOn w:val="DefaultParagraphFont"/>
    <w:rsid w:val="00C166B6"/>
  </w:style>
  <w:style w:type="character" w:customStyle="1" w:styleId="citation-5983">
    <w:name w:val="citation-5983"/>
    <w:basedOn w:val="DefaultParagraphFont"/>
    <w:rsid w:val="00C166B6"/>
  </w:style>
  <w:style w:type="character" w:customStyle="1" w:styleId="citation-5982">
    <w:name w:val="citation-5982"/>
    <w:basedOn w:val="DefaultParagraphFont"/>
    <w:rsid w:val="00C166B6"/>
  </w:style>
  <w:style w:type="character" w:customStyle="1" w:styleId="citation-5981">
    <w:name w:val="citation-5981"/>
    <w:basedOn w:val="DefaultParagraphFont"/>
    <w:rsid w:val="00C166B6"/>
  </w:style>
  <w:style w:type="character" w:customStyle="1" w:styleId="citation-5980">
    <w:name w:val="citation-5980"/>
    <w:basedOn w:val="DefaultParagraphFont"/>
    <w:rsid w:val="00C166B6"/>
  </w:style>
  <w:style w:type="character" w:customStyle="1" w:styleId="citation-5979">
    <w:name w:val="citation-5979"/>
    <w:basedOn w:val="DefaultParagraphFont"/>
    <w:rsid w:val="00C166B6"/>
  </w:style>
  <w:style w:type="character" w:customStyle="1" w:styleId="citation-5978">
    <w:name w:val="citation-5978"/>
    <w:basedOn w:val="DefaultParagraphFont"/>
    <w:rsid w:val="00C166B6"/>
  </w:style>
  <w:style w:type="character" w:customStyle="1" w:styleId="citation-5977">
    <w:name w:val="citation-5977"/>
    <w:basedOn w:val="DefaultParagraphFont"/>
    <w:rsid w:val="00C166B6"/>
  </w:style>
  <w:style w:type="character" w:customStyle="1" w:styleId="citation-5976">
    <w:name w:val="citation-5976"/>
    <w:basedOn w:val="DefaultParagraphFont"/>
    <w:rsid w:val="00C166B6"/>
  </w:style>
  <w:style w:type="character" w:customStyle="1" w:styleId="citation-5975">
    <w:name w:val="citation-5975"/>
    <w:basedOn w:val="DefaultParagraphFont"/>
    <w:rsid w:val="00C166B6"/>
  </w:style>
  <w:style w:type="character" w:customStyle="1" w:styleId="citation-5974">
    <w:name w:val="citation-5974"/>
    <w:basedOn w:val="DefaultParagraphFont"/>
    <w:rsid w:val="00C166B6"/>
  </w:style>
  <w:style w:type="character" w:customStyle="1" w:styleId="citation-5973">
    <w:name w:val="citation-5973"/>
    <w:basedOn w:val="DefaultParagraphFont"/>
    <w:rsid w:val="00C166B6"/>
  </w:style>
  <w:style w:type="character" w:customStyle="1" w:styleId="citation-5972">
    <w:name w:val="citation-5972"/>
    <w:basedOn w:val="DefaultParagraphFont"/>
    <w:rsid w:val="00C166B6"/>
  </w:style>
  <w:style w:type="character" w:customStyle="1" w:styleId="citation-5971">
    <w:name w:val="citation-5971"/>
    <w:basedOn w:val="DefaultParagraphFont"/>
    <w:rsid w:val="00C166B6"/>
  </w:style>
  <w:style w:type="character" w:customStyle="1" w:styleId="citation-5970">
    <w:name w:val="citation-5970"/>
    <w:basedOn w:val="DefaultParagraphFont"/>
    <w:rsid w:val="00C166B6"/>
  </w:style>
  <w:style w:type="character" w:customStyle="1" w:styleId="citation-5969">
    <w:name w:val="citation-5969"/>
    <w:basedOn w:val="DefaultParagraphFont"/>
    <w:rsid w:val="00C166B6"/>
  </w:style>
  <w:style w:type="character" w:customStyle="1" w:styleId="citation-5968">
    <w:name w:val="citation-5968"/>
    <w:basedOn w:val="DefaultParagraphFont"/>
    <w:rsid w:val="00C166B6"/>
  </w:style>
  <w:style w:type="character" w:customStyle="1" w:styleId="citation-5967">
    <w:name w:val="citation-5967"/>
    <w:basedOn w:val="DefaultParagraphFont"/>
    <w:rsid w:val="00C166B6"/>
  </w:style>
  <w:style w:type="character" w:customStyle="1" w:styleId="citation-5966">
    <w:name w:val="citation-5966"/>
    <w:basedOn w:val="DefaultParagraphFont"/>
    <w:rsid w:val="00C166B6"/>
  </w:style>
  <w:style w:type="character" w:customStyle="1" w:styleId="citation-5965">
    <w:name w:val="citation-5965"/>
    <w:basedOn w:val="DefaultParagraphFont"/>
    <w:rsid w:val="00C166B6"/>
  </w:style>
  <w:style w:type="character" w:customStyle="1" w:styleId="citation-5964">
    <w:name w:val="citation-5964"/>
    <w:basedOn w:val="DefaultParagraphFont"/>
    <w:rsid w:val="00C166B6"/>
  </w:style>
  <w:style w:type="character" w:customStyle="1" w:styleId="citation-5963">
    <w:name w:val="citation-5963"/>
    <w:basedOn w:val="DefaultParagraphFont"/>
    <w:rsid w:val="00C166B6"/>
  </w:style>
  <w:style w:type="character" w:customStyle="1" w:styleId="citation-5962">
    <w:name w:val="citation-5962"/>
    <w:basedOn w:val="DefaultParagraphFont"/>
    <w:rsid w:val="00C166B6"/>
  </w:style>
  <w:style w:type="character" w:customStyle="1" w:styleId="citation-5961">
    <w:name w:val="citation-5961"/>
    <w:basedOn w:val="DefaultParagraphFont"/>
    <w:rsid w:val="00C166B6"/>
  </w:style>
  <w:style w:type="character" w:customStyle="1" w:styleId="citation-5960">
    <w:name w:val="citation-5960"/>
    <w:basedOn w:val="DefaultParagraphFont"/>
    <w:rsid w:val="00C166B6"/>
  </w:style>
  <w:style w:type="character" w:customStyle="1" w:styleId="citation-5959">
    <w:name w:val="citation-5959"/>
    <w:basedOn w:val="DefaultParagraphFont"/>
    <w:rsid w:val="00C166B6"/>
  </w:style>
  <w:style w:type="character" w:customStyle="1" w:styleId="citation-5958">
    <w:name w:val="citation-5958"/>
    <w:basedOn w:val="DefaultParagraphFont"/>
    <w:rsid w:val="00C166B6"/>
  </w:style>
  <w:style w:type="character" w:customStyle="1" w:styleId="citation-5957">
    <w:name w:val="citation-5957"/>
    <w:basedOn w:val="DefaultParagraphFont"/>
    <w:rsid w:val="00C166B6"/>
  </w:style>
  <w:style w:type="character" w:customStyle="1" w:styleId="citation-5956">
    <w:name w:val="citation-5956"/>
    <w:basedOn w:val="DefaultParagraphFont"/>
    <w:rsid w:val="00C166B6"/>
  </w:style>
  <w:style w:type="character" w:customStyle="1" w:styleId="citation-5955">
    <w:name w:val="citation-5955"/>
    <w:basedOn w:val="DefaultParagraphFont"/>
    <w:rsid w:val="00C166B6"/>
  </w:style>
  <w:style w:type="character" w:customStyle="1" w:styleId="citation-5954">
    <w:name w:val="citation-5954"/>
    <w:basedOn w:val="DefaultParagraphFont"/>
    <w:rsid w:val="00C166B6"/>
  </w:style>
  <w:style w:type="character" w:customStyle="1" w:styleId="citation-5953">
    <w:name w:val="citation-5953"/>
    <w:basedOn w:val="DefaultParagraphFont"/>
    <w:rsid w:val="00C166B6"/>
  </w:style>
  <w:style w:type="character" w:customStyle="1" w:styleId="citation-19792">
    <w:name w:val="citation-19792"/>
    <w:basedOn w:val="DefaultParagraphFont"/>
    <w:rsid w:val="00C166B6"/>
  </w:style>
  <w:style w:type="character" w:customStyle="1" w:styleId="citation-19791">
    <w:name w:val="citation-19791"/>
    <w:basedOn w:val="DefaultParagraphFont"/>
    <w:rsid w:val="00C166B6"/>
  </w:style>
  <w:style w:type="character" w:customStyle="1" w:styleId="citation-19790">
    <w:name w:val="citation-19790"/>
    <w:basedOn w:val="DefaultParagraphFont"/>
    <w:rsid w:val="00C166B6"/>
  </w:style>
  <w:style w:type="character" w:customStyle="1" w:styleId="citation-19789">
    <w:name w:val="citation-19789"/>
    <w:basedOn w:val="DefaultParagraphFont"/>
    <w:rsid w:val="00C166B6"/>
  </w:style>
  <w:style w:type="character" w:customStyle="1" w:styleId="citation-19788">
    <w:name w:val="citation-19788"/>
    <w:basedOn w:val="DefaultParagraphFont"/>
    <w:rsid w:val="00C166B6"/>
  </w:style>
  <w:style w:type="character" w:customStyle="1" w:styleId="citation-19787">
    <w:name w:val="citation-19787"/>
    <w:basedOn w:val="DefaultParagraphFont"/>
    <w:rsid w:val="00C166B6"/>
  </w:style>
  <w:style w:type="character" w:customStyle="1" w:styleId="citation-19786">
    <w:name w:val="citation-19786"/>
    <w:basedOn w:val="DefaultParagraphFont"/>
    <w:rsid w:val="00C166B6"/>
  </w:style>
  <w:style w:type="character" w:customStyle="1" w:styleId="citation-19785">
    <w:name w:val="citation-19785"/>
    <w:basedOn w:val="DefaultParagraphFont"/>
    <w:rsid w:val="00C166B6"/>
  </w:style>
  <w:style w:type="character" w:customStyle="1" w:styleId="citation-19784">
    <w:name w:val="citation-19784"/>
    <w:basedOn w:val="DefaultParagraphFont"/>
    <w:rsid w:val="00C166B6"/>
  </w:style>
  <w:style w:type="character" w:customStyle="1" w:styleId="citation-19783">
    <w:name w:val="citation-19783"/>
    <w:basedOn w:val="DefaultParagraphFont"/>
    <w:rsid w:val="00C166B6"/>
  </w:style>
  <w:style w:type="character" w:customStyle="1" w:styleId="citation-19782">
    <w:name w:val="citation-19782"/>
    <w:basedOn w:val="DefaultParagraphFont"/>
    <w:rsid w:val="00C166B6"/>
  </w:style>
  <w:style w:type="character" w:customStyle="1" w:styleId="citation-19781">
    <w:name w:val="citation-19781"/>
    <w:basedOn w:val="DefaultParagraphFont"/>
    <w:rsid w:val="00C166B6"/>
  </w:style>
  <w:style w:type="character" w:customStyle="1" w:styleId="citation-19780">
    <w:name w:val="citation-19780"/>
    <w:basedOn w:val="DefaultParagraphFont"/>
    <w:rsid w:val="00C166B6"/>
  </w:style>
  <w:style w:type="character" w:customStyle="1" w:styleId="citation-19779">
    <w:name w:val="citation-19779"/>
    <w:basedOn w:val="DefaultParagraphFont"/>
    <w:rsid w:val="00C166B6"/>
  </w:style>
  <w:style w:type="character" w:customStyle="1" w:styleId="citation-19778">
    <w:name w:val="citation-19778"/>
    <w:basedOn w:val="DefaultParagraphFont"/>
    <w:rsid w:val="00C166B6"/>
  </w:style>
  <w:style w:type="character" w:customStyle="1" w:styleId="citation-19777">
    <w:name w:val="citation-19777"/>
    <w:basedOn w:val="DefaultParagraphFont"/>
    <w:rsid w:val="00C166B6"/>
  </w:style>
  <w:style w:type="character" w:customStyle="1" w:styleId="citation-19776">
    <w:name w:val="citation-19776"/>
    <w:basedOn w:val="DefaultParagraphFont"/>
    <w:rsid w:val="00C166B6"/>
  </w:style>
  <w:style w:type="character" w:customStyle="1" w:styleId="citation-19775">
    <w:name w:val="citation-19775"/>
    <w:basedOn w:val="DefaultParagraphFont"/>
    <w:rsid w:val="00C166B6"/>
  </w:style>
  <w:style w:type="character" w:customStyle="1" w:styleId="citation-19774">
    <w:name w:val="citation-19774"/>
    <w:basedOn w:val="DefaultParagraphFont"/>
    <w:rsid w:val="00C166B6"/>
  </w:style>
  <w:style w:type="character" w:customStyle="1" w:styleId="citation-19773">
    <w:name w:val="citation-19773"/>
    <w:basedOn w:val="DefaultParagraphFont"/>
    <w:rsid w:val="00C166B6"/>
  </w:style>
  <w:style w:type="character" w:customStyle="1" w:styleId="citation-19772">
    <w:name w:val="citation-19772"/>
    <w:basedOn w:val="DefaultParagraphFont"/>
    <w:rsid w:val="00C166B6"/>
  </w:style>
  <w:style w:type="character" w:customStyle="1" w:styleId="citation-19771">
    <w:name w:val="citation-19771"/>
    <w:basedOn w:val="DefaultParagraphFont"/>
    <w:rsid w:val="00C166B6"/>
  </w:style>
  <w:style w:type="character" w:customStyle="1" w:styleId="citation-19770">
    <w:name w:val="citation-19770"/>
    <w:basedOn w:val="DefaultParagraphFont"/>
    <w:rsid w:val="00C166B6"/>
  </w:style>
  <w:style w:type="character" w:customStyle="1" w:styleId="citation-19769">
    <w:name w:val="citation-19769"/>
    <w:basedOn w:val="DefaultParagraphFont"/>
    <w:rsid w:val="00C166B6"/>
  </w:style>
  <w:style w:type="character" w:customStyle="1" w:styleId="citation-19768">
    <w:name w:val="citation-19768"/>
    <w:basedOn w:val="DefaultParagraphFont"/>
    <w:rsid w:val="00C166B6"/>
  </w:style>
  <w:style w:type="character" w:customStyle="1" w:styleId="citation-19767">
    <w:name w:val="citation-19767"/>
    <w:basedOn w:val="DefaultParagraphFont"/>
    <w:rsid w:val="00C166B6"/>
  </w:style>
  <w:style w:type="character" w:customStyle="1" w:styleId="citation-19766">
    <w:name w:val="citation-19766"/>
    <w:basedOn w:val="DefaultParagraphFont"/>
    <w:rsid w:val="00C166B6"/>
  </w:style>
  <w:style w:type="character" w:customStyle="1" w:styleId="citation-19765">
    <w:name w:val="citation-19765"/>
    <w:basedOn w:val="DefaultParagraphFont"/>
    <w:rsid w:val="00C166B6"/>
  </w:style>
  <w:style w:type="character" w:customStyle="1" w:styleId="citation-19764">
    <w:name w:val="citation-19764"/>
    <w:basedOn w:val="DefaultParagraphFont"/>
    <w:rsid w:val="00C166B6"/>
  </w:style>
  <w:style w:type="character" w:customStyle="1" w:styleId="citation-19763">
    <w:name w:val="citation-19763"/>
    <w:basedOn w:val="DefaultParagraphFont"/>
    <w:rsid w:val="00C166B6"/>
  </w:style>
  <w:style w:type="character" w:customStyle="1" w:styleId="citation-19762">
    <w:name w:val="citation-19762"/>
    <w:basedOn w:val="DefaultParagraphFont"/>
    <w:rsid w:val="00C166B6"/>
  </w:style>
  <w:style w:type="character" w:customStyle="1" w:styleId="citation-19761">
    <w:name w:val="citation-19761"/>
    <w:basedOn w:val="DefaultParagraphFont"/>
    <w:rsid w:val="00C166B6"/>
  </w:style>
  <w:style w:type="character" w:customStyle="1" w:styleId="citation-19760">
    <w:name w:val="citation-19760"/>
    <w:basedOn w:val="DefaultParagraphFont"/>
    <w:rsid w:val="00C166B6"/>
  </w:style>
  <w:style w:type="character" w:customStyle="1" w:styleId="citation-19759">
    <w:name w:val="citation-19759"/>
    <w:basedOn w:val="DefaultParagraphFont"/>
    <w:rsid w:val="00C166B6"/>
  </w:style>
  <w:style w:type="character" w:customStyle="1" w:styleId="citation-19758">
    <w:name w:val="citation-19758"/>
    <w:basedOn w:val="DefaultParagraphFont"/>
    <w:rsid w:val="00C166B6"/>
  </w:style>
  <w:style w:type="character" w:customStyle="1" w:styleId="citation-19757">
    <w:name w:val="citation-19757"/>
    <w:basedOn w:val="DefaultParagraphFont"/>
    <w:rsid w:val="00C166B6"/>
  </w:style>
  <w:style w:type="character" w:customStyle="1" w:styleId="citation-19756">
    <w:name w:val="citation-19756"/>
    <w:basedOn w:val="DefaultParagraphFont"/>
    <w:rsid w:val="00C166B6"/>
  </w:style>
  <w:style w:type="character" w:customStyle="1" w:styleId="citation-19755">
    <w:name w:val="citation-19755"/>
    <w:basedOn w:val="DefaultParagraphFont"/>
    <w:rsid w:val="00C166B6"/>
  </w:style>
  <w:style w:type="character" w:customStyle="1" w:styleId="citation-19754">
    <w:name w:val="citation-19754"/>
    <w:basedOn w:val="DefaultParagraphFont"/>
    <w:rsid w:val="00C166B6"/>
  </w:style>
  <w:style w:type="character" w:customStyle="1" w:styleId="citation-19753">
    <w:name w:val="citation-19753"/>
    <w:basedOn w:val="DefaultParagraphFont"/>
    <w:rsid w:val="00C166B6"/>
  </w:style>
  <w:style w:type="character" w:customStyle="1" w:styleId="citation-19752">
    <w:name w:val="citation-19752"/>
    <w:basedOn w:val="DefaultParagraphFont"/>
    <w:rsid w:val="00C166B6"/>
  </w:style>
  <w:style w:type="character" w:customStyle="1" w:styleId="citation-19751">
    <w:name w:val="citation-19751"/>
    <w:basedOn w:val="DefaultParagraphFont"/>
    <w:rsid w:val="00C166B6"/>
  </w:style>
  <w:style w:type="character" w:customStyle="1" w:styleId="citation-19750">
    <w:name w:val="citation-19750"/>
    <w:basedOn w:val="DefaultParagraphFont"/>
    <w:rsid w:val="00C166B6"/>
  </w:style>
  <w:style w:type="character" w:customStyle="1" w:styleId="citation-19749">
    <w:name w:val="citation-19749"/>
    <w:basedOn w:val="DefaultParagraphFont"/>
    <w:rsid w:val="00C166B6"/>
  </w:style>
  <w:style w:type="character" w:customStyle="1" w:styleId="citation-19748">
    <w:name w:val="citation-19748"/>
    <w:basedOn w:val="DefaultParagraphFont"/>
    <w:rsid w:val="00C166B6"/>
  </w:style>
  <w:style w:type="character" w:customStyle="1" w:styleId="citation-19747">
    <w:name w:val="citation-19747"/>
    <w:basedOn w:val="DefaultParagraphFont"/>
    <w:rsid w:val="00C166B6"/>
  </w:style>
  <w:style w:type="character" w:customStyle="1" w:styleId="citation-19746">
    <w:name w:val="citation-19746"/>
    <w:basedOn w:val="DefaultParagraphFont"/>
    <w:rsid w:val="00C166B6"/>
  </w:style>
  <w:style w:type="character" w:customStyle="1" w:styleId="citation-19745">
    <w:name w:val="citation-19745"/>
    <w:basedOn w:val="DefaultParagraphFont"/>
    <w:rsid w:val="00C166B6"/>
  </w:style>
  <w:style w:type="character" w:customStyle="1" w:styleId="citation-19744">
    <w:name w:val="citation-19744"/>
    <w:basedOn w:val="DefaultParagraphFont"/>
    <w:rsid w:val="00C166B6"/>
  </w:style>
  <w:style w:type="character" w:customStyle="1" w:styleId="citation-19743">
    <w:name w:val="citation-19743"/>
    <w:basedOn w:val="DefaultParagraphFont"/>
    <w:rsid w:val="00C166B6"/>
  </w:style>
  <w:style w:type="character" w:customStyle="1" w:styleId="citation-19742">
    <w:name w:val="citation-19742"/>
    <w:basedOn w:val="DefaultParagraphFont"/>
    <w:rsid w:val="00C166B6"/>
  </w:style>
  <w:style w:type="character" w:customStyle="1" w:styleId="citation-19741">
    <w:name w:val="citation-19741"/>
    <w:basedOn w:val="DefaultParagraphFont"/>
    <w:rsid w:val="00C166B6"/>
  </w:style>
  <w:style w:type="character" w:customStyle="1" w:styleId="citation-19740">
    <w:name w:val="citation-19740"/>
    <w:basedOn w:val="DefaultParagraphFont"/>
    <w:rsid w:val="00C166B6"/>
  </w:style>
  <w:style w:type="character" w:customStyle="1" w:styleId="citation-19739">
    <w:name w:val="citation-19739"/>
    <w:basedOn w:val="DefaultParagraphFont"/>
    <w:rsid w:val="00C166B6"/>
  </w:style>
  <w:style w:type="character" w:customStyle="1" w:styleId="citation-19738">
    <w:name w:val="citation-19738"/>
    <w:basedOn w:val="DefaultParagraphFont"/>
    <w:rsid w:val="00C166B6"/>
  </w:style>
  <w:style w:type="character" w:customStyle="1" w:styleId="citation-19737">
    <w:name w:val="citation-19737"/>
    <w:basedOn w:val="DefaultParagraphFont"/>
    <w:rsid w:val="00C166B6"/>
  </w:style>
  <w:style w:type="character" w:customStyle="1" w:styleId="citation-19736">
    <w:name w:val="citation-19736"/>
    <w:basedOn w:val="DefaultParagraphFont"/>
    <w:rsid w:val="00C166B6"/>
  </w:style>
  <w:style w:type="character" w:customStyle="1" w:styleId="citation-19735">
    <w:name w:val="citation-19735"/>
    <w:basedOn w:val="DefaultParagraphFont"/>
    <w:rsid w:val="00C166B6"/>
  </w:style>
  <w:style w:type="character" w:customStyle="1" w:styleId="citation-19734">
    <w:name w:val="citation-19734"/>
    <w:basedOn w:val="DefaultParagraphFont"/>
    <w:rsid w:val="00C166B6"/>
  </w:style>
  <w:style w:type="character" w:customStyle="1" w:styleId="citation-19733">
    <w:name w:val="citation-19733"/>
    <w:basedOn w:val="DefaultParagraphFont"/>
    <w:rsid w:val="00C166B6"/>
  </w:style>
  <w:style w:type="character" w:customStyle="1" w:styleId="citation-19732">
    <w:name w:val="citation-19732"/>
    <w:basedOn w:val="DefaultParagraphFont"/>
    <w:rsid w:val="00C166B6"/>
  </w:style>
  <w:style w:type="character" w:customStyle="1" w:styleId="citation-19731">
    <w:name w:val="citation-19731"/>
    <w:basedOn w:val="DefaultParagraphFont"/>
    <w:rsid w:val="00C166B6"/>
  </w:style>
  <w:style w:type="character" w:customStyle="1" w:styleId="citation-19730">
    <w:name w:val="citation-19730"/>
    <w:basedOn w:val="DefaultParagraphFont"/>
    <w:rsid w:val="00C166B6"/>
  </w:style>
  <w:style w:type="character" w:customStyle="1" w:styleId="citation-19729">
    <w:name w:val="citation-19729"/>
    <w:basedOn w:val="DefaultParagraphFont"/>
    <w:rsid w:val="00C166B6"/>
  </w:style>
  <w:style w:type="character" w:customStyle="1" w:styleId="citation-19728">
    <w:name w:val="citation-19728"/>
    <w:basedOn w:val="DefaultParagraphFont"/>
    <w:rsid w:val="00C166B6"/>
  </w:style>
  <w:style w:type="character" w:customStyle="1" w:styleId="citation-19727">
    <w:name w:val="citation-19727"/>
    <w:basedOn w:val="DefaultParagraphFont"/>
    <w:rsid w:val="00C166B6"/>
  </w:style>
  <w:style w:type="character" w:customStyle="1" w:styleId="citation-19726">
    <w:name w:val="citation-19726"/>
    <w:basedOn w:val="DefaultParagraphFont"/>
    <w:rsid w:val="00C166B6"/>
  </w:style>
  <w:style w:type="character" w:customStyle="1" w:styleId="citation-19725">
    <w:name w:val="citation-19725"/>
    <w:basedOn w:val="DefaultParagraphFont"/>
    <w:rsid w:val="00C166B6"/>
  </w:style>
  <w:style w:type="character" w:customStyle="1" w:styleId="citation-19724">
    <w:name w:val="citation-19724"/>
    <w:basedOn w:val="DefaultParagraphFont"/>
    <w:rsid w:val="00C166B6"/>
  </w:style>
  <w:style w:type="character" w:customStyle="1" w:styleId="citation-19723">
    <w:name w:val="citation-19723"/>
    <w:basedOn w:val="DefaultParagraphFont"/>
    <w:rsid w:val="00C166B6"/>
  </w:style>
  <w:style w:type="character" w:customStyle="1" w:styleId="citation-19722">
    <w:name w:val="citation-19722"/>
    <w:basedOn w:val="DefaultParagraphFont"/>
    <w:rsid w:val="00C166B6"/>
  </w:style>
  <w:style w:type="character" w:customStyle="1" w:styleId="citation-19721">
    <w:name w:val="citation-19721"/>
    <w:basedOn w:val="DefaultParagraphFont"/>
    <w:rsid w:val="00C166B6"/>
  </w:style>
  <w:style w:type="character" w:customStyle="1" w:styleId="citation-19720">
    <w:name w:val="citation-19720"/>
    <w:basedOn w:val="DefaultParagraphFont"/>
    <w:rsid w:val="00C166B6"/>
  </w:style>
  <w:style w:type="character" w:customStyle="1" w:styleId="citation-19719">
    <w:name w:val="citation-19719"/>
    <w:basedOn w:val="DefaultParagraphFont"/>
    <w:rsid w:val="00C166B6"/>
  </w:style>
  <w:style w:type="character" w:customStyle="1" w:styleId="citation-19718">
    <w:name w:val="citation-19718"/>
    <w:basedOn w:val="DefaultParagraphFont"/>
    <w:rsid w:val="00C166B6"/>
  </w:style>
  <w:style w:type="character" w:customStyle="1" w:styleId="citation-19717">
    <w:name w:val="citation-19717"/>
    <w:basedOn w:val="DefaultParagraphFont"/>
    <w:rsid w:val="00C166B6"/>
  </w:style>
  <w:style w:type="character" w:customStyle="1" w:styleId="citation-19716">
    <w:name w:val="citation-19716"/>
    <w:basedOn w:val="DefaultParagraphFont"/>
    <w:rsid w:val="00C166B6"/>
  </w:style>
  <w:style w:type="character" w:customStyle="1" w:styleId="citation-19715">
    <w:name w:val="citation-19715"/>
    <w:basedOn w:val="DefaultParagraphFont"/>
    <w:rsid w:val="00C166B6"/>
  </w:style>
  <w:style w:type="character" w:customStyle="1" w:styleId="citation-19714">
    <w:name w:val="citation-19714"/>
    <w:basedOn w:val="DefaultParagraphFont"/>
    <w:rsid w:val="00C166B6"/>
  </w:style>
  <w:style w:type="character" w:customStyle="1" w:styleId="citation-19713">
    <w:name w:val="citation-19713"/>
    <w:basedOn w:val="DefaultParagraphFont"/>
    <w:rsid w:val="00C166B6"/>
  </w:style>
  <w:style w:type="character" w:customStyle="1" w:styleId="citation-19712">
    <w:name w:val="citation-19712"/>
    <w:basedOn w:val="DefaultParagraphFont"/>
    <w:rsid w:val="00C166B6"/>
  </w:style>
  <w:style w:type="character" w:customStyle="1" w:styleId="citation-19711">
    <w:name w:val="citation-19711"/>
    <w:basedOn w:val="DefaultParagraphFont"/>
    <w:rsid w:val="00C166B6"/>
  </w:style>
  <w:style w:type="character" w:customStyle="1" w:styleId="citation-19710">
    <w:name w:val="citation-19710"/>
    <w:basedOn w:val="DefaultParagraphFont"/>
    <w:rsid w:val="00C166B6"/>
  </w:style>
  <w:style w:type="character" w:customStyle="1" w:styleId="citation-19709">
    <w:name w:val="citation-19709"/>
    <w:basedOn w:val="DefaultParagraphFont"/>
    <w:rsid w:val="00C166B6"/>
  </w:style>
  <w:style w:type="character" w:customStyle="1" w:styleId="citation-19708">
    <w:name w:val="citation-19708"/>
    <w:basedOn w:val="DefaultParagraphFont"/>
    <w:rsid w:val="00C166B6"/>
  </w:style>
  <w:style w:type="character" w:customStyle="1" w:styleId="citation-19707">
    <w:name w:val="citation-19707"/>
    <w:basedOn w:val="DefaultParagraphFont"/>
    <w:rsid w:val="00C166B6"/>
  </w:style>
  <w:style w:type="character" w:customStyle="1" w:styleId="citation-19706">
    <w:name w:val="citation-19706"/>
    <w:basedOn w:val="DefaultParagraphFont"/>
    <w:rsid w:val="00C166B6"/>
  </w:style>
  <w:style w:type="character" w:customStyle="1" w:styleId="citation-19705">
    <w:name w:val="citation-19705"/>
    <w:basedOn w:val="DefaultParagraphFont"/>
    <w:rsid w:val="00C166B6"/>
  </w:style>
  <w:style w:type="character" w:customStyle="1" w:styleId="citation-19704">
    <w:name w:val="citation-19704"/>
    <w:basedOn w:val="DefaultParagraphFont"/>
    <w:rsid w:val="00C166B6"/>
  </w:style>
  <w:style w:type="character" w:customStyle="1" w:styleId="citation-19703">
    <w:name w:val="citation-19703"/>
    <w:basedOn w:val="DefaultParagraphFont"/>
    <w:rsid w:val="00C166B6"/>
  </w:style>
  <w:style w:type="character" w:customStyle="1" w:styleId="citation-19702">
    <w:name w:val="citation-19702"/>
    <w:basedOn w:val="DefaultParagraphFont"/>
    <w:rsid w:val="00C166B6"/>
  </w:style>
  <w:style w:type="character" w:customStyle="1" w:styleId="citation-19701">
    <w:name w:val="citation-19701"/>
    <w:basedOn w:val="DefaultParagraphFont"/>
    <w:rsid w:val="00C166B6"/>
  </w:style>
  <w:style w:type="character" w:customStyle="1" w:styleId="citation-19700">
    <w:name w:val="citation-19700"/>
    <w:basedOn w:val="DefaultParagraphFont"/>
    <w:rsid w:val="00C166B6"/>
  </w:style>
  <w:style w:type="character" w:customStyle="1" w:styleId="citation-19699">
    <w:name w:val="citation-19699"/>
    <w:basedOn w:val="DefaultParagraphFont"/>
    <w:rsid w:val="00C166B6"/>
  </w:style>
  <w:style w:type="character" w:customStyle="1" w:styleId="citation-19698">
    <w:name w:val="citation-19698"/>
    <w:basedOn w:val="DefaultParagraphFont"/>
    <w:rsid w:val="00C166B6"/>
  </w:style>
  <w:style w:type="character" w:customStyle="1" w:styleId="citation-19697">
    <w:name w:val="citation-19697"/>
    <w:basedOn w:val="DefaultParagraphFont"/>
    <w:rsid w:val="00C166B6"/>
  </w:style>
  <w:style w:type="character" w:customStyle="1" w:styleId="citation-19696">
    <w:name w:val="citation-19696"/>
    <w:basedOn w:val="DefaultParagraphFont"/>
    <w:rsid w:val="00C166B6"/>
  </w:style>
  <w:style w:type="character" w:customStyle="1" w:styleId="citation-19695">
    <w:name w:val="citation-19695"/>
    <w:basedOn w:val="DefaultParagraphFont"/>
    <w:rsid w:val="00C166B6"/>
  </w:style>
  <w:style w:type="character" w:customStyle="1" w:styleId="citation-19694">
    <w:name w:val="citation-19694"/>
    <w:basedOn w:val="DefaultParagraphFont"/>
    <w:rsid w:val="00C166B6"/>
  </w:style>
  <w:style w:type="character" w:customStyle="1" w:styleId="citation-19693">
    <w:name w:val="citation-19693"/>
    <w:basedOn w:val="DefaultParagraphFont"/>
    <w:rsid w:val="00C166B6"/>
  </w:style>
  <w:style w:type="character" w:customStyle="1" w:styleId="citation-19692">
    <w:name w:val="citation-19692"/>
    <w:basedOn w:val="DefaultParagraphFont"/>
    <w:rsid w:val="00C166B6"/>
  </w:style>
  <w:style w:type="character" w:customStyle="1" w:styleId="citation-19691">
    <w:name w:val="citation-19691"/>
    <w:basedOn w:val="DefaultParagraphFont"/>
    <w:rsid w:val="00C166B6"/>
  </w:style>
  <w:style w:type="character" w:customStyle="1" w:styleId="citation-19690">
    <w:name w:val="citation-19690"/>
    <w:basedOn w:val="DefaultParagraphFont"/>
    <w:rsid w:val="00C166B6"/>
  </w:style>
  <w:style w:type="character" w:customStyle="1" w:styleId="citation-19689">
    <w:name w:val="citation-19689"/>
    <w:basedOn w:val="DefaultParagraphFont"/>
    <w:rsid w:val="00C166B6"/>
  </w:style>
  <w:style w:type="character" w:customStyle="1" w:styleId="citation-19688">
    <w:name w:val="citation-19688"/>
    <w:basedOn w:val="DefaultParagraphFont"/>
    <w:rsid w:val="00C166B6"/>
  </w:style>
  <w:style w:type="character" w:customStyle="1" w:styleId="citation-19687">
    <w:name w:val="citation-19687"/>
    <w:basedOn w:val="DefaultParagraphFont"/>
    <w:rsid w:val="00C166B6"/>
  </w:style>
  <w:style w:type="character" w:customStyle="1" w:styleId="citation-19686">
    <w:name w:val="citation-19686"/>
    <w:basedOn w:val="DefaultParagraphFont"/>
    <w:rsid w:val="00C166B6"/>
  </w:style>
  <w:style w:type="character" w:customStyle="1" w:styleId="citation-19685">
    <w:name w:val="citation-19685"/>
    <w:basedOn w:val="DefaultParagraphFont"/>
    <w:rsid w:val="00C166B6"/>
  </w:style>
  <w:style w:type="character" w:customStyle="1" w:styleId="citation-19684">
    <w:name w:val="citation-19684"/>
    <w:basedOn w:val="DefaultParagraphFont"/>
    <w:rsid w:val="00C166B6"/>
  </w:style>
  <w:style w:type="character" w:customStyle="1" w:styleId="citation-19683">
    <w:name w:val="citation-19683"/>
    <w:basedOn w:val="DefaultParagraphFont"/>
    <w:rsid w:val="00C166B6"/>
  </w:style>
  <w:style w:type="character" w:customStyle="1" w:styleId="citation-19682">
    <w:name w:val="citation-19682"/>
    <w:basedOn w:val="DefaultParagraphFont"/>
    <w:rsid w:val="00C166B6"/>
  </w:style>
  <w:style w:type="character" w:customStyle="1" w:styleId="citation-19681">
    <w:name w:val="citation-19681"/>
    <w:basedOn w:val="DefaultParagraphFont"/>
    <w:rsid w:val="00C166B6"/>
  </w:style>
  <w:style w:type="character" w:customStyle="1" w:styleId="citation-19680">
    <w:name w:val="citation-19680"/>
    <w:basedOn w:val="DefaultParagraphFont"/>
    <w:rsid w:val="00C166B6"/>
  </w:style>
  <w:style w:type="character" w:customStyle="1" w:styleId="citation-19679">
    <w:name w:val="citation-19679"/>
    <w:basedOn w:val="DefaultParagraphFont"/>
    <w:rsid w:val="00C166B6"/>
  </w:style>
  <w:style w:type="paragraph" w:customStyle="1" w:styleId="first-token">
    <w:name w:val="first-token"/>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nimating">
    <w:name w:val="animating"/>
    <w:basedOn w:val="DefaultParagraphFont"/>
    <w:rsid w:val="00C166B6"/>
  </w:style>
  <w:style w:type="character" w:customStyle="1" w:styleId="aydlc">
    <w:name w:val="aydlc"/>
    <w:basedOn w:val="DefaultParagraphFont"/>
    <w:rsid w:val="00C166B6"/>
  </w:style>
  <w:style w:type="character" w:customStyle="1" w:styleId="up62d">
    <w:name w:val="up62d"/>
    <w:basedOn w:val="DefaultParagraphFont"/>
    <w:rsid w:val="00C166B6"/>
  </w:style>
  <w:style w:type="paragraph" w:customStyle="1" w:styleId="gds-body-s">
    <w:name w:val="gds-body-s"/>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link-content">
    <w:name w:val="link-content"/>
    <w:basedOn w:val="DefaultParagraphFont"/>
    <w:rsid w:val="00C166B6"/>
  </w:style>
  <w:style w:type="character" w:customStyle="1" w:styleId="cdk-visually-hidden">
    <w:name w:val="cdk-visually-hidden"/>
    <w:basedOn w:val="DefaultParagraphFont"/>
    <w:rsid w:val="00C166B6"/>
  </w:style>
  <w:style w:type="character" w:customStyle="1" w:styleId="tskut">
    <w:name w:val="tskut"/>
    <w:basedOn w:val="DefaultParagraphFont"/>
    <w:rsid w:val="00C166B6"/>
  </w:style>
  <w:style w:type="character" w:customStyle="1" w:styleId="fcnmv">
    <w:name w:val="fcnmv"/>
    <w:basedOn w:val="DefaultParagraphFont"/>
    <w:rsid w:val="00C166B6"/>
  </w:style>
  <w:style w:type="character" w:styleId="UnresolvedMention">
    <w:name w:val="Unresolved Mention"/>
    <w:basedOn w:val="DefaultParagraphFont"/>
    <w:uiPriority w:val="99"/>
    <w:semiHidden/>
    <w:unhideWhenUsed/>
    <w:rsid w:val="00C166B6"/>
    <w:rPr>
      <w:color w:val="605E5C"/>
      <w:shd w:val="clear" w:color="auto" w:fill="E1DFDD"/>
    </w:rPr>
  </w:style>
  <w:style w:type="paragraph" w:styleId="ListBullet">
    <w:name w:val="List Bullet"/>
    <w:basedOn w:val="Normal"/>
    <w:uiPriority w:val="99"/>
    <w:unhideWhenUsed/>
    <w:rsid w:val="00A304F0"/>
    <w:pPr>
      <w:numPr>
        <w:numId w:val="1"/>
      </w:numPr>
      <w:tabs>
        <w:tab w:val="clear" w:pos="360"/>
      </w:tabs>
      <w:ind w:left="0" w:firstLine="0"/>
      <w:contextualSpacing/>
    </w:pPr>
  </w:style>
  <w:style w:type="character" w:styleId="PlaceholderText">
    <w:name w:val="Placeholder Text"/>
    <w:basedOn w:val="DefaultParagraphFont"/>
    <w:uiPriority w:val="99"/>
    <w:semiHidden/>
    <w:rsid w:val="002213EC"/>
    <w:rPr>
      <w:color w:val="666666"/>
    </w:rPr>
  </w:style>
  <w:style w:type="paragraph" w:styleId="NoSpacing">
    <w:name w:val="No Spacing"/>
    <w:uiPriority w:val="1"/>
    <w:qFormat/>
    <w:rsid w:val="0015441C"/>
    <w:pPr>
      <w:spacing w:after="0" w:line="240" w:lineRule="auto"/>
    </w:pPr>
    <w:rPr>
      <w:rFonts w:ascii="Calibri" w:eastAsiaTheme="minorEastAsia" w:hAnsi="Calibri"/>
      <w:color w:val="333333"/>
      <w:kern w:val="0"/>
      <w:lang w:val="en-US"/>
      <w14:ligatures w14:val="none"/>
    </w:rPr>
  </w:style>
  <w:style w:type="paragraph" w:styleId="Header">
    <w:name w:val="header"/>
    <w:basedOn w:val="Normal"/>
    <w:link w:val="HeaderChar"/>
    <w:uiPriority w:val="99"/>
    <w:unhideWhenUsed/>
    <w:rsid w:val="00685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6D3"/>
    <w:rPr>
      <w:rFonts w:ascii="Calibri" w:eastAsiaTheme="minorEastAsia" w:hAnsi="Calibri"/>
      <w:color w:val="333333"/>
      <w:kern w:val="0"/>
      <w:lang w:val="en-US"/>
      <w14:ligatures w14:val="none"/>
    </w:rPr>
  </w:style>
  <w:style w:type="paragraph" w:styleId="Footer">
    <w:name w:val="footer"/>
    <w:basedOn w:val="Normal"/>
    <w:link w:val="FooterChar"/>
    <w:uiPriority w:val="99"/>
    <w:unhideWhenUsed/>
    <w:rsid w:val="00685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6D3"/>
    <w:rPr>
      <w:rFonts w:ascii="Calibri" w:eastAsiaTheme="minorEastAsia" w:hAnsi="Calibri"/>
      <w:color w:val="333333"/>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2215</TotalTime>
  <Pages>18</Pages>
  <Words>12967</Words>
  <Characters>73915</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Parmita Saha</dc:creator>
  <cp:keywords/>
  <dc:description/>
  <cp:lastModifiedBy>Parmita Saha</cp:lastModifiedBy>
  <cp:revision>1227</cp:revision>
  <dcterms:created xsi:type="dcterms:W3CDTF">2026-06-06T23:10:00Z</dcterms:created>
  <dcterms:modified xsi:type="dcterms:W3CDTF">2026-07-26T03:11:00Z</dcterms:modified>
</cp:coreProperties>
</file>