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726FDC10" w14:textId="6053A40E" w:rsidR="00C50C1B" w:rsidRDefault="00C50C1B" w:rsidP="00C50C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CC34B7">
              <w:rPr>
                <w:rFonts w:ascii="Times New Roman" w:hAnsi="Times New Roman" w:cs="Times New Roman"/>
                <w:b/>
                <w:color w:val="auto"/>
                <w:sz w:val="48"/>
              </w:rPr>
              <w:t>Sinead Jones</w:t>
            </w:r>
          </w:p>
          <w:p w14:paraId="485A4401" w14:textId="77777777" w:rsidR="00C50C1B" w:rsidRDefault="00C50C1B" w:rsidP="00C50C1B">
            <w:pPr>
              <w:overflowPunct/>
              <w:autoSpaceDE/>
              <w:autoSpaceDN/>
              <w:adjustRightInd/>
              <w:ind w:right="-957"/>
              <w:textAlignment w:val="auto"/>
              <w:rPr>
                <w:rFonts w:ascii="Times New Roman" w:hAnsi="Times New Roman" w:cs="Times New Roman"/>
                <w:b/>
                <w:color w:val="auto"/>
                <w:sz w:val="48"/>
              </w:rPr>
            </w:pPr>
          </w:p>
          <w:p w14:paraId="49EFAD4F" w14:textId="63EF71C6" w:rsidR="00C50C1B" w:rsidRDefault="00C50C1B" w:rsidP="00C50C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r w:rsidR="00CC34B7">
              <w:rPr>
                <w:rFonts w:ascii="Times New Roman" w:hAnsi="Times New Roman" w:cs="Times New Roman"/>
                <w:b/>
                <w:color w:val="auto"/>
                <w:sz w:val="48"/>
              </w:rPr>
              <w:t>2116719@student.uwtsd.ac.uk</w:t>
            </w:r>
          </w:p>
          <w:p w14:paraId="0AD88C77" w14:textId="39C22337" w:rsidR="00C50C1B" w:rsidRDefault="00C50C1B" w:rsidP="00C50C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Personal: </w:t>
            </w:r>
            <w:r w:rsidR="00CC34B7">
              <w:rPr>
                <w:rFonts w:ascii="Times New Roman" w:hAnsi="Times New Roman" w:cs="Times New Roman"/>
                <w:b/>
                <w:color w:val="auto"/>
                <w:sz w:val="48"/>
              </w:rPr>
              <w:t>taniajones24@icloud.com</w:t>
            </w:r>
          </w:p>
          <w:p w14:paraId="30915FC3" w14:textId="77777777" w:rsidR="00C50C1B" w:rsidRDefault="00C50C1B" w:rsidP="00C50C1B">
            <w:pPr>
              <w:overflowPunct/>
              <w:autoSpaceDE/>
              <w:autoSpaceDN/>
              <w:adjustRightInd/>
              <w:ind w:right="-957"/>
              <w:textAlignment w:val="auto"/>
              <w:rPr>
                <w:rFonts w:ascii="Times New Roman" w:hAnsi="Times New Roman" w:cs="Times New Roman"/>
                <w:b/>
                <w:color w:val="auto"/>
                <w:sz w:val="48"/>
              </w:rPr>
            </w:pPr>
          </w:p>
          <w:p w14:paraId="54138DF6" w14:textId="77777777" w:rsidR="00C50C1B" w:rsidRDefault="00C50C1B" w:rsidP="00C50C1B">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0D39F335" w14:textId="29A99F25" w:rsidR="00C50C1B" w:rsidRPr="005D3F07" w:rsidRDefault="00CC34B7" w:rsidP="00C50C1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2116719</w:t>
            </w:r>
          </w:p>
          <w:p w14:paraId="0333EDC2" w14:textId="77777777" w:rsidR="00C50C1B" w:rsidRPr="005D3F07" w:rsidRDefault="00C50C1B" w:rsidP="00C50C1B">
            <w:pPr>
              <w:overflowPunct/>
              <w:autoSpaceDE/>
              <w:autoSpaceDN/>
              <w:adjustRightInd/>
              <w:ind w:right="-957"/>
              <w:textAlignment w:val="auto"/>
              <w:rPr>
                <w:rFonts w:ascii="Times New Roman" w:hAnsi="Times New Roman" w:cs="Times New Roman"/>
                <w:b/>
                <w:color w:val="auto"/>
                <w:sz w:val="48"/>
              </w:rPr>
            </w:pPr>
          </w:p>
          <w:p w14:paraId="5F84129B" w14:textId="7A34D31C" w:rsidR="0085230E" w:rsidRPr="005D3F07" w:rsidRDefault="00C50C1B" w:rsidP="00C50C1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0A2F26DD" w:rsidR="007F312E" w:rsidRPr="009F114F" w:rsidRDefault="007F312E" w:rsidP="009F114F">
      <w:pPr>
        <w:rPr>
          <w:b/>
          <w:sz w:val="24"/>
          <w:szCs w:val="24"/>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F114F" w:rsidRPr="008B28E7" w14:paraId="1BACBFB6" w14:textId="77777777" w:rsidTr="00FE6F35">
        <w:tc>
          <w:tcPr>
            <w:tcW w:w="10188" w:type="dxa"/>
            <w:shd w:val="clear" w:color="auto" w:fill="auto"/>
          </w:tcPr>
          <w:p w14:paraId="3E451803" w14:textId="77777777" w:rsidR="009F114F" w:rsidRPr="00EB695F" w:rsidRDefault="009F114F" w:rsidP="00FE6F35">
            <w:pPr>
              <w:jc w:val="both"/>
              <w:rPr>
                <w:b/>
                <w:sz w:val="24"/>
                <w:szCs w:val="24"/>
              </w:rPr>
            </w:pPr>
            <w:r w:rsidRPr="00EB695F">
              <w:rPr>
                <w:b/>
                <w:sz w:val="24"/>
                <w:szCs w:val="24"/>
              </w:rPr>
              <w:t>Question</w:t>
            </w:r>
            <w:r>
              <w:rPr>
                <w:b/>
                <w:sz w:val="24"/>
                <w:szCs w:val="24"/>
              </w:rPr>
              <w:t xml:space="preserve"> a:</w:t>
            </w:r>
          </w:p>
          <w:p w14:paraId="7BB6F3FE" w14:textId="77777777" w:rsidR="009F114F" w:rsidRDefault="009F114F" w:rsidP="00FE6F35">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14:paraId="34BB4D5D" w14:textId="77777777" w:rsidR="009F114F" w:rsidRDefault="009F114F" w:rsidP="00FE6F35">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093A674" w14:textId="77777777" w:rsidR="009F114F" w:rsidRDefault="009F114F" w:rsidP="00FE6F35">
            <w:pPr>
              <w:jc w:val="both"/>
              <w:rPr>
                <w:sz w:val="24"/>
                <w:szCs w:val="24"/>
              </w:rPr>
            </w:pPr>
          </w:p>
          <w:p w14:paraId="0D5824B9" w14:textId="77777777" w:rsidR="00500156" w:rsidRPr="00500156" w:rsidRDefault="00500156" w:rsidP="00500156">
            <w:pPr>
              <w:spacing w:line="360" w:lineRule="auto"/>
              <w:rPr>
                <w:sz w:val="24"/>
                <w:szCs w:val="24"/>
              </w:rPr>
            </w:pPr>
            <w:r w:rsidRPr="00500156">
              <w:rPr>
                <w:sz w:val="24"/>
                <w:szCs w:val="24"/>
              </w:rPr>
              <w:t>As a child protection social worker, it is vital that I stay informed and updated on relevant safeguarding policies and procedures for adult safeguarding. Having access to the Wales Safeguarding Procedures (2019) on my phone, as well as the local authority’s (LA) Adults at Risk threshold document, helps guide decision-making processes for adults who may be at risk and require support. These resources ensure that I follow the correct procedures and make informed decisions when dealing with vulnerable adults.</w:t>
            </w:r>
          </w:p>
          <w:p w14:paraId="09858CD3" w14:textId="77777777" w:rsidR="00500156" w:rsidRPr="00500156" w:rsidRDefault="00500156" w:rsidP="00500156">
            <w:pPr>
              <w:spacing w:line="360" w:lineRule="auto"/>
              <w:rPr>
                <w:sz w:val="24"/>
                <w:szCs w:val="24"/>
              </w:rPr>
            </w:pPr>
          </w:p>
          <w:p w14:paraId="6378364B" w14:textId="77777777" w:rsidR="00500156" w:rsidRPr="00500156" w:rsidRDefault="00500156" w:rsidP="00500156">
            <w:pPr>
              <w:spacing w:line="360" w:lineRule="auto"/>
              <w:rPr>
                <w:sz w:val="24"/>
                <w:szCs w:val="24"/>
              </w:rPr>
            </w:pPr>
            <w:r w:rsidRPr="00500156">
              <w:rPr>
                <w:sz w:val="24"/>
                <w:szCs w:val="24"/>
              </w:rPr>
              <w:t>The Social Services and Well-being (Wales) Act 2014 (SSWBA14), which came into effect in April 2016, places a duty on Social Services to make inquiries under Section 126 of the Act if they receive a report that reasonably suggests an adult within their jurisdiction is at risk. According to the SSWBA14, inquiries must be initiated within seven days if the situation requires immediate attention. If not, inquiries should still be timely but not rushed, with appropriate timescales set to ensure proper investigation (Safeguarding.Wales, 2024).</w:t>
            </w:r>
          </w:p>
          <w:p w14:paraId="15C7CB91" w14:textId="77777777" w:rsidR="00500156" w:rsidRPr="00500156" w:rsidRDefault="00500156" w:rsidP="00500156">
            <w:pPr>
              <w:spacing w:line="360" w:lineRule="auto"/>
              <w:rPr>
                <w:sz w:val="24"/>
                <w:szCs w:val="24"/>
              </w:rPr>
            </w:pPr>
          </w:p>
          <w:p w14:paraId="2CD937DE" w14:textId="77777777" w:rsidR="00500156" w:rsidRPr="00500156" w:rsidRDefault="00500156" w:rsidP="00500156">
            <w:pPr>
              <w:spacing w:line="360" w:lineRule="auto"/>
              <w:rPr>
                <w:sz w:val="24"/>
                <w:szCs w:val="24"/>
              </w:rPr>
            </w:pPr>
            <w:r w:rsidRPr="00500156">
              <w:rPr>
                <w:sz w:val="24"/>
                <w:szCs w:val="24"/>
              </w:rPr>
              <w:t xml:space="preserve">Section 134 of the SSWBA14 requires the establishment of Regional Safeguarding Boards, placing adult safeguarding on a statutory footing similar to that of child protection (XX Safeguarding Board, 2024). The boards’ primary objective is to safeguard adults at risk. The Act defines an adult at risk as an individual who has care and support needs, whether or not </w:t>
            </w:r>
            <w:r w:rsidRPr="00500156">
              <w:rPr>
                <w:sz w:val="24"/>
                <w:szCs w:val="24"/>
              </w:rPr>
              <w:lastRenderedPageBreak/>
              <w:t>these are currently being met by the LA, and who is experiencing or is at risk of abuse or neglect. The purpose of the board is to prevent adults within its jurisdiction from becoming at risk of abuse or neglect and to intervene when necessary (XX Safeguarding Board, 2024).</w:t>
            </w:r>
          </w:p>
          <w:p w14:paraId="24411059" w14:textId="77777777" w:rsidR="00500156" w:rsidRPr="00500156" w:rsidRDefault="00500156" w:rsidP="00500156">
            <w:pPr>
              <w:spacing w:line="360" w:lineRule="auto"/>
              <w:rPr>
                <w:sz w:val="24"/>
                <w:szCs w:val="24"/>
              </w:rPr>
            </w:pPr>
          </w:p>
          <w:p w14:paraId="6F1CF1DB" w14:textId="04F647F1" w:rsidR="00500156" w:rsidRPr="00500156" w:rsidRDefault="00500156" w:rsidP="00500156">
            <w:pPr>
              <w:spacing w:line="360" w:lineRule="auto"/>
              <w:rPr>
                <w:sz w:val="24"/>
                <w:szCs w:val="24"/>
              </w:rPr>
            </w:pPr>
            <w:r w:rsidRPr="00500156">
              <w:rPr>
                <w:sz w:val="24"/>
                <w:szCs w:val="24"/>
              </w:rPr>
              <w:t>The Code of Practice for Part 7 of the SSWBA14 emphasises that safeguarding is everyone’s responsibility. By adhering to this code, professionals demonstrate that they are taking reasonable steps to ensure the safety of vulnerable adults and children. Section 131 of the SSWBA14 requires local authorities and relevant partners—such as the police, probation services, local health boards, NHS, and Welsh Ministers—to adopt a multi-agency approach when exercising their functions under Sections 126 to 128 and Section 130 of the Act. They must also consider the guidance provided in Working Together to Safeguard People: Volume 6 – Handling Individual Cases to Protect Adults at Risk, which sets clear expectations for agencies and professionals involved in safeguarding (Welsh Government, 2024).</w:t>
            </w:r>
            <w:r w:rsidR="00EF4894">
              <w:rPr>
                <w:sz w:val="24"/>
                <w:szCs w:val="24"/>
              </w:rPr>
              <w:t xml:space="preserve"> </w:t>
            </w:r>
          </w:p>
          <w:p w14:paraId="4477625C" w14:textId="77777777" w:rsidR="00500156" w:rsidRPr="00500156" w:rsidRDefault="00500156" w:rsidP="00500156">
            <w:pPr>
              <w:spacing w:line="360" w:lineRule="auto"/>
              <w:rPr>
                <w:sz w:val="24"/>
                <w:szCs w:val="24"/>
              </w:rPr>
            </w:pPr>
          </w:p>
          <w:p w14:paraId="33052A61" w14:textId="77777777" w:rsidR="00500156" w:rsidRPr="00500156" w:rsidRDefault="00500156" w:rsidP="00500156">
            <w:pPr>
              <w:spacing w:line="360" w:lineRule="auto"/>
              <w:rPr>
                <w:sz w:val="24"/>
                <w:szCs w:val="24"/>
              </w:rPr>
            </w:pPr>
            <w:r w:rsidRPr="00500156">
              <w:rPr>
                <w:sz w:val="24"/>
                <w:szCs w:val="24"/>
              </w:rPr>
              <w:t>Furthermore, Section 126 of the SSWBA14 states that if a local authority suspects an adult is at risk, it must make the necessary inquiries to determine what steps should be taken under the Adult Protection and Support Orders outlined in Section 127 of the Act. Additionally, the “Active Offer” must be extended to all individuals, ensuring that Welsh-speaking individuals are offered services in their preferred language without having to request it (Safeguarding.Wales, 2024).</w:t>
            </w:r>
          </w:p>
          <w:p w14:paraId="6837A59A" w14:textId="77777777" w:rsidR="00500156" w:rsidRPr="00500156" w:rsidRDefault="00500156" w:rsidP="00500156">
            <w:pPr>
              <w:spacing w:line="360" w:lineRule="auto"/>
              <w:rPr>
                <w:sz w:val="24"/>
                <w:szCs w:val="24"/>
              </w:rPr>
            </w:pPr>
          </w:p>
          <w:p w14:paraId="39D8E108" w14:textId="77777777" w:rsidR="00500156" w:rsidRPr="00500156" w:rsidRDefault="00500156" w:rsidP="00500156">
            <w:pPr>
              <w:spacing w:line="360" w:lineRule="auto"/>
              <w:rPr>
                <w:sz w:val="24"/>
                <w:szCs w:val="24"/>
              </w:rPr>
            </w:pPr>
            <w:r w:rsidRPr="00500156">
              <w:rPr>
                <w:sz w:val="24"/>
                <w:szCs w:val="24"/>
              </w:rPr>
              <w:t>Other key legislation relevant to adult safeguarding includes the Domestic Abuse (Violence against Women, Domestic Abuse and Sexual Violence (Wales) Act 2015, the Modern Slavery Act 2015, the Mental Capacity Act 2005, the Data Protection Act 1998, and the Human Rights Act 1998. The Human Rights Act, in particular, plays a critical role in safeguarding, with Article 2 (right to life), Article 3 (freedom from degrading and inhumane treatment), and Article 5 (right to liberty and security) all being relevant to adult protection (AGE Cymru, 2022).</w:t>
            </w:r>
          </w:p>
          <w:p w14:paraId="503DD2D0" w14:textId="77777777" w:rsidR="00500156" w:rsidRPr="00500156" w:rsidRDefault="00500156" w:rsidP="00500156">
            <w:pPr>
              <w:rPr>
                <w:b/>
                <w:sz w:val="24"/>
                <w:szCs w:val="24"/>
              </w:rPr>
            </w:pPr>
          </w:p>
          <w:p w14:paraId="6ECD4668" w14:textId="12D666C1" w:rsidR="00500156" w:rsidRPr="00500156" w:rsidRDefault="00876A3F" w:rsidP="00500156">
            <w:pPr>
              <w:rPr>
                <w:b/>
                <w:sz w:val="24"/>
                <w:szCs w:val="24"/>
                <w:u w:val="single"/>
              </w:rPr>
            </w:pPr>
            <w:r>
              <w:rPr>
                <w:b/>
                <w:sz w:val="24"/>
                <w:szCs w:val="24"/>
                <w:u w:val="single"/>
              </w:rPr>
              <w:t>Word Count: 548</w:t>
            </w:r>
          </w:p>
          <w:p w14:paraId="5413039C" w14:textId="77777777" w:rsidR="00500156" w:rsidRPr="00500156" w:rsidRDefault="00500156" w:rsidP="00500156">
            <w:pPr>
              <w:rPr>
                <w:b/>
                <w:sz w:val="24"/>
                <w:szCs w:val="24"/>
              </w:rPr>
            </w:pPr>
          </w:p>
          <w:p w14:paraId="205D6806" w14:textId="77777777" w:rsidR="00500156" w:rsidRPr="00500156" w:rsidRDefault="00500156" w:rsidP="00500156">
            <w:pPr>
              <w:rPr>
                <w:b/>
                <w:sz w:val="24"/>
                <w:szCs w:val="24"/>
              </w:rPr>
            </w:pPr>
          </w:p>
          <w:p w14:paraId="69487491" w14:textId="75CFA91A" w:rsidR="009F114F" w:rsidRPr="008B28E7" w:rsidRDefault="009F114F" w:rsidP="00500156">
            <w:pPr>
              <w:rPr>
                <w:b/>
                <w:sz w:val="24"/>
                <w:szCs w:val="24"/>
              </w:rPr>
            </w:pPr>
          </w:p>
        </w:tc>
      </w:tr>
    </w:tbl>
    <w:p w14:paraId="4D436536" w14:textId="77777777" w:rsidR="009F114F" w:rsidRPr="008B28E7" w:rsidRDefault="009F114F" w:rsidP="009F114F">
      <w:pPr>
        <w:jc w:val="both"/>
        <w:rPr>
          <w:sz w:val="24"/>
          <w:szCs w:val="24"/>
        </w:rPr>
      </w:pPr>
    </w:p>
    <w:p w14:paraId="2D8E9605" w14:textId="77777777" w:rsidR="009F114F" w:rsidRPr="008B28E7" w:rsidRDefault="009F114F" w:rsidP="009F114F">
      <w:pPr>
        <w:jc w:val="both"/>
        <w:rPr>
          <w:sz w:val="24"/>
          <w:szCs w:val="24"/>
        </w:rPr>
      </w:pPr>
    </w:p>
    <w:p w14:paraId="521E09A5" w14:textId="77777777" w:rsidR="009F114F" w:rsidRDefault="009F114F" w:rsidP="009F114F">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9F114F" w:rsidRPr="008B28E7" w14:paraId="18C2FEE3" w14:textId="77777777" w:rsidTr="00FE6F35">
        <w:tc>
          <w:tcPr>
            <w:tcW w:w="10278" w:type="dxa"/>
            <w:shd w:val="clear" w:color="auto" w:fill="auto"/>
          </w:tcPr>
          <w:p w14:paraId="6564D1E3" w14:textId="77777777" w:rsidR="009F114F" w:rsidRPr="00EB695F" w:rsidRDefault="009F114F" w:rsidP="00FE6F35">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67D4CE39" w14:textId="77777777" w:rsidR="009F114F" w:rsidRDefault="009F114F" w:rsidP="00FE6F35">
            <w:pPr>
              <w:jc w:val="both"/>
              <w:rPr>
                <w:sz w:val="24"/>
                <w:szCs w:val="24"/>
              </w:rPr>
            </w:pPr>
            <w:r w:rsidRPr="006108C9">
              <w:rPr>
                <w:sz w:val="24"/>
                <w:szCs w:val="24"/>
              </w:rPr>
              <w:t>Reflect on the difference between safeguarding in adul</w:t>
            </w:r>
            <w:r w:rsidRPr="00EC3A85">
              <w:rPr>
                <w:sz w:val="24"/>
                <w:szCs w:val="24"/>
              </w:rPr>
              <w:t>ts’</w:t>
            </w:r>
            <w:r w:rsidRPr="006108C9">
              <w:rPr>
                <w:sz w:val="24"/>
                <w:szCs w:val="24"/>
              </w:rPr>
              <w:t xml:space="preserve"> and children</w:t>
            </w:r>
            <w:r>
              <w:rPr>
                <w:sz w:val="24"/>
                <w:szCs w:val="24"/>
              </w:rPr>
              <w:t>’s</w:t>
            </w:r>
            <w:r w:rsidRPr="006108C9">
              <w:rPr>
                <w:sz w:val="24"/>
                <w:szCs w:val="24"/>
              </w:rPr>
              <w:t xml:space="preserve"> work</w:t>
            </w:r>
          </w:p>
          <w:p w14:paraId="69F85BF6" w14:textId="77777777" w:rsidR="009F114F" w:rsidRDefault="009F114F" w:rsidP="00FE6F35">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7ECE4D9" w14:textId="77777777" w:rsidR="009F114F" w:rsidRDefault="009F114F" w:rsidP="00FE6F35">
            <w:pPr>
              <w:jc w:val="both"/>
              <w:rPr>
                <w:sz w:val="24"/>
                <w:szCs w:val="24"/>
              </w:rPr>
            </w:pPr>
          </w:p>
          <w:p w14:paraId="02BCC4DD" w14:textId="77777777" w:rsidR="00500156" w:rsidRPr="00500156" w:rsidRDefault="00500156" w:rsidP="00500156">
            <w:pPr>
              <w:spacing w:line="360" w:lineRule="auto"/>
              <w:jc w:val="both"/>
              <w:rPr>
                <w:sz w:val="24"/>
                <w:szCs w:val="24"/>
              </w:rPr>
            </w:pPr>
            <w:r w:rsidRPr="00500156">
              <w:rPr>
                <w:sz w:val="24"/>
                <w:szCs w:val="24"/>
              </w:rPr>
              <w:t>Safeguarding in adult and children’s social work involves protecting individuals from harm, abuse, and neglect, but there are significant differences in how these two groups are safeguarded due to varying legal frameworks, developmental needs, and approaches to autonomy and consent.</w:t>
            </w:r>
          </w:p>
          <w:p w14:paraId="1ED8F342" w14:textId="77777777" w:rsidR="00500156" w:rsidRPr="00500156" w:rsidRDefault="00500156" w:rsidP="00500156">
            <w:pPr>
              <w:spacing w:line="360" w:lineRule="auto"/>
              <w:jc w:val="both"/>
              <w:rPr>
                <w:sz w:val="24"/>
                <w:szCs w:val="24"/>
              </w:rPr>
            </w:pPr>
          </w:p>
          <w:p w14:paraId="03F8DB76" w14:textId="77777777" w:rsidR="00500156" w:rsidRPr="00500156" w:rsidRDefault="00500156" w:rsidP="00500156">
            <w:pPr>
              <w:spacing w:line="360" w:lineRule="auto"/>
              <w:jc w:val="both"/>
              <w:rPr>
                <w:sz w:val="24"/>
                <w:szCs w:val="24"/>
              </w:rPr>
            </w:pPr>
            <w:r w:rsidRPr="00500156">
              <w:rPr>
                <w:sz w:val="24"/>
                <w:szCs w:val="24"/>
              </w:rPr>
              <w:t>In children’s safeguarding, the focus is on protecting vulnerable individuals who are generally considered to be unable to protect themselves due to their age and developmental stage. The Children Act 1989 and 2004 are key pieces of legislation that outline the duties of local authorities and professionals to safeguard and promote the welfare of children. Under this framework, children are seen as dependent on adults, with safeguarding measures prioritising immediate intervention to protect them from harm (Department for Education, 2018). In practice, social workers often act in a parental capacity, making decisions that are deemed to be in the best interests of the child, often with little or no consent from the child themselves due to their limited capacity to make informed decisions.</w:t>
            </w:r>
          </w:p>
          <w:p w14:paraId="7D07F5FC" w14:textId="77777777" w:rsidR="00500156" w:rsidRPr="00500156" w:rsidRDefault="00500156" w:rsidP="00500156">
            <w:pPr>
              <w:spacing w:line="360" w:lineRule="auto"/>
              <w:jc w:val="both"/>
              <w:rPr>
                <w:sz w:val="24"/>
                <w:szCs w:val="24"/>
              </w:rPr>
            </w:pPr>
          </w:p>
          <w:p w14:paraId="3574C6A0" w14:textId="65F35F4A" w:rsidR="00500156" w:rsidRPr="00500156" w:rsidRDefault="00500156" w:rsidP="00500156">
            <w:pPr>
              <w:spacing w:line="360" w:lineRule="auto"/>
              <w:jc w:val="both"/>
              <w:rPr>
                <w:sz w:val="24"/>
                <w:szCs w:val="24"/>
              </w:rPr>
            </w:pPr>
            <w:r w:rsidRPr="00500156">
              <w:rPr>
                <w:sz w:val="24"/>
                <w:szCs w:val="24"/>
              </w:rPr>
              <w:t>Conversely, safeguarding adults operates within a more complex framework due to the recognition of adult autonomy and the principle</w:t>
            </w:r>
            <w:r w:rsidR="00C66328">
              <w:rPr>
                <w:sz w:val="24"/>
                <w:szCs w:val="24"/>
              </w:rPr>
              <w:t>s outlined in</w:t>
            </w:r>
            <w:r w:rsidRPr="00500156">
              <w:rPr>
                <w:sz w:val="24"/>
                <w:szCs w:val="24"/>
              </w:rPr>
              <w:t xml:space="preserve"> the Social Services and Well-being (Wales) Act 2014. </w:t>
            </w:r>
            <w:r w:rsidR="00EA33FE">
              <w:rPr>
                <w:sz w:val="24"/>
                <w:szCs w:val="24"/>
              </w:rPr>
              <w:t xml:space="preserve">Under the Mental Capacity Act 2005, adults are presumed to have capacity to make decisions, even if those decisions seem unwise, unless proven otherwise. The Act respects an individuals rights to autonomy, recognising that poor choices do not automatically indicate a lack of capacity. However, social workers must balance this with safeguarding duties, particularly under the SSWBA </w:t>
            </w:r>
            <w:r w:rsidR="00BE7083">
              <w:rPr>
                <w:sz w:val="24"/>
                <w:szCs w:val="24"/>
              </w:rPr>
              <w:t>2014. If there are concerns about a person’s capacity, an assessment is required, and if capacity is lacking, decisions must be made in their best interests ensuring their rights and welfare are protected.</w:t>
            </w:r>
          </w:p>
          <w:p w14:paraId="5BF4A830" w14:textId="77777777" w:rsidR="00500156" w:rsidRPr="00500156" w:rsidRDefault="00500156" w:rsidP="00500156">
            <w:pPr>
              <w:spacing w:line="360" w:lineRule="auto"/>
              <w:jc w:val="both"/>
              <w:rPr>
                <w:sz w:val="24"/>
                <w:szCs w:val="24"/>
              </w:rPr>
            </w:pPr>
          </w:p>
          <w:p w14:paraId="53E51EE4" w14:textId="77777777" w:rsidR="00500156" w:rsidRPr="00500156" w:rsidRDefault="00500156" w:rsidP="00500156">
            <w:pPr>
              <w:spacing w:line="360" w:lineRule="auto"/>
              <w:jc w:val="both"/>
              <w:rPr>
                <w:sz w:val="24"/>
                <w:szCs w:val="24"/>
              </w:rPr>
            </w:pPr>
            <w:r w:rsidRPr="00500156">
              <w:rPr>
                <w:sz w:val="24"/>
                <w:szCs w:val="24"/>
              </w:rPr>
              <w:lastRenderedPageBreak/>
              <w:t>Another key difference lies in the thresholds for intervention. For children, safeguarding efforts focus on preventing any form of significant harm. In contrast, adult safeguarding often requires proof that the individual is at risk of, or is experiencing, abuse or neglect before interventions can take place (Social Care Wales, 2022). The process of safeguarding adults also often involves working with complex cases involving mental health, substance abuse, and domestic violence, where the individual’s needs and risks must be constantly reassessed.</w:t>
            </w:r>
          </w:p>
          <w:p w14:paraId="17DEE86C" w14:textId="77777777" w:rsidR="00500156" w:rsidRPr="00500156" w:rsidRDefault="00500156" w:rsidP="00500156">
            <w:pPr>
              <w:spacing w:line="360" w:lineRule="auto"/>
              <w:jc w:val="both"/>
              <w:rPr>
                <w:sz w:val="24"/>
                <w:szCs w:val="24"/>
              </w:rPr>
            </w:pPr>
          </w:p>
          <w:p w14:paraId="5D8737AC" w14:textId="77777777" w:rsidR="00500156" w:rsidRPr="00500156" w:rsidRDefault="00500156" w:rsidP="00500156">
            <w:pPr>
              <w:spacing w:line="360" w:lineRule="auto"/>
              <w:jc w:val="both"/>
              <w:rPr>
                <w:sz w:val="24"/>
                <w:szCs w:val="24"/>
              </w:rPr>
            </w:pPr>
            <w:r w:rsidRPr="00500156">
              <w:rPr>
                <w:sz w:val="24"/>
                <w:szCs w:val="24"/>
              </w:rPr>
              <w:t>In conclusion, while both areas of safeguarding aim to protect vulnerable individuals, children’s safeguarding focuses more on protection, while adult safeguarding emphasises autonomy, empowerment, and collaborative decision-making.</w:t>
            </w:r>
          </w:p>
          <w:p w14:paraId="276FA36B" w14:textId="77777777" w:rsidR="00500156" w:rsidRPr="00500156" w:rsidRDefault="00500156" w:rsidP="00500156">
            <w:pPr>
              <w:spacing w:line="276" w:lineRule="auto"/>
              <w:jc w:val="both"/>
              <w:rPr>
                <w:b/>
                <w:sz w:val="24"/>
                <w:szCs w:val="24"/>
                <w:u w:val="single"/>
              </w:rPr>
            </w:pPr>
          </w:p>
          <w:p w14:paraId="00DD02DC" w14:textId="4C32515B" w:rsidR="00500156" w:rsidRPr="00500156" w:rsidRDefault="00BE7083" w:rsidP="00500156">
            <w:pPr>
              <w:spacing w:line="276" w:lineRule="auto"/>
              <w:jc w:val="both"/>
              <w:rPr>
                <w:b/>
                <w:sz w:val="24"/>
                <w:szCs w:val="24"/>
                <w:u w:val="single"/>
              </w:rPr>
            </w:pPr>
            <w:r>
              <w:rPr>
                <w:b/>
                <w:sz w:val="24"/>
                <w:szCs w:val="24"/>
                <w:u w:val="single"/>
              </w:rPr>
              <w:t>Word Count: 389</w:t>
            </w:r>
          </w:p>
          <w:p w14:paraId="39C3743C" w14:textId="77777777" w:rsidR="00500156" w:rsidRPr="00500156" w:rsidRDefault="00500156" w:rsidP="00500156">
            <w:pPr>
              <w:spacing w:line="276" w:lineRule="auto"/>
              <w:jc w:val="both"/>
              <w:rPr>
                <w:b/>
                <w:sz w:val="24"/>
                <w:szCs w:val="24"/>
                <w:u w:val="single"/>
              </w:rPr>
            </w:pPr>
          </w:p>
          <w:p w14:paraId="243D967C" w14:textId="77777777" w:rsidR="00BE7083" w:rsidRDefault="00BE7083" w:rsidP="00500156">
            <w:pPr>
              <w:spacing w:line="276" w:lineRule="auto"/>
              <w:jc w:val="both"/>
              <w:rPr>
                <w:sz w:val="24"/>
                <w:szCs w:val="24"/>
              </w:rPr>
            </w:pPr>
          </w:p>
          <w:p w14:paraId="60AAEFEB" w14:textId="2D51552E" w:rsidR="00BE7083" w:rsidRPr="00510F00" w:rsidRDefault="00BE7083" w:rsidP="00500156">
            <w:pPr>
              <w:spacing w:line="276" w:lineRule="auto"/>
              <w:jc w:val="both"/>
              <w:rPr>
                <w:b/>
                <w:sz w:val="24"/>
                <w:szCs w:val="24"/>
                <w:u w:val="single"/>
              </w:rPr>
            </w:pPr>
          </w:p>
        </w:tc>
      </w:tr>
    </w:tbl>
    <w:p w14:paraId="76FCF233" w14:textId="75DC9543" w:rsidR="00FC0334" w:rsidRDefault="00FC0334" w:rsidP="00FC0334">
      <w:pPr>
        <w:rPr>
          <w:sz w:val="24"/>
          <w:szCs w:val="24"/>
        </w:rPr>
      </w:pPr>
    </w:p>
    <w:bookmarkEnd w:id="0"/>
    <w:p w14:paraId="44E6E1CC" w14:textId="77777777" w:rsidR="00876A3F" w:rsidRDefault="00876A3F">
      <w:pPr>
        <w:rPr>
          <w:sz w:val="24"/>
          <w:szCs w:val="24"/>
        </w:rPr>
      </w:pPr>
    </w:p>
    <w:sectPr w:rsidR="00876A3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48FE25" w14:textId="77777777" w:rsidR="00056EB8" w:rsidRDefault="00056EB8">
      <w:r>
        <w:separator/>
      </w:r>
    </w:p>
  </w:endnote>
  <w:endnote w:type="continuationSeparator" w:id="0">
    <w:p w14:paraId="500C5EB6" w14:textId="77777777" w:rsidR="00056EB8" w:rsidRDefault="00056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9CF6D16" w:rsidR="00A5656A" w:rsidRDefault="00A5656A">
    <w:pPr>
      <w:pStyle w:val="Footer"/>
      <w:jc w:val="right"/>
    </w:pPr>
    <w:r>
      <w:fldChar w:fldCharType="begin"/>
    </w:r>
    <w:r>
      <w:instrText xml:space="preserve"> PAGE   \* MERGEFORMAT </w:instrText>
    </w:r>
    <w:r>
      <w:fldChar w:fldCharType="separate"/>
    </w:r>
    <w:r w:rsidR="00A37650">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33A84D" w14:textId="77777777" w:rsidR="00056EB8" w:rsidRDefault="00056EB8">
      <w:r>
        <w:separator/>
      </w:r>
    </w:p>
  </w:footnote>
  <w:footnote w:type="continuationSeparator" w:id="0">
    <w:p w14:paraId="298442E3" w14:textId="77777777" w:rsidR="00056EB8" w:rsidRDefault="00056E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EB8"/>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5CE"/>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3F3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156"/>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1B3F"/>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6A3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114F"/>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37650"/>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29E"/>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083"/>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0C1B"/>
    <w:rsid w:val="00C54AED"/>
    <w:rsid w:val="00C555FC"/>
    <w:rsid w:val="00C55E9B"/>
    <w:rsid w:val="00C56D09"/>
    <w:rsid w:val="00C57D24"/>
    <w:rsid w:val="00C604D6"/>
    <w:rsid w:val="00C63CAB"/>
    <w:rsid w:val="00C63D00"/>
    <w:rsid w:val="00C6441B"/>
    <w:rsid w:val="00C65921"/>
    <w:rsid w:val="00C66328"/>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4B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3FE"/>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894"/>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B7C31C9-27CE-474F-9B6F-D8751CFCAD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1131</Words>
  <Characters>6451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Sinead Jones</cp:lastModifiedBy>
  <cp:revision>2</cp:revision>
  <cp:lastPrinted>2020-02-11T19:20:00Z</cp:lastPrinted>
  <dcterms:created xsi:type="dcterms:W3CDTF">2024-10-08T09:03:00Z</dcterms:created>
  <dcterms:modified xsi:type="dcterms:W3CDTF">2024-10-08T09:03:00Z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