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31E12F" w14:textId="77777777" w:rsidR="00C35240" w:rsidRDefault="00C35240" w:rsidP="00C35240">
      <w:pPr>
        <w:pStyle w:val="NormalWeb"/>
        <w:spacing w:before="0" w:beforeAutospacing="0" w:after="0" w:afterAutospacing="0"/>
        <w:ind w:left="-180" w:right="-334"/>
      </w:pPr>
      <w:r>
        <w:rPr>
          <w:noProof/>
          <w:lang w:val="en-US" w:eastAsia="en-US"/>
        </w:rPr>
        <w:drawing>
          <wp:inline distT="0" distB="0" distL="0" distR="0" wp14:anchorId="68B9EAAA" wp14:editId="3F6C60E9">
            <wp:extent cx="1819275" cy="729615"/>
            <wp:effectExtent l="0" t="0" r="9525" b="6985"/>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19275" cy="729615"/>
                    </a:xfrm>
                    <a:prstGeom prst="rect">
                      <a:avLst/>
                    </a:prstGeom>
                    <a:noFill/>
                    <a:ln>
                      <a:noFill/>
                    </a:ln>
                  </pic:spPr>
                </pic:pic>
              </a:graphicData>
            </a:graphic>
          </wp:inline>
        </w:drawing>
      </w:r>
    </w:p>
    <w:p w14:paraId="5A98CC06" w14:textId="77777777" w:rsidR="00C35240" w:rsidRDefault="00C35240" w:rsidP="00C35240">
      <w:pPr>
        <w:pStyle w:val="NormalWeb"/>
        <w:spacing w:before="0" w:beforeAutospacing="0" w:after="0" w:afterAutospacing="0"/>
        <w:ind w:left="-180" w:right="-334"/>
      </w:pPr>
    </w:p>
    <w:p w14:paraId="32D7E29D" w14:textId="77777777" w:rsidR="00C35240" w:rsidRDefault="00C35240" w:rsidP="00C35240">
      <w:pPr>
        <w:pStyle w:val="NormalWeb"/>
        <w:spacing w:before="0" w:beforeAutospacing="0" w:after="0" w:afterAutospacing="0"/>
        <w:ind w:left="-180" w:right="-334"/>
      </w:pPr>
    </w:p>
    <w:p w14:paraId="1F1D721C" w14:textId="77777777" w:rsidR="00C35240" w:rsidRDefault="00C35240" w:rsidP="00C35240">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7AF642E" w14:textId="77777777" w:rsidR="00C35240" w:rsidRPr="00230F35" w:rsidRDefault="00C35240" w:rsidP="00C3524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EA3018B" w14:textId="77777777" w:rsidR="00C35240" w:rsidRPr="00230F35" w:rsidRDefault="00C35240" w:rsidP="00C35240">
      <w:pPr>
        <w:rPr>
          <w:rFonts w:ascii="Arial" w:hAnsi="Arial" w:cs="Arial"/>
          <w:sz w:val="28"/>
          <w:szCs w:val="28"/>
          <w:lang w:val="cy-GB"/>
        </w:rPr>
      </w:pPr>
    </w:p>
    <w:p w14:paraId="3E7EFA40" w14:textId="77777777" w:rsidR="00C35240" w:rsidRDefault="00C35240" w:rsidP="00C35240">
      <w:pPr>
        <w:pStyle w:val="Heading3"/>
        <w:jc w:val="center"/>
        <w:rPr>
          <w:lang w:val="cy-GB"/>
        </w:rPr>
      </w:pPr>
      <w:r>
        <w:rPr>
          <w:lang w:val="cy-GB"/>
        </w:rPr>
        <w:t>THIS SHEET MUST BE THE FIRST PAGE OF THE ASSIGNMENT YOU ARE SUBMITTING  (DO NOT SEND AS A SEPARATE FILE)</w:t>
      </w:r>
    </w:p>
    <w:p w14:paraId="28535167" w14:textId="77777777" w:rsidR="00C35240" w:rsidRDefault="00C35240" w:rsidP="00C3524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35240" w:rsidRPr="00230F35" w14:paraId="3F6E360D" w14:textId="77777777" w:rsidTr="0082232E">
        <w:trPr>
          <w:trHeight w:val="614"/>
        </w:trPr>
        <w:tc>
          <w:tcPr>
            <w:tcW w:w="8856" w:type="dxa"/>
            <w:gridSpan w:val="5"/>
          </w:tcPr>
          <w:p w14:paraId="1F66A254" w14:textId="77777777" w:rsidR="00C35240" w:rsidRPr="00230F35" w:rsidRDefault="00C35240" w:rsidP="0082232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35240" w:rsidRPr="00230F35" w14:paraId="45E5B9FF" w14:textId="77777777" w:rsidTr="0082232E">
        <w:trPr>
          <w:trHeight w:val="718"/>
        </w:trPr>
        <w:tc>
          <w:tcPr>
            <w:tcW w:w="8856" w:type="dxa"/>
            <w:gridSpan w:val="5"/>
          </w:tcPr>
          <w:p w14:paraId="021C59C8" w14:textId="77777777" w:rsidR="00C35240" w:rsidRDefault="00C35240" w:rsidP="0082232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Paul Kiernan</w:t>
            </w:r>
          </w:p>
          <w:p w14:paraId="14AD04F5" w14:textId="77777777" w:rsidR="00C35240" w:rsidRPr="00230F35" w:rsidRDefault="00C35240" w:rsidP="0082232E">
            <w:pPr>
              <w:pStyle w:val="NormalWeb"/>
              <w:spacing w:before="0" w:beforeAutospacing="0" w:after="0" w:afterAutospacing="0"/>
              <w:ind w:right="34"/>
              <w:rPr>
                <w:rFonts w:ascii="Arial" w:hAnsi="Arial" w:cs="Arial"/>
                <w:sz w:val="22"/>
                <w:szCs w:val="22"/>
              </w:rPr>
            </w:pPr>
          </w:p>
          <w:p w14:paraId="4CA3E06E" w14:textId="77777777" w:rsidR="00C35240" w:rsidRPr="00230F35" w:rsidRDefault="00C35240" w:rsidP="0082232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1F2CC9">
              <w:rPr>
                <w:rFonts w:ascii="Arial" w:hAnsi="Arial" w:cs="Arial"/>
                <w:sz w:val="22"/>
                <w:szCs w:val="22"/>
              </w:rPr>
              <w:t>1704194@student.uwtsd.ac.uk</w:t>
            </w:r>
          </w:p>
        </w:tc>
      </w:tr>
      <w:tr w:rsidR="00C35240" w:rsidRPr="00230F35" w14:paraId="31D14ABF" w14:textId="77777777" w:rsidTr="0082232E">
        <w:trPr>
          <w:trHeight w:val="849"/>
        </w:trPr>
        <w:tc>
          <w:tcPr>
            <w:tcW w:w="4788" w:type="dxa"/>
          </w:tcPr>
          <w:p w14:paraId="191D43E8" w14:textId="57C224B4" w:rsidR="00C35240" w:rsidRPr="00230F35" w:rsidRDefault="00C35240" w:rsidP="0082232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t xml:space="preserve"> </w:t>
            </w:r>
            <w:r w:rsidR="007C4DA7" w:rsidRPr="007C4DA7">
              <w:rPr>
                <w:rFonts w:ascii="Arial" w:hAnsi="Arial" w:cs="Arial"/>
                <w:sz w:val="22"/>
                <w:szCs w:val="22"/>
              </w:rPr>
              <w:t>HPCA7009</w:t>
            </w:r>
          </w:p>
          <w:p w14:paraId="12C2CDB6" w14:textId="77777777" w:rsidR="00C35240" w:rsidRPr="00230F35" w:rsidRDefault="00C35240" w:rsidP="0082232E">
            <w:pPr>
              <w:pStyle w:val="NormalWeb"/>
              <w:spacing w:before="0" w:beforeAutospacing="0" w:after="0" w:afterAutospacing="0"/>
              <w:ind w:right="34"/>
              <w:rPr>
                <w:rFonts w:ascii="Arial" w:hAnsi="Arial" w:cs="Arial"/>
                <w:sz w:val="22"/>
                <w:szCs w:val="22"/>
              </w:rPr>
            </w:pPr>
          </w:p>
          <w:p w14:paraId="685252B9" w14:textId="4782CADA" w:rsidR="00C35240" w:rsidRDefault="00C35240" w:rsidP="0082232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7C4DA7" w:rsidRPr="007C4DA7">
              <w:rPr>
                <w:rFonts w:ascii="Arial" w:hAnsi="Arial" w:cs="Arial"/>
                <w:sz w:val="22"/>
                <w:szCs w:val="22"/>
              </w:rPr>
              <w:t>Skyscapes, Cosmology and Archaeology</w:t>
            </w:r>
          </w:p>
          <w:p w14:paraId="393C728D" w14:textId="77777777" w:rsidR="00C35240" w:rsidRPr="00230F35" w:rsidRDefault="00C35240" w:rsidP="0082232E">
            <w:pPr>
              <w:pStyle w:val="NormalWeb"/>
              <w:spacing w:before="0" w:beforeAutospacing="0" w:after="0" w:afterAutospacing="0"/>
              <w:ind w:right="34"/>
              <w:rPr>
                <w:rFonts w:ascii="Arial" w:hAnsi="Arial" w:cs="Arial"/>
                <w:sz w:val="22"/>
                <w:szCs w:val="22"/>
              </w:rPr>
            </w:pPr>
          </w:p>
        </w:tc>
        <w:tc>
          <w:tcPr>
            <w:tcW w:w="2266" w:type="dxa"/>
            <w:gridSpan w:val="3"/>
          </w:tcPr>
          <w:p w14:paraId="5F0361EA" w14:textId="77777777" w:rsidR="00C35240" w:rsidRDefault="00C35240" w:rsidP="0082232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FD02DEB" w14:textId="77777777" w:rsidR="00C35240" w:rsidRDefault="00C35240" w:rsidP="0082232E">
            <w:pPr>
              <w:pStyle w:val="NormalWeb"/>
              <w:spacing w:before="0" w:beforeAutospacing="0" w:after="0" w:afterAutospacing="0"/>
              <w:ind w:right="34"/>
              <w:rPr>
                <w:rFonts w:ascii="Arial" w:hAnsi="Arial" w:cs="Arial"/>
                <w:sz w:val="22"/>
                <w:szCs w:val="22"/>
              </w:rPr>
            </w:pPr>
          </w:p>
          <w:p w14:paraId="107E5708" w14:textId="77777777" w:rsidR="00C35240" w:rsidRPr="00230F35" w:rsidRDefault="00C35240" w:rsidP="0082232E">
            <w:pPr>
              <w:pStyle w:val="NormalWeb"/>
              <w:spacing w:before="0" w:beforeAutospacing="0" w:after="0" w:afterAutospacing="0"/>
              <w:ind w:right="34"/>
              <w:rPr>
                <w:rFonts w:ascii="Arial" w:hAnsi="Arial" w:cs="Arial"/>
                <w:sz w:val="22"/>
                <w:szCs w:val="22"/>
              </w:rPr>
            </w:pPr>
            <w:r>
              <w:rPr>
                <w:rFonts w:ascii="Arial" w:hAnsi="Arial" w:cs="Arial"/>
                <w:sz w:val="22"/>
                <w:szCs w:val="22"/>
              </w:rPr>
              <w:t>1704194</w:t>
            </w:r>
          </w:p>
        </w:tc>
        <w:tc>
          <w:tcPr>
            <w:tcW w:w="1802" w:type="dxa"/>
          </w:tcPr>
          <w:p w14:paraId="59DD8C65" w14:textId="77777777" w:rsidR="00C35240" w:rsidRPr="00230F35" w:rsidRDefault="00C35240" w:rsidP="0082232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35FEB44" w14:textId="77777777" w:rsidR="00C35240" w:rsidRPr="00230F35" w:rsidRDefault="00C35240" w:rsidP="0082232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35240" w:rsidRPr="00230F35" w14:paraId="1C34313B" w14:textId="77777777" w:rsidTr="0082232E">
        <w:trPr>
          <w:trHeight w:val="1139"/>
        </w:trPr>
        <w:tc>
          <w:tcPr>
            <w:tcW w:w="8856" w:type="dxa"/>
            <w:gridSpan w:val="5"/>
          </w:tcPr>
          <w:p w14:paraId="452D6052" w14:textId="52C4479D" w:rsidR="00C35240" w:rsidRPr="00230F35" w:rsidRDefault="00C35240" w:rsidP="0082232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DF73E8">
              <w:rPr>
                <w:rFonts w:ascii="Arial" w:hAnsi="Arial" w:cs="Arial"/>
                <w:sz w:val="22"/>
                <w:szCs w:val="22"/>
              </w:rPr>
              <w:t xml:space="preserve"> A critical review of two papers dealing with church alignment</w:t>
            </w:r>
          </w:p>
          <w:p w14:paraId="1FC51FFB" w14:textId="486AE14C" w:rsidR="00C35240" w:rsidRPr="00D32B4C" w:rsidRDefault="00C35240" w:rsidP="0082232E">
            <w:pPr>
              <w:spacing w:line="240" w:lineRule="auto"/>
              <w:rPr>
                <w:rFonts w:ascii="Times New Roman" w:eastAsia="Times New Roman" w:hAnsi="Times New Roman"/>
              </w:rPr>
            </w:pPr>
            <w:r>
              <w:rPr>
                <w:rFonts w:ascii="Times New Roman" w:eastAsia="Times New Roman" w:hAnsi="Times New Roman"/>
              </w:rPr>
              <w:t xml:space="preserve">(word count </w:t>
            </w:r>
            <w:r w:rsidR="00224CBC">
              <w:rPr>
                <w:rFonts w:ascii="Times New Roman" w:eastAsia="Times New Roman" w:hAnsi="Times New Roman"/>
              </w:rPr>
              <w:t>1556</w:t>
            </w:r>
            <w:bookmarkStart w:id="0" w:name="_GoBack"/>
            <w:bookmarkEnd w:id="0"/>
            <w:r>
              <w:rPr>
                <w:rFonts w:ascii="Times New Roman" w:eastAsia="Times New Roman" w:hAnsi="Times New Roman"/>
              </w:rPr>
              <w:t>)</w:t>
            </w:r>
          </w:p>
          <w:p w14:paraId="6868A198" w14:textId="77777777" w:rsidR="00C35240" w:rsidRDefault="00C35240" w:rsidP="0082232E">
            <w:pPr>
              <w:pStyle w:val="NormalWeb"/>
              <w:spacing w:before="0" w:beforeAutospacing="0" w:after="0" w:afterAutospacing="0"/>
              <w:ind w:right="34"/>
              <w:rPr>
                <w:rFonts w:ascii="Arial" w:hAnsi="Arial" w:cs="Arial"/>
                <w:sz w:val="22"/>
                <w:szCs w:val="22"/>
              </w:rPr>
            </w:pPr>
          </w:p>
          <w:p w14:paraId="110C3404" w14:textId="1D77022A" w:rsidR="00C35240" w:rsidRPr="00230F35" w:rsidRDefault="00C35240" w:rsidP="008559E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8559E9">
              <w:rPr>
                <w:rFonts w:ascii="Arial" w:hAnsi="Arial" w:cs="Arial"/>
                <w:sz w:val="22"/>
                <w:szCs w:val="22"/>
              </w:rPr>
              <w:t>4</w:t>
            </w:r>
            <w:r w:rsidRPr="007B232C">
              <w:rPr>
                <w:rFonts w:ascii="Arial" w:hAnsi="Arial" w:cs="Arial"/>
                <w:sz w:val="22"/>
                <w:szCs w:val="22"/>
                <w:vertAlign w:val="superscript"/>
              </w:rPr>
              <w:t>th</w:t>
            </w:r>
            <w:r>
              <w:rPr>
                <w:rFonts w:ascii="Arial" w:hAnsi="Arial" w:cs="Arial"/>
                <w:sz w:val="22"/>
                <w:szCs w:val="22"/>
              </w:rPr>
              <w:t xml:space="preserve"> </w:t>
            </w:r>
            <w:r w:rsidR="008559E9">
              <w:rPr>
                <w:rFonts w:ascii="Arial" w:hAnsi="Arial" w:cs="Arial"/>
                <w:sz w:val="22"/>
                <w:szCs w:val="22"/>
              </w:rPr>
              <w:t>March</w:t>
            </w:r>
            <w:r>
              <w:rPr>
                <w:rFonts w:ascii="Arial" w:hAnsi="Arial" w:cs="Arial"/>
                <w:sz w:val="22"/>
                <w:szCs w:val="22"/>
              </w:rPr>
              <w:t xml:space="preserve"> 201</w:t>
            </w:r>
            <w:r w:rsidR="008559E9">
              <w:rPr>
                <w:rFonts w:ascii="Arial" w:hAnsi="Arial" w:cs="Arial"/>
                <w:sz w:val="22"/>
                <w:szCs w:val="22"/>
              </w:rPr>
              <w:t>9</w:t>
            </w:r>
          </w:p>
        </w:tc>
      </w:tr>
      <w:tr w:rsidR="00C35240" w:rsidRPr="00230F35" w14:paraId="639A554D" w14:textId="77777777" w:rsidTr="0082232E">
        <w:trPr>
          <w:trHeight w:val="978"/>
        </w:trPr>
        <w:tc>
          <w:tcPr>
            <w:tcW w:w="8856" w:type="dxa"/>
            <w:gridSpan w:val="5"/>
            <w:tcBorders>
              <w:bottom w:val="single" w:sz="4" w:space="0" w:color="000000"/>
            </w:tcBorders>
          </w:tcPr>
          <w:p w14:paraId="19516B9E" w14:textId="30DF56DC" w:rsidR="00C35240" w:rsidRPr="00230F35" w:rsidRDefault="00C35240" w:rsidP="0082232E">
            <w:pPr>
              <w:rPr>
                <w:rFonts w:ascii="Arial" w:hAnsi="Arial" w:cs="Arial"/>
                <w:sz w:val="22"/>
                <w:szCs w:val="22"/>
              </w:rPr>
            </w:pPr>
            <w:r>
              <w:rPr>
                <w:rFonts w:ascii="Arial" w:hAnsi="Arial" w:cs="Arial"/>
                <w:sz w:val="22"/>
                <w:szCs w:val="22"/>
              </w:rPr>
              <w:t>This assignment is for the</w:t>
            </w:r>
            <w:r w:rsidRPr="00230F35">
              <w:rPr>
                <w:rFonts w:ascii="Arial" w:hAnsi="Arial" w:cs="Arial"/>
                <w:sz w:val="22"/>
                <w:szCs w:val="22"/>
              </w:rPr>
              <w:t xml:space="preserve"> </w:t>
            </w:r>
            <w:r w:rsidR="00356643">
              <w:rPr>
                <w:rFonts w:ascii="Arial" w:hAnsi="Arial" w:cs="Arial"/>
                <w:sz w:val="22"/>
                <w:szCs w:val="22"/>
              </w:rPr>
              <w:t>4</w:t>
            </w:r>
            <w:r w:rsidR="00356643">
              <w:rPr>
                <w:rFonts w:ascii="Arial" w:hAnsi="Arial" w:cs="Arial"/>
                <w:sz w:val="22"/>
                <w:szCs w:val="22"/>
                <w:vertAlign w:val="superscript"/>
              </w:rPr>
              <w:t>th</w:t>
            </w:r>
            <w:r>
              <w:rPr>
                <w:rFonts w:ascii="Arial" w:hAnsi="Arial" w:cs="Arial"/>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C35240" w:rsidRPr="00230F35" w14:paraId="069056A0" w14:textId="77777777" w:rsidTr="0082232E">
        <w:trPr>
          <w:trHeight w:val="978"/>
        </w:trPr>
        <w:tc>
          <w:tcPr>
            <w:tcW w:w="8856" w:type="dxa"/>
            <w:gridSpan w:val="5"/>
            <w:shd w:val="clear" w:color="auto" w:fill="D9D9D9"/>
          </w:tcPr>
          <w:p w14:paraId="32C76110" w14:textId="77777777" w:rsidR="00C35240" w:rsidRPr="00230F35" w:rsidRDefault="00C35240" w:rsidP="0082232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5E3607B" w14:textId="77777777" w:rsidR="00C35240" w:rsidRDefault="00C35240" w:rsidP="0082232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1EF914F8" w14:textId="77777777" w:rsidR="00C35240" w:rsidRDefault="00C35240" w:rsidP="0082232E">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Pr>
                <w:rFonts w:ascii="Calibri" w:hAnsi="Calibri" w:cs="Calibri"/>
                <w:b/>
                <w:sz w:val="44"/>
                <w:szCs w:val="44"/>
              </w:rPr>
              <w:sym w:font="Wingdings" w:char="F0FE"/>
            </w:r>
          </w:p>
          <w:p w14:paraId="54A6301B" w14:textId="77777777" w:rsidR="00C35240" w:rsidRPr="00230F35" w:rsidRDefault="00C35240" w:rsidP="0082232E">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35240" w:rsidRPr="00230F35" w14:paraId="127BC668" w14:textId="77777777" w:rsidTr="0082232E">
        <w:trPr>
          <w:trHeight w:val="3972"/>
        </w:trPr>
        <w:tc>
          <w:tcPr>
            <w:tcW w:w="8856" w:type="dxa"/>
            <w:gridSpan w:val="5"/>
          </w:tcPr>
          <w:p w14:paraId="6A57F14B" w14:textId="77777777" w:rsidR="00C35240" w:rsidRDefault="00C35240" w:rsidP="0082232E">
            <w:pPr>
              <w:rPr>
                <w:rFonts w:ascii="Arial" w:hAnsi="Arial"/>
                <w:b/>
              </w:rPr>
            </w:pPr>
          </w:p>
          <w:p w14:paraId="4AD0BACA" w14:textId="77777777" w:rsidR="00C35240" w:rsidRPr="00116CE6" w:rsidRDefault="00C35240" w:rsidP="0082232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35240" w:rsidRPr="00116CE6" w14:paraId="1CCE078B" w14:textId="77777777" w:rsidTr="0082232E">
              <w:tc>
                <w:tcPr>
                  <w:tcW w:w="6970" w:type="dxa"/>
                </w:tcPr>
                <w:p w14:paraId="449AAA7A" w14:textId="77777777" w:rsidR="00C35240" w:rsidRPr="00116CE6" w:rsidRDefault="00C35240" w:rsidP="0082232E">
                  <w:pPr>
                    <w:rPr>
                      <w:rFonts w:ascii="Arial" w:hAnsi="Arial"/>
                      <w:sz w:val="20"/>
                      <w:szCs w:val="20"/>
                    </w:rPr>
                  </w:pPr>
                </w:p>
                <w:p w14:paraId="7C8AF504" w14:textId="77777777" w:rsidR="00C35240" w:rsidRPr="00116CE6" w:rsidRDefault="00C35240" w:rsidP="0082232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9E68D77" w14:textId="77777777" w:rsidR="00C35240" w:rsidRPr="00116CE6" w:rsidRDefault="00C35240" w:rsidP="0082232E">
                  <w:pPr>
                    <w:rPr>
                      <w:rFonts w:ascii="Arial" w:hAnsi="Arial"/>
                      <w:sz w:val="20"/>
                      <w:szCs w:val="20"/>
                    </w:rPr>
                  </w:pPr>
                </w:p>
              </w:tc>
            </w:tr>
            <w:tr w:rsidR="00C35240" w:rsidRPr="00116CE6" w14:paraId="1B3BAA94" w14:textId="77777777" w:rsidTr="0082232E">
              <w:tc>
                <w:tcPr>
                  <w:tcW w:w="6970" w:type="dxa"/>
                </w:tcPr>
                <w:p w14:paraId="270415F9" w14:textId="77777777" w:rsidR="00C35240" w:rsidRPr="00116CE6" w:rsidRDefault="00C35240" w:rsidP="0082232E">
                  <w:pPr>
                    <w:rPr>
                      <w:rFonts w:ascii="Arial" w:hAnsi="Arial"/>
                      <w:sz w:val="20"/>
                      <w:szCs w:val="20"/>
                    </w:rPr>
                  </w:pPr>
                </w:p>
                <w:p w14:paraId="62CBA6F4" w14:textId="77777777" w:rsidR="00C35240" w:rsidRPr="00116CE6" w:rsidRDefault="00C35240" w:rsidP="0082232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9D0D301" w14:textId="77777777" w:rsidR="00C35240" w:rsidRPr="00116CE6" w:rsidRDefault="00C35240" w:rsidP="0082232E">
                  <w:pPr>
                    <w:rPr>
                      <w:rFonts w:ascii="Arial" w:hAnsi="Arial"/>
                      <w:sz w:val="20"/>
                      <w:szCs w:val="20"/>
                    </w:rPr>
                  </w:pPr>
                </w:p>
              </w:tc>
            </w:tr>
            <w:tr w:rsidR="00C35240" w:rsidRPr="00116CE6" w14:paraId="671397C1" w14:textId="77777777" w:rsidTr="0082232E">
              <w:tc>
                <w:tcPr>
                  <w:tcW w:w="6970" w:type="dxa"/>
                </w:tcPr>
                <w:p w14:paraId="5B0BA1BE" w14:textId="77777777" w:rsidR="00C35240" w:rsidRPr="00116CE6" w:rsidRDefault="00C35240" w:rsidP="0082232E">
                  <w:pPr>
                    <w:rPr>
                      <w:rFonts w:ascii="Arial" w:hAnsi="Arial"/>
                      <w:sz w:val="20"/>
                      <w:szCs w:val="20"/>
                    </w:rPr>
                  </w:pPr>
                </w:p>
                <w:p w14:paraId="6848D5C8" w14:textId="77777777" w:rsidR="00C35240" w:rsidRPr="00116CE6" w:rsidRDefault="00C35240" w:rsidP="0082232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D3E38BD" w14:textId="77777777" w:rsidR="00C35240" w:rsidRPr="00116CE6" w:rsidRDefault="00C35240" w:rsidP="0082232E">
                  <w:pPr>
                    <w:rPr>
                      <w:rFonts w:ascii="Arial" w:hAnsi="Arial"/>
                      <w:sz w:val="20"/>
                      <w:szCs w:val="20"/>
                    </w:rPr>
                  </w:pPr>
                </w:p>
              </w:tc>
            </w:tr>
            <w:tr w:rsidR="00C35240" w:rsidRPr="00116CE6" w14:paraId="39F19E3E" w14:textId="77777777" w:rsidTr="0082232E">
              <w:tc>
                <w:tcPr>
                  <w:tcW w:w="6970" w:type="dxa"/>
                </w:tcPr>
                <w:p w14:paraId="75B1B2EF" w14:textId="77777777" w:rsidR="00C35240" w:rsidRDefault="00C35240" w:rsidP="0082232E">
                  <w:pPr>
                    <w:rPr>
                      <w:rFonts w:ascii="Arial" w:hAnsi="Arial"/>
                      <w:sz w:val="20"/>
                      <w:szCs w:val="20"/>
                    </w:rPr>
                  </w:pPr>
                </w:p>
                <w:p w14:paraId="3D2A6346" w14:textId="77777777" w:rsidR="00C35240" w:rsidRPr="00022345" w:rsidRDefault="00C35240" w:rsidP="0082232E">
                  <w:pPr>
                    <w:rPr>
                      <w:rFonts w:ascii="Arial" w:hAnsi="Arial"/>
                      <w:b/>
                      <w:sz w:val="20"/>
                      <w:szCs w:val="20"/>
                    </w:rPr>
                  </w:pPr>
                  <w:r w:rsidRPr="00022345">
                    <w:rPr>
                      <w:rFonts w:ascii="Arial" w:hAnsi="Arial"/>
                      <w:b/>
                      <w:sz w:val="20"/>
                      <w:szCs w:val="20"/>
                    </w:rPr>
                    <w:t>Final Mark</w:t>
                  </w:r>
                </w:p>
                <w:p w14:paraId="1E2F565D" w14:textId="77777777" w:rsidR="00C35240" w:rsidRPr="00116CE6" w:rsidRDefault="00C35240" w:rsidP="0082232E">
                  <w:pPr>
                    <w:rPr>
                      <w:rFonts w:ascii="Arial" w:hAnsi="Arial"/>
                      <w:sz w:val="20"/>
                      <w:szCs w:val="20"/>
                    </w:rPr>
                  </w:pPr>
                </w:p>
              </w:tc>
              <w:tc>
                <w:tcPr>
                  <w:tcW w:w="1660" w:type="dxa"/>
                </w:tcPr>
                <w:p w14:paraId="1910F0C6" w14:textId="77777777" w:rsidR="00C35240" w:rsidRPr="00116CE6" w:rsidRDefault="00C35240" w:rsidP="0082232E">
                  <w:pPr>
                    <w:rPr>
                      <w:rFonts w:ascii="Arial" w:hAnsi="Arial"/>
                      <w:sz w:val="20"/>
                      <w:szCs w:val="20"/>
                    </w:rPr>
                  </w:pPr>
                </w:p>
              </w:tc>
            </w:tr>
          </w:tbl>
          <w:p w14:paraId="055080DA" w14:textId="77777777" w:rsidR="00C35240" w:rsidRDefault="00C35240" w:rsidP="0082232E">
            <w:pPr>
              <w:pStyle w:val="NormalWeb"/>
              <w:spacing w:before="0" w:beforeAutospacing="0" w:after="0" w:afterAutospacing="0"/>
              <w:ind w:left="142" w:right="34"/>
              <w:rPr>
                <w:rFonts w:ascii="Arial" w:hAnsi="Arial" w:cs="Arial"/>
                <w:b/>
                <w:sz w:val="22"/>
                <w:szCs w:val="22"/>
              </w:rPr>
            </w:pPr>
          </w:p>
          <w:p w14:paraId="7C6BD3E1" w14:textId="77777777" w:rsidR="00C35240" w:rsidRPr="00502993" w:rsidRDefault="00C35240" w:rsidP="0082232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FAC50C7" w14:textId="77777777" w:rsidR="00C35240" w:rsidRDefault="00C35240" w:rsidP="0082232E">
            <w:pPr>
              <w:pStyle w:val="NormalWeb"/>
              <w:spacing w:before="0" w:beforeAutospacing="0" w:after="0" w:afterAutospacing="0"/>
              <w:rPr>
                <w:rFonts w:ascii="Arial" w:hAnsi="Arial" w:cs="Arial"/>
                <w:b/>
                <w:sz w:val="22"/>
                <w:szCs w:val="22"/>
              </w:rPr>
            </w:pPr>
          </w:p>
          <w:p w14:paraId="20A3CDD1" w14:textId="77777777" w:rsidR="00C35240" w:rsidRDefault="00C35240" w:rsidP="0082232E">
            <w:pPr>
              <w:pStyle w:val="NormalWeb"/>
              <w:spacing w:before="0" w:beforeAutospacing="0" w:after="0" w:afterAutospacing="0"/>
              <w:rPr>
                <w:rFonts w:ascii="Arial" w:hAnsi="Arial" w:cs="Arial"/>
                <w:b/>
                <w:sz w:val="22"/>
                <w:szCs w:val="22"/>
              </w:rPr>
            </w:pPr>
          </w:p>
          <w:p w14:paraId="471B9781" w14:textId="77777777" w:rsidR="00C35240" w:rsidRDefault="00C35240" w:rsidP="0082232E">
            <w:pPr>
              <w:pStyle w:val="NormalWeb"/>
              <w:spacing w:before="0" w:beforeAutospacing="0" w:after="0" w:afterAutospacing="0"/>
              <w:rPr>
                <w:rFonts w:ascii="Arial" w:hAnsi="Arial" w:cs="Arial"/>
                <w:b/>
                <w:sz w:val="22"/>
                <w:szCs w:val="22"/>
              </w:rPr>
            </w:pPr>
          </w:p>
          <w:p w14:paraId="088FFBC5" w14:textId="77777777" w:rsidR="00C35240" w:rsidRPr="00230F35" w:rsidRDefault="00C35240" w:rsidP="0082232E">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16BA681F" w14:textId="77777777" w:rsidR="00C35240" w:rsidRDefault="00C35240" w:rsidP="0082232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8391F8B" w14:textId="77777777" w:rsidR="00C35240" w:rsidRPr="00001C3B" w:rsidRDefault="00C35240" w:rsidP="0082232E">
            <w:pPr>
              <w:pStyle w:val="NormalWeb"/>
              <w:rPr>
                <w:rFonts w:ascii="Arial" w:hAnsi="Arial" w:cs="Arial"/>
                <w:sz w:val="22"/>
                <w:szCs w:val="22"/>
              </w:rPr>
            </w:pPr>
          </w:p>
        </w:tc>
      </w:tr>
      <w:tr w:rsidR="00C35240" w:rsidRPr="00230F35" w14:paraId="17369E19" w14:textId="77777777" w:rsidTr="0082232E">
        <w:trPr>
          <w:trHeight w:val="492"/>
        </w:trPr>
        <w:tc>
          <w:tcPr>
            <w:tcW w:w="6768" w:type="dxa"/>
            <w:gridSpan w:val="3"/>
          </w:tcPr>
          <w:p w14:paraId="31772C05" w14:textId="77777777" w:rsidR="00C35240" w:rsidRPr="00230F35" w:rsidRDefault="00C35240" w:rsidP="0082232E">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3E0840C" w14:textId="77777777" w:rsidR="00C35240" w:rsidRPr="00230F35" w:rsidRDefault="00C35240" w:rsidP="0082232E">
            <w:pPr>
              <w:pStyle w:val="NormalWeb"/>
              <w:spacing w:after="0"/>
              <w:ind w:left="142" w:right="34"/>
              <w:rPr>
                <w:rFonts w:ascii="Arial" w:hAnsi="Arial" w:cs="Arial"/>
                <w:sz w:val="22"/>
                <w:szCs w:val="22"/>
              </w:rPr>
            </w:pPr>
            <w:r w:rsidRPr="00230F35">
              <w:rPr>
                <w:rFonts w:ascii="Arial" w:hAnsi="Arial" w:cs="Arial"/>
                <w:sz w:val="22"/>
                <w:szCs w:val="22"/>
              </w:rPr>
              <w:t>Date:</w:t>
            </w:r>
          </w:p>
        </w:tc>
      </w:tr>
      <w:tr w:rsidR="00C35240" w:rsidRPr="002F467C" w14:paraId="61FBDC31" w14:textId="77777777" w:rsidTr="0082232E">
        <w:tc>
          <w:tcPr>
            <w:tcW w:w="8856" w:type="dxa"/>
            <w:gridSpan w:val="5"/>
          </w:tcPr>
          <w:p w14:paraId="255BE17A" w14:textId="77777777" w:rsidR="00C35240" w:rsidRPr="00230F35" w:rsidRDefault="00C35240" w:rsidP="0082232E">
            <w:pPr>
              <w:pStyle w:val="NormalWeb"/>
              <w:spacing w:before="0" w:beforeAutospacing="0" w:after="0" w:afterAutospacing="0"/>
              <w:ind w:right="-334"/>
              <w:rPr>
                <w:rFonts w:ascii="Arial" w:hAnsi="Arial" w:cs="Arial"/>
                <w:bCs/>
                <w:i/>
                <w:sz w:val="22"/>
                <w:szCs w:val="22"/>
              </w:rPr>
            </w:pPr>
          </w:p>
          <w:p w14:paraId="50E5C83B" w14:textId="77777777" w:rsidR="00C35240" w:rsidRPr="00230F35" w:rsidRDefault="00C35240" w:rsidP="0082232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A3F6125" w14:textId="77777777" w:rsidR="00C35240" w:rsidRPr="00230F35" w:rsidRDefault="00C35240" w:rsidP="0082232E">
            <w:pPr>
              <w:pStyle w:val="NormalWeb"/>
              <w:spacing w:before="0" w:beforeAutospacing="0" w:after="0" w:afterAutospacing="0"/>
              <w:ind w:right="-334"/>
              <w:rPr>
                <w:rFonts w:ascii="Arial" w:hAnsi="Arial" w:cs="Arial"/>
                <w:b/>
                <w:bCs/>
                <w:sz w:val="22"/>
                <w:szCs w:val="22"/>
              </w:rPr>
            </w:pPr>
          </w:p>
          <w:p w14:paraId="0C7E7687" w14:textId="77777777" w:rsidR="00C35240" w:rsidRPr="00230F35" w:rsidRDefault="00C35240" w:rsidP="0082232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A95C15A" w14:textId="77777777" w:rsidR="00C35240" w:rsidRPr="00230F35" w:rsidRDefault="00C35240" w:rsidP="0082232E">
            <w:pPr>
              <w:pStyle w:val="NormalWeb"/>
              <w:spacing w:before="0" w:beforeAutospacing="0" w:after="0" w:afterAutospacing="0"/>
              <w:ind w:right="-334"/>
              <w:rPr>
                <w:rFonts w:ascii="Arial" w:hAnsi="Arial" w:cs="Arial"/>
                <w:bCs/>
                <w:sz w:val="22"/>
                <w:szCs w:val="22"/>
              </w:rPr>
            </w:pPr>
          </w:p>
          <w:p w14:paraId="0E278F43" w14:textId="77777777" w:rsidR="00C35240" w:rsidRPr="00230F35" w:rsidRDefault="00C35240" w:rsidP="0082232E">
            <w:pPr>
              <w:pStyle w:val="NormalWeb"/>
              <w:spacing w:before="0" w:beforeAutospacing="0" w:after="0" w:afterAutospacing="0"/>
              <w:ind w:right="-334"/>
              <w:rPr>
                <w:rFonts w:ascii="Arial" w:hAnsi="Arial" w:cs="Arial"/>
                <w:bCs/>
                <w:sz w:val="22"/>
                <w:szCs w:val="22"/>
              </w:rPr>
            </w:pPr>
          </w:p>
          <w:p w14:paraId="1EAFB098" w14:textId="77777777" w:rsidR="00C35240" w:rsidRPr="00230F35" w:rsidRDefault="00C35240" w:rsidP="0082232E">
            <w:pPr>
              <w:pStyle w:val="NormalWeb"/>
              <w:spacing w:before="0" w:beforeAutospacing="0" w:after="0" w:afterAutospacing="0"/>
              <w:ind w:right="-334"/>
              <w:rPr>
                <w:rFonts w:ascii="Arial" w:hAnsi="Arial" w:cs="Arial"/>
                <w:bCs/>
                <w:sz w:val="22"/>
                <w:szCs w:val="22"/>
              </w:rPr>
            </w:pPr>
          </w:p>
          <w:p w14:paraId="551673FC" w14:textId="77777777" w:rsidR="00C35240" w:rsidRPr="00230F35" w:rsidRDefault="00C35240" w:rsidP="0082232E">
            <w:pPr>
              <w:pStyle w:val="NormalWeb"/>
              <w:spacing w:before="0" w:beforeAutospacing="0" w:after="0" w:afterAutospacing="0"/>
              <w:ind w:right="-334"/>
              <w:rPr>
                <w:rFonts w:ascii="Arial" w:hAnsi="Arial" w:cs="Arial"/>
                <w:bCs/>
                <w:sz w:val="22"/>
                <w:szCs w:val="22"/>
              </w:rPr>
            </w:pPr>
          </w:p>
          <w:p w14:paraId="596C704C" w14:textId="77777777" w:rsidR="00C35240" w:rsidRDefault="00C35240" w:rsidP="0082232E">
            <w:pPr>
              <w:pStyle w:val="NormalWeb"/>
              <w:spacing w:before="0" w:beforeAutospacing="0" w:after="0" w:afterAutospacing="0"/>
              <w:ind w:right="-334"/>
              <w:rPr>
                <w:rFonts w:ascii="Arial" w:hAnsi="Arial" w:cs="Arial"/>
                <w:bCs/>
                <w:sz w:val="22"/>
                <w:szCs w:val="22"/>
              </w:rPr>
            </w:pPr>
          </w:p>
          <w:p w14:paraId="301D0713" w14:textId="77777777" w:rsidR="00C35240" w:rsidRPr="00230F35" w:rsidRDefault="00C35240" w:rsidP="0082232E">
            <w:pPr>
              <w:pStyle w:val="NormalWeb"/>
              <w:spacing w:before="0" w:beforeAutospacing="0" w:after="0" w:afterAutospacing="0"/>
              <w:ind w:right="-334"/>
              <w:rPr>
                <w:rFonts w:ascii="Arial" w:hAnsi="Arial" w:cs="Arial"/>
                <w:bCs/>
                <w:sz w:val="22"/>
                <w:szCs w:val="22"/>
              </w:rPr>
            </w:pPr>
          </w:p>
          <w:p w14:paraId="64A53A38" w14:textId="77777777" w:rsidR="00C35240" w:rsidRPr="00230F35" w:rsidRDefault="00C35240" w:rsidP="0082232E">
            <w:pPr>
              <w:pStyle w:val="NormalWeb"/>
              <w:spacing w:before="0" w:beforeAutospacing="0" w:after="0" w:afterAutospacing="0"/>
              <w:ind w:right="-334"/>
              <w:rPr>
                <w:rFonts w:ascii="Arial" w:hAnsi="Arial" w:cs="Arial"/>
                <w:bCs/>
                <w:sz w:val="22"/>
                <w:szCs w:val="22"/>
              </w:rPr>
            </w:pPr>
          </w:p>
          <w:p w14:paraId="31B759C6" w14:textId="77777777" w:rsidR="00C35240" w:rsidRPr="00230F35" w:rsidRDefault="00C35240" w:rsidP="0082232E">
            <w:pPr>
              <w:pStyle w:val="NormalWeb"/>
              <w:spacing w:before="0" w:beforeAutospacing="0" w:after="0" w:afterAutospacing="0"/>
              <w:ind w:right="-334"/>
              <w:rPr>
                <w:rFonts w:ascii="Arial" w:hAnsi="Arial" w:cs="Arial"/>
                <w:bCs/>
                <w:sz w:val="22"/>
                <w:szCs w:val="22"/>
              </w:rPr>
            </w:pPr>
          </w:p>
        </w:tc>
      </w:tr>
      <w:tr w:rsidR="00C35240" w:rsidRPr="002F467C" w14:paraId="4E0B5D4D" w14:textId="77777777" w:rsidTr="0082232E">
        <w:trPr>
          <w:trHeight w:val="720"/>
        </w:trPr>
        <w:tc>
          <w:tcPr>
            <w:tcW w:w="5211" w:type="dxa"/>
            <w:gridSpan w:val="2"/>
          </w:tcPr>
          <w:p w14:paraId="163B26C9" w14:textId="77777777" w:rsidR="00C35240" w:rsidRPr="00230F35" w:rsidRDefault="00C35240" w:rsidP="0082232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64B9E78" w14:textId="77777777" w:rsidR="00C35240" w:rsidRPr="00230F35" w:rsidRDefault="00C35240" w:rsidP="0082232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35240" w:rsidRPr="002F467C" w14:paraId="355B2E8F" w14:textId="77777777" w:rsidTr="0082232E">
        <w:trPr>
          <w:trHeight w:val="720"/>
        </w:trPr>
        <w:tc>
          <w:tcPr>
            <w:tcW w:w="8856" w:type="dxa"/>
            <w:gridSpan w:val="5"/>
          </w:tcPr>
          <w:p w14:paraId="2507289E" w14:textId="77777777" w:rsidR="00C35240" w:rsidRPr="00B34964" w:rsidRDefault="00C35240" w:rsidP="0082232E">
            <w:pPr>
              <w:rPr>
                <w:rFonts w:ascii="Arial" w:hAnsi="Arial" w:cs="Arial"/>
                <w:b/>
                <w:sz w:val="22"/>
                <w:szCs w:val="22"/>
              </w:rPr>
            </w:pPr>
            <w:r w:rsidRPr="00B34964">
              <w:rPr>
                <w:rFonts w:ascii="Arial" w:hAnsi="Arial" w:cs="Arial"/>
                <w:b/>
                <w:sz w:val="22"/>
                <w:szCs w:val="22"/>
              </w:rPr>
              <w:t>External Examiner’s comments (if relevant)</w:t>
            </w:r>
          </w:p>
          <w:p w14:paraId="1EAE007B" w14:textId="77777777" w:rsidR="00C35240" w:rsidRPr="00230F35" w:rsidRDefault="00C35240" w:rsidP="0082232E">
            <w:pPr>
              <w:pStyle w:val="NormalWeb"/>
              <w:spacing w:before="0" w:beforeAutospacing="0" w:after="0" w:afterAutospacing="0"/>
              <w:ind w:right="-334"/>
              <w:rPr>
                <w:rFonts w:ascii="Arial" w:hAnsi="Arial" w:cs="Arial"/>
                <w:bCs/>
                <w:sz w:val="22"/>
                <w:szCs w:val="22"/>
              </w:rPr>
            </w:pPr>
          </w:p>
          <w:p w14:paraId="14552250" w14:textId="77777777" w:rsidR="00C35240" w:rsidRPr="00230F35" w:rsidRDefault="00C35240" w:rsidP="0082232E">
            <w:pPr>
              <w:pStyle w:val="NormalWeb"/>
              <w:spacing w:before="0" w:beforeAutospacing="0" w:after="0" w:afterAutospacing="0"/>
              <w:ind w:right="-334"/>
              <w:rPr>
                <w:rFonts w:ascii="Arial" w:hAnsi="Arial" w:cs="Arial"/>
                <w:bCs/>
                <w:sz w:val="22"/>
                <w:szCs w:val="22"/>
              </w:rPr>
            </w:pPr>
          </w:p>
          <w:p w14:paraId="2112104F" w14:textId="77777777" w:rsidR="00C35240" w:rsidRPr="00230F35" w:rsidRDefault="00C35240" w:rsidP="0082232E">
            <w:pPr>
              <w:pStyle w:val="NormalWeb"/>
              <w:spacing w:before="0" w:beforeAutospacing="0" w:after="0" w:afterAutospacing="0"/>
              <w:ind w:right="-334"/>
              <w:rPr>
                <w:rFonts w:ascii="Arial" w:hAnsi="Arial" w:cs="Arial"/>
                <w:bCs/>
                <w:sz w:val="22"/>
                <w:szCs w:val="22"/>
              </w:rPr>
            </w:pPr>
          </w:p>
          <w:p w14:paraId="4D0877D9" w14:textId="77777777" w:rsidR="00C35240" w:rsidRPr="00230F35" w:rsidRDefault="00C35240" w:rsidP="0082232E">
            <w:pPr>
              <w:pStyle w:val="NormalWeb"/>
              <w:spacing w:before="0" w:beforeAutospacing="0" w:after="0" w:afterAutospacing="0"/>
              <w:ind w:right="-334"/>
              <w:rPr>
                <w:rFonts w:ascii="Arial" w:hAnsi="Arial" w:cs="Arial"/>
                <w:bCs/>
                <w:sz w:val="22"/>
                <w:szCs w:val="22"/>
              </w:rPr>
            </w:pPr>
          </w:p>
          <w:p w14:paraId="58EA8ECE" w14:textId="77777777" w:rsidR="00C35240" w:rsidRPr="00230F35" w:rsidRDefault="00C35240" w:rsidP="0082232E">
            <w:pPr>
              <w:pStyle w:val="NormalWeb"/>
              <w:spacing w:before="0" w:beforeAutospacing="0" w:after="0" w:afterAutospacing="0"/>
              <w:ind w:right="-334"/>
              <w:rPr>
                <w:rFonts w:ascii="Arial" w:hAnsi="Arial" w:cs="Arial"/>
                <w:bCs/>
                <w:sz w:val="22"/>
                <w:szCs w:val="22"/>
              </w:rPr>
            </w:pPr>
          </w:p>
          <w:p w14:paraId="39755FE9" w14:textId="77777777" w:rsidR="00C35240" w:rsidRPr="00230F35" w:rsidRDefault="00C35240" w:rsidP="0082232E">
            <w:pPr>
              <w:pStyle w:val="NormalWeb"/>
              <w:spacing w:before="0" w:beforeAutospacing="0" w:after="0" w:afterAutospacing="0"/>
              <w:ind w:right="-334"/>
              <w:rPr>
                <w:rFonts w:ascii="Arial" w:hAnsi="Arial" w:cs="Arial"/>
                <w:bCs/>
                <w:sz w:val="22"/>
                <w:szCs w:val="22"/>
              </w:rPr>
            </w:pPr>
          </w:p>
          <w:p w14:paraId="66ED36C6" w14:textId="77777777" w:rsidR="00C35240" w:rsidRPr="00230F35" w:rsidRDefault="00C35240" w:rsidP="0082232E">
            <w:pPr>
              <w:pStyle w:val="NormalWeb"/>
              <w:spacing w:before="0" w:beforeAutospacing="0" w:after="0" w:afterAutospacing="0"/>
              <w:ind w:right="-334"/>
              <w:rPr>
                <w:rFonts w:ascii="Arial" w:hAnsi="Arial" w:cs="Arial"/>
                <w:bCs/>
                <w:sz w:val="22"/>
                <w:szCs w:val="22"/>
              </w:rPr>
            </w:pPr>
          </w:p>
        </w:tc>
      </w:tr>
      <w:tr w:rsidR="00C35240" w:rsidRPr="002F467C" w14:paraId="2732F3A6" w14:textId="77777777" w:rsidTr="0082232E">
        <w:trPr>
          <w:trHeight w:val="720"/>
        </w:trPr>
        <w:tc>
          <w:tcPr>
            <w:tcW w:w="5211" w:type="dxa"/>
            <w:gridSpan w:val="2"/>
          </w:tcPr>
          <w:p w14:paraId="0615FB9F" w14:textId="77777777" w:rsidR="00C35240" w:rsidRPr="00230F35" w:rsidRDefault="00C35240" w:rsidP="0082232E">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1462A3CF" w14:textId="77777777" w:rsidR="00C35240" w:rsidRPr="00230F35" w:rsidRDefault="00C35240" w:rsidP="0082232E">
            <w:pPr>
              <w:rPr>
                <w:rFonts w:ascii="Arial" w:hAnsi="Arial" w:cs="Arial"/>
                <w:sz w:val="22"/>
                <w:szCs w:val="22"/>
              </w:rPr>
            </w:pPr>
            <w:r w:rsidRPr="00230F35">
              <w:rPr>
                <w:rFonts w:ascii="Arial" w:hAnsi="Arial" w:cs="Arial"/>
                <w:sz w:val="22"/>
                <w:szCs w:val="22"/>
              </w:rPr>
              <w:t>Date:</w:t>
            </w:r>
          </w:p>
        </w:tc>
      </w:tr>
    </w:tbl>
    <w:p w14:paraId="1E9031C0" w14:textId="77777777" w:rsidR="006150E1" w:rsidRDefault="006150E1" w:rsidP="006150E1">
      <w:pPr>
        <w:pStyle w:val="Heading1"/>
      </w:pPr>
      <w:r>
        <w:t>Introduction</w:t>
      </w:r>
    </w:p>
    <w:p w14:paraId="122DE8CC" w14:textId="224143BD" w:rsidR="00C55859" w:rsidRPr="00C55859" w:rsidRDefault="006150E1" w:rsidP="00C55859">
      <w:pPr>
        <w:rPr>
          <w:iCs/>
        </w:rPr>
      </w:pPr>
      <w:r>
        <w:t xml:space="preserve">This is a critical review of </w:t>
      </w:r>
      <w:r w:rsidR="00B7693F" w:rsidRPr="00B7693F">
        <w:rPr>
          <w:rStyle w:val="Emphasis"/>
        </w:rPr>
        <w:t>The Orientation of Churches: Some New Evidence</w:t>
      </w:r>
      <w:r w:rsidR="00B7693F">
        <w:t xml:space="preserve"> by Jason R Ali and Peter Cunich, and </w:t>
      </w:r>
      <w:r w:rsidR="00BE07BE" w:rsidRPr="00BE07BE">
        <w:rPr>
          <w:i/>
        </w:rPr>
        <w:t>The Orientation of Cistercian Churches in Wales: a cultural astronomy case study</w:t>
      </w:r>
      <w:r w:rsidR="00BE07BE">
        <w:t xml:space="preserve"> by Bernadette Brady, Darrelyn Gunzberg and Fabio Silva</w:t>
      </w:r>
      <w:r w:rsidR="00B7693F">
        <w:t>.</w:t>
      </w:r>
      <w:r w:rsidR="00B7693F">
        <w:rPr>
          <w:rStyle w:val="FootnoteReference"/>
        </w:rPr>
        <w:footnoteReference w:id="1"/>
      </w:r>
      <w:r w:rsidR="00453777">
        <w:t xml:space="preserve"> This essay will </w:t>
      </w:r>
      <w:r w:rsidR="00882FAA">
        <w:t>describe the audience and overview of both papers before</w:t>
      </w:r>
      <w:r w:rsidR="009F6666">
        <w:t xml:space="preserve"> examining the </w:t>
      </w:r>
      <w:r w:rsidR="00F41B9C">
        <w:t>methodologies in each, focusin</w:t>
      </w:r>
      <w:r w:rsidR="009F06F9">
        <w:t xml:space="preserve">g on consideration of landscape, and </w:t>
      </w:r>
      <w:r w:rsidR="00F41B9C">
        <w:t xml:space="preserve">contrasting </w:t>
      </w:r>
      <w:r w:rsidR="005D7E98">
        <w:t xml:space="preserve">the </w:t>
      </w:r>
      <w:r w:rsidR="00F41B9C">
        <w:t xml:space="preserve">case-study </w:t>
      </w:r>
      <w:r w:rsidR="007A28DB">
        <w:t>vs</w:t>
      </w:r>
      <w:r w:rsidR="00F41B9C">
        <w:t xml:space="preserve"> statistical </w:t>
      </w:r>
      <w:r w:rsidR="005F7899">
        <w:t>methodologies</w:t>
      </w:r>
      <w:r w:rsidR="009F6666">
        <w:t xml:space="preserve"> </w:t>
      </w:r>
      <w:r w:rsidR="00F22FE5">
        <w:t>employed</w:t>
      </w:r>
      <w:r w:rsidR="00BE07BE">
        <w:t>.</w:t>
      </w:r>
      <w:r w:rsidR="001F1D10">
        <w:t xml:space="preserve"> For brevity, this essay will refer to Ali and Cunich’s article as </w:t>
      </w:r>
      <w:r w:rsidR="001F1D10" w:rsidRPr="001E3CB7">
        <w:rPr>
          <w:rStyle w:val="Emphasis"/>
        </w:rPr>
        <w:t>Some New Evidence</w:t>
      </w:r>
      <w:r w:rsidR="001F1D10">
        <w:t xml:space="preserve">, and </w:t>
      </w:r>
      <w:r w:rsidR="001E3CB7">
        <w:t xml:space="preserve">Brady, Gunzberg and Silva’s </w:t>
      </w:r>
      <w:r w:rsidR="00E0775E">
        <w:t>article</w:t>
      </w:r>
      <w:r w:rsidR="001E3CB7">
        <w:t xml:space="preserve"> as </w:t>
      </w:r>
      <w:r w:rsidR="00582EFC">
        <w:rPr>
          <w:rStyle w:val="Emphasis"/>
        </w:rPr>
        <w:t>A Case S</w:t>
      </w:r>
      <w:r w:rsidR="001E3CB7" w:rsidRPr="001E3CB7">
        <w:rPr>
          <w:rStyle w:val="Emphasis"/>
        </w:rPr>
        <w:t>tudy</w:t>
      </w:r>
      <w:r w:rsidR="001E3CB7">
        <w:rPr>
          <w:rStyle w:val="Emphasis"/>
        </w:rPr>
        <w:t>.</w:t>
      </w:r>
    </w:p>
    <w:p w14:paraId="282BBAF2" w14:textId="0342DBF0" w:rsidR="006150E1" w:rsidRDefault="00C55859" w:rsidP="006150E1">
      <w:pPr>
        <w:pStyle w:val="Heading1"/>
      </w:pPr>
      <w:r>
        <w:t>Audience</w:t>
      </w:r>
    </w:p>
    <w:p w14:paraId="174BDBD7" w14:textId="4F56B3F5" w:rsidR="00B7693F" w:rsidRDefault="001C7CBE" w:rsidP="006150E1">
      <w:r>
        <w:t xml:space="preserve">Before examining the methodologies of both papers, a comparison of the audience </w:t>
      </w:r>
      <w:r w:rsidR="009768BA">
        <w:t>may help establish context</w:t>
      </w:r>
      <w:r>
        <w:t xml:space="preserve">. </w:t>
      </w:r>
      <w:r w:rsidR="0038700D" w:rsidRPr="001C7CBE">
        <w:rPr>
          <w:rStyle w:val="Emphasis"/>
        </w:rPr>
        <w:t>Some New Evidence</w:t>
      </w:r>
      <w:r w:rsidR="0038700D">
        <w:t xml:space="preserve"> is published in </w:t>
      </w:r>
      <w:r w:rsidR="0038700D" w:rsidRPr="0038700D">
        <w:rPr>
          <w:rStyle w:val="Emphasis"/>
        </w:rPr>
        <w:t>The Antiquaries Journal</w:t>
      </w:r>
      <w:r w:rsidR="00771952">
        <w:t xml:space="preserve">, </w:t>
      </w:r>
      <w:r w:rsidR="0038700D">
        <w:t xml:space="preserve">which describes </w:t>
      </w:r>
      <w:r>
        <w:t>its focus as the study of material culture</w:t>
      </w:r>
      <w:r w:rsidR="00880580">
        <w:t>,</w:t>
      </w:r>
      <w:r>
        <w:t xml:space="preserve"> addressing multi</w:t>
      </w:r>
      <w:r w:rsidR="00097EBF">
        <w:t>-perspective research questions, including “</w:t>
      </w:r>
      <w:r>
        <w:t>a</w:t>
      </w:r>
      <w:r w:rsidRPr="001C7CBE">
        <w:t>rchitectural, linguistic, archaeological and scientific data</w:t>
      </w:r>
      <w:r>
        <w:t>, archaeology and art history”.</w:t>
      </w:r>
      <w:r w:rsidR="002B6BC6">
        <w:rPr>
          <w:rStyle w:val="FootnoteReference"/>
        </w:rPr>
        <w:footnoteReference w:id="2"/>
      </w:r>
      <w:r w:rsidR="00A874E6">
        <w:t xml:space="preserve"> </w:t>
      </w:r>
      <w:r w:rsidR="000B0244">
        <w:rPr>
          <w:rStyle w:val="Emphasis"/>
        </w:rPr>
        <w:t xml:space="preserve">A </w:t>
      </w:r>
      <w:r w:rsidR="00582EFC">
        <w:rPr>
          <w:rStyle w:val="Emphasis"/>
        </w:rPr>
        <w:t>Case S</w:t>
      </w:r>
      <w:r w:rsidR="00845DB1" w:rsidRPr="00582EFC">
        <w:rPr>
          <w:rStyle w:val="Emphasis"/>
        </w:rPr>
        <w:t>tudy</w:t>
      </w:r>
      <w:r w:rsidR="00097EBF">
        <w:t xml:space="preserve"> </w:t>
      </w:r>
      <w:r w:rsidR="00845DB1">
        <w:t xml:space="preserve">is published by </w:t>
      </w:r>
      <w:r w:rsidR="00845DB1" w:rsidRPr="00582EFC">
        <w:rPr>
          <w:rStyle w:val="Emphasis"/>
        </w:rPr>
        <w:t>Cîteaux – Commentarii cistercienses</w:t>
      </w:r>
      <w:r w:rsidR="00845DB1">
        <w:t xml:space="preserve">, a peer-reviewed journal </w:t>
      </w:r>
      <w:r w:rsidR="00097EBF">
        <w:t>focusing</w:t>
      </w:r>
      <w:r w:rsidR="00845DB1">
        <w:t xml:space="preserve"> on research of Cistercian history, “including </w:t>
      </w:r>
      <w:r w:rsidR="00845DB1" w:rsidRPr="00845DB1">
        <w:t>literature, art, architecture, archaeology</w:t>
      </w:r>
      <w:r w:rsidR="00845DB1">
        <w:t>”.</w:t>
      </w:r>
      <w:r w:rsidR="00845DB1">
        <w:rPr>
          <w:rStyle w:val="FootnoteReference"/>
        </w:rPr>
        <w:footnoteReference w:id="3"/>
      </w:r>
      <w:r w:rsidR="00845DB1">
        <w:t xml:space="preserve"> </w:t>
      </w:r>
      <w:r w:rsidR="00880580">
        <w:t>Both papers</w:t>
      </w:r>
      <w:r w:rsidR="00C0350B">
        <w:t>, therefore,</w:t>
      </w:r>
      <w:r w:rsidR="00880580">
        <w:t xml:space="preserve"> are published by academic or peer-reviewed specialist journals</w:t>
      </w:r>
      <w:r w:rsidR="006B0514">
        <w:t xml:space="preserve"> which </w:t>
      </w:r>
      <w:r w:rsidR="00DD76A2">
        <w:t>include</w:t>
      </w:r>
      <w:r w:rsidR="006B0514">
        <w:t xml:space="preserve"> </w:t>
      </w:r>
      <w:r w:rsidR="00DD76A2">
        <w:t>similar remits of study</w:t>
      </w:r>
      <w:r w:rsidR="006D5B15">
        <w:t xml:space="preserve">. However, where </w:t>
      </w:r>
      <w:r w:rsidR="00880580" w:rsidRPr="00582EFC">
        <w:rPr>
          <w:rStyle w:val="Emphasis"/>
        </w:rPr>
        <w:t>Some New Ev</w:t>
      </w:r>
      <w:r w:rsidR="00582EFC" w:rsidRPr="00582EFC">
        <w:rPr>
          <w:rStyle w:val="Emphasis"/>
        </w:rPr>
        <w:t>idence</w:t>
      </w:r>
      <w:r w:rsidR="00582EFC">
        <w:t xml:space="preserve"> </w:t>
      </w:r>
      <w:r w:rsidR="006D5B15">
        <w:t xml:space="preserve">is </w:t>
      </w:r>
      <w:r w:rsidR="00582EFC">
        <w:t>published by a jo</w:t>
      </w:r>
      <w:r w:rsidR="00DF05F9">
        <w:t xml:space="preserve">urnal focusing broadly </w:t>
      </w:r>
      <w:r w:rsidR="00582EFC">
        <w:t>on material culture,</w:t>
      </w:r>
      <w:r w:rsidR="00950709">
        <w:t xml:space="preserve"> </w:t>
      </w:r>
      <w:r w:rsidR="00582EFC">
        <w:rPr>
          <w:rStyle w:val="Emphasis"/>
        </w:rPr>
        <w:t>A Case S</w:t>
      </w:r>
      <w:r w:rsidR="00582EFC" w:rsidRPr="00582EFC">
        <w:rPr>
          <w:rStyle w:val="Emphasis"/>
        </w:rPr>
        <w:t>tudy</w:t>
      </w:r>
      <w:r w:rsidR="00582EFC">
        <w:t xml:space="preserve"> </w:t>
      </w:r>
      <w:r w:rsidR="00950709">
        <w:t xml:space="preserve">is </w:t>
      </w:r>
      <w:r w:rsidR="00582EFC">
        <w:t>published by a journal with a narrower focus on Cistercian history</w:t>
      </w:r>
      <w:r w:rsidR="003D0609">
        <w:t xml:space="preserve"> in particular</w:t>
      </w:r>
      <w:r w:rsidR="00762D5E">
        <w:t>, and so potentially a more specialized audience</w:t>
      </w:r>
      <w:r w:rsidR="00950709">
        <w:t>.</w:t>
      </w:r>
    </w:p>
    <w:p w14:paraId="3986BF8E" w14:textId="739A4B06" w:rsidR="00244839" w:rsidRDefault="00C55859" w:rsidP="005B7BEF">
      <w:pPr>
        <w:pStyle w:val="Heading1"/>
      </w:pPr>
      <w:r>
        <w:t xml:space="preserve">Overview of </w:t>
      </w:r>
      <w:r w:rsidR="005B7BEF">
        <w:t>Articles</w:t>
      </w:r>
    </w:p>
    <w:p w14:paraId="631DE6B8" w14:textId="45544929" w:rsidR="00534035" w:rsidRDefault="00C55859" w:rsidP="00534035">
      <w:r w:rsidRPr="005B7BEF">
        <w:rPr>
          <w:i/>
        </w:rPr>
        <w:t>Some New Evidence</w:t>
      </w:r>
      <w:r>
        <w:t xml:space="preserve"> </w:t>
      </w:r>
      <w:r w:rsidR="00A45671">
        <w:t>explores, via a statistical analysis of azimuthal orientation, the connection between</w:t>
      </w:r>
      <w:r w:rsidR="00DF30C9">
        <w:t xml:space="preserve"> </w:t>
      </w:r>
      <w:r w:rsidR="00937BD3">
        <w:t>British</w:t>
      </w:r>
      <w:r w:rsidR="00A45671">
        <w:t xml:space="preserve"> church alignment and sunrise</w:t>
      </w:r>
      <w:r w:rsidR="005B7BEF">
        <w:t>.</w:t>
      </w:r>
      <w:r w:rsidR="00F82E2A">
        <w:rPr>
          <w:rStyle w:val="FootnoteReference"/>
        </w:rPr>
        <w:footnoteReference w:id="4"/>
      </w:r>
      <w:r w:rsidR="005B7BEF">
        <w:t xml:space="preserve"> </w:t>
      </w:r>
      <w:r w:rsidR="00B85676" w:rsidRPr="00EF2767">
        <w:rPr>
          <w:i/>
        </w:rPr>
        <w:t>A Case Study</w:t>
      </w:r>
      <w:r w:rsidR="00B85676">
        <w:t xml:space="preserve"> </w:t>
      </w:r>
      <w:r w:rsidR="00256D52">
        <w:t>focuses on smaller case-studies of Welsh Cistercian churches, taking local topography into account</w:t>
      </w:r>
      <w:r w:rsidR="00EF2767">
        <w:t>.</w:t>
      </w:r>
      <w:r w:rsidR="00F82E2A">
        <w:rPr>
          <w:rStyle w:val="FootnoteReference"/>
        </w:rPr>
        <w:footnoteReference w:id="5"/>
      </w:r>
      <w:r w:rsidR="00EF2767">
        <w:t xml:space="preserve"> </w:t>
      </w:r>
      <w:r w:rsidR="00C34C99">
        <w:t>Both papers reference William Wordsworth’s view that church alignment took into account “</w:t>
      </w:r>
      <w:r w:rsidR="00E23141" w:rsidRPr="006F3985">
        <w:t>the point in the horizon at which the sun rose upon the day of the saint to whom the church was dedicated</w:t>
      </w:r>
      <w:r w:rsidR="00E23141">
        <w:t>”</w:t>
      </w:r>
      <w:r w:rsidR="004610C6">
        <w:t xml:space="preserve">, and </w:t>
      </w:r>
      <w:r w:rsidR="00E23141">
        <w:t>Benson</w:t>
      </w:r>
      <w:r w:rsidR="007B7014">
        <w:t xml:space="preserve"> who</w:t>
      </w:r>
      <w:r w:rsidR="000857B4">
        <w:t>, in 1956</w:t>
      </w:r>
      <w:r w:rsidR="00577440">
        <w:t>, explores</w:t>
      </w:r>
      <w:r w:rsidR="00AE313A">
        <w:t xml:space="preserve"> whether </w:t>
      </w:r>
      <w:r w:rsidR="00577440">
        <w:t>Wordsworth’s</w:t>
      </w:r>
      <w:r w:rsidR="00AE313A">
        <w:t xml:space="preserve"> statement contains any truth</w:t>
      </w:r>
      <w:r w:rsidR="00E23141">
        <w:t>.</w:t>
      </w:r>
      <w:r w:rsidR="00E23141">
        <w:rPr>
          <w:rStyle w:val="FootnoteReference"/>
        </w:rPr>
        <w:footnoteReference w:id="6"/>
      </w:r>
      <w:r w:rsidR="005817C6">
        <w:t xml:space="preserve"> </w:t>
      </w:r>
      <w:r w:rsidR="005D274A">
        <w:t>L</w:t>
      </w:r>
      <w:r w:rsidR="00AF4890">
        <w:t xml:space="preserve">ike Benson, </w:t>
      </w:r>
      <w:r w:rsidR="005D274A">
        <w:t>both papers</w:t>
      </w:r>
      <w:r w:rsidR="00852990">
        <w:t>, therefore,</w:t>
      </w:r>
      <w:r w:rsidR="00092894">
        <w:t xml:space="preserve"> examine</w:t>
      </w:r>
      <w:r w:rsidR="00E23141">
        <w:t xml:space="preserve"> </w:t>
      </w:r>
      <w:r w:rsidR="00BD65F2">
        <w:t>church alignment</w:t>
      </w:r>
      <w:r w:rsidR="00E23141">
        <w:t xml:space="preserve"> on meaningful dates connected </w:t>
      </w:r>
      <w:r w:rsidR="00BD65F2">
        <w:t>to sunrise</w:t>
      </w:r>
      <w:r w:rsidR="00A95B8A">
        <w:t>, as suggested by Wordsworth</w:t>
      </w:r>
      <w:r w:rsidR="00DB20C4">
        <w:t>,</w:t>
      </w:r>
      <w:r w:rsidR="00C6426D">
        <w:t xml:space="preserve"> but </w:t>
      </w:r>
      <w:r w:rsidR="00605E84">
        <w:t xml:space="preserve">differ in their understanding of landscape and the </w:t>
      </w:r>
      <w:r w:rsidR="00E23141">
        <w:t>scope of examples studied.</w:t>
      </w:r>
      <w:r w:rsidR="00534035" w:rsidRPr="00534035">
        <w:t xml:space="preserve"> </w:t>
      </w:r>
    </w:p>
    <w:p w14:paraId="0D291DD4" w14:textId="77777777" w:rsidR="00534035" w:rsidRDefault="00534035" w:rsidP="00534035">
      <w:pPr>
        <w:pStyle w:val="Heading1"/>
      </w:pPr>
      <w:r>
        <w:t>Topography vs symbolic horizon</w:t>
      </w:r>
    </w:p>
    <w:p w14:paraId="62337932" w14:textId="1747182A" w:rsidR="006F4B2B" w:rsidRDefault="00BB1490" w:rsidP="006150E1">
      <w:r w:rsidRPr="00BB1490">
        <w:t xml:space="preserve">Both papers differ in their </w:t>
      </w:r>
      <w:r>
        <w:t>utilisation</w:t>
      </w:r>
      <w:r w:rsidRPr="00BB1490">
        <w:t xml:space="preserve"> of horizon.</w:t>
      </w:r>
      <w:r>
        <w:rPr>
          <w:i/>
        </w:rPr>
        <w:t xml:space="preserve"> </w:t>
      </w:r>
      <w:r w:rsidR="00A96646" w:rsidRPr="00A96646">
        <w:rPr>
          <w:i/>
        </w:rPr>
        <w:t>Some New Evidence</w:t>
      </w:r>
      <w:r w:rsidR="00A96646">
        <w:t xml:space="preserve"> </w:t>
      </w:r>
      <w:r w:rsidR="00F96DAB">
        <w:t>uti</w:t>
      </w:r>
      <w:r w:rsidR="001D15A4">
        <w:t xml:space="preserve">lizes only </w:t>
      </w:r>
      <w:r w:rsidR="00F96DAB">
        <w:t>the calculation of azimuth in</w:t>
      </w:r>
      <w:r w:rsidR="00A96646">
        <w:t xml:space="preserve"> their s</w:t>
      </w:r>
      <w:r w:rsidR="001D15A4">
        <w:t xml:space="preserve">tudy, suggesting </w:t>
      </w:r>
      <w:r w:rsidR="00D5706A">
        <w:t xml:space="preserve">a </w:t>
      </w:r>
      <w:r w:rsidR="00A96646">
        <w:t>planar landscape.</w:t>
      </w:r>
      <w:r w:rsidR="00A96646">
        <w:rPr>
          <w:rStyle w:val="FootnoteReference"/>
        </w:rPr>
        <w:footnoteReference w:id="7"/>
      </w:r>
      <w:r w:rsidR="00A96646">
        <w:t xml:space="preserve"> </w:t>
      </w:r>
      <w:r w:rsidR="002B547F">
        <w:t>T</w:t>
      </w:r>
      <w:r w:rsidR="00A96646">
        <w:t>his</w:t>
      </w:r>
      <w:r w:rsidR="00D91653">
        <w:t xml:space="preserve"> astronomically-informed</w:t>
      </w:r>
      <w:r w:rsidR="00A96646">
        <w:t xml:space="preserve"> approach seems to imagine, a priori, that</w:t>
      </w:r>
      <w:r w:rsidR="00AB2502">
        <w:t xml:space="preserve"> symbolic </w:t>
      </w:r>
      <w:r w:rsidR="00A96646">
        <w:t xml:space="preserve">landscapes were culturally significant to the builders. Benson warns against </w:t>
      </w:r>
      <w:r w:rsidR="002F3A39">
        <w:t>this</w:t>
      </w:r>
      <w:r w:rsidR="00A96646">
        <w:t xml:space="preserve"> approach noting “</w:t>
      </w:r>
      <w:r w:rsidR="002F3A39" w:rsidRPr="002F3A39">
        <w:t>local horizon is of great importance</w:t>
      </w:r>
      <w:r w:rsidR="00D3712F">
        <w:t>” and “</w:t>
      </w:r>
      <w:r w:rsidR="00A96646">
        <w:t>a</w:t>
      </w:r>
      <w:r w:rsidR="00A96646" w:rsidRPr="00A96646">
        <w:t>ll deductions based on an assumption that every horizon measures o° o' will be false</w:t>
      </w:r>
      <w:r w:rsidR="00A96646">
        <w:t>”, in other words that local topography is required to accurately measure local sunrise at a given location</w:t>
      </w:r>
      <w:r w:rsidR="00A7199F">
        <w:t xml:space="preserve"> </w:t>
      </w:r>
      <w:r w:rsidR="00262917">
        <w:t>and that measurement of symbolic landscape alone would provide false results</w:t>
      </w:r>
      <w:r w:rsidR="00A96646">
        <w:t>.</w:t>
      </w:r>
      <w:r w:rsidR="00A7199F">
        <w:rPr>
          <w:rStyle w:val="FootnoteReference"/>
        </w:rPr>
        <w:footnoteReference w:id="8"/>
      </w:r>
      <w:r w:rsidR="00A96646">
        <w:t xml:space="preserve"> </w:t>
      </w:r>
      <w:r w:rsidR="00E575A5">
        <w:t xml:space="preserve">Like Benson, </w:t>
      </w:r>
      <w:r w:rsidR="00600C22">
        <w:t xml:space="preserve">Clive </w:t>
      </w:r>
      <w:r w:rsidR="00E575A5">
        <w:t>Ruggles highlights</w:t>
      </w:r>
      <w:r w:rsidR="00074B0C">
        <w:t xml:space="preserve"> criticism of</w:t>
      </w:r>
      <w:r w:rsidR="006C541E">
        <w:t xml:space="preserve"> </w:t>
      </w:r>
      <w:r w:rsidR="00E575A5">
        <w:t xml:space="preserve">the assumption that alignments are purely astronomical, and suggests </w:t>
      </w:r>
      <w:r w:rsidR="0046494F">
        <w:t xml:space="preserve">multi-variant reasons for alignment, including </w:t>
      </w:r>
      <w:r w:rsidR="00E575A5">
        <w:t>“topo</w:t>
      </w:r>
      <w:r w:rsidR="00E575A5" w:rsidRPr="00E575A5">
        <w:t>graphic features in the surrounding landscape</w:t>
      </w:r>
      <w:r w:rsidR="00E575A5">
        <w:t>”</w:t>
      </w:r>
      <w:r w:rsidR="0046494F">
        <w:t xml:space="preserve">, in other words local place </w:t>
      </w:r>
      <w:r w:rsidR="005A0487">
        <w:t>should be considered alongside</w:t>
      </w:r>
      <w:r w:rsidR="0046494F">
        <w:t xml:space="preserve"> purely astronomical measurements.</w:t>
      </w:r>
      <w:r w:rsidR="0046494F">
        <w:rPr>
          <w:rStyle w:val="FootnoteReference"/>
        </w:rPr>
        <w:footnoteReference w:id="9"/>
      </w:r>
      <w:r w:rsidR="00FE51E6">
        <w:t xml:space="preserve"> </w:t>
      </w:r>
      <w:r w:rsidR="00A96646">
        <w:t xml:space="preserve">In contrast, the authors of </w:t>
      </w:r>
      <w:r w:rsidR="00A96646" w:rsidRPr="002F1851">
        <w:rPr>
          <w:i/>
        </w:rPr>
        <w:t>A Case Study</w:t>
      </w:r>
      <w:r w:rsidR="00C81F32">
        <w:t xml:space="preserve"> </w:t>
      </w:r>
      <w:r w:rsidR="004B3F92">
        <w:t xml:space="preserve">do </w:t>
      </w:r>
      <w:r w:rsidR="00C81F32">
        <w:t xml:space="preserve">measure </w:t>
      </w:r>
      <w:r w:rsidR="004B3F92">
        <w:t>against the local topography by</w:t>
      </w:r>
      <w:r w:rsidR="002F1851">
        <w:t xml:space="preserve"> taking into consideration </w:t>
      </w:r>
      <w:r w:rsidR="00C81F32">
        <w:t>altitude</w:t>
      </w:r>
      <w:r w:rsidR="00F03ABE">
        <w:t xml:space="preserve"> as well as</w:t>
      </w:r>
      <w:r w:rsidR="004B3F92">
        <w:t xml:space="preserve"> azimuth</w:t>
      </w:r>
      <w:r w:rsidR="009E2D77">
        <w:t xml:space="preserve">, noting that this can shift </w:t>
      </w:r>
      <w:r w:rsidR="00250A91">
        <w:t>church alignment</w:t>
      </w:r>
      <w:r w:rsidR="009E2D77">
        <w:t xml:space="preserve"> by several degrees</w:t>
      </w:r>
      <w:r w:rsidR="00C06146">
        <w:t xml:space="preserve"> from azimuth calculation alone</w:t>
      </w:r>
      <w:r w:rsidR="00A7199F">
        <w:t>.</w:t>
      </w:r>
      <w:r w:rsidR="00A7199F">
        <w:rPr>
          <w:rStyle w:val="FootnoteReference"/>
        </w:rPr>
        <w:footnoteReference w:id="10"/>
      </w:r>
      <w:r w:rsidR="002F1851">
        <w:t xml:space="preserve"> </w:t>
      </w:r>
    </w:p>
    <w:p w14:paraId="6CD58573" w14:textId="37C5F4D8" w:rsidR="00C55859" w:rsidRPr="008D510D" w:rsidRDefault="004C10DE" w:rsidP="006150E1">
      <w:r>
        <w:t xml:space="preserve">A major difference between the two papers, therefore, is that </w:t>
      </w:r>
      <w:r w:rsidRPr="00626618">
        <w:rPr>
          <w:i/>
        </w:rPr>
        <w:t>Some New Evidence</w:t>
      </w:r>
      <w:r>
        <w:t xml:space="preserve"> ignores local topography</w:t>
      </w:r>
      <w:r w:rsidR="000C003C">
        <w:t xml:space="preserve">, measuring only a symbolic rather than actual </w:t>
      </w:r>
      <w:r w:rsidR="00271F4B">
        <w:t>horizon</w:t>
      </w:r>
      <w:r w:rsidR="0051463D">
        <w:t>,</w:t>
      </w:r>
      <w:r>
        <w:t xml:space="preserve"> whereas </w:t>
      </w:r>
      <w:r w:rsidRPr="00626618">
        <w:rPr>
          <w:i/>
        </w:rPr>
        <w:t>A Case Study</w:t>
      </w:r>
      <w:r>
        <w:t xml:space="preserve"> includes local elements including topography so as to more accurately measure the observed sunrise for that location</w:t>
      </w:r>
      <w:r w:rsidR="004B3F92">
        <w:t>, just as Benson and Ruggles advise</w:t>
      </w:r>
      <w:r>
        <w:t>.</w:t>
      </w:r>
      <w:r w:rsidR="006619A8">
        <w:t xml:space="preserve"> It is unclear if </w:t>
      </w:r>
      <w:r w:rsidR="006619A8" w:rsidRPr="008D510D">
        <w:rPr>
          <w:i/>
        </w:rPr>
        <w:t>Some New Evidence</w:t>
      </w:r>
      <w:r w:rsidR="006619A8">
        <w:t xml:space="preserve"> ignores this </w:t>
      </w:r>
      <w:r w:rsidR="008D510D">
        <w:t>consideration deliberately or without recognising the importance of its inclusion.</w:t>
      </w:r>
    </w:p>
    <w:p w14:paraId="31DB107B" w14:textId="63D00815" w:rsidR="001E3CB7" w:rsidRDefault="00F83CD2" w:rsidP="00F83CD2">
      <w:pPr>
        <w:pStyle w:val="Heading1"/>
      </w:pPr>
      <w:r>
        <w:t>Case Study vs Statistics</w:t>
      </w:r>
    </w:p>
    <w:p w14:paraId="6E693BC8" w14:textId="77777777" w:rsidR="00BD39A0" w:rsidRDefault="00C61F7B" w:rsidP="006150E1">
      <w:r>
        <w:t xml:space="preserve">Both papers differ in the scope of their study. </w:t>
      </w:r>
      <w:r w:rsidR="001650B1">
        <w:t>McCluskey</w:t>
      </w:r>
      <w:r w:rsidR="00581BAE">
        <w:t xml:space="preserve"> </w:t>
      </w:r>
      <w:r w:rsidR="006C6565">
        <w:t xml:space="preserve">argues that </w:t>
      </w:r>
      <w:r w:rsidR="007A13E4">
        <w:t xml:space="preserve">evidence of </w:t>
      </w:r>
      <w:r w:rsidR="006C6565">
        <w:t>orientation is only meaningful when it is beyond</w:t>
      </w:r>
      <w:r w:rsidR="00581BAE" w:rsidRPr="00581BAE">
        <w:t xml:space="preserve"> </w:t>
      </w:r>
      <w:r w:rsidR="006C6565">
        <w:t>“</w:t>
      </w:r>
      <w:r w:rsidR="00581BAE" w:rsidRPr="00581BAE">
        <w:t>what we would expect by chance</w:t>
      </w:r>
      <w:r w:rsidR="00581BAE">
        <w:t>”,</w:t>
      </w:r>
      <w:r w:rsidR="00145255">
        <w:t xml:space="preserve"> </w:t>
      </w:r>
      <w:r w:rsidR="003A7772">
        <w:t xml:space="preserve">suggesting therefore </w:t>
      </w:r>
      <w:r w:rsidR="00581BAE">
        <w:t xml:space="preserve">that </w:t>
      </w:r>
      <w:r w:rsidR="007A13E4">
        <w:t>evidence should be statistically meaningful</w:t>
      </w:r>
      <w:r w:rsidR="00581BAE">
        <w:t>.</w:t>
      </w:r>
      <w:r w:rsidR="00581BAE">
        <w:rPr>
          <w:rStyle w:val="FootnoteReference"/>
        </w:rPr>
        <w:footnoteReference w:id="11"/>
      </w:r>
      <w:r w:rsidR="00581BAE">
        <w:t xml:space="preserve"> </w:t>
      </w:r>
      <w:r w:rsidR="00120D3D">
        <w:t>Similarly</w:t>
      </w:r>
      <w:r w:rsidR="00595BF0">
        <w:t>,</w:t>
      </w:r>
      <w:r w:rsidR="009E3D58">
        <w:t xml:space="preserve"> </w:t>
      </w:r>
      <w:r w:rsidR="00613C00" w:rsidRPr="00613C00">
        <w:rPr>
          <w:i/>
        </w:rPr>
        <w:t>Some New Evidence</w:t>
      </w:r>
      <w:r w:rsidR="00613C00">
        <w:t xml:space="preserve"> </w:t>
      </w:r>
      <w:r w:rsidR="00595BF0">
        <w:t xml:space="preserve">describe their study </w:t>
      </w:r>
      <w:r w:rsidR="00F37AAA">
        <w:t>as a</w:t>
      </w:r>
      <w:r w:rsidR="00FA0CCF">
        <w:t xml:space="preserve"> </w:t>
      </w:r>
      <w:r w:rsidR="00120D3D">
        <w:t xml:space="preserve">being a </w:t>
      </w:r>
      <w:r w:rsidR="00FA0CCF">
        <w:t>“simple statistical treatment”</w:t>
      </w:r>
      <w:r w:rsidR="009E3D58">
        <w:t xml:space="preserve"> </w:t>
      </w:r>
      <w:r w:rsidR="00FA0CCF">
        <w:t>and</w:t>
      </w:r>
      <w:r w:rsidR="00120D3D">
        <w:t xml:space="preserve"> </w:t>
      </w:r>
      <w:r w:rsidR="00FA0CCF">
        <w:t>“statistically meaningful”</w:t>
      </w:r>
      <w:r w:rsidR="00F143FB">
        <w:t>, preferring large samples</w:t>
      </w:r>
      <w:r w:rsidR="00FA0CCF">
        <w:t>.</w:t>
      </w:r>
      <w:r w:rsidR="00FA0CCF">
        <w:rPr>
          <w:rStyle w:val="FootnoteReference"/>
        </w:rPr>
        <w:footnoteReference w:id="12"/>
      </w:r>
      <w:r w:rsidR="007C2249">
        <w:t xml:space="preserve"> </w:t>
      </w:r>
      <w:r w:rsidR="00BA754A">
        <w:t>In contrast, the</w:t>
      </w:r>
      <w:r w:rsidR="00AB01BF">
        <w:t xml:space="preserve"> authors of </w:t>
      </w:r>
      <w:r w:rsidR="00AB01BF" w:rsidRPr="00AB01BF">
        <w:rPr>
          <w:i/>
        </w:rPr>
        <w:t>A Case Study</w:t>
      </w:r>
      <w:r w:rsidR="002B5E4F">
        <w:rPr>
          <w:i/>
        </w:rPr>
        <w:t xml:space="preserve"> </w:t>
      </w:r>
      <w:r w:rsidR="002B5E4F" w:rsidRPr="002B5E4F">
        <w:t>are informed</w:t>
      </w:r>
      <w:r w:rsidR="00CD3136">
        <w:t xml:space="preserve"> by Lane’s view that “story emerges from place”</w:t>
      </w:r>
      <w:r w:rsidR="003D47D9">
        <w:t xml:space="preserve">, </w:t>
      </w:r>
      <w:r w:rsidR="0063103A">
        <w:t>arguing</w:t>
      </w:r>
      <w:r w:rsidR="003D47D9">
        <w:t xml:space="preserve"> </w:t>
      </w:r>
      <w:r w:rsidR="00CD3136">
        <w:t>that each building is a “unique case study”</w:t>
      </w:r>
      <w:r w:rsidR="00C62EAB">
        <w:t xml:space="preserve">, </w:t>
      </w:r>
      <w:r w:rsidR="003F5175">
        <w:t>preferring, therefore, case-studies of a smaller sample</w:t>
      </w:r>
      <w:r w:rsidR="00CD3136">
        <w:t>.</w:t>
      </w:r>
      <w:r w:rsidR="00CD3136">
        <w:rPr>
          <w:rStyle w:val="FootnoteReference"/>
        </w:rPr>
        <w:footnoteReference w:id="13"/>
      </w:r>
      <w:r w:rsidR="001F664D">
        <w:t xml:space="preserve"> They</w:t>
      </w:r>
      <w:r w:rsidR="00CD3136">
        <w:t xml:space="preserve"> describe </w:t>
      </w:r>
      <w:r w:rsidR="00951863">
        <w:t xml:space="preserve">McCluskey’s statistical preference as being “in contrast with the work of Benson”, </w:t>
      </w:r>
      <w:r w:rsidR="002709F7">
        <w:t xml:space="preserve">noting </w:t>
      </w:r>
      <w:r w:rsidR="00DB00D3">
        <w:t>that</w:t>
      </w:r>
      <w:r w:rsidR="007E79E9">
        <w:t xml:space="preserve"> Benson</w:t>
      </w:r>
      <w:r w:rsidR="00951863">
        <w:t xml:space="preserve"> took local </w:t>
      </w:r>
      <w:r w:rsidR="00F37AAA">
        <w:t xml:space="preserve">or cultural </w:t>
      </w:r>
      <w:r w:rsidR="00951863">
        <w:t>considerations into account</w:t>
      </w:r>
      <w:r w:rsidR="002709F7">
        <w:t xml:space="preserve">, </w:t>
      </w:r>
      <w:r w:rsidR="0038198A">
        <w:t>suggesting</w:t>
      </w:r>
      <w:r w:rsidR="002709F7">
        <w:t xml:space="preserve"> that </w:t>
      </w:r>
      <w:r w:rsidR="00A41475">
        <w:t>inclusion of local</w:t>
      </w:r>
      <w:r w:rsidR="002709F7">
        <w:t xml:space="preserve"> </w:t>
      </w:r>
      <w:r w:rsidR="00A41475">
        <w:t>consideration</w:t>
      </w:r>
      <w:r w:rsidR="002709F7">
        <w:t xml:space="preserve"> is the source of the contrast</w:t>
      </w:r>
      <w:r w:rsidR="001A0CB9">
        <w:t>.</w:t>
      </w:r>
      <w:r w:rsidR="00951863">
        <w:rPr>
          <w:rStyle w:val="FootnoteReference"/>
        </w:rPr>
        <w:footnoteReference w:id="14"/>
      </w:r>
      <w:r w:rsidR="00951863">
        <w:t xml:space="preserve"> </w:t>
      </w:r>
      <w:r w:rsidR="00A41524">
        <w:t>The dichotomy</w:t>
      </w:r>
      <w:r w:rsidR="00E06788">
        <w:t xml:space="preserve"> </w:t>
      </w:r>
      <w:r w:rsidR="00A41524">
        <w:t>between statistics and multi-disciplinary approaches</w:t>
      </w:r>
      <w:r w:rsidR="00E06788">
        <w:t xml:space="preserve"> to archaeoastronomy</w:t>
      </w:r>
      <w:r w:rsidR="00A41524">
        <w:t xml:space="preserve"> </w:t>
      </w:r>
      <w:r w:rsidR="006E3EF5">
        <w:t>is reminiscent of</w:t>
      </w:r>
      <w:r w:rsidR="00453EDA">
        <w:t xml:space="preserve"> Aveni’s</w:t>
      </w:r>
      <w:r w:rsidR="00A41524">
        <w:t xml:space="preserve"> </w:t>
      </w:r>
      <w:r w:rsidR="00453EDA">
        <w:t>categorisation into</w:t>
      </w:r>
      <w:r w:rsidR="00A41524">
        <w:t xml:space="preserve"> a </w:t>
      </w:r>
      <w:r w:rsidR="000C034B">
        <w:t>statistical</w:t>
      </w:r>
      <w:r w:rsidR="00E0054D">
        <w:t>,</w:t>
      </w:r>
      <w:r w:rsidR="00A41524">
        <w:t xml:space="preserve"> “green book” approach</w:t>
      </w:r>
      <w:r w:rsidR="001D02D0">
        <w:t>,</w:t>
      </w:r>
      <w:r w:rsidR="00A41524">
        <w:t xml:space="preserve"> and a multidisciplinary “brown book” approach</w:t>
      </w:r>
      <w:r w:rsidR="006E3EF5">
        <w:t>, as described by Ruggles</w:t>
      </w:r>
      <w:r w:rsidR="00A41524">
        <w:t>.</w:t>
      </w:r>
      <w:r w:rsidR="00A41524">
        <w:rPr>
          <w:rStyle w:val="FootnoteReference"/>
        </w:rPr>
        <w:footnoteReference w:id="15"/>
      </w:r>
      <w:r w:rsidR="00A41524">
        <w:t xml:space="preserve"> Ruggles </w:t>
      </w:r>
      <w:r w:rsidR="00955B94">
        <w:t xml:space="preserve">sees the </w:t>
      </w:r>
      <w:r w:rsidR="002361DA">
        <w:t>statistical</w:t>
      </w:r>
      <w:r w:rsidR="00A41524">
        <w:t xml:space="preserve"> approach</w:t>
      </w:r>
      <w:r w:rsidR="00955B94">
        <w:t xml:space="preserve"> as only an “initial step”</w:t>
      </w:r>
      <w:r w:rsidR="00A41524">
        <w:t>,</w:t>
      </w:r>
      <w:r w:rsidR="00955B94">
        <w:t xml:space="preserve"> </w:t>
      </w:r>
      <w:r w:rsidR="000E0769">
        <w:t>noting</w:t>
      </w:r>
      <w:r w:rsidR="00A41524">
        <w:t xml:space="preserve"> </w:t>
      </w:r>
      <w:r w:rsidR="001233D7">
        <w:t>how</w:t>
      </w:r>
      <w:r w:rsidR="00A41524">
        <w:t xml:space="preserve"> “r</w:t>
      </w:r>
      <w:r w:rsidR="00A41524" w:rsidRPr="003B5F49">
        <w:t>elatively few datasets exist</w:t>
      </w:r>
      <w:r w:rsidR="00A41524">
        <w:t xml:space="preserve">” which are </w:t>
      </w:r>
      <w:r w:rsidR="002955FB">
        <w:t xml:space="preserve">large enough </w:t>
      </w:r>
      <w:r w:rsidR="000E0769">
        <w:t>for</w:t>
      </w:r>
      <w:r w:rsidR="00A930F4">
        <w:t xml:space="preserve"> this approach</w:t>
      </w:r>
      <w:r w:rsidR="004A482C">
        <w:t xml:space="preserve">, </w:t>
      </w:r>
      <w:r w:rsidR="009221C5">
        <w:t xml:space="preserve">and </w:t>
      </w:r>
      <w:r w:rsidR="004A482C">
        <w:t xml:space="preserve">highlighting </w:t>
      </w:r>
      <w:r w:rsidR="002955FB">
        <w:t>the lack of social con</w:t>
      </w:r>
      <w:r w:rsidR="00383A22">
        <w:t xml:space="preserve">sideration, which, for Ruggles </w:t>
      </w:r>
      <w:r w:rsidR="001F11F4">
        <w:t>“</w:t>
      </w:r>
      <w:r w:rsidR="00A41524" w:rsidRPr="003B5F49">
        <w:t>must always play a part in the interpretation</w:t>
      </w:r>
      <w:r w:rsidR="00A41524">
        <w:t>”</w:t>
      </w:r>
      <w:r w:rsidR="00134449">
        <w:t xml:space="preserve">, </w:t>
      </w:r>
      <w:r w:rsidR="00A41524">
        <w:t>in other words</w:t>
      </w:r>
      <w:r w:rsidR="0044554B">
        <w:t>,</w:t>
      </w:r>
      <w:r w:rsidR="00A41524">
        <w:t xml:space="preserve"> that cultural context is lost in the </w:t>
      </w:r>
      <w:r w:rsidR="0044554B">
        <w:t>statistics</w:t>
      </w:r>
      <w:r w:rsidR="00A41524">
        <w:t xml:space="preserve">, which is already </w:t>
      </w:r>
      <w:r w:rsidR="006E7B5C">
        <w:t>hampered by</w:t>
      </w:r>
      <w:r w:rsidR="00A41524">
        <w:t xml:space="preserve"> small sample sizes</w:t>
      </w:r>
      <w:r w:rsidR="00C12EA6">
        <w:t>.</w:t>
      </w:r>
      <w:r w:rsidR="0069462A">
        <w:rPr>
          <w:rStyle w:val="FootnoteReference"/>
        </w:rPr>
        <w:footnoteReference w:id="16"/>
      </w:r>
      <w:r w:rsidR="00C12EA6">
        <w:t xml:space="preserve"> </w:t>
      </w:r>
      <w:r w:rsidR="00A41524">
        <w:t>These short-comings are echoed</w:t>
      </w:r>
      <w:r w:rsidR="008018CD">
        <w:t xml:space="preserve"> by</w:t>
      </w:r>
      <w:r w:rsidR="00113E4B">
        <w:t xml:space="preserve"> </w:t>
      </w:r>
      <w:r w:rsidR="00A41524">
        <w:t xml:space="preserve">the authors of </w:t>
      </w:r>
      <w:r w:rsidR="00A41524" w:rsidRPr="00B94CC1">
        <w:rPr>
          <w:i/>
        </w:rPr>
        <w:t>A Case Study</w:t>
      </w:r>
      <w:r w:rsidR="00A41524">
        <w:t xml:space="preserve"> who note that the small availability of examples available is a “</w:t>
      </w:r>
      <w:r w:rsidR="00A41524" w:rsidRPr="001B143F">
        <w:t>limitation of statistical methodologies</w:t>
      </w:r>
      <w:r w:rsidR="00A41524">
        <w:t>”.</w:t>
      </w:r>
      <w:r w:rsidR="00A41524">
        <w:rPr>
          <w:rStyle w:val="FootnoteReference"/>
        </w:rPr>
        <w:footnoteReference w:id="17"/>
      </w:r>
      <w:r w:rsidR="000C034B">
        <w:t xml:space="preserve"> </w:t>
      </w:r>
    </w:p>
    <w:p w14:paraId="39CC2405" w14:textId="12EE24F5" w:rsidR="0074747D" w:rsidRDefault="00462C7C" w:rsidP="006150E1">
      <w:r>
        <w:t xml:space="preserve">However the contrast </w:t>
      </w:r>
      <w:r w:rsidR="00B21060">
        <w:t xml:space="preserve">they draw </w:t>
      </w:r>
      <w:r>
        <w:t>between McCluskey and Benson</w:t>
      </w:r>
      <w:r w:rsidR="00280CE2">
        <w:t>, regarding the inclusion of</w:t>
      </w:r>
      <w:r>
        <w:t xml:space="preserve"> local considerations, </w:t>
      </w:r>
      <w:r w:rsidR="00B5269B">
        <w:t xml:space="preserve">may not be </w:t>
      </w:r>
      <w:r w:rsidR="00B05B59">
        <w:t>justified</w:t>
      </w:r>
      <w:r w:rsidR="00034198">
        <w:t>. McCluskey, although describing preference for statistically meaningful samples, also expects “</w:t>
      </w:r>
      <w:r w:rsidR="00034198" w:rsidRPr="001A0CB9">
        <w:t>patterns of church orientation to vary with local circumstances</w:t>
      </w:r>
      <w:r w:rsidR="00034198">
        <w:t xml:space="preserve">”, </w:t>
      </w:r>
      <w:r w:rsidR="00A56DD2">
        <w:t xml:space="preserve">and encourages studies of </w:t>
      </w:r>
      <w:r w:rsidR="001C0C3B">
        <w:t xml:space="preserve">increasingly </w:t>
      </w:r>
      <w:r w:rsidR="001454A3">
        <w:t xml:space="preserve">smaller subsamples defined by </w:t>
      </w:r>
      <w:r w:rsidR="00A56DD2">
        <w:t xml:space="preserve">geography </w:t>
      </w:r>
      <w:r w:rsidR="00CA694D">
        <w:t>or</w:t>
      </w:r>
      <w:r w:rsidR="00A56DD2">
        <w:t xml:space="preserve"> culture, </w:t>
      </w:r>
      <w:r w:rsidR="00AE6EA7">
        <w:t>accepting then</w:t>
      </w:r>
      <w:r w:rsidR="00A56DD2">
        <w:t>,</w:t>
      </w:r>
      <w:r w:rsidR="00AE6EA7">
        <w:t xml:space="preserve"> that smaller </w:t>
      </w:r>
      <w:r w:rsidR="001C0C3B">
        <w:t>samples</w:t>
      </w:r>
      <w:r w:rsidR="00AE6EA7">
        <w:t xml:space="preserve"> are inevitable under his expectation of statistical meaningfulness beyond chance.</w:t>
      </w:r>
      <w:r w:rsidR="006C58BE">
        <w:rPr>
          <w:rStyle w:val="FootnoteReference"/>
        </w:rPr>
        <w:footnoteReference w:id="18"/>
      </w:r>
      <w:r w:rsidR="00C750C3">
        <w:t xml:space="preserve"> </w:t>
      </w:r>
      <w:r w:rsidR="00A56DD2">
        <w:t xml:space="preserve">These </w:t>
      </w:r>
      <w:r w:rsidR="00373254">
        <w:t>“local circumstances”</w:t>
      </w:r>
      <w:r w:rsidR="00A56DD2">
        <w:t xml:space="preserve"> need not preclude the local considerations described by Benson </w:t>
      </w:r>
      <w:r w:rsidR="00BD39A0">
        <w:t>or</w:t>
      </w:r>
      <w:r w:rsidR="00A56DD2">
        <w:t xml:space="preserve"> </w:t>
      </w:r>
      <w:r w:rsidR="00A56DD2" w:rsidRPr="00A56DD2">
        <w:rPr>
          <w:i/>
        </w:rPr>
        <w:t>A Case Study</w:t>
      </w:r>
      <w:r w:rsidR="00A56DD2">
        <w:t xml:space="preserve">. </w:t>
      </w:r>
      <w:r w:rsidR="003C79DA">
        <w:t xml:space="preserve">That </w:t>
      </w:r>
      <w:r w:rsidR="00DB700A">
        <w:t>McCluskey consider</w:t>
      </w:r>
      <w:r w:rsidR="0072512A">
        <w:t>s</w:t>
      </w:r>
      <w:r w:rsidR="003C79DA">
        <w:t xml:space="preserve"> local considerations </w:t>
      </w:r>
      <w:r w:rsidR="00DB700A">
        <w:t xml:space="preserve">alongside simple statistical treatment </w:t>
      </w:r>
      <w:r w:rsidR="00BE3D35">
        <w:t xml:space="preserve">argues </w:t>
      </w:r>
      <w:r w:rsidR="00790282">
        <w:t>against</w:t>
      </w:r>
      <w:r w:rsidR="00BE3D35">
        <w:t xml:space="preserve"> the contrast </w:t>
      </w:r>
      <w:r w:rsidR="00BE3D35" w:rsidRPr="00BE3D35">
        <w:rPr>
          <w:i/>
        </w:rPr>
        <w:t>A Case Study</w:t>
      </w:r>
      <w:r w:rsidR="00BE3D35">
        <w:t xml:space="preserve"> describes</w:t>
      </w:r>
      <w:r w:rsidR="00124B2E">
        <w:t xml:space="preserve">, </w:t>
      </w:r>
      <w:r w:rsidR="0072512A">
        <w:t>suggesting instead a</w:t>
      </w:r>
      <w:r w:rsidR="00124B2E">
        <w:t xml:space="preserve"> desire for i</w:t>
      </w:r>
      <w:r w:rsidR="005B72CD">
        <w:t>nclusion of both approaches.</w:t>
      </w:r>
    </w:p>
    <w:p w14:paraId="16DE1E7A" w14:textId="141FD095" w:rsidR="00F83CD2" w:rsidRDefault="00B75C86" w:rsidP="00534035">
      <w:r w:rsidRPr="006A3FA2">
        <w:rPr>
          <w:i/>
        </w:rPr>
        <w:t>Some New Evidence</w:t>
      </w:r>
      <w:r w:rsidR="00233F20">
        <w:rPr>
          <w:i/>
        </w:rPr>
        <w:t xml:space="preserve">, </w:t>
      </w:r>
      <w:r w:rsidR="00233F20" w:rsidRPr="00C1734F">
        <w:t>therefore</w:t>
      </w:r>
      <w:r w:rsidR="00233F20">
        <w:rPr>
          <w:i/>
        </w:rPr>
        <w:t>,</w:t>
      </w:r>
      <w:r>
        <w:t xml:space="preserve"> prefe</w:t>
      </w:r>
      <w:r w:rsidR="002779CE">
        <w:t xml:space="preserve">rs </w:t>
      </w:r>
      <w:r w:rsidR="00075AB5">
        <w:t xml:space="preserve">larger </w:t>
      </w:r>
      <w:r w:rsidR="00233F20">
        <w:t>data-driven</w:t>
      </w:r>
      <w:r w:rsidR="002779CE">
        <w:t xml:space="preserve"> studies</w:t>
      </w:r>
      <w:r>
        <w:t xml:space="preserve"> to </w:t>
      </w:r>
      <w:r w:rsidR="00075AB5">
        <w:t>the smaller case study and multidisciplinary approach</w:t>
      </w:r>
      <w:r w:rsidR="006A3FA2">
        <w:t xml:space="preserve"> preferred by </w:t>
      </w:r>
      <w:r w:rsidR="006A3FA2" w:rsidRPr="006A3FA2">
        <w:rPr>
          <w:i/>
        </w:rPr>
        <w:t>A Case Study</w:t>
      </w:r>
      <w:r w:rsidR="00075AB5">
        <w:t xml:space="preserve">. </w:t>
      </w:r>
      <w:r w:rsidR="00373EFD">
        <w:t xml:space="preserve">It </w:t>
      </w:r>
      <w:r w:rsidR="002779CE">
        <w:t xml:space="preserve">is arguable that the dichotomy of methodologies that the authors of </w:t>
      </w:r>
      <w:r w:rsidR="002779CE" w:rsidRPr="000A5F4E">
        <w:rPr>
          <w:i/>
        </w:rPr>
        <w:t>A Case Study</w:t>
      </w:r>
      <w:r w:rsidR="002779CE">
        <w:t xml:space="preserve"> draw between statistics vs local considerations </w:t>
      </w:r>
      <w:r w:rsidR="0074747D">
        <w:t xml:space="preserve">in </w:t>
      </w:r>
      <w:r w:rsidR="008B6938">
        <w:t>McCluskey and Benson</w:t>
      </w:r>
      <w:r w:rsidR="00972B7A">
        <w:t xml:space="preserve"> does not hold up to scrutiny</w:t>
      </w:r>
      <w:r w:rsidR="0032467E">
        <w:t>, and it can be argued that both Benson and McCluskey argue for study which incorporates both considerations.</w:t>
      </w:r>
      <w:r w:rsidR="00075AB5">
        <w:t xml:space="preserve"> Neither paper under consideration here appear to incorporate both</w:t>
      </w:r>
      <w:r w:rsidR="001D58BA">
        <w:t xml:space="preserve"> approaches equally,</w:t>
      </w:r>
      <w:r w:rsidR="00075AB5">
        <w:t xml:space="preserve"> instead </w:t>
      </w:r>
      <w:r w:rsidR="001D58BA">
        <w:t>demonstrating</w:t>
      </w:r>
      <w:r w:rsidR="00075AB5">
        <w:t xml:space="preserve"> preference for one or the other</w:t>
      </w:r>
      <w:r w:rsidR="00C96992">
        <w:t xml:space="preserve">, reminiscent of the “green” book vs “brown” book </w:t>
      </w:r>
      <w:r w:rsidR="00EC2D8B">
        <w:t>preferences</w:t>
      </w:r>
      <w:r w:rsidR="00C96992">
        <w:t xml:space="preserve"> described by Aveni</w:t>
      </w:r>
      <w:r w:rsidR="00075AB5">
        <w:t>.</w:t>
      </w:r>
    </w:p>
    <w:p w14:paraId="626AD312" w14:textId="27B1E75C" w:rsidR="00F83CD2" w:rsidRDefault="00F83CD2" w:rsidP="00F83CD2">
      <w:pPr>
        <w:pStyle w:val="Heading1"/>
      </w:pPr>
      <w:r>
        <w:t>Conclusion</w:t>
      </w:r>
    </w:p>
    <w:p w14:paraId="52A53A14" w14:textId="2C0D52E8" w:rsidR="00F83CD2" w:rsidRDefault="00D930F1" w:rsidP="006150E1">
      <w:r>
        <w:t>Both papers focus on church alignment to the sun’s position on the horizon</w:t>
      </w:r>
      <w:r w:rsidR="00AC0342">
        <w:t xml:space="preserve"> on</w:t>
      </w:r>
      <w:r w:rsidR="00AC0342">
        <w:t xml:space="preserve"> meaningful dates</w:t>
      </w:r>
      <w:r>
        <w:t>. Both appear i</w:t>
      </w:r>
      <w:r w:rsidR="00A04F3E">
        <w:t xml:space="preserve">n journals which have similar </w:t>
      </w:r>
      <w:r>
        <w:t>remit</w:t>
      </w:r>
      <w:r w:rsidR="00A04F3E">
        <w:t>s</w:t>
      </w:r>
      <w:r>
        <w:t xml:space="preserve"> of study, but </w:t>
      </w:r>
      <w:r w:rsidRPr="00DD6C52">
        <w:rPr>
          <w:i/>
        </w:rPr>
        <w:t>A Case Study</w:t>
      </w:r>
      <w:r>
        <w:t xml:space="preserve"> </w:t>
      </w:r>
      <w:r w:rsidR="00DD6C52">
        <w:t>appears</w:t>
      </w:r>
      <w:r>
        <w:t xml:space="preserve"> in a more specialized journal focusing on Cistercian history in particular. A major difference between the methodologies of both papers is that</w:t>
      </w:r>
      <w:r w:rsidR="00221943">
        <w:t xml:space="preserve"> </w:t>
      </w:r>
      <w:r w:rsidR="00221943" w:rsidRPr="002636A3">
        <w:rPr>
          <w:i/>
        </w:rPr>
        <w:t>A Case Study</w:t>
      </w:r>
      <w:r w:rsidR="00221943">
        <w:t xml:space="preserve"> focuses on the local geography and landscape topography, aware that this can shift observed sunrise by several degrees, however, </w:t>
      </w:r>
      <w:r w:rsidRPr="002636A3">
        <w:rPr>
          <w:i/>
        </w:rPr>
        <w:t>Some New Evidence</w:t>
      </w:r>
      <w:r>
        <w:t xml:space="preserve"> </w:t>
      </w:r>
      <w:r w:rsidR="00221943">
        <w:t xml:space="preserve">divorces their calculation of church alignment from the local geography and landscape, </w:t>
      </w:r>
      <w:r w:rsidR="002636A3">
        <w:t xml:space="preserve">suggesting that </w:t>
      </w:r>
      <w:r w:rsidR="00221943">
        <w:t xml:space="preserve">they either weren’t familiar with the difference this can make for local sunrise, or presumed a priori that such considerations were unimportant to the builders. Perhaps tied to this reasoning, </w:t>
      </w:r>
      <w:r w:rsidR="00221943" w:rsidRPr="002636A3">
        <w:rPr>
          <w:i/>
        </w:rPr>
        <w:t>Some New Evidence</w:t>
      </w:r>
      <w:r w:rsidR="00221943">
        <w:t xml:space="preserve"> opts for a larger scale statistical survey of the azimuthal orientation of churches, whereas </w:t>
      </w:r>
      <w:r w:rsidR="00221943" w:rsidRPr="00E866F6">
        <w:rPr>
          <w:i/>
        </w:rPr>
        <w:t>A Case Study</w:t>
      </w:r>
      <w:r w:rsidR="00221943">
        <w:t xml:space="preserve"> consciously reject </w:t>
      </w:r>
      <w:r w:rsidR="00E866F6">
        <w:t xml:space="preserve">statistical studies </w:t>
      </w:r>
      <w:r w:rsidR="00221943">
        <w:t xml:space="preserve">in favour of a multidisciplinary case-study approach. However, the authors of </w:t>
      </w:r>
      <w:r w:rsidR="00221943" w:rsidRPr="00F161E8">
        <w:rPr>
          <w:i/>
        </w:rPr>
        <w:t>A Case Study</w:t>
      </w:r>
      <w:r w:rsidR="00221943">
        <w:t xml:space="preserve"> describe a dichotomy between the two approaches, reminiscent of</w:t>
      </w:r>
      <w:r w:rsidR="0067547E">
        <w:t xml:space="preserve"> </w:t>
      </w:r>
      <w:r w:rsidR="00221943">
        <w:t>Aveni’s division into “green” and “brown”</w:t>
      </w:r>
      <w:r w:rsidR="00CE3435">
        <w:t xml:space="preserve"> book categorisations. They </w:t>
      </w:r>
      <w:r w:rsidR="00221943">
        <w:t xml:space="preserve">suggest that such a dichotomy exists between McCluskey’s and Benson’s work, </w:t>
      </w:r>
      <w:r w:rsidR="00CE3435">
        <w:t>but further investigation suggests that</w:t>
      </w:r>
      <w:r w:rsidR="00221943">
        <w:t xml:space="preserve"> such a dichotomy appears not to be justified. </w:t>
      </w:r>
      <w:r w:rsidR="00C62D90">
        <w:t xml:space="preserve">In fact, like Ruggles, both McCluskey and Benson </w:t>
      </w:r>
      <w:r w:rsidR="00CE3435">
        <w:t xml:space="preserve">argue for consideration of </w:t>
      </w:r>
      <w:r w:rsidR="002C7BFC">
        <w:t>large data samples</w:t>
      </w:r>
      <w:r w:rsidR="00CE3435">
        <w:t xml:space="preserve"> alongside local considerations an</w:t>
      </w:r>
      <w:r w:rsidR="00754F1B">
        <w:t>d multidisciplinary approaches. B</w:t>
      </w:r>
      <w:r w:rsidR="00CE3435">
        <w:t>oth papers under consideration here opt for focusing on either one or the other.</w:t>
      </w:r>
    </w:p>
    <w:p w14:paraId="3C141EE4" w14:textId="77777777" w:rsidR="001E3CB7" w:rsidRDefault="001E3CB7" w:rsidP="006150E1"/>
    <w:p w14:paraId="20FF8313" w14:textId="77777777" w:rsidR="00581BAE" w:rsidRDefault="00581BAE" w:rsidP="006150E1"/>
    <w:p w14:paraId="002D5E68" w14:textId="77777777" w:rsidR="002E4101" w:rsidRDefault="002E4101" w:rsidP="006150E1"/>
    <w:p w14:paraId="678B72ED" w14:textId="77777777" w:rsidR="002E4101" w:rsidRDefault="002E4101" w:rsidP="006150E1"/>
    <w:p w14:paraId="6BC4E250" w14:textId="77777777" w:rsidR="002E4101" w:rsidRDefault="002E4101" w:rsidP="006150E1"/>
    <w:p w14:paraId="7B2AF4B8" w14:textId="77777777" w:rsidR="002E4101" w:rsidRDefault="002E4101" w:rsidP="006150E1"/>
    <w:p w14:paraId="39FB3925" w14:textId="77777777" w:rsidR="002E4101" w:rsidRDefault="002E4101" w:rsidP="006150E1"/>
    <w:p w14:paraId="75CC157B" w14:textId="77777777" w:rsidR="002E4101" w:rsidRDefault="002E4101" w:rsidP="006150E1"/>
    <w:p w14:paraId="3161161B" w14:textId="77777777" w:rsidR="002E4101" w:rsidRDefault="002E4101" w:rsidP="006150E1"/>
    <w:p w14:paraId="7499DE8D" w14:textId="77777777" w:rsidR="002E4101" w:rsidRDefault="002E4101" w:rsidP="006150E1"/>
    <w:p w14:paraId="4DFBB1C5" w14:textId="77777777" w:rsidR="002E4101" w:rsidRDefault="002E4101" w:rsidP="006150E1"/>
    <w:p w14:paraId="4BDFB7CB" w14:textId="77777777" w:rsidR="002E4101" w:rsidRDefault="002E4101" w:rsidP="006150E1"/>
    <w:p w14:paraId="609ACFCB" w14:textId="77777777" w:rsidR="002E4101" w:rsidRDefault="002E4101" w:rsidP="006150E1"/>
    <w:p w14:paraId="05542D0C" w14:textId="77777777" w:rsidR="00581BAE" w:rsidRDefault="00581BAE" w:rsidP="006150E1"/>
    <w:p w14:paraId="5D4BEA77" w14:textId="77777777" w:rsidR="00A767CD" w:rsidRDefault="00A767CD" w:rsidP="006150E1"/>
    <w:p w14:paraId="446EC90C" w14:textId="77777777" w:rsidR="00A767CD" w:rsidRDefault="00A767CD" w:rsidP="006150E1"/>
    <w:p w14:paraId="6923A7D3" w14:textId="77777777" w:rsidR="00A767CD" w:rsidRDefault="00A767CD" w:rsidP="006150E1"/>
    <w:p w14:paraId="17EA3B06" w14:textId="77777777" w:rsidR="00A767CD" w:rsidRDefault="00A767CD" w:rsidP="006150E1"/>
    <w:p w14:paraId="2EE98A89" w14:textId="77777777" w:rsidR="00581BAE" w:rsidRDefault="00581BAE" w:rsidP="006150E1"/>
    <w:p w14:paraId="4465C2D0" w14:textId="77777777" w:rsidR="009D3DBA" w:rsidRDefault="009D3DBA" w:rsidP="006150E1"/>
    <w:p w14:paraId="0EEF7A89" w14:textId="77777777" w:rsidR="009D3DBA" w:rsidRDefault="009D3DBA" w:rsidP="006150E1"/>
    <w:p w14:paraId="3345B82C" w14:textId="77777777" w:rsidR="00D8685E" w:rsidRDefault="00D8685E" w:rsidP="006150E1"/>
    <w:p w14:paraId="14B73991" w14:textId="77777777" w:rsidR="00D8685E" w:rsidRDefault="00D8685E" w:rsidP="006150E1"/>
    <w:p w14:paraId="54283163" w14:textId="77777777" w:rsidR="00D8685E" w:rsidRDefault="00D8685E" w:rsidP="006150E1"/>
    <w:p w14:paraId="699D9841" w14:textId="7EE19692" w:rsidR="003F07C4" w:rsidRDefault="00B7693F" w:rsidP="003F07C4">
      <w:pPr>
        <w:pStyle w:val="Heading1"/>
      </w:pPr>
      <w:r>
        <w:t>Bibliography</w:t>
      </w:r>
      <w:r w:rsidR="003F07C4" w:rsidRPr="003F07C4">
        <w:t xml:space="preserve"> </w:t>
      </w:r>
    </w:p>
    <w:p w14:paraId="0CB190B6" w14:textId="2F5A5C2C" w:rsidR="003F07C4" w:rsidRDefault="003F07C4" w:rsidP="003F07C4">
      <w:pPr>
        <w:pStyle w:val="Heading2"/>
      </w:pPr>
      <w:r>
        <w:t>Primary Sources</w:t>
      </w:r>
    </w:p>
    <w:p w14:paraId="481F2F92" w14:textId="77777777" w:rsidR="003F07C4" w:rsidRDefault="003F07C4" w:rsidP="003F07C4">
      <w:pPr>
        <w:pStyle w:val="FootnoteText"/>
      </w:pPr>
      <w:r w:rsidRPr="00996B0D">
        <w:t xml:space="preserve">Wordsworth, </w:t>
      </w:r>
      <w:r>
        <w:t>William, “</w:t>
      </w:r>
      <w:r w:rsidRPr="00996B0D">
        <w:t>The Poetical Works of William Wordsworth</w:t>
      </w:r>
      <w:r>
        <w:t>”,</w:t>
      </w:r>
      <w:r w:rsidRPr="00996B0D">
        <w:t xml:space="preserve"> (London 1846). p. 400.</w:t>
      </w:r>
    </w:p>
    <w:p w14:paraId="35B3A71F" w14:textId="77777777" w:rsidR="003F07C4" w:rsidRPr="003F07C4" w:rsidRDefault="003F07C4" w:rsidP="003F07C4">
      <w:pPr>
        <w:rPr>
          <w:lang w:val="en-US"/>
        </w:rPr>
      </w:pPr>
    </w:p>
    <w:p w14:paraId="581AE4C7" w14:textId="6F70CFAC" w:rsidR="003F07C4" w:rsidRPr="003F07C4" w:rsidRDefault="003F07C4" w:rsidP="003F07C4">
      <w:pPr>
        <w:pStyle w:val="Heading2"/>
      </w:pPr>
      <w:r>
        <w:t>Secondary Sources</w:t>
      </w:r>
    </w:p>
    <w:p w14:paraId="7A6D603B" w14:textId="4035DAAD" w:rsidR="00CD3136" w:rsidRDefault="00B7693F" w:rsidP="00CD3136">
      <w:pPr>
        <w:pStyle w:val="FootnoteText"/>
      </w:pPr>
      <w:r w:rsidRPr="00B7693F">
        <w:t>Ali, Jason R</w:t>
      </w:r>
      <w:r w:rsidR="00330BBB">
        <w:t>.</w:t>
      </w:r>
      <w:r w:rsidRPr="00B7693F">
        <w:t>, and Peter Cunich, “The Orientation of C</w:t>
      </w:r>
      <w:r w:rsidR="00BE07BE">
        <w:t>hurches: Some New Evidence</w:t>
      </w:r>
      <w:r w:rsidRPr="00B7693F">
        <w:t>”</w:t>
      </w:r>
      <w:r w:rsidR="00BE07BE">
        <w:t>,</w:t>
      </w:r>
      <w:r w:rsidRPr="00B7693F">
        <w:t xml:space="preserve"> </w:t>
      </w:r>
      <w:r w:rsidR="00BE07BE" w:rsidRPr="00BE07BE">
        <w:t>The Antiquaries Journal, 81 (Cam</w:t>
      </w:r>
      <w:r w:rsidR="00BE07BE">
        <w:t>bridge University Press)</w:t>
      </w:r>
      <w:r w:rsidR="00CD3136" w:rsidRPr="00CD3136">
        <w:t xml:space="preserve"> </w:t>
      </w:r>
    </w:p>
    <w:p w14:paraId="34B79D88" w14:textId="77777777" w:rsidR="00387A24" w:rsidRDefault="00387A24" w:rsidP="00CD3136">
      <w:pPr>
        <w:pStyle w:val="FootnoteText"/>
      </w:pPr>
    </w:p>
    <w:p w14:paraId="595BA0F0" w14:textId="7CC936CA" w:rsidR="0042357D" w:rsidRDefault="00387A24" w:rsidP="00F020AE">
      <w:pPr>
        <w:pStyle w:val="FootnoteText"/>
      </w:pPr>
      <w:r w:rsidRPr="00387A24">
        <w:t>Aveni</w:t>
      </w:r>
      <w:r>
        <w:t>, Anthony F.,</w:t>
      </w:r>
      <w:r w:rsidRPr="00387A24">
        <w:t xml:space="preserve"> “Skywatchers: a revised and updated version of skywatchers of ancient Mexico”, University of Texas Press, Austin, 2001</w:t>
      </w:r>
    </w:p>
    <w:p w14:paraId="51119E9C" w14:textId="77777777" w:rsidR="00CD3136" w:rsidRDefault="00CD3136" w:rsidP="00CD3136">
      <w:pPr>
        <w:pStyle w:val="FootnoteText"/>
      </w:pPr>
    </w:p>
    <w:p w14:paraId="279DA04C" w14:textId="630BEFF3" w:rsidR="00B7693F" w:rsidRDefault="00CD3136" w:rsidP="00B3270E">
      <w:pPr>
        <w:pStyle w:val="FootnoteText"/>
      </w:pPr>
      <w:r w:rsidRPr="00E23141">
        <w:t xml:space="preserve">Benson, </w:t>
      </w:r>
      <w:r>
        <w:t xml:space="preserve">Hugh, </w:t>
      </w:r>
      <w:r w:rsidRPr="00E23141">
        <w:t>“Church orientations and patronal festivals”, The Antiquari</w:t>
      </w:r>
      <w:r>
        <w:t>es Journal 36, 1956</w:t>
      </w:r>
    </w:p>
    <w:p w14:paraId="67B7885D" w14:textId="77777777" w:rsidR="00BE07BE" w:rsidRDefault="00BE07BE" w:rsidP="00B3270E">
      <w:pPr>
        <w:pStyle w:val="FootnoteText"/>
      </w:pPr>
    </w:p>
    <w:p w14:paraId="38DD8AC7" w14:textId="6E241CAF" w:rsidR="00E23141" w:rsidRDefault="00BE07BE" w:rsidP="00CD3136">
      <w:pPr>
        <w:pStyle w:val="FootnoteText"/>
      </w:pPr>
      <w:r w:rsidRPr="00BE07BE">
        <w:t>B Brady</w:t>
      </w:r>
      <w:r>
        <w:t>, D Gunzburg and F Silva, “</w:t>
      </w:r>
      <w:r w:rsidRPr="00BE07BE">
        <w:t>The Orientation of Cistercian Churches in Wales: a cultural astronomy case study</w:t>
      </w:r>
      <w:r>
        <w:t>”,</w:t>
      </w:r>
      <w:r w:rsidRPr="00BE07BE">
        <w:t xml:space="preserve"> Cîteaux – Commentarii cistercienses</w:t>
      </w:r>
      <w:r>
        <w:t>,</w:t>
      </w:r>
      <w:r w:rsidRPr="00BE07BE">
        <w:t xml:space="preserve"> 67</w:t>
      </w:r>
      <w:r w:rsidR="001A114F">
        <w:t xml:space="preserve"> </w:t>
      </w:r>
      <w:r w:rsidRPr="00BE07BE">
        <w:t>(3-4</w:t>
      </w:r>
      <w:r w:rsidR="00845DB1">
        <w:t>)</w:t>
      </w:r>
    </w:p>
    <w:p w14:paraId="1B1698DC" w14:textId="77777777" w:rsidR="00E23141" w:rsidRDefault="00E23141" w:rsidP="00B3270E">
      <w:pPr>
        <w:pStyle w:val="FootnoteText"/>
      </w:pPr>
    </w:p>
    <w:p w14:paraId="4E47DD5E" w14:textId="1245DCB4" w:rsidR="00F020AE" w:rsidRDefault="00845DB1" w:rsidP="00F020AE">
      <w:pPr>
        <w:pStyle w:val="FootnoteText"/>
      </w:pPr>
      <w:r w:rsidRPr="00845DB1">
        <w:rPr>
          <w:i/>
        </w:rPr>
        <w:t>Cîteaux – Commentarii cistercienses</w:t>
      </w:r>
      <w:r w:rsidR="00A46A8B">
        <w:t>, http://www.citeaux.org/en/</w:t>
      </w:r>
      <w:r w:rsidRPr="00845DB1">
        <w:t xml:space="preserve"> [accessed 20th February 2019]</w:t>
      </w:r>
      <w:r w:rsidR="00F020AE" w:rsidRPr="00F020AE">
        <w:t xml:space="preserve"> </w:t>
      </w:r>
    </w:p>
    <w:p w14:paraId="36042DE6" w14:textId="77777777" w:rsidR="00F020AE" w:rsidRDefault="00F020AE" w:rsidP="00F020AE">
      <w:pPr>
        <w:pStyle w:val="FootnoteText"/>
      </w:pPr>
    </w:p>
    <w:p w14:paraId="2627D308" w14:textId="1D30A289" w:rsidR="00845DB1" w:rsidRDefault="00F020AE" w:rsidP="00B3270E">
      <w:pPr>
        <w:pStyle w:val="FootnoteText"/>
      </w:pPr>
      <w:r>
        <w:t>L</w:t>
      </w:r>
      <w:r w:rsidRPr="0042357D">
        <w:t xml:space="preserve">ane, </w:t>
      </w:r>
      <w:r>
        <w:t xml:space="preserve">Belden C., </w:t>
      </w:r>
      <w:r w:rsidRPr="0042357D">
        <w:t>“Landscapes of the sacred: geography and narrative in American spirituality” (Baltimore, MD/London 2001)</w:t>
      </w:r>
    </w:p>
    <w:p w14:paraId="3F1E7D98" w14:textId="77777777" w:rsidR="006022B5" w:rsidRDefault="006022B5" w:rsidP="00B3270E">
      <w:pPr>
        <w:pStyle w:val="FootnoteText"/>
      </w:pPr>
    </w:p>
    <w:p w14:paraId="0FC50E1B" w14:textId="733919DA" w:rsidR="006022B5" w:rsidRDefault="006022B5" w:rsidP="00B3270E">
      <w:pPr>
        <w:pStyle w:val="FootnoteText"/>
      </w:pPr>
      <w:r w:rsidRPr="006022B5">
        <w:t>McCluskey,</w:t>
      </w:r>
      <w:r>
        <w:t xml:space="preserve"> Stephen C.,</w:t>
      </w:r>
      <w:r w:rsidRPr="006022B5">
        <w:t xml:space="preserve"> “Orientation of Christian Churches”, The Handbook of Archaeoastronomy and Ethnoastronomy, ed. Clive L. N. Ruggles, (New York 2015</w:t>
      </w:r>
      <w:r>
        <w:t>)</w:t>
      </w:r>
    </w:p>
    <w:p w14:paraId="1E99B40E" w14:textId="77777777" w:rsidR="001B4006" w:rsidRDefault="001B4006" w:rsidP="00B3270E">
      <w:pPr>
        <w:pStyle w:val="FootnoteText"/>
      </w:pPr>
    </w:p>
    <w:p w14:paraId="3A8C666E" w14:textId="525ED457" w:rsidR="001327FF" w:rsidRDefault="001B4006" w:rsidP="00B3270E">
      <w:pPr>
        <w:pStyle w:val="FootnoteText"/>
      </w:pPr>
      <w:r w:rsidRPr="001B4006">
        <w:t>Ruggles,</w:t>
      </w:r>
      <w:r>
        <w:t xml:space="preserve"> Clive,</w:t>
      </w:r>
      <w:r w:rsidRPr="001B4006">
        <w:t xml:space="preserve"> “Ancient Astronomy: an encyclopedia of cosmologies and myth”, Santa Barbara, and Oxford: ABC Clio, 2005</w:t>
      </w:r>
    </w:p>
    <w:p w14:paraId="02452330" w14:textId="77777777" w:rsidR="001B4006" w:rsidRDefault="001B4006" w:rsidP="00B3270E">
      <w:pPr>
        <w:pStyle w:val="FootnoteText"/>
      </w:pPr>
    </w:p>
    <w:p w14:paraId="37426E37" w14:textId="48CFAC5A" w:rsidR="001327FF" w:rsidRDefault="001327FF" w:rsidP="00B3270E">
      <w:pPr>
        <w:pStyle w:val="FootnoteText"/>
      </w:pPr>
      <w:r w:rsidRPr="001327FF">
        <w:t>Ruggles,</w:t>
      </w:r>
      <w:r>
        <w:t xml:space="preserve"> Clive,</w:t>
      </w:r>
      <w:r w:rsidRPr="001327FF">
        <w:t xml:space="preserve"> “Nature and Analysis of Material Evidence Relevant to Archaeoastronomy”, The Handbook of Archaeoastronomy and Ethnoastronomy, ed. Clive L. </w:t>
      </w:r>
      <w:r w:rsidR="006E54D7">
        <w:t>N. Ruggles, (New York 2015)</w:t>
      </w:r>
    </w:p>
    <w:p w14:paraId="242B2499" w14:textId="77777777" w:rsidR="00845DB1" w:rsidRDefault="00845DB1" w:rsidP="00B3270E">
      <w:pPr>
        <w:pStyle w:val="FootnoteText"/>
      </w:pPr>
    </w:p>
    <w:p w14:paraId="00298226" w14:textId="043F067B" w:rsidR="002B6BC6" w:rsidRDefault="002B6BC6" w:rsidP="00B3270E">
      <w:pPr>
        <w:pStyle w:val="FootnoteText"/>
      </w:pPr>
      <w:r w:rsidRPr="002B6BC6">
        <w:rPr>
          <w:i/>
        </w:rPr>
        <w:t>The Antiquaries Journal</w:t>
      </w:r>
      <w:r w:rsidRPr="002B6BC6">
        <w:t xml:space="preserve">, </w:t>
      </w:r>
      <w:r w:rsidR="00A46A8B" w:rsidRPr="00A46A8B">
        <w:t>https://www.cambridge.org/core/journals/antiquaries-journal</w:t>
      </w:r>
      <w:r w:rsidR="00A46A8B">
        <w:t xml:space="preserve"> </w:t>
      </w:r>
      <w:r w:rsidRPr="002B6BC6">
        <w:t>[accessed 20th February 2019]</w:t>
      </w:r>
    </w:p>
    <w:p w14:paraId="199DFA00" w14:textId="77777777" w:rsidR="00996B0D" w:rsidRDefault="00996B0D" w:rsidP="00B3270E">
      <w:pPr>
        <w:pStyle w:val="FootnoteText"/>
      </w:pPr>
    </w:p>
    <w:p w14:paraId="5C8CA458" w14:textId="77777777" w:rsidR="00996B0D" w:rsidRDefault="00996B0D" w:rsidP="00BE07BE"/>
    <w:p w14:paraId="1A89B5B6" w14:textId="77777777" w:rsidR="00996B0D" w:rsidRDefault="00996B0D" w:rsidP="00BE07BE"/>
    <w:p w14:paraId="300CD69E" w14:textId="77777777" w:rsidR="00996B0D" w:rsidRDefault="00996B0D" w:rsidP="00BE07BE"/>
    <w:p w14:paraId="77923A85" w14:textId="77777777" w:rsidR="00996B0D" w:rsidRDefault="00996B0D" w:rsidP="00BE07BE"/>
    <w:sectPr w:rsidR="00996B0D" w:rsidSect="00D526C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7166AD" w14:textId="77777777" w:rsidR="00F83FC4" w:rsidRDefault="00F83FC4" w:rsidP="006150E1">
      <w:pPr>
        <w:spacing w:line="240" w:lineRule="auto"/>
      </w:pPr>
      <w:r>
        <w:separator/>
      </w:r>
    </w:p>
  </w:endnote>
  <w:endnote w:type="continuationSeparator" w:id="0">
    <w:p w14:paraId="02A58767" w14:textId="77777777" w:rsidR="00F83FC4" w:rsidRDefault="00F83FC4" w:rsidP="006150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B06524" w14:textId="77777777" w:rsidR="00F83FC4" w:rsidRDefault="00F83FC4" w:rsidP="006150E1">
      <w:pPr>
        <w:spacing w:line="240" w:lineRule="auto"/>
      </w:pPr>
      <w:r>
        <w:separator/>
      </w:r>
    </w:p>
  </w:footnote>
  <w:footnote w:type="continuationSeparator" w:id="0">
    <w:p w14:paraId="4F4CD5AA" w14:textId="77777777" w:rsidR="00F83FC4" w:rsidRDefault="00F83FC4" w:rsidP="006150E1">
      <w:pPr>
        <w:spacing w:line="240" w:lineRule="auto"/>
      </w:pPr>
      <w:r>
        <w:continuationSeparator/>
      </w:r>
    </w:p>
  </w:footnote>
  <w:footnote w:id="1">
    <w:p w14:paraId="601C1048" w14:textId="6F6890F4" w:rsidR="00B7693F" w:rsidRPr="00A874E6" w:rsidRDefault="00B7693F" w:rsidP="00A874E6">
      <w:pPr>
        <w:pStyle w:val="FootnoteText"/>
        <w:rPr>
          <w:rStyle w:val="FootnoteReference"/>
        </w:rPr>
      </w:pPr>
      <w:r>
        <w:rPr>
          <w:rStyle w:val="FootnoteReference"/>
        </w:rPr>
        <w:footnoteRef/>
      </w:r>
      <w:r>
        <w:t xml:space="preserve"> </w:t>
      </w:r>
      <w:r w:rsidRPr="00A874E6">
        <w:rPr>
          <w:rStyle w:val="FootnoteReference"/>
        </w:rPr>
        <w:t>Ali, Jason R, and Peter Cunich. 2001. “The Orientation of Churches: Some New Evidence,” The Antiquaries Journal, 81 (Cambr</w:t>
      </w:r>
      <w:r w:rsidR="001E3CB7" w:rsidRPr="00A874E6">
        <w:rPr>
          <w:rStyle w:val="FootnoteReference"/>
        </w:rPr>
        <w:t>idge University Pre</w:t>
      </w:r>
      <w:r w:rsidR="00A874E6">
        <w:rPr>
          <w:rStyle w:val="FootnoteReference"/>
        </w:rPr>
        <w:t>ss): 155–93 [hereafter Some New Evidence]</w:t>
      </w:r>
      <w:r w:rsidRPr="00A874E6">
        <w:rPr>
          <w:rStyle w:val="FootnoteReference"/>
        </w:rPr>
        <w:t xml:space="preserve">; </w:t>
      </w:r>
      <w:r w:rsidR="00BE07BE" w:rsidRPr="00A874E6">
        <w:rPr>
          <w:rStyle w:val="FootnoteReference"/>
        </w:rPr>
        <w:t>Bernadette Brady, Darreyln Gunzburg and Fabio Silva, “The Orientation of Cistercian Churches in Wales: a cultural astronomy case study”, Cîteaux – Commentarii cistercienses,</w:t>
      </w:r>
      <w:r w:rsidR="001E3CB7" w:rsidRPr="00A874E6">
        <w:rPr>
          <w:rStyle w:val="FootnoteReference"/>
        </w:rPr>
        <w:t xml:space="preserve"> 67(3-4): 275 </w:t>
      </w:r>
      <w:r w:rsidR="00A874E6">
        <w:rPr>
          <w:rStyle w:val="FootnoteReference"/>
        </w:rPr>
        <w:t>[</w:t>
      </w:r>
      <w:r w:rsidR="00582EFC">
        <w:rPr>
          <w:rStyle w:val="FootnoteReference"/>
        </w:rPr>
        <w:t xml:space="preserve">hereafter </w:t>
      </w:r>
      <w:r w:rsidR="000B0244">
        <w:rPr>
          <w:rStyle w:val="FootnoteReference"/>
        </w:rPr>
        <w:t>A</w:t>
      </w:r>
      <w:r w:rsidR="00582EFC">
        <w:rPr>
          <w:rStyle w:val="FootnoteReference"/>
        </w:rPr>
        <w:t xml:space="preserve"> Case S</w:t>
      </w:r>
      <w:r w:rsidR="001E3CB7" w:rsidRPr="00A874E6">
        <w:rPr>
          <w:rStyle w:val="FootnoteReference"/>
        </w:rPr>
        <w:t>tudy</w:t>
      </w:r>
      <w:r w:rsidR="00A874E6">
        <w:rPr>
          <w:rStyle w:val="FootnoteReference"/>
        </w:rPr>
        <w:t>]</w:t>
      </w:r>
    </w:p>
  </w:footnote>
  <w:footnote w:id="2">
    <w:p w14:paraId="65A4A720" w14:textId="320F4C87" w:rsidR="002B6BC6" w:rsidRPr="002B6BC6" w:rsidRDefault="002B6BC6" w:rsidP="00A874E6">
      <w:pPr>
        <w:pStyle w:val="FootnoteText"/>
      </w:pPr>
      <w:r w:rsidRPr="00A874E6">
        <w:rPr>
          <w:rStyle w:val="FootnoteReference"/>
        </w:rPr>
        <w:footnoteRef/>
      </w:r>
      <w:r w:rsidRPr="00A874E6">
        <w:rPr>
          <w:rStyle w:val="FootnoteReference"/>
        </w:rPr>
        <w:t xml:space="preserve"> </w:t>
      </w:r>
      <w:r w:rsidRPr="00845DB1">
        <w:rPr>
          <w:rStyle w:val="FootnoteReference"/>
        </w:rPr>
        <w:t>The Antiquaries Journal</w:t>
      </w:r>
      <w:r w:rsidRPr="00A874E6">
        <w:rPr>
          <w:rStyle w:val="FootnoteReference"/>
        </w:rPr>
        <w:t xml:space="preserve">, </w:t>
      </w:r>
      <w:hyperlink r:id="rId1" w:history="1">
        <w:r w:rsidRPr="00A874E6">
          <w:rPr>
            <w:rStyle w:val="FootnoteReference"/>
          </w:rPr>
          <w:t>https://www.cambridge.org/core/journals/antiquaries-journal</w:t>
        </w:r>
      </w:hyperlink>
      <w:r w:rsidRPr="00A874E6">
        <w:rPr>
          <w:rStyle w:val="FootnoteReference"/>
        </w:rPr>
        <w:t>, [accessed 20th February 2019]</w:t>
      </w:r>
    </w:p>
  </w:footnote>
  <w:footnote w:id="3">
    <w:p w14:paraId="31B17344" w14:textId="0C397288" w:rsidR="00845DB1" w:rsidRPr="00845DB1" w:rsidRDefault="00845DB1">
      <w:pPr>
        <w:pStyle w:val="FootnoteText"/>
      </w:pPr>
      <w:r>
        <w:rPr>
          <w:rStyle w:val="FootnoteReference"/>
        </w:rPr>
        <w:footnoteRef/>
      </w:r>
      <w:r>
        <w:t xml:space="preserve"> </w:t>
      </w:r>
      <w:r w:rsidRPr="00845DB1">
        <w:rPr>
          <w:rStyle w:val="FootnoteReference"/>
        </w:rPr>
        <w:t xml:space="preserve">Cîteaux – Commentarii cistercienses, </w:t>
      </w:r>
      <w:hyperlink r:id="rId2" w:history="1">
        <w:r w:rsidRPr="00845DB1">
          <w:rPr>
            <w:rStyle w:val="FootnoteReference"/>
          </w:rPr>
          <w:t>http://www.citeaux.org/en/</w:t>
        </w:r>
      </w:hyperlink>
      <w:r w:rsidRPr="00845DB1">
        <w:rPr>
          <w:rStyle w:val="FootnoteReference"/>
        </w:rPr>
        <w:t>, [accessed 20th February 2019]</w:t>
      </w:r>
    </w:p>
  </w:footnote>
  <w:footnote w:id="4">
    <w:p w14:paraId="0F529066" w14:textId="0B04646F" w:rsidR="00F82E2A" w:rsidRPr="00EC3BCD" w:rsidRDefault="00F82E2A" w:rsidP="00E23141">
      <w:pPr>
        <w:spacing w:line="240" w:lineRule="auto"/>
        <w:rPr>
          <w:rStyle w:val="FootnoteReference"/>
        </w:rPr>
      </w:pPr>
      <w:r w:rsidRPr="00EC3BCD">
        <w:rPr>
          <w:rStyle w:val="FootnoteReference"/>
        </w:rPr>
        <w:footnoteRef/>
      </w:r>
      <w:r w:rsidRPr="00EC3BCD">
        <w:rPr>
          <w:rStyle w:val="FootnoteReference"/>
        </w:rPr>
        <w:t xml:space="preserve"> Some New Evidence, p.155</w:t>
      </w:r>
    </w:p>
  </w:footnote>
  <w:footnote w:id="5">
    <w:p w14:paraId="40CF3911" w14:textId="755BE874" w:rsidR="00F82E2A" w:rsidRPr="00EC3BCD" w:rsidRDefault="00F82E2A" w:rsidP="00E23141">
      <w:pPr>
        <w:spacing w:line="240" w:lineRule="auto"/>
        <w:rPr>
          <w:rStyle w:val="FootnoteReference"/>
        </w:rPr>
      </w:pPr>
      <w:r w:rsidRPr="00EC3BCD">
        <w:rPr>
          <w:rStyle w:val="FootnoteReference"/>
        </w:rPr>
        <w:footnoteRef/>
      </w:r>
      <w:r w:rsidRPr="00EC3BCD">
        <w:rPr>
          <w:rStyle w:val="FootnoteReference"/>
        </w:rPr>
        <w:t xml:space="preserve"> A Case Study, p.</w:t>
      </w:r>
      <w:r w:rsidR="00EC3BCD" w:rsidRPr="00EC3BCD">
        <w:rPr>
          <w:rStyle w:val="FootnoteReference"/>
        </w:rPr>
        <w:t>275</w:t>
      </w:r>
    </w:p>
  </w:footnote>
  <w:footnote w:id="6">
    <w:p w14:paraId="45CD2E26" w14:textId="412D969B" w:rsidR="00E23141" w:rsidRPr="00E23141" w:rsidRDefault="00E23141" w:rsidP="00E23141">
      <w:pPr>
        <w:pStyle w:val="FootnoteText"/>
        <w:rPr>
          <w:vertAlign w:val="superscript"/>
        </w:rPr>
      </w:pPr>
      <w:r>
        <w:rPr>
          <w:rStyle w:val="FootnoteReference"/>
        </w:rPr>
        <w:footnoteRef/>
      </w:r>
      <w:r>
        <w:t xml:space="preserve"> </w:t>
      </w:r>
      <w:r w:rsidR="00222A84" w:rsidRPr="00996B0D">
        <w:rPr>
          <w:rStyle w:val="FootnoteReference"/>
        </w:rPr>
        <w:t>William Wordsworth, The Poetical Works of William W</w:t>
      </w:r>
      <w:r w:rsidR="00222A84">
        <w:rPr>
          <w:rStyle w:val="FootnoteReference"/>
        </w:rPr>
        <w:t>ordsworth (London 1846). p. 400; Hugh Benson, “</w:t>
      </w:r>
      <w:r w:rsidR="00222A84" w:rsidRPr="00E23141">
        <w:rPr>
          <w:rStyle w:val="FootnoteReference"/>
        </w:rPr>
        <w:t>Church orientations and patronal fe</w:t>
      </w:r>
      <w:r w:rsidR="00222A84">
        <w:rPr>
          <w:rStyle w:val="FootnoteReference"/>
        </w:rPr>
        <w:t>stivals”</w:t>
      </w:r>
      <w:r w:rsidR="00222A84" w:rsidRPr="00E23141">
        <w:rPr>
          <w:rStyle w:val="FootnoteReference"/>
        </w:rPr>
        <w:t>, The Antiquar</w:t>
      </w:r>
      <w:r w:rsidR="00222A84">
        <w:rPr>
          <w:rStyle w:val="FootnoteReference"/>
        </w:rPr>
        <w:t>ies Journal 36 (1956), pp. 205-20</w:t>
      </w:r>
      <w:r w:rsidR="00222A84" w:rsidRPr="00E23141">
        <w:rPr>
          <w:rStyle w:val="FootnoteReference"/>
        </w:rPr>
        <w:t>6 [hereafter Benson]</w:t>
      </w:r>
    </w:p>
  </w:footnote>
  <w:footnote w:id="7">
    <w:p w14:paraId="06ED8319" w14:textId="103F1593" w:rsidR="00A96646" w:rsidRPr="0017599B" w:rsidRDefault="00A96646">
      <w:pPr>
        <w:pStyle w:val="FootnoteText"/>
        <w:rPr>
          <w:rStyle w:val="FootnoteReference"/>
        </w:rPr>
      </w:pPr>
      <w:r>
        <w:rPr>
          <w:rStyle w:val="FootnoteReference"/>
        </w:rPr>
        <w:footnoteRef/>
      </w:r>
      <w:r>
        <w:t xml:space="preserve"> </w:t>
      </w:r>
      <w:r w:rsidR="00A7199F" w:rsidRPr="00A7199F">
        <w:rPr>
          <w:rStyle w:val="FootnoteReference"/>
        </w:rPr>
        <w:t>Some New Evi</w:t>
      </w:r>
      <w:r w:rsidR="00A7199F" w:rsidRPr="0017599B">
        <w:rPr>
          <w:rStyle w:val="FootnoteReference"/>
        </w:rPr>
        <w:t>dence, p.168</w:t>
      </w:r>
    </w:p>
  </w:footnote>
  <w:footnote w:id="8">
    <w:p w14:paraId="1EADA432" w14:textId="265BE965" w:rsidR="00A7199F" w:rsidRPr="001B4006" w:rsidRDefault="00A7199F">
      <w:pPr>
        <w:pStyle w:val="FootnoteText"/>
        <w:rPr>
          <w:rStyle w:val="FootnoteReference"/>
        </w:rPr>
      </w:pPr>
      <w:r w:rsidRPr="0017599B">
        <w:rPr>
          <w:rStyle w:val="FootnoteReference"/>
        </w:rPr>
        <w:footnoteRef/>
      </w:r>
      <w:r w:rsidRPr="0017599B">
        <w:rPr>
          <w:rStyle w:val="FootnoteReference"/>
        </w:rPr>
        <w:t xml:space="preserve"> </w:t>
      </w:r>
      <w:r w:rsidR="0017599B" w:rsidRPr="0017599B">
        <w:rPr>
          <w:rStyle w:val="FootnoteReference"/>
        </w:rPr>
        <w:t>Benson</w:t>
      </w:r>
      <w:r w:rsidR="0017599B" w:rsidRPr="001B4006">
        <w:rPr>
          <w:rStyle w:val="FootnoteReference"/>
        </w:rPr>
        <w:t>, p.206</w:t>
      </w:r>
    </w:p>
  </w:footnote>
  <w:footnote w:id="9">
    <w:p w14:paraId="7D6675B2" w14:textId="7F06A5D5" w:rsidR="0046494F" w:rsidRDefault="0046494F">
      <w:pPr>
        <w:pStyle w:val="FootnoteText"/>
      </w:pPr>
      <w:r w:rsidRPr="001B4006">
        <w:rPr>
          <w:rStyle w:val="FootnoteReference"/>
        </w:rPr>
        <w:footnoteRef/>
      </w:r>
      <w:r w:rsidRPr="001B4006">
        <w:rPr>
          <w:rStyle w:val="FootnoteReference"/>
        </w:rPr>
        <w:t xml:space="preserve"> </w:t>
      </w:r>
      <w:r w:rsidR="00E76BE1" w:rsidRPr="001B4006">
        <w:rPr>
          <w:rStyle w:val="FootnoteReference"/>
        </w:rPr>
        <w:t>Clive Ruggles, “Ancient Astronomy: an encyclopedia of cosmologies and myth”, Santa Barbara, and Oxford: ABC Clio, 2005</w:t>
      </w:r>
    </w:p>
  </w:footnote>
  <w:footnote w:id="10">
    <w:p w14:paraId="3BC95DF4" w14:textId="6B86B437" w:rsidR="00A7199F" w:rsidRPr="00A7199F" w:rsidRDefault="00A7199F">
      <w:pPr>
        <w:pStyle w:val="FootnoteText"/>
      </w:pPr>
      <w:r>
        <w:rPr>
          <w:rStyle w:val="FootnoteReference"/>
        </w:rPr>
        <w:footnoteRef/>
      </w:r>
      <w:r>
        <w:t xml:space="preserve"> </w:t>
      </w:r>
      <w:r w:rsidR="0017599B" w:rsidRPr="0017599B">
        <w:rPr>
          <w:rStyle w:val="FootnoteReference"/>
        </w:rPr>
        <w:t>A Case Study, p.282</w:t>
      </w:r>
    </w:p>
  </w:footnote>
  <w:footnote w:id="11">
    <w:p w14:paraId="522BFB95" w14:textId="7F6ACBEF" w:rsidR="00581BAE" w:rsidRPr="00581BAE" w:rsidRDefault="00581BAE" w:rsidP="00581BAE">
      <w:pPr>
        <w:pStyle w:val="FootnoteText"/>
        <w:rPr>
          <w:rStyle w:val="FootnoteReference"/>
        </w:rPr>
      </w:pPr>
      <w:r w:rsidRPr="00581BAE">
        <w:rPr>
          <w:rStyle w:val="FootnoteReference"/>
        </w:rPr>
        <w:footnoteRef/>
      </w:r>
      <w:r w:rsidRPr="00581BAE">
        <w:rPr>
          <w:rStyle w:val="FootnoteReference"/>
        </w:rPr>
        <w:t xml:space="preserve"> </w:t>
      </w:r>
      <w:r>
        <w:rPr>
          <w:rStyle w:val="FootnoteReference"/>
        </w:rPr>
        <w:t>Stephen C. McCluskey, “</w:t>
      </w:r>
      <w:r w:rsidRPr="00581BAE">
        <w:rPr>
          <w:rStyle w:val="FootnoteReference"/>
        </w:rPr>
        <w:t>Or</w:t>
      </w:r>
      <w:r>
        <w:rPr>
          <w:rStyle w:val="FootnoteReference"/>
        </w:rPr>
        <w:t>ientation of Christian Churches”, The Handbook of Archaeoas</w:t>
      </w:r>
      <w:r w:rsidRPr="00581BAE">
        <w:rPr>
          <w:rStyle w:val="FootnoteReference"/>
        </w:rPr>
        <w:t>tronomy and Ethnoa</w:t>
      </w:r>
      <w:r>
        <w:rPr>
          <w:rStyle w:val="FootnoteReference"/>
        </w:rPr>
        <w:t>s</w:t>
      </w:r>
      <w:r w:rsidR="006022B5">
        <w:rPr>
          <w:rStyle w:val="FootnoteReference"/>
        </w:rPr>
        <w:t>tronomy, ed. Clive L. N. Ruggles,</w:t>
      </w:r>
      <w:r>
        <w:rPr>
          <w:rStyle w:val="FootnoteReference"/>
        </w:rPr>
        <w:t xml:space="preserve"> (New York 2015), pp</w:t>
      </w:r>
      <w:r w:rsidR="006022B5">
        <w:rPr>
          <w:rStyle w:val="FootnoteReference"/>
        </w:rPr>
        <w:t xml:space="preserve">. </w:t>
      </w:r>
      <w:r w:rsidR="006022B5" w:rsidRPr="006022B5">
        <w:rPr>
          <w:rStyle w:val="FootnoteReference"/>
        </w:rPr>
        <w:t>1709 [hereafter Orientation of Christian Churches]</w:t>
      </w:r>
    </w:p>
  </w:footnote>
  <w:footnote w:id="12">
    <w:p w14:paraId="77665772" w14:textId="76530048" w:rsidR="00FA0CCF" w:rsidRPr="00FA0CCF" w:rsidRDefault="00FA0CCF">
      <w:pPr>
        <w:pStyle w:val="FootnoteText"/>
      </w:pPr>
      <w:r>
        <w:rPr>
          <w:rStyle w:val="FootnoteReference"/>
        </w:rPr>
        <w:footnoteRef/>
      </w:r>
      <w:r>
        <w:t xml:space="preserve"> </w:t>
      </w:r>
      <w:r w:rsidRPr="007C2249">
        <w:rPr>
          <w:rStyle w:val="FootnoteReference"/>
        </w:rPr>
        <w:t>Some New Evidence, pp.</w:t>
      </w:r>
      <w:r w:rsidR="007C2249" w:rsidRPr="007C2249">
        <w:rPr>
          <w:rStyle w:val="FootnoteReference"/>
        </w:rPr>
        <w:t>159-175</w:t>
      </w:r>
    </w:p>
  </w:footnote>
  <w:footnote w:id="13">
    <w:p w14:paraId="58926DE1" w14:textId="74272775" w:rsidR="00CD3136" w:rsidRPr="00DC7EBE" w:rsidRDefault="00CD3136" w:rsidP="00DC7EBE">
      <w:pPr>
        <w:widowControl w:val="0"/>
        <w:autoSpaceDE w:val="0"/>
        <w:autoSpaceDN w:val="0"/>
        <w:adjustRightInd w:val="0"/>
        <w:spacing w:line="240" w:lineRule="auto"/>
        <w:rPr>
          <w:rStyle w:val="FootnoteReference"/>
        </w:rPr>
      </w:pPr>
      <w:r>
        <w:rPr>
          <w:rStyle w:val="FootnoteReference"/>
        </w:rPr>
        <w:footnoteRef/>
      </w:r>
      <w:r>
        <w:t xml:space="preserve"> </w:t>
      </w:r>
      <w:r w:rsidRPr="00AB01BF">
        <w:rPr>
          <w:rStyle w:val="FootnoteReference"/>
        </w:rPr>
        <w:t>A</w:t>
      </w:r>
      <w:r w:rsidRPr="00951863">
        <w:rPr>
          <w:rStyle w:val="FootnoteReference"/>
        </w:rPr>
        <w:t xml:space="preserve"> Case</w:t>
      </w:r>
      <w:r w:rsidR="00413ABE" w:rsidRPr="00951863">
        <w:rPr>
          <w:rStyle w:val="FootnoteReference"/>
        </w:rPr>
        <w:t xml:space="preserve"> Study, p.28</w:t>
      </w:r>
      <w:r w:rsidR="00951863" w:rsidRPr="00951863">
        <w:rPr>
          <w:rStyle w:val="FootnoteReference"/>
        </w:rPr>
        <w:t>0</w:t>
      </w:r>
      <w:r w:rsidR="00DC7EBE" w:rsidRPr="00DC7EBE">
        <w:rPr>
          <w:rStyle w:val="FootnoteReference"/>
        </w:rPr>
        <w:t xml:space="preserve">; Belden C. lane, </w:t>
      </w:r>
      <w:r w:rsidR="00DC7EBE">
        <w:rPr>
          <w:rStyle w:val="FootnoteReference"/>
        </w:rPr>
        <w:t>“</w:t>
      </w:r>
      <w:r w:rsidR="00DC7EBE" w:rsidRPr="00DC7EBE">
        <w:rPr>
          <w:rStyle w:val="FootnoteReference"/>
        </w:rPr>
        <w:t>Landscapes of the sacred: geography and narrative in American spirituality</w:t>
      </w:r>
      <w:r w:rsidR="00DC7EBE">
        <w:rPr>
          <w:rStyle w:val="FootnoteReference"/>
        </w:rPr>
        <w:t>”</w:t>
      </w:r>
      <w:r w:rsidR="00DC7EBE" w:rsidRPr="00DC7EBE">
        <w:rPr>
          <w:rStyle w:val="FootnoteReference"/>
        </w:rPr>
        <w:t xml:space="preserve"> (Bal</w:t>
      </w:r>
      <w:r w:rsidR="0042357D">
        <w:rPr>
          <w:rStyle w:val="FootnoteReference"/>
        </w:rPr>
        <w:t>timore, MD/London 2001), p. 58., cited i</w:t>
      </w:r>
      <w:r w:rsidR="0042357D" w:rsidRPr="0042357D">
        <w:rPr>
          <w:rStyle w:val="FootnoteReference"/>
        </w:rPr>
        <w:t>n A Case Study, p.275</w:t>
      </w:r>
    </w:p>
  </w:footnote>
  <w:footnote w:id="14">
    <w:p w14:paraId="0AAA74A5" w14:textId="75B443D2" w:rsidR="00951863" w:rsidRPr="007469BE" w:rsidRDefault="00951863">
      <w:pPr>
        <w:pStyle w:val="FootnoteText"/>
        <w:rPr>
          <w:rStyle w:val="FootnoteReference"/>
        </w:rPr>
      </w:pPr>
      <w:r w:rsidRPr="00951863">
        <w:rPr>
          <w:rStyle w:val="FootnoteReference"/>
        </w:rPr>
        <w:footnoteRef/>
      </w:r>
      <w:r w:rsidRPr="00951863">
        <w:rPr>
          <w:rStyle w:val="FootnoteReference"/>
        </w:rPr>
        <w:t xml:space="preserve"> A Ca</w:t>
      </w:r>
      <w:r w:rsidRPr="007469BE">
        <w:rPr>
          <w:rStyle w:val="FootnoteReference"/>
        </w:rPr>
        <w:t>se Study, p.280</w:t>
      </w:r>
    </w:p>
  </w:footnote>
  <w:footnote w:id="15">
    <w:p w14:paraId="0D38EC65" w14:textId="77777777" w:rsidR="00A41524" w:rsidRPr="00387A24" w:rsidRDefault="00A41524" w:rsidP="00A41524">
      <w:pPr>
        <w:widowControl w:val="0"/>
        <w:autoSpaceDE w:val="0"/>
        <w:autoSpaceDN w:val="0"/>
        <w:adjustRightInd w:val="0"/>
        <w:spacing w:line="240" w:lineRule="auto"/>
        <w:rPr>
          <w:rFonts w:ascii="Times" w:hAnsi="Times" w:cs="Times"/>
        </w:rPr>
      </w:pPr>
      <w:r w:rsidRPr="007469BE">
        <w:rPr>
          <w:rStyle w:val="FootnoteReference"/>
        </w:rPr>
        <w:footnoteRef/>
      </w:r>
      <w:r w:rsidRPr="007469BE">
        <w:rPr>
          <w:rStyle w:val="FootnoteReference"/>
        </w:rPr>
        <w:t xml:space="preserve"> Anthony F. Aveni “</w:t>
      </w:r>
      <w:r w:rsidRPr="00387A24">
        <w:rPr>
          <w:rStyle w:val="FootnoteReference"/>
        </w:rPr>
        <w:t xml:space="preserve">Skywatchers: a revised </w:t>
      </w:r>
      <w:r w:rsidRPr="00803CE0">
        <w:rPr>
          <w:rStyle w:val="FootnoteReference"/>
        </w:rPr>
        <w:t>and updated version of skywatchers of ancient Mexico”, University of Texas Press, Austin, 2001, cited by Clive Ruggles, “Nature and Analysis of Material Evidence Relevant to Archaeoastronomy”, The Handbook of Archaeoastronomy and Ethnoastronomy, ed. Clive L. N</w:t>
      </w:r>
      <w:r>
        <w:rPr>
          <w:rStyle w:val="FootnoteReference"/>
        </w:rPr>
        <w:t xml:space="preserve">. Ruggles, (New York 2015), </w:t>
      </w:r>
      <w:r w:rsidRPr="00803CE0">
        <w:rPr>
          <w:rStyle w:val="FootnoteReference"/>
        </w:rPr>
        <w:t xml:space="preserve">p. </w:t>
      </w:r>
      <w:r>
        <w:rPr>
          <w:rStyle w:val="FootnoteReference"/>
        </w:rPr>
        <w:t>355</w:t>
      </w:r>
      <w:r w:rsidRPr="00803CE0">
        <w:rPr>
          <w:rStyle w:val="FootnoteReference"/>
        </w:rPr>
        <w:t xml:space="preserve"> [hereafter Nature and Analysis of Material Evidence Relevant to Archaeoastronomy]</w:t>
      </w:r>
    </w:p>
  </w:footnote>
  <w:footnote w:id="16">
    <w:p w14:paraId="737302D7" w14:textId="2075BEAB" w:rsidR="0069462A" w:rsidRDefault="0069462A">
      <w:pPr>
        <w:pStyle w:val="FootnoteText"/>
      </w:pPr>
      <w:r>
        <w:rPr>
          <w:rStyle w:val="FootnoteReference"/>
        </w:rPr>
        <w:footnoteRef/>
      </w:r>
      <w:r>
        <w:t xml:space="preserve"> </w:t>
      </w:r>
      <w:r w:rsidR="00B87585" w:rsidRPr="00803CE0">
        <w:rPr>
          <w:rStyle w:val="FootnoteReference"/>
        </w:rPr>
        <w:t xml:space="preserve">Nature and </w:t>
      </w:r>
      <w:r w:rsidR="00B87585" w:rsidRPr="00B87585">
        <w:rPr>
          <w:rStyle w:val="FootnoteReference"/>
        </w:rPr>
        <w:t>Analysis of Material Evidence Relevant to Archaeoastronomy, p.361</w:t>
      </w:r>
    </w:p>
  </w:footnote>
  <w:footnote w:id="17">
    <w:p w14:paraId="1498EE00" w14:textId="77777777" w:rsidR="00A41524" w:rsidRPr="007E5585" w:rsidRDefault="00A41524" w:rsidP="00A41524">
      <w:pPr>
        <w:pStyle w:val="FootnoteText"/>
      </w:pPr>
      <w:r>
        <w:rPr>
          <w:rStyle w:val="FootnoteReference"/>
        </w:rPr>
        <w:footnoteRef/>
      </w:r>
      <w:r>
        <w:t xml:space="preserve"> </w:t>
      </w:r>
      <w:r w:rsidRPr="007E5585">
        <w:rPr>
          <w:rStyle w:val="FootnoteReference"/>
        </w:rPr>
        <w:t>A Case Study, p.285</w:t>
      </w:r>
    </w:p>
  </w:footnote>
  <w:footnote w:id="18">
    <w:p w14:paraId="3D200E23" w14:textId="7CF8DAC7" w:rsidR="006C58BE" w:rsidRDefault="006C58BE">
      <w:pPr>
        <w:pStyle w:val="FootnoteText"/>
      </w:pPr>
      <w:r>
        <w:rPr>
          <w:rStyle w:val="FootnoteReference"/>
        </w:rPr>
        <w:footnoteRef/>
      </w:r>
      <w:r>
        <w:t xml:space="preserve"> </w:t>
      </w:r>
      <w:r w:rsidRPr="007E5585">
        <w:rPr>
          <w:rStyle w:val="FootnoteReference"/>
        </w:rPr>
        <w:t>Orientation of Christian</w:t>
      </w:r>
      <w:r w:rsidRPr="00AB2A2A">
        <w:rPr>
          <w:rStyle w:val="FootnoteReference"/>
        </w:rPr>
        <w:t xml:space="preserve"> Churches, p.1709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0E1"/>
    <w:rsid w:val="00006CA6"/>
    <w:rsid w:val="0001151C"/>
    <w:rsid w:val="000340E2"/>
    <w:rsid w:val="00034198"/>
    <w:rsid w:val="00067BCC"/>
    <w:rsid w:val="0007344E"/>
    <w:rsid w:val="00074B0C"/>
    <w:rsid w:val="00075AB5"/>
    <w:rsid w:val="000821D5"/>
    <w:rsid w:val="000857B4"/>
    <w:rsid w:val="00092894"/>
    <w:rsid w:val="0009453C"/>
    <w:rsid w:val="00097EBF"/>
    <w:rsid w:val="000A54E7"/>
    <w:rsid w:val="000A5F4E"/>
    <w:rsid w:val="000B0244"/>
    <w:rsid w:val="000B7E3C"/>
    <w:rsid w:val="000C003C"/>
    <w:rsid w:val="000C034B"/>
    <w:rsid w:val="000C30EC"/>
    <w:rsid w:val="000D1708"/>
    <w:rsid w:val="000D1D66"/>
    <w:rsid w:val="000D3BFD"/>
    <w:rsid w:val="000E0769"/>
    <w:rsid w:val="000E14A0"/>
    <w:rsid w:val="000F4FFC"/>
    <w:rsid w:val="00113E4B"/>
    <w:rsid w:val="00120D3D"/>
    <w:rsid w:val="001233D7"/>
    <w:rsid w:val="00124B2E"/>
    <w:rsid w:val="001327FF"/>
    <w:rsid w:val="00134449"/>
    <w:rsid w:val="0013641F"/>
    <w:rsid w:val="00145255"/>
    <w:rsid w:val="001454A3"/>
    <w:rsid w:val="00151F27"/>
    <w:rsid w:val="0015725D"/>
    <w:rsid w:val="001612D0"/>
    <w:rsid w:val="00161314"/>
    <w:rsid w:val="001650B1"/>
    <w:rsid w:val="0017599B"/>
    <w:rsid w:val="001A0ADD"/>
    <w:rsid w:val="001A0CB9"/>
    <w:rsid w:val="001A114F"/>
    <w:rsid w:val="001B143F"/>
    <w:rsid w:val="001B4006"/>
    <w:rsid w:val="001C0402"/>
    <w:rsid w:val="001C0C3B"/>
    <w:rsid w:val="001C6D41"/>
    <w:rsid w:val="001C7CBE"/>
    <w:rsid w:val="001D02D0"/>
    <w:rsid w:val="001D15A4"/>
    <w:rsid w:val="001D58BA"/>
    <w:rsid w:val="001E3CB7"/>
    <w:rsid w:val="001E4795"/>
    <w:rsid w:val="001E4A16"/>
    <w:rsid w:val="001E4BE5"/>
    <w:rsid w:val="001F11F4"/>
    <w:rsid w:val="001F1D10"/>
    <w:rsid w:val="001F5C50"/>
    <w:rsid w:val="001F6370"/>
    <w:rsid w:val="001F664D"/>
    <w:rsid w:val="00220B22"/>
    <w:rsid w:val="00221943"/>
    <w:rsid w:val="00222A84"/>
    <w:rsid w:val="00224CBC"/>
    <w:rsid w:val="002261C7"/>
    <w:rsid w:val="00231E28"/>
    <w:rsid w:val="00233F20"/>
    <w:rsid w:val="002361DA"/>
    <w:rsid w:val="00243D50"/>
    <w:rsid w:val="00244839"/>
    <w:rsid w:val="00244BFD"/>
    <w:rsid w:val="00247AA3"/>
    <w:rsid w:val="00250A91"/>
    <w:rsid w:val="00256D52"/>
    <w:rsid w:val="00262917"/>
    <w:rsid w:val="0026363B"/>
    <w:rsid w:val="002636A3"/>
    <w:rsid w:val="002658BF"/>
    <w:rsid w:val="00266493"/>
    <w:rsid w:val="002709F7"/>
    <w:rsid w:val="00271F4B"/>
    <w:rsid w:val="00273A6F"/>
    <w:rsid w:val="00274B71"/>
    <w:rsid w:val="002779CE"/>
    <w:rsid w:val="00280CE2"/>
    <w:rsid w:val="00282477"/>
    <w:rsid w:val="002955FB"/>
    <w:rsid w:val="002A3EA0"/>
    <w:rsid w:val="002A7659"/>
    <w:rsid w:val="002B547F"/>
    <w:rsid w:val="002B5E4F"/>
    <w:rsid w:val="002B6BC6"/>
    <w:rsid w:val="002C0AB9"/>
    <w:rsid w:val="002C7BFC"/>
    <w:rsid w:val="002D069C"/>
    <w:rsid w:val="002D4195"/>
    <w:rsid w:val="002E4101"/>
    <w:rsid w:val="002F1851"/>
    <w:rsid w:val="002F3A39"/>
    <w:rsid w:val="003008C3"/>
    <w:rsid w:val="00300BB1"/>
    <w:rsid w:val="003056A2"/>
    <w:rsid w:val="0032467E"/>
    <w:rsid w:val="00330BBB"/>
    <w:rsid w:val="00343C49"/>
    <w:rsid w:val="003458DA"/>
    <w:rsid w:val="00356643"/>
    <w:rsid w:val="003641A7"/>
    <w:rsid w:val="00370336"/>
    <w:rsid w:val="00373254"/>
    <w:rsid w:val="00373EFD"/>
    <w:rsid w:val="00374342"/>
    <w:rsid w:val="0038198A"/>
    <w:rsid w:val="00383A22"/>
    <w:rsid w:val="0038700D"/>
    <w:rsid w:val="00387A24"/>
    <w:rsid w:val="00394CD4"/>
    <w:rsid w:val="003A1DF5"/>
    <w:rsid w:val="003A7772"/>
    <w:rsid w:val="003A7C95"/>
    <w:rsid w:val="003B24E2"/>
    <w:rsid w:val="003B2A71"/>
    <w:rsid w:val="003B5F49"/>
    <w:rsid w:val="003C79DA"/>
    <w:rsid w:val="003D0609"/>
    <w:rsid w:val="003D47D9"/>
    <w:rsid w:val="003F07C4"/>
    <w:rsid w:val="003F5175"/>
    <w:rsid w:val="00413ABE"/>
    <w:rsid w:val="0041644F"/>
    <w:rsid w:val="0042357D"/>
    <w:rsid w:val="00425303"/>
    <w:rsid w:val="00443FFB"/>
    <w:rsid w:val="0044554B"/>
    <w:rsid w:val="00453777"/>
    <w:rsid w:val="00453EDA"/>
    <w:rsid w:val="004610C6"/>
    <w:rsid w:val="00462C7C"/>
    <w:rsid w:val="0046494F"/>
    <w:rsid w:val="00471D2D"/>
    <w:rsid w:val="00487337"/>
    <w:rsid w:val="00496107"/>
    <w:rsid w:val="004A482C"/>
    <w:rsid w:val="004B3F92"/>
    <w:rsid w:val="004C10DE"/>
    <w:rsid w:val="004D7B3E"/>
    <w:rsid w:val="004D7CF4"/>
    <w:rsid w:val="004E18F2"/>
    <w:rsid w:val="0050734F"/>
    <w:rsid w:val="00512178"/>
    <w:rsid w:val="0051463D"/>
    <w:rsid w:val="00515DD3"/>
    <w:rsid w:val="0052410F"/>
    <w:rsid w:val="0052565E"/>
    <w:rsid w:val="00526D98"/>
    <w:rsid w:val="00534035"/>
    <w:rsid w:val="0054004C"/>
    <w:rsid w:val="0057176A"/>
    <w:rsid w:val="00574A89"/>
    <w:rsid w:val="00577440"/>
    <w:rsid w:val="00580EBF"/>
    <w:rsid w:val="005817C6"/>
    <w:rsid w:val="00581BAE"/>
    <w:rsid w:val="00582EFC"/>
    <w:rsid w:val="00595BF0"/>
    <w:rsid w:val="005A0487"/>
    <w:rsid w:val="005B72CD"/>
    <w:rsid w:val="005B7BEF"/>
    <w:rsid w:val="005D274A"/>
    <w:rsid w:val="005D7E98"/>
    <w:rsid w:val="005F3784"/>
    <w:rsid w:val="005F7899"/>
    <w:rsid w:val="00600223"/>
    <w:rsid w:val="00600C22"/>
    <w:rsid w:val="006022B5"/>
    <w:rsid w:val="00603492"/>
    <w:rsid w:val="00605E84"/>
    <w:rsid w:val="00613C00"/>
    <w:rsid w:val="006150E1"/>
    <w:rsid w:val="00626618"/>
    <w:rsid w:val="00626851"/>
    <w:rsid w:val="0063103A"/>
    <w:rsid w:val="00636704"/>
    <w:rsid w:val="00646E95"/>
    <w:rsid w:val="00652C50"/>
    <w:rsid w:val="006619A8"/>
    <w:rsid w:val="00661BF8"/>
    <w:rsid w:val="00667FEB"/>
    <w:rsid w:val="0067547E"/>
    <w:rsid w:val="0068649C"/>
    <w:rsid w:val="0069462A"/>
    <w:rsid w:val="006A3FA2"/>
    <w:rsid w:val="006B0514"/>
    <w:rsid w:val="006C541E"/>
    <w:rsid w:val="006C58BE"/>
    <w:rsid w:val="006C6565"/>
    <w:rsid w:val="006D5B15"/>
    <w:rsid w:val="006E2A59"/>
    <w:rsid w:val="006E3EF5"/>
    <w:rsid w:val="006E54D7"/>
    <w:rsid w:val="006E7B5C"/>
    <w:rsid w:val="006F3985"/>
    <w:rsid w:val="006F4B2B"/>
    <w:rsid w:val="00704596"/>
    <w:rsid w:val="00717AD5"/>
    <w:rsid w:val="0072512A"/>
    <w:rsid w:val="007469BE"/>
    <w:rsid w:val="0074747D"/>
    <w:rsid w:val="00753898"/>
    <w:rsid w:val="00754F1B"/>
    <w:rsid w:val="00762D5E"/>
    <w:rsid w:val="00771952"/>
    <w:rsid w:val="00790282"/>
    <w:rsid w:val="007A0E8B"/>
    <w:rsid w:val="007A13E4"/>
    <w:rsid w:val="007A28DB"/>
    <w:rsid w:val="007A2E70"/>
    <w:rsid w:val="007B7014"/>
    <w:rsid w:val="007C2249"/>
    <w:rsid w:val="007C4DA7"/>
    <w:rsid w:val="007C77F6"/>
    <w:rsid w:val="007D3C26"/>
    <w:rsid w:val="007E5585"/>
    <w:rsid w:val="007E79E9"/>
    <w:rsid w:val="008018CD"/>
    <w:rsid w:val="00803CE0"/>
    <w:rsid w:val="008065BD"/>
    <w:rsid w:val="0081008F"/>
    <w:rsid w:val="00813256"/>
    <w:rsid w:val="008170C3"/>
    <w:rsid w:val="00821995"/>
    <w:rsid w:val="008273CE"/>
    <w:rsid w:val="00841E03"/>
    <w:rsid w:val="00845DB1"/>
    <w:rsid w:val="00852990"/>
    <w:rsid w:val="008557E8"/>
    <w:rsid w:val="008559E9"/>
    <w:rsid w:val="00871993"/>
    <w:rsid w:val="00880580"/>
    <w:rsid w:val="00882FAA"/>
    <w:rsid w:val="0088792C"/>
    <w:rsid w:val="008B6938"/>
    <w:rsid w:val="008B6E1F"/>
    <w:rsid w:val="008D2515"/>
    <w:rsid w:val="008D4095"/>
    <w:rsid w:val="008D510D"/>
    <w:rsid w:val="008E1221"/>
    <w:rsid w:val="0090516D"/>
    <w:rsid w:val="009221C5"/>
    <w:rsid w:val="00937BD3"/>
    <w:rsid w:val="00950709"/>
    <w:rsid w:val="00951863"/>
    <w:rsid w:val="00955B94"/>
    <w:rsid w:val="00961224"/>
    <w:rsid w:val="00964FB9"/>
    <w:rsid w:val="00972B7A"/>
    <w:rsid w:val="009768BA"/>
    <w:rsid w:val="00981A4A"/>
    <w:rsid w:val="009954FE"/>
    <w:rsid w:val="00996B0D"/>
    <w:rsid w:val="00997403"/>
    <w:rsid w:val="009D2BB5"/>
    <w:rsid w:val="009D3DBA"/>
    <w:rsid w:val="009E2D77"/>
    <w:rsid w:val="009E3D58"/>
    <w:rsid w:val="009F06F9"/>
    <w:rsid w:val="009F3104"/>
    <w:rsid w:val="009F6666"/>
    <w:rsid w:val="00A04F3E"/>
    <w:rsid w:val="00A15A57"/>
    <w:rsid w:val="00A41475"/>
    <w:rsid w:val="00A41524"/>
    <w:rsid w:val="00A45671"/>
    <w:rsid w:val="00A466DE"/>
    <w:rsid w:val="00A46A8B"/>
    <w:rsid w:val="00A52915"/>
    <w:rsid w:val="00A56DD2"/>
    <w:rsid w:val="00A7199F"/>
    <w:rsid w:val="00A767CD"/>
    <w:rsid w:val="00A8246B"/>
    <w:rsid w:val="00A874E6"/>
    <w:rsid w:val="00A930F4"/>
    <w:rsid w:val="00A95B8A"/>
    <w:rsid w:val="00A96646"/>
    <w:rsid w:val="00AB01BF"/>
    <w:rsid w:val="00AB2502"/>
    <w:rsid w:val="00AB2A2A"/>
    <w:rsid w:val="00AB571F"/>
    <w:rsid w:val="00AC0342"/>
    <w:rsid w:val="00AC5C3C"/>
    <w:rsid w:val="00AD5BB1"/>
    <w:rsid w:val="00AE2354"/>
    <w:rsid w:val="00AE313A"/>
    <w:rsid w:val="00AE6EA7"/>
    <w:rsid w:val="00AF4890"/>
    <w:rsid w:val="00AF4C95"/>
    <w:rsid w:val="00B05B59"/>
    <w:rsid w:val="00B07779"/>
    <w:rsid w:val="00B21060"/>
    <w:rsid w:val="00B265EE"/>
    <w:rsid w:val="00B31C62"/>
    <w:rsid w:val="00B3270E"/>
    <w:rsid w:val="00B5269B"/>
    <w:rsid w:val="00B66B50"/>
    <w:rsid w:val="00B70AEF"/>
    <w:rsid w:val="00B73DAF"/>
    <w:rsid w:val="00B75C86"/>
    <w:rsid w:val="00B75EDE"/>
    <w:rsid w:val="00B7693F"/>
    <w:rsid w:val="00B807ED"/>
    <w:rsid w:val="00B85402"/>
    <w:rsid w:val="00B85676"/>
    <w:rsid w:val="00B87585"/>
    <w:rsid w:val="00B94CC1"/>
    <w:rsid w:val="00BA1C81"/>
    <w:rsid w:val="00BA754A"/>
    <w:rsid w:val="00BB1490"/>
    <w:rsid w:val="00BC30F7"/>
    <w:rsid w:val="00BD0E21"/>
    <w:rsid w:val="00BD2332"/>
    <w:rsid w:val="00BD39A0"/>
    <w:rsid w:val="00BD3D27"/>
    <w:rsid w:val="00BD65F2"/>
    <w:rsid w:val="00BE07BE"/>
    <w:rsid w:val="00BE3D35"/>
    <w:rsid w:val="00BE40A5"/>
    <w:rsid w:val="00C0350B"/>
    <w:rsid w:val="00C06146"/>
    <w:rsid w:val="00C1060F"/>
    <w:rsid w:val="00C12EA6"/>
    <w:rsid w:val="00C1734F"/>
    <w:rsid w:val="00C17832"/>
    <w:rsid w:val="00C23BA7"/>
    <w:rsid w:val="00C30D64"/>
    <w:rsid w:val="00C34C99"/>
    <w:rsid w:val="00C35240"/>
    <w:rsid w:val="00C501B1"/>
    <w:rsid w:val="00C55859"/>
    <w:rsid w:val="00C61F7B"/>
    <w:rsid w:val="00C62D90"/>
    <w:rsid w:val="00C62EAB"/>
    <w:rsid w:val="00C6426D"/>
    <w:rsid w:val="00C750C3"/>
    <w:rsid w:val="00C81F32"/>
    <w:rsid w:val="00C83E7C"/>
    <w:rsid w:val="00C96992"/>
    <w:rsid w:val="00CA08E9"/>
    <w:rsid w:val="00CA694D"/>
    <w:rsid w:val="00CD3136"/>
    <w:rsid w:val="00CD64E1"/>
    <w:rsid w:val="00CE3435"/>
    <w:rsid w:val="00CE37E5"/>
    <w:rsid w:val="00CF312C"/>
    <w:rsid w:val="00D15500"/>
    <w:rsid w:val="00D200E8"/>
    <w:rsid w:val="00D25A7D"/>
    <w:rsid w:val="00D27F5F"/>
    <w:rsid w:val="00D347BF"/>
    <w:rsid w:val="00D3712F"/>
    <w:rsid w:val="00D526CA"/>
    <w:rsid w:val="00D5706A"/>
    <w:rsid w:val="00D74ECA"/>
    <w:rsid w:val="00D85162"/>
    <w:rsid w:val="00D8685E"/>
    <w:rsid w:val="00D91653"/>
    <w:rsid w:val="00D930F1"/>
    <w:rsid w:val="00D95A3C"/>
    <w:rsid w:val="00D970AF"/>
    <w:rsid w:val="00DB00D3"/>
    <w:rsid w:val="00DB20C4"/>
    <w:rsid w:val="00DB5520"/>
    <w:rsid w:val="00DB700A"/>
    <w:rsid w:val="00DB7B7E"/>
    <w:rsid w:val="00DC45A2"/>
    <w:rsid w:val="00DC7EBE"/>
    <w:rsid w:val="00DD6C52"/>
    <w:rsid w:val="00DD76A2"/>
    <w:rsid w:val="00DE0AC4"/>
    <w:rsid w:val="00DE4CDD"/>
    <w:rsid w:val="00DF05F9"/>
    <w:rsid w:val="00DF30C9"/>
    <w:rsid w:val="00DF73E8"/>
    <w:rsid w:val="00E0054D"/>
    <w:rsid w:val="00E06788"/>
    <w:rsid w:val="00E0775E"/>
    <w:rsid w:val="00E16EA9"/>
    <w:rsid w:val="00E23141"/>
    <w:rsid w:val="00E34FC6"/>
    <w:rsid w:val="00E352EF"/>
    <w:rsid w:val="00E404A8"/>
    <w:rsid w:val="00E52F5D"/>
    <w:rsid w:val="00E575A5"/>
    <w:rsid w:val="00E65B1E"/>
    <w:rsid w:val="00E74276"/>
    <w:rsid w:val="00E76BE1"/>
    <w:rsid w:val="00E77305"/>
    <w:rsid w:val="00E832AB"/>
    <w:rsid w:val="00E866F6"/>
    <w:rsid w:val="00E90DF4"/>
    <w:rsid w:val="00E967CC"/>
    <w:rsid w:val="00EC2D8B"/>
    <w:rsid w:val="00EC3BCD"/>
    <w:rsid w:val="00EE25CA"/>
    <w:rsid w:val="00EE2A79"/>
    <w:rsid w:val="00EE7864"/>
    <w:rsid w:val="00EE7FE5"/>
    <w:rsid w:val="00EF2767"/>
    <w:rsid w:val="00F020AE"/>
    <w:rsid w:val="00F03ABE"/>
    <w:rsid w:val="00F04316"/>
    <w:rsid w:val="00F143FB"/>
    <w:rsid w:val="00F161E8"/>
    <w:rsid w:val="00F1634E"/>
    <w:rsid w:val="00F22FE5"/>
    <w:rsid w:val="00F37AAA"/>
    <w:rsid w:val="00F40A84"/>
    <w:rsid w:val="00F41B9C"/>
    <w:rsid w:val="00F627FD"/>
    <w:rsid w:val="00F767EC"/>
    <w:rsid w:val="00F82E2A"/>
    <w:rsid w:val="00F83CD2"/>
    <w:rsid w:val="00F83FC4"/>
    <w:rsid w:val="00F96286"/>
    <w:rsid w:val="00F96DAB"/>
    <w:rsid w:val="00FA0CCF"/>
    <w:rsid w:val="00FA2640"/>
    <w:rsid w:val="00FA2D54"/>
    <w:rsid w:val="00FD2C11"/>
    <w:rsid w:val="00FE1B66"/>
    <w:rsid w:val="00FE51E6"/>
    <w:rsid w:val="00FF41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4285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87A24"/>
    <w:pPr>
      <w:spacing w:line="360" w:lineRule="auto"/>
    </w:pPr>
    <w:rPr>
      <w:rFonts w:cs="Times New Roman"/>
      <w:lang w:val="en-GB"/>
    </w:rPr>
  </w:style>
  <w:style w:type="paragraph" w:styleId="Heading1">
    <w:name w:val="heading 1"/>
    <w:basedOn w:val="Normal"/>
    <w:next w:val="Normal"/>
    <w:link w:val="Heading1Char"/>
    <w:uiPriority w:val="9"/>
    <w:qFormat/>
    <w:rsid w:val="006150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07C4"/>
    <w:pPr>
      <w:keepNext/>
      <w:keepLines/>
      <w:spacing w:before="40"/>
      <w:outlineLvl w:val="1"/>
    </w:pPr>
    <w:rPr>
      <w:rFonts w:asciiTheme="majorHAnsi" w:eastAsiaTheme="majorEastAsia" w:hAnsiTheme="majorHAnsi" w:cstheme="majorBidi"/>
      <w:color w:val="2F5496" w:themeColor="accent1" w:themeShade="BF"/>
      <w:sz w:val="26"/>
      <w:szCs w:val="26"/>
      <w:lang w:val="en-US"/>
    </w:rPr>
  </w:style>
  <w:style w:type="paragraph" w:styleId="Heading3">
    <w:name w:val="heading 3"/>
    <w:basedOn w:val="Normal"/>
    <w:next w:val="Normal"/>
    <w:link w:val="Heading3Char"/>
    <w:uiPriority w:val="9"/>
    <w:semiHidden/>
    <w:unhideWhenUsed/>
    <w:qFormat/>
    <w:rsid w:val="00C35240"/>
    <w:pPr>
      <w:keepNext/>
      <w:keepLines/>
      <w:spacing w:before="40"/>
      <w:outlineLvl w:val="2"/>
    </w:pPr>
    <w:rPr>
      <w:rFonts w:asciiTheme="majorHAnsi" w:eastAsiaTheme="majorEastAsia" w:hAnsiTheme="majorHAnsi" w:cstheme="majorBidi"/>
      <w:color w:val="1F3763" w:themeColor="accent1" w:themeShade="7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0E1"/>
    <w:rPr>
      <w:rFonts w:asciiTheme="majorHAnsi" w:eastAsiaTheme="majorEastAsia" w:hAnsiTheme="majorHAnsi" w:cstheme="majorBidi"/>
      <w:color w:val="2F5496" w:themeColor="accent1" w:themeShade="BF"/>
      <w:sz w:val="32"/>
      <w:szCs w:val="32"/>
      <w:lang w:val="en-GB"/>
    </w:rPr>
  </w:style>
  <w:style w:type="paragraph" w:styleId="FootnoteText">
    <w:name w:val="footnote text"/>
    <w:basedOn w:val="Normal"/>
    <w:link w:val="FootnoteTextChar"/>
    <w:uiPriority w:val="99"/>
    <w:unhideWhenUsed/>
    <w:rsid w:val="00B3270E"/>
    <w:pPr>
      <w:spacing w:line="240" w:lineRule="auto"/>
    </w:pPr>
  </w:style>
  <w:style w:type="character" w:customStyle="1" w:styleId="FootnoteTextChar">
    <w:name w:val="Footnote Text Char"/>
    <w:basedOn w:val="DefaultParagraphFont"/>
    <w:link w:val="FootnoteText"/>
    <w:uiPriority w:val="99"/>
    <w:rsid w:val="00B3270E"/>
    <w:rPr>
      <w:rFonts w:cs="Times New Roman"/>
    </w:rPr>
  </w:style>
  <w:style w:type="character" w:styleId="FootnoteReference">
    <w:name w:val="footnote reference"/>
    <w:basedOn w:val="DefaultParagraphFont"/>
    <w:uiPriority w:val="99"/>
    <w:unhideWhenUsed/>
    <w:rsid w:val="00A874E6"/>
    <w:rPr>
      <w:vertAlign w:val="superscript"/>
    </w:rPr>
  </w:style>
  <w:style w:type="character" w:styleId="Emphasis">
    <w:name w:val="Emphasis"/>
    <w:basedOn w:val="DefaultParagraphFont"/>
    <w:uiPriority w:val="20"/>
    <w:qFormat/>
    <w:rsid w:val="00B7693F"/>
    <w:rPr>
      <w:i/>
      <w:iCs/>
    </w:rPr>
  </w:style>
  <w:style w:type="character" w:styleId="SubtleReference">
    <w:name w:val="Subtle Reference"/>
    <w:basedOn w:val="DefaultParagraphFont"/>
    <w:uiPriority w:val="31"/>
    <w:qFormat/>
    <w:rsid w:val="00B7693F"/>
    <w:rPr>
      <w:smallCaps/>
      <w:color w:val="5A5A5A" w:themeColor="text1" w:themeTint="A5"/>
    </w:rPr>
  </w:style>
  <w:style w:type="character" w:styleId="Hyperlink">
    <w:name w:val="Hyperlink"/>
    <w:basedOn w:val="DefaultParagraphFont"/>
    <w:uiPriority w:val="99"/>
    <w:unhideWhenUsed/>
    <w:rsid w:val="002B6BC6"/>
    <w:rPr>
      <w:color w:val="0563C1" w:themeColor="hyperlink"/>
      <w:u w:val="single"/>
    </w:rPr>
  </w:style>
  <w:style w:type="paragraph" w:styleId="Title">
    <w:name w:val="Title"/>
    <w:basedOn w:val="Normal"/>
    <w:next w:val="Normal"/>
    <w:link w:val="TitleChar"/>
    <w:uiPriority w:val="10"/>
    <w:qFormat/>
    <w:rsid w:val="002B6BC6"/>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BC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EC3BCD"/>
    <w:pPr>
      <w:ind w:left="720"/>
      <w:contextualSpacing/>
    </w:pPr>
  </w:style>
  <w:style w:type="character" w:customStyle="1" w:styleId="Heading2Char">
    <w:name w:val="Heading 2 Char"/>
    <w:basedOn w:val="DefaultParagraphFont"/>
    <w:link w:val="Heading2"/>
    <w:uiPriority w:val="9"/>
    <w:rsid w:val="003F07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35240"/>
    <w:rPr>
      <w:rFonts w:asciiTheme="majorHAnsi" w:eastAsiaTheme="majorEastAsia" w:hAnsiTheme="majorHAnsi" w:cstheme="majorBidi"/>
      <w:color w:val="1F3763" w:themeColor="accent1" w:themeShade="7F"/>
    </w:rPr>
  </w:style>
  <w:style w:type="paragraph" w:styleId="NormalWeb">
    <w:name w:val="Normal (Web)"/>
    <w:basedOn w:val="Normal"/>
    <w:rsid w:val="00C35240"/>
    <w:pPr>
      <w:spacing w:before="100" w:beforeAutospacing="1" w:after="100" w:afterAutospacing="1" w:line="240" w:lineRule="auto"/>
    </w:pPr>
    <w:rPr>
      <w:rFonts w:ascii="Georgia" w:eastAsia="SimSun" w:hAnsi="Georgia"/>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511861">
      <w:bodyDiv w:val="1"/>
      <w:marLeft w:val="0"/>
      <w:marRight w:val="0"/>
      <w:marTop w:val="0"/>
      <w:marBottom w:val="0"/>
      <w:divBdr>
        <w:top w:val="none" w:sz="0" w:space="0" w:color="auto"/>
        <w:left w:val="none" w:sz="0" w:space="0" w:color="auto"/>
        <w:bottom w:val="none" w:sz="0" w:space="0" w:color="auto"/>
        <w:right w:val="none" w:sz="0" w:space="0" w:color="auto"/>
      </w:divBdr>
    </w:div>
    <w:div w:id="377583248">
      <w:bodyDiv w:val="1"/>
      <w:marLeft w:val="0"/>
      <w:marRight w:val="0"/>
      <w:marTop w:val="0"/>
      <w:marBottom w:val="0"/>
      <w:divBdr>
        <w:top w:val="none" w:sz="0" w:space="0" w:color="auto"/>
        <w:left w:val="none" w:sz="0" w:space="0" w:color="auto"/>
        <w:bottom w:val="none" w:sz="0" w:space="0" w:color="auto"/>
        <w:right w:val="none" w:sz="0" w:space="0" w:color="auto"/>
      </w:divBdr>
    </w:div>
    <w:div w:id="1064109929">
      <w:bodyDiv w:val="1"/>
      <w:marLeft w:val="0"/>
      <w:marRight w:val="0"/>
      <w:marTop w:val="0"/>
      <w:marBottom w:val="0"/>
      <w:divBdr>
        <w:top w:val="none" w:sz="0" w:space="0" w:color="auto"/>
        <w:left w:val="none" w:sz="0" w:space="0" w:color="auto"/>
        <w:bottom w:val="none" w:sz="0" w:space="0" w:color="auto"/>
        <w:right w:val="none" w:sz="0" w:space="0" w:color="auto"/>
      </w:divBdr>
    </w:div>
    <w:div w:id="1207260465">
      <w:bodyDiv w:val="1"/>
      <w:marLeft w:val="0"/>
      <w:marRight w:val="0"/>
      <w:marTop w:val="0"/>
      <w:marBottom w:val="0"/>
      <w:divBdr>
        <w:top w:val="none" w:sz="0" w:space="0" w:color="auto"/>
        <w:left w:val="none" w:sz="0" w:space="0" w:color="auto"/>
        <w:bottom w:val="none" w:sz="0" w:space="0" w:color="auto"/>
        <w:right w:val="none" w:sz="0" w:space="0" w:color="auto"/>
      </w:divBdr>
    </w:div>
    <w:div w:id="2013869657">
      <w:bodyDiv w:val="1"/>
      <w:marLeft w:val="0"/>
      <w:marRight w:val="0"/>
      <w:marTop w:val="0"/>
      <w:marBottom w:val="0"/>
      <w:divBdr>
        <w:top w:val="none" w:sz="0" w:space="0" w:color="auto"/>
        <w:left w:val="none" w:sz="0" w:space="0" w:color="auto"/>
        <w:bottom w:val="none" w:sz="0" w:space="0" w:color="auto"/>
        <w:right w:val="none" w:sz="0" w:space="0" w:color="auto"/>
      </w:divBdr>
    </w:div>
    <w:div w:id="20194996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cambridge.org/core/journals/antiquaries-journal" TargetMode="External"/><Relationship Id="rId2" Type="http://schemas.openxmlformats.org/officeDocument/2006/relationships/hyperlink" Target="http://www.citeaux.or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file>

<file path=customXml/itemProps1.xml><?xml version="1.0" encoding="utf-8"?>
<ds:datastoreItem xmlns:ds="http://schemas.openxmlformats.org/officeDocument/2006/customXml" ds:itemID="{0645CDE2-4DFF-F040-8BD2-F8FB90598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8</Pages>
  <Words>1744</Words>
  <Characters>9944</Characters>
  <Application>Microsoft Macintosh Word</Application>
  <DocSecurity>0</DocSecurity>
  <Lines>82</Lines>
  <Paragraphs>23</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THIS SHEET MUST BE THE FIRST PAGE OF THE ASSIGNMENT YOU ARE SUBMITTING  (DO NOT </vt:lpstr>
      <vt:lpstr>        </vt:lpstr>
      <vt:lpstr>Introduction</vt:lpstr>
      <vt:lpstr>Audience</vt:lpstr>
      <vt:lpstr>Overview of Articles</vt:lpstr>
      <vt:lpstr>Topography vs symbolic horizon</vt:lpstr>
      <vt:lpstr>Case Study vs Statistics</vt:lpstr>
      <vt:lpstr>Conclusion</vt:lpstr>
      <vt:lpstr>Bibliography </vt:lpstr>
      <vt:lpstr>    Primary Sources</vt:lpstr>
      <vt:lpstr>    Secondary Sources</vt:lpstr>
    </vt:vector>
  </TitlesOfParts>
  <LinksUpToDate>false</LinksUpToDate>
  <CharactersWithSpaces>11665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xpaulk@outlook.com</dc:creator>
  <cp:keywords/>
  <dc:description/>
  <cp:lastModifiedBy>xpaulk@outlook.com</cp:lastModifiedBy>
  <cp:revision>351</cp:revision>
  <dcterms:created xsi:type="dcterms:W3CDTF">2019-02-20T12:22:00Z</dcterms:created>
  <dcterms:modified xsi:type="dcterms:W3CDTF">2019-02-27T11:24:00Z</dcterms:modified>
</cp:coreProperties>
</file>