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A3581" w14:textId="77777777" w:rsidR="00552FD0" w:rsidRDefault="008E21C7">
      <w:pPr>
        <w:spacing w:before="400" w:after="500"/>
      </w:pPr>
      <w:r>
        <w:rPr>
          <w:noProof/>
        </w:rPr>
        <w:drawing>
          <wp:inline distT="0" distB="0" distL="0" distR="0" wp14:anchorId="72057E4F" wp14:editId="57CB8021">
            <wp:extent cx="2596896" cy="914400"/>
            <wp:effectExtent l="0" t="0" r="0" b="0"/>
            <wp:docPr id="1" name="logo" descr="University of Wales Trinity Saint David logo" title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9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39CE3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Student name</w:t>
      </w:r>
      <w:r>
        <w:rPr>
          <w:color w:val="222222"/>
          <w:sz w:val="22"/>
          <w:szCs w:val="22"/>
        </w:rPr>
        <w:t>: Catalin Anca</w:t>
      </w:r>
    </w:p>
    <w:p w14:paraId="66F6703A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Student ID</w:t>
      </w:r>
      <w:r>
        <w:rPr>
          <w:color w:val="222222"/>
          <w:sz w:val="22"/>
          <w:szCs w:val="22"/>
        </w:rPr>
        <w:t>: 2024817</w:t>
      </w:r>
    </w:p>
    <w:p w14:paraId="173C5104" w14:textId="77777777" w:rsidR="00552FD0" w:rsidRDefault="00552FD0">
      <w:pPr>
        <w:spacing w:after="120"/>
      </w:pPr>
    </w:p>
    <w:p w14:paraId="7FFCC829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Module name</w:t>
      </w:r>
      <w:r>
        <w:rPr>
          <w:color w:val="222222"/>
          <w:sz w:val="22"/>
          <w:szCs w:val="22"/>
        </w:rPr>
        <w:t>: Independent Project</w:t>
      </w:r>
    </w:p>
    <w:p w14:paraId="1F97D890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Module code</w:t>
      </w:r>
      <w:r>
        <w:rPr>
          <w:color w:val="222222"/>
          <w:sz w:val="22"/>
          <w:szCs w:val="22"/>
        </w:rPr>
        <w:t>: BMHP6020</w:t>
      </w:r>
    </w:p>
    <w:p w14:paraId="1F5BD5F8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Lecturer’s name</w:t>
      </w:r>
      <w:r>
        <w:rPr>
          <w:color w:val="222222"/>
          <w:sz w:val="22"/>
          <w:szCs w:val="22"/>
        </w:rPr>
        <w:t>: Bianca Sanfilippo</w:t>
      </w:r>
    </w:p>
    <w:p w14:paraId="212C53C7" w14:textId="77777777" w:rsidR="00552FD0" w:rsidRDefault="00552FD0">
      <w:pPr>
        <w:spacing w:after="200"/>
      </w:pPr>
    </w:p>
    <w:p w14:paraId="3C96B41D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Assessment</w:t>
      </w:r>
      <w:r>
        <w:rPr>
          <w:color w:val="222222"/>
          <w:sz w:val="22"/>
          <w:szCs w:val="22"/>
        </w:rPr>
        <w:t>: Component 1, Element 2: Methodology Poster</w:t>
      </w:r>
    </w:p>
    <w:p w14:paraId="7C888690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Project title</w:t>
      </w:r>
      <w:r>
        <w:rPr>
          <w:color w:val="222222"/>
          <w:sz w:val="22"/>
          <w:szCs w:val="22"/>
        </w:rPr>
        <w:t>: An Exploration of the Lived Experiences of People Living with Dementia in the UK</w:t>
      </w:r>
    </w:p>
    <w:p w14:paraId="1C9F2DD6" w14:textId="77777777" w:rsidR="00552FD0" w:rsidRDefault="008E21C7">
      <w:pPr>
        <w:spacing w:after="220" w:line="360" w:lineRule="auto"/>
        <w:ind w:left="426"/>
      </w:pPr>
      <w:r>
        <w:rPr>
          <w:b/>
          <w:bCs/>
          <w:color w:val="222222"/>
          <w:sz w:val="22"/>
          <w:szCs w:val="22"/>
        </w:rPr>
        <w:t>Word count</w:t>
      </w:r>
      <w:r>
        <w:rPr>
          <w:color w:val="222222"/>
          <w:sz w:val="22"/>
          <w:szCs w:val="22"/>
        </w:rPr>
        <w:t>: 528 (poster text, excluding references)</w:t>
      </w:r>
    </w:p>
    <w:p w14:paraId="21AE3765" w14:textId="77777777" w:rsidR="00552FD0" w:rsidRDefault="008E21C7">
      <w:r>
        <w:br w:type="page"/>
      </w:r>
    </w:p>
    <w:tbl>
      <w:tblPr>
        <w:tblW w:w="144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0"/>
      </w:tblGrid>
      <w:tr w:rsidR="00552FD0" w14:paraId="6280D6D2" w14:textId="77777777">
        <w:tblPrEx>
          <w:tblCellMar>
            <w:top w:w="0" w:type="dxa"/>
            <w:bottom w:w="0" w:type="dxa"/>
          </w:tblCellMar>
        </w:tblPrEx>
        <w:tc>
          <w:tcPr>
            <w:tcW w:w="14400" w:type="dxa"/>
            <w:shd w:val="clear" w:color="auto" w:fill="4B2E83"/>
            <w:tcMar>
              <w:top w:w="55" w:type="dxa"/>
              <w:left w:w="200" w:type="dxa"/>
              <w:bottom w:w="55" w:type="dxa"/>
              <w:right w:w="200" w:type="dxa"/>
            </w:tcMar>
          </w:tcPr>
          <w:p w14:paraId="338FF090" w14:textId="77777777" w:rsidR="00552FD0" w:rsidRDefault="008E21C7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32"/>
                <w:szCs w:val="32"/>
              </w:rPr>
              <w:lastRenderedPageBreak/>
              <w:t>An Exploration of the Lived Experiences of People Living with Dementia in the UK</w:t>
            </w:r>
          </w:p>
          <w:p w14:paraId="340C9A1B" w14:textId="77777777" w:rsidR="00552FD0" w:rsidRDefault="008E21C7">
            <w:pPr>
              <w:jc w:val="center"/>
            </w:pPr>
            <w:r>
              <w:rPr>
                <w:color w:val="E3DAF2"/>
                <w:sz w:val="16"/>
                <w:szCs w:val="16"/>
              </w:rPr>
              <w:t xml:space="preserve">Methodology </w:t>
            </w:r>
            <w:proofErr w:type="gramStart"/>
            <w:r>
              <w:rPr>
                <w:color w:val="E3DAF2"/>
                <w:sz w:val="16"/>
                <w:szCs w:val="16"/>
              </w:rPr>
              <w:t>Poster  •</w:t>
            </w:r>
            <w:proofErr w:type="gramEnd"/>
            <w:r>
              <w:rPr>
                <w:color w:val="E3DAF2"/>
                <w:sz w:val="16"/>
                <w:szCs w:val="16"/>
              </w:rPr>
              <w:t xml:space="preserve">  Systematic Literature </w:t>
            </w:r>
            <w:proofErr w:type="gramStart"/>
            <w:r>
              <w:rPr>
                <w:color w:val="E3DAF2"/>
                <w:sz w:val="16"/>
                <w:szCs w:val="16"/>
              </w:rPr>
              <w:t>Review  •</w:t>
            </w:r>
            <w:proofErr w:type="gramEnd"/>
            <w:r>
              <w:rPr>
                <w:color w:val="E3DAF2"/>
                <w:sz w:val="16"/>
                <w:szCs w:val="16"/>
              </w:rPr>
              <w:t xml:space="preserve">  Catalin Anca (2024817</w:t>
            </w:r>
            <w:proofErr w:type="gramStart"/>
            <w:r>
              <w:rPr>
                <w:color w:val="E3DAF2"/>
                <w:sz w:val="16"/>
                <w:szCs w:val="16"/>
              </w:rPr>
              <w:t>)  •</w:t>
            </w:r>
            <w:proofErr w:type="gramEnd"/>
            <w:r>
              <w:rPr>
                <w:color w:val="E3DAF2"/>
                <w:sz w:val="16"/>
                <w:szCs w:val="16"/>
              </w:rPr>
              <w:t xml:space="preserve">  BSc (Hons) Health and Social </w:t>
            </w:r>
            <w:proofErr w:type="gramStart"/>
            <w:r>
              <w:rPr>
                <w:color w:val="E3DAF2"/>
                <w:sz w:val="16"/>
                <w:szCs w:val="16"/>
              </w:rPr>
              <w:t>Care  •</w:t>
            </w:r>
            <w:proofErr w:type="gramEnd"/>
            <w:r>
              <w:rPr>
                <w:color w:val="E3DAF2"/>
                <w:sz w:val="16"/>
                <w:szCs w:val="16"/>
              </w:rPr>
              <w:t xml:space="preserve">  BMHP6020 Independent Project</w:t>
            </w:r>
          </w:p>
        </w:tc>
      </w:tr>
    </w:tbl>
    <w:p w14:paraId="03BE2E67" w14:textId="77777777" w:rsidR="00552FD0" w:rsidRDefault="00552FD0">
      <w:pPr>
        <w:spacing w:line="100" w:lineRule="auto"/>
      </w:pPr>
    </w:p>
    <w:tbl>
      <w:tblPr>
        <w:tblW w:w="144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3"/>
        <w:gridCol w:w="416"/>
        <w:gridCol w:w="4501"/>
        <w:gridCol w:w="360"/>
        <w:gridCol w:w="4590"/>
      </w:tblGrid>
      <w:tr w:rsidR="00552FD0" w14:paraId="28063DA5" w14:textId="77777777">
        <w:tblPrEx>
          <w:tblCellMar>
            <w:top w:w="0" w:type="dxa"/>
            <w:bottom w:w="0" w:type="dxa"/>
          </w:tblCellMar>
        </w:tblPrEx>
        <w:trPr>
          <w:cantSplit/>
          <w:trHeight w:val="9600"/>
        </w:trPr>
        <w:tc>
          <w:tcPr>
            <w:tcW w:w="4533" w:type="dxa"/>
            <w:tcBorders>
              <w:top w:val="single" w:sz="4" w:space="0" w:color="8E7CB8"/>
              <w:left w:val="single" w:sz="4" w:space="0" w:color="8E7CB8"/>
              <w:bottom w:val="single" w:sz="4" w:space="0" w:color="8E7CB8"/>
              <w:right w:val="single" w:sz="4" w:space="0" w:color="8E7CB8"/>
            </w:tcBorders>
            <w:tcMar>
              <w:top w:w="80" w:type="dxa"/>
              <w:left w:w="115" w:type="dxa"/>
              <w:bottom w:w="40" w:type="dxa"/>
              <w:right w:w="115" w:type="dxa"/>
            </w:tcMar>
          </w:tcPr>
          <w:p w14:paraId="3206DF6A" w14:textId="77777777" w:rsidR="00552FD0" w:rsidRDefault="008E21C7">
            <w:pPr>
              <w:spacing w:after="20"/>
              <w:jc w:val="center"/>
            </w:pPr>
            <w:r>
              <w:rPr>
                <w:noProof/>
              </w:rPr>
              <w:drawing>
                <wp:inline distT="0" distB="0" distL="0" distR="0" wp14:anchorId="34FF4D54" wp14:editId="4146531A">
                  <wp:extent cx="2724912" cy="1106996"/>
                  <wp:effectExtent l="0" t="0" r="0" b="0"/>
                  <wp:docPr id="65803702" name="photo1.jpg" descr="photo1.jpg" title="phot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912" cy="110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B5AF9D" w14:textId="77777777" w:rsidR="00552FD0" w:rsidRDefault="008E21C7">
            <w:pPr>
              <w:spacing w:after="40"/>
              <w:jc w:val="center"/>
            </w:pPr>
            <w:r>
              <w:rPr>
                <w:i/>
                <w:iCs/>
                <w:color w:val="44546A"/>
                <w:sz w:val="13"/>
                <w:szCs w:val="13"/>
              </w:rPr>
              <w:t>Figure 1: Person-centred support (Direct Media, n.d.)</w:t>
            </w:r>
          </w:p>
          <w:p w14:paraId="711EE629" w14:textId="77777777" w:rsidR="00552FD0" w:rsidRDefault="008E21C7">
            <w:pPr>
              <w:keepNext/>
              <w:pBdr>
                <w:bottom w:val="single" w:sz="6" w:space="1" w:color="7E57C2"/>
              </w:pBdr>
              <w:spacing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Introduction &amp; Rationale</w:t>
            </w:r>
          </w:p>
          <w:tbl>
            <w:tblPr>
              <w:tblW w:w="4300" w:type="dxa"/>
              <w:tblBorders>
                <w:top w:val="none" w:sz="0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75"/>
              <w:gridCol w:w="1075"/>
              <w:gridCol w:w="1075"/>
              <w:gridCol w:w="1075"/>
            </w:tblGrid>
            <w:tr w:rsidR="00552FD0" w14:paraId="2CB9A26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75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3DAF2"/>
                  <w:tcMar>
                    <w:top w:w="50" w:type="dxa"/>
                    <w:left w:w="40" w:type="dxa"/>
                    <w:bottom w:w="50" w:type="dxa"/>
                    <w:right w:w="40" w:type="dxa"/>
                  </w:tcMar>
                  <w:vAlign w:val="center"/>
                </w:tcPr>
                <w:p w14:paraId="4970A1B7" w14:textId="77777777" w:rsidR="00552FD0" w:rsidRDefault="008E21C7">
                  <w:pPr>
                    <w:spacing w:after="10"/>
                    <w:jc w:val="center"/>
                  </w:pPr>
                  <w:r>
                    <w:rPr>
                      <w:b/>
                      <w:bCs/>
                      <w:color w:val="4B2E83"/>
                      <w:sz w:val="20"/>
                      <w:szCs w:val="20"/>
                    </w:rPr>
                    <w:t>982,000</w:t>
                  </w:r>
                </w:p>
                <w:p w14:paraId="00F8B5D6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color w:val="222222"/>
                      <w:sz w:val="12"/>
                      <w:szCs w:val="12"/>
                    </w:rPr>
                    <w:t>people living with dementia</w:t>
                  </w:r>
                </w:p>
              </w:tc>
              <w:tc>
                <w:tcPr>
                  <w:tcW w:w="1075" w:type="dxa"/>
                  <w:tcBorders>
                    <w:top w:val="none" w:sz="0" w:space="0" w:color="FFFFFF"/>
                    <w:left w:val="single" w:sz="8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FE9F7"/>
                  <w:tcMar>
                    <w:top w:w="50" w:type="dxa"/>
                    <w:left w:w="40" w:type="dxa"/>
                    <w:bottom w:w="50" w:type="dxa"/>
                    <w:right w:w="40" w:type="dxa"/>
                  </w:tcMar>
                  <w:vAlign w:val="center"/>
                </w:tcPr>
                <w:p w14:paraId="606489BD" w14:textId="77777777" w:rsidR="00552FD0" w:rsidRDefault="008E21C7">
                  <w:pPr>
                    <w:spacing w:after="10"/>
                    <w:jc w:val="center"/>
                  </w:pPr>
                  <w:r>
                    <w:rPr>
                      <w:b/>
                      <w:bCs/>
                      <w:color w:val="4B2E83"/>
                      <w:sz w:val="20"/>
                      <w:szCs w:val="20"/>
                    </w:rPr>
                    <w:t>1.4 million</w:t>
                  </w:r>
                </w:p>
                <w:p w14:paraId="0C04FDF1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color w:val="222222"/>
                      <w:sz w:val="12"/>
                      <w:szCs w:val="12"/>
                    </w:rPr>
                    <w:t>projected by 2040</w:t>
                  </w:r>
                </w:p>
              </w:tc>
              <w:tc>
                <w:tcPr>
                  <w:tcW w:w="1075" w:type="dxa"/>
                  <w:tcBorders>
                    <w:top w:val="none" w:sz="0" w:space="0" w:color="FFFFFF"/>
                    <w:left w:val="single" w:sz="8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3DAF2"/>
                  <w:tcMar>
                    <w:top w:w="50" w:type="dxa"/>
                    <w:left w:w="40" w:type="dxa"/>
                    <w:bottom w:w="50" w:type="dxa"/>
                    <w:right w:w="40" w:type="dxa"/>
                  </w:tcMar>
                  <w:vAlign w:val="center"/>
                </w:tcPr>
                <w:p w14:paraId="368EC32B" w14:textId="77777777" w:rsidR="00552FD0" w:rsidRDefault="008E21C7">
                  <w:pPr>
                    <w:spacing w:after="10"/>
                    <w:jc w:val="center"/>
                  </w:pPr>
                  <w:r>
                    <w:rPr>
                      <w:b/>
                      <w:bCs/>
                      <w:color w:val="4B2E83"/>
                      <w:sz w:val="20"/>
                      <w:szCs w:val="20"/>
                    </w:rPr>
                    <w:t>1 in 3</w:t>
                  </w:r>
                </w:p>
                <w:p w14:paraId="1DE22071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color w:val="222222"/>
                      <w:sz w:val="12"/>
                      <w:szCs w:val="12"/>
                    </w:rPr>
                    <w:t>have no formal diagnosis</w:t>
                  </w:r>
                </w:p>
              </w:tc>
              <w:tc>
                <w:tcPr>
                  <w:tcW w:w="1075" w:type="dxa"/>
                  <w:tcBorders>
                    <w:top w:val="none" w:sz="0" w:space="0" w:color="FFFFFF"/>
                    <w:left w:val="single" w:sz="8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FE9F7"/>
                  <w:tcMar>
                    <w:top w:w="50" w:type="dxa"/>
                    <w:left w:w="40" w:type="dxa"/>
                    <w:bottom w:w="50" w:type="dxa"/>
                    <w:right w:w="40" w:type="dxa"/>
                  </w:tcMar>
                  <w:vAlign w:val="center"/>
                </w:tcPr>
                <w:p w14:paraId="07033E09" w14:textId="77777777" w:rsidR="00552FD0" w:rsidRDefault="008E21C7">
                  <w:pPr>
                    <w:spacing w:after="10"/>
                    <w:jc w:val="center"/>
                  </w:pPr>
                  <w:r>
                    <w:rPr>
                      <w:b/>
                      <w:bCs/>
                      <w:color w:val="4B2E83"/>
                      <w:sz w:val="20"/>
                      <w:szCs w:val="20"/>
                    </w:rPr>
                    <w:t>£42 billion</w:t>
                  </w:r>
                </w:p>
                <w:p w14:paraId="226F8E7A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color w:val="222222"/>
                      <w:sz w:val="12"/>
                      <w:szCs w:val="12"/>
                    </w:rPr>
                    <w:t>cost per year</w:t>
                  </w:r>
                </w:p>
              </w:tc>
            </w:tr>
          </w:tbl>
          <w:p w14:paraId="68993412" w14:textId="77777777" w:rsidR="00552FD0" w:rsidRDefault="008E21C7">
            <w:pPr>
              <w:spacing w:before="50" w:after="55"/>
            </w:pPr>
            <w:r>
              <w:rPr>
                <w:color w:val="222222"/>
              </w:rPr>
              <w:t>Dementia is the UK’s leading cause of death (Alzheimer’s Research UK, 2025). These figures (Alzheimer’s Society, 2024; NHS England Digital, 2025) measure its scale but say little about living with it. People with dementia are under-represented in research, and access to support is unequal, especially for minority ethnic groups (Alzheimer’s Society, 2025). This review focuses on their own accounts.</w:t>
            </w:r>
          </w:p>
          <w:p w14:paraId="586F75C6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Aim &amp; Research Question</w:t>
            </w:r>
          </w:p>
          <w:p w14:paraId="47060199" w14:textId="77777777" w:rsidR="00552FD0" w:rsidRDefault="008E21C7">
            <w:pPr>
              <w:spacing w:after="55"/>
            </w:pPr>
            <w:r>
              <w:rPr>
                <w:b/>
                <w:bCs/>
                <w:color w:val="4B2E83"/>
              </w:rPr>
              <w:t xml:space="preserve">Aim: </w:t>
            </w:r>
            <w:r>
              <w:rPr>
                <w:color w:val="222222"/>
              </w:rPr>
              <w:t>To explore the lived experiences of people living with dementia in the UK, including impacts on daily life, identity, relationships and access to care.</w:t>
            </w:r>
          </w:p>
          <w:p w14:paraId="4C782E29" w14:textId="77777777" w:rsidR="00552FD0" w:rsidRDefault="008E21C7">
            <w:pPr>
              <w:spacing w:after="55"/>
            </w:pPr>
            <w:r>
              <w:rPr>
                <w:b/>
                <w:bCs/>
                <w:color w:val="4B2E83"/>
              </w:rPr>
              <w:t xml:space="preserve">Research question: </w:t>
            </w:r>
            <w:r>
              <w:rPr>
                <w:i/>
                <w:iCs/>
                <w:color w:val="222222"/>
              </w:rPr>
              <w:t>What are the lived experiences of people living with dementia in the UK?</w:t>
            </w:r>
          </w:p>
          <w:p w14:paraId="398FC418" w14:textId="77777777" w:rsidR="00552FD0" w:rsidRDefault="008E21C7">
            <w:pPr>
              <w:spacing w:after="20"/>
            </w:pPr>
            <w:r>
              <w:rPr>
                <w:b/>
                <w:bCs/>
                <w:color w:val="4B2E83"/>
              </w:rPr>
              <w:t>Objectives:</w:t>
            </w:r>
          </w:p>
          <w:p w14:paraId="5B62A775" w14:textId="77777777" w:rsidR="00552FD0" w:rsidRDefault="008E21C7">
            <w:pPr>
              <w:pStyle w:val="ListParagraph"/>
              <w:numPr>
                <w:ilvl w:val="0"/>
                <w:numId w:val="2"/>
              </w:numPr>
              <w:spacing w:after="25"/>
            </w:pPr>
            <w:r>
              <w:rPr>
                <w:color w:val="222222"/>
              </w:rPr>
              <w:t>Discuss lived experiences of dementia in the UK.</w:t>
            </w:r>
          </w:p>
          <w:p w14:paraId="72BF0C11" w14:textId="77777777" w:rsidR="00552FD0" w:rsidRDefault="008E21C7">
            <w:pPr>
              <w:pStyle w:val="ListParagraph"/>
              <w:numPr>
                <w:ilvl w:val="0"/>
                <w:numId w:val="2"/>
              </w:numPr>
              <w:spacing w:after="25"/>
            </w:pPr>
            <w:r>
              <w:rPr>
                <w:color w:val="222222"/>
              </w:rPr>
              <w:t>Examine barriers to timely diagnosis and care.</w:t>
            </w:r>
          </w:p>
          <w:p w14:paraId="263EDCD7" w14:textId="77777777" w:rsidR="00552FD0" w:rsidRDefault="008E21C7">
            <w:pPr>
              <w:pStyle w:val="ListParagraph"/>
              <w:numPr>
                <w:ilvl w:val="0"/>
                <w:numId w:val="2"/>
              </w:numPr>
              <w:spacing w:after="25"/>
            </w:pPr>
            <w:r>
              <w:rPr>
                <w:color w:val="222222"/>
              </w:rPr>
              <w:t>Recommend person-centred, culturally sensitive dementia care.</w:t>
            </w:r>
          </w:p>
          <w:p w14:paraId="54AAF6E6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SPIDER Framework</w:t>
            </w:r>
          </w:p>
          <w:p w14:paraId="3DCECABE" w14:textId="77777777" w:rsidR="00552FD0" w:rsidRDefault="008E21C7">
            <w:pPr>
              <w:spacing w:after="55"/>
            </w:pPr>
            <w:r>
              <w:rPr>
                <w:color w:val="222222"/>
              </w:rPr>
              <w:t>SPIDER, designed for qualitative evidence, is used instead of PICO (Cooke, Smith and Booth, 2012).</w:t>
            </w:r>
          </w:p>
          <w:tbl>
            <w:tblPr>
              <w:tblW w:w="4300" w:type="dxa"/>
              <w:tblBorders>
                <w:top w:val="single" w:sz="4" w:space="0" w:color="BDB3D3"/>
                <w:left w:val="single" w:sz="4" w:space="0" w:color="BDB3D3"/>
                <w:bottom w:val="single" w:sz="4" w:space="0" w:color="BDB3D3"/>
                <w:right w:val="single" w:sz="4" w:space="0" w:color="BDB3D3"/>
                <w:insideH w:val="single" w:sz="4" w:space="0" w:color="BDB3D3"/>
                <w:insideV w:val="single" w:sz="4" w:space="0" w:color="BDB3D3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0"/>
              <w:gridCol w:w="3870"/>
            </w:tblGrid>
            <w:tr w:rsidR="00552FD0" w14:paraId="044AEA9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" w:type="dxa"/>
                  <w:shd w:val="clear" w:color="auto" w:fill="4B2E83"/>
                  <w:tcMar>
                    <w:top w:w="25" w:type="dxa"/>
                    <w:left w:w="40" w:type="dxa"/>
                    <w:bottom w:w="25" w:type="dxa"/>
                    <w:right w:w="40" w:type="dxa"/>
                  </w:tcMar>
                  <w:vAlign w:val="center"/>
                </w:tcPr>
                <w:p w14:paraId="4144B829" w14:textId="77777777" w:rsidR="00552FD0" w:rsidRDefault="008E21C7">
                  <w:pPr>
                    <w:jc w:val="center"/>
                  </w:pPr>
                  <w:r>
                    <w:rPr>
                      <w:b/>
                      <w:bCs/>
                      <w:color w:val="FFFFFF"/>
                    </w:rPr>
                    <w:t>S</w:t>
                  </w:r>
                </w:p>
              </w:tc>
              <w:tc>
                <w:tcPr>
                  <w:tcW w:w="3870" w:type="dxa"/>
                  <w:tcMar>
                    <w:top w:w="25" w:type="dxa"/>
                    <w:left w:w="70" w:type="dxa"/>
                    <w:bottom w:w="25" w:type="dxa"/>
                    <w:right w:w="50" w:type="dxa"/>
                  </w:tcMar>
                  <w:vAlign w:val="center"/>
                </w:tcPr>
                <w:p w14:paraId="0459CE45" w14:textId="77777777" w:rsidR="00552FD0" w:rsidRDefault="008E21C7">
                  <w:pPr>
                    <w:spacing w:line="22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 xml:space="preserve">Sample: </w:t>
                  </w:r>
                  <w:r>
                    <w:rPr>
                      <w:color w:val="222222"/>
                      <w:sz w:val="15"/>
                      <w:szCs w:val="15"/>
                    </w:rPr>
                    <w:t>People living with dementia in the UK</w:t>
                  </w:r>
                </w:p>
              </w:tc>
            </w:tr>
            <w:tr w:rsidR="00552FD0" w14:paraId="3B93317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" w:type="dxa"/>
                  <w:shd w:val="clear" w:color="auto" w:fill="4B2E83"/>
                  <w:tcMar>
                    <w:top w:w="25" w:type="dxa"/>
                    <w:left w:w="40" w:type="dxa"/>
                    <w:bottom w:w="25" w:type="dxa"/>
                    <w:right w:w="40" w:type="dxa"/>
                  </w:tcMar>
                  <w:vAlign w:val="center"/>
                </w:tcPr>
                <w:p w14:paraId="491634D7" w14:textId="77777777" w:rsidR="00552FD0" w:rsidRDefault="008E21C7">
                  <w:pPr>
                    <w:jc w:val="center"/>
                  </w:pPr>
                  <w:r>
                    <w:rPr>
                      <w:b/>
                      <w:bCs/>
                      <w:color w:val="FFFFFF"/>
                    </w:rPr>
                    <w:t>PI</w:t>
                  </w:r>
                </w:p>
              </w:tc>
              <w:tc>
                <w:tcPr>
                  <w:tcW w:w="3870" w:type="dxa"/>
                  <w:tcMar>
                    <w:top w:w="25" w:type="dxa"/>
                    <w:left w:w="70" w:type="dxa"/>
                    <w:bottom w:w="25" w:type="dxa"/>
                    <w:right w:w="50" w:type="dxa"/>
                  </w:tcMar>
                  <w:vAlign w:val="center"/>
                </w:tcPr>
                <w:p w14:paraId="73F5E65B" w14:textId="77777777" w:rsidR="00552FD0" w:rsidRDefault="008E21C7">
                  <w:pPr>
                    <w:spacing w:line="22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 xml:space="preserve">Phenomenon of Interest: </w:t>
                  </w:r>
                  <w:r>
                    <w:rPr>
                      <w:color w:val="222222"/>
                      <w:sz w:val="15"/>
                      <w:szCs w:val="15"/>
                    </w:rPr>
                    <w:t>Lived experience: daily life, identity, relationships, access to care</w:t>
                  </w:r>
                </w:p>
              </w:tc>
            </w:tr>
            <w:tr w:rsidR="00552FD0" w14:paraId="23344E4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" w:type="dxa"/>
                  <w:shd w:val="clear" w:color="auto" w:fill="4B2E83"/>
                  <w:tcMar>
                    <w:top w:w="25" w:type="dxa"/>
                    <w:left w:w="40" w:type="dxa"/>
                    <w:bottom w:w="25" w:type="dxa"/>
                    <w:right w:w="40" w:type="dxa"/>
                  </w:tcMar>
                  <w:vAlign w:val="center"/>
                </w:tcPr>
                <w:p w14:paraId="18DE48C7" w14:textId="77777777" w:rsidR="00552FD0" w:rsidRDefault="008E21C7">
                  <w:pPr>
                    <w:jc w:val="center"/>
                  </w:pPr>
                  <w:r>
                    <w:rPr>
                      <w:b/>
                      <w:bCs/>
                      <w:color w:val="FFFFFF"/>
                    </w:rPr>
                    <w:t>D</w:t>
                  </w:r>
                </w:p>
              </w:tc>
              <w:tc>
                <w:tcPr>
                  <w:tcW w:w="3870" w:type="dxa"/>
                  <w:tcMar>
                    <w:top w:w="25" w:type="dxa"/>
                    <w:left w:w="70" w:type="dxa"/>
                    <w:bottom w:w="25" w:type="dxa"/>
                    <w:right w:w="50" w:type="dxa"/>
                  </w:tcMar>
                  <w:vAlign w:val="center"/>
                </w:tcPr>
                <w:p w14:paraId="229AAEE5" w14:textId="77777777" w:rsidR="00552FD0" w:rsidRDefault="008E21C7">
                  <w:pPr>
                    <w:spacing w:line="22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 xml:space="preserve">Design: </w:t>
                  </w:r>
                  <w:r>
                    <w:rPr>
                      <w:color w:val="222222"/>
                      <w:sz w:val="15"/>
                      <w:szCs w:val="15"/>
                    </w:rPr>
                    <w:t>Interviews, focus groups, observation</w:t>
                  </w:r>
                </w:p>
              </w:tc>
            </w:tr>
            <w:tr w:rsidR="00552FD0" w14:paraId="13130E1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" w:type="dxa"/>
                  <w:shd w:val="clear" w:color="auto" w:fill="4B2E83"/>
                  <w:tcMar>
                    <w:top w:w="25" w:type="dxa"/>
                    <w:left w:w="40" w:type="dxa"/>
                    <w:bottom w:w="25" w:type="dxa"/>
                    <w:right w:w="40" w:type="dxa"/>
                  </w:tcMar>
                  <w:vAlign w:val="center"/>
                </w:tcPr>
                <w:p w14:paraId="28ACA1E9" w14:textId="77777777" w:rsidR="00552FD0" w:rsidRDefault="008E21C7">
                  <w:pPr>
                    <w:jc w:val="center"/>
                  </w:pPr>
                  <w:r>
                    <w:rPr>
                      <w:b/>
                      <w:bCs/>
                      <w:color w:val="FFFFFF"/>
                    </w:rPr>
                    <w:t>E</w:t>
                  </w:r>
                </w:p>
              </w:tc>
              <w:tc>
                <w:tcPr>
                  <w:tcW w:w="3870" w:type="dxa"/>
                  <w:tcMar>
                    <w:top w:w="25" w:type="dxa"/>
                    <w:left w:w="70" w:type="dxa"/>
                    <w:bottom w:w="25" w:type="dxa"/>
                    <w:right w:w="50" w:type="dxa"/>
                  </w:tcMar>
                  <w:vAlign w:val="center"/>
                </w:tcPr>
                <w:p w14:paraId="01CC3B7E" w14:textId="77777777" w:rsidR="00552FD0" w:rsidRDefault="008E21C7">
                  <w:pPr>
                    <w:spacing w:line="22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 xml:space="preserve">Evaluation: </w:t>
                  </w:r>
                  <w:r>
                    <w:rPr>
                      <w:color w:val="222222"/>
                      <w:sz w:val="15"/>
                      <w:szCs w:val="15"/>
                    </w:rPr>
                    <w:t>Views, feelings and experiences</w:t>
                  </w:r>
                </w:p>
              </w:tc>
            </w:tr>
            <w:tr w:rsidR="00552FD0" w14:paraId="451DD3B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" w:type="dxa"/>
                  <w:shd w:val="clear" w:color="auto" w:fill="4B2E83"/>
                  <w:tcMar>
                    <w:top w:w="25" w:type="dxa"/>
                    <w:left w:w="40" w:type="dxa"/>
                    <w:bottom w:w="25" w:type="dxa"/>
                    <w:right w:w="40" w:type="dxa"/>
                  </w:tcMar>
                  <w:vAlign w:val="center"/>
                </w:tcPr>
                <w:p w14:paraId="5D0F6BFB" w14:textId="77777777" w:rsidR="00552FD0" w:rsidRDefault="008E21C7">
                  <w:pPr>
                    <w:jc w:val="center"/>
                  </w:pPr>
                  <w:r>
                    <w:rPr>
                      <w:b/>
                      <w:bCs/>
                      <w:color w:val="FFFFFF"/>
                    </w:rPr>
                    <w:t>R</w:t>
                  </w:r>
                </w:p>
              </w:tc>
              <w:tc>
                <w:tcPr>
                  <w:tcW w:w="3870" w:type="dxa"/>
                  <w:tcMar>
                    <w:top w:w="25" w:type="dxa"/>
                    <w:left w:w="70" w:type="dxa"/>
                    <w:bottom w:w="25" w:type="dxa"/>
                    <w:right w:w="50" w:type="dxa"/>
                  </w:tcMar>
                  <w:vAlign w:val="center"/>
                </w:tcPr>
                <w:p w14:paraId="33AE69CE" w14:textId="77777777" w:rsidR="00552FD0" w:rsidRDefault="008E21C7">
                  <w:pPr>
                    <w:spacing w:line="22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 xml:space="preserve">Research type: </w:t>
                  </w:r>
                  <w:r>
                    <w:rPr>
                      <w:color w:val="222222"/>
                      <w:sz w:val="15"/>
                      <w:szCs w:val="15"/>
                    </w:rPr>
                    <w:t>Qualitative or mixed methods</w:t>
                  </w:r>
                </w:p>
              </w:tc>
            </w:tr>
          </w:tbl>
          <w:p w14:paraId="244FB8B9" w14:textId="77777777" w:rsidR="00552FD0" w:rsidRDefault="00552FD0"/>
        </w:tc>
        <w:tc>
          <w:tcPr>
            <w:tcW w:w="41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16E4F40" w14:textId="77777777" w:rsidR="00552FD0" w:rsidRDefault="00552FD0"/>
        </w:tc>
        <w:tc>
          <w:tcPr>
            <w:tcW w:w="4501" w:type="dxa"/>
            <w:tcBorders>
              <w:top w:val="single" w:sz="4" w:space="0" w:color="8E7CB8"/>
              <w:left w:val="single" w:sz="4" w:space="0" w:color="8E7CB8"/>
              <w:bottom w:val="single" w:sz="4" w:space="0" w:color="8E7CB8"/>
              <w:right w:val="single" w:sz="4" w:space="0" w:color="8E7CB8"/>
            </w:tcBorders>
            <w:tcMar>
              <w:top w:w="80" w:type="dxa"/>
              <w:left w:w="115" w:type="dxa"/>
              <w:bottom w:w="40" w:type="dxa"/>
              <w:right w:w="115" w:type="dxa"/>
            </w:tcMar>
          </w:tcPr>
          <w:p w14:paraId="1FE30D03" w14:textId="77777777" w:rsidR="00552FD0" w:rsidRDefault="008E21C7">
            <w:pPr>
              <w:keepNext/>
              <w:pBdr>
                <w:bottom w:val="single" w:sz="6" w:space="1" w:color="7E57C2"/>
              </w:pBdr>
              <w:spacing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Research Design</w:t>
            </w:r>
          </w:p>
          <w:p w14:paraId="6476FFDC" w14:textId="77777777" w:rsidR="00552FD0" w:rsidRDefault="008E21C7">
            <w:pPr>
              <w:spacing w:after="55"/>
            </w:pPr>
            <w:r>
              <w:rPr>
                <w:color w:val="222222"/>
              </w:rPr>
              <w:t xml:space="preserve">This is </w:t>
            </w:r>
            <w:r>
              <w:rPr>
                <w:b/>
                <w:bCs/>
                <w:color w:val="222222"/>
              </w:rPr>
              <w:t>secondary research</w:t>
            </w:r>
            <w:r>
              <w:rPr>
                <w:color w:val="222222"/>
              </w:rPr>
              <w:t xml:space="preserve">: a </w:t>
            </w:r>
            <w:r>
              <w:rPr>
                <w:b/>
                <w:bCs/>
                <w:color w:val="222222"/>
              </w:rPr>
              <w:t>systematic literature review</w:t>
            </w:r>
            <w:r>
              <w:rPr>
                <w:color w:val="222222"/>
              </w:rPr>
              <w:t xml:space="preserve"> of ten peer-reviewed primary studies. It takes an </w:t>
            </w:r>
            <w:r>
              <w:rPr>
                <w:b/>
                <w:bCs/>
                <w:color w:val="222222"/>
              </w:rPr>
              <w:t>interpretivist</w:t>
            </w:r>
            <w:r>
              <w:rPr>
                <w:color w:val="222222"/>
              </w:rPr>
              <w:t xml:space="preserve">, </w:t>
            </w:r>
            <w:r>
              <w:rPr>
                <w:b/>
                <w:bCs/>
                <w:color w:val="222222"/>
              </w:rPr>
              <w:t>qualitative</w:t>
            </w:r>
            <w:r>
              <w:rPr>
                <w:color w:val="222222"/>
              </w:rPr>
              <w:t xml:space="preserve"> approach because lived experience is subjective and best understood through people’s own words (Aveyard, 2023).</w:t>
            </w:r>
          </w:p>
          <w:p w14:paraId="4442779C" w14:textId="77777777" w:rsidR="00552FD0" w:rsidRDefault="008E21C7">
            <w:pPr>
              <w:spacing w:after="55"/>
            </w:pPr>
            <w:r>
              <w:rPr>
                <w:b/>
                <w:bCs/>
                <w:color w:val="4B2E83"/>
              </w:rPr>
              <w:t xml:space="preserve">Why a systematic review? </w:t>
            </w:r>
            <w:r>
              <w:rPr>
                <w:color w:val="222222"/>
              </w:rPr>
              <w:t>It is transparent and replicable, and draws on many participants’ accounts without recruiting people whose capacity to consent may fluctuate (Mental Capacity Act 2005).</w:t>
            </w:r>
          </w:p>
          <w:p w14:paraId="44F36999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Search Strategy</w:t>
            </w:r>
          </w:p>
          <w:p w14:paraId="4926E8D3" w14:textId="77777777" w:rsidR="00552FD0" w:rsidRDefault="008E21C7">
            <w:pPr>
              <w:spacing w:after="55"/>
            </w:pPr>
            <w:r>
              <w:rPr>
                <w:b/>
                <w:bCs/>
                <w:color w:val="4B2E83"/>
              </w:rPr>
              <w:t xml:space="preserve">Databases: </w:t>
            </w:r>
            <w:r>
              <w:rPr>
                <w:color w:val="222222"/>
              </w:rPr>
              <w:t>ProQuest, PubMed, CINAHL, Google Scholar.</w:t>
            </w:r>
          </w:p>
          <w:tbl>
            <w:tblPr>
              <w:tblW w:w="4300" w:type="dxa"/>
              <w:tblBorders>
                <w:top w:val="none" w:sz="0" w:space="0" w:color="FFFFFF"/>
                <w:left w:val="single" w:sz="24" w:space="0" w:color="4B2E83"/>
                <w:bottom w:val="none" w:sz="0" w:space="0" w:color="FFFFFF"/>
                <w:right w:val="none" w:sz="0" w:space="0" w:color="FFFFFF"/>
                <w:insideH w:val="none" w:sz="0" w:space="0" w:color="FFFFFF"/>
                <w:insideV w:val="none" w:sz="0" w:space="0" w:color="FFFFFF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00"/>
            </w:tblGrid>
            <w:tr w:rsidR="00552FD0" w14:paraId="55500EE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shd w:val="clear" w:color="auto" w:fill="EFE9F7"/>
                  <w:tcMar>
                    <w:top w:w="50" w:type="dxa"/>
                    <w:left w:w="100" w:type="dxa"/>
                    <w:bottom w:w="50" w:type="dxa"/>
                    <w:right w:w="80" w:type="dxa"/>
                  </w:tcMar>
                </w:tcPr>
                <w:p w14:paraId="74BEC31C" w14:textId="77777777" w:rsidR="00552FD0" w:rsidRDefault="008E21C7">
                  <w:pPr>
                    <w:spacing w:line="230" w:lineRule="auto"/>
                  </w:pPr>
                  <w:r>
                    <w:rPr>
                      <w:b/>
                      <w:bCs/>
                      <w:color w:val="4B2E83"/>
                      <w:sz w:val="15"/>
                      <w:szCs w:val="15"/>
                    </w:rPr>
                    <w:t>("lived experience*" OR "living with") AND (dementia OR Alzheimer*) AND ("United Kingdom" OR UK)</w:t>
                  </w:r>
                </w:p>
              </w:tc>
            </w:tr>
          </w:tbl>
          <w:p w14:paraId="7B59300C" w14:textId="77777777" w:rsidR="00552FD0" w:rsidRDefault="008E21C7">
            <w:pPr>
              <w:spacing w:before="50" w:after="55"/>
            </w:pPr>
            <w:r>
              <w:rPr>
                <w:b/>
                <w:bCs/>
                <w:color w:val="4B2E83"/>
              </w:rPr>
              <w:t xml:space="preserve">Filters: </w:t>
            </w:r>
            <w:r>
              <w:rPr>
                <w:color w:val="222222"/>
              </w:rPr>
              <w:t>peer-reviewed, English, 2016–2026; reference lists hand-searched.</w:t>
            </w:r>
          </w:p>
          <w:p w14:paraId="27954508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Inclusion &amp; Exclusion Criteria</w:t>
            </w:r>
          </w:p>
          <w:tbl>
            <w:tblPr>
              <w:tblW w:w="4300" w:type="dxa"/>
              <w:tblBorders>
                <w:top w:val="single" w:sz="4" w:space="0" w:color="BDB3D3"/>
                <w:left w:val="single" w:sz="4" w:space="0" w:color="BDB3D3"/>
                <w:bottom w:val="single" w:sz="4" w:space="0" w:color="BDB3D3"/>
                <w:right w:val="single" w:sz="4" w:space="0" w:color="BDB3D3"/>
                <w:insideH w:val="single" w:sz="4" w:space="0" w:color="BDB3D3"/>
                <w:insideV w:val="single" w:sz="4" w:space="0" w:color="BDB3D3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150"/>
              <w:gridCol w:w="2150"/>
            </w:tblGrid>
            <w:tr w:rsidR="00552FD0" w14:paraId="52C7515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shd w:val="clear" w:color="auto" w:fill="4B2E83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2486035F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b/>
                      <w:bCs/>
                      <w:color w:val="FFFFFF"/>
                      <w:sz w:val="16"/>
                      <w:szCs w:val="16"/>
                    </w:rPr>
                    <w:t>Inclusion</w:t>
                  </w:r>
                </w:p>
              </w:tc>
              <w:tc>
                <w:tcPr>
                  <w:tcW w:w="2150" w:type="dxa"/>
                  <w:shd w:val="clear" w:color="auto" w:fill="44546A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443C2795" w14:textId="77777777" w:rsidR="00552FD0" w:rsidRDefault="008E21C7">
                  <w:pPr>
                    <w:spacing w:line="220" w:lineRule="auto"/>
                    <w:jc w:val="center"/>
                  </w:pPr>
                  <w:r>
                    <w:rPr>
                      <w:b/>
                      <w:bCs/>
                      <w:color w:val="FFFFFF"/>
                      <w:sz w:val="16"/>
                      <w:szCs w:val="16"/>
                    </w:rPr>
                    <w:t>Exclusion</w:t>
                  </w:r>
                </w:p>
              </w:tc>
            </w:tr>
            <w:tr w:rsidR="00552FD0" w14:paraId="5593C3C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shd w:val="clear" w:color="auto" w:fill="EFE9F7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4387C0F5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Peer-reviewed articles</w:t>
                  </w:r>
                </w:p>
              </w:tc>
              <w:tc>
                <w:tcPr>
                  <w:tcW w:w="2150" w:type="dxa"/>
                  <w:shd w:val="clear" w:color="auto" w:fill="F4F4F6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4A024EBF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Non-peer-reviewed sources</w:t>
                  </w:r>
                </w:p>
              </w:tc>
            </w:tr>
            <w:tr w:rsidR="00552FD0" w14:paraId="0827A8B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20C9E988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Primary qualitative / mixed methods</w:t>
                  </w:r>
                </w:p>
              </w:tc>
              <w:tc>
                <w:tcPr>
                  <w:tcW w:w="2150" w:type="dxa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7D10CA23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Secondary research (reviews)</w:t>
                  </w:r>
                </w:p>
              </w:tc>
            </w:tr>
            <w:tr w:rsidR="00552FD0" w14:paraId="5FA2F75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shd w:val="clear" w:color="auto" w:fill="EFE9F7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74801BAA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Based in the UK</w:t>
                  </w:r>
                </w:p>
              </w:tc>
              <w:tc>
                <w:tcPr>
                  <w:tcW w:w="2150" w:type="dxa"/>
                  <w:shd w:val="clear" w:color="auto" w:fill="F4F4F6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71B248E2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Based outside the UK</w:t>
                  </w:r>
                </w:p>
              </w:tc>
            </w:tr>
            <w:tr w:rsidR="00552FD0" w14:paraId="463B0C7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09F6C9F4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People living with dementia</w:t>
                  </w:r>
                </w:p>
              </w:tc>
              <w:tc>
                <w:tcPr>
                  <w:tcW w:w="2150" w:type="dxa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5BAE3BDA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Not about people with dementia</w:t>
                  </w:r>
                </w:p>
              </w:tc>
            </w:tr>
            <w:tr w:rsidR="00552FD0" w14:paraId="069429E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50" w:type="dxa"/>
                  <w:shd w:val="clear" w:color="auto" w:fill="EFE9F7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6259E4C8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Published 2016–2026</w:t>
                  </w:r>
                </w:p>
              </w:tc>
              <w:tc>
                <w:tcPr>
                  <w:tcW w:w="2150" w:type="dxa"/>
                  <w:shd w:val="clear" w:color="auto" w:fill="F4F4F6"/>
                  <w:tcMar>
                    <w:top w:w="22" w:type="dxa"/>
                    <w:left w:w="60" w:type="dxa"/>
                    <w:bottom w:w="22" w:type="dxa"/>
                    <w:right w:w="50" w:type="dxa"/>
                  </w:tcMar>
                  <w:vAlign w:val="center"/>
                </w:tcPr>
                <w:p w14:paraId="2DAAA54C" w14:textId="77777777" w:rsidR="00552FD0" w:rsidRDefault="008E21C7">
                  <w:pPr>
                    <w:spacing w:line="220" w:lineRule="auto"/>
                  </w:pPr>
                  <w:r>
                    <w:rPr>
                      <w:color w:val="222222"/>
                      <w:sz w:val="15"/>
                      <w:szCs w:val="15"/>
                    </w:rPr>
                    <w:t>Published before 2016</w:t>
                  </w:r>
                </w:p>
              </w:tc>
            </w:tr>
          </w:tbl>
          <w:p w14:paraId="7D176B56" w14:textId="77777777" w:rsidR="00552FD0" w:rsidRDefault="00552FD0">
            <w:pPr>
              <w:spacing w:after="50" w:line="120" w:lineRule="auto"/>
            </w:pPr>
          </w:p>
          <w:p w14:paraId="067DB0D7" w14:textId="77777777" w:rsidR="00552FD0" w:rsidRDefault="008E21C7">
            <w:pPr>
              <w:spacing w:after="20"/>
              <w:jc w:val="center"/>
            </w:pPr>
            <w:r>
              <w:rPr>
                <w:noProof/>
              </w:rPr>
              <w:drawing>
                <wp:inline distT="0" distB="0" distL="0" distR="0" wp14:anchorId="41EEE024" wp14:editId="04199ACD">
                  <wp:extent cx="2194560" cy="1792224"/>
                  <wp:effectExtent l="0" t="0" r="0" b="0"/>
                  <wp:docPr id="1021228817" name="fig_prisma.png" descr="fig_prisma.png" title="fig_prism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560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F5DF7B" w14:textId="77777777" w:rsidR="00552FD0" w:rsidRDefault="008E21C7">
            <w:pPr>
              <w:spacing w:after="40"/>
              <w:jc w:val="center"/>
            </w:pPr>
            <w:r>
              <w:rPr>
                <w:i/>
                <w:iCs/>
                <w:color w:val="44546A"/>
                <w:sz w:val="13"/>
                <w:szCs w:val="13"/>
              </w:rPr>
              <w:t>Figure 2: Study selection following PRISMA 2020 (Page et al., 2021)</w:t>
            </w:r>
          </w:p>
        </w:tc>
        <w:tc>
          <w:tcPr>
            <w:tcW w:w="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98B2E13" w14:textId="77777777" w:rsidR="00552FD0" w:rsidRDefault="00552FD0"/>
        </w:tc>
        <w:tc>
          <w:tcPr>
            <w:tcW w:w="4590" w:type="dxa"/>
            <w:tcBorders>
              <w:top w:val="single" w:sz="4" w:space="0" w:color="8E7CB8"/>
              <w:left w:val="single" w:sz="4" w:space="0" w:color="8E7CB8"/>
              <w:bottom w:val="single" w:sz="4" w:space="0" w:color="8E7CB8"/>
              <w:right w:val="single" w:sz="4" w:space="0" w:color="8E7CB8"/>
            </w:tcBorders>
            <w:tcMar>
              <w:top w:w="80" w:type="dxa"/>
              <w:left w:w="115" w:type="dxa"/>
              <w:bottom w:w="40" w:type="dxa"/>
              <w:right w:w="115" w:type="dxa"/>
            </w:tcMar>
          </w:tcPr>
          <w:p w14:paraId="4B73782D" w14:textId="77777777" w:rsidR="00552FD0" w:rsidRDefault="008E21C7">
            <w:pPr>
              <w:spacing w:after="20"/>
              <w:jc w:val="center"/>
            </w:pPr>
            <w:r>
              <w:rPr>
                <w:noProof/>
              </w:rPr>
              <w:drawing>
                <wp:inline distT="0" distB="0" distL="0" distR="0" wp14:anchorId="65545627" wp14:editId="6F7A1266">
                  <wp:extent cx="2724912" cy="1250735"/>
                  <wp:effectExtent l="0" t="0" r="0" b="0"/>
                  <wp:docPr id="761347449" name="photo2.jpg" descr="photo2.jpg" title="phot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912" cy="125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D6380E" w14:textId="77777777" w:rsidR="00552FD0" w:rsidRDefault="008E21C7">
            <w:pPr>
              <w:spacing w:after="40"/>
              <w:jc w:val="center"/>
            </w:pPr>
            <w:r>
              <w:rPr>
                <w:i/>
                <w:iCs/>
                <w:color w:val="44546A"/>
                <w:sz w:val="13"/>
                <w:szCs w:val="13"/>
              </w:rPr>
              <w:t>Figure 3: Family and community support (Kampus Production, n.d.)</w:t>
            </w:r>
          </w:p>
          <w:p w14:paraId="60314587" w14:textId="77777777" w:rsidR="00552FD0" w:rsidRDefault="008E21C7">
            <w:pPr>
              <w:keepNext/>
              <w:pBdr>
                <w:bottom w:val="single" w:sz="6" w:space="1" w:color="7E57C2"/>
              </w:pBdr>
              <w:spacing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Critical Appraisal</w:t>
            </w:r>
          </w:p>
          <w:p w14:paraId="5D454114" w14:textId="77777777" w:rsidR="00552FD0" w:rsidRDefault="008E21C7">
            <w:pPr>
              <w:spacing w:after="55"/>
            </w:pPr>
            <w:r>
              <w:rPr>
                <w:color w:val="222222"/>
              </w:rPr>
              <w:t xml:space="preserve">Each study is appraised with the </w:t>
            </w:r>
            <w:r>
              <w:rPr>
                <w:b/>
                <w:bCs/>
                <w:color w:val="222222"/>
              </w:rPr>
              <w:t>CASP Qualitative Checklist</w:t>
            </w:r>
            <w:r>
              <w:rPr>
                <w:color w:val="222222"/>
              </w:rPr>
              <w:t xml:space="preserve"> (CASP, 2024), which covers validity, rigour, ethics and value. Author, year, sample, method and findings are recorded in a data extraction table.</w:t>
            </w:r>
          </w:p>
          <w:p w14:paraId="44DE91D4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Data Analysis</w:t>
            </w:r>
          </w:p>
          <w:p w14:paraId="298D4BA2" w14:textId="77777777" w:rsidR="00552FD0" w:rsidRDefault="008E21C7">
            <w:pPr>
              <w:spacing w:after="55"/>
            </w:pPr>
            <w:r>
              <w:rPr>
                <w:color w:val="222222"/>
              </w:rPr>
              <w:t xml:space="preserve">Findings are analysed using Braun and Clarke’s (2006) </w:t>
            </w:r>
            <w:r>
              <w:rPr>
                <w:b/>
                <w:bCs/>
                <w:color w:val="222222"/>
              </w:rPr>
              <w:t>six-phase thematic analysis</w:t>
            </w:r>
            <w:r>
              <w:rPr>
                <w:color w:val="222222"/>
              </w:rPr>
              <w:t xml:space="preserve"> (Figure 4). Because the method is not tied to one theory, themes can be interpreted through </w:t>
            </w:r>
            <w:proofErr w:type="spellStart"/>
            <w:r>
              <w:rPr>
                <w:color w:val="222222"/>
              </w:rPr>
              <w:t>Kitwood’s</w:t>
            </w:r>
            <w:proofErr w:type="spellEnd"/>
            <w:r>
              <w:rPr>
                <w:color w:val="222222"/>
              </w:rPr>
              <w:t xml:space="preserve"> (1997) </w:t>
            </w:r>
            <w:r>
              <w:rPr>
                <w:b/>
                <w:bCs/>
                <w:color w:val="222222"/>
              </w:rPr>
              <w:t>person-centred care</w:t>
            </w:r>
            <w:r>
              <w:rPr>
                <w:color w:val="222222"/>
              </w:rPr>
              <w:t xml:space="preserve"> theory, which sees personhood and identity as sustained through relationships.</w:t>
            </w:r>
          </w:p>
          <w:p w14:paraId="2C9B429F" w14:textId="77777777" w:rsidR="00552FD0" w:rsidRDefault="008E21C7">
            <w:pPr>
              <w:spacing w:after="20"/>
              <w:jc w:val="center"/>
            </w:pPr>
            <w:r>
              <w:rPr>
                <w:noProof/>
              </w:rPr>
              <w:drawing>
                <wp:inline distT="0" distB="0" distL="0" distR="0" wp14:anchorId="3920B30A" wp14:editId="36815456">
                  <wp:extent cx="2651760" cy="1149096"/>
                  <wp:effectExtent l="0" t="0" r="0" b="0"/>
                  <wp:docPr id="1854158199" name="fig_thematic.png" descr="fig_thematic.png" title="fig_themat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760" cy="1149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78D26" w14:textId="77777777" w:rsidR="00552FD0" w:rsidRDefault="008E21C7">
            <w:pPr>
              <w:spacing w:after="40"/>
              <w:jc w:val="center"/>
            </w:pPr>
            <w:r>
              <w:rPr>
                <w:i/>
                <w:iCs/>
                <w:color w:val="44546A"/>
                <w:sz w:val="13"/>
                <w:szCs w:val="13"/>
              </w:rPr>
              <w:t>Figure 4: Six phases of thematic analysis (Braun and Clarke, 2006)</w:t>
            </w:r>
          </w:p>
          <w:p w14:paraId="48CEDE45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Ethical Considerations</w:t>
            </w:r>
          </w:p>
          <w:p w14:paraId="4331D362" w14:textId="77777777" w:rsidR="00552FD0" w:rsidRDefault="008E21C7">
            <w:pPr>
              <w:spacing w:after="55"/>
            </w:pPr>
            <w:r>
              <w:rPr>
                <w:color w:val="222222"/>
              </w:rPr>
              <w:t>Only published, anonymised data are used, so there is no contact with participants, but UWTSD ethics procedures still apply. Participants’ words are reported accurately and in context, and a reflexive diary helps limit personal bias.</w:t>
            </w:r>
          </w:p>
          <w:p w14:paraId="69873A07" w14:textId="77777777" w:rsidR="00552FD0" w:rsidRDefault="008E21C7">
            <w:pPr>
              <w:keepNext/>
              <w:pBdr>
                <w:bottom w:val="single" w:sz="6" w:space="1" w:color="7E57C2"/>
              </w:pBdr>
              <w:spacing w:before="90" w:after="45"/>
            </w:pPr>
            <w:r>
              <w:rPr>
                <w:b/>
                <w:bCs/>
                <w:color w:val="4B2E83"/>
                <w:sz w:val="21"/>
                <w:szCs w:val="21"/>
              </w:rPr>
              <w:t>Limitations</w:t>
            </w:r>
          </w:p>
          <w:p w14:paraId="03CA202C" w14:textId="77777777" w:rsidR="00552FD0" w:rsidRDefault="008E21C7">
            <w:pPr>
              <w:pStyle w:val="ListParagraph"/>
              <w:numPr>
                <w:ilvl w:val="0"/>
                <w:numId w:val="3"/>
              </w:numPr>
              <w:spacing w:after="25"/>
            </w:pPr>
            <w:r>
              <w:rPr>
                <w:color w:val="222222"/>
              </w:rPr>
              <w:t>Findings depend on what earlier studies asked.</w:t>
            </w:r>
          </w:p>
          <w:p w14:paraId="7C40F499" w14:textId="77777777" w:rsidR="00552FD0" w:rsidRDefault="008E21C7">
            <w:pPr>
              <w:pStyle w:val="ListParagraph"/>
              <w:numPr>
                <w:ilvl w:val="0"/>
                <w:numId w:val="3"/>
              </w:numPr>
              <w:spacing w:after="25"/>
            </w:pPr>
            <w:r>
              <w:rPr>
                <w:color w:val="222222"/>
              </w:rPr>
              <w:t>A single reviewer may introduce selection bias.</w:t>
            </w:r>
          </w:p>
          <w:p w14:paraId="62F48FC2" w14:textId="77777777" w:rsidR="00552FD0" w:rsidRDefault="008E21C7">
            <w:pPr>
              <w:pStyle w:val="ListParagraph"/>
              <w:numPr>
                <w:ilvl w:val="0"/>
                <w:numId w:val="3"/>
              </w:numPr>
              <w:spacing w:after="25"/>
            </w:pPr>
            <w:r>
              <w:rPr>
                <w:color w:val="222222"/>
              </w:rPr>
              <w:t>UK, English-language studies limit transferability.</w:t>
            </w:r>
          </w:p>
          <w:p w14:paraId="5B3C012F" w14:textId="77777777" w:rsidR="00552FD0" w:rsidRDefault="008E21C7">
            <w:pPr>
              <w:pStyle w:val="ListParagraph"/>
              <w:numPr>
                <w:ilvl w:val="0"/>
                <w:numId w:val="3"/>
              </w:numPr>
              <w:spacing w:after="25"/>
            </w:pPr>
            <w:r>
              <w:rPr>
                <w:color w:val="222222"/>
              </w:rPr>
              <w:t>Few studies include people with advanced dementia.</w:t>
            </w:r>
          </w:p>
        </w:tc>
      </w:tr>
    </w:tbl>
    <w:p w14:paraId="1277A70E" w14:textId="77777777" w:rsidR="00552FD0" w:rsidRDefault="008E21C7">
      <w:pPr>
        <w:pageBreakBefore/>
        <w:spacing w:after="240"/>
      </w:pPr>
      <w:r>
        <w:rPr>
          <w:b/>
          <w:bCs/>
          <w:sz w:val="26"/>
          <w:szCs w:val="26"/>
        </w:rPr>
        <w:lastRenderedPageBreak/>
        <w:t>References</w:t>
      </w:r>
    </w:p>
    <w:p w14:paraId="13507BD6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Alzheimer’s Research UK (2025) </w:t>
      </w:r>
      <w:r>
        <w:rPr>
          <w:i/>
          <w:iCs/>
          <w:sz w:val="20"/>
          <w:szCs w:val="20"/>
        </w:rPr>
        <w:t>Dementia is still the UK’s biggest killer – where do we go from here?</w:t>
      </w:r>
      <w:r>
        <w:rPr>
          <w:sz w:val="20"/>
          <w:szCs w:val="20"/>
        </w:rPr>
        <w:t xml:space="preserve"> Cambridge: Alzheimer’s Research UK. Available at: https://www.alzheimersresearchuk.org (Accessed: 4 July 2026).</w:t>
      </w:r>
    </w:p>
    <w:p w14:paraId="11AB799E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Alzheimer’s Society (2024) </w:t>
      </w:r>
      <w:r>
        <w:rPr>
          <w:i/>
          <w:iCs/>
          <w:sz w:val="20"/>
          <w:szCs w:val="20"/>
        </w:rPr>
        <w:t>How many people have dementia in the UK?</w:t>
      </w:r>
      <w:r>
        <w:rPr>
          <w:sz w:val="20"/>
          <w:szCs w:val="20"/>
        </w:rPr>
        <w:t xml:space="preserve"> London: Alzheimer’s Society. Available at: https://www.alzheimers.org.uk (Accessed: 4 July 2026).</w:t>
      </w:r>
    </w:p>
    <w:p w14:paraId="7A6550B3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Alzheimer’s Society (2025) </w:t>
      </w:r>
      <w:r>
        <w:rPr>
          <w:i/>
          <w:iCs/>
          <w:sz w:val="20"/>
          <w:szCs w:val="20"/>
        </w:rPr>
        <w:t>Facts for the media about dementia.</w:t>
      </w:r>
      <w:r>
        <w:rPr>
          <w:sz w:val="20"/>
          <w:szCs w:val="20"/>
        </w:rPr>
        <w:t xml:space="preserve"> London: Alzheimer’s Society. Available at: https://www.alzheimers.org.uk (Accessed: 4 July 2026).</w:t>
      </w:r>
    </w:p>
    <w:p w14:paraId="1BD5ECF9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Aveyard, H. (2023) </w:t>
      </w:r>
      <w:r>
        <w:rPr>
          <w:i/>
          <w:iCs/>
          <w:sz w:val="20"/>
          <w:szCs w:val="20"/>
        </w:rPr>
        <w:t>Doing a literature review in health and social care: a practical guide.</w:t>
      </w:r>
      <w:r>
        <w:rPr>
          <w:sz w:val="20"/>
          <w:szCs w:val="20"/>
        </w:rPr>
        <w:t xml:space="preserve"> 5th </w:t>
      </w:r>
      <w:proofErr w:type="spellStart"/>
      <w:r>
        <w:rPr>
          <w:sz w:val="20"/>
          <w:szCs w:val="20"/>
        </w:rPr>
        <w:t>edn</w:t>
      </w:r>
      <w:proofErr w:type="spellEnd"/>
      <w:r>
        <w:rPr>
          <w:sz w:val="20"/>
          <w:szCs w:val="20"/>
        </w:rPr>
        <w:t>. London: Open University Press.</w:t>
      </w:r>
    </w:p>
    <w:p w14:paraId="78F0CF5D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Braun, V. and Clarke, V. (2006) ‘Using thematic analysis in psychology’, </w:t>
      </w:r>
      <w:r>
        <w:rPr>
          <w:i/>
          <w:iCs/>
          <w:sz w:val="20"/>
          <w:szCs w:val="20"/>
        </w:rPr>
        <w:t>Qualitative Research in Psychology</w:t>
      </w:r>
      <w:r>
        <w:rPr>
          <w:sz w:val="20"/>
          <w:szCs w:val="20"/>
        </w:rPr>
        <w:t xml:space="preserve">, 3(2), pp. 77–101. </w:t>
      </w:r>
      <w:proofErr w:type="spellStart"/>
      <w:r>
        <w:rPr>
          <w:sz w:val="20"/>
          <w:szCs w:val="20"/>
        </w:rPr>
        <w:t>doi</w:t>
      </w:r>
      <w:proofErr w:type="spellEnd"/>
      <w:r>
        <w:rPr>
          <w:sz w:val="20"/>
          <w:szCs w:val="20"/>
        </w:rPr>
        <w:t>: 10.1191/1478088706qp063oa.</w:t>
      </w:r>
    </w:p>
    <w:p w14:paraId="49502ADB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Cooke, A., Smith, D. and Booth, A. (2012) ‘Beyond PICO: the SPIDER tool for qualitative evidence synthesis’, </w:t>
      </w:r>
      <w:r>
        <w:rPr>
          <w:i/>
          <w:iCs/>
          <w:sz w:val="20"/>
          <w:szCs w:val="20"/>
        </w:rPr>
        <w:t>Qualitative Health Research</w:t>
      </w:r>
      <w:r>
        <w:rPr>
          <w:sz w:val="20"/>
          <w:szCs w:val="20"/>
        </w:rPr>
        <w:t xml:space="preserve">, 22(10), pp. 1435–1443. </w:t>
      </w:r>
      <w:proofErr w:type="spellStart"/>
      <w:r>
        <w:rPr>
          <w:sz w:val="20"/>
          <w:szCs w:val="20"/>
        </w:rPr>
        <w:t>doi</w:t>
      </w:r>
      <w:proofErr w:type="spellEnd"/>
      <w:r>
        <w:rPr>
          <w:sz w:val="20"/>
          <w:szCs w:val="20"/>
        </w:rPr>
        <w:t>: 10.1177/1049732312452938.</w:t>
      </w:r>
    </w:p>
    <w:p w14:paraId="2388E801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Critical Appraisal Skills Programme (2024) </w:t>
      </w:r>
      <w:r>
        <w:rPr>
          <w:i/>
          <w:iCs/>
          <w:sz w:val="20"/>
          <w:szCs w:val="20"/>
        </w:rPr>
        <w:t>CASP checklist: for qualitative research.</w:t>
      </w:r>
      <w:r>
        <w:rPr>
          <w:sz w:val="20"/>
          <w:szCs w:val="20"/>
        </w:rPr>
        <w:t xml:space="preserve"> Available at: https://casp-uk.net/casp-checklists/CASP-checklist-qualitative-2024.pdf (Accessed: 12 October 2026).</w:t>
      </w:r>
    </w:p>
    <w:p w14:paraId="56393D09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Direct Media (n.d.) </w:t>
      </w:r>
      <w:r>
        <w:rPr>
          <w:i/>
          <w:iCs/>
          <w:sz w:val="20"/>
          <w:szCs w:val="20"/>
        </w:rPr>
        <w:t>Caregiver nurse</w:t>
      </w:r>
      <w:r>
        <w:rPr>
          <w:sz w:val="20"/>
          <w:szCs w:val="20"/>
        </w:rPr>
        <w:t xml:space="preserve"> [Photograph]. </w:t>
      </w:r>
      <w:proofErr w:type="spellStart"/>
      <w:r>
        <w:rPr>
          <w:sz w:val="20"/>
          <w:szCs w:val="20"/>
        </w:rPr>
        <w:t>StockSnap</w:t>
      </w:r>
      <w:proofErr w:type="spellEnd"/>
      <w:r>
        <w:rPr>
          <w:sz w:val="20"/>
          <w:szCs w:val="20"/>
        </w:rPr>
        <w:t xml:space="preserve"> (CC0). Available at: https://stocksnap.io/photo/caregiver-nurse-TBEMNLXLVQ (Accessed: 12 October 2026).</w:t>
      </w:r>
    </w:p>
    <w:p w14:paraId="6CE777D4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Kampus Production (n.d.) </w:t>
      </w:r>
      <w:r>
        <w:rPr>
          <w:i/>
          <w:iCs/>
          <w:sz w:val="20"/>
          <w:szCs w:val="20"/>
        </w:rPr>
        <w:t>A group of people smiling together while sitting near the table</w:t>
      </w:r>
      <w:r>
        <w:rPr>
          <w:sz w:val="20"/>
          <w:szCs w:val="20"/>
        </w:rPr>
        <w:t xml:space="preserve"> [Photograph]. </w:t>
      </w:r>
      <w:proofErr w:type="spellStart"/>
      <w:r>
        <w:rPr>
          <w:sz w:val="20"/>
          <w:szCs w:val="20"/>
        </w:rPr>
        <w:t>Pexels</w:t>
      </w:r>
      <w:proofErr w:type="spellEnd"/>
      <w:r>
        <w:rPr>
          <w:sz w:val="20"/>
          <w:szCs w:val="20"/>
        </w:rPr>
        <w:t>. Available at: https://www.pexels.com/photo/7551617/ (Accessed: 12 October 2026).</w:t>
      </w:r>
    </w:p>
    <w:p w14:paraId="06ECFFFF" w14:textId="77777777" w:rsidR="00552FD0" w:rsidRDefault="008E21C7">
      <w:pPr>
        <w:spacing w:after="110" w:line="264" w:lineRule="auto"/>
        <w:ind w:left="400" w:hanging="400"/>
      </w:pPr>
      <w:proofErr w:type="spellStart"/>
      <w:r>
        <w:rPr>
          <w:sz w:val="20"/>
          <w:szCs w:val="20"/>
        </w:rPr>
        <w:t>Kitwood</w:t>
      </w:r>
      <w:proofErr w:type="spellEnd"/>
      <w:r>
        <w:rPr>
          <w:sz w:val="20"/>
          <w:szCs w:val="20"/>
        </w:rPr>
        <w:t xml:space="preserve">, T. (1997) </w:t>
      </w:r>
      <w:r>
        <w:rPr>
          <w:i/>
          <w:iCs/>
          <w:sz w:val="20"/>
          <w:szCs w:val="20"/>
        </w:rPr>
        <w:t>Dementia reconsidered: the person comes first.</w:t>
      </w:r>
      <w:r>
        <w:rPr>
          <w:sz w:val="20"/>
          <w:szCs w:val="20"/>
        </w:rPr>
        <w:t xml:space="preserve"> Buckingham: Open University Press.</w:t>
      </w:r>
    </w:p>
    <w:p w14:paraId="4D259667" w14:textId="77777777" w:rsidR="00552FD0" w:rsidRDefault="008E21C7">
      <w:pPr>
        <w:spacing w:after="110" w:line="264" w:lineRule="auto"/>
        <w:ind w:left="400" w:hanging="400"/>
      </w:pPr>
      <w:r>
        <w:rPr>
          <w:i/>
          <w:iCs/>
          <w:sz w:val="20"/>
          <w:szCs w:val="20"/>
        </w:rPr>
        <w:t>Mental Capacity Act 2005</w:t>
      </w:r>
      <w:r>
        <w:rPr>
          <w:sz w:val="20"/>
          <w:szCs w:val="20"/>
        </w:rPr>
        <w:t>, c. 9. Available at: https://www.legislation.gov.uk/ukpga/2005/9/contents (Accessed: 12 October 2026).</w:t>
      </w:r>
    </w:p>
    <w:p w14:paraId="3607D32C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NHS England Digital (2025) </w:t>
      </w:r>
      <w:r>
        <w:rPr>
          <w:i/>
          <w:iCs/>
          <w:sz w:val="20"/>
          <w:szCs w:val="20"/>
        </w:rPr>
        <w:t>Primary Care Dementia Data, December 2025.</w:t>
      </w:r>
      <w:r>
        <w:rPr>
          <w:sz w:val="20"/>
          <w:szCs w:val="20"/>
        </w:rPr>
        <w:t xml:space="preserve"> Leeds: NHS England. Available at: https://digital.nhs.uk (Accessed: 4 July 2026).</w:t>
      </w:r>
    </w:p>
    <w:p w14:paraId="653D0C15" w14:textId="77777777" w:rsidR="00552FD0" w:rsidRDefault="008E21C7">
      <w:pPr>
        <w:spacing w:after="110" w:line="264" w:lineRule="auto"/>
        <w:ind w:left="400" w:hanging="400"/>
      </w:pPr>
      <w:r>
        <w:rPr>
          <w:sz w:val="20"/>
          <w:szCs w:val="20"/>
        </w:rPr>
        <w:t xml:space="preserve">Page, M.J., McKenzie, J.E., Bossuyt, P.M., </w:t>
      </w:r>
      <w:proofErr w:type="spellStart"/>
      <w:r>
        <w:rPr>
          <w:sz w:val="20"/>
          <w:szCs w:val="20"/>
        </w:rPr>
        <w:t>Boutron</w:t>
      </w:r>
      <w:proofErr w:type="spellEnd"/>
      <w:r>
        <w:rPr>
          <w:sz w:val="20"/>
          <w:szCs w:val="20"/>
        </w:rPr>
        <w:t xml:space="preserve">, I., Hoffmann, T.C., Mulrow, C.D. </w:t>
      </w:r>
      <w:r>
        <w:rPr>
          <w:i/>
          <w:iCs/>
          <w:sz w:val="20"/>
          <w:szCs w:val="20"/>
        </w:rPr>
        <w:t>et al.</w:t>
      </w:r>
      <w:r>
        <w:rPr>
          <w:sz w:val="20"/>
          <w:szCs w:val="20"/>
        </w:rPr>
        <w:t xml:space="preserve"> (2021) ‘The PRISMA 2020 statement: an updated guideline for reporting systematic reviews’, </w:t>
      </w:r>
      <w:r>
        <w:rPr>
          <w:i/>
          <w:iCs/>
          <w:sz w:val="20"/>
          <w:szCs w:val="20"/>
        </w:rPr>
        <w:t>BMJ</w:t>
      </w:r>
      <w:r>
        <w:rPr>
          <w:sz w:val="20"/>
          <w:szCs w:val="20"/>
        </w:rPr>
        <w:t xml:space="preserve">, 372, n71. </w:t>
      </w:r>
      <w:proofErr w:type="spellStart"/>
      <w:r>
        <w:rPr>
          <w:sz w:val="20"/>
          <w:szCs w:val="20"/>
        </w:rPr>
        <w:t>doi</w:t>
      </w:r>
      <w:proofErr w:type="spellEnd"/>
      <w:r>
        <w:rPr>
          <w:sz w:val="20"/>
          <w:szCs w:val="20"/>
        </w:rPr>
        <w:t>: 10.1136/</w:t>
      </w:r>
      <w:proofErr w:type="gramStart"/>
      <w:r>
        <w:rPr>
          <w:sz w:val="20"/>
          <w:szCs w:val="20"/>
        </w:rPr>
        <w:t>bmj.n</w:t>
      </w:r>
      <w:proofErr w:type="gramEnd"/>
      <w:r>
        <w:rPr>
          <w:sz w:val="20"/>
          <w:szCs w:val="20"/>
        </w:rPr>
        <w:t>71.</w:t>
      </w:r>
    </w:p>
    <w:sectPr w:rsidR="00552FD0">
      <w:pgSz w:w="15840" w:h="12240" w:orient="landscape"/>
      <w:pgMar w:top="720" w:right="720" w:bottom="576" w:left="720" w:header="432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6280F"/>
    <w:multiLevelType w:val="hybridMultilevel"/>
    <w:tmpl w:val="74288956"/>
    <w:lvl w:ilvl="0" w:tplc="371CBA6E">
      <w:start w:val="1"/>
      <w:numFmt w:val="bullet"/>
      <w:lvlText w:val="●"/>
      <w:lvlJc w:val="left"/>
      <w:pPr>
        <w:ind w:left="720" w:hanging="360"/>
      </w:pPr>
    </w:lvl>
    <w:lvl w:ilvl="1" w:tplc="AEF45364">
      <w:start w:val="1"/>
      <w:numFmt w:val="bullet"/>
      <w:lvlText w:val="○"/>
      <w:lvlJc w:val="left"/>
      <w:pPr>
        <w:ind w:left="1440" w:hanging="360"/>
      </w:pPr>
    </w:lvl>
    <w:lvl w:ilvl="2" w:tplc="9A4E2642">
      <w:start w:val="1"/>
      <w:numFmt w:val="bullet"/>
      <w:lvlText w:val="■"/>
      <w:lvlJc w:val="left"/>
      <w:pPr>
        <w:ind w:left="2160" w:hanging="360"/>
      </w:pPr>
    </w:lvl>
    <w:lvl w:ilvl="3" w:tplc="F732CFCC">
      <w:start w:val="1"/>
      <w:numFmt w:val="bullet"/>
      <w:lvlText w:val="●"/>
      <w:lvlJc w:val="left"/>
      <w:pPr>
        <w:ind w:left="2880" w:hanging="360"/>
      </w:pPr>
    </w:lvl>
    <w:lvl w:ilvl="4" w:tplc="65DE8712">
      <w:start w:val="1"/>
      <w:numFmt w:val="bullet"/>
      <w:lvlText w:val="○"/>
      <w:lvlJc w:val="left"/>
      <w:pPr>
        <w:ind w:left="3600" w:hanging="360"/>
      </w:pPr>
    </w:lvl>
    <w:lvl w:ilvl="5" w:tplc="2EC0C4F0">
      <w:start w:val="1"/>
      <w:numFmt w:val="bullet"/>
      <w:lvlText w:val="■"/>
      <w:lvlJc w:val="left"/>
      <w:pPr>
        <w:ind w:left="4320" w:hanging="360"/>
      </w:pPr>
    </w:lvl>
    <w:lvl w:ilvl="6" w:tplc="D86AECC6">
      <w:start w:val="1"/>
      <w:numFmt w:val="bullet"/>
      <w:lvlText w:val="●"/>
      <w:lvlJc w:val="left"/>
      <w:pPr>
        <w:ind w:left="5040" w:hanging="360"/>
      </w:pPr>
    </w:lvl>
    <w:lvl w:ilvl="7" w:tplc="15EECC50">
      <w:start w:val="1"/>
      <w:numFmt w:val="bullet"/>
      <w:lvlText w:val="●"/>
      <w:lvlJc w:val="left"/>
      <w:pPr>
        <w:ind w:left="5760" w:hanging="360"/>
      </w:pPr>
    </w:lvl>
    <w:lvl w:ilvl="8" w:tplc="C87A9E2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F54359D"/>
    <w:multiLevelType w:val="hybridMultilevel"/>
    <w:tmpl w:val="14E6FECE"/>
    <w:lvl w:ilvl="0" w:tplc="C1848AAE">
      <w:start w:val="1"/>
      <w:numFmt w:val="bullet"/>
      <w:lvlText w:val="•"/>
      <w:lvlJc w:val="left"/>
      <w:pPr>
        <w:ind w:left="230" w:hanging="170"/>
      </w:pPr>
      <w:rPr>
        <w:color w:val="4B2E83"/>
      </w:rPr>
    </w:lvl>
    <w:lvl w:ilvl="1" w:tplc="D7628018">
      <w:numFmt w:val="decimal"/>
      <w:lvlText w:val=""/>
      <w:lvlJc w:val="left"/>
    </w:lvl>
    <w:lvl w:ilvl="2" w:tplc="A942B88A">
      <w:numFmt w:val="decimal"/>
      <w:lvlText w:val=""/>
      <w:lvlJc w:val="left"/>
    </w:lvl>
    <w:lvl w:ilvl="3" w:tplc="04FEECA8">
      <w:numFmt w:val="decimal"/>
      <w:lvlText w:val=""/>
      <w:lvlJc w:val="left"/>
    </w:lvl>
    <w:lvl w:ilvl="4" w:tplc="A83EE0A8">
      <w:numFmt w:val="decimal"/>
      <w:lvlText w:val=""/>
      <w:lvlJc w:val="left"/>
    </w:lvl>
    <w:lvl w:ilvl="5" w:tplc="49BC131A">
      <w:numFmt w:val="decimal"/>
      <w:lvlText w:val=""/>
      <w:lvlJc w:val="left"/>
    </w:lvl>
    <w:lvl w:ilvl="6" w:tplc="2F32E53A">
      <w:numFmt w:val="decimal"/>
      <w:lvlText w:val=""/>
      <w:lvlJc w:val="left"/>
    </w:lvl>
    <w:lvl w:ilvl="7" w:tplc="8B4AF890">
      <w:numFmt w:val="decimal"/>
      <w:lvlText w:val=""/>
      <w:lvlJc w:val="left"/>
    </w:lvl>
    <w:lvl w:ilvl="8" w:tplc="51302848">
      <w:numFmt w:val="decimal"/>
      <w:lvlText w:val=""/>
      <w:lvlJc w:val="left"/>
    </w:lvl>
  </w:abstractNum>
  <w:abstractNum w:abstractNumId="2" w15:restartNumberingAfterBreak="0">
    <w:nsid w:val="63627EA4"/>
    <w:multiLevelType w:val="hybridMultilevel"/>
    <w:tmpl w:val="4D2C0C28"/>
    <w:lvl w:ilvl="0" w:tplc="B1A81758">
      <w:start w:val="1"/>
      <w:numFmt w:val="decimal"/>
      <w:lvlText w:val="%1."/>
      <w:lvlJc w:val="left"/>
      <w:pPr>
        <w:ind w:left="260" w:hanging="200"/>
      </w:pPr>
      <w:rPr>
        <w:b/>
        <w:bCs/>
        <w:color w:val="4B2E83"/>
      </w:rPr>
    </w:lvl>
    <w:lvl w:ilvl="1" w:tplc="CB5625A8">
      <w:numFmt w:val="decimal"/>
      <w:lvlText w:val=""/>
      <w:lvlJc w:val="left"/>
    </w:lvl>
    <w:lvl w:ilvl="2" w:tplc="EA7059E2">
      <w:numFmt w:val="decimal"/>
      <w:lvlText w:val=""/>
      <w:lvlJc w:val="left"/>
    </w:lvl>
    <w:lvl w:ilvl="3" w:tplc="B738573A">
      <w:numFmt w:val="decimal"/>
      <w:lvlText w:val=""/>
      <w:lvlJc w:val="left"/>
    </w:lvl>
    <w:lvl w:ilvl="4" w:tplc="D61450F0">
      <w:numFmt w:val="decimal"/>
      <w:lvlText w:val=""/>
      <w:lvlJc w:val="left"/>
    </w:lvl>
    <w:lvl w:ilvl="5" w:tplc="7C0EAE14">
      <w:numFmt w:val="decimal"/>
      <w:lvlText w:val=""/>
      <w:lvlJc w:val="left"/>
    </w:lvl>
    <w:lvl w:ilvl="6" w:tplc="BFE2EC48">
      <w:numFmt w:val="decimal"/>
      <w:lvlText w:val=""/>
      <w:lvlJc w:val="left"/>
    </w:lvl>
    <w:lvl w:ilvl="7" w:tplc="4EEAE3E8">
      <w:numFmt w:val="decimal"/>
      <w:lvlText w:val=""/>
      <w:lvlJc w:val="left"/>
    </w:lvl>
    <w:lvl w:ilvl="8" w:tplc="C88EA6BE">
      <w:numFmt w:val="decimal"/>
      <w:lvlText w:val=""/>
      <w:lvlJc w:val="left"/>
    </w:lvl>
  </w:abstractNum>
  <w:num w:numId="1" w16cid:durableId="2002349204">
    <w:abstractNumId w:val="0"/>
    <w:lvlOverride w:ilvl="0">
      <w:startOverride w:val="1"/>
    </w:lvlOverride>
  </w:num>
  <w:num w:numId="2" w16cid:durableId="1031494060">
    <w:abstractNumId w:val="2"/>
    <w:lvlOverride w:ilvl="0">
      <w:startOverride w:val="1"/>
    </w:lvlOverride>
  </w:num>
  <w:num w:numId="3" w16cid:durableId="146735127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FD0"/>
    <w:rsid w:val="00552FD0"/>
    <w:rsid w:val="008E21C7"/>
    <w:rsid w:val="009337A8"/>
    <w:rsid w:val="00F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32B0A"/>
  <w15:docId w15:val="{68352082-3203-4B4C-BAB1-D194E6A4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7"/>
        <w:szCs w:val="17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5481</Characters>
  <Application>Microsoft Office Word</Application>
  <DocSecurity>0</DocSecurity>
  <Lines>45</Lines>
  <Paragraphs>12</Paragraphs>
  <ScaleCrop>false</ScaleCrop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Methodology Poster – Dementia lived experiences</dc:title>
  <dc:creator>Catalin Anca</dc:creator>
  <cp:lastModifiedBy>Catalin Anca</cp:lastModifiedBy>
  <cp:revision>2</cp:revision>
  <dcterms:created xsi:type="dcterms:W3CDTF">2026-10-12T13:00:00Z</dcterms:created>
  <dcterms:modified xsi:type="dcterms:W3CDTF">2026-10-12T13:00:00Z</dcterms:modified>
</cp:coreProperties>
</file>