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1600" w:rsidRPr="007146D0" w:rsidRDefault="00DC1600" w:rsidP="00BE0043">
      <w:pPr>
        <w:pStyle w:val="Normal1"/>
        <w:spacing w:line="360" w:lineRule="auto"/>
        <w:jc w:val="center"/>
        <w:rPr>
          <w:b/>
          <w:sz w:val="32"/>
          <w:szCs w:val="32"/>
          <w:lang w:val="en-GB"/>
        </w:rPr>
      </w:pPr>
    </w:p>
    <w:p w:rsidR="00182AA1" w:rsidRPr="007146D0" w:rsidRDefault="00182AA1" w:rsidP="00BE0043">
      <w:pPr>
        <w:pStyle w:val="Normal1"/>
        <w:spacing w:line="360" w:lineRule="auto"/>
        <w:jc w:val="center"/>
        <w:rPr>
          <w:b/>
          <w:sz w:val="32"/>
          <w:szCs w:val="32"/>
          <w:lang w:val="en-GB"/>
        </w:rPr>
      </w:pPr>
    </w:p>
    <w:p w:rsidR="00182AA1" w:rsidRPr="007146D0" w:rsidRDefault="00182AA1" w:rsidP="00BE0043">
      <w:pPr>
        <w:pStyle w:val="Normal1"/>
        <w:spacing w:line="360" w:lineRule="auto"/>
        <w:jc w:val="center"/>
        <w:rPr>
          <w:b/>
          <w:sz w:val="32"/>
          <w:szCs w:val="32"/>
          <w:lang w:val="en-GB"/>
        </w:rPr>
      </w:pPr>
    </w:p>
    <w:p w:rsidR="000C4DC1" w:rsidRPr="007146D0" w:rsidRDefault="000C4DC1" w:rsidP="00BE0043">
      <w:pPr>
        <w:pStyle w:val="Normal1"/>
        <w:spacing w:line="360" w:lineRule="auto"/>
        <w:jc w:val="center"/>
        <w:rPr>
          <w:b/>
          <w:sz w:val="32"/>
          <w:szCs w:val="32"/>
          <w:lang w:val="en-GB"/>
        </w:rPr>
      </w:pPr>
      <w:r w:rsidRPr="007146D0">
        <w:rPr>
          <w:b/>
          <w:sz w:val="32"/>
          <w:szCs w:val="32"/>
          <w:lang w:val="en-GB"/>
        </w:rPr>
        <w:t>Master of Business Administration</w:t>
      </w:r>
    </w:p>
    <w:p w:rsidR="000C4DC1" w:rsidRPr="007146D0" w:rsidRDefault="000C4DC1" w:rsidP="00BE0043">
      <w:pPr>
        <w:pStyle w:val="Normal1"/>
        <w:spacing w:line="360" w:lineRule="auto"/>
        <w:jc w:val="center"/>
        <w:rPr>
          <w:b/>
          <w:sz w:val="32"/>
          <w:szCs w:val="32"/>
          <w:lang w:val="en-GB"/>
        </w:rPr>
      </w:pPr>
    </w:p>
    <w:p w:rsidR="000C4DC1" w:rsidRPr="007146D0" w:rsidRDefault="000C4DC1" w:rsidP="00BE0043">
      <w:pPr>
        <w:pStyle w:val="Normal1"/>
        <w:spacing w:line="360" w:lineRule="auto"/>
        <w:jc w:val="center"/>
        <w:rPr>
          <w:b/>
          <w:sz w:val="32"/>
          <w:szCs w:val="32"/>
          <w:lang w:val="en-GB"/>
        </w:rPr>
      </w:pPr>
    </w:p>
    <w:p w:rsidR="000C4DC1" w:rsidRPr="007146D0" w:rsidRDefault="000C4DC1" w:rsidP="00BE0043">
      <w:pPr>
        <w:pStyle w:val="Normal1"/>
        <w:spacing w:line="360" w:lineRule="auto"/>
        <w:jc w:val="center"/>
        <w:rPr>
          <w:b/>
          <w:sz w:val="32"/>
          <w:szCs w:val="32"/>
          <w:lang w:val="en-GB"/>
        </w:rPr>
      </w:pPr>
      <w:r w:rsidRPr="007146D0">
        <w:rPr>
          <w:b/>
          <w:sz w:val="32"/>
          <w:szCs w:val="32"/>
          <w:lang w:val="en-GB"/>
        </w:rPr>
        <w:t>LCMB7002</w:t>
      </w:r>
    </w:p>
    <w:p w:rsidR="00DC1600" w:rsidRPr="007146D0" w:rsidRDefault="00D54F4A" w:rsidP="00BE0043">
      <w:pPr>
        <w:pStyle w:val="Normal1"/>
        <w:spacing w:line="360" w:lineRule="auto"/>
        <w:jc w:val="center"/>
        <w:rPr>
          <w:lang w:val="en-GB"/>
        </w:rPr>
      </w:pPr>
      <w:r w:rsidRPr="007146D0">
        <w:rPr>
          <w:b/>
          <w:sz w:val="32"/>
          <w:szCs w:val="32"/>
          <w:lang w:val="en-GB"/>
        </w:rPr>
        <w:t>FINANCIAL MANAGEMENT</w:t>
      </w:r>
      <w:r w:rsidRPr="007146D0">
        <w:rPr>
          <w:lang w:val="en-GB"/>
        </w:rPr>
        <w:br w:type="page"/>
      </w:r>
    </w:p>
    <w:p w:rsidR="00DC1600" w:rsidRPr="007146D0" w:rsidRDefault="00CC4E4C" w:rsidP="00BE0043">
      <w:pPr>
        <w:pStyle w:val="Normal1"/>
        <w:spacing w:line="360" w:lineRule="auto"/>
        <w:jc w:val="center"/>
        <w:rPr>
          <w:b/>
          <w:lang w:val="en-GB"/>
        </w:rPr>
      </w:pPr>
      <w:r>
        <w:rPr>
          <w:b/>
          <w:lang w:val="en-GB"/>
        </w:rPr>
        <w:lastRenderedPageBreak/>
        <w:t>Executive Summary</w:t>
      </w:r>
    </w:p>
    <w:p w:rsidR="00DC1600" w:rsidRPr="007146D0" w:rsidRDefault="00D54F4A" w:rsidP="00BE0043">
      <w:pPr>
        <w:pStyle w:val="Normal1"/>
        <w:spacing w:line="360" w:lineRule="auto"/>
        <w:rPr>
          <w:lang w:val="en-GB"/>
        </w:rPr>
      </w:pPr>
      <w:r w:rsidRPr="007146D0">
        <w:rPr>
          <w:lang w:val="en-GB"/>
        </w:rPr>
        <w:t xml:space="preserve">Four key ratios have been computed for AstraZeneca such as profitability, efficiency, liquidity and leverage. The outcome highlights a satisfactory gross margin with poor net and operating margins. On the contrary, the liquidity position within the company is not satisfactory with a ratio lower than 1 throughout the years. </w:t>
      </w:r>
      <w:r w:rsidR="001B4F49" w:rsidRPr="007146D0">
        <w:rPr>
          <w:lang w:val="en-GB"/>
        </w:rPr>
        <w:t xml:space="preserve">It has been observed that GSK plc better performance in recent years compared to AstraZeneca. </w:t>
      </w:r>
      <w:r w:rsidR="00353EF8" w:rsidRPr="007146D0">
        <w:t>AstraZeneca’s strategic missions consist of R&amp;D investment, sustainable growth, and innovation has resulted in focus on oncology and rare diseases, with expansion in cell therapy and introduction of global markets. Project appraisal prefers Project A to Project B because the former provides higher long-term return on investment, better ARR, as well as significantly more shareholder value creation but which requires more time to recover its cost.</w:t>
      </w:r>
      <w:r w:rsidR="004D264D" w:rsidRPr="007146D0">
        <w:t xml:space="preserve"> The Pros and Cons of the investment appraisal techniques have covered in this report. </w:t>
      </w:r>
    </w:p>
    <w:p w:rsidR="00DC1600" w:rsidRPr="007146D0" w:rsidRDefault="00D54F4A" w:rsidP="00BE0043">
      <w:pPr>
        <w:pStyle w:val="Normal1"/>
        <w:spacing w:line="360" w:lineRule="auto"/>
        <w:rPr>
          <w:b/>
          <w:lang w:val="en-GB"/>
        </w:rPr>
      </w:pPr>
      <w:r w:rsidRPr="007146D0">
        <w:rPr>
          <w:lang w:val="en-GB"/>
        </w:rPr>
        <w:br w:type="page"/>
      </w:r>
    </w:p>
    <w:sdt>
      <w:sdtPr>
        <w:rPr>
          <w:rFonts w:ascii="Times New Roman" w:eastAsia="Times New Roman" w:hAnsi="Times New Roman" w:cs="Times New Roman"/>
          <w:b w:val="0"/>
          <w:bCs w:val="0"/>
          <w:color w:val="auto"/>
          <w:sz w:val="24"/>
          <w:szCs w:val="24"/>
          <w:lang w:val="en-GB"/>
        </w:rPr>
        <w:id w:val="6685766"/>
        <w:docPartObj>
          <w:docPartGallery w:val="Table of Contents"/>
          <w:docPartUnique/>
        </w:docPartObj>
      </w:sdtPr>
      <w:sdtContent>
        <w:p w:rsidR="0076544A" w:rsidRPr="007146D0" w:rsidRDefault="0076544A" w:rsidP="00BE0043">
          <w:pPr>
            <w:pStyle w:val="TOCHeading"/>
            <w:spacing w:line="360" w:lineRule="auto"/>
            <w:jc w:val="center"/>
            <w:rPr>
              <w:rFonts w:ascii="Times New Roman" w:hAnsi="Times New Roman" w:cs="Times New Roman"/>
              <w:color w:val="auto"/>
              <w:sz w:val="24"/>
              <w:szCs w:val="24"/>
              <w:lang w:val="en-GB"/>
            </w:rPr>
          </w:pPr>
          <w:r w:rsidRPr="007146D0">
            <w:rPr>
              <w:rFonts w:ascii="Times New Roman" w:hAnsi="Times New Roman" w:cs="Times New Roman"/>
              <w:color w:val="auto"/>
              <w:sz w:val="24"/>
              <w:szCs w:val="24"/>
              <w:lang w:val="en-GB"/>
            </w:rPr>
            <w:t>Table of Contents</w:t>
          </w:r>
        </w:p>
        <w:p w:rsidR="00BD40C2" w:rsidRPr="0075318E" w:rsidRDefault="00FD31C7" w:rsidP="00BE0043">
          <w:pPr>
            <w:pStyle w:val="TOC1"/>
            <w:tabs>
              <w:tab w:val="right" w:leader="dot" w:pos="9350"/>
            </w:tabs>
            <w:spacing w:line="360" w:lineRule="auto"/>
            <w:rPr>
              <w:rFonts w:asciiTheme="minorHAnsi" w:eastAsiaTheme="minorEastAsia" w:hAnsiTheme="minorHAnsi" w:cstheme="minorBidi"/>
              <w:noProof/>
              <w:sz w:val="22"/>
              <w:szCs w:val="22"/>
              <w:lang w:val="en-US"/>
            </w:rPr>
          </w:pPr>
          <w:r w:rsidRPr="007146D0">
            <w:rPr>
              <w:lang w:val="en-GB"/>
            </w:rPr>
            <w:fldChar w:fldCharType="begin"/>
          </w:r>
          <w:r w:rsidR="0076544A" w:rsidRPr="007146D0">
            <w:rPr>
              <w:lang w:val="en-GB"/>
            </w:rPr>
            <w:instrText xml:space="preserve"> TOC \o "1-3" \h \z \u </w:instrText>
          </w:r>
          <w:r w:rsidRPr="007146D0">
            <w:rPr>
              <w:lang w:val="en-GB"/>
            </w:rPr>
            <w:fldChar w:fldCharType="separate"/>
          </w:r>
          <w:hyperlink w:anchor="_Toc175143179" w:history="1">
            <w:r w:rsidR="00BD40C2" w:rsidRPr="0075318E">
              <w:rPr>
                <w:rStyle w:val="Hyperlink"/>
                <w:noProof/>
              </w:rPr>
              <w:t>Part A) Introduction</w:t>
            </w:r>
            <w:r w:rsidR="00BD40C2" w:rsidRPr="0075318E">
              <w:rPr>
                <w:noProof/>
                <w:webHidden/>
              </w:rPr>
              <w:tab/>
            </w:r>
            <w:r w:rsidR="00BD40C2" w:rsidRPr="0075318E">
              <w:rPr>
                <w:noProof/>
                <w:webHidden/>
              </w:rPr>
              <w:fldChar w:fldCharType="begin"/>
            </w:r>
            <w:r w:rsidR="00BD40C2" w:rsidRPr="0075318E">
              <w:rPr>
                <w:noProof/>
                <w:webHidden/>
              </w:rPr>
              <w:instrText xml:space="preserve"> PAGEREF _Toc175143179 \h </w:instrText>
            </w:r>
            <w:r w:rsidR="00BD40C2" w:rsidRPr="0075318E">
              <w:rPr>
                <w:noProof/>
                <w:webHidden/>
              </w:rPr>
            </w:r>
            <w:r w:rsidR="00BD40C2" w:rsidRPr="0075318E">
              <w:rPr>
                <w:noProof/>
                <w:webHidden/>
              </w:rPr>
              <w:fldChar w:fldCharType="separate"/>
            </w:r>
            <w:r w:rsidR="00BD40C2" w:rsidRPr="0075318E">
              <w:rPr>
                <w:noProof/>
                <w:webHidden/>
              </w:rPr>
              <w:t>4</w:t>
            </w:r>
            <w:r w:rsidR="00BD40C2" w:rsidRPr="0075318E">
              <w:rPr>
                <w:noProof/>
                <w:webHidden/>
              </w:rPr>
              <w:fldChar w:fldCharType="end"/>
            </w:r>
          </w:hyperlink>
        </w:p>
        <w:p w:rsidR="00BD40C2" w:rsidRPr="0075318E" w:rsidRDefault="00BD40C2" w:rsidP="00BE0043">
          <w:pPr>
            <w:pStyle w:val="TOC2"/>
            <w:spacing w:line="360" w:lineRule="auto"/>
            <w:rPr>
              <w:rFonts w:asciiTheme="minorHAnsi" w:eastAsiaTheme="minorEastAsia" w:hAnsiTheme="minorHAnsi" w:cstheme="minorBidi"/>
              <w:sz w:val="22"/>
              <w:szCs w:val="22"/>
              <w:lang w:val="en-US" w:eastAsia="en-US"/>
            </w:rPr>
          </w:pPr>
          <w:hyperlink w:anchor="_Toc175143180" w:history="1">
            <w:r w:rsidRPr="0075318E">
              <w:rPr>
                <w:rStyle w:val="Hyperlink"/>
              </w:rPr>
              <w:t>History of AstraZeneca</w:t>
            </w:r>
            <w:r w:rsidRPr="0075318E">
              <w:rPr>
                <w:webHidden/>
              </w:rPr>
              <w:tab/>
            </w:r>
            <w:r w:rsidRPr="0075318E">
              <w:rPr>
                <w:webHidden/>
              </w:rPr>
              <w:fldChar w:fldCharType="begin"/>
            </w:r>
            <w:r w:rsidRPr="0075318E">
              <w:rPr>
                <w:webHidden/>
              </w:rPr>
              <w:instrText xml:space="preserve"> PAGEREF _Toc175143180 \h </w:instrText>
            </w:r>
            <w:r w:rsidRPr="0075318E">
              <w:rPr>
                <w:webHidden/>
              </w:rPr>
            </w:r>
            <w:r w:rsidRPr="0075318E">
              <w:rPr>
                <w:webHidden/>
              </w:rPr>
              <w:fldChar w:fldCharType="separate"/>
            </w:r>
            <w:r w:rsidRPr="0075318E">
              <w:rPr>
                <w:webHidden/>
              </w:rPr>
              <w:t>4</w:t>
            </w:r>
            <w:r w:rsidRPr="0075318E">
              <w:rPr>
                <w:webHidden/>
              </w:rPr>
              <w:fldChar w:fldCharType="end"/>
            </w:r>
          </w:hyperlink>
        </w:p>
        <w:p w:rsidR="00BD40C2" w:rsidRPr="0075318E" w:rsidRDefault="00BD40C2" w:rsidP="00BE0043">
          <w:pPr>
            <w:pStyle w:val="TOC2"/>
            <w:spacing w:line="360" w:lineRule="auto"/>
            <w:rPr>
              <w:rFonts w:asciiTheme="minorHAnsi" w:eastAsiaTheme="minorEastAsia" w:hAnsiTheme="minorHAnsi" w:cstheme="minorBidi"/>
              <w:sz w:val="22"/>
              <w:szCs w:val="22"/>
              <w:lang w:val="en-US" w:eastAsia="en-US"/>
            </w:rPr>
          </w:pPr>
          <w:hyperlink w:anchor="_Toc175143181" w:history="1">
            <w:r w:rsidRPr="0075318E">
              <w:rPr>
                <w:rStyle w:val="Hyperlink"/>
              </w:rPr>
              <w:t>Business Model and Competitors of AstraZeneca</w:t>
            </w:r>
            <w:r w:rsidRPr="0075318E">
              <w:rPr>
                <w:webHidden/>
              </w:rPr>
              <w:tab/>
            </w:r>
            <w:r w:rsidRPr="0075318E">
              <w:rPr>
                <w:webHidden/>
              </w:rPr>
              <w:fldChar w:fldCharType="begin"/>
            </w:r>
            <w:r w:rsidRPr="0075318E">
              <w:rPr>
                <w:webHidden/>
              </w:rPr>
              <w:instrText xml:space="preserve"> PAGEREF _Toc175143181 \h </w:instrText>
            </w:r>
            <w:r w:rsidRPr="0075318E">
              <w:rPr>
                <w:webHidden/>
              </w:rPr>
            </w:r>
            <w:r w:rsidRPr="0075318E">
              <w:rPr>
                <w:webHidden/>
              </w:rPr>
              <w:fldChar w:fldCharType="separate"/>
            </w:r>
            <w:r w:rsidRPr="0075318E">
              <w:rPr>
                <w:webHidden/>
              </w:rPr>
              <w:t>4</w:t>
            </w:r>
            <w:r w:rsidRPr="0075318E">
              <w:rPr>
                <w:webHidden/>
              </w:rPr>
              <w:fldChar w:fldCharType="end"/>
            </w:r>
          </w:hyperlink>
        </w:p>
        <w:p w:rsidR="00BD40C2" w:rsidRPr="0075318E" w:rsidRDefault="00BD40C2" w:rsidP="00BE0043">
          <w:pPr>
            <w:pStyle w:val="TOC2"/>
            <w:spacing w:line="360" w:lineRule="auto"/>
            <w:rPr>
              <w:rFonts w:asciiTheme="minorHAnsi" w:eastAsiaTheme="minorEastAsia" w:hAnsiTheme="minorHAnsi" w:cstheme="minorBidi"/>
              <w:sz w:val="22"/>
              <w:szCs w:val="22"/>
              <w:lang w:val="en-US" w:eastAsia="en-US"/>
            </w:rPr>
          </w:pPr>
          <w:hyperlink w:anchor="_Toc175143182" w:history="1">
            <w:r w:rsidRPr="0075318E">
              <w:rPr>
                <w:rStyle w:val="Hyperlink"/>
              </w:rPr>
              <w:t>Recent Events over the Past Five Years</w:t>
            </w:r>
            <w:r w:rsidRPr="0075318E">
              <w:rPr>
                <w:webHidden/>
              </w:rPr>
              <w:tab/>
            </w:r>
            <w:r w:rsidRPr="0075318E">
              <w:rPr>
                <w:webHidden/>
              </w:rPr>
              <w:fldChar w:fldCharType="begin"/>
            </w:r>
            <w:r w:rsidRPr="0075318E">
              <w:rPr>
                <w:webHidden/>
              </w:rPr>
              <w:instrText xml:space="preserve"> PAGEREF _Toc175143182 \h </w:instrText>
            </w:r>
            <w:r w:rsidRPr="0075318E">
              <w:rPr>
                <w:webHidden/>
              </w:rPr>
            </w:r>
            <w:r w:rsidRPr="0075318E">
              <w:rPr>
                <w:webHidden/>
              </w:rPr>
              <w:fldChar w:fldCharType="separate"/>
            </w:r>
            <w:r w:rsidRPr="0075318E">
              <w:rPr>
                <w:webHidden/>
              </w:rPr>
              <w:t>6</w:t>
            </w:r>
            <w:r w:rsidRPr="0075318E">
              <w:rPr>
                <w:webHidden/>
              </w:rPr>
              <w:fldChar w:fldCharType="end"/>
            </w:r>
          </w:hyperlink>
        </w:p>
        <w:p w:rsidR="00BD40C2" w:rsidRPr="0075318E" w:rsidRDefault="00BD40C2" w:rsidP="00BE0043">
          <w:pPr>
            <w:pStyle w:val="TOC1"/>
            <w:tabs>
              <w:tab w:val="right" w:leader="dot" w:pos="9350"/>
            </w:tabs>
            <w:spacing w:line="360" w:lineRule="auto"/>
            <w:rPr>
              <w:rFonts w:asciiTheme="minorHAnsi" w:eastAsiaTheme="minorEastAsia" w:hAnsiTheme="minorHAnsi" w:cstheme="minorBidi"/>
              <w:noProof/>
              <w:sz w:val="22"/>
              <w:szCs w:val="22"/>
              <w:lang w:val="en-US"/>
            </w:rPr>
          </w:pPr>
          <w:hyperlink w:anchor="_Toc175143183" w:history="1">
            <w:r w:rsidRPr="0075318E">
              <w:rPr>
                <w:rStyle w:val="Hyperlink"/>
                <w:noProof/>
                <w:lang w:val="en-GB"/>
              </w:rPr>
              <w:t>Part B). Financial Performance Review:</w:t>
            </w:r>
            <w:r w:rsidRPr="0075318E">
              <w:rPr>
                <w:noProof/>
                <w:webHidden/>
              </w:rPr>
              <w:tab/>
            </w:r>
            <w:r w:rsidRPr="0075318E">
              <w:rPr>
                <w:noProof/>
                <w:webHidden/>
              </w:rPr>
              <w:fldChar w:fldCharType="begin"/>
            </w:r>
            <w:r w:rsidRPr="0075318E">
              <w:rPr>
                <w:noProof/>
                <w:webHidden/>
              </w:rPr>
              <w:instrText xml:space="preserve"> PAGEREF _Toc175143183 \h </w:instrText>
            </w:r>
            <w:r w:rsidRPr="0075318E">
              <w:rPr>
                <w:noProof/>
                <w:webHidden/>
              </w:rPr>
            </w:r>
            <w:r w:rsidRPr="0075318E">
              <w:rPr>
                <w:noProof/>
                <w:webHidden/>
              </w:rPr>
              <w:fldChar w:fldCharType="separate"/>
            </w:r>
            <w:r w:rsidRPr="0075318E">
              <w:rPr>
                <w:noProof/>
                <w:webHidden/>
              </w:rPr>
              <w:t>6</w:t>
            </w:r>
            <w:r w:rsidRPr="0075318E">
              <w:rPr>
                <w:noProof/>
                <w:webHidden/>
              </w:rPr>
              <w:fldChar w:fldCharType="end"/>
            </w:r>
          </w:hyperlink>
        </w:p>
        <w:p w:rsidR="00BD40C2" w:rsidRPr="0075318E" w:rsidRDefault="00BD40C2" w:rsidP="00BE0043">
          <w:pPr>
            <w:pStyle w:val="TOC2"/>
            <w:spacing w:line="360" w:lineRule="auto"/>
            <w:rPr>
              <w:rFonts w:asciiTheme="minorHAnsi" w:eastAsiaTheme="minorEastAsia" w:hAnsiTheme="minorHAnsi" w:cstheme="minorBidi"/>
              <w:sz w:val="22"/>
              <w:szCs w:val="22"/>
              <w:lang w:val="en-US" w:eastAsia="en-US"/>
            </w:rPr>
          </w:pPr>
          <w:hyperlink w:anchor="_Toc175143184" w:history="1">
            <w:r w:rsidRPr="0075318E">
              <w:rPr>
                <w:rStyle w:val="Hyperlink"/>
              </w:rPr>
              <w:t>AstraZeneca’s financial ratio calculation for the past 5 years:</w:t>
            </w:r>
            <w:r w:rsidRPr="0075318E">
              <w:rPr>
                <w:webHidden/>
              </w:rPr>
              <w:tab/>
            </w:r>
            <w:r w:rsidRPr="0075318E">
              <w:rPr>
                <w:webHidden/>
              </w:rPr>
              <w:fldChar w:fldCharType="begin"/>
            </w:r>
            <w:r w:rsidRPr="0075318E">
              <w:rPr>
                <w:webHidden/>
              </w:rPr>
              <w:instrText xml:space="preserve"> PAGEREF _Toc175143184 \h </w:instrText>
            </w:r>
            <w:r w:rsidRPr="0075318E">
              <w:rPr>
                <w:webHidden/>
              </w:rPr>
            </w:r>
            <w:r w:rsidRPr="0075318E">
              <w:rPr>
                <w:webHidden/>
              </w:rPr>
              <w:fldChar w:fldCharType="separate"/>
            </w:r>
            <w:r w:rsidRPr="0075318E">
              <w:rPr>
                <w:webHidden/>
              </w:rPr>
              <w:t>6</w:t>
            </w:r>
            <w:r w:rsidRPr="0075318E">
              <w:rPr>
                <w:webHidden/>
              </w:rPr>
              <w:fldChar w:fldCharType="end"/>
            </w:r>
          </w:hyperlink>
        </w:p>
        <w:p w:rsidR="00BD40C2" w:rsidRPr="0075318E" w:rsidRDefault="00BD40C2" w:rsidP="00BE0043">
          <w:pPr>
            <w:pStyle w:val="TOC2"/>
            <w:spacing w:line="360" w:lineRule="auto"/>
            <w:rPr>
              <w:rFonts w:asciiTheme="minorHAnsi" w:eastAsiaTheme="minorEastAsia" w:hAnsiTheme="minorHAnsi" w:cstheme="minorBidi"/>
              <w:sz w:val="22"/>
              <w:szCs w:val="22"/>
              <w:lang w:val="en-US" w:eastAsia="en-US"/>
            </w:rPr>
          </w:pPr>
          <w:hyperlink w:anchor="_Toc175143185" w:history="1">
            <w:r w:rsidRPr="0075318E">
              <w:rPr>
                <w:rStyle w:val="Hyperlink"/>
                <w:lang w:val="en-US"/>
              </w:rPr>
              <w:t>Critical evaluation of the ratios calculated</w:t>
            </w:r>
            <w:r w:rsidRPr="0075318E">
              <w:rPr>
                <w:webHidden/>
              </w:rPr>
              <w:tab/>
            </w:r>
            <w:r w:rsidRPr="0075318E">
              <w:rPr>
                <w:webHidden/>
              </w:rPr>
              <w:fldChar w:fldCharType="begin"/>
            </w:r>
            <w:r w:rsidRPr="0075318E">
              <w:rPr>
                <w:webHidden/>
              </w:rPr>
              <w:instrText xml:space="preserve"> PAGEREF _Toc175143185 \h </w:instrText>
            </w:r>
            <w:r w:rsidRPr="0075318E">
              <w:rPr>
                <w:webHidden/>
              </w:rPr>
            </w:r>
            <w:r w:rsidRPr="0075318E">
              <w:rPr>
                <w:webHidden/>
              </w:rPr>
              <w:fldChar w:fldCharType="separate"/>
            </w:r>
            <w:r w:rsidRPr="0075318E">
              <w:rPr>
                <w:webHidden/>
              </w:rPr>
              <w:t>12</w:t>
            </w:r>
            <w:r w:rsidRPr="0075318E">
              <w:rPr>
                <w:webHidden/>
              </w:rPr>
              <w:fldChar w:fldCharType="end"/>
            </w:r>
          </w:hyperlink>
        </w:p>
        <w:p w:rsidR="00BD40C2" w:rsidRPr="0075318E" w:rsidRDefault="00BD40C2" w:rsidP="00BE0043">
          <w:pPr>
            <w:pStyle w:val="TOC2"/>
            <w:spacing w:line="360" w:lineRule="auto"/>
            <w:rPr>
              <w:rFonts w:asciiTheme="minorHAnsi" w:eastAsiaTheme="minorEastAsia" w:hAnsiTheme="minorHAnsi" w:cstheme="minorBidi"/>
              <w:sz w:val="22"/>
              <w:szCs w:val="22"/>
              <w:lang w:val="en-US" w:eastAsia="en-US"/>
            </w:rPr>
          </w:pPr>
          <w:hyperlink w:anchor="_Toc175143186" w:history="1">
            <w:r w:rsidRPr="0075318E">
              <w:rPr>
                <w:rStyle w:val="Hyperlink"/>
              </w:rPr>
              <w:t>Comparison to major competitor(s)</w:t>
            </w:r>
            <w:r w:rsidRPr="0075318E">
              <w:rPr>
                <w:webHidden/>
              </w:rPr>
              <w:tab/>
            </w:r>
            <w:r w:rsidRPr="0075318E">
              <w:rPr>
                <w:webHidden/>
              </w:rPr>
              <w:fldChar w:fldCharType="begin"/>
            </w:r>
            <w:r w:rsidRPr="0075318E">
              <w:rPr>
                <w:webHidden/>
              </w:rPr>
              <w:instrText xml:space="preserve"> PAGEREF _Toc175143186 \h </w:instrText>
            </w:r>
            <w:r w:rsidRPr="0075318E">
              <w:rPr>
                <w:webHidden/>
              </w:rPr>
            </w:r>
            <w:r w:rsidRPr="0075318E">
              <w:rPr>
                <w:webHidden/>
              </w:rPr>
              <w:fldChar w:fldCharType="separate"/>
            </w:r>
            <w:r w:rsidRPr="0075318E">
              <w:rPr>
                <w:webHidden/>
              </w:rPr>
              <w:t>14</w:t>
            </w:r>
            <w:r w:rsidRPr="0075318E">
              <w:rPr>
                <w:webHidden/>
              </w:rPr>
              <w:fldChar w:fldCharType="end"/>
            </w:r>
          </w:hyperlink>
        </w:p>
        <w:p w:rsidR="00BD40C2" w:rsidRPr="0075318E" w:rsidRDefault="00BD40C2" w:rsidP="00BE0043">
          <w:pPr>
            <w:pStyle w:val="TOC1"/>
            <w:tabs>
              <w:tab w:val="right" w:leader="dot" w:pos="9350"/>
            </w:tabs>
            <w:spacing w:line="360" w:lineRule="auto"/>
            <w:rPr>
              <w:rFonts w:asciiTheme="minorHAnsi" w:eastAsiaTheme="minorEastAsia" w:hAnsiTheme="minorHAnsi" w:cstheme="minorBidi"/>
              <w:noProof/>
              <w:sz w:val="22"/>
              <w:szCs w:val="22"/>
              <w:lang w:val="en-US"/>
            </w:rPr>
          </w:pPr>
          <w:hyperlink w:anchor="_Toc175143187" w:history="1">
            <w:r w:rsidRPr="0075318E">
              <w:rPr>
                <w:rStyle w:val="Hyperlink"/>
                <w:noProof/>
              </w:rPr>
              <w:t>Part C). Investment Appraisal</w:t>
            </w:r>
            <w:r w:rsidRPr="0075318E">
              <w:rPr>
                <w:noProof/>
                <w:webHidden/>
              </w:rPr>
              <w:tab/>
            </w:r>
            <w:r w:rsidRPr="0075318E">
              <w:rPr>
                <w:noProof/>
                <w:webHidden/>
              </w:rPr>
              <w:fldChar w:fldCharType="begin"/>
            </w:r>
            <w:r w:rsidRPr="0075318E">
              <w:rPr>
                <w:noProof/>
                <w:webHidden/>
              </w:rPr>
              <w:instrText xml:space="preserve"> PAGEREF _Toc175143187 \h </w:instrText>
            </w:r>
            <w:r w:rsidRPr="0075318E">
              <w:rPr>
                <w:noProof/>
                <w:webHidden/>
              </w:rPr>
            </w:r>
            <w:r w:rsidRPr="0075318E">
              <w:rPr>
                <w:noProof/>
                <w:webHidden/>
              </w:rPr>
              <w:fldChar w:fldCharType="separate"/>
            </w:r>
            <w:r w:rsidRPr="0075318E">
              <w:rPr>
                <w:noProof/>
                <w:webHidden/>
              </w:rPr>
              <w:t>19</w:t>
            </w:r>
            <w:r w:rsidRPr="0075318E">
              <w:rPr>
                <w:noProof/>
                <w:webHidden/>
              </w:rPr>
              <w:fldChar w:fldCharType="end"/>
            </w:r>
          </w:hyperlink>
        </w:p>
        <w:p w:rsidR="00BD40C2" w:rsidRPr="0075318E" w:rsidRDefault="00BD40C2" w:rsidP="00BE0043">
          <w:pPr>
            <w:pStyle w:val="TOC2"/>
            <w:spacing w:line="360" w:lineRule="auto"/>
            <w:rPr>
              <w:rFonts w:asciiTheme="minorHAnsi" w:eastAsiaTheme="minorEastAsia" w:hAnsiTheme="minorHAnsi" w:cstheme="minorBidi"/>
              <w:sz w:val="22"/>
              <w:szCs w:val="22"/>
              <w:lang w:val="en-US" w:eastAsia="en-US"/>
            </w:rPr>
          </w:pPr>
          <w:hyperlink w:anchor="_Toc175143188" w:history="1">
            <w:r w:rsidRPr="0075318E">
              <w:rPr>
                <w:rStyle w:val="Hyperlink"/>
              </w:rPr>
              <w:t>1. Calculation and Recommendation</w:t>
            </w:r>
            <w:r w:rsidRPr="0075318E">
              <w:rPr>
                <w:webHidden/>
              </w:rPr>
              <w:tab/>
            </w:r>
            <w:r w:rsidRPr="0075318E">
              <w:rPr>
                <w:webHidden/>
              </w:rPr>
              <w:fldChar w:fldCharType="begin"/>
            </w:r>
            <w:r w:rsidRPr="0075318E">
              <w:rPr>
                <w:webHidden/>
              </w:rPr>
              <w:instrText xml:space="preserve"> PAGEREF _Toc175143188 \h </w:instrText>
            </w:r>
            <w:r w:rsidRPr="0075318E">
              <w:rPr>
                <w:webHidden/>
              </w:rPr>
            </w:r>
            <w:r w:rsidRPr="0075318E">
              <w:rPr>
                <w:webHidden/>
              </w:rPr>
              <w:fldChar w:fldCharType="separate"/>
            </w:r>
            <w:r w:rsidRPr="0075318E">
              <w:rPr>
                <w:webHidden/>
              </w:rPr>
              <w:t>19</w:t>
            </w:r>
            <w:r w:rsidRPr="0075318E">
              <w:rPr>
                <w:webHidden/>
              </w:rPr>
              <w:fldChar w:fldCharType="end"/>
            </w:r>
          </w:hyperlink>
        </w:p>
        <w:p w:rsidR="00BD40C2" w:rsidRPr="0075318E" w:rsidRDefault="00BD40C2" w:rsidP="00BE0043">
          <w:pPr>
            <w:pStyle w:val="TOC3"/>
            <w:tabs>
              <w:tab w:val="right" w:leader="dot" w:pos="9350"/>
            </w:tabs>
            <w:spacing w:line="360" w:lineRule="auto"/>
            <w:rPr>
              <w:rFonts w:asciiTheme="minorHAnsi" w:eastAsiaTheme="minorEastAsia" w:hAnsiTheme="minorHAnsi" w:cstheme="minorBidi"/>
              <w:noProof/>
              <w:sz w:val="22"/>
              <w:szCs w:val="22"/>
              <w:lang w:val="en-US"/>
            </w:rPr>
          </w:pPr>
          <w:hyperlink w:anchor="_Toc175143189" w:history="1">
            <w:r w:rsidRPr="0075318E">
              <w:rPr>
                <w:rStyle w:val="Hyperlink"/>
                <w:noProof/>
              </w:rPr>
              <w:t>Calculation of NPV, ARR, and Payback Period of Projects</w:t>
            </w:r>
            <w:r w:rsidRPr="0075318E">
              <w:rPr>
                <w:noProof/>
                <w:webHidden/>
              </w:rPr>
              <w:tab/>
            </w:r>
            <w:r w:rsidRPr="0075318E">
              <w:rPr>
                <w:noProof/>
                <w:webHidden/>
              </w:rPr>
              <w:fldChar w:fldCharType="begin"/>
            </w:r>
            <w:r w:rsidRPr="0075318E">
              <w:rPr>
                <w:noProof/>
                <w:webHidden/>
              </w:rPr>
              <w:instrText xml:space="preserve"> PAGEREF _Toc175143189 \h </w:instrText>
            </w:r>
            <w:r w:rsidRPr="0075318E">
              <w:rPr>
                <w:noProof/>
                <w:webHidden/>
              </w:rPr>
            </w:r>
            <w:r w:rsidRPr="0075318E">
              <w:rPr>
                <w:noProof/>
                <w:webHidden/>
              </w:rPr>
              <w:fldChar w:fldCharType="separate"/>
            </w:r>
            <w:r w:rsidRPr="0075318E">
              <w:rPr>
                <w:noProof/>
                <w:webHidden/>
              </w:rPr>
              <w:t>19</w:t>
            </w:r>
            <w:r w:rsidRPr="0075318E">
              <w:rPr>
                <w:noProof/>
                <w:webHidden/>
              </w:rPr>
              <w:fldChar w:fldCharType="end"/>
            </w:r>
          </w:hyperlink>
        </w:p>
        <w:p w:rsidR="00BD40C2" w:rsidRPr="0075318E" w:rsidRDefault="00BD40C2" w:rsidP="00BE0043">
          <w:pPr>
            <w:pStyle w:val="TOC3"/>
            <w:tabs>
              <w:tab w:val="right" w:leader="dot" w:pos="9350"/>
            </w:tabs>
            <w:spacing w:line="360" w:lineRule="auto"/>
            <w:rPr>
              <w:rFonts w:asciiTheme="minorHAnsi" w:eastAsiaTheme="minorEastAsia" w:hAnsiTheme="minorHAnsi" w:cstheme="minorBidi"/>
              <w:noProof/>
              <w:sz w:val="22"/>
              <w:szCs w:val="22"/>
              <w:lang w:val="en-US"/>
            </w:rPr>
          </w:pPr>
          <w:hyperlink w:anchor="_Toc175143190" w:history="1">
            <w:r w:rsidRPr="0075318E">
              <w:rPr>
                <w:rStyle w:val="Hyperlink"/>
                <w:noProof/>
              </w:rPr>
              <w:t>Recommendations on Project Selection for Investment</w:t>
            </w:r>
            <w:r w:rsidRPr="0075318E">
              <w:rPr>
                <w:noProof/>
                <w:webHidden/>
              </w:rPr>
              <w:tab/>
            </w:r>
            <w:r w:rsidRPr="0075318E">
              <w:rPr>
                <w:noProof/>
                <w:webHidden/>
              </w:rPr>
              <w:fldChar w:fldCharType="begin"/>
            </w:r>
            <w:r w:rsidRPr="0075318E">
              <w:rPr>
                <w:noProof/>
                <w:webHidden/>
              </w:rPr>
              <w:instrText xml:space="preserve"> PAGEREF _Toc175143190 \h </w:instrText>
            </w:r>
            <w:r w:rsidRPr="0075318E">
              <w:rPr>
                <w:noProof/>
                <w:webHidden/>
              </w:rPr>
            </w:r>
            <w:r w:rsidRPr="0075318E">
              <w:rPr>
                <w:noProof/>
                <w:webHidden/>
              </w:rPr>
              <w:fldChar w:fldCharType="separate"/>
            </w:r>
            <w:r w:rsidRPr="0075318E">
              <w:rPr>
                <w:noProof/>
                <w:webHidden/>
              </w:rPr>
              <w:t>26</w:t>
            </w:r>
            <w:r w:rsidRPr="0075318E">
              <w:rPr>
                <w:noProof/>
                <w:webHidden/>
              </w:rPr>
              <w:fldChar w:fldCharType="end"/>
            </w:r>
          </w:hyperlink>
        </w:p>
        <w:p w:rsidR="00BD40C2" w:rsidRPr="0075318E" w:rsidRDefault="00BD40C2" w:rsidP="00BE0043">
          <w:pPr>
            <w:pStyle w:val="TOC2"/>
            <w:spacing w:line="360" w:lineRule="auto"/>
            <w:rPr>
              <w:rFonts w:asciiTheme="minorHAnsi" w:eastAsiaTheme="minorEastAsia" w:hAnsiTheme="minorHAnsi" w:cstheme="minorBidi"/>
              <w:sz w:val="22"/>
              <w:szCs w:val="22"/>
              <w:lang w:val="en-US" w:eastAsia="en-US"/>
            </w:rPr>
          </w:pPr>
          <w:hyperlink w:anchor="_Toc175143191" w:history="1">
            <w:r w:rsidRPr="0075318E">
              <w:rPr>
                <w:rStyle w:val="Hyperlink"/>
                <w:lang w:val="en-US"/>
              </w:rPr>
              <w:t>2. Advantages and disadvantages of investment appraisal and overview of non-financial factors</w:t>
            </w:r>
            <w:r w:rsidRPr="0075318E">
              <w:rPr>
                <w:webHidden/>
              </w:rPr>
              <w:tab/>
            </w:r>
            <w:r w:rsidRPr="0075318E">
              <w:rPr>
                <w:webHidden/>
              </w:rPr>
              <w:fldChar w:fldCharType="begin"/>
            </w:r>
            <w:r w:rsidRPr="0075318E">
              <w:rPr>
                <w:webHidden/>
              </w:rPr>
              <w:instrText xml:space="preserve"> PAGEREF _Toc175143191 \h </w:instrText>
            </w:r>
            <w:r w:rsidRPr="0075318E">
              <w:rPr>
                <w:webHidden/>
              </w:rPr>
            </w:r>
            <w:r w:rsidRPr="0075318E">
              <w:rPr>
                <w:webHidden/>
              </w:rPr>
              <w:fldChar w:fldCharType="separate"/>
            </w:r>
            <w:r w:rsidRPr="0075318E">
              <w:rPr>
                <w:webHidden/>
              </w:rPr>
              <w:t>26</w:t>
            </w:r>
            <w:r w:rsidRPr="0075318E">
              <w:rPr>
                <w:webHidden/>
              </w:rPr>
              <w:fldChar w:fldCharType="end"/>
            </w:r>
          </w:hyperlink>
        </w:p>
        <w:p w:rsidR="00BD40C2" w:rsidRDefault="00BD40C2" w:rsidP="00BE0043">
          <w:pPr>
            <w:pStyle w:val="TOC1"/>
            <w:tabs>
              <w:tab w:val="right" w:leader="dot" w:pos="9350"/>
            </w:tabs>
            <w:spacing w:line="360" w:lineRule="auto"/>
            <w:rPr>
              <w:rFonts w:asciiTheme="minorHAnsi" w:eastAsiaTheme="minorEastAsia" w:hAnsiTheme="minorHAnsi" w:cstheme="minorBidi"/>
              <w:noProof/>
              <w:sz w:val="22"/>
              <w:szCs w:val="22"/>
              <w:lang w:val="en-US"/>
            </w:rPr>
          </w:pPr>
          <w:hyperlink w:anchor="_Toc175143192" w:history="1">
            <w:r w:rsidRPr="0075318E">
              <w:rPr>
                <w:rStyle w:val="Hyperlink"/>
                <w:noProof/>
                <w:lang w:val="en-GB"/>
              </w:rPr>
              <w:t>References</w:t>
            </w:r>
            <w:r w:rsidRPr="0075318E">
              <w:rPr>
                <w:noProof/>
                <w:webHidden/>
              </w:rPr>
              <w:tab/>
            </w:r>
            <w:r w:rsidRPr="0075318E">
              <w:rPr>
                <w:noProof/>
                <w:webHidden/>
              </w:rPr>
              <w:fldChar w:fldCharType="begin"/>
            </w:r>
            <w:r w:rsidRPr="0075318E">
              <w:rPr>
                <w:noProof/>
                <w:webHidden/>
              </w:rPr>
              <w:instrText xml:space="preserve"> PAGEREF _Toc175143192 \h </w:instrText>
            </w:r>
            <w:r w:rsidRPr="0075318E">
              <w:rPr>
                <w:noProof/>
                <w:webHidden/>
              </w:rPr>
            </w:r>
            <w:r w:rsidRPr="0075318E">
              <w:rPr>
                <w:noProof/>
                <w:webHidden/>
              </w:rPr>
              <w:fldChar w:fldCharType="separate"/>
            </w:r>
            <w:r w:rsidRPr="0075318E">
              <w:rPr>
                <w:noProof/>
                <w:webHidden/>
              </w:rPr>
              <w:t>28</w:t>
            </w:r>
            <w:r w:rsidRPr="0075318E">
              <w:rPr>
                <w:noProof/>
                <w:webHidden/>
              </w:rPr>
              <w:fldChar w:fldCharType="end"/>
            </w:r>
          </w:hyperlink>
        </w:p>
        <w:p w:rsidR="0076544A" w:rsidRPr="007146D0" w:rsidRDefault="00FD31C7" w:rsidP="00BE0043">
          <w:pPr>
            <w:spacing w:line="360" w:lineRule="auto"/>
            <w:rPr>
              <w:lang w:val="en-GB"/>
            </w:rPr>
          </w:pPr>
          <w:r w:rsidRPr="007146D0">
            <w:rPr>
              <w:lang w:val="en-GB"/>
            </w:rPr>
            <w:fldChar w:fldCharType="end"/>
          </w:r>
        </w:p>
      </w:sdtContent>
    </w:sdt>
    <w:p w:rsidR="00DC1600" w:rsidRPr="007146D0" w:rsidRDefault="00D54F4A" w:rsidP="00BE0043">
      <w:pPr>
        <w:pStyle w:val="Normal1"/>
        <w:spacing w:line="360" w:lineRule="auto"/>
        <w:rPr>
          <w:lang w:val="en-GB"/>
        </w:rPr>
      </w:pPr>
      <w:r w:rsidRPr="007146D0">
        <w:rPr>
          <w:lang w:val="en-GB"/>
        </w:rPr>
        <w:br w:type="page"/>
      </w:r>
    </w:p>
    <w:bookmarkStart w:id="0" w:name="_4impjg2ga4mh" w:colFirst="0" w:colLast="0"/>
    <w:bookmarkEnd w:id="0"/>
    <w:p w:rsidR="00F702D5" w:rsidRPr="007146D0" w:rsidRDefault="00FD31C7" w:rsidP="00BE0043">
      <w:pPr>
        <w:pStyle w:val="Heading1"/>
        <w:spacing w:line="360" w:lineRule="auto"/>
      </w:pPr>
      <w:sdt>
        <w:sdtPr>
          <w:id w:val="-1921325455"/>
          <w:docPartObj>
            <w:docPartGallery w:val="Table of Contents"/>
            <w:docPartUnique/>
          </w:docPartObj>
        </w:sdtPr>
        <w:sdtContent>
          <w:r w:rsidRPr="007146D0">
            <w:fldChar w:fldCharType="begin"/>
          </w:r>
          <w:r w:rsidR="00353EF8" w:rsidRPr="007146D0">
            <w:instrText xml:space="preserve"> TOC \h \u \z \t "Heading 1,1,Heading 2,2,Heading 3,3,Heading 4,4,Heading 5,5,Heading 6,6,"</w:instrText>
          </w:r>
          <w:r w:rsidRPr="007146D0">
            <w:fldChar w:fldCharType="end"/>
          </w:r>
        </w:sdtContent>
      </w:sdt>
      <w:bookmarkStart w:id="1" w:name="_fatezv8ffw6j" w:colFirst="0" w:colLast="0"/>
      <w:bookmarkStart w:id="2" w:name="_cwcmusklx7ks" w:colFirst="0" w:colLast="0"/>
      <w:bookmarkStart w:id="3" w:name="_Toc175143179"/>
      <w:bookmarkEnd w:id="1"/>
      <w:bookmarkEnd w:id="2"/>
      <w:r w:rsidR="00F702D5" w:rsidRPr="007146D0">
        <w:t>Part A) Introduction</w:t>
      </w:r>
      <w:bookmarkEnd w:id="3"/>
    </w:p>
    <w:p w:rsidR="00353EF8" w:rsidRPr="007146D0" w:rsidRDefault="00353EF8" w:rsidP="00BE0043">
      <w:pPr>
        <w:pStyle w:val="Heading2"/>
      </w:pPr>
      <w:bookmarkStart w:id="4" w:name="_Toc175143180"/>
      <w:r w:rsidRPr="007146D0">
        <w:t>History of AstraZeneca</w:t>
      </w:r>
      <w:bookmarkEnd w:id="4"/>
    </w:p>
    <w:p w:rsidR="00353EF8" w:rsidRPr="007146D0" w:rsidRDefault="00353EF8" w:rsidP="00BE0043">
      <w:pPr>
        <w:spacing w:line="360" w:lineRule="auto"/>
      </w:pPr>
      <w:r w:rsidRPr="007146D0">
        <w:t>AstraZeneca</w:t>
      </w:r>
      <w:bookmarkStart w:id="5" w:name="_GoBack"/>
      <w:bookmarkEnd w:id="5"/>
      <w:r w:rsidRPr="007146D0">
        <w:t xml:space="preserve"> is a worldwide biopharmaceutical firm involved in the development of novel products and services. In 2020, it unveiled the Ambition Zero Carbon, striving for carbon-negative value chains by 2030. The company beefed up R&amp;D by coming out with the Cambridge Discovery Centre in the year 2021 and through the acquisition of Alexion. In 2022, AstraZeneca established a new strategic R &amp; D hub in Cambridge, MA, and celebrated the memory of José Baselga (Astrazeneca, 2024). It started up Evinova, a company focused on health technology. In 2024, AstraZeneca further expanded its growth by committing to cell therapy </w:t>
      </w:r>
      <w:r w:rsidR="00182AA1" w:rsidRPr="007146D0">
        <w:t>canters</w:t>
      </w:r>
      <w:r w:rsidRPr="007146D0">
        <w:t xml:space="preserve"> and designated Shanghai as the global R&amp;D </w:t>
      </w:r>
      <w:r w:rsidR="00903B2E" w:rsidRPr="007146D0">
        <w:t>centres</w:t>
      </w:r>
      <w:r w:rsidRPr="007146D0">
        <w:t>.</w:t>
      </w:r>
    </w:p>
    <w:p w:rsidR="00353EF8" w:rsidRPr="007146D0" w:rsidRDefault="00353EF8" w:rsidP="00BE0043">
      <w:pPr>
        <w:pStyle w:val="Heading2"/>
        <w:spacing w:before="0" w:after="0"/>
        <w:rPr>
          <w:b w:val="0"/>
        </w:rPr>
      </w:pPr>
      <w:bookmarkStart w:id="6" w:name="_4ewclfmz76or" w:colFirst="0" w:colLast="0"/>
      <w:bookmarkStart w:id="7" w:name="_Toc175143181"/>
      <w:bookmarkEnd w:id="6"/>
      <w:r w:rsidRPr="007146D0">
        <w:t>Business Model and Competitors of AstraZeneca</w:t>
      </w:r>
      <w:bookmarkEnd w:id="7"/>
    </w:p>
    <w:p w:rsidR="00353EF8" w:rsidRPr="007146D0" w:rsidRDefault="00C03AD9" w:rsidP="00BE0043">
      <w:pPr>
        <w:spacing w:line="360" w:lineRule="auto"/>
        <w:rPr>
          <w:b/>
          <w:i/>
        </w:rPr>
      </w:pPr>
      <w:r w:rsidRPr="007146D0">
        <w:rPr>
          <w:b/>
          <w:i/>
        </w:rPr>
        <w:t>Business Model</w:t>
      </w:r>
    </w:p>
    <w:tbl>
      <w:tblPr>
        <w:tblW w:w="10311" w:type="dxa"/>
        <w:jc w:val="center"/>
        <w:tblInd w:w="-977" w:type="dxa"/>
        <w:tblBorders>
          <w:top w:val="nil"/>
          <w:left w:val="nil"/>
          <w:bottom w:val="nil"/>
          <w:right w:val="nil"/>
          <w:insideH w:val="nil"/>
          <w:insideV w:val="nil"/>
        </w:tblBorders>
        <w:tblLayout w:type="fixed"/>
        <w:tblLook w:val="0600"/>
      </w:tblPr>
      <w:tblGrid>
        <w:gridCol w:w="1916"/>
        <w:gridCol w:w="2160"/>
        <w:gridCol w:w="2041"/>
        <w:gridCol w:w="2189"/>
        <w:gridCol w:w="2005"/>
      </w:tblGrid>
      <w:tr w:rsidR="00353EF8" w:rsidRPr="007146D0" w:rsidTr="00C03AD9">
        <w:trPr>
          <w:trHeight w:val="3143"/>
          <w:jc w:val="center"/>
        </w:trPr>
        <w:tc>
          <w:tcPr>
            <w:tcW w:w="1916" w:type="dxa"/>
            <w:vMerge w:val="restart"/>
            <w:tcBorders>
              <w:top w:val="single" w:sz="6" w:space="0" w:color="000000"/>
              <w:left w:val="single" w:sz="6" w:space="0" w:color="000000"/>
              <w:bottom w:val="single" w:sz="6" w:space="0" w:color="000000"/>
              <w:right w:val="single" w:sz="6" w:space="0" w:color="000000"/>
            </w:tcBorders>
            <w:shd w:val="clear" w:color="auto" w:fill="92D050"/>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Key Partners</w:t>
            </w:r>
          </w:p>
          <w:p w:rsidR="00353EF8" w:rsidRPr="007146D0" w:rsidRDefault="00353EF8" w:rsidP="00BE0043">
            <w:pPr>
              <w:spacing w:line="360" w:lineRule="auto"/>
            </w:pPr>
            <w:r w:rsidRPr="007146D0">
              <w:t>Academic institutions, biotech firms, research clusters</w:t>
            </w:r>
          </w:p>
          <w:p w:rsidR="00353EF8" w:rsidRPr="007146D0" w:rsidRDefault="00353EF8" w:rsidP="00BE0043">
            <w:pPr>
              <w:spacing w:before="240" w:after="240" w:line="360" w:lineRule="auto"/>
            </w:pPr>
          </w:p>
        </w:tc>
        <w:tc>
          <w:tcPr>
            <w:tcW w:w="2160" w:type="dxa"/>
            <w:tcBorders>
              <w:top w:val="single" w:sz="6" w:space="0" w:color="000000"/>
              <w:left w:val="nil"/>
              <w:bottom w:val="single" w:sz="6" w:space="0" w:color="000000"/>
              <w:right w:val="single" w:sz="6" w:space="0" w:color="000000"/>
            </w:tcBorders>
            <w:shd w:val="clear" w:color="auto" w:fill="CCECFF"/>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Key Activities</w:t>
            </w:r>
          </w:p>
          <w:p w:rsidR="00353EF8" w:rsidRPr="007146D0" w:rsidRDefault="00353EF8" w:rsidP="00BE0043">
            <w:pPr>
              <w:spacing w:line="360" w:lineRule="auto"/>
            </w:pPr>
            <w:r w:rsidRPr="007146D0">
              <w:t>R&amp;D in core therapy areas, clinical trials, business development</w:t>
            </w:r>
          </w:p>
          <w:p w:rsidR="00353EF8" w:rsidRPr="007146D0" w:rsidRDefault="00353EF8" w:rsidP="00BE0043">
            <w:pPr>
              <w:spacing w:before="240" w:after="240" w:line="360" w:lineRule="auto"/>
            </w:pPr>
          </w:p>
        </w:tc>
        <w:tc>
          <w:tcPr>
            <w:tcW w:w="2041" w:type="dxa"/>
            <w:vMerge w:val="restart"/>
            <w:tcBorders>
              <w:top w:val="single" w:sz="6" w:space="0" w:color="000000"/>
              <w:left w:val="nil"/>
              <w:bottom w:val="single" w:sz="6" w:space="0" w:color="000000"/>
              <w:right w:val="single" w:sz="6" w:space="0" w:color="000000"/>
            </w:tcBorders>
            <w:shd w:val="clear" w:color="auto" w:fill="CCFFFF"/>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Value Proposition</w:t>
            </w:r>
          </w:p>
          <w:p w:rsidR="00353EF8" w:rsidRPr="007146D0" w:rsidRDefault="00353EF8" w:rsidP="00BE0043">
            <w:pPr>
              <w:spacing w:line="360" w:lineRule="auto"/>
            </w:pPr>
            <w:r w:rsidRPr="007146D0">
              <w:t>Innovative medicines, specialty care products, personalized healthcare</w:t>
            </w:r>
          </w:p>
          <w:p w:rsidR="00353EF8" w:rsidRPr="007146D0" w:rsidRDefault="00353EF8" w:rsidP="00BE0043">
            <w:pPr>
              <w:spacing w:before="240" w:after="240" w:line="360" w:lineRule="auto"/>
            </w:pPr>
          </w:p>
        </w:tc>
        <w:tc>
          <w:tcPr>
            <w:tcW w:w="2189" w:type="dxa"/>
            <w:tcBorders>
              <w:top w:val="single" w:sz="6" w:space="0" w:color="000000"/>
              <w:left w:val="nil"/>
              <w:bottom w:val="single" w:sz="6" w:space="0" w:color="000000"/>
              <w:right w:val="single" w:sz="6" w:space="0" w:color="000000"/>
            </w:tcBorders>
            <w:shd w:val="clear" w:color="auto" w:fill="92D050"/>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lastRenderedPageBreak/>
              <w:t>Customer Relationships</w:t>
            </w:r>
          </w:p>
          <w:p w:rsidR="00353EF8" w:rsidRPr="007146D0" w:rsidRDefault="00353EF8" w:rsidP="00BE0043">
            <w:pPr>
              <w:spacing w:line="360" w:lineRule="auto"/>
            </w:pPr>
            <w:r w:rsidRPr="007146D0">
              <w:t>Physician engagement, strategic partnerships</w:t>
            </w:r>
          </w:p>
        </w:tc>
        <w:tc>
          <w:tcPr>
            <w:tcW w:w="2005" w:type="dxa"/>
            <w:vMerge w:val="restart"/>
            <w:tcBorders>
              <w:top w:val="single" w:sz="6" w:space="0" w:color="000000"/>
              <w:left w:val="nil"/>
              <w:bottom w:val="single" w:sz="6" w:space="0" w:color="000000"/>
              <w:right w:val="single" w:sz="6" w:space="0" w:color="000000"/>
            </w:tcBorders>
            <w:shd w:val="clear" w:color="auto" w:fill="CCFFCC"/>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Customer Segments</w:t>
            </w:r>
          </w:p>
          <w:p w:rsidR="00353EF8" w:rsidRPr="007146D0" w:rsidRDefault="00353EF8" w:rsidP="00BE0043">
            <w:pPr>
              <w:spacing w:line="360" w:lineRule="auto"/>
            </w:pPr>
            <w:r w:rsidRPr="007146D0">
              <w:t>Patients, healthcare providers, governments</w:t>
            </w:r>
          </w:p>
          <w:p w:rsidR="00353EF8" w:rsidRPr="007146D0" w:rsidRDefault="00353EF8" w:rsidP="00BE0043">
            <w:pPr>
              <w:spacing w:before="240" w:after="240" w:line="360" w:lineRule="auto"/>
              <w:ind w:left="720"/>
            </w:pPr>
          </w:p>
        </w:tc>
      </w:tr>
      <w:tr w:rsidR="00353EF8" w:rsidRPr="007146D0" w:rsidTr="00C03AD9">
        <w:trPr>
          <w:trHeight w:val="4290"/>
          <w:jc w:val="center"/>
        </w:trPr>
        <w:tc>
          <w:tcPr>
            <w:tcW w:w="1916" w:type="dxa"/>
            <w:vMerge/>
            <w:tcBorders>
              <w:top w:val="single" w:sz="6" w:space="0" w:color="000000"/>
              <w:left w:val="single" w:sz="6" w:space="0" w:color="000000"/>
              <w:bottom w:val="single" w:sz="6" w:space="0" w:color="000000"/>
              <w:right w:val="single" w:sz="6" w:space="0" w:color="000000"/>
            </w:tcBorders>
            <w:shd w:val="clear" w:color="auto" w:fill="92D050"/>
            <w:tcMar>
              <w:top w:w="100" w:type="dxa"/>
              <w:left w:w="100" w:type="dxa"/>
              <w:bottom w:w="100" w:type="dxa"/>
              <w:right w:w="100" w:type="dxa"/>
            </w:tcMar>
          </w:tcPr>
          <w:p w:rsidR="00353EF8" w:rsidRPr="007146D0" w:rsidRDefault="00353EF8" w:rsidP="00BE0043">
            <w:pPr>
              <w:spacing w:line="360" w:lineRule="auto"/>
            </w:pPr>
          </w:p>
        </w:tc>
        <w:tc>
          <w:tcPr>
            <w:tcW w:w="2160" w:type="dxa"/>
            <w:tcBorders>
              <w:top w:val="nil"/>
              <w:left w:val="nil"/>
              <w:bottom w:val="single" w:sz="6" w:space="0" w:color="000000"/>
              <w:right w:val="single" w:sz="6" w:space="0" w:color="000000"/>
            </w:tcBorders>
            <w:shd w:val="clear" w:color="auto" w:fill="BDD7EE"/>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Key Resources</w:t>
            </w:r>
          </w:p>
          <w:p w:rsidR="00353EF8" w:rsidRPr="007146D0" w:rsidRDefault="00353EF8" w:rsidP="00BE0043">
            <w:pPr>
              <w:spacing w:line="360" w:lineRule="auto"/>
            </w:pPr>
            <w:r w:rsidRPr="007146D0">
              <w:t>R&amp;D centers, biologics, and small molecule units, IP portfolio (Astrazeneca, 2024)</w:t>
            </w:r>
          </w:p>
        </w:tc>
        <w:tc>
          <w:tcPr>
            <w:tcW w:w="2041" w:type="dxa"/>
            <w:vMerge/>
            <w:tcBorders>
              <w:top w:val="single" w:sz="6" w:space="0" w:color="000000"/>
              <w:left w:val="nil"/>
              <w:bottom w:val="single" w:sz="6" w:space="0" w:color="000000"/>
              <w:right w:val="single" w:sz="6" w:space="0" w:color="000000"/>
            </w:tcBorders>
            <w:shd w:val="clear" w:color="auto" w:fill="CCFFFF"/>
            <w:tcMar>
              <w:top w:w="100" w:type="dxa"/>
              <w:left w:w="100" w:type="dxa"/>
              <w:bottom w:w="100" w:type="dxa"/>
              <w:right w:w="100" w:type="dxa"/>
            </w:tcMar>
          </w:tcPr>
          <w:p w:rsidR="00353EF8" w:rsidRPr="007146D0" w:rsidRDefault="00353EF8" w:rsidP="00BE0043">
            <w:pPr>
              <w:spacing w:line="360" w:lineRule="auto"/>
            </w:pPr>
          </w:p>
        </w:tc>
        <w:tc>
          <w:tcPr>
            <w:tcW w:w="2189" w:type="dxa"/>
            <w:tcBorders>
              <w:top w:val="nil"/>
              <w:left w:val="nil"/>
              <w:bottom w:val="single" w:sz="6" w:space="0" w:color="000000"/>
              <w:right w:val="single" w:sz="6" w:space="0" w:color="000000"/>
            </w:tcBorders>
            <w:shd w:val="clear" w:color="auto" w:fill="92D050"/>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Channels</w:t>
            </w:r>
          </w:p>
          <w:p w:rsidR="00353EF8" w:rsidRPr="007146D0" w:rsidRDefault="00353EF8" w:rsidP="00BE0043">
            <w:pPr>
              <w:spacing w:line="360" w:lineRule="auto"/>
            </w:pPr>
            <w:r w:rsidRPr="007146D0">
              <w:t>Direct sales, partnerships, digital platforms</w:t>
            </w:r>
          </w:p>
        </w:tc>
        <w:tc>
          <w:tcPr>
            <w:tcW w:w="2005" w:type="dxa"/>
            <w:vMerge/>
            <w:tcBorders>
              <w:top w:val="single" w:sz="6" w:space="0" w:color="000000"/>
              <w:left w:val="nil"/>
              <w:bottom w:val="single" w:sz="6" w:space="0" w:color="000000"/>
              <w:right w:val="single" w:sz="6" w:space="0" w:color="000000"/>
            </w:tcBorders>
            <w:shd w:val="clear" w:color="auto" w:fill="CCFFCC"/>
            <w:tcMar>
              <w:top w:w="100" w:type="dxa"/>
              <w:left w:w="100" w:type="dxa"/>
              <w:bottom w:w="100" w:type="dxa"/>
              <w:right w:w="100" w:type="dxa"/>
            </w:tcMar>
          </w:tcPr>
          <w:p w:rsidR="00353EF8" w:rsidRPr="007146D0" w:rsidRDefault="00353EF8" w:rsidP="00BE0043">
            <w:pPr>
              <w:spacing w:line="360" w:lineRule="auto"/>
            </w:pPr>
          </w:p>
        </w:tc>
      </w:tr>
      <w:tr w:rsidR="00353EF8" w:rsidRPr="007146D0" w:rsidTr="00C03AD9">
        <w:trPr>
          <w:trHeight w:val="25"/>
          <w:jc w:val="center"/>
        </w:trPr>
        <w:tc>
          <w:tcPr>
            <w:tcW w:w="4076" w:type="dxa"/>
            <w:gridSpan w:val="2"/>
            <w:tcBorders>
              <w:top w:val="nil"/>
              <w:left w:val="single" w:sz="6" w:space="0" w:color="000000"/>
              <w:bottom w:val="single" w:sz="6" w:space="0" w:color="000000"/>
              <w:right w:val="single" w:sz="6" w:space="0" w:color="000000"/>
            </w:tcBorders>
            <w:shd w:val="clear" w:color="auto" w:fill="CCFFFF"/>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lastRenderedPageBreak/>
              <w:t>Cost Structure</w:t>
            </w:r>
          </w:p>
          <w:p w:rsidR="00353EF8" w:rsidRPr="007146D0" w:rsidRDefault="00353EF8" w:rsidP="00BE0043">
            <w:pPr>
              <w:spacing w:line="360" w:lineRule="auto"/>
            </w:pPr>
            <w:r w:rsidRPr="007146D0">
              <w:t>R&amp;D investment, SG&amp;A restructuring, M&amp;A costs</w:t>
            </w:r>
          </w:p>
        </w:tc>
        <w:tc>
          <w:tcPr>
            <w:tcW w:w="6235" w:type="dxa"/>
            <w:gridSpan w:val="3"/>
            <w:tcBorders>
              <w:top w:val="nil"/>
              <w:left w:val="nil"/>
              <w:bottom w:val="single" w:sz="6" w:space="0" w:color="000000"/>
              <w:right w:val="single" w:sz="6" w:space="0" w:color="000000"/>
            </w:tcBorders>
            <w:shd w:val="clear" w:color="auto" w:fill="CCFFCC"/>
            <w:tcMar>
              <w:top w:w="100" w:type="dxa"/>
              <w:left w:w="100" w:type="dxa"/>
              <w:bottom w:w="100" w:type="dxa"/>
              <w:right w:w="100" w:type="dxa"/>
            </w:tcMar>
          </w:tcPr>
          <w:p w:rsidR="00353EF8" w:rsidRPr="007146D0" w:rsidRDefault="00353EF8" w:rsidP="00BE0043">
            <w:pPr>
              <w:spacing w:before="240" w:after="240" w:line="360" w:lineRule="auto"/>
              <w:rPr>
                <w:b/>
                <w:i/>
              </w:rPr>
            </w:pPr>
            <w:r w:rsidRPr="007146D0">
              <w:rPr>
                <w:b/>
                <w:i/>
              </w:rPr>
              <w:t>Revenue Streams</w:t>
            </w:r>
          </w:p>
          <w:p w:rsidR="00353EF8" w:rsidRPr="007146D0" w:rsidRDefault="00353EF8" w:rsidP="00BE0043">
            <w:pPr>
              <w:spacing w:line="360" w:lineRule="auto"/>
            </w:pPr>
            <w:r w:rsidRPr="007146D0">
              <w:t>Drug sales, licensing deals, partnerships, dividend</w:t>
            </w:r>
          </w:p>
        </w:tc>
      </w:tr>
    </w:tbl>
    <w:p w:rsidR="00353EF8" w:rsidRPr="007146D0" w:rsidRDefault="00353EF8" w:rsidP="00BE0043">
      <w:pPr>
        <w:spacing w:line="360" w:lineRule="auto"/>
        <w:jc w:val="center"/>
      </w:pPr>
      <w:r w:rsidRPr="007146D0">
        <w:rPr>
          <w:b/>
        </w:rPr>
        <w:t xml:space="preserve">Table 1: Business </w:t>
      </w:r>
      <w:r w:rsidR="00C03AD9" w:rsidRPr="007146D0">
        <w:rPr>
          <w:b/>
        </w:rPr>
        <w:t xml:space="preserve">Model </w:t>
      </w:r>
      <w:r w:rsidRPr="007146D0">
        <w:br/>
        <w:t>(Source: Self-Created)</w:t>
      </w:r>
    </w:p>
    <w:p w:rsidR="00353EF8" w:rsidRPr="007146D0" w:rsidRDefault="00353EF8" w:rsidP="00BE0043">
      <w:pPr>
        <w:spacing w:line="360" w:lineRule="auto"/>
        <w:rPr>
          <w:b/>
          <w:i/>
        </w:rPr>
      </w:pPr>
      <w:r w:rsidRPr="007146D0">
        <w:rPr>
          <w:b/>
          <w:i/>
        </w:rPr>
        <w:t>Competitor</w:t>
      </w:r>
    </w:p>
    <w:p w:rsidR="00353EF8" w:rsidRPr="007146D0" w:rsidRDefault="00353EF8" w:rsidP="00BE0043">
      <w:pPr>
        <w:spacing w:line="360" w:lineRule="auto"/>
      </w:pPr>
      <w:r w:rsidRPr="007146D0">
        <w:t>AstraZeneca and GSK are global leaders in the pharmaceutical sector, both of which have a long history of scientific advancements and discovery. AstraZeneca has only recently concentrated on growing its R&amp;D capacity, environmental sustainability, and health-tech solutions (Astrazeneca, 2024). GSK has experienced a major change in its operational model following the demerger of consumer-grossing healthcare (Gsk, 2024). For example, GSK established itself through antibiotics, vaccines, and HIV treatments, whereas AstraZeneca has focused on oncology and rare diseases. The two are also direct competitors since they both operate within the same therapeutic segments such as respiratory and oncology. However, AstraZeneca has spoken recently of cell therapy, and expanded in China, GSK has begged the notion of rebirth as a pure biopharma player after its divorce from the consumer goods business.</w:t>
      </w:r>
    </w:p>
    <w:p w:rsidR="00353EF8" w:rsidRPr="007146D0" w:rsidRDefault="00353EF8" w:rsidP="00BE0043">
      <w:pPr>
        <w:pStyle w:val="Heading2"/>
        <w:spacing w:before="0" w:after="0"/>
        <w:rPr>
          <w:b w:val="0"/>
        </w:rPr>
      </w:pPr>
      <w:bookmarkStart w:id="8" w:name="_cm8ae578xico" w:colFirst="0" w:colLast="0"/>
      <w:bookmarkStart w:id="9" w:name="_Toc175143182"/>
      <w:bookmarkEnd w:id="8"/>
      <w:r w:rsidRPr="007146D0">
        <w:lastRenderedPageBreak/>
        <w:t>Recent Events over the Past Five Years</w:t>
      </w:r>
      <w:bookmarkEnd w:id="9"/>
    </w:p>
    <w:p w:rsidR="00353EF8" w:rsidRPr="007146D0" w:rsidRDefault="00353EF8" w:rsidP="00BE0043">
      <w:pPr>
        <w:spacing w:line="360" w:lineRule="auto"/>
      </w:pPr>
      <w:r w:rsidRPr="007146D0">
        <w:t>In the last five years, AstraZeneca has centered its endeavor on its pipeline development and how to deliver innovative medicines to patients. Pipeline progression events and regulatory events have always been monitored whereas they have been used to benchmark annual bonuses and the performance of the organization in drug development and commercialisation (Astrazeneca, 2023). Pipeline progression activities such as Phase II NME starts/progressions and Phase III investment decisions have moderately increased but are consistent. The company recorded 30, 25, and 26 such incidences about their Group scorecard in recent years. These figures thus show that AstraZeneca has continued to invest in new drugs as well as the sustainability of the drug development process (Astrazeneca, 2023). Regulatory events, including regulatory filings and obtainments, have demonstrated more fluctuation. Regulatory data against AstraZeneca’s Group scorecard shows that the company had 46, 50, and 37 regulatory events in different years. These numbers represent the firm’s capacity to shepherd its innovations through the regulatory approval pipeline and deliver new therapeutic options to patients.</w:t>
      </w:r>
    </w:p>
    <w:p w:rsidR="00353EF8" w:rsidRPr="007146D0" w:rsidRDefault="00353EF8" w:rsidP="00BE0043">
      <w:pPr>
        <w:spacing w:line="360" w:lineRule="auto"/>
      </w:pPr>
      <w:r w:rsidRPr="007146D0">
        <w:t>The strategic shift in the company, the continuous reference to pipeline advancement, and regulatory occurrences portray that AstraZeneca has adhered to its strategic direction of advancing the pipeline of new medicinal products. The emphasis of the company on these metrics suggests a clear strategic focus of the organization on developing new therapeutic options and unlocking the therapeutic potential of the products it owns.</w:t>
      </w:r>
    </w:p>
    <w:p w:rsidR="00DC1600" w:rsidRPr="007146D0" w:rsidRDefault="00D54F4A" w:rsidP="00BE0043">
      <w:pPr>
        <w:pStyle w:val="Heading1"/>
        <w:spacing w:line="360" w:lineRule="auto"/>
        <w:rPr>
          <w:lang w:val="en-GB"/>
        </w:rPr>
      </w:pPr>
      <w:bookmarkStart w:id="10" w:name="_Toc175143183"/>
      <w:r w:rsidRPr="007146D0">
        <w:rPr>
          <w:lang w:val="en-GB"/>
        </w:rPr>
        <w:t>Part B). Financial Performance Review:</w:t>
      </w:r>
      <w:bookmarkEnd w:id="10"/>
    </w:p>
    <w:p w:rsidR="00DC1600" w:rsidRPr="007146D0" w:rsidRDefault="00D54F4A" w:rsidP="00BE0043">
      <w:pPr>
        <w:pStyle w:val="Heading2"/>
        <w:rPr>
          <w:lang w:val="en-GB"/>
        </w:rPr>
      </w:pPr>
      <w:bookmarkStart w:id="11" w:name="_bom6452ki2s" w:colFirst="0" w:colLast="0"/>
      <w:bookmarkStart w:id="12" w:name="_Toc175143184"/>
      <w:bookmarkEnd w:id="11"/>
      <w:r w:rsidRPr="007146D0">
        <w:rPr>
          <w:lang w:val="en-GB"/>
        </w:rPr>
        <w:t>AstraZeneca’s financial ratio calculation for the past 5 years:</w:t>
      </w:r>
      <w:bookmarkEnd w:id="12"/>
    </w:p>
    <w:p w:rsidR="00DC1600" w:rsidRPr="007146D0" w:rsidRDefault="00D54F4A" w:rsidP="00BE0043">
      <w:pPr>
        <w:pStyle w:val="Normal1"/>
        <w:spacing w:line="360" w:lineRule="auto"/>
        <w:rPr>
          <w:lang w:val="en-GB"/>
        </w:rPr>
      </w:pPr>
      <w:r w:rsidRPr="007146D0">
        <w:rPr>
          <w:lang w:val="en-GB"/>
        </w:rPr>
        <w:t xml:space="preserve">Financial performance analysis of AstraZeneca is highlighted in the section by taking ratio analysis into account. According to the viewpoint of Olayinka (2022), ratio analysis is the core to representing current and past financial performance of an organisation as well as developing comparisons. However, four key financial ratios have been considered to measure the company's financial performance for the last 5 years. Profitability, efficiency, liquidity and leverage ratios are computed in order to identify profit earning, liquidity position, capital structure and asset utilisation practices.     </w:t>
      </w:r>
    </w:p>
    <w:p w:rsidR="00DC1600" w:rsidRPr="007146D0" w:rsidRDefault="00D54F4A" w:rsidP="00BE0043">
      <w:pPr>
        <w:pStyle w:val="Normal1"/>
        <w:spacing w:line="360" w:lineRule="auto"/>
        <w:rPr>
          <w:lang w:val="en-GB"/>
        </w:rPr>
      </w:pPr>
      <w:r w:rsidRPr="007146D0">
        <w:rPr>
          <w:b/>
          <w:i/>
          <w:lang w:val="en-GB"/>
        </w:rPr>
        <w:lastRenderedPageBreak/>
        <w:t>Profitability:</w:t>
      </w:r>
    </w:p>
    <w:tbl>
      <w:tblPr>
        <w:tblStyle w:val="a"/>
        <w:tblW w:w="10395" w:type="dxa"/>
        <w:jc w:val="center"/>
        <w:tblInd w:w="-630" w:type="dxa"/>
        <w:tblBorders>
          <w:top w:val="nil"/>
          <w:left w:val="nil"/>
          <w:bottom w:val="nil"/>
          <w:right w:val="nil"/>
          <w:insideH w:val="nil"/>
          <w:insideV w:val="nil"/>
        </w:tblBorders>
        <w:tblLayout w:type="fixed"/>
        <w:tblLook w:val="0600"/>
      </w:tblPr>
      <w:tblGrid>
        <w:gridCol w:w="1485"/>
        <w:gridCol w:w="2340"/>
        <w:gridCol w:w="1393"/>
        <w:gridCol w:w="1240"/>
        <w:gridCol w:w="990"/>
        <w:gridCol w:w="990"/>
        <w:gridCol w:w="990"/>
        <w:gridCol w:w="967"/>
      </w:tblGrid>
      <w:tr w:rsidR="00197230" w:rsidRPr="007146D0" w:rsidTr="00197230">
        <w:trPr>
          <w:cantSplit/>
          <w:trHeight w:val="615"/>
          <w:tblHeader/>
          <w:jc w:val="center"/>
        </w:trPr>
        <w:tc>
          <w:tcPr>
            <w:tcW w:w="10395" w:type="dxa"/>
            <w:gridSpan w:val="8"/>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rsidR="00197230" w:rsidRPr="007146D0" w:rsidRDefault="00197230" w:rsidP="00BE0043">
            <w:pPr>
              <w:pStyle w:val="Normal1"/>
              <w:spacing w:line="360" w:lineRule="auto"/>
              <w:jc w:val="center"/>
              <w:rPr>
                <w:b/>
                <w:lang w:val="en-GB"/>
              </w:rPr>
            </w:pPr>
            <w:r w:rsidRPr="007146D0">
              <w:rPr>
                <w:b/>
                <w:lang w:val="en-GB"/>
              </w:rPr>
              <w:t>“AstraZeneca ($ m)</w:t>
            </w:r>
          </w:p>
        </w:tc>
      </w:tr>
      <w:tr w:rsidR="00DC1600" w:rsidRPr="007146D0" w:rsidTr="00197230">
        <w:trPr>
          <w:cantSplit/>
          <w:trHeight w:val="615"/>
          <w:tblHeader/>
          <w:jc w:val="center"/>
        </w:trPr>
        <w:tc>
          <w:tcPr>
            <w:tcW w:w="1485"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C1600" w:rsidP="00BE0043">
            <w:pPr>
              <w:pStyle w:val="Normal1"/>
              <w:spacing w:line="360" w:lineRule="auto"/>
              <w:rPr>
                <w:b/>
                <w:lang w:val="en-GB"/>
              </w:rPr>
            </w:pPr>
          </w:p>
        </w:tc>
        <w:tc>
          <w:tcPr>
            <w:tcW w:w="234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Formula</w:t>
            </w:r>
          </w:p>
        </w:tc>
        <w:tc>
          <w:tcPr>
            <w:tcW w:w="1393" w:type="dxa"/>
            <w:tcBorders>
              <w:top w:val="nil"/>
              <w:left w:val="nil"/>
              <w:bottom w:val="single" w:sz="7" w:space="0" w:color="000000"/>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year</w:t>
            </w:r>
          </w:p>
        </w:tc>
        <w:tc>
          <w:tcPr>
            <w:tcW w:w="1240" w:type="dxa"/>
            <w:tcBorders>
              <w:top w:val="nil"/>
              <w:left w:val="single" w:sz="7" w:space="0" w:color="000000"/>
              <w:bottom w:val="single" w:sz="4"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2023</w:t>
            </w:r>
          </w:p>
        </w:tc>
        <w:tc>
          <w:tcPr>
            <w:tcW w:w="990" w:type="dxa"/>
            <w:tcBorders>
              <w:top w:val="nil"/>
              <w:left w:val="nil"/>
              <w:bottom w:val="single" w:sz="4"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b/>
                <w:i/>
                <w:lang w:val="en-GB"/>
              </w:rPr>
            </w:pPr>
          </w:p>
          <w:p w:rsidR="00DC1600" w:rsidRPr="007146D0" w:rsidRDefault="00D54F4A" w:rsidP="00BE0043">
            <w:pPr>
              <w:pStyle w:val="Normal1"/>
              <w:spacing w:line="360" w:lineRule="auto"/>
              <w:rPr>
                <w:b/>
                <w:i/>
                <w:lang w:val="en-GB"/>
              </w:rPr>
            </w:pPr>
            <w:r w:rsidRPr="007146D0">
              <w:rPr>
                <w:b/>
                <w:i/>
                <w:lang w:val="en-GB"/>
              </w:rPr>
              <w:t>2022</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b/>
                <w:i/>
                <w:lang w:val="en-GB"/>
              </w:rPr>
            </w:pPr>
          </w:p>
          <w:p w:rsidR="00DC1600" w:rsidRPr="007146D0" w:rsidRDefault="00D54F4A" w:rsidP="00BE0043">
            <w:pPr>
              <w:pStyle w:val="Normal1"/>
              <w:spacing w:line="360" w:lineRule="auto"/>
              <w:rPr>
                <w:b/>
                <w:i/>
                <w:lang w:val="en-GB"/>
              </w:rPr>
            </w:pPr>
            <w:r w:rsidRPr="007146D0">
              <w:rPr>
                <w:b/>
                <w:i/>
                <w:lang w:val="en-GB"/>
              </w:rPr>
              <w:t>2021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b/>
                <w:i/>
                <w:lang w:val="en-GB"/>
              </w:rPr>
            </w:pPr>
          </w:p>
          <w:p w:rsidR="00DC1600" w:rsidRPr="007146D0" w:rsidRDefault="00D54F4A" w:rsidP="00BE0043">
            <w:pPr>
              <w:pStyle w:val="Normal1"/>
              <w:spacing w:line="360" w:lineRule="auto"/>
              <w:rPr>
                <w:b/>
                <w:i/>
                <w:lang w:val="en-GB"/>
              </w:rPr>
            </w:pPr>
            <w:r w:rsidRPr="007146D0">
              <w:rPr>
                <w:b/>
                <w:i/>
                <w:lang w:val="en-GB"/>
              </w:rPr>
              <w:t>2020</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2019</w:t>
            </w:r>
          </w:p>
        </w:tc>
      </w:tr>
      <w:tr w:rsidR="00DC1600" w:rsidRPr="007146D0" w:rsidTr="00197230">
        <w:trPr>
          <w:cantSplit/>
          <w:trHeight w:val="975"/>
          <w:tblHeader/>
          <w:jc w:val="center"/>
        </w:trPr>
        <w:tc>
          <w:tcPr>
            <w:tcW w:w="1485"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Gross profit margin</w:t>
            </w:r>
          </w:p>
        </w:tc>
        <w:tc>
          <w:tcPr>
            <w:tcW w:w="2340"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Gross Profit   x 100 /</w:t>
            </w:r>
            <w:r w:rsidRPr="007146D0">
              <w:rPr>
                <w:lang w:val="en-GB"/>
              </w:rPr>
              <w:br/>
              <w:t xml:space="preserve"> Total Revenue</w:t>
            </w:r>
          </w:p>
        </w:tc>
        <w:tc>
          <w:tcPr>
            <w:tcW w:w="1393" w:type="dxa"/>
            <w:tcBorders>
              <w:top w:val="nil"/>
              <w:left w:val="nil"/>
              <w:bottom w:val="single" w:sz="7"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Gross profit</w:t>
            </w:r>
          </w:p>
        </w:tc>
        <w:tc>
          <w:tcPr>
            <w:tcW w:w="124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37,543</w:t>
            </w:r>
          </w:p>
        </w:tc>
        <w:tc>
          <w:tcPr>
            <w:tcW w:w="99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31960</w:t>
            </w:r>
          </w:p>
        </w:tc>
        <w:tc>
          <w:tcPr>
            <w:tcW w:w="990" w:type="dxa"/>
            <w:tcBorders>
              <w:top w:val="nil"/>
              <w:left w:val="single" w:sz="4" w:space="0" w:color="000000"/>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24980</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21318</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19463</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Revenue</w:t>
            </w:r>
          </w:p>
        </w:tc>
        <w:tc>
          <w:tcPr>
            <w:tcW w:w="1240" w:type="dxa"/>
            <w:tcBorders>
              <w:top w:val="single" w:sz="4" w:space="0" w:color="000000"/>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single" w:sz="4" w:space="0" w:color="000000"/>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26617</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GPM</w:t>
            </w:r>
          </w:p>
        </w:tc>
        <w:tc>
          <w:tcPr>
            <w:tcW w:w="1240" w:type="dxa"/>
            <w:tcBorders>
              <w:top w:val="single" w:sz="7" w:space="0" w:color="000000"/>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81.95%</w:t>
            </w:r>
          </w:p>
        </w:tc>
        <w:tc>
          <w:tcPr>
            <w:tcW w:w="990" w:type="dxa"/>
            <w:tcBorders>
              <w:top w:val="nil"/>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72.06%</w:t>
            </w:r>
          </w:p>
        </w:tc>
        <w:tc>
          <w:tcPr>
            <w:tcW w:w="990" w:type="dxa"/>
            <w:tcBorders>
              <w:top w:val="nil"/>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66.77%</w:t>
            </w:r>
          </w:p>
        </w:tc>
        <w:tc>
          <w:tcPr>
            <w:tcW w:w="990" w:type="dxa"/>
            <w:tcBorders>
              <w:top w:val="nil"/>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80.09%</w:t>
            </w:r>
          </w:p>
        </w:tc>
        <w:tc>
          <w:tcPr>
            <w:tcW w:w="967" w:type="dxa"/>
            <w:tcBorders>
              <w:top w:val="nil"/>
              <w:left w:val="nil"/>
              <w:bottom w:val="single" w:sz="4"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79.82%</w:t>
            </w:r>
          </w:p>
        </w:tc>
      </w:tr>
      <w:tr w:rsidR="00DC1600" w:rsidRPr="007146D0" w:rsidTr="00197230">
        <w:trPr>
          <w:cantSplit/>
          <w:trHeight w:val="975"/>
          <w:tblHeader/>
          <w:jc w:val="center"/>
        </w:trPr>
        <w:tc>
          <w:tcPr>
            <w:tcW w:w="1485" w:type="dxa"/>
            <w:vMerge w:val="restart"/>
            <w:tcBorders>
              <w:top w:val="single" w:sz="7" w:space="0" w:color="000000"/>
              <w:left w:val="single" w:sz="7" w:space="0" w:color="000000"/>
              <w:bottom w:val="single" w:sz="7" w:space="0" w:color="000000"/>
              <w:right w:val="single" w:sz="7" w:space="0" w:color="000000"/>
            </w:tcBorders>
            <w:shd w:val="clear" w:color="auto" w:fill="E6B9B8"/>
            <w:tcMar>
              <w:top w:w="0" w:type="dxa"/>
              <w:bottom w:w="0" w:type="dxa"/>
            </w:tcMar>
          </w:tcPr>
          <w:p w:rsidR="00DC1600" w:rsidRPr="007146D0" w:rsidRDefault="00D54F4A" w:rsidP="00BE0043">
            <w:pPr>
              <w:pStyle w:val="Normal1"/>
              <w:spacing w:line="360" w:lineRule="auto"/>
              <w:rPr>
                <w:b/>
                <w:lang w:val="en-GB"/>
              </w:rPr>
            </w:pPr>
            <w:r w:rsidRPr="007146D0">
              <w:rPr>
                <w:b/>
                <w:lang w:val="en-GB"/>
              </w:rPr>
              <w:t>Operating profit margin</w:t>
            </w:r>
          </w:p>
        </w:tc>
        <w:tc>
          <w:tcPr>
            <w:tcW w:w="2340" w:type="dxa"/>
            <w:vMerge w:val="restart"/>
            <w:tcBorders>
              <w:top w:val="single" w:sz="7" w:space="0" w:color="000000"/>
              <w:left w:val="single" w:sz="7" w:space="0" w:color="000000"/>
              <w:bottom w:val="single" w:sz="7" w:space="0" w:color="000000"/>
              <w:right w:val="single" w:sz="7" w:space="0" w:color="000000"/>
            </w:tcBorders>
            <w:tcMar>
              <w:top w:w="0" w:type="dxa"/>
              <w:bottom w:w="0" w:type="dxa"/>
            </w:tcMar>
          </w:tcPr>
          <w:p w:rsidR="00DC1600" w:rsidRPr="007146D0" w:rsidRDefault="00D54F4A" w:rsidP="00BE0043">
            <w:pPr>
              <w:pStyle w:val="Normal1"/>
              <w:spacing w:line="360" w:lineRule="auto"/>
              <w:rPr>
                <w:lang w:val="en-GB"/>
              </w:rPr>
            </w:pPr>
            <w:r w:rsidRPr="007146D0">
              <w:rPr>
                <w:lang w:val="en-GB"/>
              </w:rPr>
              <w:t>Operating Profit   x 100 /</w:t>
            </w:r>
            <w:r w:rsidRPr="007146D0">
              <w:rPr>
                <w:lang w:val="en-GB"/>
              </w:rPr>
              <w:br/>
              <w:t xml:space="preserve"> Total Revenue</w:t>
            </w: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Operating Profit</w:t>
            </w:r>
          </w:p>
        </w:tc>
        <w:tc>
          <w:tcPr>
            <w:tcW w:w="1240" w:type="dxa"/>
            <w:tcBorders>
              <w:top w:val="single" w:sz="4" w:space="0" w:color="000000"/>
              <w:left w:val="nil"/>
              <w:bottom w:val="nil"/>
              <w:right w:val="nil"/>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8,193</w:t>
            </w:r>
          </w:p>
        </w:tc>
        <w:tc>
          <w:tcPr>
            <w:tcW w:w="990" w:type="dxa"/>
            <w:tcBorders>
              <w:top w:val="single" w:sz="4" w:space="0" w:color="000000"/>
              <w:left w:val="single" w:sz="7" w:space="0" w:color="000000"/>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3757</w:t>
            </w:r>
          </w:p>
        </w:tc>
        <w:tc>
          <w:tcPr>
            <w:tcW w:w="990" w:type="dxa"/>
            <w:tcBorders>
              <w:top w:val="single" w:sz="4" w:space="0" w:color="000000"/>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1056</w:t>
            </w:r>
          </w:p>
        </w:tc>
        <w:tc>
          <w:tcPr>
            <w:tcW w:w="990" w:type="dxa"/>
            <w:tcBorders>
              <w:top w:val="single" w:sz="4" w:space="0" w:color="000000"/>
              <w:left w:val="nil"/>
              <w:bottom w:val="nil"/>
              <w:right w:val="nil"/>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5,162</w:t>
            </w:r>
          </w:p>
        </w:tc>
        <w:tc>
          <w:tcPr>
            <w:tcW w:w="967" w:type="dxa"/>
            <w:tcBorders>
              <w:top w:val="single" w:sz="4" w:space="0" w:color="000000"/>
              <w:left w:val="single" w:sz="7" w:space="0" w:color="000000"/>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2924</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Revenue</w:t>
            </w:r>
          </w:p>
        </w:tc>
        <w:tc>
          <w:tcPr>
            <w:tcW w:w="124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99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26617</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197230">
        <w:trPr>
          <w:cantSplit/>
          <w:trHeight w:val="133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OPM</w:t>
            </w:r>
          </w:p>
        </w:tc>
        <w:tc>
          <w:tcPr>
            <w:tcW w:w="124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18%</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8%</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2.82%</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19%</w:t>
            </w:r>
          </w:p>
        </w:tc>
        <w:tc>
          <w:tcPr>
            <w:tcW w:w="96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12%</w:t>
            </w:r>
          </w:p>
        </w:tc>
      </w:tr>
      <w:tr w:rsidR="00DC1600" w:rsidRPr="007146D0" w:rsidTr="00197230">
        <w:trPr>
          <w:cantSplit/>
          <w:trHeight w:val="615"/>
          <w:tblHeader/>
          <w:jc w:val="center"/>
        </w:trPr>
        <w:tc>
          <w:tcPr>
            <w:tcW w:w="1485"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Net profit margin</w:t>
            </w:r>
          </w:p>
        </w:tc>
        <w:tc>
          <w:tcPr>
            <w:tcW w:w="2340"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Net profit x100 /</w:t>
            </w:r>
            <w:r w:rsidRPr="007146D0">
              <w:rPr>
                <w:lang w:val="en-GB"/>
              </w:rPr>
              <w:br/>
              <w:t xml:space="preserve"> Total Revenue</w:t>
            </w: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Net Profit</w:t>
            </w:r>
          </w:p>
        </w:tc>
        <w:tc>
          <w:tcPr>
            <w:tcW w:w="1240" w:type="dxa"/>
            <w:tcBorders>
              <w:top w:val="nil"/>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5,961</w:t>
            </w:r>
          </w:p>
        </w:tc>
        <w:tc>
          <w:tcPr>
            <w:tcW w:w="99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3293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115</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3144</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1227</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Revenue</w:t>
            </w:r>
          </w:p>
        </w:tc>
        <w:tc>
          <w:tcPr>
            <w:tcW w:w="124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26617</w:t>
            </w:r>
          </w:p>
        </w:tc>
        <w:tc>
          <w:tcPr>
            <w:tcW w:w="96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197230">
        <w:trPr>
          <w:cantSplit/>
          <w:trHeight w:val="975"/>
          <w:tblHeader/>
          <w:jc w:val="center"/>
        </w:trPr>
        <w:tc>
          <w:tcPr>
            <w:tcW w:w="1485"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234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39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NPM</w:t>
            </w:r>
          </w:p>
        </w:tc>
        <w:tc>
          <w:tcPr>
            <w:tcW w:w="124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13.01%</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7.42%</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0.31%</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11.81%</w:t>
            </w:r>
          </w:p>
        </w:tc>
        <w:tc>
          <w:tcPr>
            <w:tcW w:w="96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5.03%</w:t>
            </w:r>
            <w:r w:rsidR="005D7847" w:rsidRPr="007146D0">
              <w:rPr>
                <w:b/>
                <w:i/>
                <w:lang w:val="en-GB"/>
              </w:rPr>
              <w:t>”</w:t>
            </w:r>
          </w:p>
        </w:tc>
      </w:tr>
    </w:tbl>
    <w:p w:rsidR="00DC1600" w:rsidRPr="007146D0" w:rsidRDefault="00D54F4A" w:rsidP="00BE0043">
      <w:pPr>
        <w:pStyle w:val="Normal1"/>
        <w:spacing w:line="360" w:lineRule="auto"/>
        <w:jc w:val="center"/>
        <w:rPr>
          <w:b/>
          <w:lang w:val="en-GB"/>
        </w:rPr>
      </w:pPr>
      <w:r w:rsidRPr="007146D0">
        <w:rPr>
          <w:b/>
          <w:lang w:val="en-GB"/>
        </w:rPr>
        <w:t xml:space="preserve">Table </w:t>
      </w:r>
      <w:r w:rsidR="00353EF8" w:rsidRPr="007146D0">
        <w:rPr>
          <w:b/>
          <w:lang w:val="en-GB"/>
        </w:rPr>
        <w:t>2</w:t>
      </w:r>
      <w:r w:rsidRPr="007146D0">
        <w:rPr>
          <w:b/>
          <w:lang w:val="en-GB"/>
        </w:rPr>
        <w:t xml:space="preserve">: Profitability ratios </w:t>
      </w:r>
    </w:p>
    <w:p w:rsidR="00DC1600" w:rsidRPr="007146D0" w:rsidRDefault="00D54F4A" w:rsidP="00BE0043">
      <w:pPr>
        <w:pStyle w:val="Normal1"/>
        <w:spacing w:line="360" w:lineRule="auto"/>
        <w:jc w:val="center"/>
        <w:rPr>
          <w:lang w:val="en-GB"/>
        </w:rPr>
      </w:pPr>
      <w:r w:rsidRPr="007146D0">
        <w:rPr>
          <w:lang w:val="en-GB"/>
        </w:rPr>
        <w:t>(Source: Excel sheet)</w:t>
      </w:r>
    </w:p>
    <w:p w:rsidR="00DC1600" w:rsidRPr="007146D0" w:rsidRDefault="00D54F4A" w:rsidP="00BE0043">
      <w:pPr>
        <w:pStyle w:val="Normal1"/>
        <w:spacing w:line="360" w:lineRule="auto"/>
        <w:rPr>
          <w:lang w:val="en-GB"/>
        </w:rPr>
      </w:pPr>
      <w:r w:rsidRPr="007146D0">
        <w:rPr>
          <w:lang w:val="en-GB"/>
        </w:rPr>
        <w:t xml:space="preserve">The above table represents profitability position of AstraZeneca throughout the years and represents a high gross margin but poor net margin. </w:t>
      </w:r>
      <w:r w:rsidR="00197230" w:rsidRPr="007146D0">
        <w:rPr>
          <w:lang w:val="en-GB"/>
        </w:rPr>
        <w:t>Nariswari and Nugraha (2020)</w:t>
      </w:r>
      <w:r w:rsidRPr="007146D0">
        <w:rPr>
          <w:lang w:val="en-GB"/>
        </w:rPr>
        <w:t xml:space="preserve"> mentioned that gross margin is the tool which shows a portion of sales after paying for goods. However, GPM was valued at 81.95% in 2023 and the company maintained more than 60% profit every year. On the contrary, NPM was valued at 13.01% in 2023</w:t>
      </w:r>
      <w:r w:rsidR="00073C15" w:rsidRPr="007146D0">
        <w:rPr>
          <w:lang w:val="en-GB"/>
        </w:rPr>
        <w:t>,</w:t>
      </w:r>
      <w:r w:rsidRPr="007146D0">
        <w:rPr>
          <w:lang w:val="en-GB"/>
        </w:rPr>
        <w:t xml:space="preserve"> which was 7.42% in the previous year. OPM of AstraZeneca was 18% in 2023, 8% in 2022 and 2.82% in 2021. The overall analysis represents a better practice to maintain production cost that result in high GPM but lack of focus on reducing operational cost which affected net and operating profit earning ability. </w:t>
      </w:r>
    </w:p>
    <w:p w:rsidR="00DC1600" w:rsidRPr="007146D0" w:rsidRDefault="00D54F4A" w:rsidP="00BE0043">
      <w:pPr>
        <w:pStyle w:val="Normal1"/>
        <w:spacing w:line="360" w:lineRule="auto"/>
        <w:rPr>
          <w:lang w:val="en-GB"/>
        </w:rPr>
      </w:pPr>
      <w:r w:rsidRPr="007146D0">
        <w:rPr>
          <w:b/>
          <w:i/>
          <w:lang w:val="en-GB"/>
        </w:rPr>
        <w:t>Liquidity:</w:t>
      </w:r>
    </w:p>
    <w:tbl>
      <w:tblPr>
        <w:tblStyle w:val="a0"/>
        <w:tblW w:w="10260" w:type="dxa"/>
        <w:jc w:val="center"/>
        <w:tblInd w:w="-720" w:type="dxa"/>
        <w:tblBorders>
          <w:top w:val="nil"/>
          <w:left w:val="nil"/>
          <w:bottom w:val="nil"/>
          <w:right w:val="nil"/>
          <w:insideH w:val="nil"/>
          <w:insideV w:val="nil"/>
        </w:tblBorders>
        <w:tblLayout w:type="fixed"/>
        <w:tblLook w:val="0600"/>
      </w:tblPr>
      <w:tblGrid>
        <w:gridCol w:w="1620"/>
        <w:gridCol w:w="1800"/>
        <w:gridCol w:w="1800"/>
        <w:gridCol w:w="1080"/>
        <w:gridCol w:w="990"/>
        <w:gridCol w:w="990"/>
        <w:gridCol w:w="1028"/>
        <w:gridCol w:w="952"/>
      </w:tblGrid>
      <w:tr w:rsidR="00DC1600" w:rsidRPr="007146D0" w:rsidTr="00073C15">
        <w:trPr>
          <w:cantSplit/>
          <w:trHeight w:val="615"/>
          <w:tblHeader/>
          <w:jc w:val="center"/>
        </w:trPr>
        <w:tc>
          <w:tcPr>
            <w:tcW w:w="162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rsidR="00430855" w:rsidRPr="007146D0" w:rsidRDefault="00430855" w:rsidP="00BE0043">
            <w:pPr>
              <w:pStyle w:val="Normal1"/>
              <w:spacing w:line="360" w:lineRule="auto"/>
              <w:rPr>
                <w:b/>
                <w:lang w:val="en-GB"/>
              </w:rPr>
            </w:pPr>
          </w:p>
        </w:tc>
        <w:tc>
          <w:tcPr>
            <w:tcW w:w="180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5D7847" w:rsidP="00BE0043">
            <w:pPr>
              <w:pStyle w:val="Normal1"/>
              <w:spacing w:line="360" w:lineRule="auto"/>
              <w:jc w:val="center"/>
              <w:rPr>
                <w:b/>
                <w:lang w:val="en-GB"/>
              </w:rPr>
            </w:pPr>
            <w:r w:rsidRPr="007146D0">
              <w:rPr>
                <w:b/>
                <w:lang w:val="en-GB"/>
              </w:rPr>
              <w:t>“</w:t>
            </w:r>
            <w:r w:rsidR="00D54F4A" w:rsidRPr="007146D0">
              <w:rPr>
                <w:b/>
                <w:lang w:val="en-GB"/>
              </w:rPr>
              <w:t>Formula</w:t>
            </w:r>
          </w:p>
        </w:tc>
        <w:tc>
          <w:tcPr>
            <w:tcW w:w="180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jc w:val="center"/>
              <w:rPr>
                <w:b/>
                <w:lang w:val="en-GB"/>
              </w:rPr>
            </w:pPr>
            <w:r w:rsidRPr="007146D0">
              <w:rPr>
                <w:b/>
                <w:lang w:val="en-GB"/>
              </w:rPr>
              <w:t>year</w:t>
            </w:r>
          </w:p>
        </w:tc>
        <w:tc>
          <w:tcPr>
            <w:tcW w:w="1080" w:type="dxa"/>
            <w:tcBorders>
              <w:top w:val="single" w:sz="7" w:space="0" w:color="000000"/>
              <w:left w:val="nil"/>
              <w:bottom w:val="single" w:sz="4"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jc w:val="center"/>
              <w:rPr>
                <w:b/>
                <w:i/>
                <w:lang w:val="en-GB"/>
              </w:rPr>
            </w:pPr>
            <w:r w:rsidRPr="007146D0">
              <w:rPr>
                <w:b/>
                <w:i/>
                <w:lang w:val="en-GB"/>
              </w:rPr>
              <w:t>2023</w:t>
            </w:r>
          </w:p>
        </w:tc>
        <w:tc>
          <w:tcPr>
            <w:tcW w:w="9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jc w:val="center"/>
              <w:rPr>
                <w:b/>
                <w:i/>
                <w:lang w:val="en-GB"/>
              </w:rPr>
            </w:pPr>
            <w:r w:rsidRPr="007146D0">
              <w:rPr>
                <w:b/>
                <w:i/>
                <w:lang w:val="en-GB"/>
              </w:rPr>
              <w:t>2022</w:t>
            </w:r>
          </w:p>
        </w:tc>
        <w:tc>
          <w:tcPr>
            <w:tcW w:w="9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jc w:val="center"/>
              <w:rPr>
                <w:b/>
                <w:i/>
                <w:lang w:val="en-GB"/>
              </w:rPr>
            </w:pPr>
            <w:r w:rsidRPr="007146D0">
              <w:rPr>
                <w:b/>
                <w:i/>
                <w:lang w:val="en-GB"/>
              </w:rPr>
              <w:t>2021</w:t>
            </w:r>
          </w:p>
        </w:tc>
        <w:tc>
          <w:tcPr>
            <w:tcW w:w="1028"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jc w:val="center"/>
              <w:rPr>
                <w:b/>
                <w:i/>
                <w:lang w:val="en-GB"/>
              </w:rPr>
            </w:pPr>
            <w:r w:rsidRPr="007146D0">
              <w:rPr>
                <w:b/>
                <w:i/>
                <w:lang w:val="en-GB"/>
              </w:rPr>
              <w:t>2020</w:t>
            </w:r>
          </w:p>
        </w:tc>
        <w:tc>
          <w:tcPr>
            <w:tcW w:w="952"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jc w:val="center"/>
              <w:rPr>
                <w:b/>
                <w:lang w:val="en-GB"/>
              </w:rPr>
            </w:pPr>
            <w:r w:rsidRPr="007146D0">
              <w:rPr>
                <w:b/>
                <w:lang w:val="en-GB"/>
              </w:rPr>
              <w:t>2019</w:t>
            </w:r>
          </w:p>
        </w:tc>
      </w:tr>
      <w:tr w:rsidR="00DC1600" w:rsidRPr="007146D0" w:rsidTr="00073C15">
        <w:trPr>
          <w:cantSplit/>
          <w:trHeight w:val="615"/>
          <w:tblHeader/>
          <w:jc w:val="center"/>
        </w:trPr>
        <w:tc>
          <w:tcPr>
            <w:tcW w:w="1620"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Current Ratio</w:t>
            </w:r>
          </w:p>
        </w:tc>
        <w:tc>
          <w:tcPr>
            <w:tcW w:w="1800" w:type="dxa"/>
            <w:vMerge w:val="restart"/>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Current Asset</w:t>
            </w:r>
            <w:r w:rsidR="001A6A68" w:rsidRPr="007146D0">
              <w:rPr>
                <w:lang w:val="en-GB"/>
              </w:rPr>
              <w:t xml:space="preserve"> /</w:t>
            </w:r>
            <w:r w:rsidRPr="007146D0">
              <w:rPr>
                <w:u w:val="single"/>
                <w:lang w:val="en-GB"/>
              </w:rPr>
              <w:br/>
            </w:r>
            <w:r w:rsidRPr="007146D0">
              <w:rPr>
                <w:lang w:val="en-GB"/>
              </w:rPr>
              <w:t xml:space="preserve"> Current Liabilities</w:t>
            </w:r>
          </w:p>
        </w:tc>
        <w:tc>
          <w:tcPr>
            <w:tcW w:w="1800" w:type="dxa"/>
            <w:tcBorders>
              <w:top w:val="nil"/>
              <w:left w:val="nil"/>
              <w:bottom w:val="single" w:sz="7" w:space="0" w:color="000000"/>
              <w:right w:val="single" w:sz="4"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Assets</w:t>
            </w:r>
          </w:p>
        </w:tc>
        <w:tc>
          <w:tcPr>
            <w:tcW w:w="108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25,054</w:t>
            </w:r>
          </w:p>
        </w:tc>
        <w:tc>
          <w:tcPr>
            <w:tcW w:w="990" w:type="dxa"/>
            <w:tcBorders>
              <w:top w:val="nil"/>
              <w:left w:val="single" w:sz="4" w:space="0" w:color="000000"/>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22593</w:t>
            </w:r>
          </w:p>
        </w:tc>
        <w:tc>
          <w:tcPr>
            <w:tcW w:w="990" w:type="dxa"/>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26244</w:t>
            </w:r>
          </w:p>
        </w:tc>
        <w:tc>
          <w:tcPr>
            <w:tcW w:w="1028" w:type="dxa"/>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19544</w:t>
            </w:r>
          </w:p>
        </w:tc>
        <w:tc>
          <w:tcPr>
            <w:tcW w:w="952"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15563</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Liabilities</w:t>
            </w:r>
          </w:p>
        </w:tc>
        <w:tc>
          <w:tcPr>
            <w:tcW w:w="1080" w:type="dxa"/>
            <w:tcBorders>
              <w:top w:val="single" w:sz="4" w:space="0" w:color="000000"/>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30,542</w:t>
            </w:r>
          </w:p>
        </w:tc>
        <w:tc>
          <w:tcPr>
            <w:tcW w:w="99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26293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22594</w:t>
            </w:r>
          </w:p>
        </w:tc>
        <w:tc>
          <w:tcPr>
            <w:tcW w:w="102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20307</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18117</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Current ratio</w:t>
            </w:r>
          </w:p>
        </w:tc>
        <w:tc>
          <w:tcPr>
            <w:tcW w:w="1080" w:type="dxa"/>
            <w:tcBorders>
              <w:top w:val="single" w:sz="7"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0.82</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0.86</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1.16</w:t>
            </w:r>
          </w:p>
        </w:tc>
        <w:tc>
          <w:tcPr>
            <w:tcW w:w="102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0.96</w:t>
            </w:r>
          </w:p>
        </w:tc>
        <w:tc>
          <w:tcPr>
            <w:tcW w:w="952"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0.86</w:t>
            </w:r>
          </w:p>
        </w:tc>
      </w:tr>
      <w:tr w:rsidR="00DC1600" w:rsidRPr="007146D0" w:rsidTr="00073C15">
        <w:trPr>
          <w:cantSplit/>
          <w:trHeight w:val="615"/>
          <w:tblHeader/>
          <w:jc w:val="center"/>
        </w:trPr>
        <w:tc>
          <w:tcPr>
            <w:tcW w:w="1620"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lastRenderedPageBreak/>
              <w:t>Quick Ratio (Acid-test)</w:t>
            </w:r>
          </w:p>
        </w:tc>
        <w:tc>
          <w:tcPr>
            <w:tcW w:w="1800"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1A6A68" w:rsidP="00BE0043">
            <w:pPr>
              <w:pStyle w:val="Normal1"/>
              <w:spacing w:line="360" w:lineRule="auto"/>
              <w:rPr>
                <w:lang w:val="en-GB"/>
              </w:rPr>
            </w:pPr>
            <w:r w:rsidRPr="007146D0">
              <w:rPr>
                <w:lang w:val="en-GB"/>
              </w:rPr>
              <w:t>(Current Asset - inventories) /</w:t>
            </w:r>
            <w:r w:rsidR="00D54F4A" w:rsidRPr="007146D0">
              <w:rPr>
                <w:lang w:val="en-GB"/>
              </w:rPr>
              <w:br/>
              <w:t xml:space="preserve"> Current Liabilities</w:t>
            </w: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Asset</w:t>
            </w:r>
          </w:p>
        </w:tc>
        <w:tc>
          <w:tcPr>
            <w:tcW w:w="10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25054</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22593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26244</w:t>
            </w:r>
          </w:p>
        </w:tc>
        <w:tc>
          <w:tcPr>
            <w:tcW w:w="102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19544</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15563</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Inventories</w:t>
            </w:r>
          </w:p>
        </w:tc>
        <w:tc>
          <w:tcPr>
            <w:tcW w:w="1080" w:type="dxa"/>
            <w:tcBorders>
              <w:top w:val="nil"/>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5,424</w:t>
            </w:r>
          </w:p>
        </w:tc>
        <w:tc>
          <w:tcPr>
            <w:tcW w:w="99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4699</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8983</w:t>
            </w:r>
          </w:p>
        </w:tc>
        <w:tc>
          <w:tcPr>
            <w:tcW w:w="102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4024</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3193</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Liabilities</w:t>
            </w:r>
          </w:p>
        </w:tc>
        <w:tc>
          <w:tcPr>
            <w:tcW w:w="108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30542</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26293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22594</w:t>
            </w:r>
          </w:p>
        </w:tc>
        <w:tc>
          <w:tcPr>
            <w:tcW w:w="102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20307</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18117</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nil"/>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Quick Ratio</w:t>
            </w:r>
          </w:p>
        </w:tc>
        <w:tc>
          <w:tcPr>
            <w:tcW w:w="108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0.64</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0.68</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0.76</w:t>
            </w:r>
          </w:p>
        </w:tc>
        <w:tc>
          <w:tcPr>
            <w:tcW w:w="102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0.76</w:t>
            </w:r>
          </w:p>
        </w:tc>
        <w:tc>
          <w:tcPr>
            <w:tcW w:w="952"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0.68</w:t>
            </w:r>
          </w:p>
        </w:tc>
      </w:tr>
      <w:tr w:rsidR="00DC1600" w:rsidRPr="007146D0" w:rsidTr="00073C15">
        <w:trPr>
          <w:cantSplit/>
          <w:trHeight w:val="615"/>
          <w:tblHeader/>
          <w:jc w:val="center"/>
        </w:trPr>
        <w:tc>
          <w:tcPr>
            <w:tcW w:w="1620"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Cash  Ratio</w:t>
            </w:r>
          </w:p>
        </w:tc>
        <w:tc>
          <w:tcPr>
            <w:tcW w:w="1800"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Cash /</w:t>
            </w:r>
            <w:r w:rsidRPr="007146D0">
              <w:rPr>
                <w:lang w:val="en-GB"/>
              </w:rPr>
              <w:br/>
              <w:t xml:space="preserve"> Current Liabilities</w:t>
            </w:r>
          </w:p>
        </w:tc>
        <w:tc>
          <w:tcPr>
            <w:tcW w:w="180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Cash</w:t>
            </w:r>
          </w:p>
        </w:tc>
        <w:tc>
          <w:tcPr>
            <w:tcW w:w="1080" w:type="dxa"/>
            <w:tcBorders>
              <w:top w:val="nil"/>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5,840</w:t>
            </w:r>
          </w:p>
        </w:tc>
        <w:tc>
          <w:tcPr>
            <w:tcW w:w="99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6166</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6329</w:t>
            </w:r>
          </w:p>
        </w:tc>
        <w:tc>
          <w:tcPr>
            <w:tcW w:w="1028" w:type="dxa"/>
            <w:tcBorders>
              <w:top w:val="nil"/>
              <w:left w:val="nil"/>
              <w:bottom w:val="nil"/>
              <w:right w:val="nil"/>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7,832</w:t>
            </w:r>
          </w:p>
        </w:tc>
        <w:tc>
          <w:tcPr>
            <w:tcW w:w="952"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5369</w:t>
            </w:r>
          </w:p>
        </w:tc>
      </w:tr>
      <w:tr w:rsidR="00DC1600" w:rsidRPr="007146D0" w:rsidTr="00073C15">
        <w:trPr>
          <w:cantSplit/>
          <w:trHeight w:val="615"/>
          <w:tblHeader/>
          <w:jc w:val="center"/>
        </w:trPr>
        <w:tc>
          <w:tcPr>
            <w:tcW w:w="162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Current Liabilities</w:t>
            </w:r>
          </w:p>
        </w:tc>
        <w:tc>
          <w:tcPr>
            <w:tcW w:w="1080"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30542</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26293</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22594</w:t>
            </w:r>
          </w:p>
        </w:tc>
        <w:tc>
          <w:tcPr>
            <w:tcW w:w="1028" w:type="dxa"/>
            <w:tcBorders>
              <w:top w:val="single" w:sz="7" w:space="0" w:color="000000"/>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20307</w:t>
            </w:r>
          </w:p>
        </w:tc>
        <w:tc>
          <w:tcPr>
            <w:tcW w:w="95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18117</w:t>
            </w:r>
          </w:p>
        </w:tc>
      </w:tr>
      <w:tr w:rsidR="00DC1600" w:rsidRPr="007146D0" w:rsidTr="00073C15">
        <w:trPr>
          <w:cantSplit/>
          <w:trHeight w:val="615"/>
          <w:tblHeader/>
          <w:jc w:val="center"/>
        </w:trPr>
        <w:tc>
          <w:tcPr>
            <w:tcW w:w="1620" w:type="dxa"/>
            <w:tcBorders>
              <w:top w:val="nil"/>
              <w:left w:val="single" w:sz="7" w:space="0" w:color="000000"/>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C1600" w:rsidP="00BE0043">
            <w:pPr>
              <w:pStyle w:val="Normal1"/>
              <w:spacing w:line="360" w:lineRule="auto"/>
              <w:rPr>
                <w:lang w:val="en-GB"/>
              </w:rPr>
            </w:pPr>
          </w:p>
        </w:tc>
        <w:tc>
          <w:tcPr>
            <w:tcW w:w="1800"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8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Cash  Ratio</w:t>
            </w:r>
          </w:p>
        </w:tc>
        <w:tc>
          <w:tcPr>
            <w:tcW w:w="108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0.19</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0.23</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0.28</w:t>
            </w:r>
          </w:p>
        </w:tc>
        <w:tc>
          <w:tcPr>
            <w:tcW w:w="102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0.39</w:t>
            </w:r>
          </w:p>
        </w:tc>
        <w:tc>
          <w:tcPr>
            <w:tcW w:w="952"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0.30</w:t>
            </w:r>
            <w:r w:rsidR="005D7847" w:rsidRPr="007146D0">
              <w:rPr>
                <w:b/>
                <w:i/>
                <w:lang w:val="en-GB"/>
              </w:rPr>
              <w:t>”</w:t>
            </w:r>
          </w:p>
        </w:tc>
      </w:tr>
    </w:tbl>
    <w:p w:rsidR="00DC1600" w:rsidRPr="007146D0" w:rsidRDefault="00D54F4A" w:rsidP="00BE0043">
      <w:pPr>
        <w:pStyle w:val="Normal1"/>
        <w:spacing w:line="360" w:lineRule="auto"/>
        <w:jc w:val="center"/>
        <w:rPr>
          <w:b/>
          <w:lang w:val="en-GB"/>
        </w:rPr>
      </w:pPr>
      <w:r w:rsidRPr="007146D0">
        <w:rPr>
          <w:b/>
          <w:lang w:val="en-GB"/>
        </w:rPr>
        <w:t xml:space="preserve">Table </w:t>
      </w:r>
      <w:r w:rsidR="00353EF8" w:rsidRPr="007146D0">
        <w:rPr>
          <w:b/>
          <w:lang w:val="en-GB"/>
        </w:rPr>
        <w:t>3</w:t>
      </w:r>
      <w:r w:rsidRPr="007146D0">
        <w:rPr>
          <w:b/>
          <w:lang w:val="en-GB"/>
        </w:rPr>
        <w:t xml:space="preserve">: Liquidity ratios </w:t>
      </w:r>
    </w:p>
    <w:p w:rsidR="00DC1600" w:rsidRPr="007146D0" w:rsidRDefault="00D54F4A" w:rsidP="00BE0043">
      <w:pPr>
        <w:pStyle w:val="Normal1"/>
        <w:spacing w:line="360" w:lineRule="auto"/>
        <w:jc w:val="center"/>
        <w:rPr>
          <w:lang w:val="en-GB"/>
        </w:rPr>
      </w:pPr>
      <w:r w:rsidRPr="007146D0">
        <w:rPr>
          <w:lang w:val="en-GB"/>
        </w:rPr>
        <w:t>(Source: Excel sheet)</w:t>
      </w:r>
    </w:p>
    <w:p w:rsidR="007E4B16" w:rsidRPr="007146D0" w:rsidRDefault="00D54F4A" w:rsidP="00BE0043">
      <w:pPr>
        <w:pStyle w:val="Normal1"/>
        <w:spacing w:line="360" w:lineRule="auto"/>
        <w:rPr>
          <w:lang w:val="en-GB"/>
        </w:rPr>
      </w:pPr>
      <w:r w:rsidRPr="007146D0">
        <w:rPr>
          <w:lang w:val="en-GB"/>
        </w:rPr>
        <w:t xml:space="preserve">Measuring business liquidity is valuable to represent ability of AstraZeneca to cover its short-term debt on time. Current ratio is the tool to measure available current assets sufficiency to meet short-term obligations (Hasanuddin </w:t>
      </w:r>
      <w:r w:rsidRPr="007146D0">
        <w:rPr>
          <w:i/>
          <w:lang w:val="en-GB"/>
        </w:rPr>
        <w:t xml:space="preserve">et al. </w:t>
      </w:r>
      <w:r w:rsidR="003C4357" w:rsidRPr="007146D0">
        <w:rPr>
          <w:lang w:val="en-GB"/>
        </w:rPr>
        <w:t>2021). The c</w:t>
      </w:r>
      <w:r w:rsidRPr="007146D0">
        <w:rPr>
          <w:lang w:val="en-GB"/>
        </w:rPr>
        <w:t>urrent ratio of the company was valued at 0.82 and 0.86 in 2023 and 2022 which was 1.16 in 2021, indicating ineffectiveness in maintaining liquidity. According to the viewpoint of Tumanggor (2020), inventory takes a long time to generate cash and quick ratio does not take it into account for representing business liquidity. Quick ratio of AstraZeneca was valued at 0.68 in 2019</w:t>
      </w:r>
      <w:r w:rsidR="003C4357" w:rsidRPr="007146D0">
        <w:rPr>
          <w:lang w:val="en-GB"/>
        </w:rPr>
        <w:t>,</w:t>
      </w:r>
      <w:r w:rsidRPr="007146D0">
        <w:rPr>
          <w:lang w:val="en-GB"/>
        </w:rPr>
        <w:t xml:space="preserve"> which fluctuated over the years and amounted to 0.64 in 2023. Similarly, cash ratio was valued at 0.19 in 2023 which was 0.30 </w:t>
      </w:r>
      <w:r w:rsidRPr="007146D0">
        <w:rPr>
          <w:lang w:val="en-GB"/>
        </w:rPr>
        <w:lastRenderedPageBreak/>
        <w:t xml:space="preserve">in 2019. Both quick and cash ratios of the company remained lower than 1 every year which shows an insufficiency of available assets to cover its debts.   </w:t>
      </w:r>
    </w:p>
    <w:p w:rsidR="001A6A68" w:rsidRPr="007146D0" w:rsidRDefault="00D54F4A" w:rsidP="00BE0043">
      <w:pPr>
        <w:pStyle w:val="Normal1"/>
        <w:spacing w:line="360" w:lineRule="auto"/>
        <w:rPr>
          <w:b/>
          <w:i/>
          <w:lang w:val="en-GB"/>
        </w:rPr>
      </w:pPr>
      <w:r w:rsidRPr="007146D0">
        <w:rPr>
          <w:b/>
          <w:i/>
          <w:lang w:val="en-GB"/>
        </w:rPr>
        <w:t>Efficiency:</w:t>
      </w:r>
    </w:p>
    <w:tbl>
      <w:tblPr>
        <w:tblStyle w:val="a1"/>
        <w:tblW w:w="10125" w:type="dxa"/>
        <w:jc w:val="center"/>
        <w:tblInd w:w="-765" w:type="dxa"/>
        <w:tblBorders>
          <w:top w:val="nil"/>
          <w:left w:val="nil"/>
          <w:bottom w:val="nil"/>
          <w:right w:val="nil"/>
          <w:insideH w:val="nil"/>
          <w:insideV w:val="nil"/>
        </w:tblBorders>
        <w:tblLayout w:type="fixed"/>
        <w:tblLook w:val="0600"/>
      </w:tblPr>
      <w:tblGrid>
        <w:gridCol w:w="1980"/>
        <w:gridCol w:w="1283"/>
        <w:gridCol w:w="1613"/>
        <w:gridCol w:w="997"/>
        <w:gridCol w:w="990"/>
        <w:gridCol w:w="1008"/>
        <w:gridCol w:w="1127"/>
        <w:gridCol w:w="1127"/>
      </w:tblGrid>
      <w:tr w:rsidR="00DC1600" w:rsidRPr="007146D0" w:rsidTr="003C4357">
        <w:trPr>
          <w:cantSplit/>
          <w:trHeight w:val="615"/>
          <w:tblHeader/>
          <w:jc w:val="center"/>
        </w:trPr>
        <w:tc>
          <w:tcPr>
            <w:tcW w:w="198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rsidR="00DC1600" w:rsidRPr="007146D0" w:rsidRDefault="00DC1600" w:rsidP="00BE0043">
            <w:pPr>
              <w:pStyle w:val="Normal1"/>
              <w:spacing w:line="360" w:lineRule="auto"/>
              <w:rPr>
                <w:b/>
                <w:lang w:val="en-GB"/>
              </w:rPr>
            </w:pPr>
          </w:p>
        </w:tc>
        <w:tc>
          <w:tcPr>
            <w:tcW w:w="1283"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5D7847" w:rsidP="00BE0043">
            <w:pPr>
              <w:pStyle w:val="Normal1"/>
              <w:spacing w:line="360" w:lineRule="auto"/>
              <w:rPr>
                <w:b/>
                <w:lang w:val="en-GB"/>
              </w:rPr>
            </w:pPr>
            <w:r w:rsidRPr="007146D0">
              <w:rPr>
                <w:b/>
                <w:lang w:val="en-GB"/>
              </w:rPr>
              <w:t>“</w:t>
            </w:r>
            <w:r w:rsidR="00D54F4A" w:rsidRPr="007146D0">
              <w:rPr>
                <w:b/>
                <w:lang w:val="en-GB"/>
              </w:rPr>
              <w:t>Formula</w:t>
            </w:r>
          </w:p>
        </w:tc>
        <w:tc>
          <w:tcPr>
            <w:tcW w:w="1613"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year</w:t>
            </w:r>
          </w:p>
        </w:tc>
        <w:tc>
          <w:tcPr>
            <w:tcW w:w="997"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2023</w:t>
            </w:r>
          </w:p>
        </w:tc>
        <w:tc>
          <w:tcPr>
            <w:tcW w:w="9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2022</w:t>
            </w:r>
          </w:p>
        </w:tc>
        <w:tc>
          <w:tcPr>
            <w:tcW w:w="1008"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2021</w:t>
            </w:r>
          </w:p>
        </w:tc>
        <w:tc>
          <w:tcPr>
            <w:tcW w:w="1127"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2020</w:t>
            </w:r>
          </w:p>
        </w:tc>
        <w:tc>
          <w:tcPr>
            <w:tcW w:w="1127"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2019</w:t>
            </w:r>
          </w:p>
        </w:tc>
      </w:tr>
      <w:tr w:rsidR="00DC1600" w:rsidRPr="007146D0" w:rsidTr="003C4357">
        <w:trPr>
          <w:cantSplit/>
          <w:trHeight w:val="615"/>
          <w:tblHeader/>
          <w:jc w:val="center"/>
        </w:trPr>
        <w:tc>
          <w:tcPr>
            <w:tcW w:w="1980" w:type="dxa"/>
            <w:vMerge w:val="restart"/>
            <w:tcBorders>
              <w:top w:val="nil"/>
              <w:left w:val="single" w:sz="7" w:space="0" w:color="000000"/>
              <w:bottom w:val="single" w:sz="7" w:space="0" w:color="000000"/>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Asset Turnover</w:t>
            </w:r>
          </w:p>
        </w:tc>
        <w:tc>
          <w:tcPr>
            <w:tcW w:w="1283" w:type="dxa"/>
            <w:vMerge w:val="restart"/>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u w:val="single"/>
                <w:lang w:val="en-GB"/>
              </w:rPr>
            </w:pPr>
            <w:r w:rsidRPr="007146D0">
              <w:rPr>
                <w:u w:val="single"/>
                <w:lang w:val="en-GB"/>
              </w:rPr>
              <w:t>Revenue</w:t>
            </w:r>
            <w:r w:rsidRPr="007146D0">
              <w:rPr>
                <w:u w:val="single"/>
                <w:lang w:val="en-GB"/>
              </w:rPr>
              <w:br/>
              <w:t xml:space="preserve"> Total Assets</w:t>
            </w:r>
          </w:p>
        </w:tc>
        <w:tc>
          <w:tcPr>
            <w:tcW w:w="1613" w:type="dxa"/>
            <w:tcBorders>
              <w:top w:val="nil"/>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Revenue</w:t>
            </w:r>
          </w:p>
        </w:tc>
        <w:tc>
          <w:tcPr>
            <w:tcW w:w="997"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1008"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1127"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26617</w:t>
            </w:r>
          </w:p>
        </w:tc>
        <w:tc>
          <w:tcPr>
            <w:tcW w:w="1127" w:type="dxa"/>
            <w:tcBorders>
              <w:top w:val="nil"/>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3C4357">
        <w:trPr>
          <w:cantSplit/>
          <w:trHeight w:val="975"/>
          <w:tblHeader/>
          <w:jc w:val="center"/>
        </w:trPr>
        <w:tc>
          <w:tcPr>
            <w:tcW w:w="198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283"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6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Total assets</w:t>
            </w:r>
          </w:p>
        </w:tc>
        <w:tc>
          <w:tcPr>
            <w:tcW w:w="99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101,119</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96483</w:t>
            </w:r>
          </w:p>
        </w:tc>
        <w:tc>
          <w:tcPr>
            <w:tcW w:w="100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105363</w:t>
            </w:r>
          </w:p>
        </w:tc>
        <w:tc>
          <w:tcPr>
            <w:tcW w:w="112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66729</w:t>
            </w:r>
          </w:p>
        </w:tc>
        <w:tc>
          <w:tcPr>
            <w:tcW w:w="112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61377</w:t>
            </w:r>
          </w:p>
        </w:tc>
      </w:tr>
      <w:tr w:rsidR="00DC1600" w:rsidRPr="007146D0" w:rsidTr="003C4357">
        <w:trPr>
          <w:cantSplit/>
          <w:trHeight w:val="1335"/>
          <w:tblHeader/>
          <w:jc w:val="center"/>
        </w:trPr>
        <w:tc>
          <w:tcPr>
            <w:tcW w:w="198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283"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6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Assets turnover ratio</w:t>
            </w:r>
          </w:p>
        </w:tc>
        <w:tc>
          <w:tcPr>
            <w:tcW w:w="99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0.45</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0.46</w:t>
            </w:r>
          </w:p>
        </w:tc>
        <w:tc>
          <w:tcPr>
            <w:tcW w:w="100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0.36</w:t>
            </w:r>
          </w:p>
        </w:tc>
        <w:tc>
          <w:tcPr>
            <w:tcW w:w="112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0.40</w:t>
            </w:r>
          </w:p>
        </w:tc>
        <w:tc>
          <w:tcPr>
            <w:tcW w:w="112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0.40</w:t>
            </w:r>
          </w:p>
        </w:tc>
      </w:tr>
      <w:tr w:rsidR="00DC1600" w:rsidRPr="007146D0" w:rsidTr="003C4357">
        <w:trPr>
          <w:cantSplit/>
          <w:trHeight w:val="615"/>
          <w:tblHeader/>
          <w:jc w:val="center"/>
        </w:trPr>
        <w:tc>
          <w:tcPr>
            <w:tcW w:w="1980" w:type="dxa"/>
            <w:vMerge w:val="restart"/>
            <w:tcBorders>
              <w:top w:val="single" w:sz="7" w:space="0" w:color="000000"/>
              <w:left w:val="single" w:sz="7" w:space="0" w:color="000000"/>
              <w:bottom w:val="single" w:sz="7" w:space="0" w:color="000000"/>
              <w:right w:val="single" w:sz="7" w:space="0" w:color="000000"/>
            </w:tcBorders>
            <w:shd w:val="clear" w:color="auto" w:fill="E6B9B8"/>
            <w:tcMar>
              <w:top w:w="0" w:type="dxa"/>
              <w:bottom w:w="0" w:type="dxa"/>
            </w:tcMar>
          </w:tcPr>
          <w:p w:rsidR="00DC1600" w:rsidRPr="007146D0" w:rsidRDefault="00D54F4A" w:rsidP="00BE0043">
            <w:pPr>
              <w:pStyle w:val="Normal1"/>
              <w:spacing w:line="360" w:lineRule="auto"/>
              <w:rPr>
                <w:b/>
                <w:lang w:val="en-GB"/>
              </w:rPr>
            </w:pPr>
            <w:r w:rsidRPr="007146D0">
              <w:rPr>
                <w:b/>
                <w:lang w:val="en-GB"/>
              </w:rPr>
              <w:t xml:space="preserve"> Fixed asset turnover</w:t>
            </w:r>
          </w:p>
        </w:tc>
        <w:tc>
          <w:tcPr>
            <w:tcW w:w="1283" w:type="dxa"/>
            <w:vMerge w:val="restart"/>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Revenue</w:t>
            </w:r>
            <w:r w:rsidR="001A6A68" w:rsidRPr="007146D0">
              <w:rPr>
                <w:lang w:val="en-GB"/>
              </w:rPr>
              <w:t xml:space="preserve"> /</w:t>
            </w:r>
            <w:r w:rsidR="001A6A68" w:rsidRPr="007146D0">
              <w:rPr>
                <w:lang w:val="en-GB"/>
              </w:rPr>
              <w:br/>
              <w:t xml:space="preserve"> f</w:t>
            </w:r>
            <w:r w:rsidRPr="007146D0">
              <w:rPr>
                <w:lang w:val="en-GB"/>
              </w:rPr>
              <w:t>ixed Assets</w:t>
            </w:r>
          </w:p>
        </w:tc>
        <w:tc>
          <w:tcPr>
            <w:tcW w:w="1613" w:type="dxa"/>
            <w:tcBorders>
              <w:top w:val="nil"/>
              <w:left w:val="nil"/>
              <w:bottom w:val="single" w:sz="7" w:space="0" w:color="000000"/>
              <w:right w:val="single" w:sz="7" w:space="0" w:color="000000"/>
            </w:tcBorders>
            <w:shd w:val="clear" w:color="auto" w:fill="auto"/>
            <w:tcMar>
              <w:top w:w="0" w:type="dxa"/>
              <w:bottom w:w="0" w:type="dxa"/>
            </w:tcMar>
          </w:tcPr>
          <w:p w:rsidR="00DC1600" w:rsidRPr="007146D0" w:rsidRDefault="00D54F4A" w:rsidP="00BE0043">
            <w:pPr>
              <w:pStyle w:val="Normal1"/>
              <w:spacing w:line="360" w:lineRule="auto"/>
              <w:rPr>
                <w:lang w:val="en-GB"/>
              </w:rPr>
            </w:pPr>
            <w:r w:rsidRPr="007146D0">
              <w:rPr>
                <w:lang w:val="en-GB"/>
              </w:rPr>
              <w:t>Revenue</w:t>
            </w:r>
          </w:p>
        </w:tc>
        <w:tc>
          <w:tcPr>
            <w:tcW w:w="997"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45,811</w:t>
            </w:r>
          </w:p>
        </w:tc>
        <w:tc>
          <w:tcPr>
            <w:tcW w:w="990"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44,351</w:t>
            </w:r>
          </w:p>
        </w:tc>
        <w:tc>
          <w:tcPr>
            <w:tcW w:w="1008"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37,414</w:t>
            </w:r>
          </w:p>
        </w:tc>
        <w:tc>
          <w:tcPr>
            <w:tcW w:w="1127"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26,617</w:t>
            </w:r>
          </w:p>
        </w:tc>
        <w:tc>
          <w:tcPr>
            <w:tcW w:w="1127"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24,384</w:t>
            </w:r>
          </w:p>
        </w:tc>
      </w:tr>
      <w:tr w:rsidR="00DC1600" w:rsidRPr="007146D0" w:rsidTr="003C4357">
        <w:trPr>
          <w:cantSplit/>
          <w:trHeight w:val="975"/>
          <w:tblHeader/>
          <w:jc w:val="center"/>
        </w:trPr>
        <w:tc>
          <w:tcPr>
            <w:tcW w:w="198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283"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6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Fixed asset</w:t>
            </w:r>
          </w:p>
        </w:tc>
        <w:tc>
          <w:tcPr>
            <w:tcW w:w="99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9,402</w:t>
            </w:r>
          </w:p>
        </w:tc>
        <w:tc>
          <w:tcPr>
            <w:tcW w:w="99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8,507</w:t>
            </w:r>
          </w:p>
        </w:tc>
        <w:tc>
          <w:tcPr>
            <w:tcW w:w="1008"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9,183</w:t>
            </w:r>
          </w:p>
        </w:tc>
        <w:tc>
          <w:tcPr>
            <w:tcW w:w="112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8,251</w:t>
            </w:r>
          </w:p>
        </w:tc>
        <w:tc>
          <w:tcPr>
            <w:tcW w:w="1127"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C1600" w:rsidP="00BE0043">
            <w:pPr>
              <w:pStyle w:val="Normal1"/>
              <w:spacing w:line="360" w:lineRule="auto"/>
              <w:rPr>
                <w:lang w:val="en-GB"/>
              </w:rPr>
            </w:pPr>
          </w:p>
          <w:p w:rsidR="00DC1600" w:rsidRPr="007146D0" w:rsidRDefault="00D54F4A" w:rsidP="00BE0043">
            <w:pPr>
              <w:pStyle w:val="Normal1"/>
              <w:spacing w:line="360" w:lineRule="auto"/>
              <w:rPr>
                <w:lang w:val="en-GB"/>
              </w:rPr>
            </w:pPr>
            <w:r w:rsidRPr="007146D0">
              <w:rPr>
                <w:lang w:val="en-GB"/>
              </w:rPr>
              <w:t>7,688</w:t>
            </w:r>
          </w:p>
        </w:tc>
      </w:tr>
      <w:tr w:rsidR="00DC1600" w:rsidRPr="007146D0" w:rsidTr="003C4357">
        <w:trPr>
          <w:cantSplit/>
          <w:trHeight w:val="1335"/>
          <w:tblHeader/>
          <w:jc w:val="center"/>
        </w:trPr>
        <w:tc>
          <w:tcPr>
            <w:tcW w:w="1980" w:type="dxa"/>
            <w:vMerge/>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283" w:type="dxa"/>
            <w:vMerge/>
            <w:tcBorders>
              <w:top w:val="nil"/>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6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Fixed asset turnover</w:t>
            </w:r>
          </w:p>
        </w:tc>
        <w:tc>
          <w:tcPr>
            <w:tcW w:w="99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1778</w:t>
            </w:r>
          </w:p>
        </w:tc>
        <w:tc>
          <w:tcPr>
            <w:tcW w:w="99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1903</w:t>
            </w:r>
          </w:p>
        </w:tc>
        <w:tc>
          <w:tcPr>
            <w:tcW w:w="1008"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1487</w:t>
            </w:r>
          </w:p>
        </w:tc>
        <w:tc>
          <w:tcPr>
            <w:tcW w:w="112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1177</w:t>
            </w:r>
          </w:p>
        </w:tc>
        <w:tc>
          <w:tcPr>
            <w:tcW w:w="1127"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1158</w:t>
            </w:r>
            <w:r w:rsidR="005D7847" w:rsidRPr="007146D0">
              <w:rPr>
                <w:b/>
                <w:i/>
                <w:lang w:val="en-GB"/>
              </w:rPr>
              <w:t>”</w:t>
            </w:r>
          </w:p>
        </w:tc>
      </w:tr>
    </w:tbl>
    <w:p w:rsidR="00DC1600" w:rsidRPr="007146D0" w:rsidRDefault="00D54F4A" w:rsidP="00BE0043">
      <w:pPr>
        <w:pStyle w:val="Normal1"/>
        <w:spacing w:line="360" w:lineRule="auto"/>
        <w:jc w:val="center"/>
        <w:rPr>
          <w:b/>
          <w:lang w:val="en-GB"/>
        </w:rPr>
      </w:pPr>
      <w:r w:rsidRPr="007146D0">
        <w:rPr>
          <w:b/>
          <w:lang w:val="en-GB"/>
        </w:rPr>
        <w:t xml:space="preserve">Table </w:t>
      </w:r>
      <w:r w:rsidR="00353EF8" w:rsidRPr="007146D0">
        <w:rPr>
          <w:b/>
          <w:lang w:val="en-GB"/>
        </w:rPr>
        <w:t>4</w:t>
      </w:r>
      <w:r w:rsidRPr="007146D0">
        <w:rPr>
          <w:b/>
          <w:lang w:val="en-GB"/>
        </w:rPr>
        <w:t xml:space="preserve">: Efficiency ratios </w:t>
      </w:r>
    </w:p>
    <w:p w:rsidR="00DC1600" w:rsidRPr="007146D0" w:rsidRDefault="00D54F4A" w:rsidP="00BE0043">
      <w:pPr>
        <w:pStyle w:val="Normal1"/>
        <w:spacing w:line="360" w:lineRule="auto"/>
        <w:jc w:val="center"/>
        <w:rPr>
          <w:lang w:val="en-GB"/>
        </w:rPr>
      </w:pPr>
      <w:r w:rsidRPr="007146D0">
        <w:rPr>
          <w:lang w:val="en-GB"/>
        </w:rPr>
        <w:t>(Source: Excel sheet)</w:t>
      </w:r>
    </w:p>
    <w:p w:rsidR="00DC1600" w:rsidRPr="007146D0" w:rsidRDefault="00D54F4A" w:rsidP="00BE0043">
      <w:pPr>
        <w:pStyle w:val="Normal1"/>
        <w:spacing w:line="360" w:lineRule="auto"/>
        <w:rPr>
          <w:lang w:val="en-GB"/>
        </w:rPr>
      </w:pPr>
      <w:r w:rsidRPr="007146D0">
        <w:rPr>
          <w:lang w:val="en-GB"/>
        </w:rPr>
        <w:t xml:space="preserve">Asset utilisation practice within the company for generating revenue is highlighted in the above table based on total assets and fixed assets turnover. It has been stated by Patin </w:t>
      </w:r>
      <w:r w:rsidRPr="007146D0">
        <w:rPr>
          <w:i/>
          <w:lang w:val="en-GB"/>
        </w:rPr>
        <w:t xml:space="preserve">et al. </w:t>
      </w:r>
      <w:r w:rsidRPr="007146D0">
        <w:rPr>
          <w:lang w:val="en-GB"/>
        </w:rPr>
        <w:t xml:space="preserve">(2020), that asset turnover shows internal business practices within an organisation in terms of using assets to </w:t>
      </w:r>
      <w:r w:rsidRPr="007146D0">
        <w:rPr>
          <w:lang w:val="en-GB"/>
        </w:rPr>
        <w:lastRenderedPageBreak/>
        <w:t xml:space="preserve">maximise sales. Asset turnover of AstraZeneca was valued at 0.36 in 2021 which increased to 0.45 in 2023, although it is not satisfactory as with a high assets value it generated a low sale throughout the years. Alongside this, fixed assets of AstraZeneca amounted to $9,402 million in 2023 while sales were valued at $45811 million (Astrazeneca, 2024). The fixed assets turnover was valued at 1778 in 2023 which represents a satisfactory use of available fixed assets for making revenue.         </w:t>
      </w:r>
    </w:p>
    <w:p w:rsidR="00DC1600" w:rsidRPr="007146D0" w:rsidRDefault="00D54F4A" w:rsidP="00BE0043">
      <w:pPr>
        <w:pStyle w:val="Normal1"/>
        <w:spacing w:line="360" w:lineRule="auto"/>
        <w:rPr>
          <w:lang w:val="en-GB"/>
        </w:rPr>
      </w:pPr>
      <w:r w:rsidRPr="007146D0">
        <w:rPr>
          <w:b/>
          <w:i/>
          <w:lang w:val="en-GB"/>
        </w:rPr>
        <w:t>Leverage:</w:t>
      </w:r>
    </w:p>
    <w:tbl>
      <w:tblPr>
        <w:tblStyle w:val="a2"/>
        <w:tblW w:w="10170" w:type="dxa"/>
        <w:jc w:val="center"/>
        <w:tblInd w:w="-540" w:type="dxa"/>
        <w:tblBorders>
          <w:top w:val="nil"/>
          <w:left w:val="nil"/>
          <w:bottom w:val="nil"/>
          <w:right w:val="nil"/>
          <w:insideH w:val="nil"/>
          <w:insideV w:val="nil"/>
        </w:tblBorders>
        <w:tblLayout w:type="fixed"/>
        <w:tblLook w:val="0600"/>
      </w:tblPr>
      <w:tblGrid>
        <w:gridCol w:w="1620"/>
        <w:gridCol w:w="1710"/>
        <w:gridCol w:w="1980"/>
        <w:gridCol w:w="900"/>
        <w:gridCol w:w="1113"/>
        <w:gridCol w:w="1002"/>
        <w:gridCol w:w="900"/>
        <w:gridCol w:w="945"/>
      </w:tblGrid>
      <w:tr w:rsidR="00DC1600" w:rsidRPr="007146D0" w:rsidTr="003C4357">
        <w:trPr>
          <w:cantSplit/>
          <w:trHeight w:val="615"/>
          <w:tblHeader/>
          <w:jc w:val="center"/>
        </w:trPr>
        <w:tc>
          <w:tcPr>
            <w:tcW w:w="162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vAlign w:val="bottom"/>
          </w:tcPr>
          <w:p w:rsidR="00DC1600" w:rsidRPr="007146D0" w:rsidRDefault="00DC1600" w:rsidP="00BE0043">
            <w:pPr>
              <w:pStyle w:val="Normal1"/>
              <w:spacing w:line="360" w:lineRule="auto"/>
              <w:rPr>
                <w:b/>
                <w:i/>
                <w:lang w:val="en-GB"/>
              </w:rPr>
            </w:pPr>
          </w:p>
        </w:tc>
        <w:tc>
          <w:tcPr>
            <w:tcW w:w="171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5D7847" w:rsidP="00BE0043">
            <w:pPr>
              <w:pStyle w:val="Normal1"/>
              <w:spacing w:line="360" w:lineRule="auto"/>
              <w:rPr>
                <w:b/>
                <w:lang w:val="en-GB"/>
              </w:rPr>
            </w:pPr>
            <w:r w:rsidRPr="007146D0">
              <w:rPr>
                <w:b/>
                <w:lang w:val="en-GB"/>
              </w:rPr>
              <w:t>“</w:t>
            </w:r>
            <w:r w:rsidR="00D54F4A" w:rsidRPr="007146D0">
              <w:rPr>
                <w:b/>
                <w:lang w:val="en-GB"/>
              </w:rPr>
              <w:t>Formula</w:t>
            </w:r>
          </w:p>
        </w:tc>
        <w:tc>
          <w:tcPr>
            <w:tcW w:w="1980"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year</w:t>
            </w:r>
          </w:p>
        </w:tc>
        <w:tc>
          <w:tcPr>
            <w:tcW w:w="900" w:type="dxa"/>
            <w:tcBorders>
              <w:top w:val="single" w:sz="7" w:space="0" w:color="000000"/>
              <w:left w:val="nil"/>
              <w:bottom w:val="single" w:sz="4"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2023</w:t>
            </w:r>
          </w:p>
        </w:tc>
        <w:tc>
          <w:tcPr>
            <w:tcW w:w="1113"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2022</w:t>
            </w:r>
          </w:p>
        </w:tc>
        <w:tc>
          <w:tcPr>
            <w:tcW w:w="1002"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2021</w:t>
            </w:r>
          </w:p>
        </w:tc>
        <w:tc>
          <w:tcPr>
            <w:tcW w:w="90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b/>
                <w:i/>
                <w:lang w:val="en-GB"/>
              </w:rPr>
            </w:pPr>
            <w:r w:rsidRPr="007146D0">
              <w:rPr>
                <w:b/>
                <w:i/>
                <w:lang w:val="en-GB"/>
              </w:rPr>
              <w:t>2020</w:t>
            </w:r>
          </w:p>
        </w:tc>
        <w:tc>
          <w:tcPr>
            <w:tcW w:w="945" w:type="dxa"/>
            <w:tcBorders>
              <w:top w:val="single" w:sz="7" w:space="0" w:color="000000"/>
              <w:left w:val="nil"/>
              <w:bottom w:val="single" w:sz="7"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2019</w:t>
            </w:r>
          </w:p>
        </w:tc>
      </w:tr>
      <w:tr w:rsidR="00DC1600" w:rsidRPr="007146D0" w:rsidTr="003C4357">
        <w:trPr>
          <w:cantSplit/>
          <w:trHeight w:val="615"/>
          <w:tblHeader/>
          <w:jc w:val="center"/>
        </w:trPr>
        <w:tc>
          <w:tcPr>
            <w:tcW w:w="1620" w:type="dxa"/>
            <w:vMerge w:val="restart"/>
            <w:tcBorders>
              <w:top w:val="nil"/>
              <w:left w:val="single" w:sz="7" w:space="0" w:color="000000"/>
              <w:bottom w:val="nil"/>
              <w:right w:val="single" w:sz="7" w:space="0" w:color="000000"/>
            </w:tcBorders>
            <w:shd w:val="clear" w:color="auto" w:fill="E6B9B8"/>
            <w:tcMar>
              <w:top w:w="0" w:type="dxa"/>
              <w:left w:w="100" w:type="dxa"/>
              <w:bottom w:w="0" w:type="dxa"/>
              <w:right w:w="100" w:type="dxa"/>
            </w:tcMar>
          </w:tcPr>
          <w:p w:rsidR="00DC1600" w:rsidRPr="007146D0" w:rsidRDefault="00D54F4A" w:rsidP="00BE0043">
            <w:pPr>
              <w:pStyle w:val="Normal1"/>
              <w:spacing w:line="360" w:lineRule="auto"/>
              <w:rPr>
                <w:b/>
                <w:lang w:val="en-GB"/>
              </w:rPr>
            </w:pPr>
            <w:r w:rsidRPr="007146D0">
              <w:rPr>
                <w:b/>
                <w:lang w:val="en-GB"/>
              </w:rPr>
              <w:t>Debt to equity</w:t>
            </w:r>
          </w:p>
        </w:tc>
        <w:tc>
          <w:tcPr>
            <w:tcW w:w="1710" w:type="dxa"/>
            <w:vMerge w:val="restart"/>
            <w:tcBorders>
              <w:top w:val="nil"/>
              <w:left w:val="nil"/>
              <w:bottom w:val="nil"/>
              <w:right w:val="single" w:sz="7" w:space="0" w:color="000000"/>
            </w:tcBorders>
            <w:tcMar>
              <w:top w:w="0" w:type="dxa"/>
              <w:left w:w="100" w:type="dxa"/>
              <w:bottom w:w="0" w:type="dxa"/>
              <w:right w:w="100" w:type="dxa"/>
            </w:tcMar>
          </w:tcPr>
          <w:p w:rsidR="00DC1600" w:rsidRPr="007146D0" w:rsidRDefault="00D54F4A" w:rsidP="00BE0043">
            <w:pPr>
              <w:pStyle w:val="Normal1"/>
              <w:spacing w:line="360" w:lineRule="auto"/>
              <w:rPr>
                <w:lang w:val="en-GB"/>
              </w:rPr>
            </w:pPr>
            <w:r w:rsidRPr="007146D0">
              <w:rPr>
                <w:lang w:val="en-GB"/>
              </w:rPr>
              <w:t>Total debt</w:t>
            </w:r>
            <w:r w:rsidR="00144981" w:rsidRPr="007146D0">
              <w:rPr>
                <w:lang w:val="en-GB"/>
              </w:rPr>
              <w:t xml:space="preserve"> /</w:t>
            </w:r>
            <w:r w:rsidRPr="007146D0">
              <w:rPr>
                <w:lang w:val="en-GB"/>
              </w:rPr>
              <w:br/>
              <w:t xml:space="preserve"> Total equity</w:t>
            </w:r>
            <w:r w:rsidRPr="007146D0">
              <w:rPr>
                <w:lang w:val="en-GB"/>
              </w:rPr>
              <w:br/>
            </w:r>
          </w:p>
        </w:tc>
        <w:tc>
          <w:tcPr>
            <w:tcW w:w="1980" w:type="dxa"/>
            <w:tcBorders>
              <w:top w:val="nil"/>
              <w:left w:val="nil"/>
              <w:bottom w:val="single" w:sz="7" w:space="0" w:color="000000"/>
              <w:right w:val="single" w:sz="4"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debt</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31,411</w:t>
            </w:r>
          </w:p>
        </w:tc>
        <w:tc>
          <w:tcPr>
            <w:tcW w:w="1113" w:type="dxa"/>
            <w:tcBorders>
              <w:top w:val="nil"/>
              <w:left w:val="single" w:sz="4" w:space="0" w:color="000000"/>
              <w:bottom w:val="single" w:sz="4"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33,132</w:t>
            </w:r>
          </w:p>
        </w:tc>
        <w:tc>
          <w:tcPr>
            <w:tcW w:w="1002" w:type="dxa"/>
            <w:tcBorders>
              <w:top w:val="nil"/>
              <w:left w:val="nil"/>
              <w:bottom w:val="single" w:sz="4"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43,482</w:t>
            </w:r>
          </w:p>
        </w:tc>
        <w:tc>
          <w:tcPr>
            <w:tcW w:w="900" w:type="dxa"/>
            <w:tcBorders>
              <w:top w:val="nil"/>
              <w:left w:val="nil"/>
              <w:bottom w:val="single" w:sz="4"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30,784</w:t>
            </w:r>
          </w:p>
        </w:tc>
        <w:tc>
          <w:tcPr>
            <w:tcW w:w="945" w:type="dxa"/>
            <w:tcBorders>
              <w:top w:val="nil"/>
              <w:left w:val="nil"/>
              <w:bottom w:val="single" w:sz="4" w:space="0" w:color="000000"/>
              <w:right w:val="single" w:sz="7" w:space="0" w:color="000000"/>
            </w:tcBorders>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28,664</w:t>
            </w:r>
          </w:p>
        </w:tc>
      </w:tr>
      <w:tr w:rsidR="00DC1600" w:rsidRPr="007146D0" w:rsidTr="003C4357">
        <w:trPr>
          <w:cantSplit/>
          <w:trHeight w:val="615"/>
          <w:tblHeader/>
          <w:jc w:val="center"/>
        </w:trPr>
        <w:tc>
          <w:tcPr>
            <w:tcW w:w="1620" w:type="dxa"/>
            <w:vMerge/>
            <w:tcBorders>
              <w:top w:val="nil"/>
              <w:left w:val="single" w:sz="7" w:space="0" w:color="000000"/>
              <w:bottom w:val="nil"/>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710" w:type="dxa"/>
            <w:vMerge/>
            <w:tcBorders>
              <w:top w:val="nil"/>
              <w:left w:val="nil"/>
              <w:bottom w:val="nil"/>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980" w:type="dxa"/>
            <w:tcBorders>
              <w:top w:val="nil"/>
              <w:left w:val="nil"/>
              <w:bottom w:val="single" w:sz="7"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equity</w:t>
            </w:r>
          </w:p>
        </w:tc>
        <w:tc>
          <w:tcPr>
            <w:tcW w:w="90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39,166</w:t>
            </w:r>
          </w:p>
        </w:tc>
        <w:tc>
          <w:tcPr>
            <w:tcW w:w="1113"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37,058</w:t>
            </w:r>
          </w:p>
        </w:tc>
        <w:tc>
          <w:tcPr>
            <w:tcW w:w="1002"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39,287</w:t>
            </w:r>
          </w:p>
        </w:tc>
        <w:tc>
          <w:tcPr>
            <w:tcW w:w="900"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15,638</w:t>
            </w:r>
          </w:p>
        </w:tc>
        <w:tc>
          <w:tcPr>
            <w:tcW w:w="945" w:type="dxa"/>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14,596</w:t>
            </w:r>
          </w:p>
        </w:tc>
      </w:tr>
      <w:tr w:rsidR="00DC1600" w:rsidRPr="007146D0" w:rsidTr="003C4357">
        <w:trPr>
          <w:cantSplit/>
          <w:trHeight w:val="615"/>
          <w:tblHeader/>
          <w:jc w:val="center"/>
        </w:trPr>
        <w:tc>
          <w:tcPr>
            <w:tcW w:w="1620" w:type="dxa"/>
            <w:vMerge/>
            <w:tcBorders>
              <w:top w:val="nil"/>
              <w:left w:val="single" w:sz="7" w:space="0" w:color="000000"/>
              <w:bottom w:val="nil"/>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710" w:type="dxa"/>
            <w:vMerge/>
            <w:tcBorders>
              <w:top w:val="nil"/>
              <w:left w:val="nil"/>
              <w:bottom w:val="nil"/>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9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Debt Equity ratio</w:t>
            </w:r>
          </w:p>
        </w:tc>
        <w:tc>
          <w:tcPr>
            <w:tcW w:w="900"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0.80</w:t>
            </w:r>
          </w:p>
        </w:tc>
        <w:tc>
          <w:tcPr>
            <w:tcW w:w="1113"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0.89</w:t>
            </w:r>
          </w:p>
        </w:tc>
        <w:tc>
          <w:tcPr>
            <w:tcW w:w="1002"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1.11</w:t>
            </w:r>
          </w:p>
        </w:tc>
        <w:tc>
          <w:tcPr>
            <w:tcW w:w="900"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1.97</w:t>
            </w:r>
          </w:p>
        </w:tc>
        <w:tc>
          <w:tcPr>
            <w:tcW w:w="945" w:type="dxa"/>
            <w:tcBorders>
              <w:top w:val="single" w:sz="4" w:space="0" w:color="000000"/>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1.96</w:t>
            </w:r>
          </w:p>
        </w:tc>
      </w:tr>
      <w:tr w:rsidR="00DC1600" w:rsidRPr="007146D0" w:rsidTr="003C4357">
        <w:trPr>
          <w:cantSplit/>
          <w:trHeight w:val="615"/>
          <w:tblHeader/>
          <w:jc w:val="center"/>
        </w:trPr>
        <w:tc>
          <w:tcPr>
            <w:tcW w:w="1620" w:type="dxa"/>
            <w:vMerge w:val="restart"/>
            <w:tcBorders>
              <w:top w:val="single" w:sz="7" w:space="0" w:color="000000"/>
              <w:left w:val="single" w:sz="7" w:space="0" w:color="000000"/>
              <w:bottom w:val="single" w:sz="7" w:space="0" w:color="000000"/>
              <w:right w:val="single" w:sz="7" w:space="0" w:color="000000"/>
            </w:tcBorders>
            <w:shd w:val="clear" w:color="auto" w:fill="E6B9B8"/>
            <w:tcMar>
              <w:top w:w="0" w:type="dxa"/>
              <w:bottom w:w="0" w:type="dxa"/>
            </w:tcMar>
          </w:tcPr>
          <w:p w:rsidR="00DC1600" w:rsidRPr="007146D0" w:rsidRDefault="00D54F4A" w:rsidP="00BE0043">
            <w:pPr>
              <w:pStyle w:val="Normal1"/>
              <w:spacing w:line="360" w:lineRule="auto"/>
              <w:rPr>
                <w:b/>
                <w:lang w:val="en-GB"/>
              </w:rPr>
            </w:pPr>
            <w:r w:rsidRPr="007146D0">
              <w:rPr>
                <w:b/>
                <w:lang w:val="en-GB"/>
              </w:rPr>
              <w:t xml:space="preserve"> Debt to capital</w:t>
            </w:r>
          </w:p>
        </w:tc>
        <w:tc>
          <w:tcPr>
            <w:tcW w:w="1710" w:type="dxa"/>
            <w:vMerge w:val="restart"/>
            <w:tcBorders>
              <w:top w:val="single" w:sz="7" w:space="0" w:color="000000"/>
              <w:left w:val="single" w:sz="7" w:space="0" w:color="000000"/>
              <w:bottom w:val="single" w:sz="7" w:space="0" w:color="000000"/>
              <w:right w:val="single" w:sz="7" w:space="0" w:color="000000"/>
            </w:tcBorders>
            <w:tcMar>
              <w:top w:w="0" w:type="dxa"/>
              <w:bottom w:w="0" w:type="dxa"/>
            </w:tcMar>
          </w:tcPr>
          <w:p w:rsidR="00DC1600" w:rsidRPr="007146D0" w:rsidRDefault="00D54F4A" w:rsidP="00BE0043">
            <w:pPr>
              <w:pStyle w:val="Normal1"/>
              <w:spacing w:line="360" w:lineRule="auto"/>
              <w:rPr>
                <w:lang w:val="en-GB"/>
              </w:rPr>
            </w:pPr>
            <w:r w:rsidRPr="007146D0">
              <w:rPr>
                <w:lang w:val="en-GB"/>
              </w:rPr>
              <w:t>Total debt</w:t>
            </w:r>
            <w:r w:rsidRPr="007146D0">
              <w:rPr>
                <w:lang w:val="en-GB"/>
              </w:rPr>
              <w:br/>
            </w:r>
            <w:r w:rsidR="00144981" w:rsidRPr="007146D0">
              <w:rPr>
                <w:lang w:val="en-GB"/>
              </w:rPr>
              <w:t xml:space="preserve">/ </w:t>
            </w:r>
            <w:r w:rsidRPr="007146D0">
              <w:rPr>
                <w:lang w:val="en-GB"/>
              </w:rPr>
              <w:t>Total equity</w:t>
            </w:r>
            <w:r w:rsidR="003C4357" w:rsidRPr="007146D0">
              <w:rPr>
                <w:lang w:val="en-GB"/>
              </w:rPr>
              <w:t xml:space="preserve"> </w:t>
            </w:r>
            <w:r w:rsidRPr="007146D0">
              <w:rPr>
                <w:lang w:val="en-GB"/>
              </w:rPr>
              <w:t>+</w:t>
            </w:r>
            <w:r w:rsidR="003C4357" w:rsidRPr="007146D0">
              <w:rPr>
                <w:lang w:val="en-GB"/>
              </w:rPr>
              <w:t xml:space="preserve"> </w:t>
            </w:r>
            <w:r w:rsidRPr="007146D0">
              <w:rPr>
                <w:lang w:val="en-GB"/>
              </w:rPr>
              <w:t>total debt</w:t>
            </w:r>
          </w:p>
        </w:tc>
        <w:tc>
          <w:tcPr>
            <w:tcW w:w="19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debt</w:t>
            </w:r>
          </w:p>
        </w:tc>
        <w:tc>
          <w:tcPr>
            <w:tcW w:w="900"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31,411</w:t>
            </w:r>
          </w:p>
        </w:tc>
        <w:tc>
          <w:tcPr>
            <w:tcW w:w="1113"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33,132</w:t>
            </w:r>
          </w:p>
        </w:tc>
        <w:tc>
          <w:tcPr>
            <w:tcW w:w="1002"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43,482</w:t>
            </w:r>
          </w:p>
        </w:tc>
        <w:tc>
          <w:tcPr>
            <w:tcW w:w="900"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30,784</w:t>
            </w:r>
          </w:p>
        </w:tc>
        <w:tc>
          <w:tcPr>
            <w:tcW w:w="945" w:type="dxa"/>
            <w:tcBorders>
              <w:top w:val="nil"/>
              <w:left w:val="nil"/>
              <w:bottom w:val="single" w:sz="7" w:space="0" w:color="000000"/>
              <w:right w:val="single" w:sz="7" w:space="0" w:color="000000"/>
            </w:tcBorders>
            <w:shd w:val="clear" w:color="auto" w:fill="auto"/>
            <w:tcMar>
              <w:top w:w="0" w:type="dxa"/>
              <w:bottom w:w="0" w:type="dxa"/>
            </w:tcMar>
            <w:vAlign w:val="bottom"/>
          </w:tcPr>
          <w:p w:rsidR="00DC1600" w:rsidRPr="007146D0" w:rsidRDefault="00D54F4A" w:rsidP="00BE0043">
            <w:pPr>
              <w:pStyle w:val="Normal1"/>
              <w:spacing w:line="360" w:lineRule="auto"/>
              <w:rPr>
                <w:lang w:val="en-GB"/>
              </w:rPr>
            </w:pPr>
            <w:r w:rsidRPr="007146D0">
              <w:rPr>
                <w:lang w:val="en-GB"/>
              </w:rPr>
              <w:t>28,664</w:t>
            </w:r>
          </w:p>
        </w:tc>
      </w:tr>
      <w:tr w:rsidR="00DC1600" w:rsidRPr="007146D0" w:rsidTr="003C4357">
        <w:trPr>
          <w:cantSplit/>
          <w:trHeight w:val="615"/>
          <w:tblHeader/>
          <w:jc w:val="center"/>
        </w:trPr>
        <w:tc>
          <w:tcPr>
            <w:tcW w:w="1620" w:type="dxa"/>
            <w:vMerge/>
            <w:tcBorders>
              <w:top w:val="single" w:sz="7" w:space="0" w:color="000000"/>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710" w:type="dxa"/>
            <w:vMerge/>
            <w:tcBorders>
              <w:top w:val="single" w:sz="7" w:space="0" w:color="000000"/>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9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Total equity</w:t>
            </w:r>
          </w:p>
        </w:tc>
        <w:tc>
          <w:tcPr>
            <w:tcW w:w="9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39,166</w:t>
            </w:r>
          </w:p>
        </w:tc>
        <w:tc>
          <w:tcPr>
            <w:tcW w:w="1113"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37,058</w:t>
            </w:r>
          </w:p>
        </w:tc>
        <w:tc>
          <w:tcPr>
            <w:tcW w:w="1002"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39,287</w:t>
            </w:r>
          </w:p>
        </w:tc>
        <w:tc>
          <w:tcPr>
            <w:tcW w:w="90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15,638</w:t>
            </w:r>
          </w:p>
        </w:tc>
        <w:tc>
          <w:tcPr>
            <w:tcW w:w="945"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lang w:val="en-GB"/>
              </w:rPr>
            </w:pPr>
            <w:r w:rsidRPr="007146D0">
              <w:rPr>
                <w:lang w:val="en-GB"/>
              </w:rPr>
              <w:t>14,596</w:t>
            </w:r>
          </w:p>
        </w:tc>
      </w:tr>
      <w:tr w:rsidR="00DC1600" w:rsidRPr="007146D0" w:rsidTr="003C4357">
        <w:trPr>
          <w:cantSplit/>
          <w:trHeight w:val="615"/>
          <w:tblHeader/>
          <w:jc w:val="center"/>
        </w:trPr>
        <w:tc>
          <w:tcPr>
            <w:tcW w:w="1620" w:type="dxa"/>
            <w:vMerge/>
            <w:tcBorders>
              <w:top w:val="single" w:sz="7" w:space="0" w:color="000000"/>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710" w:type="dxa"/>
            <w:vMerge/>
            <w:tcBorders>
              <w:top w:val="single" w:sz="7" w:space="0" w:color="000000"/>
              <w:left w:val="nil"/>
              <w:bottom w:val="single" w:sz="7" w:space="0" w:color="000000"/>
              <w:right w:val="single" w:sz="7" w:space="0" w:color="000000"/>
            </w:tcBorders>
            <w:shd w:val="clear" w:color="auto" w:fill="auto"/>
            <w:tcMar>
              <w:top w:w="100" w:type="dxa"/>
              <w:left w:w="100" w:type="dxa"/>
              <w:bottom w:w="100" w:type="dxa"/>
              <w:right w:w="100" w:type="dxa"/>
            </w:tcMar>
          </w:tcPr>
          <w:p w:rsidR="00DC1600" w:rsidRPr="007146D0" w:rsidRDefault="00DC1600" w:rsidP="00BE0043">
            <w:pPr>
              <w:pStyle w:val="Normal1"/>
              <w:spacing w:line="360" w:lineRule="auto"/>
              <w:rPr>
                <w:lang w:val="en-GB"/>
              </w:rPr>
            </w:pPr>
          </w:p>
        </w:tc>
        <w:tc>
          <w:tcPr>
            <w:tcW w:w="1980" w:type="dxa"/>
            <w:tcBorders>
              <w:top w:val="nil"/>
              <w:left w:val="nil"/>
              <w:bottom w:val="single" w:sz="7" w:space="0" w:color="000000"/>
              <w:right w:val="single" w:sz="7" w:space="0" w:color="000000"/>
            </w:tcBorders>
            <w:shd w:val="clear" w:color="auto" w:fill="auto"/>
            <w:tcMar>
              <w:top w:w="0" w:type="dxa"/>
              <w:left w:w="100" w:type="dxa"/>
              <w:bottom w:w="0" w:type="dxa"/>
              <w:right w:w="100" w:type="dxa"/>
            </w:tcMar>
            <w:vAlign w:val="bottom"/>
          </w:tcPr>
          <w:p w:rsidR="00DC1600" w:rsidRPr="007146D0" w:rsidRDefault="00D54F4A" w:rsidP="00BE0043">
            <w:pPr>
              <w:pStyle w:val="Normal1"/>
              <w:spacing w:line="360" w:lineRule="auto"/>
              <w:rPr>
                <w:b/>
                <w:lang w:val="en-GB"/>
              </w:rPr>
            </w:pPr>
            <w:r w:rsidRPr="007146D0">
              <w:rPr>
                <w:b/>
                <w:lang w:val="en-GB"/>
              </w:rPr>
              <w:t xml:space="preserve"> Debt to capital</w:t>
            </w:r>
          </w:p>
        </w:tc>
        <w:tc>
          <w:tcPr>
            <w:tcW w:w="90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0.45</w:t>
            </w:r>
          </w:p>
        </w:tc>
        <w:tc>
          <w:tcPr>
            <w:tcW w:w="1113"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0.47</w:t>
            </w:r>
          </w:p>
        </w:tc>
        <w:tc>
          <w:tcPr>
            <w:tcW w:w="1002"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0.53</w:t>
            </w:r>
          </w:p>
        </w:tc>
        <w:tc>
          <w:tcPr>
            <w:tcW w:w="900"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0.66</w:t>
            </w:r>
          </w:p>
        </w:tc>
        <w:tc>
          <w:tcPr>
            <w:tcW w:w="945" w:type="dxa"/>
            <w:tcBorders>
              <w:top w:val="nil"/>
              <w:left w:val="nil"/>
              <w:bottom w:val="single" w:sz="7" w:space="0" w:color="000000"/>
              <w:right w:val="single" w:sz="7" w:space="0" w:color="000000"/>
            </w:tcBorders>
            <w:shd w:val="clear" w:color="auto" w:fill="FAC090"/>
            <w:tcMar>
              <w:top w:w="0" w:type="dxa"/>
              <w:left w:w="100" w:type="dxa"/>
              <w:bottom w:w="0" w:type="dxa"/>
              <w:right w:w="100" w:type="dxa"/>
            </w:tcMar>
            <w:vAlign w:val="bottom"/>
          </w:tcPr>
          <w:p w:rsidR="00DC1600" w:rsidRPr="007146D0" w:rsidRDefault="00D54F4A" w:rsidP="00BE0043">
            <w:pPr>
              <w:pStyle w:val="Normal1"/>
              <w:spacing w:line="360" w:lineRule="auto"/>
              <w:rPr>
                <w:b/>
                <w:i/>
                <w:lang w:val="en-GB"/>
              </w:rPr>
            </w:pPr>
            <w:r w:rsidRPr="007146D0">
              <w:rPr>
                <w:b/>
                <w:i/>
                <w:lang w:val="en-GB"/>
              </w:rPr>
              <w:t>0.66</w:t>
            </w:r>
            <w:r w:rsidR="005D7847" w:rsidRPr="007146D0">
              <w:rPr>
                <w:b/>
                <w:i/>
                <w:lang w:val="en-GB"/>
              </w:rPr>
              <w:t>”</w:t>
            </w:r>
          </w:p>
        </w:tc>
      </w:tr>
    </w:tbl>
    <w:p w:rsidR="00DC1600" w:rsidRPr="007146D0" w:rsidRDefault="00D54F4A" w:rsidP="00BE0043">
      <w:pPr>
        <w:pStyle w:val="Normal1"/>
        <w:spacing w:line="360" w:lineRule="auto"/>
        <w:jc w:val="center"/>
        <w:rPr>
          <w:b/>
          <w:lang w:val="en-GB"/>
        </w:rPr>
      </w:pPr>
      <w:r w:rsidRPr="007146D0">
        <w:rPr>
          <w:b/>
          <w:lang w:val="en-GB"/>
        </w:rPr>
        <w:t xml:space="preserve">Table </w:t>
      </w:r>
      <w:r w:rsidR="00353EF8" w:rsidRPr="007146D0">
        <w:rPr>
          <w:b/>
          <w:lang w:val="en-GB"/>
        </w:rPr>
        <w:t>5</w:t>
      </w:r>
      <w:r w:rsidRPr="007146D0">
        <w:rPr>
          <w:b/>
          <w:lang w:val="en-GB"/>
        </w:rPr>
        <w:t xml:space="preserve">: Leverage ratios </w:t>
      </w:r>
    </w:p>
    <w:p w:rsidR="00DC1600" w:rsidRPr="007146D0" w:rsidRDefault="00D54F4A" w:rsidP="00BE0043">
      <w:pPr>
        <w:pStyle w:val="Normal1"/>
        <w:spacing w:line="360" w:lineRule="auto"/>
        <w:jc w:val="center"/>
        <w:rPr>
          <w:lang w:val="en-GB"/>
        </w:rPr>
      </w:pPr>
      <w:r w:rsidRPr="007146D0">
        <w:rPr>
          <w:lang w:val="en-GB"/>
        </w:rPr>
        <w:t>(Source: Excel sheet)</w:t>
      </w:r>
    </w:p>
    <w:p w:rsidR="00B97FEE" w:rsidRPr="007146D0" w:rsidRDefault="00D54F4A" w:rsidP="00BE0043">
      <w:pPr>
        <w:pStyle w:val="Normal1"/>
        <w:spacing w:line="360" w:lineRule="auto"/>
        <w:rPr>
          <w:lang w:val="en-GB"/>
        </w:rPr>
      </w:pPr>
      <w:r w:rsidRPr="007146D0">
        <w:rPr>
          <w:lang w:val="en-GB"/>
        </w:rPr>
        <w:t xml:space="preserve">Capital structure of the company is highlighted by taking debt to equity and debt to capital into consideration. Equity and debt of AstraZeneca were valued at $15,638 and $30,784 respectively in 2020 (Astrazeneca, 2024). Debt to equity of the company was valued at 1.96 in 2019 which </w:t>
      </w:r>
      <w:r w:rsidRPr="007146D0">
        <w:rPr>
          <w:lang w:val="en-GB"/>
        </w:rPr>
        <w:lastRenderedPageBreak/>
        <w:t xml:space="preserve">increased to 1.97 in 2020 but reduced continuously in the next years. The ratio decreased to 0.80 in 2023 and 0.89 in 2022 which shows a high introduction of equity while a rapid reduction of debt. Similarly, the debt-to-capital ratio represents a minimal portion of debt in comparison to total capital. On the other hand, debt to capital of the company was valued at 0.45 in 2023 which was 0.66 in 2019, denoting major dependency on equity to meet financing requirements. The overall analysis of the leverage ratio shows the introduction of equity and a decrease in debt in the capital structure. </w:t>
      </w:r>
    </w:p>
    <w:p w:rsidR="00303F46" w:rsidRPr="007146D0" w:rsidRDefault="00303F46" w:rsidP="00BE0043">
      <w:pPr>
        <w:pStyle w:val="Heading2"/>
        <w:rPr>
          <w:lang w:val="en-US"/>
        </w:rPr>
      </w:pPr>
      <w:bookmarkStart w:id="13" w:name="_Toc175143185"/>
      <w:r w:rsidRPr="007146D0">
        <w:rPr>
          <w:lang w:val="en-US"/>
        </w:rPr>
        <w:t>Critical evaluation of the ratios calculated</w:t>
      </w:r>
      <w:bookmarkEnd w:id="13"/>
    </w:p>
    <w:p w:rsidR="00303F46" w:rsidRPr="007146D0" w:rsidRDefault="00303F46" w:rsidP="00BE0043">
      <w:pPr>
        <w:spacing w:before="0" w:after="0" w:line="360" w:lineRule="auto"/>
        <w:rPr>
          <w:lang w:val="en-US"/>
        </w:rPr>
      </w:pPr>
      <w:r w:rsidRPr="007146D0">
        <w:rPr>
          <w:b/>
          <w:bCs/>
          <w:lang w:val="en-US"/>
        </w:rPr>
        <w:t>Profitability:</w:t>
      </w:r>
    </w:p>
    <w:p w:rsidR="00303F46" w:rsidRPr="007146D0" w:rsidRDefault="00303F46" w:rsidP="00BE0043">
      <w:pPr>
        <w:spacing w:before="0" w:after="0" w:line="360" w:lineRule="auto"/>
        <w:rPr>
          <w:lang w:val="en-US"/>
        </w:rPr>
      </w:pPr>
      <w:r w:rsidRPr="007146D0">
        <w:rPr>
          <w:lang w:val="en-US"/>
        </w:rPr>
        <w:t>The company, “AstraZeneca” has taken the profitability measurement with “gross profit margin”, “operating profit margin” and “net profit margin” throughout the year. The “gross profit margin” of the company is continuously fluctuating over 5 years which implies a portion of profit was not equal or negotiated over the years. The “GPM” measures the efficiency of the business and if the margin rises, it indicates the improvement of efficiency (</w:t>
      </w:r>
      <w:r w:rsidRPr="007146D0">
        <w:rPr>
          <w:shd w:val="clear" w:color="auto" w:fill="FFFFFF"/>
          <w:lang w:val="en-US"/>
        </w:rPr>
        <w:t xml:space="preserve">Choiriyah </w:t>
      </w:r>
      <w:r w:rsidRPr="007146D0">
        <w:rPr>
          <w:i/>
          <w:iCs/>
          <w:shd w:val="clear" w:color="auto" w:fill="FFFFFF"/>
          <w:lang w:val="en-US"/>
        </w:rPr>
        <w:t>et al.</w:t>
      </w:r>
      <w:r w:rsidRPr="007146D0">
        <w:rPr>
          <w:shd w:val="clear" w:color="auto" w:fill="FFFFFF"/>
          <w:lang w:val="en-US"/>
        </w:rPr>
        <w:t xml:space="preserve"> 2020</w:t>
      </w:r>
      <w:r w:rsidRPr="007146D0">
        <w:rPr>
          <w:lang w:val="en-US"/>
        </w:rPr>
        <w:t>). “GPM” of the company is not to fluctuate much from one year to another unless the industry has been undergoing an unavoidable change that affects the “COGS” or pricing policy. </w:t>
      </w:r>
    </w:p>
    <w:p w:rsidR="005542E1" w:rsidRPr="007146D0" w:rsidRDefault="00303F46" w:rsidP="00BE0043">
      <w:pPr>
        <w:spacing w:before="0" w:after="0" w:line="360" w:lineRule="auto"/>
        <w:rPr>
          <w:lang w:val="en-US"/>
        </w:rPr>
      </w:pPr>
      <w:r w:rsidRPr="007146D0">
        <w:rPr>
          <w:lang w:val="en-US"/>
        </w:rPr>
        <w:t>The “operating profit margin” is the performance or profitability ratio that reflects the profit percentage of the company that produces from the operation before the interest charges and subtracting taxes. Larger the margin of “operating profit”, it generates more for every money in the sales that is kept as profit (</w:t>
      </w:r>
      <w:r w:rsidRPr="007146D0">
        <w:rPr>
          <w:shd w:val="clear" w:color="auto" w:fill="FFFFFF"/>
          <w:lang w:val="en-US"/>
        </w:rPr>
        <w:t>Simon, 2021</w:t>
      </w:r>
      <w:r w:rsidRPr="007146D0">
        <w:rPr>
          <w:lang w:val="en-US"/>
        </w:rPr>
        <w:t xml:space="preserve">). </w:t>
      </w:r>
    </w:p>
    <w:p w:rsidR="00303F46" w:rsidRPr="007146D0" w:rsidRDefault="005542E1" w:rsidP="00BE0043">
      <w:pPr>
        <w:spacing w:before="0" w:after="0" w:line="360" w:lineRule="auto"/>
        <w:rPr>
          <w:lang w:val="en-US"/>
        </w:rPr>
      </w:pPr>
      <w:r w:rsidRPr="007146D0">
        <w:rPr>
          <w:lang w:val="en-US"/>
        </w:rPr>
        <w:t xml:space="preserve">AstraZeneca </w:t>
      </w:r>
      <w:r w:rsidR="00303F46" w:rsidRPr="007146D0">
        <w:rPr>
          <w:lang w:val="en-US"/>
        </w:rPr>
        <w:t xml:space="preserve">has fluctuating “OPR” that tries to enlarge its profitability over 5 years. The company primarily had 12% “OPR” in 2019, but later it fluctuated and went down to 2.82% in 2021 though again went up to 18% in 2023. The “net profit margin” of the company is not very dependable that affects the revenue portion of the company. </w:t>
      </w:r>
      <w:r w:rsidR="00EA0BBD" w:rsidRPr="007146D0">
        <w:rPr>
          <w:lang w:val="en-US"/>
        </w:rPr>
        <w:t xml:space="preserve">AstraZeneca </w:t>
      </w:r>
      <w:r w:rsidR="00303F46" w:rsidRPr="007146D0">
        <w:rPr>
          <w:lang w:val="en-US"/>
        </w:rPr>
        <w:t>has to decrease the “OPR” for a favourable expense management in the company. The “NPR” is calculated after deducting the expenses of the entity from the total revenue that the company generates (</w:t>
      </w:r>
      <w:r w:rsidR="00303F46" w:rsidRPr="007146D0">
        <w:rPr>
          <w:shd w:val="clear" w:color="auto" w:fill="FFFFFF"/>
          <w:lang w:val="en-US"/>
        </w:rPr>
        <w:t>Kaya, 2022</w:t>
      </w:r>
      <w:r w:rsidR="00303F46" w:rsidRPr="007146D0">
        <w:rPr>
          <w:lang w:val="en-US"/>
        </w:rPr>
        <w:t>). Higher the “NPM” is an effective cost control that provides the goods and services at a significant level higher than its cost.</w:t>
      </w:r>
    </w:p>
    <w:p w:rsidR="00303F46" w:rsidRPr="007146D0" w:rsidRDefault="00303F46" w:rsidP="00BE0043">
      <w:pPr>
        <w:spacing w:before="0" w:after="0" w:line="360" w:lineRule="auto"/>
        <w:rPr>
          <w:lang w:val="en-US"/>
        </w:rPr>
      </w:pPr>
      <w:r w:rsidRPr="007146D0">
        <w:rPr>
          <w:b/>
          <w:bCs/>
          <w:lang w:val="en-US"/>
        </w:rPr>
        <w:t>Liquidity:</w:t>
      </w:r>
    </w:p>
    <w:p w:rsidR="00303F46" w:rsidRPr="007146D0" w:rsidRDefault="00EA0BBD" w:rsidP="00BE0043">
      <w:pPr>
        <w:spacing w:before="0" w:after="0" w:line="360" w:lineRule="auto"/>
        <w:rPr>
          <w:lang w:val="en-US"/>
        </w:rPr>
      </w:pPr>
      <w:r w:rsidRPr="007146D0">
        <w:rPr>
          <w:lang w:val="en-US"/>
        </w:rPr>
        <w:lastRenderedPageBreak/>
        <w:t>AstraZeneca</w:t>
      </w:r>
      <w:r w:rsidR="00303F46" w:rsidRPr="007146D0">
        <w:rPr>
          <w:lang w:val="en-US"/>
        </w:rPr>
        <w:t xml:space="preserve"> has determined its liquidity with “current ratio”, “quick ratio” and “cash ratio” for 5 year determinants. The “CR” measures the business capability that meets the “short-term” obligations that are due within a year (</w:t>
      </w:r>
      <w:r w:rsidR="00303F46" w:rsidRPr="007146D0">
        <w:rPr>
          <w:shd w:val="clear" w:color="auto" w:fill="FFFFFF"/>
          <w:lang w:val="en-US"/>
        </w:rPr>
        <w:t>Baruah and Panda, 2020</w:t>
      </w:r>
      <w:r w:rsidR="00303F46" w:rsidRPr="007146D0">
        <w:rPr>
          <w:lang w:val="en-US"/>
        </w:rPr>
        <w:t>). This ratio considers the total weight of current assets to total current liabilities of the firm and it has to stand between 1.2 and 2. The company has pursued this segment only in 2021 with 1.16, other than that the company did not pursue within the range which indicates the company lacks sufficient liquid assets to satisfy the “short-term liabilities. </w:t>
      </w:r>
    </w:p>
    <w:p w:rsidR="00303F46" w:rsidRPr="007146D0" w:rsidRDefault="00303F46" w:rsidP="00BE0043">
      <w:pPr>
        <w:spacing w:before="0" w:after="0" w:line="360" w:lineRule="auto"/>
        <w:rPr>
          <w:lang w:val="en-US"/>
        </w:rPr>
      </w:pPr>
      <w:r w:rsidRPr="007146D0">
        <w:rPr>
          <w:lang w:val="en-US"/>
        </w:rPr>
        <w:t>The “quick or acid test ratio” is the metric that covers the ability of the company to pay the “short-term” debt by using its assets that can quickly be converted into cash. A business that has a quick ratio</w:t>
      </w:r>
      <w:r w:rsidR="00694C6D" w:rsidRPr="007146D0">
        <w:rPr>
          <w:lang w:val="en-US"/>
        </w:rPr>
        <w:t xml:space="preserve"> of</w:t>
      </w:r>
      <w:r w:rsidRPr="007146D0">
        <w:rPr>
          <w:lang w:val="en-US"/>
        </w:rPr>
        <w:t xml:space="preserve"> less than </w:t>
      </w:r>
      <w:r w:rsidR="00154DD3" w:rsidRPr="007146D0">
        <w:rPr>
          <w:lang w:val="en-US"/>
        </w:rPr>
        <w:t>1 means that it does no</w:t>
      </w:r>
      <w:r w:rsidRPr="007146D0">
        <w:rPr>
          <w:lang w:val="en-US"/>
        </w:rPr>
        <w:t>t have enough quick assets that can meet all its “short-term” obligations (</w:t>
      </w:r>
      <w:r w:rsidRPr="007146D0">
        <w:rPr>
          <w:shd w:val="clear" w:color="auto" w:fill="FFFFFF"/>
          <w:lang w:val="en-US"/>
        </w:rPr>
        <w:t>Yenni</w:t>
      </w:r>
      <w:r w:rsidR="00694C6D" w:rsidRPr="007146D0">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2021</w:t>
      </w:r>
      <w:r w:rsidRPr="007146D0">
        <w:rPr>
          <w:lang w:val="en-US"/>
        </w:rPr>
        <w:t xml:space="preserve">). </w:t>
      </w:r>
      <w:r w:rsidR="00694C6D" w:rsidRPr="007146D0">
        <w:rPr>
          <w:lang w:val="en-US"/>
        </w:rPr>
        <w:t xml:space="preserve">In this case, AstraZeneca </w:t>
      </w:r>
      <w:r w:rsidRPr="007146D0">
        <w:rPr>
          <w:lang w:val="en-US"/>
        </w:rPr>
        <w:t>has a “quick ratio” less than 1 for the 5 years parameters that indicates it does not have enough quick assets for the purpose of negotiating “short-term” liabilities. “Cash ratio” is the measurement of the liquidity of the company. This ratio indicates the ability to “pay-off” its “short-term” debt obligations with the most liquid assets that are cash and cash equivalent (</w:t>
      </w:r>
      <w:r w:rsidRPr="007146D0">
        <w:rPr>
          <w:shd w:val="clear" w:color="auto" w:fill="FFFFFF"/>
          <w:lang w:val="en-US"/>
        </w:rPr>
        <w:t>Lamuda</w:t>
      </w:r>
      <w:r w:rsidR="00694C6D" w:rsidRPr="007146D0">
        <w:rPr>
          <w:shd w:val="clear" w:color="auto" w:fill="FFFFFF"/>
          <w:lang w:val="en-US"/>
        </w:rPr>
        <w:t xml:space="preserve"> </w:t>
      </w:r>
      <w:r w:rsidRPr="007146D0">
        <w:rPr>
          <w:i/>
          <w:iCs/>
          <w:shd w:val="clear" w:color="auto" w:fill="FFFFFF"/>
          <w:lang w:val="en-US"/>
        </w:rPr>
        <w:t>et al.</w:t>
      </w:r>
      <w:r w:rsidRPr="007146D0">
        <w:rPr>
          <w:lang w:val="en-US"/>
        </w:rPr>
        <w:t xml:space="preserve"> 2023). This ratio primarily is a ratio between the “cash and cash equivalent” to its “current liabilities” where the company less than 1 “CR” indicates the company has more liability than the “cash and liquid assets”. The company throughout 5 years has less than 1 “CR” indicates it could not use the “cash and cash equivalent” to settle its debts for the years.</w:t>
      </w:r>
    </w:p>
    <w:p w:rsidR="00303F46" w:rsidRPr="007146D0" w:rsidRDefault="00303F46" w:rsidP="00BE0043">
      <w:pPr>
        <w:spacing w:before="0" w:after="0" w:line="360" w:lineRule="auto"/>
        <w:rPr>
          <w:lang w:val="en-US"/>
        </w:rPr>
      </w:pPr>
      <w:r w:rsidRPr="007146D0">
        <w:rPr>
          <w:b/>
          <w:bCs/>
          <w:lang w:val="en-US"/>
        </w:rPr>
        <w:t>Efficiency:</w:t>
      </w:r>
    </w:p>
    <w:p w:rsidR="00303F46" w:rsidRPr="007146D0" w:rsidRDefault="00303F46" w:rsidP="00BE0043">
      <w:pPr>
        <w:spacing w:before="0" w:after="0" w:line="360" w:lineRule="auto"/>
        <w:rPr>
          <w:lang w:val="en-US"/>
        </w:rPr>
      </w:pPr>
      <w:r w:rsidRPr="007146D0">
        <w:rPr>
          <w:lang w:val="en-US"/>
        </w:rPr>
        <w:t xml:space="preserve">The “efficiency ratio” of </w:t>
      </w:r>
      <w:r w:rsidR="0049443F" w:rsidRPr="007146D0">
        <w:rPr>
          <w:lang w:val="en-US"/>
        </w:rPr>
        <w:t>a</w:t>
      </w:r>
      <w:r w:rsidRPr="007146D0">
        <w:rPr>
          <w:lang w:val="en-US"/>
        </w:rPr>
        <w:t xml:space="preserve"> company is the financial metrics, measuring the ability to use the resources that generate profits and income. The company “AstraZeneca” has taken “assets turnover” and “fixed asset turnover” for understanding the efficiency of the company. The “assets turnover” measures how </w:t>
      </w:r>
      <w:r w:rsidR="008C7454" w:rsidRPr="007146D0">
        <w:rPr>
          <w:lang w:val="en-US"/>
        </w:rPr>
        <w:t>a</w:t>
      </w:r>
      <w:r w:rsidRPr="007146D0">
        <w:rPr>
          <w:lang w:val="en-US"/>
        </w:rPr>
        <w:t xml:space="preserve"> company efficiently uses its own resources to generate sales or revenue. The ratio less than 1 indicates the total assets of the company are not generating enough revenue at the end of the year (</w:t>
      </w:r>
      <w:r w:rsidRPr="007146D0">
        <w:rPr>
          <w:shd w:val="clear" w:color="auto" w:fill="FFFFFF"/>
          <w:lang w:val="en-US"/>
        </w:rPr>
        <w:t>Endri</w:t>
      </w:r>
      <w:r w:rsidR="008C7454" w:rsidRPr="007146D0">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2020)</w:t>
      </w:r>
      <w:r w:rsidRPr="007146D0">
        <w:rPr>
          <w:lang w:val="en-US"/>
        </w:rPr>
        <w:t xml:space="preserve">. </w:t>
      </w:r>
      <w:r w:rsidR="008C7454" w:rsidRPr="007146D0">
        <w:rPr>
          <w:lang w:val="en-US"/>
        </w:rPr>
        <w:t xml:space="preserve">AstraZeneca </w:t>
      </w:r>
      <w:r w:rsidRPr="007146D0">
        <w:rPr>
          <w:lang w:val="en-US"/>
        </w:rPr>
        <w:t>has “AT” less than 1 throughout 5 years that indicates there is not enough revenue at the end of the year for the persistent years. The “fixed assets turnover” ratio shows how an entity is generating sales from its existing fixed assets. This ratio less than 1 indicates that the total assets of the company are not generating enough revenue at the end of the year (</w:t>
      </w:r>
      <w:r w:rsidRPr="007146D0">
        <w:rPr>
          <w:shd w:val="clear" w:color="auto" w:fill="FFFFFF"/>
          <w:lang w:val="en-US"/>
        </w:rPr>
        <w:t>Ballinda</w:t>
      </w:r>
      <w:r w:rsidR="008C7454" w:rsidRPr="007146D0">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2023</w:t>
      </w:r>
      <w:r w:rsidRPr="007146D0">
        <w:rPr>
          <w:lang w:val="en-US"/>
        </w:rPr>
        <w:t xml:space="preserve">). </w:t>
      </w:r>
      <w:r w:rsidR="0049443F" w:rsidRPr="007146D0">
        <w:rPr>
          <w:lang w:val="en-US"/>
        </w:rPr>
        <w:t>AstraZeneca is found to generate</w:t>
      </w:r>
      <w:r w:rsidRPr="007146D0">
        <w:rPr>
          <w:lang w:val="en-US"/>
        </w:rPr>
        <w:t xml:space="preserve"> a </w:t>
      </w:r>
      <w:r w:rsidRPr="007146D0">
        <w:rPr>
          <w:lang w:val="en-US"/>
        </w:rPr>
        <w:lastRenderedPageBreak/>
        <w:t xml:space="preserve">satisfactory level of fixed assets that shows that it is generating </w:t>
      </w:r>
      <w:r w:rsidR="0049443F" w:rsidRPr="007146D0">
        <w:rPr>
          <w:lang w:val="en-US"/>
        </w:rPr>
        <w:t>considerable</w:t>
      </w:r>
      <w:r w:rsidRPr="007146D0">
        <w:rPr>
          <w:lang w:val="en-US"/>
        </w:rPr>
        <w:t xml:space="preserve"> revenue of the year.  </w:t>
      </w:r>
    </w:p>
    <w:p w:rsidR="00303F46" w:rsidRPr="007146D0" w:rsidRDefault="00303F46" w:rsidP="00BE0043">
      <w:pPr>
        <w:spacing w:before="0" w:after="0" w:line="360" w:lineRule="auto"/>
        <w:rPr>
          <w:lang w:val="en-US"/>
        </w:rPr>
      </w:pPr>
      <w:r w:rsidRPr="007146D0">
        <w:rPr>
          <w:b/>
          <w:bCs/>
          <w:lang w:val="en-US"/>
        </w:rPr>
        <w:t>Leverage:</w:t>
      </w:r>
    </w:p>
    <w:p w:rsidR="00303F46" w:rsidRPr="007146D0" w:rsidRDefault="00303F46" w:rsidP="00BE0043">
      <w:pPr>
        <w:pStyle w:val="Normal1"/>
        <w:spacing w:line="360" w:lineRule="auto"/>
        <w:rPr>
          <w:lang w:val="en-GB"/>
        </w:rPr>
      </w:pPr>
      <w:r w:rsidRPr="007146D0">
        <w:rPr>
          <w:lang w:val="en-US"/>
        </w:rPr>
        <w:t>The leverage of the company has been determined with “Debt-equity ratio” and “Debt to capital” for 5 years parameters. “Debt-equity ratio” compares the debt of the company to its shareholders’ equity that shows how much financing is coming from debt versus equity (</w:t>
      </w:r>
      <w:r w:rsidRPr="007146D0">
        <w:rPr>
          <w:shd w:val="clear" w:color="auto" w:fill="FFFFFF"/>
          <w:lang w:val="en-US"/>
        </w:rPr>
        <w:t xml:space="preserve">Orji </w:t>
      </w:r>
      <w:r w:rsidRPr="007146D0">
        <w:rPr>
          <w:i/>
          <w:iCs/>
          <w:shd w:val="clear" w:color="auto" w:fill="FFFFFF"/>
          <w:lang w:val="en-US"/>
        </w:rPr>
        <w:t>et al.</w:t>
      </w:r>
      <w:r w:rsidRPr="007146D0">
        <w:rPr>
          <w:shd w:val="clear" w:color="auto" w:fill="FFFFFF"/>
          <w:lang w:val="en-US"/>
        </w:rPr>
        <w:t xml:space="preserve"> 2021</w:t>
      </w:r>
      <w:r w:rsidRPr="007146D0">
        <w:rPr>
          <w:lang w:val="en-US"/>
        </w:rPr>
        <w:t xml:space="preserve">). </w:t>
      </w:r>
      <w:r w:rsidR="002563F4" w:rsidRPr="007146D0">
        <w:rPr>
          <w:lang w:val="en-US"/>
        </w:rPr>
        <w:t xml:space="preserve">AstraZeneca </w:t>
      </w:r>
      <w:r w:rsidRPr="007146D0">
        <w:rPr>
          <w:lang w:val="en-US"/>
        </w:rPr>
        <w:t>primarily depended on debts for 3 years, but later it is depending on equity for the last 2 years. “Debt to capital” is the financial leverage that compares the “total debts” to its “total capital”. The ratio less than 1 implies the majority of the assets are funded by equity (</w:t>
      </w:r>
      <w:r w:rsidRPr="007146D0">
        <w:rPr>
          <w:shd w:val="clear" w:color="auto" w:fill="FFFFFF"/>
          <w:lang w:val="en-US"/>
        </w:rPr>
        <w:t>Alalade</w:t>
      </w:r>
      <w:r w:rsidR="002563F4" w:rsidRPr="007146D0">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2020</w:t>
      </w:r>
      <w:r w:rsidRPr="007146D0">
        <w:rPr>
          <w:lang w:val="en-US"/>
        </w:rPr>
        <w:t>). The company actually has more equity financing than debts for the 5 years sustainably as the ratio stands less than 1. </w:t>
      </w:r>
    </w:p>
    <w:p w:rsidR="00560FA7" w:rsidRPr="007146D0" w:rsidRDefault="00560FA7" w:rsidP="00BE0043">
      <w:pPr>
        <w:pStyle w:val="Heading2"/>
        <w:rPr>
          <w:sz w:val="36"/>
          <w:szCs w:val="36"/>
          <w:lang w:val="en-GB" w:eastAsia="zh-CN"/>
        </w:rPr>
      </w:pPr>
      <w:bookmarkStart w:id="14" w:name="_Toc175143186"/>
      <w:r w:rsidRPr="007146D0">
        <w:rPr>
          <w:lang w:val="en-GB" w:eastAsia="zh-CN"/>
        </w:rPr>
        <w:t>Comparison to major competitor(s)</w:t>
      </w:r>
      <w:bookmarkEnd w:id="14"/>
    </w:p>
    <w:p w:rsidR="00560FA7" w:rsidRPr="007146D0" w:rsidRDefault="00560FA7" w:rsidP="00BE0043">
      <w:pPr>
        <w:spacing w:after="0" w:line="360" w:lineRule="auto"/>
        <w:rPr>
          <w:lang w:val="en-GB" w:eastAsia="zh-CN"/>
        </w:rPr>
      </w:pPr>
      <w:r w:rsidRPr="007146D0">
        <w:rPr>
          <w:b/>
          <w:bCs/>
          <w:i/>
          <w:iCs/>
          <w:lang w:val="en-GB" w:eastAsia="zh-CN"/>
        </w:rPr>
        <w:t>Profitability </w:t>
      </w:r>
    </w:p>
    <w:tbl>
      <w:tblPr>
        <w:tblW w:w="0" w:type="auto"/>
        <w:jc w:val="center"/>
        <w:tblCellMar>
          <w:top w:w="15" w:type="dxa"/>
          <w:left w:w="15" w:type="dxa"/>
          <w:bottom w:w="15" w:type="dxa"/>
          <w:right w:w="15" w:type="dxa"/>
        </w:tblCellMar>
        <w:tblLook w:val="04A0"/>
      </w:tblPr>
      <w:tblGrid>
        <w:gridCol w:w="2094"/>
        <w:gridCol w:w="2586"/>
        <w:gridCol w:w="1100"/>
        <w:gridCol w:w="940"/>
        <w:gridCol w:w="940"/>
        <w:gridCol w:w="940"/>
        <w:gridCol w:w="940"/>
      </w:tblGrid>
      <w:tr w:rsidR="00560FA7" w:rsidRPr="007146D0" w:rsidTr="002563F4">
        <w:trPr>
          <w:trHeight w:val="285"/>
          <w:jc w:val="center"/>
        </w:trPr>
        <w:tc>
          <w:tcPr>
            <w:tcW w:w="4680" w:type="dxa"/>
            <w:gridSpan w:val="2"/>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Competitor's Analysis</w:t>
            </w:r>
          </w:p>
        </w:tc>
        <w:tc>
          <w:tcPr>
            <w:tcW w:w="4860" w:type="dxa"/>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 £, Million)</w:t>
            </w:r>
          </w:p>
        </w:tc>
      </w:tr>
      <w:tr w:rsidR="00560FA7" w:rsidRPr="007146D0" w:rsidTr="002563F4">
        <w:trPr>
          <w:trHeight w:val="28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vAlign w:val="bottom"/>
            <w:hideMark/>
          </w:tcPr>
          <w:p w:rsidR="00560FA7" w:rsidRPr="007146D0" w:rsidRDefault="00560FA7" w:rsidP="00BE0043">
            <w:pPr>
              <w:spacing w:after="0" w:line="360" w:lineRule="auto"/>
              <w:jc w:val="center"/>
              <w:rPr>
                <w:lang w:val="en-GB" w:eastAsia="zh-CN"/>
              </w:rPr>
            </w:pPr>
            <w:r w:rsidRPr="007146D0">
              <w:rPr>
                <w:b/>
                <w:bCs/>
                <w:lang w:val="en-GB" w:eastAsia="zh-CN"/>
              </w:rPr>
              <w:t>Profitability</w:t>
            </w:r>
          </w:p>
        </w:tc>
        <w:tc>
          <w:tcPr>
            <w:tcW w:w="258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center"/>
              <w:rPr>
                <w:lang w:val="en-GB" w:eastAsia="zh-CN"/>
              </w:rPr>
            </w:pPr>
            <w:r w:rsidRPr="007146D0">
              <w:rPr>
                <w:b/>
                <w:bCs/>
                <w:lang w:val="en-GB" w:eastAsia="zh-CN"/>
              </w:rPr>
              <w:t>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2021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2020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center"/>
              <w:rPr>
                <w:lang w:val="en-GB" w:eastAsia="zh-CN"/>
              </w:rPr>
            </w:pPr>
            <w:r w:rsidRPr="007146D0">
              <w:rPr>
                <w:b/>
                <w:bCs/>
                <w:lang w:val="en-GB" w:eastAsia="zh-CN"/>
              </w:rPr>
              <w:t>2019</w:t>
            </w:r>
          </w:p>
        </w:tc>
      </w:tr>
      <w:tr w:rsidR="00560FA7" w:rsidRPr="007146D0" w:rsidTr="002563F4">
        <w:trPr>
          <w:trHeight w:val="46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Gross profit margin</w:t>
            </w:r>
          </w:p>
        </w:tc>
        <w:tc>
          <w:tcPr>
            <w:tcW w:w="2586"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“Gross Profit   x 100</w:t>
            </w:r>
            <w:r w:rsidRPr="007146D0">
              <w:rPr>
                <w:lang w:val="en-GB" w:eastAsia="zh-CN"/>
              </w:rPr>
              <w:br/>
              <w:t xml:space="preserve"> Total Revenue”</w:t>
            </w: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21,252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19770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16533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16425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21891</w:t>
            </w:r>
          </w:p>
        </w:tc>
      </w:tr>
      <w:tr w:rsidR="00560FA7" w:rsidRPr="007146D0" w:rsidTr="002563F4">
        <w:trPr>
          <w:trHeight w:val="46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30,328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29324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24696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24354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33754</w:t>
            </w:r>
          </w:p>
        </w:tc>
      </w:tr>
      <w:tr w:rsidR="00560FA7" w:rsidRPr="007146D0" w:rsidTr="002563F4">
        <w:trPr>
          <w:trHeight w:val="46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70.07%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67.42%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66.95%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67.44%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64.85%</w:t>
            </w:r>
          </w:p>
        </w:tc>
      </w:tr>
      <w:tr w:rsidR="00560FA7" w:rsidRPr="007146D0" w:rsidTr="002563F4">
        <w:trPr>
          <w:trHeight w:val="28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Return on Equity</w:t>
            </w:r>
          </w:p>
        </w:tc>
        <w:tc>
          <w:tcPr>
            <w:tcW w:w="2586"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“Net profit / Total Equity”</w:t>
            </w: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4,928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15621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5096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6388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5268</w:t>
            </w:r>
          </w:p>
        </w:tc>
      </w:tr>
      <w:tr w:rsidR="00560FA7" w:rsidRPr="007146D0" w:rsidTr="002563F4">
        <w:trPr>
          <w:trHeight w:val="28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12,795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10096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21342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20808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18357</w:t>
            </w:r>
          </w:p>
        </w:tc>
      </w:tr>
      <w:tr w:rsidR="00560FA7" w:rsidRPr="007146D0" w:rsidTr="002563F4">
        <w:trPr>
          <w:trHeight w:val="28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r w:rsidR="00560FA7" w:rsidRPr="007146D0" w:rsidTr="002563F4">
        <w:trPr>
          <w:trHeight w:val="28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39%</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155%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29%</w:t>
            </w:r>
          </w:p>
        </w:tc>
      </w:tr>
      <w:tr w:rsidR="00560FA7" w:rsidRPr="007146D0" w:rsidTr="002563F4">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Net profit margin</w:t>
            </w:r>
          </w:p>
        </w:tc>
        <w:tc>
          <w:tcPr>
            <w:tcW w:w="2586"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“Net profit x100</w:t>
            </w:r>
            <w:r w:rsidRPr="007146D0">
              <w:rPr>
                <w:lang w:val="en-GB" w:eastAsia="zh-CN"/>
              </w:rPr>
              <w:br/>
            </w:r>
            <w:r w:rsidRPr="007146D0">
              <w:rPr>
                <w:lang w:val="en-GB" w:eastAsia="zh-CN"/>
              </w:rPr>
              <w:lastRenderedPageBreak/>
              <w:t xml:space="preserve"> Total Revenue”</w:t>
            </w: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lastRenderedPageBreak/>
              <w:t>5,308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15621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5096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6388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5268</w:t>
            </w:r>
          </w:p>
        </w:tc>
      </w:tr>
      <w:tr w:rsidR="00560FA7" w:rsidRPr="007146D0" w:rsidTr="002563F4">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rPr>
                <w:lang w:val="en-GB" w:eastAsia="zh-CN"/>
              </w:rPr>
            </w:pPr>
            <w:r w:rsidRPr="007146D0">
              <w:rPr>
                <w:lang w:val="en-GB" w:eastAsia="zh-CN"/>
              </w:rPr>
              <w:t>30,328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29324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24696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24354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33754</w:t>
            </w:r>
          </w:p>
        </w:tc>
      </w:tr>
      <w:tr w:rsidR="00560FA7" w:rsidRPr="007146D0" w:rsidTr="002563F4">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86"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17.50%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53.27%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20.63%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26.23%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15.61%</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6</w:t>
      </w:r>
      <w:r w:rsidRPr="007146D0">
        <w:rPr>
          <w:b/>
          <w:bCs/>
          <w:lang w:val="en-GB" w:eastAsia="zh-CN"/>
        </w:rPr>
        <w:t>: Profitability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560FA7" w:rsidRPr="007146D0" w:rsidRDefault="0027252E" w:rsidP="00BE0043">
      <w:pPr>
        <w:spacing w:after="0" w:line="360" w:lineRule="auto"/>
        <w:rPr>
          <w:lang w:val="en-GB" w:eastAsia="zh-CN"/>
        </w:rPr>
      </w:pPr>
      <w:r w:rsidRPr="007146D0">
        <w:rPr>
          <w:lang w:val="en-US"/>
        </w:rPr>
        <w:t>AstraZeneca</w:t>
      </w:r>
      <w:r w:rsidR="00560FA7" w:rsidRPr="007146D0">
        <w:rPr>
          <w:shd w:val="clear" w:color="auto" w:fill="FFFFFF"/>
          <w:lang w:val="en-GB" w:eastAsia="zh-CN"/>
        </w:rPr>
        <w:t xml:space="preserve">’s revenue profile demonstrates that the company’s profitability is in a generally positive status from the financial year 2019 to 2023 and rose significantly in 2023. AstraZeneca’s gross profit margin </w:t>
      </w:r>
      <w:r w:rsidR="002563F4" w:rsidRPr="007146D0">
        <w:rPr>
          <w:shd w:val="clear" w:color="auto" w:fill="FFFFFF"/>
          <w:lang w:val="en-GB" w:eastAsia="zh-CN"/>
        </w:rPr>
        <w:t>reached 81 in the same period. This is a</w:t>
      </w:r>
      <w:r w:rsidR="00560FA7" w:rsidRPr="007146D0">
        <w:rPr>
          <w:shd w:val="clear" w:color="auto" w:fill="FFFFFF"/>
          <w:lang w:val="en-GB" w:eastAsia="zh-CN"/>
        </w:rPr>
        <w:t xml:space="preserve">bout 95% in 2023, </w:t>
      </w:r>
      <w:r w:rsidR="002563F4" w:rsidRPr="007146D0">
        <w:rPr>
          <w:shd w:val="clear" w:color="auto" w:fill="FFFFFF"/>
          <w:lang w:val="en-GB" w:eastAsia="zh-CN"/>
        </w:rPr>
        <w:t>thereby</w:t>
      </w:r>
      <w:r w:rsidR="00560FA7" w:rsidRPr="007146D0">
        <w:rPr>
          <w:shd w:val="clear" w:color="auto" w:fill="FFFFFF"/>
          <w:lang w:val="en-GB" w:eastAsia="zh-CN"/>
        </w:rPr>
        <w:t xml:space="preserve"> showing better operational efficiency than GSK’s 70. 07%. GSK plc’s net profit reduced to £5308 million in 2023 from £15621 million in 2022, indicating a major drop in profitability performance (</w:t>
      </w:r>
      <w:r w:rsidR="00560FA7" w:rsidRPr="007146D0">
        <w:rPr>
          <w:lang w:val="en-GB" w:eastAsia="zh-CN"/>
        </w:rPr>
        <w:t>Gsk, 2024</w:t>
      </w:r>
      <w:r w:rsidR="00560FA7" w:rsidRPr="007146D0">
        <w:rPr>
          <w:shd w:val="clear" w:color="auto" w:fill="FFFFFF"/>
          <w:lang w:val="en-GB" w:eastAsia="zh-CN"/>
        </w:rPr>
        <w:t>). It can be examined that AstraZeneca has a greater efficient control of production cost compared with its revenue. AstraZeneca also seemed to develop a better operating profit margin and it stood at 18% in the year 2023 as opposed to global giant, GSK’s 17%. 50%. Net profit margin in the year 2023 was 13% in the case of AstraZeneca. Therefore, AstraZeneca’s profitability ratios paint the picture of recovery and its commendable healthy position which has only improved in terms of both gross and operating margins.</w:t>
      </w:r>
    </w:p>
    <w:p w:rsidR="00560FA7" w:rsidRPr="007146D0" w:rsidRDefault="00560FA7" w:rsidP="00BE0043">
      <w:pPr>
        <w:spacing w:after="0" w:line="360" w:lineRule="auto"/>
        <w:rPr>
          <w:lang w:val="en-GB" w:eastAsia="zh-CN"/>
        </w:rPr>
      </w:pPr>
      <w:r w:rsidRPr="007146D0">
        <w:rPr>
          <w:b/>
          <w:bCs/>
          <w:i/>
          <w:iCs/>
          <w:lang w:val="en-GB" w:eastAsia="zh-CN"/>
        </w:rPr>
        <w:t>Liquidity </w:t>
      </w:r>
    </w:p>
    <w:tbl>
      <w:tblPr>
        <w:tblW w:w="0" w:type="auto"/>
        <w:jc w:val="center"/>
        <w:tblInd w:w="-769" w:type="dxa"/>
        <w:tblCellMar>
          <w:top w:w="15" w:type="dxa"/>
          <w:left w:w="15" w:type="dxa"/>
          <w:bottom w:w="15" w:type="dxa"/>
          <w:right w:w="15" w:type="dxa"/>
        </w:tblCellMar>
        <w:tblLook w:val="04A0"/>
      </w:tblPr>
      <w:tblGrid>
        <w:gridCol w:w="2315"/>
        <w:gridCol w:w="2790"/>
        <w:gridCol w:w="958"/>
        <w:gridCol w:w="900"/>
        <w:gridCol w:w="1107"/>
        <w:gridCol w:w="963"/>
        <w:gridCol w:w="932"/>
      </w:tblGrid>
      <w:tr w:rsidR="00560FA7" w:rsidRPr="007146D0" w:rsidTr="0027252E">
        <w:trPr>
          <w:trHeight w:val="375"/>
          <w:jc w:val="center"/>
        </w:trPr>
        <w:tc>
          <w:tcPr>
            <w:tcW w:w="2315" w:type="dxa"/>
            <w:vMerge w:val="restar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Liquidity Ratio</w:t>
            </w:r>
          </w:p>
        </w:tc>
        <w:tc>
          <w:tcPr>
            <w:tcW w:w="2790"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4860" w:type="dxa"/>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 Million)</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lang w:val="en-GB" w:eastAsia="zh-CN"/>
              </w:rPr>
              <w:t>2023</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2022</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2021</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2020</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2019</w:t>
            </w:r>
          </w:p>
        </w:tc>
      </w:tr>
      <w:tr w:rsidR="00560FA7" w:rsidRPr="007146D0" w:rsidTr="0027252E">
        <w:trPr>
          <w:trHeight w:val="375"/>
          <w:jc w:val="center"/>
        </w:trPr>
        <w:tc>
          <w:tcPr>
            <w:tcW w:w="231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Current Ratio</w:t>
            </w:r>
          </w:p>
        </w:tc>
        <w:tc>
          <w:tcPr>
            <w:tcW w:w="2790"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“Current Asset</w:t>
            </w:r>
            <w:r w:rsidRPr="007146D0">
              <w:rPr>
                <w:u w:val="single"/>
                <w:lang w:val="en-GB" w:eastAsia="zh-CN"/>
              </w:rPr>
              <w:br/>
            </w:r>
            <w:r w:rsidRPr="007146D0">
              <w:rPr>
                <w:lang w:val="en-GB" w:eastAsia="zh-CN"/>
              </w:rPr>
              <w:t xml:space="preserve"> Current Liabilities”</w:t>
            </w: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18,644</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20769</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18674</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20247</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19491</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21,068</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22810</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23670</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22148</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24050</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0.88</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0.91</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0.79</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0.91</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0.81</w:t>
            </w:r>
          </w:p>
        </w:tc>
      </w:tr>
      <w:tr w:rsidR="00560FA7" w:rsidRPr="007146D0" w:rsidTr="0027252E">
        <w:trPr>
          <w:trHeight w:val="375"/>
          <w:jc w:val="center"/>
        </w:trPr>
        <w:tc>
          <w:tcPr>
            <w:tcW w:w="231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Quick Ratio</w:t>
            </w:r>
          </w:p>
        </w:tc>
        <w:tc>
          <w:tcPr>
            <w:tcW w:w="2790"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“(Current Asset - inventories)</w:t>
            </w:r>
            <w:r w:rsidRPr="007146D0">
              <w:rPr>
                <w:u w:val="single"/>
                <w:lang w:val="en-GB" w:eastAsia="zh-CN"/>
              </w:rPr>
              <w:br/>
            </w:r>
            <w:r w:rsidRPr="007146D0">
              <w:rPr>
                <w:lang w:val="en-GB" w:eastAsia="zh-CN"/>
              </w:rPr>
              <w:lastRenderedPageBreak/>
              <w:t xml:space="preserve"> Current Liabilities”</w:t>
            </w: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lastRenderedPageBreak/>
              <w:t>18,644</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20769</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18674</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20247</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19491</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5,498</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5146</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5783</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5996</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5947</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21,068</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22810</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23670</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22148</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24050</w:t>
            </w:r>
          </w:p>
        </w:tc>
      </w:tr>
      <w:tr w:rsidR="00560FA7" w:rsidRPr="007146D0" w:rsidTr="0027252E">
        <w:trPr>
          <w:trHeight w:val="375"/>
          <w:jc w:val="center"/>
        </w:trPr>
        <w:tc>
          <w:tcPr>
            <w:tcW w:w="231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790"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958"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0.62</w:t>
            </w:r>
          </w:p>
        </w:tc>
        <w:tc>
          <w:tcPr>
            <w:tcW w:w="90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0.68</w:t>
            </w:r>
          </w:p>
        </w:tc>
        <w:tc>
          <w:tcPr>
            <w:tcW w:w="1107"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0.54</w:t>
            </w:r>
          </w:p>
        </w:tc>
        <w:tc>
          <w:tcPr>
            <w:tcW w:w="963"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0.64</w:t>
            </w:r>
          </w:p>
        </w:tc>
        <w:tc>
          <w:tcPr>
            <w:tcW w:w="93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0.56</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7</w:t>
      </w:r>
      <w:r w:rsidRPr="007146D0">
        <w:rPr>
          <w:b/>
          <w:bCs/>
          <w:lang w:val="en-GB" w:eastAsia="zh-CN"/>
        </w:rPr>
        <w:t>: Liquidity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560FA7" w:rsidRPr="007146D0" w:rsidRDefault="00560FA7" w:rsidP="00BE0043">
      <w:pPr>
        <w:spacing w:after="0" w:line="360" w:lineRule="auto"/>
        <w:rPr>
          <w:lang w:val="en-GB" w:eastAsia="zh-CN"/>
        </w:rPr>
      </w:pPr>
      <w:r w:rsidRPr="007146D0">
        <w:rPr>
          <w:lang w:val="en-GB" w:eastAsia="zh-CN"/>
        </w:rPr>
        <w:t>AstraZenec</w:t>
      </w:r>
      <w:r w:rsidR="0027252E" w:rsidRPr="007146D0">
        <w:rPr>
          <w:lang w:val="en-GB" w:eastAsia="zh-CN"/>
        </w:rPr>
        <w:t>a’s current ratio reduced to 0.</w:t>
      </w:r>
      <w:r w:rsidRPr="007146D0">
        <w:rPr>
          <w:lang w:val="en-GB" w:eastAsia="zh-CN"/>
        </w:rPr>
        <w:t xml:space="preserve">82, which is less than the international benchmark of one, meaning that there </w:t>
      </w:r>
      <w:r w:rsidR="00D932B0" w:rsidRPr="007146D0">
        <w:rPr>
          <w:lang w:val="en-GB" w:eastAsia="zh-CN"/>
        </w:rPr>
        <w:t>exist possible liquidity constraints</w:t>
      </w:r>
      <w:r w:rsidRPr="007146D0">
        <w:rPr>
          <w:lang w:val="en-GB" w:eastAsia="zh-CN"/>
        </w:rPr>
        <w:t xml:space="preserve">. AstraZeneca’s liquidity ratios have revealed some issues in the past few years; mainly, the place varies through the current ratio. Liquidity ratios help measure a company's ability to pay off its current liabilities by using its current assets (Shygun </w:t>
      </w:r>
      <w:r w:rsidRPr="007146D0">
        <w:rPr>
          <w:i/>
          <w:iCs/>
          <w:lang w:val="en-GB" w:eastAsia="zh-CN"/>
        </w:rPr>
        <w:t>et al.</w:t>
      </w:r>
      <w:r w:rsidRPr="007146D0">
        <w:rPr>
          <w:lang w:val="en-GB" w:eastAsia="zh-CN"/>
        </w:rPr>
        <w:t xml:space="preserve"> 2020). On the same note, the current ratio was recorded at 0 for GSK as at the end of the yea</w:t>
      </w:r>
      <w:r w:rsidR="00D932B0" w:rsidRPr="007146D0">
        <w:rPr>
          <w:lang w:val="en-GB" w:eastAsia="zh-CN"/>
        </w:rPr>
        <w:t xml:space="preserve">r under review 88 in 2023. This </w:t>
      </w:r>
      <w:r w:rsidRPr="007146D0">
        <w:rPr>
          <w:lang w:val="en-GB" w:eastAsia="zh-CN"/>
        </w:rPr>
        <w:t>will be slightly better, although still not very satisfactory in the short-term management of liquidity. The curre</w:t>
      </w:r>
      <w:r w:rsidR="00145F4A" w:rsidRPr="007146D0">
        <w:rPr>
          <w:lang w:val="en-GB" w:eastAsia="zh-CN"/>
        </w:rPr>
        <w:t>nt ratio for AstraZeneca was 0.</w:t>
      </w:r>
      <w:r w:rsidRPr="007146D0">
        <w:rPr>
          <w:lang w:val="en-GB" w:eastAsia="zh-CN"/>
        </w:rPr>
        <w:t>64 in 2023</w:t>
      </w:r>
      <w:r w:rsidR="008544C0" w:rsidRPr="007146D0">
        <w:rPr>
          <w:lang w:val="en-GB" w:eastAsia="zh-CN"/>
        </w:rPr>
        <w:t>, a smidgen lower than GSK’s 0.</w:t>
      </w:r>
      <w:r w:rsidRPr="007146D0">
        <w:rPr>
          <w:lang w:val="en-GB" w:eastAsia="zh-CN"/>
        </w:rPr>
        <w:t>62</w:t>
      </w:r>
      <w:r w:rsidR="008544C0" w:rsidRPr="007146D0">
        <w:rPr>
          <w:lang w:val="en-GB" w:eastAsia="zh-CN"/>
        </w:rPr>
        <w:t xml:space="preserve">. this </w:t>
      </w:r>
      <w:r w:rsidRPr="007146D0">
        <w:rPr>
          <w:lang w:val="en-GB" w:eastAsia="zh-CN"/>
        </w:rPr>
        <w:t>shows that both the companies are less capable to fulfil their existing liabilities in the short run except through the sale of inventories.</w:t>
      </w:r>
    </w:p>
    <w:p w:rsidR="00560FA7" w:rsidRPr="007146D0" w:rsidRDefault="00560FA7" w:rsidP="00BE0043">
      <w:pPr>
        <w:spacing w:after="0" w:line="360" w:lineRule="auto"/>
        <w:rPr>
          <w:lang w:val="en-GB" w:eastAsia="zh-CN"/>
        </w:rPr>
      </w:pPr>
      <w:r w:rsidRPr="007146D0">
        <w:rPr>
          <w:b/>
          <w:bCs/>
          <w:i/>
          <w:iCs/>
          <w:lang w:val="en-GB" w:eastAsia="zh-CN"/>
        </w:rPr>
        <w:t>Efficiency</w:t>
      </w:r>
    </w:p>
    <w:tbl>
      <w:tblPr>
        <w:tblW w:w="9820" w:type="dxa"/>
        <w:jc w:val="center"/>
        <w:tblCellMar>
          <w:top w:w="15" w:type="dxa"/>
          <w:left w:w="15" w:type="dxa"/>
          <w:bottom w:w="15" w:type="dxa"/>
          <w:right w:w="15" w:type="dxa"/>
        </w:tblCellMar>
        <w:tblLook w:val="04A0"/>
      </w:tblPr>
      <w:tblGrid>
        <w:gridCol w:w="2699"/>
        <w:gridCol w:w="2531"/>
        <w:gridCol w:w="1130"/>
        <w:gridCol w:w="800"/>
        <w:gridCol w:w="800"/>
        <w:gridCol w:w="930"/>
        <w:gridCol w:w="930"/>
      </w:tblGrid>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Efficiency  Ratio</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4590" w:type="dxa"/>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 Million)</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lang w:val="en-GB" w:eastAsia="zh-CN"/>
              </w:rPr>
              <w:t>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2020</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2019</w:t>
            </w:r>
          </w:p>
        </w:tc>
      </w:tr>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Asset Turnover</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“Revenue/</w:t>
            </w:r>
            <w:r w:rsidRPr="007146D0">
              <w:rPr>
                <w:u w:val="single"/>
                <w:lang w:val="en-GB" w:eastAsia="zh-CN"/>
              </w:rPr>
              <w:br/>
              <w:t xml:space="preserve"> Total Assets”</w:t>
            </w: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30,328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29324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24696</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24354</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33754</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59,005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60146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79103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80431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79692</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0.51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0.49</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0.31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0.30</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0.42</w:t>
            </w:r>
          </w:p>
        </w:tc>
      </w:tr>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Inventory Turnover Period</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“Inventory/ Cost of sales *365”</w:t>
            </w: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5,498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5146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5783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5996</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5947</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8,565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9554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8163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7929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11863</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234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197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259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276</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183</w:t>
            </w:r>
          </w:p>
        </w:tc>
      </w:tr>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lastRenderedPageBreak/>
              <w:t>Payable Payment Period</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“Payable/ COGS *365”</w:t>
            </w: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15,844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3866</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4535</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4357</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4144</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8,565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9554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8163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7929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11863</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675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148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203</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128</w:t>
            </w:r>
          </w:p>
        </w:tc>
      </w:tr>
      <w:tr w:rsidR="00560FA7" w:rsidRPr="007146D0" w:rsidTr="007146D0">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Receivable Collection Period</w:t>
            </w:r>
          </w:p>
        </w:tc>
        <w:tc>
          <w:tcPr>
            <w:tcW w:w="2531"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“Trade Receivable/ Sales *365”</w:t>
            </w: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7,385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7115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8031</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7264</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7148</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30,328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29324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24696</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24354</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33754</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89</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89</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119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109</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77</w:t>
            </w:r>
          </w:p>
        </w:tc>
      </w:tr>
      <w:tr w:rsidR="00560FA7" w:rsidRPr="007146D0" w:rsidTr="007146D0">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2531"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1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9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8</w:t>
      </w:r>
      <w:r w:rsidRPr="007146D0">
        <w:rPr>
          <w:b/>
          <w:bCs/>
          <w:lang w:val="en-GB" w:eastAsia="zh-CN"/>
        </w:rPr>
        <w:t>: Efficiency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560FA7" w:rsidRPr="007146D0" w:rsidRDefault="00560FA7" w:rsidP="00BE0043">
      <w:pPr>
        <w:spacing w:after="0" w:line="360" w:lineRule="auto"/>
        <w:rPr>
          <w:lang w:val="en-GB" w:eastAsia="zh-CN"/>
        </w:rPr>
      </w:pPr>
      <w:r w:rsidRPr="007146D0">
        <w:rPr>
          <w:lang w:val="en-GB" w:eastAsia="zh-CN"/>
        </w:rPr>
        <w:t xml:space="preserve">The efficiency ratio shows a moderate efficiency of asset turnover as can be seen from the table above. For the year ended in December 2023, the Assets Turnover ratio was 0.45, which is lower than GSK’s 0.51, providing that GSK is somewhat more effective at utilising its assets, generating more revenues. Efficiency ratio is a financial metric that helps analyse a company’s ability to effectively utilise and employ resources to generate income (Corporatefinanceinstitute, 2024). Fixed asset turnover ratio was far much lower at 1778 in 2023 for AstraZeneca than the higher efficiency rates presented by GSK. This indicates that </w:t>
      </w:r>
      <w:r w:rsidRPr="007146D0">
        <w:rPr>
          <w:shd w:val="clear" w:color="auto" w:fill="FFFFFF"/>
          <w:lang w:val="en-GB" w:eastAsia="zh-CN"/>
        </w:rPr>
        <w:t>relative to GSK, AstraZeneca has less productive fixed assets in terms of sales. It has been observed that both the companies do a fairly good job in controlling and employing their assets to generate the revenues and here, GSK appears to be slightly better than AstraZeneca.</w:t>
      </w:r>
    </w:p>
    <w:p w:rsidR="00560FA7" w:rsidRPr="007146D0" w:rsidRDefault="00560FA7" w:rsidP="00BE0043">
      <w:pPr>
        <w:spacing w:after="0" w:line="360" w:lineRule="auto"/>
        <w:rPr>
          <w:lang w:val="en-GB" w:eastAsia="zh-CN"/>
        </w:rPr>
      </w:pPr>
      <w:r w:rsidRPr="007146D0">
        <w:rPr>
          <w:b/>
          <w:bCs/>
          <w:i/>
          <w:iCs/>
          <w:lang w:val="en-GB" w:eastAsia="zh-CN"/>
        </w:rPr>
        <w:t>Gearing </w:t>
      </w:r>
    </w:p>
    <w:tbl>
      <w:tblPr>
        <w:tblW w:w="9820" w:type="dxa"/>
        <w:jc w:val="center"/>
        <w:tblCellMar>
          <w:top w:w="15" w:type="dxa"/>
          <w:left w:w="15" w:type="dxa"/>
          <w:bottom w:w="15" w:type="dxa"/>
          <w:right w:w="15" w:type="dxa"/>
        </w:tblCellMar>
        <w:tblLook w:val="04A0"/>
      </w:tblPr>
      <w:tblGrid>
        <w:gridCol w:w="2315"/>
        <w:gridCol w:w="3005"/>
        <w:gridCol w:w="1040"/>
        <w:gridCol w:w="800"/>
        <w:gridCol w:w="800"/>
        <w:gridCol w:w="800"/>
        <w:gridCol w:w="1060"/>
      </w:tblGrid>
      <w:tr w:rsidR="00560FA7" w:rsidRPr="007146D0" w:rsidTr="00340DA5">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i/>
                <w:iCs/>
                <w:lang w:val="en-GB" w:eastAsia="zh-CN"/>
              </w:rPr>
              <w:t>Gearing Ratio</w:t>
            </w:r>
          </w:p>
        </w:tc>
        <w:tc>
          <w:tcPr>
            <w:tcW w:w="300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4500" w:type="dxa"/>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(Million)</w:t>
            </w:r>
          </w:p>
        </w:tc>
      </w:tr>
      <w:tr w:rsidR="00560FA7" w:rsidRPr="007146D0" w:rsidTr="00340DA5">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lang w:val="en-GB" w:eastAsia="zh-CN"/>
              </w:rPr>
              <w:t>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2020</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2019</w:t>
            </w:r>
          </w:p>
        </w:tc>
      </w:tr>
      <w:tr w:rsidR="00560FA7" w:rsidRPr="007146D0" w:rsidTr="00340DA5">
        <w:trPr>
          <w:trHeight w:val="540"/>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lastRenderedPageBreak/>
              <w:t>Debt Equity ratio</w:t>
            </w:r>
          </w:p>
        </w:tc>
        <w:tc>
          <w:tcPr>
            <w:tcW w:w="300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t xml:space="preserve">“Noncurrent liabilities/ </w:t>
            </w:r>
            <w:r w:rsidRPr="007146D0">
              <w:rPr>
                <w:u w:val="single"/>
                <w:lang w:val="en-GB" w:eastAsia="zh-CN"/>
              </w:rPr>
              <w:br/>
            </w:r>
            <w:r w:rsidRPr="007146D0">
              <w:rPr>
                <w:lang w:val="en-GB" w:eastAsia="zh-CN"/>
              </w:rPr>
              <w:t>Ordinary Shareholders’ fund”</w:t>
            </w:r>
            <w:r w:rsidRPr="007146D0">
              <w:rPr>
                <w:lang w:val="en-GB" w:eastAsia="zh-CN"/>
              </w:rPr>
              <w:br/>
              <w:t>  </w:t>
            </w: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25,142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27240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30091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34521</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37285</w:t>
            </w:r>
          </w:p>
        </w:tc>
      </w:tr>
      <w:tr w:rsidR="00560FA7" w:rsidRPr="007146D0" w:rsidTr="00340DA5">
        <w:trPr>
          <w:trHeight w:val="54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13,347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10598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15055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14587</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11405</w:t>
            </w:r>
          </w:p>
        </w:tc>
      </w:tr>
      <w:tr w:rsidR="00560FA7" w:rsidRPr="007146D0" w:rsidTr="00340DA5">
        <w:trPr>
          <w:trHeight w:val="54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r w:rsidR="00560FA7" w:rsidRPr="007146D0" w:rsidTr="00340DA5">
        <w:trPr>
          <w:trHeight w:val="54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1.88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2.57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2.37</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3.27</w:t>
            </w:r>
          </w:p>
        </w:tc>
      </w:tr>
      <w:tr w:rsidR="00560FA7" w:rsidRPr="007146D0" w:rsidTr="00340DA5">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Interest Coverage Ratio</w:t>
            </w:r>
          </w:p>
        </w:tc>
        <w:tc>
          <w:tcPr>
            <w:tcW w:w="3005" w:type="dxa"/>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lang w:val="en-GB" w:eastAsia="zh-CN"/>
              </w:rPr>
              <w:t>“Operating Profit /Interest Charges”</w:t>
            </w: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r>
      <w:tr w:rsidR="00560FA7" w:rsidRPr="007146D0" w:rsidTr="00340DA5">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6,745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6433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4357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5979</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6961</w:t>
            </w:r>
          </w:p>
        </w:tc>
      </w:tr>
      <w:tr w:rsidR="00560FA7" w:rsidRPr="007146D0" w:rsidTr="00340DA5">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775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852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765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876</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895</w:t>
            </w:r>
          </w:p>
        </w:tc>
      </w:tr>
      <w:tr w:rsidR="00560FA7" w:rsidRPr="007146D0" w:rsidTr="00340DA5">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3005" w:type="dxa"/>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104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8.70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7.55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5.70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6.83</w:t>
            </w:r>
          </w:p>
        </w:tc>
        <w:tc>
          <w:tcPr>
            <w:tcW w:w="106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7.78</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9</w:t>
      </w:r>
      <w:r w:rsidRPr="007146D0">
        <w:rPr>
          <w:b/>
          <w:bCs/>
          <w:lang w:val="en-GB" w:eastAsia="zh-CN"/>
        </w:rPr>
        <w:t>: Gearing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560FA7" w:rsidRPr="007146D0" w:rsidRDefault="00560FA7" w:rsidP="00BE0043">
      <w:pPr>
        <w:spacing w:after="0" w:line="360" w:lineRule="auto"/>
        <w:rPr>
          <w:lang w:val="en-GB" w:eastAsia="zh-CN"/>
        </w:rPr>
      </w:pPr>
      <w:r w:rsidRPr="007146D0">
        <w:rPr>
          <w:lang w:val="en-GB" w:eastAsia="zh-CN"/>
        </w:rPr>
        <w:t>Gearing ratios are another manifestation of AstraZeneca’s rather cautious approach to leveraging compared to GSK. The debt to equ</w:t>
      </w:r>
      <w:r w:rsidR="00340DA5">
        <w:rPr>
          <w:lang w:val="en-GB" w:eastAsia="zh-CN"/>
        </w:rPr>
        <w:t>ity ratio of AstraZeneca was 0.</w:t>
      </w:r>
      <w:r w:rsidRPr="007146D0">
        <w:rPr>
          <w:lang w:val="en-GB" w:eastAsia="zh-CN"/>
        </w:rPr>
        <w:t>80 in 2023. This indicates a lower level of undesirable debt compared to equity, meaning a better financial structure than GSK with a hi</w:t>
      </w:r>
      <w:r w:rsidR="00340DA5">
        <w:rPr>
          <w:lang w:val="en-GB" w:eastAsia="zh-CN"/>
        </w:rPr>
        <w:t>gher debt-to-equity ratio of 1.</w:t>
      </w:r>
      <w:r w:rsidRPr="007146D0">
        <w:rPr>
          <w:lang w:val="en-GB" w:eastAsia="zh-CN"/>
        </w:rPr>
        <w:t xml:space="preserve">88 in 2023. Ratios significantly become optimal magnet materials that help measuring capital structure of the business (Gardner </w:t>
      </w:r>
      <w:r w:rsidRPr="007146D0">
        <w:rPr>
          <w:i/>
          <w:iCs/>
          <w:lang w:val="en-GB" w:eastAsia="zh-CN"/>
        </w:rPr>
        <w:t>et al.</w:t>
      </w:r>
      <w:r w:rsidRPr="007146D0">
        <w:rPr>
          <w:lang w:val="en-GB" w:eastAsia="zh-CN"/>
        </w:rPr>
        <w:t xml:space="preserve"> 2021). </w:t>
      </w:r>
      <w:r w:rsidRPr="007146D0">
        <w:rPr>
          <w:shd w:val="clear" w:color="auto" w:fill="FFFFFF"/>
          <w:lang w:val="en-GB" w:eastAsia="zh-CN"/>
        </w:rPr>
        <w:t xml:space="preserve">The debt-to-capital ratio of AstraZeneca </w:t>
      </w:r>
      <w:r w:rsidR="00340DA5">
        <w:rPr>
          <w:shd w:val="clear" w:color="auto" w:fill="FFFFFF"/>
          <w:lang w:val="en-GB" w:eastAsia="zh-CN"/>
        </w:rPr>
        <w:t>was 0.</w:t>
      </w:r>
      <w:r w:rsidRPr="007146D0">
        <w:rPr>
          <w:shd w:val="clear" w:color="auto" w:fill="FFFFFF"/>
          <w:lang w:val="en-GB" w:eastAsia="zh-CN"/>
        </w:rPr>
        <w:t>45 in 2023 with both debt and equity funding as compared with the rather high level of GSK’s 88, this is an indication that AstraZeneca is better off in terms of capital structure.</w:t>
      </w:r>
    </w:p>
    <w:p w:rsidR="00560FA7" w:rsidRPr="007146D0" w:rsidRDefault="00560FA7" w:rsidP="00BE0043">
      <w:pPr>
        <w:spacing w:after="0" w:line="360" w:lineRule="auto"/>
        <w:rPr>
          <w:lang w:val="en-GB" w:eastAsia="zh-CN"/>
        </w:rPr>
      </w:pPr>
      <w:r w:rsidRPr="007146D0">
        <w:rPr>
          <w:b/>
          <w:bCs/>
          <w:i/>
          <w:iCs/>
          <w:lang w:val="en-GB" w:eastAsia="zh-CN"/>
        </w:rPr>
        <w:t>Market Performance Analysis</w:t>
      </w:r>
    </w:p>
    <w:tbl>
      <w:tblPr>
        <w:tblW w:w="0" w:type="auto"/>
        <w:jc w:val="center"/>
        <w:tblCellMar>
          <w:top w:w="15" w:type="dxa"/>
          <w:left w:w="15" w:type="dxa"/>
          <w:bottom w:w="15" w:type="dxa"/>
          <w:right w:w="15" w:type="dxa"/>
        </w:tblCellMar>
        <w:tblLook w:val="04A0"/>
      </w:tblPr>
      <w:tblGrid>
        <w:gridCol w:w="2062"/>
        <w:gridCol w:w="3498"/>
        <w:gridCol w:w="680"/>
        <w:gridCol w:w="860"/>
        <w:gridCol w:w="860"/>
        <w:gridCol w:w="860"/>
        <w:gridCol w:w="740"/>
      </w:tblGrid>
      <w:tr w:rsidR="00560FA7" w:rsidRPr="007146D0" w:rsidTr="00560FA7">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Market</w:t>
            </w: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Formula</w:t>
            </w:r>
          </w:p>
        </w:tc>
        <w:tc>
          <w:tcPr>
            <w:tcW w:w="0" w:type="auto"/>
            <w:gridSpan w:val="5"/>
            <w:tcBorders>
              <w:top w:val="single" w:sz="4" w:space="0" w:color="000000"/>
              <w:left w:val="single" w:sz="4" w:space="0" w:color="000000"/>
              <w:bottom w:val="single" w:sz="4" w:space="0" w:color="000000"/>
              <w:right w:val="single" w:sz="4" w:space="0" w:color="000000"/>
            </w:tcBorders>
            <w:shd w:val="clear" w:color="auto" w:fill="FFFF00"/>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GSK PLC (£, Million)</w:t>
            </w:r>
          </w:p>
        </w:tc>
      </w:tr>
      <w:tr w:rsidR="00560FA7" w:rsidRPr="007146D0" w:rsidTr="00560FA7">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lang w:val="en-GB" w:eastAsia="zh-CN"/>
              </w:rPr>
              <w:t>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2021</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b/>
                <w:bCs/>
                <w:i/>
                <w:iCs/>
                <w:lang w:val="en-GB" w:eastAsia="zh-CN"/>
              </w:rPr>
              <w:t>2020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lang w:val="en-GB" w:eastAsia="zh-CN"/>
              </w:rPr>
              <w:t>2019</w:t>
            </w:r>
          </w:p>
        </w:tc>
      </w:tr>
      <w:tr w:rsidR="00560FA7" w:rsidRPr="007146D0" w:rsidTr="00560FA7">
        <w:trPr>
          <w:trHeight w:val="375"/>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b/>
                <w:bCs/>
                <w:lang w:val="en-GB" w:eastAsia="zh-CN"/>
              </w:rPr>
              <w:t xml:space="preserve">Price/ Earnings </w:t>
            </w:r>
            <w:r w:rsidRPr="007146D0">
              <w:rPr>
                <w:b/>
                <w:bCs/>
                <w:lang w:val="en-GB" w:eastAsia="zh-CN"/>
              </w:rPr>
              <w:lastRenderedPageBreak/>
              <w:t>Ratio</w:t>
            </w: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center"/>
              <w:rPr>
                <w:lang w:val="en-GB" w:eastAsia="zh-CN"/>
              </w:rPr>
            </w:pPr>
            <w:r w:rsidRPr="007146D0">
              <w:rPr>
                <w:u w:val="single"/>
                <w:lang w:val="en-GB" w:eastAsia="zh-CN"/>
              </w:rPr>
              <w:lastRenderedPageBreak/>
              <w:t xml:space="preserve">“Market Price per share/ Earning </w:t>
            </w:r>
            <w:r w:rsidRPr="007146D0">
              <w:rPr>
                <w:u w:val="single"/>
                <w:lang w:val="en-GB" w:eastAsia="zh-CN"/>
              </w:rPr>
              <w:lastRenderedPageBreak/>
              <w:t>per share”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lastRenderedPageBreak/>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 </w:t>
            </w:r>
          </w:p>
        </w:tc>
      </w:tr>
      <w:tr w:rsidR="00560FA7" w:rsidRPr="007146D0" w:rsidTr="00560FA7">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985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1354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1452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958</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1125</w:t>
            </w:r>
          </w:p>
        </w:tc>
      </w:tr>
      <w:tr w:rsidR="00560FA7" w:rsidRPr="007146D0" w:rsidTr="00560FA7">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rsidR="00560FA7" w:rsidRPr="007146D0" w:rsidRDefault="00560FA7" w:rsidP="00BE0043">
            <w:pPr>
              <w:spacing w:after="0" w:line="360" w:lineRule="auto"/>
              <w:jc w:val="right"/>
              <w:rPr>
                <w:lang w:val="en-GB" w:eastAsia="zh-CN"/>
              </w:rPr>
            </w:pPr>
            <w:r w:rsidRPr="007146D0">
              <w:rPr>
                <w:lang w:val="en-GB" w:eastAsia="zh-CN"/>
              </w:rPr>
              <w:t>450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366.20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108.20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142.60</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lang w:val="en-GB" w:eastAsia="zh-CN"/>
              </w:rPr>
              <w:t>92.60</w:t>
            </w:r>
          </w:p>
        </w:tc>
      </w:tr>
      <w:tr w:rsidR="00560FA7" w:rsidRPr="007146D0" w:rsidTr="00560FA7">
        <w:trPr>
          <w:trHeight w:val="375"/>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560FA7" w:rsidRPr="007146D0" w:rsidRDefault="00560FA7" w:rsidP="00BE0043">
            <w:pPr>
              <w:spacing w:after="0" w:line="360" w:lineRule="auto"/>
              <w:jc w:val="left"/>
              <w:rPr>
                <w:lang w:val="en-GB" w:eastAsia="zh-CN"/>
              </w:rPr>
            </w:pP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3.7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13.4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6.7</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vAlign w:val="bottom"/>
            <w:hideMark/>
          </w:tcPr>
          <w:p w:rsidR="00560FA7" w:rsidRPr="007146D0" w:rsidRDefault="00560FA7" w:rsidP="00BE0043">
            <w:pPr>
              <w:spacing w:after="0" w:line="360" w:lineRule="auto"/>
              <w:jc w:val="right"/>
              <w:rPr>
                <w:lang w:val="en-GB" w:eastAsia="zh-CN"/>
              </w:rPr>
            </w:pPr>
            <w:r w:rsidRPr="007146D0">
              <w:rPr>
                <w:b/>
                <w:bCs/>
                <w:i/>
                <w:iCs/>
                <w:lang w:val="en-GB" w:eastAsia="zh-CN"/>
              </w:rPr>
              <w:t>12.1</w:t>
            </w:r>
          </w:p>
        </w:tc>
      </w:tr>
    </w:tbl>
    <w:p w:rsidR="00560FA7" w:rsidRPr="007146D0" w:rsidRDefault="00560FA7" w:rsidP="00BE0043">
      <w:pPr>
        <w:spacing w:after="0" w:line="360" w:lineRule="auto"/>
        <w:jc w:val="center"/>
        <w:rPr>
          <w:lang w:val="en-GB" w:eastAsia="zh-CN"/>
        </w:rPr>
      </w:pPr>
      <w:r w:rsidRPr="007146D0">
        <w:rPr>
          <w:b/>
          <w:bCs/>
          <w:lang w:val="en-GB" w:eastAsia="zh-CN"/>
        </w:rPr>
        <w:t xml:space="preserve">Table </w:t>
      </w:r>
      <w:r w:rsidR="00353EF8" w:rsidRPr="007146D0">
        <w:rPr>
          <w:b/>
          <w:bCs/>
          <w:lang w:val="en-GB" w:eastAsia="zh-CN"/>
        </w:rPr>
        <w:t>10</w:t>
      </w:r>
      <w:r w:rsidRPr="007146D0">
        <w:rPr>
          <w:b/>
          <w:bCs/>
          <w:lang w:val="en-GB" w:eastAsia="zh-CN"/>
        </w:rPr>
        <w:t>: Market Performance Ratios of GSK Plc</w:t>
      </w:r>
    </w:p>
    <w:p w:rsidR="00560FA7" w:rsidRPr="007146D0" w:rsidRDefault="00560FA7" w:rsidP="00BE0043">
      <w:pPr>
        <w:spacing w:after="0" w:line="360" w:lineRule="auto"/>
        <w:jc w:val="center"/>
        <w:rPr>
          <w:lang w:val="en-GB" w:eastAsia="zh-CN"/>
        </w:rPr>
      </w:pPr>
      <w:r w:rsidRPr="007146D0">
        <w:rPr>
          <w:lang w:val="en-GB" w:eastAsia="zh-CN"/>
        </w:rPr>
        <w:t>(Source: Created by Author)</w:t>
      </w:r>
    </w:p>
    <w:p w:rsidR="00353EF8" w:rsidRPr="007146D0" w:rsidRDefault="00560FA7" w:rsidP="00BE0043">
      <w:pPr>
        <w:pStyle w:val="Normal1"/>
        <w:spacing w:line="360" w:lineRule="auto"/>
        <w:rPr>
          <w:shd w:val="clear" w:color="auto" w:fill="FFFFFF"/>
          <w:lang w:val="en-GB" w:eastAsia="zh-CN"/>
        </w:rPr>
      </w:pPr>
      <w:r w:rsidRPr="007146D0">
        <w:rPr>
          <w:lang w:val="en-GB" w:eastAsia="zh-CN"/>
        </w:rPr>
        <w:t xml:space="preserve">As for the market performance of AstraZeneca as reflected by its P/E ratio as of end of December 2013, AstraZeneca posted a conservative valuation compared with GSK. AstraZeneca did not report on its P/E ratio while for GSK it was 2 by 2023, P/E ratio should be at 2 showing that the market price is cheaper than earnings. </w:t>
      </w:r>
      <w:r w:rsidRPr="007146D0">
        <w:rPr>
          <w:shd w:val="clear" w:color="auto" w:fill="FFFFFF"/>
          <w:lang w:val="en-GB" w:eastAsia="zh-CN"/>
        </w:rPr>
        <w:t>It has been concluded that GSK has a more stable and relatively more attractive market position as contrasted with AstraZeneca although a deeper and more detailed comparison would be necessary.</w:t>
      </w:r>
    </w:p>
    <w:p w:rsidR="003F7E9F" w:rsidRPr="007146D0" w:rsidRDefault="003F7E9F" w:rsidP="00BE0043">
      <w:pPr>
        <w:spacing w:before="0" w:after="0" w:line="360" w:lineRule="auto"/>
        <w:rPr>
          <w:lang w:val="en-US"/>
        </w:rPr>
      </w:pPr>
      <w:r w:rsidRPr="007146D0">
        <w:rPr>
          <w:b/>
          <w:bCs/>
          <w:i/>
          <w:iCs/>
          <w:lang w:val="en-US"/>
        </w:rPr>
        <w:t>Recommendation on the improvement of the financial management of the company</w:t>
      </w:r>
    </w:p>
    <w:p w:rsidR="003F7E9F" w:rsidRPr="007146D0" w:rsidRDefault="003F7E9F" w:rsidP="00BE0043">
      <w:pPr>
        <w:pStyle w:val="Normal1"/>
        <w:spacing w:line="360" w:lineRule="auto"/>
        <w:rPr>
          <w:shd w:val="clear" w:color="auto" w:fill="FFFFFF"/>
          <w:lang w:val="en-GB" w:eastAsia="zh-CN"/>
        </w:rPr>
      </w:pPr>
      <w:r w:rsidRPr="007146D0">
        <w:rPr>
          <w:lang w:val="en-US"/>
        </w:rPr>
        <w:t xml:space="preserve">It can be suggested that companies need to acquire revenue management and cost management strategies to enhance their profitability and financial growth in future. As opined by </w:t>
      </w:r>
      <w:r w:rsidRPr="007146D0">
        <w:rPr>
          <w:shd w:val="clear" w:color="auto" w:fill="FFFFFF"/>
          <w:lang w:val="en-US"/>
        </w:rPr>
        <w:t>Diagne</w:t>
      </w:r>
      <w:r w:rsidR="0067559A">
        <w:rPr>
          <w:shd w:val="clear" w:color="auto" w:fill="FFFFFF"/>
          <w:lang w:val="en-US"/>
        </w:rPr>
        <w:t xml:space="preserve"> </w:t>
      </w:r>
      <w:r w:rsidRPr="007146D0">
        <w:rPr>
          <w:i/>
          <w:iCs/>
          <w:shd w:val="clear" w:color="auto" w:fill="FFFFFF"/>
          <w:lang w:val="en-US"/>
        </w:rPr>
        <w:t>et al.</w:t>
      </w:r>
      <w:r w:rsidR="00B05B71">
        <w:rPr>
          <w:i/>
          <w:iCs/>
          <w:shd w:val="clear" w:color="auto" w:fill="FFFFFF"/>
          <w:lang w:val="en-US"/>
        </w:rPr>
        <w:t xml:space="preserve"> </w:t>
      </w:r>
      <w:r w:rsidRPr="007146D0">
        <w:rPr>
          <w:lang w:val="en-US"/>
        </w:rPr>
        <w:t xml:space="preserve">(2021), cost management strategy has avoided the unnecessary expenses and created professionalism in a firm by </w:t>
      </w:r>
      <w:r w:rsidR="0067559A" w:rsidRPr="007146D0">
        <w:rPr>
          <w:lang w:val="en-US"/>
        </w:rPr>
        <w:t>minimizing</w:t>
      </w:r>
      <w:r w:rsidRPr="007146D0">
        <w:rPr>
          <w:lang w:val="en-US"/>
        </w:rPr>
        <w:t xml:space="preserve"> loss of resources. The financial management of the company can be increased by enough “current ratio”, “quick ratio” and “cash ratio” implementation. It further has to increase efficiency with “asset turnover” and “fixed assets turnover” followed by “operating profits”. The company has to maintain well leverages with equity and capital rather than depending on debts to </w:t>
      </w:r>
      <w:r w:rsidR="0067559A" w:rsidRPr="007146D0">
        <w:rPr>
          <w:lang w:val="en-US"/>
        </w:rPr>
        <w:t>channelize</w:t>
      </w:r>
      <w:r w:rsidRPr="007146D0">
        <w:rPr>
          <w:lang w:val="en-US"/>
        </w:rPr>
        <w:t xml:space="preserve"> sufficient inputs over majority of assets and capital</w:t>
      </w:r>
      <w:r w:rsidR="0067559A">
        <w:rPr>
          <w:lang w:val="en-US"/>
        </w:rPr>
        <w:t xml:space="preserve">s. The employee’s satisfaction and </w:t>
      </w:r>
      <w:r w:rsidRPr="007146D0">
        <w:rPr>
          <w:lang w:val="en-US"/>
        </w:rPr>
        <w:t>retention of workers are also to be given emphasis for maintaining a good financial and managerial management of the company.</w:t>
      </w:r>
    </w:p>
    <w:p w:rsidR="00353EF8" w:rsidRPr="007146D0" w:rsidRDefault="00353EF8" w:rsidP="00BE0043">
      <w:pPr>
        <w:pStyle w:val="Heading1"/>
        <w:spacing w:before="0" w:after="0" w:line="360" w:lineRule="auto"/>
        <w:rPr>
          <w:b w:val="0"/>
        </w:rPr>
      </w:pPr>
      <w:bookmarkStart w:id="15" w:name="_Toc175143187"/>
      <w:r w:rsidRPr="007146D0">
        <w:t>Part C). Investment Appraisal</w:t>
      </w:r>
      <w:bookmarkEnd w:id="15"/>
    </w:p>
    <w:p w:rsidR="00353EF8" w:rsidRPr="007146D0" w:rsidRDefault="001F4D45" w:rsidP="00BE0043">
      <w:pPr>
        <w:pStyle w:val="Heading2"/>
        <w:keepNext w:val="0"/>
        <w:keepLines w:val="0"/>
        <w:spacing w:before="0" w:after="0"/>
        <w:rPr>
          <w:b w:val="0"/>
        </w:rPr>
      </w:pPr>
      <w:bookmarkStart w:id="16" w:name="_1ci93xb" w:colFirst="0" w:colLast="0"/>
      <w:bookmarkStart w:id="17" w:name="_Toc175143188"/>
      <w:bookmarkEnd w:id="16"/>
      <w:r w:rsidRPr="007146D0">
        <w:t xml:space="preserve">1. </w:t>
      </w:r>
      <w:r w:rsidR="00353EF8" w:rsidRPr="007146D0">
        <w:t>Calculation and Recommendation</w:t>
      </w:r>
      <w:bookmarkEnd w:id="17"/>
      <w:r w:rsidR="00353EF8" w:rsidRPr="007146D0">
        <w:t> </w:t>
      </w:r>
    </w:p>
    <w:p w:rsidR="00353EF8" w:rsidRPr="007146D0" w:rsidRDefault="00353EF8" w:rsidP="00BE0043">
      <w:pPr>
        <w:pStyle w:val="Heading3"/>
        <w:keepNext w:val="0"/>
        <w:keepLines w:val="0"/>
        <w:spacing w:before="0" w:after="0" w:line="360" w:lineRule="auto"/>
        <w:rPr>
          <w:b/>
          <w:color w:val="auto"/>
          <w:sz w:val="24"/>
          <w:szCs w:val="24"/>
        </w:rPr>
      </w:pPr>
      <w:bookmarkStart w:id="18" w:name="_3whwml4" w:colFirst="0" w:colLast="0"/>
      <w:bookmarkStart w:id="19" w:name="_Toc175143189"/>
      <w:bookmarkEnd w:id="18"/>
      <w:r w:rsidRPr="007146D0">
        <w:rPr>
          <w:b/>
          <w:color w:val="auto"/>
          <w:sz w:val="24"/>
          <w:szCs w:val="24"/>
        </w:rPr>
        <w:t>Calculation of NPV, ARR, and Payback Period of Projects</w:t>
      </w:r>
      <w:bookmarkEnd w:id="19"/>
      <w:r w:rsidRPr="007146D0">
        <w:rPr>
          <w:b/>
          <w:color w:val="auto"/>
          <w:sz w:val="24"/>
          <w:szCs w:val="24"/>
        </w:rPr>
        <w:t> </w:t>
      </w:r>
    </w:p>
    <w:p w:rsidR="00353EF8" w:rsidRPr="007146D0" w:rsidRDefault="00353EF8" w:rsidP="00BE0043">
      <w:pPr>
        <w:spacing w:line="360" w:lineRule="auto"/>
      </w:pPr>
      <w:r w:rsidRPr="007146D0">
        <w:rPr>
          <w:b/>
          <w:i/>
        </w:rPr>
        <w:t>Project A: “Payback Period (PBP)”</w:t>
      </w:r>
    </w:p>
    <w:tbl>
      <w:tblPr>
        <w:tblW w:w="9555" w:type="dxa"/>
        <w:tblBorders>
          <w:top w:val="nil"/>
          <w:left w:val="nil"/>
          <w:bottom w:val="nil"/>
          <w:right w:val="nil"/>
          <w:insideH w:val="nil"/>
          <w:insideV w:val="nil"/>
        </w:tblBorders>
        <w:tblLayout w:type="fixed"/>
        <w:tblLook w:val="0600"/>
      </w:tblPr>
      <w:tblGrid>
        <w:gridCol w:w="2265"/>
        <w:gridCol w:w="3975"/>
        <w:gridCol w:w="3315"/>
      </w:tblGrid>
      <w:tr w:rsidR="00353EF8" w:rsidRPr="007146D0" w:rsidTr="00521CA7">
        <w:trPr>
          <w:trHeight w:val="315"/>
        </w:trPr>
        <w:tc>
          <w:tcPr>
            <w:tcW w:w="955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lastRenderedPageBreak/>
              <w:t>"Project A"</w:t>
            </w:r>
          </w:p>
        </w:tc>
      </w:tr>
      <w:tr w:rsidR="00353EF8" w:rsidRPr="007146D0" w:rsidTr="00521CA7">
        <w:trPr>
          <w:trHeight w:val="630"/>
        </w:trPr>
        <w:tc>
          <w:tcPr>
            <w:tcW w:w="226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39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33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"Cumulative cash flow (£m)"</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-80</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-80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-55.00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-30.00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-10.00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39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55</w:t>
            </w:r>
          </w:p>
        </w:tc>
        <w:tc>
          <w:tcPr>
            <w:tcW w:w="33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45.00</w:t>
            </w:r>
          </w:p>
        </w:tc>
      </w:tr>
      <w:tr w:rsidR="00353EF8" w:rsidRPr="007146D0" w:rsidTr="00521CA7">
        <w:trPr>
          <w:trHeight w:val="315"/>
        </w:trPr>
        <w:tc>
          <w:tcPr>
            <w:tcW w:w="226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39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"Payback period"</w:t>
            </w:r>
          </w:p>
        </w:tc>
        <w:tc>
          <w:tcPr>
            <w:tcW w:w="33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3.82</w:t>
            </w:r>
          </w:p>
        </w:tc>
      </w:tr>
    </w:tbl>
    <w:p w:rsidR="00353EF8" w:rsidRPr="007146D0" w:rsidRDefault="00353EF8" w:rsidP="00BE0043">
      <w:pPr>
        <w:spacing w:line="360" w:lineRule="auto"/>
        <w:jc w:val="center"/>
        <w:rPr>
          <w:b/>
        </w:rPr>
      </w:pPr>
      <w:r w:rsidRPr="007146D0">
        <w:rPr>
          <w:b/>
        </w:rPr>
        <w:t>Table 11: “Project A: Payback Period (PBP)”</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The payback period of project A is 3.82 years, which suggests a reasonable time taken to recoup the initial outlay. Even though it is not extremely fast, it is given in an acceptable amount of time. The project produces constant cash inflows with an increase in the fourth year that makes for early payback before the last years of the project.</w:t>
      </w:r>
    </w:p>
    <w:p w:rsidR="00353EF8" w:rsidRPr="007146D0" w:rsidRDefault="00353EF8" w:rsidP="00BE0043">
      <w:pPr>
        <w:spacing w:line="360" w:lineRule="auto"/>
      </w:pPr>
      <w:r w:rsidRPr="007146D0">
        <w:rPr>
          <w:b/>
          <w:i/>
        </w:rPr>
        <w:t>Project B: “Payback Period (PBP)</w:t>
      </w:r>
      <w:r w:rsidRPr="007146D0">
        <w:t>”</w:t>
      </w:r>
    </w:p>
    <w:tbl>
      <w:tblPr>
        <w:tblW w:w="9315" w:type="dxa"/>
        <w:tblBorders>
          <w:top w:val="nil"/>
          <w:left w:val="nil"/>
          <w:bottom w:val="nil"/>
          <w:right w:val="nil"/>
          <w:insideH w:val="nil"/>
          <w:insideV w:val="nil"/>
        </w:tblBorders>
        <w:tblLayout w:type="fixed"/>
        <w:tblLook w:val="0600"/>
      </w:tblPr>
      <w:tblGrid>
        <w:gridCol w:w="3225"/>
        <w:gridCol w:w="3375"/>
        <w:gridCol w:w="2715"/>
      </w:tblGrid>
      <w:tr w:rsidR="00353EF8" w:rsidRPr="007146D0" w:rsidTr="00521CA7">
        <w:trPr>
          <w:trHeight w:val="315"/>
        </w:trPr>
        <w:tc>
          <w:tcPr>
            <w:tcW w:w="931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"Project B"</w:t>
            </w:r>
          </w:p>
        </w:tc>
      </w:tr>
      <w:tr w:rsidR="00353EF8" w:rsidRPr="007146D0" w:rsidTr="00521CA7">
        <w:trPr>
          <w:trHeight w:val="630"/>
        </w:trPr>
        <w:tc>
          <w:tcPr>
            <w:tcW w:w="32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lastRenderedPageBreak/>
              <w:t>"Year"</w:t>
            </w:r>
          </w:p>
        </w:tc>
        <w:tc>
          <w:tcPr>
            <w:tcW w:w="33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27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w:t>
            </w:r>
            <w:r w:rsidR="00C426F6" w:rsidRPr="007146D0">
              <w:rPr>
                <w:b/>
              </w:rPr>
              <w:t>Cumulative</w:t>
            </w:r>
            <w:r w:rsidRPr="007146D0">
              <w:rPr>
                <w:b/>
              </w:rPr>
              <w:t xml:space="preserve"> cash flow (£m)"</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-75</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-75</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50</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-25.00</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-5.00</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15.00</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337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71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35.00</w:t>
            </w:r>
          </w:p>
        </w:tc>
      </w:tr>
      <w:tr w:rsidR="00353EF8" w:rsidRPr="007146D0" w:rsidTr="00521CA7">
        <w:trPr>
          <w:trHeight w:val="315"/>
        </w:trPr>
        <w:tc>
          <w:tcPr>
            <w:tcW w:w="32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33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"Payback period"</w:t>
            </w:r>
          </w:p>
        </w:tc>
        <w:tc>
          <w:tcPr>
            <w:tcW w:w="27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2.75</w:t>
            </w:r>
          </w:p>
        </w:tc>
      </w:tr>
    </w:tbl>
    <w:p w:rsidR="00353EF8" w:rsidRPr="007146D0" w:rsidRDefault="00353EF8" w:rsidP="00BE0043">
      <w:pPr>
        <w:spacing w:line="360" w:lineRule="auto"/>
        <w:jc w:val="center"/>
        <w:rPr>
          <w:b/>
        </w:rPr>
      </w:pPr>
      <w:r w:rsidRPr="007146D0">
        <w:rPr>
          <w:b/>
        </w:rPr>
        <w:t>Table 12: “Project B: Payback Period (PBP)”</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Project B is slower, and it has a payback period of 2.75 years, which is still a greater deal than Project A due to the quicker recovery of the initial investment and the first-year cash inflow is higher. PBP means that it is easier to recover the investment in Project B much faster than the initial investment and this reduces risk and increases liquidity.</w:t>
      </w:r>
    </w:p>
    <w:p w:rsidR="00353EF8" w:rsidRPr="007146D0" w:rsidRDefault="00353EF8" w:rsidP="00BE0043">
      <w:pPr>
        <w:spacing w:line="360" w:lineRule="auto"/>
      </w:pPr>
      <w:r w:rsidRPr="007146D0">
        <w:rPr>
          <w:b/>
          <w:i/>
        </w:rPr>
        <w:t>Project A: “Accounting Rate of Return (ARR)”</w:t>
      </w:r>
    </w:p>
    <w:tbl>
      <w:tblPr>
        <w:tblW w:w="9555" w:type="dxa"/>
        <w:tblBorders>
          <w:top w:val="nil"/>
          <w:left w:val="nil"/>
          <w:bottom w:val="nil"/>
          <w:right w:val="nil"/>
          <w:insideH w:val="nil"/>
          <w:insideV w:val="nil"/>
        </w:tblBorders>
        <w:tblLayout w:type="fixed"/>
        <w:tblLook w:val="0600"/>
      </w:tblPr>
      <w:tblGrid>
        <w:gridCol w:w="975"/>
        <w:gridCol w:w="2865"/>
        <w:gridCol w:w="2070"/>
        <w:gridCol w:w="3645"/>
      </w:tblGrid>
      <w:tr w:rsidR="00353EF8" w:rsidRPr="007146D0" w:rsidTr="00521CA7">
        <w:trPr>
          <w:trHeight w:val="315"/>
        </w:trPr>
        <w:tc>
          <w:tcPr>
            <w:tcW w:w="9555" w:type="dxa"/>
            <w:gridSpan w:val="4"/>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"Project A"</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286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20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"Depreciation"</w:t>
            </w:r>
          </w:p>
        </w:tc>
        <w:tc>
          <w:tcPr>
            <w:tcW w:w="364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"Net profit(£m)"</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lastRenderedPageBreak/>
              <w:t>0</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-80</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-80.00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25.00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286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55</w:t>
            </w:r>
          </w:p>
        </w:tc>
        <w:tc>
          <w:tcPr>
            <w:tcW w:w="20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3645"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55.00</w:t>
            </w:r>
          </w:p>
        </w:tc>
      </w:tr>
      <w:tr w:rsidR="00353EF8" w:rsidRPr="007146D0" w:rsidTr="00521CA7">
        <w:trPr>
          <w:trHeight w:val="63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286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"Accounting rate of return"</w:t>
            </w:r>
          </w:p>
        </w:tc>
        <w:tc>
          <w:tcPr>
            <w:tcW w:w="20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39.06%</w:t>
            </w:r>
          </w:p>
        </w:tc>
        <w:tc>
          <w:tcPr>
            <w:tcW w:w="364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r>
    </w:tbl>
    <w:p w:rsidR="00353EF8" w:rsidRPr="007146D0" w:rsidRDefault="00353EF8" w:rsidP="00BE0043">
      <w:pPr>
        <w:spacing w:line="360" w:lineRule="auto"/>
        <w:jc w:val="center"/>
        <w:rPr>
          <w:b/>
        </w:rPr>
      </w:pPr>
      <w:r w:rsidRPr="007146D0">
        <w:rPr>
          <w:b/>
        </w:rPr>
        <w:t>Table 13: “Project A: Accounting Rate of Return (ARR)”</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 xml:space="preserve">“Project A” has an “ARR” of 39.06% which reveals a high level of profitability in comparison with its initial investment. This high percentage shows effective capital utilisation as it will serve to yield good returns in the lifespan of the project. This </w:t>
      </w:r>
      <w:r w:rsidR="001F4D45" w:rsidRPr="007146D0">
        <w:t>favourable</w:t>
      </w:r>
      <w:r w:rsidRPr="007146D0">
        <w:t xml:space="preserve"> “ARR” is due to the consistent positive net profits and especially the large profit generated in the fourth year of the investment.</w:t>
      </w:r>
    </w:p>
    <w:p w:rsidR="00353EF8" w:rsidRPr="007146D0" w:rsidRDefault="00353EF8" w:rsidP="00BE0043">
      <w:pPr>
        <w:spacing w:line="360" w:lineRule="auto"/>
      </w:pPr>
      <w:r w:rsidRPr="007146D0">
        <w:rPr>
          <w:b/>
          <w:i/>
        </w:rPr>
        <w:t>Project B: “Accounting Rate of Return (ARR)”</w:t>
      </w:r>
    </w:p>
    <w:tbl>
      <w:tblPr>
        <w:tblW w:w="9765" w:type="dxa"/>
        <w:tblBorders>
          <w:top w:val="nil"/>
          <w:left w:val="nil"/>
          <w:bottom w:val="nil"/>
          <w:right w:val="nil"/>
          <w:insideH w:val="nil"/>
          <w:insideV w:val="nil"/>
        </w:tblBorders>
        <w:tblLayout w:type="fixed"/>
        <w:tblLook w:val="0600"/>
      </w:tblPr>
      <w:tblGrid>
        <w:gridCol w:w="975"/>
        <w:gridCol w:w="3120"/>
        <w:gridCol w:w="2970"/>
        <w:gridCol w:w="2700"/>
      </w:tblGrid>
      <w:tr w:rsidR="00353EF8" w:rsidRPr="007146D0" w:rsidTr="00521CA7">
        <w:trPr>
          <w:trHeight w:val="315"/>
        </w:trPr>
        <w:tc>
          <w:tcPr>
            <w:tcW w:w="9765" w:type="dxa"/>
            <w:gridSpan w:val="4"/>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"Project B"</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31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29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"Depreciation"</w:t>
            </w:r>
          </w:p>
        </w:tc>
        <w:tc>
          <w:tcPr>
            <w:tcW w:w="27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"Net profit(£m)"</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lastRenderedPageBreak/>
              <w:t>0</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-75</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-75.00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50</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50.00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312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297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700" w:type="dxa"/>
            <w:tcBorders>
              <w:top w:val="nil"/>
              <w:left w:val="nil"/>
              <w:bottom w:val="single" w:sz="5" w:space="0" w:color="000000"/>
              <w:right w:val="single" w:sz="5" w:space="0" w:color="000000"/>
            </w:tcBorders>
            <w:shd w:val="clear" w:color="auto" w:fill="92D050"/>
            <w:tcMar>
              <w:top w:w="0" w:type="dxa"/>
              <w:left w:w="100" w:type="dxa"/>
              <w:bottom w:w="0" w:type="dxa"/>
              <w:right w:w="100" w:type="dxa"/>
            </w:tcMar>
          </w:tcPr>
          <w:p w:rsidR="00353EF8" w:rsidRPr="007146D0" w:rsidRDefault="00353EF8" w:rsidP="00BE0043">
            <w:pPr>
              <w:spacing w:before="240" w:line="360" w:lineRule="auto"/>
              <w:jc w:val="center"/>
            </w:pPr>
            <w:r w:rsidRPr="007146D0">
              <w:t>20.00</w:t>
            </w:r>
          </w:p>
        </w:tc>
      </w:tr>
      <w:tr w:rsidR="00353EF8" w:rsidRPr="007146D0" w:rsidTr="00521CA7">
        <w:trPr>
          <w:trHeight w:val="63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31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"Accounting rate of return"</w:t>
            </w:r>
          </w:p>
        </w:tc>
        <w:tc>
          <w:tcPr>
            <w:tcW w:w="29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36.67%</w:t>
            </w:r>
          </w:p>
        </w:tc>
        <w:tc>
          <w:tcPr>
            <w:tcW w:w="27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r>
    </w:tbl>
    <w:p w:rsidR="00353EF8" w:rsidRPr="007146D0" w:rsidRDefault="00353EF8" w:rsidP="00BE0043">
      <w:pPr>
        <w:spacing w:line="360" w:lineRule="auto"/>
        <w:jc w:val="center"/>
        <w:rPr>
          <w:b/>
        </w:rPr>
      </w:pPr>
      <w:r w:rsidRPr="007146D0">
        <w:rPr>
          <w:b/>
        </w:rPr>
        <w:t>Table 14: “Project B: Accounting Rate of Return (ARR)”</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“Project B” had a 36.67% is also good, though still less than Project A which shows that it has good profitability and effective use of invested capital. The high initial profit in the first year also offsets this high “ARR” while the earnings value and subsequent cash flows are substantially lower than in “Project A”.</w:t>
      </w:r>
    </w:p>
    <w:p w:rsidR="00353EF8" w:rsidRPr="007146D0" w:rsidRDefault="00353EF8" w:rsidP="00BE0043">
      <w:pPr>
        <w:spacing w:line="360" w:lineRule="auto"/>
        <w:rPr>
          <w:b/>
        </w:rPr>
      </w:pPr>
      <w:r w:rsidRPr="007146D0">
        <w:rPr>
          <w:b/>
          <w:i/>
        </w:rPr>
        <w:t>Project A: “Net Present Value (NPV)”</w:t>
      </w:r>
    </w:p>
    <w:tbl>
      <w:tblPr>
        <w:tblW w:w="9540" w:type="dxa"/>
        <w:tblBorders>
          <w:top w:val="nil"/>
          <w:left w:val="nil"/>
          <w:bottom w:val="nil"/>
          <w:right w:val="nil"/>
          <w:insideH w:val="nil"/>
          <w:insideV w:val="nil"/>
        </w:tblBorders>
        <w:tblLayout w:type="fixed"/>
        <w:tblLook w:val="0600"/>
      </w:tblPr>
      <w:tblGrid>
        <w:gridCol w:w="975"/>
        <w:gridCol w:w="2250"/>
        <w:gridCol w:w="3300"/>
        <w:gridCol w:w="3015"/>
      </w:tblGrid>
      <w:tr w:rsidR="00353EF8" w:rsidRPr="007146D0" w:rsidTr="00521CA7">
        <w:trPr>
          <w:trHeight w:val="315"/>
        </w:trPr>
        <w:tc>
          <w:tcPr>
            <w:tcW w:w="9540" w:type="dxa"/>
            <w:gridSpan w:val="4"/>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"Project A"</w:t>
            </w:r>
          </w:p>
        </w:tc>
      </w:tr>
      <w:tr w:rsidR="00353EF8" w:rsidRPr="007146D0" w:rsidTr="00521CA7">
        <w:trPr>
          <w:trHeight w:val="63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225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"Cash inflow (£m)"</w:t>
            </w:r>
          </w:p>
        </w:tc>
        <w:tc>
          <w:tcPr>
            <w:tcW w:w="33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"Discounting factor @9.75%"</w:t>
            </w:r>
          </w:p>
        </w:tc>
        <w:tc>
          <w:tcPr>
            <w:tcW w:w="30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"Present value(£m)"</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-80</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-80.00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lastRenderedPageBreak/>
              <w:t>1</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0.91</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22.78</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25</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0.83</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20.76</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0.76</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15.13</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225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55</w:t>
            </w:r>
          </w:p>
        </w:tc>
        <w:tc>
          <w:tcPr>
            <w:tcW w:w="3300"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0.69</w:t>
            </w:r>
          </w:p>
        </w:tc>
        <w:tc>
          <w:tcPr>
            <w:tcW w:w="3015" w:type="dxa"/>
            <w:tcBorders>
              <w:top w:val="nil"/>
              <w:left w:val="nil"/>
              <w:bottom w:val="single" w:sz="5" w:space="0" w:color="000000"/>
              <w:right w:val="single" w:sz="5" w:space="0" w:color="000000"/>
            </w:tcBorders>
            <w:shd w:val="clear" w:color="auto" w:fill="CCECFF"/>
            <w:tcMar>
              <w:top w:w="0" w:type="dxa"/>
              <w:left w:w="100" w:type="dxa"/>
              <w:bottom w:w="0" w:type="dxa"/>
              <w:right w:w="100" w:type="dxa"/>
            </w:tcMar>
          </w:tcPr>
          <w:p w:rsidR="00353EF8" w:rsidRPr="007146D0" w:rsidRDefault="00353EF8" w:rsidP="00BE0043">
            <w:pPr>
              <w:spacing w:before="240" w:line="360" w:lineRule="auto"/>
              <w:jc w:val="center"/>
            </w:pPr>
            <w:r w:rsidRPr="007146D0">
              <w:t>37.91</w:t>
            </w:r>
          </w:p>
        </w:tc>
      </w:tr>
      <w:tr w:rsidR="00353EF8" w:rsidRPr="007146D0" w:rsidTr="00521CA7">
        <w:trPr>
          <w:trHeight w:val="57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p>
        </w:tc>
        <w:tc>
          <w:tcPr>
            <w:tcW w:w="225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"Net present value"</w:t>
            </w:r>
          </w:p>
        </w:tc>
        <w:tc>
          <w:tcPr>
            <w:tcW w:w="33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16.57</w:t>
            </w:r>
          </w:p>
        </w:tc>
        <w:tc>
          <w:tcPr>
            <w:tcW w:w="301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p>
        </w:tc>
      </w:tr>
    </w:tbl>
    <w:p w:rsidR="00353EF8" w:rsidRPr="007146D0" w:rsidRDefault="00353EF8" w:rsidP="00BE0043">
      <w:pPr>
        <w:spacing w:line="360" w:lineRule="auto"/>
        <w:jc w:val="center"/>
        <w:rPr>
          <w:b/>
        </w:rPr>
      </w:pPr>
      <w:r w:rsidRPr="007146D0">
        <w:rPr>
          <w:b/>
        </w:rPr>
        <w:t>Table 15: “Project A: Net Present Value (NPV)”</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rPr>
          <w:b/>
          <w:i/>
        </w:rPr>
        <w:t>Evaluation of the calculations:</w:t>
      </w:r>
    </w:p>
    <w:p w:rsidR="00353EF8" w:rsidRPr="007146D0" w:rsidRDefault="00353EF8" w:rsidP="00BE0043">
      <w:pPr>
        <w:spacing w:line="360" w:lineRule="auto"/>
      </w:pPr>
      <w:r w:rsidRPr="007146D0">
        <w:t>The result for “Project A” is also positive, it indicates that the “NPV” value is £16.57 million, which shows that the company benefits from it by creating value for it. This has implications for the overall soundness and profitability of the project, meaning that the project should be implemented. This means that while there is a negative cash flow in the first year, the gain in the subsequent years, especially year 4, shows higher cash inflow and improves the “NPV”.</w:t>
      </w:r>
    </w:p>
    <w:p w:rsidR="00353EF8" w:rsidRPr="007146D0" w:rsidRDefault="00353EF8" w:rsidP="00BE0043">
      <w:pPr>
        <w:spacing w:line="360" w:lineRule="auto"/>
      </w:pPr>
      <w:r w:rsidRPr="007146D0">
        <w:rPr>
          <w:b/>
          <w:i/>
        </w:rPr>
        <w:t>Project B: “Net Present Value (NPV)”</w:t>
      </w:r>
    </w:p>
    <w:tbl>
      <w:tblPr>
        <w:tblW w:w="9510" w:type="dxa"/>
        <w:tblBorders>
          <w:top w:val="nil"/>
          <w:left w:val="nil"/>
          <w:bottom w:val="nil"/>
          <w:right w:val="nil"/>
          <w:insideH w:val="nil"/>
          <w:insideV w:val="nil"/>
        </w:tblBorders>
        <w:tblLayout w:type="fixed"/>
        <w:tblLook w:val="0600"/>
      </w:tblPr>
      <w:tblGrid>
        <w:gridCol w:w="975"/>
        <w:gridCol w:w="2280"/>
        <w:gridCol w:w="3285"/>
        <w:gridCol w:w="2970"/>
      </w:tblGrid>
      <w:tr w:rsidR="00353EF8" w:rsidRPr="007146D0" w:rsidTr="00521CA7">
        <w:trPr>
          <w:trHeight w:val="315"/>
        </w:trPr>
        <w:tc>
          <w:tcPr>
            <w:tcW w:w="9510" w:type="dxa"/>
            <w:gridSpan w:val="4"/>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p w:rsidR="00353EF8" w:rsidRPr="007146D0" w:rsidRDefault="00353EF8" w:rsidP="00BE0043">
            <w:pPr>
              <w:spacing w:before="240" w:line="360" w:lineRule="auto"/>
              <w:jc w:val="center"/>
              <w:rPr>
                <w:b/>
              </w:rPr>
            </w:pPr>
            <w:r w:rsidRPr="007146D0">
              <w:rPr>
                <w:b/>
              </w:rPr>
              <w:t>"Project B"</w:t>
            </w:r>
          </w:p>
        </w:tc>
      </w:tr>
      <w:tr w:rsidR="00353EF8" w:rsidRPr="007146D0" w:rsidTr="00521CA7">
        <w:trPr>
          <w:trHeight w:val="630"/>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"Year"</w:t>
            </w:r>
          </w:p>
        </w:tc>
        <w:tc>
          <w:tcPr>
            <w:tcW w:w="228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 xml:space="preserve">"Cash inflow (£m)" </w:t>
            </w:r>
          </w:p>
        </w:tc>
        <w:tc>
          <w:tcPr>
            <w:tcW w:w="328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"Discounting factor @9.75%"</w:t>
            </w:r>
          </w:p>
        </w:tc>
        <w:tc>
          <w:tcPr>
            <w:tcW w:w="29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"Present value(£m)"</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-75</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1</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-75.00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lastRenderedPageBreak/>
              <w:t>1</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50</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0.91</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45.56</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2</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0.83</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16.60</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3</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0.76</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15.13</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4</w:t>
            </w:r>
          </w:p>
        </w:tc>
        <w:tc>
          <w:tcPr>
            <w:tcW w:w="228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20</w:t>
            </w:r>
          </w:p>
        </w:tc>
        <w:tc>
          <w:tcPr>
            <w:tcW w:w="3285"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0.69</w:t>
            </w:r>
          </w:p>
        </w:tc>
        <w:tc>
          <w:tcPr>
            <w:tcW w:w="2970" w:type="dxa"/>
            <w:tcBorders>
              <w:top w:val="nil"/>
              <w:left w:val="nil"/>
              <w:bottom w:val="single" w:sz="5" w:space="0" w:color="000000"/>
              <w:right w:val="single" w:sz="5" w:space="0" w:color="000000"/>
            </w:tcBorders>
            <w:shd w:val="clear" w:color="auto" w:fill="CCFFFF"/>
            <w:tcMar>
              <w:top w:w="0" w:type="dxa"/>
              <w:left w:w="100" w:type="dxa"/>
              <w:bottom w:w="0" w:type="dxa"/>
              <w:right w:w="100" w:type="dxa"/>
            </w:tcMar>
          </w:tcPr>
          <w:p w:rsidR="00353EF8" w:rsidRPr="007146D0" w:rsidRDefault="00353EF8" w:rsidP="00BE0043">
            <w:pPr>
              <w:spacing w:before="240" w:line="360" w:lineRule="auto"/>
              <w:jc w:val="center"/>
            </w:pPr>
            <w:r w:rsidRPr="007146D0">
              <w:t>13.79</w:t>
            </w:r>
          </w:p>
        </w:tc>
      </w:tr>
      <w:tr w:rsidR="00353EF8" w:rsidRPr="007146D0" w:rsidTr="00521CA7">
        <w:trPr>
          <w:trHeight w:val="315"/>
        </w:trPr>
        <w:tc>
          <w:tcPr>
            <w:tcW w:w="97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c>
          <w:tcPr>
            <w:tcW w:w="228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"Net present value"</w:t>
            </w:r>
          </w:p>
        </w:tc>
        <w:tc>
          <w:tcPr>
            <w:tcW w:w="328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rPr>
                <w:b/>
              </w:rPr>
            </w:pPr>
            <w:r w:rsidRPr="007146D0">
              <w:rPr>
                <w:b/>
              </w:rPr>
              <w:t>16.08</w:t>
            </w:r>
          </w:p>
        </w:tc>
        <w:tc>
          <w:tcPr>
            <w:tcW w:w="297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rsidR="00353EF8" w:rsidRPr="007146D0" w:rsidRDefault="00353EF8" w:rsidP="00BE0043">
            <w:pPr>
              <w:spacing w:before="240" w:line="360" w:lineRule="auto"/>
              <w:jc w:val="center"/>
            </w:pPr>
          </w:p>
        </w:tc>
      </w:tr>
    </w:tbl>
    <w:p w:rsidR="00353EF8" w:rsidRPr="007146D0" w:rsidRDefault="00353EF8" w:rsidP="00BE0043">
      <w:pPr>
        <w:spacing w:line="360" w:lineRule="auto"/>
        <w:jc w:val="center"/>
        <w:rPr>
          <w:b/>
        </w:rPr>
      </w:pPr>
      <w:r w:rsidRPr="007146D0">
        <w:rPr>
          <w:b/>
        </w:rPr>
        <w:t>Table 16: “Project B: Net Present Value (NPV)”</w:t>
      </w:r>
    </w:p>
    <w:p w:rsidR="00353EF8" w:rsidRPr="007146D0" w:rsidRDefault="00353EF8" w:rsidP="00BE0043">
      <w:pPr>
        <w:spacing w:line="360" w:lineRule="auto"/>
        <w:jc w:val="center"/>
      </w:pPr>
      <w:r w:rsidRPr="007146D0">
        <w:t>(Source: Excel sheet)</w:t>
      </w:r>
    </w:p>
    <w:p w:rsidR="00353EF8" w:rsidRPr="007146D0" w:rsidRDefault="00353EF8" w:rsidP="00BE0043">
      <w:pPr>
        <w:spacing w:line="360" w:lineRule="auto"/>
        <w:rPr>
          <w:b/>
          <w:i/>
        </w:rPr>
      </w:pPr>
      <w:r w:rsidRPr="007146D0">
        <w:t> </w:t>
      </w:r>
      <w:r w:rsidRPr="007146D0">
        <w:rPr>
          <w:b/>
          <w:i/>
        </w:rPr>
        <w:t>Evaluation of the calculations:</w:t>
      </w:r>
    </w:p>
    <w:p w:rsidR="00353EF8" w:rsidRPr="007146D0" w:rsidRDefault="00353EF8" w:rsidP="00BE0043">
      <w:pPr>
        <w:spacing w:line="360" w:lineRule="auto"/>
      </w:pPr>
      <w:r w:rsidRPr="007146D0">
        <w:t>“Project B” also has a positive “NPV” of £16.08 million which is nearly the same as “Project A” hence concluding that “Project” B is financially reasonable and adds value. This positive “NPV” arises from these better initial cash inflows as the annual cash inflows are lower than those of “Project A” in the succeeding years.</w:t>
      </w:r>
    </w:p>
    <w:p w:rsidR="00353EF8" w:rsidRPr="007146D0" w:rsidRDefault="00353EF8" w:rsidP="00BE0043">
      <w:pPr>
        <w:pStyle w:val="Heading3"/>
        <w:keepNext w:val="0"/>
        <w:keepLines w:val="0"/>
        <w:spacing w:before="0" w:after="0" w:line="360" w:lineRule="auto"/>
        <w:rPr>
          <w:b/>
          <w:color w:val="auto"/>
          <w:sz w:val="24"/>
          <w:szCs w:val="24"/>
        </w:rPr>
      </w:pPr>
      <w:bookmarkStart w:id="20" w:name="_2bn6wsx" w:colFirst="0" w:colLast="0"/>
      <w:bookmarkStart w:id="21" w:name="_Toc175143190"/>
      <w:bookmarkEnd w:id="20"/>
      <w:r w:rsidRPr="007146D0">
        <w:rPr>
          <w:b/>
          <w:color w:val="auto"/>
          <w:sz w:val="24"/>
          <w:szCs w:val="24"/>
        </w:rPr>
        <w:t>Recommendations on Project Selection for Investment</w:t>
      </w:r>
      <w:bookmarkEnd w:id="21"/>
      <w:r w:rsidRPr="007146D0">
        <w:rPr>
          <w:b/>
          <w:color w:val="auto"/>
          <w:sz w:val="24"/>
          <w:szCs w:val="24"/>
        </w:rPr>
        <w:t> </w:t>
      </w:r>
    </w:p>
    <w:p w:rsidR="00353EF8" w:rsidRPr="007146D0" w:rsidRDefault="00353EF8" w:rsidP="00BE0043">
      <w:pPr>
        <w:spacing w:line="360" w:lineRule="auto"/>
      </w:pPr>
      <w:r w:rsidRPr="007146D0">
        <w:t>Based on the investment appraisal, both Project A and Project B are worthwhile investment plans with the general impression that the former is slightly superior. Project B provides a shorter payback period of 2.75 years compared to Project A's 3.82 years; Project A demonstrates superior long-term profitability. Project A has a slightly better ARR of 39.06% in contrast to Project B which obtained 36.67% showing that Coetzee manages the capital more efficiently than previously over time.</w:t>
      </w:r>
    </w:p>
    <w:p w:rsidR="00353EF8" w:rsidRPr="007146D0" w:rsidRDefault="00353EF8" w:rsidP="00BE0043">
      <w:pPr>
        <w:spacing w:line="360" w:lineRule="auto"/>
      </w:pPr>
      <w:r w:rsidRPr="007146D0">
        <w:t xml:space="preserve">Moreover, Project A has a slightly higher Net Present Value (NPV) at £16.57 million compared to the case of Project B £16.08 million, which may indicate a little better value creation by the company. The situation with Project A, which has the higher increase in year 4 of its cash </w:t>
      </w:r>
      <w:r w:rsidR="0081301F" w:rsidRPr="007146D0">
        <w:t>flow,</w:t>
      </w:r>
      <w:r w:rsidRPr="007146D0">
        <w:t xml:space="preserve"> </w:t>
      </w:r>
      <w:r w:rsidRPr="007146D0">
        <w:lastRenderedPageBreak/>
        <w:t>also points to the fact that, in general, it outperforms Project B. Both projects are viable financially. However, the company should focus on investing in Project A because although it has a longer payback period, its return and value in the long run are higher than those of Project B.</w:t>
      </w:r>
    </w:p>
    <w:p w:rsidR="001F4D45" w:rsidRPr="007146D0" w:rsidRDefault="001F4D45" w:rsidP="00BE0043">
      <w:pPr>
        <w:pStyle w:val="Heading2"/>
        <w:rPr>
          <w:lang w:val="en-US"/>
        </w:rPr>
      </w:pPr>
      <w:bookmarkStart w:id="22" w:name="_Toc175143191"/>
      <w:r w:rsidRPr="007146D0">
        <w:rPr>
          <w:lang w:val="en-US"/>
        </w:rPr>
        <w:t>2. Advantages and disadvantages of investment appraisal and overview of non-financial factors</w:t>
      </w:r>
      <w:bookmarkEnd w:id="22"/>
    </w:p>
    <w:p w:rsidR="001F4D45" w:rsidRPr="007146D0" w:rsidRDefault="001F4D45" w:rsidP="00BE0043">
      <w:pPr>
        <w:numPr>
          <w:ilvl w:val="0"/>
          <w:numId w:val="1"/>
        </w:numPr>
        <w:spacing w:before="0" w:after="0" w:line="360" w:lineRule="auto"/>
        <w:textAlignment w:val="baseline"/>
        <w:rPr>
          <w:b/>
          <w:bCs/>
          <w:lang w:val="en-US"/>
        </w:rPr>
      </w:pPr>
      <w:r w:rsidRPr="007146D0">
        <w:rPr>
          <w:b/>
          <w:bCs/>
          <w:lang w:val="en-US"/>
        </w:rPr>
        <w:t>Payback period:</w:t>
      </w:r>
    </w:p>
    <w:p w:rsidR="001F4D45" w:rsidRPr="007146D0" w:rsidRDefault="001F4D45" w:rsidP="00BE0043">
      <w:pPr>
        <w:spacing w:before="0" w:after="0" w:line="360" w:lineRule="auto"/>
        <w:rPr>
          <w:lang w:val="en-US"/>
        </w:rPr>
      </w:pPr>
      <w:r w:rsidRPr="007146D0">
        <w:rPr>
          <w:lang w:val="en-US"/>
        </w:rPr>
        <w:t>The payback period is the period of time that takes for an investment that reaches to its breakeven point or that rovers its initial cost and it is usually measured in years. The primary advantage of using “pay-back period” is that it includes ability, simplicity to manage the risk management, liquidity and use of a planning tool. This method has a vital use to appraise the liquidity of the profitability of the project</w:t>
      </w:r>
      <w:r w:rsidR="008B6297" w:rsidRPr="007146D0">
        <w:rPr>
          <w:lang w:val="en-US"/>
        </w:rPr>
        <w:t>.</w:t>
      </w:r>
      <w:r w:rsidRPr="007146D0">
        <w:rPr>
          <w:lang w:val="en-US"/>
        </w:rPr>
        <w:t xml:space="preserve"> It also focuses on the project return and IRR on the investment but not the business decision. One of the drawbacks is the ignorance of the profitability beyond the “payback period”, disregard of the “time value of money” and nature base subjective.</w:t>
      </w:r>
    </w:p>
    <w:p w:rsidR="001F4D45" w:rsidRPr="007146D0" w:rsidRDefault="001F4D45" w:rsidP="00BE0043">
      <w:pPr>
        <w:numPr>
          <w:ilvl w:val="0"/>
          <w:numId w:val="2"/>
        </w:numPr>
        <w:spacing w:before="0" w:after="0" w:line="360" w:lineRule="auto"/>
        <w:textAlignment w:val="baseline"/>
        <w:rPr>
          <w:b/>
          <w:bCs/>
          <w:lang w:val="en-US"/>
        </w:rPr>
      </w:pPr>
      <w:r w:rsidRPr="007146D0">
        <w:rPr>
          <w:b/>
          <w:bCs/>
          <w:lang w:val="en-US"/>
        </w:rPr>
        <w:t>Accounting rate of return:</w:t>
      </w:r>
    </w:p>
    <w:p w:rsidR="001F4D45" w:rsidRPr="007146D0" w:rsidRDefault="001F4D45" w:rsidP="00BE0043">
      <w:pPr>
        <w:spacing w:before="0" w:after="0" w:line="360" w:lineRule="auto"/>
        <w:rPr>
          <w:lang w:val="en-US"/>
        </w:rPr>
      </w:pPr>
      <w:r w:rsidRPr="007146D0">
        <w:rPr>
          <w:lang w:val="en-US"/>
        </w:rPr>
        <w:t>The “accounting rate of return” is the financial matrix which measures the profitability of the potentiality of an asset or investment that compares its average annual accounting profit so as to the initial cost. The main advantage of ARR is that it measures the investment profitability in the decision making and analysis with simplicity that allows the comparison between multiple projects (</w:t>
      </w:r>
      <w:r w:rsidRPr="007146D0">
        <w:rPr>
          <w:shd w:val="clear" w:color="auto" w:fill="FFFFFF"/>
          <w:lang w:val="en-US"/>
        </w:rPr>
        <w:t>Delapedra-Silva, 2022</w:t>
      </w:r>
      <w:r w:rsidRPr="007146D0">
        <w:rPr>
          <w:lang w:val="en-US"/>
        </w:rPr>
        <w:t>). The AAR is the method that affects the profit distribution and demand in the mechanism such as the intensive rate to make the investment to the entry of new investors. This method ignores the time value of money and external factors.</w:t>
      </w:r>
    </w:p>
    <w:p w:rsidR="001F4D45" w:rsidRPr="007146D0" w:rsidRDefault="001F4D45" w:rsidP="00BE0043">
      <w:pPr>
        <w:numPr>
          <w:ilvl w:val="0"/>
          <w:numId w:val="3"/>
        </w:numPr>
        <w:spacing w:before="0" w:after="0" w:line="360" w:lineRule="auto"/>
        <w:textAlignment w:val="baseline"/>
        <w:rPr>
          <w:b/>
          <w:bCs/>
          <w:lang w:val="en-US"/>
        </w:rPr>
      </w:pPr>
      <w:r w:rsidRPr="007146D0">
        <w:rPr>
          <w:b/>
          <w:bCs/>
          <w:lang w:val="en-US"/>
        </w:rPr>
        <w:t>Net present value:</w:t>
      </w:r>
    </w:p>
    <w:p w:rsidR="001F4D45" w:rsidRPr="007146D0" w:rsidRDefault="001F4D45" w:rsidP="00BE0043">
      <w:pPr>
        <w:spacing w:before="0" w:after="0" w:line="360" w:lineRule="auto"/>
        <w:rPr>
          <w:lang w:val="en-US"/>
        </w:rPr>
      </w:pPr>
      <w:r w:rsidRPr="007146D0">
        <w:rPr>
          <w:lang w:val="en-US"/>
        </w:rPr>
        <w:t>The “net present value” is the difference between the present value of cash outflow and cash inflow over a specific period of time. This method is used in the investment planning and capital budgeting that plans to identify the profitability of the project. Analysing NPV makes a critical business decision before investing and understanding the risks associated with the project. NPV confers the time value of money that helps to understand the “future cash flow” in the present value (</w:t>
      </w:r>
      <w:r w:rsidRPr="007146D0">
        <w:rPr>
          <w:shd w:val="clear" w:color="auto" w:fill="FFFFFF"/>
          <w:lang w:val="en-US"/>
        </w:rPr>
        <w:t>Muniesa and Doganova, 2020</w:t>
      </w:r>
      <w:r w:rsidRPr="007146D0">
        <w:rPr>
          <w:lang w:val="en-US"/>
        </w:rPr>
        <w:t xml:space="preserve">). The method of NPV has some drawbacks that </w:t>
      </w:r>
      <w:r w:rsidR="0081301F" w:rsidRPr="007146D0">
        <w:rPr>
          <w:lang w:val="en-US"/>
        </w:rPr>
        <w:t>include</w:t>
      </w:r>
      <w:r w:rsidRPr="007146D0">
        <w:rPr>
          <w:lang w:val="en-US"/>
        </w:rPr>
        <w:t xml:space="preserve"> the </w:t>
      </w:r>
      <w:r w:rsidRPr="007146D0">
        <w:rPr>
          <w:lang w:val="en-US"/>
        </w:rPr>
        <w:lastRenderedPageBreak/>
        <w:t>dependent factors on the need for estimation of future cash inflow, suitable discount rate that cannot be accurate all the time and can be time consuming in nature with controversial assumptions with intermediate cash flows for reinventing in the discount rate of the firm.</w:t>
      </w:r>
    </w:p>
    <w:p w:rsidR="001F4D45" w:rsidRPr="007146D0" w:rsidRDefault="001F4D45" w:rsidP="00BE0043">
      <w:pPr>
        <w:spacing w:before="0" w:after="0" w:line="360" w:lineRule="auto"/>
        <w:rPr>
          <w:lang w:val="en-US"/>
        </w:rPr>
      </w:pPr>
      <w:r w:rsidRPr="007146D0">
        <w:rPr>
          <w:b/>
          <w:bCs/>
          <w:i/>
          <w:iCs/>
          <w:lang w:val="en-US"/>
        </w:rPr>
        <w:t>Non-Financial Factors to be considered:</w:t>
      </w:r>
    </w:p>
    <w:p w:rsidR="00DC1600" w:rsidRPr="007146D0" w:rsidRDefault="001F4D45" w:rsidP="00BE0043">
      <w:pPr>
        <w:spacing w:line="360" w:lineRule="auto"/>
      </w:pPr>
      <w:r w:rsidRPr="007146D0">
        <w:rPr>
          <w:lang w:val="en-US"/>
        </w:rPr>
        <w:t xml:space="preserve">“Non-financial factors” in the financial management are those qualitative factors that are intangible in nature for the purpose of investment projects and cannot be captured by the financial analysts. This </w:t>
      </w:r>
      <w:r w:rsidR="0081301F" w:rsidRPr="007146D0">
        <w:rPr>
          <w:lang w:val="en-US"/>
        </w:rPr>
        <w:t>factor</w:t>
      </w:r>
      <w:r w:rsidRPr="007146D0">
        <w:rPr>
          <w:lang w:val="en-US"/>
        </w:rPr>
        <w:t xml:space="preserve"> indulges decision making process and includes sustainable plan, environmental impacts, customer satisfactions, competitive advantages, social responsibilities and so on. The “non-financial factors” are intangible in nature and highly manipulating factors in the level of surrounding sources (</w:t>
      </w:r>
      <w:r w:rsidRPr="007146D0">
        <w:rPr>
          <w:shd w:val="clear" w:color="auto" w:fill="FFFFFF"/>
          <w:lang w:val="en-US"/>
        </w:rPr>
        <w:t>Mosallanezhad</w:t>
      </w:r>
      <w:r w:rsidR="0081301F">
        <w:rPr>
          <w:shd w:val="clear" w:color="auto" w:fill="FFFFFF"/>
          <w:lang w:val="en-US"/>
        </w:rPr>
        <w:t xml:space="preserve"> </w:t>
      </w:r>
      <w:r w:rsidRPr="007146D0">
        <w:rPr>
          <w:i/>
          <w:iCs/>
          <w:shd w:val="clear" w:color="auto" w:fill="FFFFFF"/>
          <w:lang w:val="en-US"/>
        </w:rPr>
        <w:t>et al.</w:t>
      </w:r>
      <w:r w:rsidRPr="007146D0">
        <w:rPr>
          <w:shd w:val="clear" w:color="auto" w:fill="FFFFFF"/>
          <w:lang w:val="en-US"/>
        </w:rPr>
        <w:t xml:space="preserve"> 2021</w:t>
      </w:r>
      <w:r w:rsidRPr="007146D0">
        <w:rPr>
          <w:lang w:val="en-US"/>
        </w:rPr>
        <w:t>). These factors make benefits towards the project aspects or investment purpose that are not directly generated for cash consumptions but overall performance is highly dependent on impact or decision making purposes.</w:t>
      </w:r>
      <w:r w:rsidR="00D54F4A" w:rsidRPr="007146D0">
        <w:rPr>
          <w:lang w:val="en-GB"/>
        </w:rPr>
        <w:br w:type="page"/>
      </w:r>
    </w:p>
    <w:p w:rsidR="00DC1600" w:rsidRPr="007146D0" w:rsidRDefault="00D54F4A" w:rsidP="00BE0043">
      <w:pPr>
        <w:pStyle w:val="Heading1"/>
        <w:spacing w:line="360" w:lineRule="auto"/>
        <w:rPr>
          <w:lang w:val="en-GB"/>
        </w:rPr>
      </w:pPr>
      <w:bookmarkStart w:id="23" w:name="_wk9j3w80uryc" w:colFirst="0" w:colLast="0"/>
      <w:bookmarkStart w:id="24" w:name="_Toc175143192"/>
      <w:bookmarkEnd w:id="23"/>
      <w:r w:rsidRPr="007146D0">
        <w:rPr>
          <w:lang w:val="en-GB"/>
        </w:rPr>
        <w:lastRenderedPageBreak/>
        <w:t>References</w:t>
      </w:r>
      <w:bookmarkEnd w:id="24"/>
    </w:p>
    <w:p w:rsidR="006E2B40" w:rsidRPr="007146D0" w:rsidRDefault="006E2B40" w:rsidP="00BE0043">
      <w:pPr>
        <w:spacing w:before="240" w:after="240" w:line="360" w:lineRule="auto"/>
        <w:rPr>
          <w:lang w:val="en-US"/>
        </w:rPr>
      </w:pPr>
      <w:r w:rsidRPr="007146D0">
        <w:rPr>
          <w:shd w:val="clear" w:color="auto" w:fill="FFFFFF"/>
          <w:lang w:val="en-US"/>
        </w:rPr>
        <w:t xml:space="preserve">Alalade, Y.S., Ogbebor, P.I. and Nyaudo, T., (2020). Capital structure and profitability of downstream oil and gas firms listed in Nigeria. </w:t>
      </w:r>
      <w:r w:rsidRPr="007146D0">
        <w:rPr>
          <w:i/>
          <w:iCs/>
          <w:lang w:val="en-US"/>
        </w:rPr>
        <w:t>Research Journal of Finance and Accounting</w:t>
      </w:r>
      <w:r w:rsidRPr="007146D0">
        <w:rPr>
          <w:lang w:val="en-US"/>
        </w:rPr>
        <w:t xml:space="preserve">, </w:t>
      </w:r>
      <w:r w:rsidRPr="007146D0">
        <w:rPr>
          <w:i/>
          <w:iCs/>
          <w:lang w:val="en-US"/>
        </w:rPr>
        <w:t>11</w:t>
      </w:r>
      <w:r w:rsidRPr="007146D0">
        <w:rPr>
          <w:lang w:val="en-US"/>
        </w:rPr>
        <w:t>(8), pp.13-24.</w:t>
      </w:r>
    </w:p>
    <w:p w:rsidR="006E2B40" w:rsidRPr="007146D0" w:rsidRDefault="006E2B40" w:rsidP="00BE0043">
      <w:pPr>
        <w:pStyle w:val="Normal1"/>
        <w:spacing w:line="360" w:lineRule="auto"/>
        <w:rPr>
          <w:highlight w:val="white"/>
          <w:lang w:val="en-GB"/>
        </w:rPr>
      </w:pPr>
      <w:r w:rsidRPr="007146D0">
        <w:rPr>
          <w:highlight w:val="white"/>
          <w:lang w:val="en-GB"/>
        </w:rPr>
        <w:t xml:space="preserve">Astrazeneca (2024) </w:t>
      </w:r>
      <w:r w:rsidRPr="007146D0">
        <w:rPr>
          <w:i/>
          <w:highlight w:val="white"/>
          <w:lang w:val="en-GB"/>
        </w:rPr>
        <w:t>AstraZeneca_AR_2020</w:t>
      </w:r>
      <w:r w:rsidRPr="007146D0">
        <w:rPr>
          <w:highlight w:val="white"/>
          <w:lang w:val="en-GB"/>
        </w:rPr>
        <w:t xml:space="preserve"> Available at: </w:t>
      </w:r>
      <w:hyperlink r:id="rId8">
        <w:r w:rsidRPr="007146D0">
          <w:rPr>
            <w:highlight w:val="white"/>
            <w:lang w:val="en-GB"/>
          </w:rPr>
          <w:t>https://www.astrazeneca.com/content/dam/az/Investor_Relations/annual-report-2020/pdf/AstraZeneca_AR_2020.pdf</w:t>
        </w:r>
      </w:hyperlink>
      <w:r w:rsidRPr="007146D0">
        <w:rPr>
          <w:highlight w:val="white"/>
          <w:lang w:val="en-GB"/>
        </w:rPr>
        <w:t xml:space="preserve"> [Accessed on 18th August 2024] </w:t>
      </w:r>
    </w:p>
    <w:p w:rsidR="006E2B40" w:rsidRPr="007146D0" w:rsidRDefault="006E2B40" w:rsidP="00BE0043">
      <w:pPr>
        <w:pStyle w:val="Normal1"/>
        <w:spacing w:line="360" w:lineRule="auto"/>
        <w:rPr>
          <w:highlight w:val="white"/>
          <w:lang w:val="en-GB"/>
        </w:rPr>
      </w:pPr>
      <w:r w:rsidRPr="007146D0">
        <w:rPr>
          <w:highlight w:val="white"/>
          <w:lang w:val="en-GB"/>
        </w:rPr>
        <w:t xml:space="preserve">Astrazeneca (2024) </w:t>
      </w:r>
      <w:r w:rsidRPr="007146D0">
        <w:rPr>
          <w:i/>
          <w:highlight w:val="white"/>
          <w:lang w:val="en-GB"/>
        </w:rPr>
        <w:t>AstraZeneca_AR_2023</w:t>
      </w:r>
      <w:r w:rsidRPr="007146D0">
        <w:rPr>
          <w:highlight w:val="white"/>
          <w:lang w:val="en-GB"/>
        </w:rPr>
        <w:t xml:space="preserve"> Available at:</w:t>
      </w:r>
      <w:hyperlink r:id="rId9">
        <w:r w:rsidRPr="007146D0">
          <w:rPr>
            <w:highlight w:val="white"/>
            <w:lang w:val="en-GB"/>
          </w:rPr>
          <w:t>https://www.astrazeneca.com/content/dam/az/Investor_Relations/annual-report-2023/pdf/AstraZeneca_AR_2023.pdf</w:t>
        </w:r>
      </w:hyperlink>
      <w:r w:rsidRPr="007146D0">
        <w:rPr>
          <w:highlight w:val="white"/>
          <w:lang w:val="en-GB"/>
        </w:rPr>
        <w:t xml:space="preserve"> [Accessed on 18th August 2024] </w:t>
      </w:r>
    </w:p>
    <w:p w:rsidR="006E2B40" w:rsidRPr="007146D0" w:rsidRDefault="006E2B40" w:rsidP="00BE0043">
      <w:pPr>
        <w:pStyle w:val="Normal1"/>
        <w:spacing w:line="360" w:lineRule="auto"/>
        <w:rPr>
          <w:lang w:val="en-GB"/>
        </w:rPr>
      </w:pPr>
      <w:r w:rsidRPr="007146D0">
        <w:t xml:space="preserve">Astrazeneca, (2023). </w:t>
      </w:r>
      <w:r w:rsidRPr="007146D0">
        <w:rPr>
          <w:i/>
          <w:iCs/>
        </w:rPr>
        <w:t>AstraZeneca_AR_2023.pdf.</w:t>
      </w:r>
      <w:r w:rsidRPr="007146D0">
        <w:t xml:space="preserve"> Available at: https://www.astrazeneca.com/content/dam/az/Investor_Relations/annual-report-2023/pdf/AstraZeneca_AR_2023.pdf</w:t>
      </w:r>
      <w:r w:rsidRPr="007146D0">
        <w:rPr>
          <w:lang w:val="en-GB"/>
        </w:rPr>
        <w:t>[Accessed on: 21/08/2024]</w:t>
      </w:r>
    </w:p>
    <w:p w:rsidR="006E2B40" w:rsidRPr="007146D0" w:rsidRDefault="006E2B40" w:rsidP="00BE0043">
      <w:pPr>
        <w:pStyle w:val="Normal1"/>
        <w:spacing w:line="360" w:lineRule="auto"/>
      </w:pPr>
      <w:r w:rsidRPr="007146D0">
        <w:t xml:space="preserve">Astrazeneca, (2024). </w:t>
      </w:r>
      <w:r w:rsidRPr="007146D0">
        <w:rPr>
          <w:i/>
          <w:iCs/>
        </w:rPr>
        <w:t>AstraZeneca outlines strategy to return to growth and achieve scientific leadership.</w:t>
      </w:r>
      <w:r w:rsidRPr="007146D0">
        <w:t xml:space="preserve"> Available at: https://www.astrazeneca.com/media-centre/press-releases/2013/astrazeneca-growth-scientific-leadership-strategy-21032013.html#!</w:t>
      </w:r>
      <w:r w:rsidRPr="007146D0">
        <w:rPr>
          <w:lang w:val="en-GB"/>
        </w:rPr>
        <w:t>[Accessed on: 21/08/2024]</w:t>
      </w:r>
    </w:p>
    <w:p w:rsidR="006E2B40" w:rsidRPr="007146D0" w:rsidRDefault="006E2B40" w:rsidP="00BE0043">
      <w:pPr>
        <w:pStyle w:val="Normal1"/>
        <w:spacing w:line="360" w:lineRule="auto"/>
      </w:pPr>
      <w:r w:rsidRPr="007146D0">
        <w:t xml:space="preserve">Astrazeneca, (2024). </w:t>
      </w:r>
      <w:r w:rsidRPr="007146D0">
        <w:rPr>
          <w:i/>
          <w:iCs/>
        </w:rPr>
        <w:t>The AstraZeneca history timeline.</w:t>
      </w:r>
      <w:r w:rsidRPr="007146D0">
        <w:t xml:space="preserve"> Available at: https://www.astrazeneca.com/our-company/history.html</w:t>
      </w:r>
      <w:r w:rsidRPr="007146D0">
        <w:rPr>
          <w:lang w:val="en-GB"/>
        </w:rPr>
        <w:t>[Accessed on: 21/08/2024]</w:t>
      </w:r>
    </w:p>
    <w:p w:rsidR="006E2B40" w:rsidRPr="007146D0" w:rsidRDefault="006E2B40" w:rsidP="00BE0043">
      <w:pPr>
        <w:spacing w:before="240" w:after="240" w:line="360" w:lineRule="auto"/>
        <w:rPr>
          <w:lang w:val="en-US"/>
        </w:rPr>
      </w:pPr>
      <w:r w:rsidRPr="007146D0">
        <w:rPr>
          <w:shd w:val="clear" w:color="auto" w:fill="FFFFFF"/>
          <w:lang w:val="en-US"/>
        </w:rPr>
        <w:t xml:space="preserve">Ballinda, E., Lau, E.A. and Suharyono, E.Y., (2023). Sustainable Profitability with Assets Management Analysis: A Case Study of PT Tri AnandaPratama Balikpapan–Indonesia. </w:t>
      </w:r>
      <w:r w:rsidRPr="007146D0">
        <w:rPr>
          <w:i/>
          <w:iCs/>
          <w:lang w:val="en-US"/>
        </w:rPr>
        <w:t>Indonesian Journal of Sustainability Policy and Technology</w:t>
      </w:r>
      <w:r w:rsidRPr="007146D0">
        <w:rPr>
          <w:lang w:val="en-US"/>
        </w:rPr>
        <w:t xml:space="preserve">, </w:t>
      </w:r>
      <w:r w:rsidRPr="007146D0">
        <w:rPr>
          <w:i/>
          <w:iCs/>
          <w:lang w:val="en-US"/>
        </w:rPr>
        <w:t>1</w:t>
      </w:r>
      <w:r w:rsidRPr="007146D0">
        <w:rPr>
          <w:lang w:val="en-US"/>
        </w:rPr>
        <w:t>(1), pp.17-29.</w:t>
      </w:r>
    </w:p>
    <w:p w:rsidR="006E2B40" w:rsidRPr="007146D0" w:rsidRDefault="006E2B40" w:rsidP="00BE0043">
      <w:pPr>
        <w:spacing w:before="240" w:after="240" w:line="360" w:lineRule="auto"/>
        <w:rPr>
          <w:lang w:val="en-US"/>
        </w:rPr>
      </w:pPr>
      <w:r w:rsidRPr="007146D0">
        <w:rPr>
          <w:shd w:val="clear" w:color="auto" w:fill="FFFFFF"/>
          <w:lang w:val="en-US"/>
        </w:rPr>
        <w:t xml:space="preserve">Baruah, L. and Panda, N.M., (2020). Measuring corporate reputation: a comprehensive model with enhanced objectivity. </w:t>
      </w:r>
      <w:r w:rsidRPr="007146D0">
        <w:rPr>
          <w:i/>
          <w:iCs/>
          <w:lang w:val="en-US"/>
        </w:rPr>
        <w:t>Asia-Pacific Journal of Business Administration</w:t>
      </w:r>
      <w:r w:rsidRPr="007146D0">
        <w:rPr>
          <w:lang w:val="en-US"/>
        </w:rPr>
        <w:t xml:space="preserve">, </w:t>
      </w:r>
      <w:r w:rsidRPr="007146D0">
        <w:rPr>
          <w:i/>
          <w:iCs/>
          <w:lang w:val="en-US"/>
        </w:rPr>
        <w:t>12</w:t>
      </w:r>
      <w:r w:rsidRPr="007146D0">
        <w:rPr>
          <w:lang w:val="en-US"/>
        </w:rPr>
        <w:t>(2), pp.139-161.</w:t>
      </w:r>
    </w:p>
    <w:p w:rsidR="006E2B40" w:rsidRPr="007146D0" w:rsidRDefault="006E2B40" w:rsidP="00BE0043">
      <w:pPr>
        <w:spacing w:before="240" w:after="240" w:line="360" w:lineRule="auto"/>
        <w:rPr>
          <w:lang w:val="en-US"/>
        </w:rPr>
      </w:pPr>
      <w:r w:rsidRPr="007146D0">
        <w:rPr>
          <w:shd w:val="clear" w:color="auto" w:fill="FFFFFF"/>
          <w:lang w:val="en-US"/>
        </w:rPr>
        <w:t xml:space="preserve">Choiriyah, C., Fatimah, F., Agustina, S. and Ulfa, U., (2020). The effect of return on assets, return on equity, net profit margin, earning per share, and operating profit margin on stock prices </w:t>
      </w:r>
      <w:r w:rsidRPr="007146D0">
        <w:rPr>
          <w:shd w:val="clear" w:color="auto" w:fill="FFFFFF"/>
          <w:lang w:val="en-US"/>
        </w:rPr>
        <w:lastRenderedPageBreak/>
        <w:t xml:space="preserve">of banking companies in Indonesia Stock Exchange. </w:t>
      </w:r>
      <w:r w:rsidRPr="007146D0">
        <w:rPr>
          <w:i/>
          <w:iCs/>
          <w:lang w:val="en-US"/>
        </w:rPr>
        <w:t>International Journal of Finance Research</w:t>
      </w:r>
      <w:r w:rsidRPr="007146D0">
        <w:rPr>
          <w:lang w:val="en-US"/>
        </w:rPr>
        <w:t xml:space="preserve">, </w:t>
      </w:r>
      <w:r w:rsidRPr="007146D0">
        <w:rPr>
          <w:i/>
          <w:iCs/>
          <w:lang w:val="en-US"/>
        </w:rPr>
        <w:t>1</w:t>
      </w:r>
      <w:r w:rsidRPr="007146D0">
        <w:rPr>
          <w:lang w:val="en-US"/>
        </w:rPr>
        <w:t>(2), pp.103-123.</w:t>
      </w:r>
    </w:p>
    <w:p w:rsidR="006E2B40" w:rsidRPr="007146D0" w:rsidRDefault="006E2B40" w:rsidP="00BE0043">
      <w:pPr>
        <w:pStyle w:val="Normal1"/>
        <w:spacing w:line="360" w:lineRule="auto"/>
        <w:rPr>
          <w:lang w:val="en-GB"/>
        </w:rPr>
      </w:pPr>
      <w:r w:rsidRPr="007146D0">
        <w:rPr>
          <w:lang w:val="en-GB"/>
        </w:rPr>
        <w:t xml:space="preserve">Corporatefinanceinstitute, (2024), </w:t>
      </w:r>
      <w:r w:rsidRPr="007146D0">
        <w:rPr>
          <w:i/>
          <w:iCs/>
          <w:lang w:val="en-GB"/>
        </w:rPr>
        <w:t>Efficiency Ratios,</w:t>
      </w:r>
      <w:r w:rsidRPr="007146D0">
        <w:rPr>
          <w:lang w:val="en-GB"/>
        </w:rPr>
        <w:t xml:space="preserve"> Available at: https://corporatefinanceinstitute.com/resources/accounting/efficiency-ratios/, [Accessed on: 21/08/2024]</w:t>
      </w:r>
    </w:p>
    <w:p w:rsidR="006E2B40" w:rsidRPr="007146D0" w:rsidRDefault="006E2B40" w:rsidP="00BE0043">
      <w:pPr>
        <w:spacing w:before="0" w:after="0" w:line="360" w:lineRule="auto"/>
        <w:rPr>
          <w:lang w:val="en-US"/>
        </w:rPr>
      </w:pPr>
      <w:r w:rsidRPr="007146D0">
        <w:rPr>
          <w:lang w:val="en-US"/>
        </w:rPr>
        <w:t>Decline in this parameter indicates inefficiency if the entity and indicates lowering the prices to increase the sales having the negative impact on the stability of the financial sections.</w:t>
      </w:r>
    </w:p>
    <w:p w:rsidR="006E2B40" w:rsidRPr="007146D0" w:rsidRDefault="006E2B40" w:rsidP="00BE0043">
      <w:pPr>
        <w:spacing w:before="240" w:after="240" w:line="360" w:lineRule="auto"/>
        <w:rPr>
          <w:lang w:val="en-US"/>
        </w:rPr>
      </w:pPr>
      <w:r w:rsidRPr="007146D0">
        <w:rPr>
          <w:shd w:val="clear" w:color="auto" w:fill="FFFFFF"/>
          <w:lang w:val="en-US"/>
        </w:rPr>
        <w:t xml:space="preserve">Delapedra-Silva, V., Ferreira, P., Cunha, J. and Kimura, H., (2022). Methods for financial assessment of renewable energy projects: A review. </w:t>
      </w:r>
      <w:r w:rsidRPr="007146D0">
        <w:rPr>
          <w:i/>
          <w:iCs/>
          <w:lang w:val="en-US"/>
        </w:rPr>
        <w:t>Processes</w:t>
      </w:r>
      <w:r w:rsidRPr="007146D0">
        <w:rPr>
          <w:lang w:val="en-US"/>
        </w:rPr>
        <w:t xml:space="preserve">, </w:t>
      </w:r>
      <w:r w:rsidRPr="007146D0">
        <w:rPr>
          <w:i/>
          <w:iCs/>
          <w:lang w:val="en-US"/>
        </w:rPr>
        <w:t>10</w:t>
      </w:r>
      <w:r w:rsidRPr="007146D0">
        <w:rPr>
          <w:lang w:val="en-US"/>
        </w:rPr>
        <w:t>(2), p.184.</w:t>
      </w:r>
    </w:p>
    <w:p w:rsidR="006E2B40" w:rsidRPr="007146D0" w:rsidRDefault="006E2B40" w:rsidP="00BE0043">
      <w:pPr>
        <w:spacing w:before="240" w:after="240" w:line="360" w:lineRule="auto"/>
        <w:rPr>
          <w:lang w:val="en-US"/>
        </w:rPr>
      </w:pPr>
      <w:r w:rsidRPr="007146D0">
        <w:rPr>
          <w:shd w:val="clear" w:color="auto" w:fill="FFFFFF"/>
          <w:lang w:val="en-US"/>
        </w:rPr>
        <w:t xml:space="preserve">Diagne, C., Leroy, B., Vaissière, A.C., Gozlan, R.E., Roiz, D., Jarić, I., Salles, J.M., Bradshaw, C.J. and Courchamp, F., 2021. High and rising economic costs of biological invasions worldwide. </w:t>
      </w:r>
      <w:r w:rsidRPr="007146D0">
        <w:rPr>
          <w:i/>
          <w:iCs/>
          <w:lang w:val="en-US"/>
        </w:rPr>
        <w:t>Nature</w:t>
      </w:r>
      <w:r w:rsidRPr="007146D0">
        <w:rPr>
          <w:lang w:val="en-US"/>
        </w:rPr>
        <w:t xml:space="preserve">, </w:t>
      </w:r>
      <w:r w:rsidRPr="007146D0">
        <w:rPr>
          <w:i/>
          <w:iCs/>
          <w:lang w:val="en-US"/>
        </w:rPr>
        <w:t>592</w:t>
      </w:r>
      <w:r w:rsidRPr="007146D0">
        <w:rPr>
          <w:lang w:val="en-US"/>
        </w:rPr>
        <w:t>(7855), pp.571-576.</w:t>
      </w:r>
    </w:p>
    <w:p w:rsidR="006E2B40" w:rsidRPr="007146D0" w:rsidRDefault="006E2B40" w:rsidP="00BE0043">
      <w:pPr>
        <w:spacing w:before="240" w:after="240" w:line="360" w:lineRule="auto"/>
        <w:rPr>
          <w:lang w:val="en-US"/>
        </w:rPr>
      </w:pPr>
      <w:r w:rsidRPr="007146D0">
        <w:rPr>
          <w:shd w:val="clear" w:color="auto" w:fill="FFFFFF"/>
          <w:lang w:val="en-US"/>
        </w:rPr>
        <w:t xml:space="preserve">Endri, E., Sari, A.K., Budiasih, Y., Yuliantini, T. and Kasmir, K., (2020). Determinants of profit growth in food and beverage companies in Indonesia. </w:t>
      </w:r>
      <w:r w:rsidRPr="007146D0">
        <w:rPr>
          <w:i/>
          <w:iCs/>
          <w:lang w:val="en-US"/>
        </w:rPr>
        <w:t>Journal of Asian Finance, Economics and Business</w:t>
      </w:r>
      <w:r w:rsidRPr="007146D0">
        <w:rPr>
          <w:lang w:val="en-US"/>
        </w:rPr>
        <w:t xml:space="preserve">, </w:t>
      </w:r>
      <w:r w:rsidRPr="007146D0">
        <w:rPr>
          <w:i/>
          <w:iCs/>
          <w:lang w:val="en-US"/>
        </w:rPr>
        <w:t>7</w:t>
      </w:r>
      <w:r w:rsidRPr="007146D0">
        <w:rPr>
          <w:lang w:val="en-US"/>
        </w:rPr>
        <w:t>(12), pp.739-748.</w:t>
      </w:r>
    </w:p>
    <w:p w:rsidR="006E2B40" w:rsidRPr="007146D0" w:rsidRDefault="006E2B40" w:rsidP="00BE0043">
      <w:pPr>
        <w:pStyle w:val="Normal1"/>
        <w:spacing w:line="360" w:lineRule="auto"/>
        <w:rPr>
          <w:lang w:val="en-GB"/>
        </w:rPr>
      </w:pPr>
      <w:r w:rsidRPr="007146D0">
        <w:rPr>
          <w:lang w:val="en-GB"/>
        </w:rPr>
        <w:t xml:space="preserve">Gardner, M.C., Praslicka, B., Johnson, M. and Toliyat, H.A., (2021). Optimization of coaxial magnetic gear design and magnet material grade at different temperatures and gear ratios. </w:t>
      </w:r>
      <w:r w:rsidRPr="007146D0">
        <w:rPr>
          <w:i/>
          <w:iCs/>
          <w:lang w:val="en-GB"/>
        </w:rPr>
        <w:t>IEEE Transactions on Energy Conversion, 36</w:t>
      </w:r>
      <w:r w:rsidRPr="007146D0">
        <w:rPr>
          <w:lang w:val="en-GB"/>
        </w:rPr>
        <w:t>(3), pp.2493-2501.</w:t>
      </w:r>
    </w:p>
    <w:p w:rsidR="006E2B40" w:rsidRPr="007146D0" w:rsidRDefault="006E2B40" w:rsidP="00BE0043">
      <w:pPr>
        <w:pStyle w:val="Normal1"/>
        <w:spacing w:line="360" w:lineRule="auto"/>
        <w:rPr>
          <w:lang w:val="en-GB"/>
        </w:rPr>
      </w:pPr>
      <w:r w:rsidRPr="007146D0">
        <w:rPr>
          <w:lang w:val="en-GB"/>
        </w:rPr>
        <w:t xml:space="preserve"> Gsk, (2024), </w:t>
      </w:r>
      <w:r w:rsidRPr="007146D0">
        <w:rPr>
          <w:i/>
          <w:iCs/>
          <w:lang w:val="en-GB"/>
        </w:rPr>
        <w:t>2023 Annual Report,</w:t>
      </w:r>
      <w:r w:rsidRPr="007146D0">
        <w:rPr>
          <w:lang w:val="en-GB"/>
        </w:rPr>
        <w:t xml:space="preserve"> Available at: https://www.gsk.com/media/11007/annual-report-2023.pdf, [Accessed on: 21/08/2024]</w:t>
      </w:r>
    </w:p>
    <w:p w:rsidR="006E2B40" w:rsidRPr="007146D0" w:rsidRDefault="006E2B40" w:rsidP="00BE0043">
      <w:pPr>
        <w:pStyle w:val="Normal1"/>
        <w:spacing w:line="360" w:lineRule="auto"/>
      </w:pPr>
      <w:r w:rsidRPr="007146D0">
        <w:t xml:space="preserve">Gsk, (2024). </w:t>
      </w:r>
      <w:r w:rsidRPr="007146D0">
        <w:rPr>
          <w:i/>
          <w:iCs/>
        </w:rPr>
        <w:t>History and heritage of GSK.</w:t>
      </w:r>
      <w:r w:rsidRPr="007146D0">
        <w:t xml:space="preserve"> Available at: https://www.gsk.com/en-gb/company/history-and-heritage/</w:t>
      </w:r>
      <w:r w:rsidRPr="007146D0">
        <w:rPr>
          <w:lang w:val="en-GB"/>
        </w:rPr>
        <w:t>[Accessed on: 21/08/2024]</w:t>
      </w:r>
    </w:p>
    <w:p w:rsidR="006E2B40" w:rsidRPr="007146D0" w:rsidRDefault="006E2B40" w:rsidP="00BE0043">
      <w:pPr>
        <w:pStyle w:val="Normal1"/>
        <w:spacing w:line="360" w:lineRule="auto"/>
        <w:rPr>
          <w:highlight w:val="white"/>
          <w:lang w:val="en-GB"/>
        </w:rPr>
      </w:pPr>
      <w:r w:rsidRPr="007146D0">
        <w:rPr>
          <w:highlight w:val="white"/>
          <w:lang w:val="en-GB"/>
        </w:rPr>
        <w:t xml:space="preserve">Hasanuddin, R., Darman, D., Taufan, M.Y., Salim, A., Muslim, M. and Putra, A.H.P.K., (2021). The effect of firm size, debt, current ratio, and investment opportunity set on earnings quality: an empirical study in Indonesia. </w:t>
      </w:r>
      <w:r w:rsidRPr="007146D0">
        <w:rPr>
          <w:i/>
          <w:highlight w:val="white"/>
          <w:lang w:val="en-GB"/>
        </w:rPr>
        <w:t>The Journal of Asian Finance, Economics and Business</w:t>
      </w:r>
      <w:r w:rsidRPr="007146D0">
        <w:rPr>
          <w:highlight w:val="white"/>
          <w:lang w:val="en-GB"/>
        </w:rPr>
        <w:t xml:space="preserve">, </w:t>
      </w:r>
      <w:r w:rsidRPr="007146D0">
        <w:rPr>
          <w:i/>
          <w:highlight w:val="white"/>
          <w:lang w:val="en-GB"/>
        </w:rPr>
        <w:t>8</w:t>
      </w:r>
      <w:r w:rsidRPr="007146D0">
        <w:rPr>
          <w:highlight w:val="white"/>
          <w:lang w:val="en-GB"/>
        </w:rPr>
        <w:t>(6), pp.179-188.</w:t>
      </w:r>
    </w:p>
    <w:p w:rsidR="006E2B40" w:rsidRPr="007146D0" w:rsidRDefault="006E2B40" w:rsidP="00BE0043">
      <w:pPr>
        <w:spacing w:before="240" w:after="240" w:line="360" w:lineRule="auto"/>
        <w:rPr>
          <w:lang w:val="en-US"/>
        </w:rPr>
      </w:pPr>
      <w:r w:rsidRPr="007146D0">
        <w:rPr>
          <w:shd w:val="clear" w:color="auto" w:fill="FFFFFF"/>
          <w:lang w:val="en-US"/>
        </w:rPr>
        <w:lastRenderedPageBreak/>
        <w:t xml:space="preserve">Kaya, A.Y., (2022). </w:t>
      </w:r>
      <w:r w:rsidRPr="007146D0">
        <w:rPr>
          <w:i/>
          <w:iCs/>
          <w:lang w:val="en-US"/>
        </w:rPr>
        <w:t>Financial health of npos: a study on nonprofit financial wellbeing and accounting process</w:t>
      </w:r>
      <w:r w:rsidRPr="007146D0">
        <w:rPr>
          <w:lang w:val="en-US"/>
        </w:rPr>
        <w:t xml:space="preserve"> (Master's thesis, Türk-AlmanÜniversitesiSosyalBilimlerEnstitüsü).</w:t>
      </w:r>
    </w:p>
    <w:p w:rsidR="006E2B40" w:rsidRPr="007146D0" w:rsidRDefault="006E2B40" w:rsidP="00BE0043">
      <w:pPr>
        <w:spacing w:before="240" w:after="240" w:line="360" w:lineRule="auto"/>
        <w:rPr>
          <w:lang w:val="en-US"/>
        </w:rPr>
      </w:pPr>
      <w:r w:rsidRPr="007146D0">
        <w:rPr>
          <w:shd w:val="clear" w:color="auto" w:fill="FFFFFF"/>
          <w:lang w:val="en-US"/>
        </w:rPr>
        <w:t xml:space="preserve">Lamuda, I., Rahmat, A. and Choube, P.R., (2023). Role Liquidity for Pay off Short Term Debt. </w:t>
      </w:r>
      <w:r w:rsidRPr="007146D0">
        <w:rPr>
          <w:i/>
          <w:iCs/>
          <w:lang w:val="en-US"/>
        </w:rPr>
        <w:t>Global Scientific Review</w:t>
      </w:r>
      <w:r w:rsidRPr="007146D0">
        <w:rPr>
          <w:lang w:val="en-US"/>
        </w:rPr>
        <w:t xml:space="preserve">, </w:t>
      </w:r>
      <w:r w:rsidRPr="007146D0">
        <w:rPr>
          <w:i/>
          <w:iCs/>
          <w:lang w:val="en-US"/>
        </w:rPr>
        <w:t>22</w:t>
      </w:r>
      <w:r w:rsidRPr="007146D0">
        <w:rPr>
          <w:lang w:val="en-US"/>
        </w:rPr>
        <w:t>, pp.365-374.</w:t>
      </w:r>
    </w:p>
    <w:p w:rsidR="006E2B40" w:rsidRPr="007146D0" w:rsidRDefault="006E2B40" w:rsidP="00BE0043">
      <w:pPr>
        <w:spacing w:before="240" w:after="240" w:line="360" w:lineRule="auto"/>
        <w:rPr>
          <w:lang w:val="en-US"/>
        </w:rPr>
      </w:pPr>
      <w:r w:rsidRPr="007146D0">
        <w:rPr>
          <w:shd w:val="clear" w:color="auto" w:fill="FFFFFF"/>
          <w:lang w:val="en-US"/>
        </w:rPr>
        <w:t xml:space="preserve">Mosallanezhad, T., Khajavi, S., Gholami, A. and Valipour, H., (2021). Investigating the effects of disclosure of non-financial intangible information on investors’ judgment about future financial performance of the company. </w:t>
      </w:r>
      <w:r w:rsidRPr="007146D0">
        <w:rPr>
          <w:i/>
          <w:iCs/>
          <w:lang w:val="en-US"/>
        </w:rPr>
        <w:t>Iranian Journal of Finance</w:t>
      </w:r>
      <w:r w:rsidRPr="007146D0">
        <w:rPr>
          <w:lang w:val="en-US"/>
        </w:rPr>
        <w:t xml:space="preserve">, </w:t>
      </w:r>
      <w:r w:rsidRPr="007146D0">
        <w:rPr>
          <w:i/>
          <w:iCs/>
          <w:lang w:val="en-US"/>
        </w:rPr>
        <w:t>5</w:t>
      </w:r>
      <w:r w:rsidRPr="007146D0">
        <w:rPr>
          <w:lang w:val="en-US"/>
        </w:rPr>
        <w:t>(2), pp.21-45.</w:t>
      </w:r>
    </w:p>
    <w:p w:rsidR="006E2B40" w:rsidRPr="007146D0" w:rsidRDefault="006E2B40" w:rsidP="00BE0043">
      <w:pPr>
        <w:spacing w:before="240" w:after="240" w:line="360" w:lineRule="auto"/>
        <w:rPr>
          <w:lang w:val="en-US"/>
        </w:rPr>
      </w:pPr>
      <w:r w:rsidRPr="007146D0">
        <w:rPr>
          <w:shd w:val="clear" w:color="auto" w:fill="FFFFFF"/>
          <w:lang w:val="en-US"/>
        </w:rPr>
        <w:t xml:space="preserve">Muniesa, F. and Doganova, L., (2020). The time that money requires: Use of the future and critique of the present in financial valuation. </w:t>
      </w:r>
      <w:r w:rsidRPr="007146D0">
        <w:rPr>
          <w:i/>
          <w:iCs/>
          <w:lang w:val="en-US"/>
        </w:rPr>
        <w:t>Finance and society</w:t>
      </w:r>
      <w:r w:rsidRPr="007146D0">
        <w:rPr>
          <w:lang w:val="en-US"/>
        </w:rPr>
        <w:t xml:space="preserve">, </w:t>
      </w:r>
      <w:r w:rsidRPr="007146D0">
        <w:rPr>
          <w:i/>
          <w:iCs/>
          <w:lang w:val="en-US"/>
        </w:rPr>
        <w:t>6</w:t>
      </w:r>
      <w:r w:rsidRPr="007146D0">
        <w:rPr>
          <w:lang w:val="en-US"/>
        </w:rPr>
        <w:t>(2), pp.95-113.</w:t>
      </w:r>
    </w:p>
    <w:p w:rsidR="006E2B40" w:rsidRPr="007146D0" w:rsidRDefault="006E2B40" w:rsidP="00BE0043">
      <w:pPr>
        <w:pStyle w:val="Normal1"/>
        <w:spacing w:line="360" w:lineRule="auto"/>
        <w:rPr>
          <w:highlight w:val="white"/>
          <w:lang w:val="en-GB"/>
        </w:rPr>
      </w:pPr>
      <w:r w:rsidRPr="007146D0">
        <w:rPr>
          <w:highlight w:val="white"/>
          <w:lang w:val="en-GB"/>
        </w:rPr>
        <w:t xml:space="preserve">Nariswari, T.N. and Nugraha, N.M., (2020). Profit growth: impact of net profit margin, gross profit margin and total assests turnover. </w:t>
      </w:r>
      <w:r w:rsidRPr="007146D0">
        <w:rPr>
          <w:i/>
          <w:highlight w:val="white"/>
          <w:lang w:val="en-GB"/>
        </w:rPr>
        <w:t>International Journal of Finance &amp; Banking Studies (2147-4486)</w:t>
      </w:r>
      <w:r w:rsidRPr="007146D0">
        <w:rPr>
          <w:highlight w:val="white"/>
          <w:lang w:val="en-GB"/>
        </w:rPr>
        <w:t xml:space="preserve">, </w:t>
      </w:r>
      <w:r w:rsidRPr="007146D0">
        <w:rPr>
          <w:i/>
          <w:highlight w:val="white"/>
          <w:lang w:val="en-GB"/>
        </w:rPr>
        <w:t>9</w:t>
      </w:r>
      <w:r w:rsidRPr="007146D0">
        <w:rPr>
          <w:highlight w:val="white"/>
          <w:lang w:val="en-GB"/>
        </w:rPr>
        <w:t>(4), pp.87-96.</w:t>
      </w:r>
    </w:p>
    <w:p w:rsidR="006E2B40" w:rsidRPr="007146D0" w:rsidRDefault="006E2B40" w:rsidP="00BE0043">
      <w:pPr>
        <w:pStyle w:val="Normal1"/>
        <w:spacing w:line="360" w:lineRule="auto"/>
        <w:rPr>
          <w:highlight w:val="white"/>
          <w:lang w:val="en-GB"/>
        </w:rPr>
      </w:pPr>
      <w:r w:rsidRPr="007146D0">
        <w:rPr>
          <w:highlight w:val="white"/>
          <w:lang w:val="en-GB"/>
        </w:rPr>
        <w:t xml:space="preserve">Olayinka, A.A., (2022). Financial statement analysis as a tool for investment decisions and assessment of companies’ performance. </w:t>
      </w:r>
      <w:r w:rsidRPr="007146D0">
        <w:rPr>
          <w:i/>
          <w:highlight w:val="white"/>
          <w:lang w:val="en-GB"/>
        </w:rPr>
        <w:t>International Journal of Financial, Accounting, and Management</w:t>
      </w:r>
      <w:r w:rsidRPr="007146D0">
        <w:rPr>
          <w:highlight w:val="white"/>
          <w:lang w:val="en-GB"/>
        </w:rPr>
        <w:t xml:space="preserve">, </w:t>
      </w:r>
      <w:r w:rsidRPr="007146D0">
        <w:rPr>
          <w:i/>
          <w:highlight w:val="white"/>
          <w:lang w:val="en-GB"/>
        </w:rPr>
        <w:t>4</w:t>
      </w:r>
      <w:r w:rsidRPr="007146D0">
        <w:rPr>
          <w:highlight w:val="white"/>
          <w:lang w:val="en-GB"/>
        </w:rPr>
        <w:t>(1), pp.49-66.</w:t>
      </w:r>
    </w:p>
    <w:p w:rsidR="006E2B40" w:rsidRPr="007146D0" w:rsidRDefault="006E2B40" w:rsidP="00BE0043">
      <w:pPr>
        <w:spacing w:before="240" w:after="240" w:line="360" w:lineRule="auto"/>
        <w:rPr>
          <w:lang w:val="en-US"/>
        </w:rPr>
      </w:pPr>
      <w:r w:rsidRPr="007146D0">
        <w:rPr>
          <w:shd w:val="clear" w:color="auto" w:fill="FFFFFF"/>
          <w:lang w:val="en-US"/>
        </w:rPr>
        <w:t xml:space="preserve">Orji, A., EO, N. and Agubata, N., (2021). Effect of debt-equity financing on firms performance in Nigeria. </w:t>
      </w:r>
      <w:r w:rsidRPr="007146D0">
        <w:rPr>
          <w:i/>
          <w:iCs/>
          <w:lang w:val="en-US"/>
        </w:rPr>
        <w:t>J Account FinancManag</w:t>
      </w:r>
      <w:r w:rsidRPr="007146D0">
        <w:rPr>
          <w:lang w:val="en-US"/>
        </w:rPr>
        <w:t xml:space="preserve">, </w:t>
      </w:r>
      <w:r w:rsidRPr="007146D0">
        <w:rPr>
          <w:i/>
          <w:iCs/>
          <w:lang w:val="en-US"/>
        </w:rPr>
        <w:t>73</w:t>
      </w:r>
      <w:r w:rsidRPr="007146D0">
        <w:rPr>
          <w:lang w:val="en-US"/>
        </w:rPr>
        <w:t>.</w:t>
      </w:r>
    </w:p>
    <w:p w:rsidR="006E2B40" w:rsidRPr="007146D0" w:rsidRDefault="006E2B40" w:rsidP="00BE0043">
      <w:pPr>
        <w:pStyle w:val="Normal1"/>
        <w:spacing w:line="360" w:lineRule="auto"/>
        <w:rPr>
          <w:highlight w:val="white"/>
          <w:lang w:val="en-GB"/>
        </w:rPr>
      </w:pPr>
      <w:r w:rsidRPr="007146D0">
        <w:rPr>
          <w:highlight w:val="white"/>
          <w:lang w:val="en-GB"/>
        </w:rPr>
        <w:t xml:space="preserve">Patin, J.C., Rahman, M. and Mustafa, M., (2020). Impact of total asset turnover ratios on equity returns: Dynamic panel data analyses. </w:t>
      </w:r>
      <w:r w:rsidRPr="007146D0">
        <w:rPr>
          <w:i/>
          <w:highlight w:val="white"/>
          <w:lang w:val="en-GB"/>
        </w:rPr>
        <w:t>Journal of Accounting, Business and Management (JABM)</w:t>
      </w:r>
      <w:r w:rsidRPr="007146D0">
        <w:rPr>
          <w:highlight w:val="white"/>
          <w:lang w:val="en-GB"/>
        </w:rPr>
        <w:t xml:space="preserve">, </w:t>
      </w:r>
      <w:r w:rsidRPr="007146D0">
        <w:rPr>
          <w:i/>
          <w:highlight w:val="white"/>
          <w:lang w:val="en-GB"/>
        </w:rPr>
        <w:t>27</w:t>
      </w:r>
      <w:r w:rsidRPr="007146D0">
        <w:rPr>
          <w:highlight w:val="white"/>
          <w:lang w:val="en-GB"/>
        </w:rPr>
        <w:t>(1), pp.19-29.</w:t>
      </w:r>
    </w:p>
    <w:p w:rsidR="006E2B40" w:rsidRPr="007146D0" w:rsidRDefault="006E2B40" w:rsidP="00BE0043">
      <w:pPr>
        <w:pStyle w:val="Normal1"/>
        <w:spacing w:line="360" w:lineRule="auto"/>
        <w:rPr>
          <w:lang w:val="en-GB"/>
        </w:rPr>
      </w:pPr>
      <w:r w:rsidRPr="007146D0">
        <w:rPr>
          <w:lang w:val="en-GB"/>
        </w:rPr>
        <w:t xml:space="preserve">Shygun, M.M., Ostapiuk, N.A., Zayachkivska, O.V. and Goylo, N.V., (2020). The influence of the classification of non-current assets as holding for sales on the liquidity of the company’s balance sheet. </w:t>
      </w:r>
      <w:r w:rsidRPr="007146D0">
        <w:rPr>
          <w:i/>
          <w:iCs/>
          <w:lang w:val="en-GB"/>
        </w:rPr>
        <w:t>Entrepreneurship and sustainability issues, 8</w:t>
      </w:r>
      <w:r w:rsidRPr="007146D0">
        <w:rPr>
          <w:lang w:val="en-GB"/>
        </w:rPr>
        <w:t>(1), p.430.</w:t>
      </w:r>
    </w:p>
    <w:p w:rsidR="006E2B40" w:rsidRPr="007146D0" w:rsidRDefault="006E2B40" w:rsidP="00BE0043">
      <w:pPr>
        <w:spacing w:before="240" w:after="240" w:line="360" w:lineRule="auto"/>
        <w:rPr>
          <w:lang w:val="en-US"/>
        </w:rPr>
      </w:pPr>
      <w:r w:rsidRPr="007146D0">
        <w:rPr>
          <w:shd w:val="clear" w:color="auto" w:fill="FFFFFF"/>
          <w:lang w:val="en-US"/>
        </w:rPr>
        <w:t xml:space="preserve">Simon, H., (2021). </w:t>
      </w:r>
      <w:r w:rsidRPr="007146D0">
        <w:rPr>
          <w:i/>
          <w:iCs/>
          <w:lang w:val="en-US"/>
        </w:rPr>
        <w:t>True Profit!</w:t>
      </w:r>
      <w:r w:rsidRPr="007146D0">
        <w:rPr>
          <w:lang w:val="en-US"/>
        </w:rPr>
        <w:t>. Springer International Publishing.</w:t>
      </w:r>
    </w:p>
    <w:p w:rsidR="006E2B40" w:rsidRPr="007146D0" w:rsidRDefault="006E2B40" w:rsidP="00BE0043">
      <w:pPr>
        <w:pStyle w:val="Normal1"/>
        <w:spacing w:line="360" w:lineRule="auto"/>
        <w:rPr>
          <w:highlight w:val="white"/>
          <w:lang w:val="en-GB"/>
        </w:rPr>
      </w:pPr>
      <w:r w:rsidRPr="007146D0">
        <w:rPr>
          <w:highlight w:val="white"/>
          <w:lang w:val="en-GB"/>
        </w:rPr>
        <w:t xml:space="preserve">Tumanggor, M., (2020). The influence of current ratio, quick ratio and net profit margin on return on assets at pt. hero supermarket tbk. </w:t>
      </w:r>
      <w:r w:rsidRPr="007146D0">
        <w:rPr>
          <w:i/>
          <w:highlight w:val="white"/>
          <w:lang w:val="en-GB"/>
        </w:rPr>
        <w:t>PINISI Discretion Review</w:t>
      </w:r>
      <w:r w:rsidRPr="007146D0">
        <w:rPr>
          <w:highlight w:val="white"/>
          <w:lang w:val="en-GB"/>
        </w:rPr>
        <w:t xml:space="preserve">, </w:t>
      </w:r>
      <w:r w:rsidRPr="007146D0">
        <w:rPr>
          <w:i/>
          <w:highlight w:val="white"/>
          <w:lang w:val="en-GB"/>
        </w:rPr>
        <w:t>3</w:t>
      </w:r>
      <w:r w:rsidRPr="007146D0">
        <w:rPr>
          <w:highlight w:val="white"/>
          <w:lang w:val="en-GB"/>
        </w:rPr>
        <w:t>(2), pp.137-146.</w:t>
      </w:r>
    </w:p>
    <w:p w:rsidR="006E2B40" w:rsidRPr="007146D0" w:rsidRDefault="006E2B40" w:rsidP="00BE0043">
      <w:pPr>
        <w:spacing w:before="240" w:after="240" w:line="360" w:lineRule="auto"/>
        <w:rPr>
          <w:lang w:val="en-US"/>
        </w:rPr>
      </w:pPr>
      <w:r w:rsidRPr="007146D0">
        <w:rPr>
          <w:shd w:val="clear" w:color="auto" w:fill="FFFFFF"/>
          <w:lang w:val="en-US"/>
        </w:rPr>
        <w:lastRenderedPageBreak/>
        <w:t xml:space="preserve">Yenni, Y., Arifin, A., Gunawan, E., Pakpahan, L. and Siregar, H., (2021). The impact of solvency and working capital on profitability. </w:t>
      </w:r>
      <w:r w:rsidRPr="007146D0">
        <w:rPr>
          <w:i/>
          <w:iCs/>
          <w:lang w:val="en-US"/>
        </w:rPr>
        <w:t>Journal of Industrial Engineering &amp; Management Research</w:t>
      </w:r>
      <w:r w:rsidRPr="007146D0">
        <w:rPr>
          <w:lang w:val="en-US"/>
        </w:rPr>
        <w:t xml:space="preserve">, </w:t>
      </w:r>
      <w:r w:rsidRPr="007146D0">
        <w:rPr>
          <w:i/>
          <w:iCs/>
          <w:lang w:val="en-US"/>
        </w:rPr>
        <w:t>2</w:t>
      </w:r>
      <w:r w:rsidRPr="007146D0">
        <w:rPr>
          <w:lang w:val="en-US"/>
        </w:rPr>
        <w:t>(4), pp.15-38.</w:t>
      </w:r>
    </w:p>
    <w:p w:rsidR="008B6297" w:rsidRPr="007146D0" w:rsidRDefault="008B6297" w:rsidP="00BE0043">
      <w:pPr>
        <w:pStyle w:val="Normal1"/>
        <w:spacing w:line="360" w:lineRule="auto"/>
        <w:rPr>
          <w:highlight w:val="white"/>
          <w:lang w:val="en-GB"/>
        </w:rPr>
      </w:pPr>
    </w:p>
    <w:sectPr w:rsidR="008B6297" w:rsidRPr="007146D0" w:rsidSect="0040483F">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82C95" w:rsidRDefault="00E82C95" w:rsidP="001B4F49">
      <w:pPr>
        <w:spacing w:before="0" w:after="0" w:line="240" w:lineRule="auto"/>
      </w:pPr>
      <w:r>
        <w:separator/>
      </w:r>
    </w:p>
  </w:endnote>
  <w:endnote w:type="continuationSeparator" w:id="1">
    <w:p w:rsidR="00E82C95" w:rsidRDefault="00E82C95" w:rsidP="001B4F49">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9034318"/>
      <w:docPartObj>
        <w:docPartGallery w:val="Page Numbers (Bottom of Page)"/>
        <w:docPartUnique/>
      </w:docPartObj>
    </w:sdtPr>
    <w:sdtEndPr>
      <w:rPr>
        <w:noProof/>
        <w:sz w:val="20"/>
        <w:szCs w:val="20"/>
      </w:rPr>
    </w:sdtEndPr>
    <w:sdtContent>
      <w:p w:rsidR="0081301F" w:rsidRPr="001B4F49" w:rsidRDefault="0081301F">
        <w:pPr>
          <w:pStyle w:val="Footer"/>
          <w:jc w:val="right"/>
          <w:rPr>
            <w:sz w:val="20"/>
            <w:szCs w:val="20"/>
          </w:rPr>
        </w:pPr>
        <w:r w:rsidRPr="001B4F49">
          <w:rPr>
            <w:sz w:val="20"/>
            <w:szCs w:val="20"/>
          </w:rPr>
          <w:fldChar w:fldCharType="begin"/>
        </w:r>
        <w:r w:rsidRPr="001B4F49">
          <w:rPr>
            <w:sz w:val="20"/>
            <w:szCs w:val="20"/>
          </w:rPr>
          <w:instrText xml:space="preserve"> PAGE   \* MERGEFORMAT </w:instrText>
        </w:r>
        <w:r w:rsidRPr="001B4F49">
          <w:rPr>
            <w:sz w:val="20"/>
            <w:szCs w:val="20"/>
          </w:rPr>
          <w:fldChar w:fldCharType="separate"/>
        </w:r>
        <w:r w:rsidR="00CC4E4C">
          <w:rPr>
            <w:noProof/>
            <w:sz w:val="20"/>
            <w:szCs w:val="20"/>
          </w:rPr>
          <w:t>2</w:t>
        </w:r>
        <w:r w:rsidRPr="001B4F49">
          <w:rPr>
            <w:noProof/>
            <w:sz w:val="20"/>
            <w:szCs w:val="20"/>
          </w:rPr>
          <w:fldChar w:fldCharType="end"/>
        </w:r>
      </w:p>
    </w:sdtContent>
  </w:sdt>
  <w:p w:rsidR="0081301F" w:rsidRDefault="0081301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82C95" w:rsidRDefault="00E82C95" w:rsidP="001B4F49">
      <w:pPr>
        <w:spacing w:before="0" w:after="0" w:line="240" w:lineRule="auto"/>
      </w:pPr>
      <w:r>
        <w:separator/>
      </w:r>
    </w:p>
  </w:footnote>
  <w:footnote w:type="continuationSeparator" w:id="1">
    <w:p w:rsidR="00E82C95" w:rsidRDefault="00E82C95" w:rsidP="001B4F49">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3917AF"/>
    <w:multiLevelType w:val="multilevel"/>
    <w:tmpl w:val="70420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E3B594D"/>
    <w:multiLevelType w:val="multilevel"/>
    <w:tmpl w:val="7382B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B851276"/>
    <w:multiLevelType w:val="multilevel"/>
    <w:tmpl w:val="EBF81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C1600"/>
    <w:rsid w:val="0000357B"/>
    <w:rsid w:val="00073C15"/>
    <w:rsid w:val="000A4679"/>
    <w:rsid w:val="000C4DC1"/>
    <w:rsid w:val="00127370"/>
    <w:rsid w:val="00135FB5"/>
    <w:rsid w:val="00144981"/>
    <w:rsid w:val="00145F4A"/>
    <w:rsid w:val="00154DD3"/>
    <w:rsid w:val="001748D8"/>
    <w:rsid w:val="00182AA1"/>
    <w:rsid w:val="00197230"/>
    <w:rsid w:val="001A6A68"/>
    <w:rsid w:val="001B4F49"/>
    <w:rsid w:val="001F4D45"/>
    <w:rsid w:val="002563F4"/>
    <w:rsid w:val="0027252E"/>
    <w:rsid w:val="002D1BC0"/>
    <w:rsid w:val="00303F46"/>
    <w:rsid w:val="00340DA5"/>
    <w:rsid w:val="00353EF8"/>
    <w:rsid w:val="00387086"/>
    <w:rsid w:val="003C4357"/>
    <w:rsid w:val="003D780F"/>
    <w:rsid w:val="003F7E9F"/>
    <w:rsid w:val="0040483F"/>
    <w:rsid w:val="00430855"/>
    <w:rsid w:val="0049443F"/>
    <w:rsid w:val="004D264D"/>
    <w:rsid w:val="00521CA7"/>
    <w:rsid w:val="005542E1"/>
    <w:rsid w:val="00560FA7"/>
    <w:rsid w:val="005D7847"/>
    <w:rsid w:val="005F3057"/>
    <w:rsid w:val="0067559A"/>
    <w:rsid w:val="00694C6D"/>
    <w:rsid w:val="006E2B40"/>
    <w:rsid w:val="007146D0"/>
    <w:rsid w:val="007313AC"/>
    <w:rsid w:val="0075318E"/>
    <w:rsid w:val="0076180A"/>
    <w:rsid w:val="0076544A"/>
    <w:rsid w:val="007E4B16"/>
    <w:rsid w:val="0081301F"/>
    <w:rsid w:val="008544C0"/>
    <w:rsid w:val="008B6297"/>
    <w:rsid w:val="008C7454"/>
    <w:rsid w:val="00903B2E"/>
    <w:rsid w:val="00986177"/>
    <w:rsid w:val="00A44C3A"/>
    <w:rsid w:val="00A91C08"/>
    <w:rsid w:val="00B05B71"/>
    <w:rsid w:val="00B74618"/>
    <w:rsid w:val="00B97FEE"/>
    <w:rsid w:val="00BD40C2"/>
    <w:rsid w:val="00BE0043"/>
    <w:rsid w:val="00C03AD9"/>
    <w:rsid w:val="00C426F6"/>
    <w:rsid w:val="00CB2D1A"/>
    <w:rsid w:val="00CB686E"/>
    <w:rsid w:val="00CC4E4C"/>
    <w:rsid w:val="00CD2E02"/>
    <w:rsid w:val="00D54F4A"/>
    <w:rsid w:val="00D574B3"/>
    <w:rsid w:val="00D932B0"/>
    <w:rsid w:val="00DC1600"/>
    <w:rsid w:val="00DD7FA7"/>
    <w:rsid w:val="00E112F7"/>
    <w:rsid w:val="00E82C95"/>
    <w:rsid w:val="00EA0BBD"/>
    <w:rsid w:val="00F5782A"/>
    <w:rsid w:val="00F702D5"/>
    <w:rsid w:val="00FD31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US" w:bidi="ar-SA"/>
      </w:rPr>
    </w:rPrDefault>
    <w:pPrDefault>
      <w:pPr>
        <w:spacing w:before="200" w:after="20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2D1A"/>
  </w:style>
  <w:style w:type="paragraph" w:styleId="Heading1">
    <w:name w:val="heading 1"/>
    <w:basedOn w:val="Normal1"/>
    <w:next w:val="Normal1"/>
    <w:rsid w:val="00DC1600"/>
    <w:pPr>
      <w:keepNext/>
      <w:keepLines/>
      <w:outlineLvl w:val="0"/>
    </w:pPr>
    <w:rPr>
      <w:b/>
    </w:rPr>
  </w:style>
  <w:style w:type="paragraph" w:styleId="Heading2">
    <w:name w:val="heading 2"/>
    <w:basedOn w:val="Normal1"/>
    <w:next w:val="Normal1"/>
    <w:link w:val="Heading2Char"/>
    <w:rsid w:val="00DC1600"/>
    <w:pPr>
      <w:keepNext/>
      <w:keepLines/>
      <w:spacing w:line="360" w:lineRule="auto"/>
      <w:outlineLvl w:val="1"/>
    </w:pPr>
    <w:rPr>
      <w:b/>
      <w:i/>
    </w:rPr>
  </w:style>
  <w:style w:type="paragraph" w:styleId="Heading3">
    <w:name w:val="heading 3"/>
    <w:basedOn w:val="Normal1"/>
    <w:next w:val="Normal1"/>
    <w:rsid w:val="00DC1600"/>
    <w:pPr>
      <w:keepNext/>
      <w:keepLines/>
      <w:spacing w:before="320" w:after="80"/>
      <w:outlineLvl w:val="2"/>
    </w:pPr>
    <w:rPr>
      <w:color w:val="434343"/>
      <w:sz w:val="28"/>
      <w:szCs w:val="28"/>
    </w:rPr>
  </w:style>
  <w:style w:type="paragraph" w:styleId="Heading4">
    <w:name w:val="heading 4"/>
    <w:basedOn w:val="Normal1"/>
    <w:next w:val="Normal1"/>
    <w:rsid w:val="00DC1600"/>
    <w:pPr>
      <w:keepNext/>
      <w:keepLines/>
      <w:spacing w:before="280" w:after="80"/>
      <w:outlineLvl w:val="3"/>
    </w:pPr>
    <w:rPr>
      <w:color w:val="666666"/>
    </w:rPr>
  </w:style>
  <w:style w:type="paragraph" w:styleId="Heading5">
    <w:name w:val="heading 5"/>
    <w:basedOn w:val="Normal1"/>
    <w:next w:val="Normal1"/>
    <w:rsid w:val="00DC1600"/>
    <w:pPr>
      <w:keepNext/>
      <w:keepLines/>
      <w:spacing w:before="240" w:after="80"/>
      <w:outlineLvl w:val="4"/>
    </w:pPr>
    <w:rPr>
      <w:color w:val="666666"/>
      <w:sz w:val="22"/>
      <w:szCs w:val="22"/>
    </w:rPr>
  </w:style>
  <w:style w:type="paragraph" w:styleId="Heading6">
    <w:name w:val="heading 6"/>
    <w:basedOn w:val="Normal1"/>
    <w:next w:val="Normal1"/>
    <w:rsid w:val="00DC160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C1600"/>
  </w:style>
  <w:style w:type="paragraph" w:styleId="Title">
    <w:name w:val="Title"/>
    <w:basedOn w:val="Normal1"/>
    <w:next w:val="Normal1"/>
    <w:rsid w:val="00DC1600"/>
    <w:pPr>
      <w:keepNext/>
      <w:keepLines/>
      <w:spacing w:before="0" w:after="60"/>
    </w:pPr>
    <w:rPr>
      <w:sz w:val="52"/>
      <w:szCs w:val="52"/>
    </w:rPr>
  </w:style>
  <w:style w:type="paragraph" w:styleId="Subtitle">
    <w:name w:val="Subtitle"/>
    <w:basedOn w:val="Normal1"/>
    <w:next w:val="Normal1"/>
    <w:rsid w:val="00DC1600"/>
    <w:pPr>
      <w:keepNext/>
      <w:keepLines/>
      <w:spacing w:before="0" w:after="320"/>
    </w:pPr>
    <w:rPr>
      <w:rFonts w:ascii="Arial" w:eastAsia="Arial" w:hAnsi="Arial" w:cs="Arial"/>
      <w:color w:val="666666"/>
      <w:sz w:val="30"/>
      <w:szCs w:val="30"/>
    </w:rPr>
  </w:style>
  <w:style w:type="table" w:customStyle="1" w:styleId="a">
    <w:basedOn w:val="TableNormal"/>
    <w:rsid w:val="00DC1600"/>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DC1600"/>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DC1600"/>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DC1600"/>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76544A"/>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6544A"/>
    <w:pPr>
      <w:spacing w:after="100"/>
    </w:pPr>
  </w:style>
  <w:style w:type="paragraph" w:styleId="TOC2">
    <w:name w:val="toc 2"/>
    <w:basedOn w:val="Normal"/>
    <w:next w:val="Normal"/>
    <w:autoRedefine/>
    <w:uiPriority w:val="39"/>
    <w:unhideWhenUsed/>
    <w:rsid w:val="00DD7FA7"/>
    <w:pPr>
      <w:tabs>
        <w:tab w:val="right" w:leader="dot" w:pos="9350"/>
      </w:tabs>
      <w:spacing w:after="100"/>
      <w:ind w:left="240"/>
    </w:pPr>
    <w:rPr>
      <w:noProof/>
      <w:lang w:val="en-GB" w:eastAsia="zh-CN"/>
    </w:rPr>
  </w:style>
  <w:style w:type="character" w:styleId="Hyperlink">
    <w:name w:val="Hyperlink"/>
    <w:basedOn w:val="DefaultParagraphFont"/>
    <w:uiPriority w:val="99"/>
    <w:unhideWhenUsed/>
    <w:rsid w:val="0076544A"/>
    <w:rPr>
      <w:color w:val="0000FF" w:themeColor="hyperlink"/>
      <w:u w:val="single"/>
    </w:rPr>
  </w:style>
  <w:style w:type="paragraph" w:styleId="BalloonText">
    <w:name w:val="Balloon Text"/>
    <w:basedOn w:val="Normal"/>
    <w:link w:val="BalloonTextChar"/>
    <w:uiPriority w:val="99"/>
    <w:semiHidden/>
    <w:unhideWhenUsed/>
    <w:rsid w:val="0076544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44A"/>
    <w:rPr>
      <w:rFonts w:ascii="Tahoma" w:hAnsi="Tahoma" w:cs="Tahoma"/>
      <w:sz w:val="16"/>
      <w:szCs w:val="16"/>
    </w:rPr>
  </w:style>
  <w:style w:type="paragraph" w:styleId="Header">
    <w:name w:val="header"/>
    <w:basedOn w:val="Normal"/>
    <w:link w:val="HeaderChar"/>
    <w:uiPriority w:val="99"/>
    <w:unhideWhenUsed/>
    <w:rsid w:val="001B4F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B4F49"/>
  </w:style>
  <w:style w:type="paragraph" w:styleId="Footer">
    <w:name w:val="footer"/>
    <w:basedOn w:val="Normal"/>
    <w:link w:val="FooterChar"/>
    <w:uiPriority w:val="99"/>
    <w:unhideWhenUsed/>
    <w:rsid w:val="001B4F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B4F49"/>
  </w:style>
  <w:style w:type="character" w:customStyle="1" w:styleId="Heading2Char">
    <w:name w:val="Heading 2 Char"/>
    <w:basedOn w:val="DefaultParagraphFont"/>
    <w:link w:val="Heading2"/>
    <w:rsid w:val="00560FA7"/>
    <w:rPr>
      <w:b/>
      <w:i/>
    </w:rPr>
  </w:style>
  <w:style w:type="paragraph" w:styleId="NormalWeb">
    <w:name w:val="Normal (Web)"/>
    <w:basedOn w:val="Normal"/>
    <w:uiPriority w:val="99"/>
    <w:semiHidden/>
    <w:unhideWhenUsed/>
    <w:rsid w:val="001748D8"/>
  </w:style>
  <w:style w:type="character" w:customStyle="1" w:styleId="UnresolvedMention">
    <w:name w:val="Unresolved Mention"/>
    <w:basedOn w:val="DefaultParagraphFont"/>
    <w:uiPriority w:val="99"/>
    <w:semiHidden/>
    <w:unhideWhenUsed/>
    <w:rsid w:val="00353EF8"/>
    <w:rPr>
      <w:color w:val="605E5C"/>
      <w:shd w:val="clear" w:color="auto" w:fill="E1DFDD"/>
    </w:rPr>
  </w:style>
  <w:style w:type="paragraph" w:styleId="TOC3">
    <w:name w:val="toc 3"/>
    <w:basedOn w:val="Normal"/>
    <w:next w:val="Normal"/>
    <w:autoRedefine/>
    <w:uiPriority w:val="39"/>
    <w:unhideWhenUsed/>
    <w:rsid w:val="001F4D45"/>
    <w:pPr>
      <w:spacing w:after="100"/>
      <w:ind w:left="480"/>
    </w:pPr>
  </w:style>
</w:styles>
</file>

<file path=word/webSettings.xml><?xml version="1.0" encoding="utf-8"?>
<w:webSettings xmlns:r="http://schemas.openxmlformats.org/officeDocument/2006/relationships" xmlns:w="http://schemas.openxmlformats.org/wordprocessingml/2006/main">
  <w:divs>
    <w:div w:id="451217146">
      <w:bodyDiv w:val="1"/>
      <w:marLeft w:val="0"/>
      <w:marRight w:val="0"/>
      <w:marTop w:val="0"/>
      <w:marBottom w:val="0"/>
      <w:divBdr>
        <w:top w:val="none" w:sz="0" w:space="0" w:color="auto"/>
        <w:left w:val="none" w:sz="0" w:space="0" w:color="auto"/>
        <w:bottom w:val="none" w:sz="0" w:space="0" w:color="auto"/>
        <w:right w:val="none" w:sz="0" w:space="0" w:color="auto"/>
      </w:divBdr>
    </w:div>
    <w:div w:id="495194334">
      <w:bodyDiv w:val="1"/>
      <w:marLeft w:val="0"/>
      <w:marRight w:val="0"/>
      <w:marTop w:val="0"/>
      <w:marBottom w:val="0"/>
      <w:divBdr>
        <w:top w:val="none" w:sz="0" w:space="0" w:color="auto"/>
        <w:left w:val="none" w:sz="0" w:space="0" w:color="auto"/>
        <w:bottom w:val="none" w:sz="0" w:space="0" w:color="auto"/>
        <w:right w:val="none" w:sz="0" w:space="0" w:color="auto"/>
      </w:divBdr>
    </w:div>
    <w:div w:id="677775805">
      <w:bodyDiv w:val="1"/>
      <w:marLeft w:val="0"/>
      <w:marRight w:val="0"/>
      <w:marTop w:val="0"/>
      <w:marBottom w:val="0"/>
      <w:divBdr>
        <w:top w:val="none" w:sz="0" w:space="0" w:color="auto"/>
        <w:left w:val="none" w:sz="0" w:space="0" w:color="auto"/>
        <w:bottom w:val="none" w:sz="0" w:space="0" w:color="auto"/>
        <w:right w:val="none" w:sz="0" w:space="0" w:color="auto"/>
      </w:divBdr>
    </w:div>
    <w:div w:id="716592654">
      <w:bodyDiv w:val="1"/>
      <w:marLeft w:val="0"/>
      <w:marRight w:val="0"/>
      <w:marTop w:val="0"/>
      <w:marBottom w:val="0"/>
      <w:divBdr>
        <w:top w:val="none" w:sz="0" w:space="0" w:color="auto"/>
        <w:left w:val="none" w:sz="0" w:space="0" w:color="auto"/>
        <w:bottom w:val="none" w:sz="0" w:space="0" w:color="auto"/>
        <w:right w:val="none" w:sz="0" w:space="0" w:color="auto"/>
      </w:divBdr>
    </w:div>
    <w:div w:id="826241005">
      <w:bodyDiv w:val="1"/>
      <w:marLeft w:val="0"/>
      <w:marRight w:val="0"/>
      <w:marTop w:val="0"/>
      <w:marBottom w:val="0"/>
      <w:divBdr>
        <w:top w:val="none" w:sz="0" w:space="0" w:color="auto"/>
        <w:left w:val="none" w:sz="0" w:space="0" w:color="auto"/>
        <w:bottom w:val="none" w:sz="0" w:space="0" w:color="auto"/>
        <w:right w:val="none" w:sz="0" w:space="0" w:color="auto"/>
      </w:divBdr>
    </w:div>
    <w:div w:id="849028174">
      <w:bodyDiv w:val="1"/>
      <w:marLeft w:val="0"/>
      <w:marRight w:val="0"/>
      <w:marTop w:val="0"/>
      <w:marBottom w:val="0"/>
      <w:divBdr>
        <w:top w:val="none" w:sz="0" w:space="0" w:color="auto"/>
        <w:left w:val="none" w:sz="0" w:space="0" w:color="auto"/>
        <w:bottom w:val="none" w:sz="0" w:space="0" w:color="auto"/>
        <w:right w:val="none" w:sz="0" w:space="0" w:color="auto"/>
      </w:divBdr>
    </w:div>
    <w:div w:id="1017194611">
      <w:bodyDiv w:val="1"/>
      <w:marLeft w:val="0"/>
      <w:marRight w:val="0"/>
      <w:marTop w:val="0"/>
      <w:marBottom w:val="0"/>
      <w:divBdr>
        <w:top w:val="none" w:sz="0" w:space="0" w:color="auto"/>
        <w:left w:val="none" w:sz="0" w:space="0" w:color="auto"/>
        <w:bottom w:val="none" w:sz="0" w:space="0" w:color="auto"/>
        <w:right w:val="none" w:sz="0" w:space="0" w:color="auto"/>
      </w:divBdr>
    </w:div>
    <w:div w:id="1305086014">
      <w:bodyDiv w:val="1"/>
      <w:marLeft w:val="0"/>
      <w:marRight w:val="0"/>
      <w:marTop w:val="0"/>
      <w:marBottom w:val="0"/>
      <w:divBdr>
        <w:top w:val="none" w:sz="0" w:space="0" w:color="auto"/>
        <w:left w:val="none" w:sz="0" w:space="0" w:color="auto"/>
        <w:bottom w:val="none" w:sz="0" w:space="0" w:color="auto"/>
        <w:right w:val="none" w:sz="0" w:space="0" w:color="auto"/>
      </w:divBdr>
    </w:div>
    <w:div w:id="1744765311">
      <w:bodyDiv w:val="1"/>
      <w:marLeft w:val="0"/>
      <w:marRight w:val="0"/>
      <w:marTop w:val="0"/>
      <w:marBottom w:val="0"/>
      <w:divBdr>
        <w:top w:val="none" w:sz="0" w:space="0" w:color="auto"/>
        <w:left w:val="none" w:sz="0" w:space="0" w:color="auto"/>
        <w:bottom w:val="none" w:sz="0" w:space="0" w:color="auto"/>
        <w:right w:val="none" w:sz="0" w:space="0" w:color="auto"/>
      </w:divBdr>
    </w:div>
    <w:div w:id="1939825737">
      <w:bodyDiv w:val="1"/>
      <w:marLeft w:val="0"/>
      <w:marRight w:val="0"/>
      <w:marTop w:val="0"/>
      <w:marBottom w:val="0"/>
      <w:divBdr>
        <w:top w:val="none" w:sz="0" w:space="0" w:color="auto"/>
        <w:left w:val="none" w:sz="0" w:space="0" w:color="auto"/>
        <w:bottom w:val="none" w:sz="0" w:space="0" w:color="auto"/>
        <w:right w:val="none" w:sz="0" w:space="0" w:color="auto"/>
      </w:divBdr>
    </w:div>
    <w:div w:id="21153226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strazeneca.com/content/dam/az/Investor_Relations/annual-report-2020/pdf/AstraZeneca_AR_2020.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strazeneca.com/content/dam/az/Investor_Relations/annual-report-2023/pdf/AstraZeneca_AR_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018E62-92DD-4E5F-849A-1EB2317EE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31</Pages>
  <Words>6092</Words>
  <Characters>34726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soyam</dc:creator>
  <cp:lastModifiedBy>User</cp:lastModifiedBy>
  <cp:revision>47</cp:revision>
  <dcterms:created xsi:type="dcterms:W3CDTF">2024-08-21T08:01:00Z</dcterms:created>
  <dcterms:modified xsi:type="dcterms:W3CDTF">2024-08-21T09:03:00Z</dcterms:modified>
</cp:coreProperties>
</file>