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8CB8C" w14:textId="160E4E0D" w:rsidR="00221E92" w:rsidRPr="00695A4F" w:rsidRDefault="00221E92">
      <w:pPr>
        <w:rPr>
          <w:b/>
          <w:bCs/>
          <w:sz w:val="28"/>
          <w:szCs w:val="28"/>
        </w:rPr>
      </w:pPr>
      <w:r>
        <w:rPr>
          <w:b/>
          <w:bCs/>
          <w:sz w:val="28"/>
          <w:szCs w:val="28"/>
        </w:rPr>
        <w:t>DHEP Year 2 Assi</w:t>
      </w:r>
      <w:r w:rsidRPr="00695A4F">
        <w:rPr>
          <w:b/>
          <w:bCs/>
          <w:sz w:val="28"/>
          <w:szCs w:val="28"/>
        </w:rPr>
        <w:t xml:space="preserve">gnment </w:t>
      </w:r>
    </w:p>
    <w:p w14:paraId="1B24EBA6" w14:textId="77777777" w:rsidR="00221E92" w:rsidRPr="00695A4F" w:rsidRDefault="00221E92" w:rsidP="00221E92">
      <w:pPr>
        <w:pStyle w:val="Default"/>
        <w:rPr>
          <w:i/>
          <w:iCs/>
          <w:color w:val="auto"/>
        </w:rPr>
      </w:pPr>
      <w:r w:rsidRPr="00695A4F">
        <w:rPr>
          <w:b/>
          <w:bCs/>
          <w:i/>
          <w:iCs/>
          <w:color w:val="auto"/>
        </w:rPr>
        <w:t xml:space="preserve">Essay one: </w:t>
      </w:r>
    </w:p>
    <w:p w14:paraId="7270ED15" w14:textId="77777777" w:rsidR="00221E92" w:rsidRPr="00695A4F" w:rsidRDefault="00221E92" w:rsidP="00221E92">
      <w:pPr>
        <w:pStyle w:val="Default"/>
        <w:rPr>
          <w:i/>
          <w:iCs/>
          <w:color w:val="auto"/>
        </w:rPr>
      </w:pPr>
      <w:r w:rsidRPr="00695A4F">
        <w:rPr>
          <w:i/>
          <w:iCs/>
          <w:color w:val="auto"/>
        </w:rPr>
        <w:t xml:space="preserve">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 </w:t>
      </w:r>
    </w:p>
    <w:p w14:paraId="71443E27" w14:textId="77777777" w:rsidR="00221E92" w:rsidRPr="00695A4F" w:rsidRDefault="00221E92" w:rsidP="00221E92">
      <w:pPr>
        <w:rPr>
          <w:rFonts w:ascii="Arial" w:hAnsi="Arial" w:cs="Arial"/>
          <w:i/>
          <w:iCs/>
          <w:sz w:val="24"/>
          <w:szCs w:val="24"/>
        </w:rPr>
      </w:pPr>
      <w:r w:rsidRPr="00695A4F">
        <w:rPr>
          <w:rFonts w:ascii="Arial" w:hAnsi="Arial" w:cs="Arial"/>
          <w:i/>
          <w:iCs/>
          <w:sz w:val="24"/>
          <w:szCs w:val="24"/>
        </w:rPr>
        <w:t>Your answer must be based on academic research rather than personal experience.</w:t>
      </w:r>
    </w:p>
    <w:p w14:paraId="0F2B59D5" w14:textId="77777777" w:rsidR="00E874EE" w:rsidRPr="00695A4F" w:rsidRDefault="00E874EE" w:rsidP="00221E92">
      <w:pPr>
        <w:rPr>
          <w:rFonts w:ascii="Arial" w:hAnsi="Arial" w:cs="Arial"/>
          <w:i/>
          <w:iCs/>
          <w:sz w:val="24"/>
          <w:szCs w:val="24"/>
        </w:rPr>
      </w:pPr>
    </w:p>
    <w:p w14:paraId="2B237D66" w14:textId="77777777" w:rsidR="00221E92" w:rsidRPr="00695A4F" w:rsidRDefault="00221E92" w:rsidP="00221E92">
      <w:pPr>
        <w:rPr>
          <w:rFonts w:ascii="Arial" w:hAnsi="Arial" w:cs="Arial"/>
          <w:sz w:val="24"/>
          <w:szCs w:val="24"/>
        </w:rPr>
      </w:pPr>
      <w:r w:rsidRPr="00695A4F">
        <w:rPr>
          <w:rFonts w:ascii="Arial" w:hAnsi="Arial" w:cs="Arial"/>
          <w:sz w:val="24"/>
          <w:szCs w:val="24"/>
        </w:rPr>
        <w:t xml:space="preserve">The police service affords individual police officers with an immense responsibility of possessing legal powers that enables them to carry out their day-to-day duties within that role. College of Policing (2013a) stipulates police officers are held accountable for their actions and decisions, but this may not always be to the liking of the public. </w:t>
      </w:r>
      <w:proofErr w:type="spellStart"/>
      <w:r w:rsidRPr="00695A4F">
        <w:rPr>
          <w:rFonts w:ascii="Arial" w:hAnsi="Arial" w:cs="Arial"/>
          <w:sz w:val="24"/>
          <w:szCs w:val="24"/>
        </w:rPr>
        <w:t>Torrible</w:t>
      </w:r>
      <w:proofErr w:type="spellEnd"/>
      <w:r w:rsidRPr="00695A4F">
        <w:rPr>
          <w:rFonts w:ascii="Arial" w:hAnsi="Arial" w:cs="Arial"/>
          <w:sz w:val="24"/>
          <w:szCs w:val="24"/>
        </w:rPr>
        <w:t xml:space="preserve"> (2022) highlights ‘policing by consent’ is where the police service is expected to use their policing powers in a legitimate way to ensure public confidence and trust, and the service is largely dependent on the support of the public, especially for crime reports. In view of this, measures have been implemented to safeguard the relationship between the police and public to ensure integrity and fair treatment is maintained. </w:t>
      </w:r>
    </w:p>
    <w:p w14:paraId="0B8E8B13" w14:textId="77777777" w:rsidR="00221E92" w:rsidRPr="00695A4F" w:rsidRDefault="00221E92" w:rsidP="00221E92">
      <w:pPr>
        <w:rPr>
          <w:rFonts w:ascii="Arial" w:hAnsi="Arial" w:cs="Arial"/>
          <w:sz w:val="24"/>
          <w:szCs w:val="24"/>
        </w:rPr>
      </w:pPr>
    </w:p>
    <w:p w14:paraId="767A0348" w14:textId="77777777" w:rsidR="00221E92" w:rsidRPr="00695A4F" w:rsidRDefault="00221E92" w:rsidP="00221E92">
      <w:pPr>
        <w:rPr>
          <w:rFonts w:ascii="Arial" w:hAnsi="Arial" w:cs="Arial"/>
          <w:sz w:val="24"/>
          <w:szCs w:val="24"/>
        </w:rPr>
      </w:pPr>
      <w:r w:rsidRPr="00695A4F">
        <w:rPr>
          <w:rFonts w:ascii="Arial" w:hAnsi="Arial" w:cs="Arial"/>
          <w:sz w:val="24"/>
          <w:szCs w:val="24"/>
        </w:rPr>
        <w:t xml:space="preserve">In reference to the research conducted on behalf of His Majesty’s Inspectorate of Constabulary and Fire and Rescue Services (HMICFRS), the link between public confidence and crime reporting is established, with two-thirds of those involved in the research having the view that they would be treated fairly and with respect if they contacted the police (BMG Research, 2018). This emphasises the need for the police service to maintain public support to continue the efficiency of detecting crimes, which is enhanced when the public reports crime. </w:t>
      </w:r>
    </w:p>
    <w:p w14:paraId="41DCE7E1" w14:textId="77777777" w:rsidR="00221E92" w:rsidRPr="00695A4F" w:rsidRDefault="00221E92" w:rsidP="00221E92">
      <w:pPr>
        <w:rPr>
          <w:rFonts w:ascii="Arial" w:hAnsi="Arial" w:cs="Arial"/>
          <w:sz w:val="24"/>
          <w:szCs w:val="24"/>
        </w:rPr>
      </w:pPr>
    </w:p>
    <w:p w14:paraId="52B86CFE" w14:textId="77777777" w:rsidR="00221E92" w:rsidRPr="00695A4F" w:rsidRDefault="00221E92" w:rsidP="00221E92">
      <w:pPr>
        <w:rPr>
          <w:rFonts w:ascii="Arial" w:hAnsi="Arial" w:cs="Arial"/>
          <w:color w:val="FF3399"/>
          <w:sz w:val="24"/>
          <w:szCs w:val="24"/>
        </w:rPr>
      </w:pPr>
      <w:r w:rsidRPr="00695A4F">
        <w:rPr>
          <w:rFonts w:ascii="Arial" w:hAnsi="Arial" w:cs="Arial"/>
          <w:sz w:val="24"/>
          <w:szCs w:val="24"/>
        </w:rPr>
        <w:t>As individual police officers understand their responsibilities within the role, they are expected to identify when fellow officers are not carrying out their duties in the expected way. This is highlighted in the Code of Ethics</w:t>
      </w:r>
      <w:r w:rsidRPr="00695A4F">
        <w:rPr>
          <w:rFonts w:ascii="Arial" w:hAnsi="Arial" w:cs="Arial"/>
          <w:b/>
          <w:bCs/>
          <w:sz w:val="24"/>
          <w:szCs w:val="24"/>
        </w:rPr>
        <w:t xml:space="preserve">, </w:t>
      </w:r>
      <w:r w:rsidRPr="00695A4F">
        <w:rPr>
          <w:rFonts w:ascii="Arial" w:hAnsi="Arial" w:cs="Arial"/>
          <w:sz w:val="24"/>
          <w:szCs w:val="24"/>
        </w:rPr>
        <w:t>which is described by College of Policing (CoP) (2014) as</w:t>
      </w:r>
      <w:r w:rsidRPr="00695A4F">
        <w:rPr>
          <w:rFonts w:ascii="Arial" w:hAnsi="Arial" w:cs="Arial"/>
          <w:b/>
          <w:bCs/>
          <w:sz w:val="24"/>
          <w:szCs w:val="24"/>
        </w:rPr>
        <w:t xml:space="preserve"> </w:t>
      </w:r>
      <w:r w:rsidRPr="00695A4F">
        <w:rPr>
          <w:rFonts w:ascii="Arial" w:hAnsi="Arial" w:cs="Arial"/>
          <w:sz w:val="24"/>
          <w:szCs w:val="24"/>
        </w:rPr>
        <w:t>a set of standards and principles setting out expectations of professionals within the service. CoP goes on to highlight that a duty under this Code is ‘challenging and reporting improper conduct’ (College of Policing, 2014).</w:t>
      </w:r>
      <w:r w:rsidRPr="00695A4F">
        <w:rPr>
          <w:rFonts w:ascii="Arial" w:hAnsi="Arial" w:cs="Arial"/>
          <w:b/>
          <w:bCs/>
          <w:sz w:val="24"/>
          <w:szCs w:val="24"/>
        </w:rPr>
        <w:t xml:space="preserve"> </w:t>
      </w:r>
      <w:r w:rsidRPr="00695A4F">
        <w:rPr>
          <w:rFonts w:ascii="Arial" w:hAnsi="Arial" w:cs="Arial"/>
          <w:sz w:val="24"/>
          <w:szCs w:val="24"/>
        </w:rPr>
        <w:t xml:space="preserve">Edwards (2020) reinforces this as they suggest police officers possess powers that may interfere with the public’s everyday life, such as the power of arrest under Code G of the Codes of Practice infringing on Article 5 of the Human Rights Act 1998 (right to liberty and security). The public’s security and safety </w:t>
      </w:r>
      <w:proofErr w:type="gramStart"/>
      <w:r w:rsidRPr="00695A4F">
        <w:rPr>
          <w:rFonts w:ascii="Arial" w:hAnsi="Arial" w:cs="Arial"/>
          <w:sz w:val="24"/>
          <w:szCs w:val="24"/>
        </w:rPr>
        <w:t>is</w:t>
      </w:r>
      <w:proofErr w:type="gramEnd"/>
      <w:r w:rsidRPr="00695A4F">
        <w:rPr>
          <w:rFonts w:ascii="Arial" w:hAnsi="Arial" w:cs="Arial"/>
          <w:sz w:val="24"/>
          <w:szCs w:val="24"/>
        </w:rPr>
        <w:t xml:space="preserve"> put into question if this power is abused, resulting in the lack of confidence and trust in the police, further resulting in a lack of public co-operation. This could then result in an increase of undetected crimes and reoffending rates. Therefore, individual officers are at a liberty to report behaviour of a colleague deemed concerning as this would undermine the responsibility of upholding fair treatment of the public, which goes hand in hand with the confidence and trust that the public afford the police service (Home Office, 2020). Another way in which this relationship is maintained is through ensuring that the ‘police culture’ is an appropriate one, with College of Policing (2021) highlighting the importance of building an open and trusting relationship with the public. Despite </w:t>
      </w:r>
      <w:proofErr w:type="spellStart"/>
      <w:r w:rsidRPr="00695A4F">
        <w:rPr>
          <w:rFonts w:ascii="Arial" w:hAnsi="Arial" w:cs="Arial"/>
          <w:sz w:val="24"/>
          <w:szCs w:val="24"/>
        </w:rPr>
        <w:t>Caveney</w:t>
      </w:r>
      <w:proofErr w:type="spellEnd"/>
      <w:r w:rsidRPr="00695A4F">
        <w:rPr>
          <w:rFonts w:ascii="Arial" w:hAnsi="Arial" w:cs="Arial"/>
          <w:sz w:val="24"/>
          <w:szCs w:val="24"/>
        </w:rPr>
        <w:t xml:space="preserve"> (et al. 2020) proposing residual perceptions the police still harbour a culture that includes racism, they go on to highlight the current police culture is one of a ‘public servant’ and ‘service’. Despite the obvious setbacks caused by resilient negative perceptions, the transformation into a police ‘service’ </w:t>
      </w:r>
      <w:r w:rsidRPr="00695A4F">
        <w:rPr>
          <w:rFonts w:ascii="Arial" w:hAnsi="Arial" w:cs="Arial"/>
          <w:sz w:val="24"/>
          <w:szCs w:val="24"/>
        </w:rPr>
        <w:lastRenderedPageBreak/>
        <w:t xml:space="preserve">shows steps being made in the right direction for the public to feel that the police are there to support them. </w:t>
      </w:r>
    </w:p>
    <w:p w14:paraId="48C0B9E6" w14:textId="24A87DDB" w:rsidR="00E874EE" w:rsidRPr="00695A4F" w:rsidRDefault="00221E92" w:rsidP="00221E92">
      <w:pPr>
        <w:rPr>
          <w:rFonts w:ascii="Arial" w:hAnsi="Arial" w:cs="Arial"/>
          <w:sz w:val="24"/>
          <w:szCs w:val="24"/>
        </w:rPr>
      </w:pPr>
      <w:r w:rsidRPr="00695A4F">
        <w:rPr>
          <w:rFonts w:ascii="Arial" w:hAnsi="Arial" w:cs="Arial"/>
          <w:sz w:val="24"/>
          <w:szCs w:val="24"/>
        </w:rPr>
        <w:t xml:space="preserve">Some may perceive the police service as self-sustaining if the service is the sole regulator of police officers’ conduct. Therefore, the need for an independent body to manage complaints and carry out investigations is more essential than ever to avoid corrupt investigations; this has been introduced in the form of the Independent Office for Police Conduct (IOPC). IOPC (2023) outlines the IOPC as an independent entity that deals with complaints made against police officers in England and Wales. The use of the IOPC has been successful as Gwent police received 514 police complaints in 2022/2023, and </w:t>
      </w:r>
      <w:r w:rsidR="0076421B" w:rsidRPr="00695A4F">
        <w:rPr>
          <w:rFonts w:ascii="Arial" w:hAnsi="Arial" w:cs="Arial"/>
          <w:sz w:val="24"/>
          <w:szCs w:val="24"/>
        </w:rPr>
        <w:t>97 of these complaints were investigated (IOPC, 2023)</w:t>
      </w:r>
      <w:r w:rsidRPr="00695A4F">
        <w:rPr>
          <w:rFonts w:ascii="Arial" w:hAnsi="Arial" w:cs="Arial"/>
          <w:sz w:val="24"/>
          <w:szCs w:val="24"/>
        </w:rPr>
        <w:t xml:space="preserve">. This shows that due to its independence away from the police service, the work of the IOPC is clearly unbiased and shows measures in place that ensure individual police officers, and the police </w:t>
      </w:r>
      <w:proofErr w:type="gramStart"/>
      <w:r w:rsidRPr="00695A4F">
        <w:rPr>
          <w:rFonts w:ascii="Arial" w:hAnsi="Arial" w:cs="Arial"/>
          <w:sz w:val="24"/>
          <w:szCs w:val="24"/>
        </w:rPr>
        <w:t>service as a whole, are</w:t>
      </w:r>
      <w:proofErr w:type="gramEnd"/>
      <w:r w:rsidRPr="00695A4F">
        <w:rPr>
          <w:rFonts w:ascii="Arial" w:hAnsi="Arial" w:cs="Arial"/>
          <w:sz w:val="24"/>
          <w:szCs w:val="24"/>
        </w:rPr>
        <w:t xml:space="preserve"> not going unregulated and carrying out duties without oversight. </w:t>
      </w:r>
    </w:p>
    <w:p w14:paraId="52E5D6D6" w14:textId="77777777" w:rsidR="00221E92" w:rsidRPr="00695A4F" w:rsidRDefault="00221E92">
      <w:pPr>
        <w:rPr>
          <w:b/>
          <w:bCs/>
          <w:sz w:val="28"/>
          <w:szCs w:val="28"/>
        </w:rPr>
      </w:pPr>
    </w:p>
    <w:p w14:paraId="12C7918B" w14:textId="6CFBF4AB" w:rsidR="00221E92" w:rsidRPr="00695A4F" w:rsidRDefault="00221E92" w:rsidP="00221E92">
      <w:pPr>
        <w:rPr>
          <w:rFonts w:ascii="Arial" w:hAnsi="Arial" w:cs="Arial"/>
          <w:sz w:val="24"/>
          <w:szCs w:val="24"/>
        </w:rPr>
      </w:pPr>
      <w:r w:rsidRPr="00695A4F">
        <w:rPr>
          <w:rFonts w:ascii="Arial" w:hAnsi="Arial" w:cs="Arial"/>
          <w:sz w:val="24"/>
          <w:szCs w:val="24"/>
        </w:rPr>
        <w:t xml:space="preserve">There is also a measure enshrined as a legal rule which is The Police (Conduct) Regulations 2020, cementing a police officer’s actions to be regulated by law; Schedule 2 of this Regulation outlines the ‘Standards of professional behaviour’. This Statutory Instrument was introduced to formalise the process of learning and encourage a culture in which officers can reflect on practices carried out (Heaton and Tong, 2022). This has been successful as this shows police officers as being dealt with if they have complaints made against then, emphasising that this system is key in upholding public confidence and public protection; the system allows concerns of individual officers to be investigated fully, all the while providing a consistent process </w:t>
      </w:r>
      <w:r w:rsidRPr="00695A4F">
        <w:rPr>
          <w:rFonts w:ascii="Arial" w:hAnsi="Arial" w:cs="Arial"/>
          <w:sz w:val="24"/>
          <w:szCs w:val="24"/>
        </w:rPr>
        <w:lastRenderedPageBreak/>
        <w:t xml:space="preserve">for handling complaints (Home Office, 2023). Heaton and Tong (2022) also highlight lessons learned through the analysis of complaints, and these results are implemented into everyday practice, resulting in with the Police (Conduct) Regulations 2020 setting a tone for a ‘learning’ culture as opposed to a ‘blame’ culture to encourage the development of both independent officers and the police service. </w:t>
      </w:r>
      <w:proofErr w:type="gramStart"/>
      <w:r w:rsidRPr="00695A4F">
        <w:rPr>
          <w:rFonts w:ascii="Arial" w:hAnsi="Arial" w:cs="Arial"/>
          <w:sz w:val="24"/>
          <w:szCs w:val="24"/>
        </w:rPr>
        <w:t>In light of</w:t>
      </w:r>
      <w:proofErr w:type="gramEnd"/>
      <w:r w:rsidRPr="00695A4F">
        <w:rPr>
          <w:rFonts w:ascii="Arial" w:hAnsi="Arial" w:cs="Arial"/>
          <w:sz w:val="24"/>
          <w:szCs w:val="24"/>
        </w:rPr>
        <w:t xml:space="preserve"> this, the public can be assured police officer conduct is constantly monitored, as well as police officers being reassured that their conduct will be supported </w:t>
      </w:r>
      <w:r w:rsidR="00047E75">
        <w:rPr>
          <w:rFonts w:ascii="Arial" w:hAnsi="Arial" w:cs="Arial"/>
          <w:sz w:val="24"/>
          <w:szCs w:val="24"/>
        </w:rPr>
        <w:t xml:space="preserve">if </w:t>
      </w:r>
      <w:r w:rsidRPr="00695A4F">
        <w:rPr>
          <w:rFonts w:ascii="Arial" w:hAnsi="Arial" w:cs="Arial"/>
          <w:sz w:val="24"/>
          <w:szCs w:val="24"/>
        </w:rPr>
        <w:t>they have exercised judgment and discretion, all the while bearing the public’s welfare and safety in mind.</w:t>
      </w:r>
    </w:p>
    <w:p w14:paraId="118F728A" w14:textId="77777777" w:rsidR="00E874EE" w:rsidRPr="00695A4F" w:rsidRDefault="00E874EE" w:rsidP="00221E92">
      <w:pPr>
        <w:rPr>
          <w:rFonts w:ascii="Arial" w:hAnsi="Arial" w:cs="Arial"/>
          <w:sz w:val="24"/>
          <w:szCs w:val="24"/>
        </w:rPr>
      </w:pPr>
    </w:p>
    <w:p w14:paraId="2972117A" w14:textId="1A609704" w:rsidR="00E874EE" w:rsidRPr="00695A4F" w:rsidRDefault="00E874EE" w:rsidP="00221E92">
      <w:pPr>
        <w:rPr>
          <w:rFonts w:ascii="Arial" w:hAnsi="Arial" w:cs="Arial"/>
          <w:sz w:val="24"/>
          <w:szCs w:val="24"/>
        </w:rPr>
      </w:pPr>
      <w:r w:rsidRPr="00695A4F">
        <w:rPr>
          <w:rFonts w:ascii="Arial" w:hAnsi="Arial" w:cs="Arial"/>
          <w:sz w:val="24"/>
          <w:szCs w:val="24"/>
        </w:rPr>
        <w:t>As the BMG Research (2018) highlights that those who have had contact with the police are most likely to be involved in an incident of crime, this first-hand contact with police officers goes on to formulate their perception of how the police would deal with any future incidents they would report. Police officers’ mistakes have been prominent in the media in recent years – what is important is how the police service, as a collective, works together to try and repair the confidence of the public. The Code of Ethics regulates police officer’s behaviour in carrying out this service and has proven effective in maintaining realistic expectations of preserving how the public are treated.</w:t>
      </w:r>
    </w:p>
    <w:p w14:paraId="6F66B161" w14:textId="77777777" w:rsidR="00E874EE" w:rsidRPr="00695A4F" w:rsidRDefault="00E874EE" w:rsidP="00221E92">
      <w:pPr>
        <w:rPr>
          <w:rFonts w:ascii="Arial" w:hAnsi="Arial" w:cs="Arial"/>
          <w:b/>
          <w:bCs/>
          <w:sz w:val="24"/>
          <w:szCs w:val="24"/>
        </w:rPr>
      </w:pPr>
    </w:p>
    <w:p w14:paraId="3368602C" w14:textId="771E0DA7" w:rsidR="00E874EE" w:rsidRPr="00695A4F" w:rsidRDefault="00E874EE" w:rsidP="00221E92">
      <w:pPr>
        <w:rPr>
          <w:rFonts w:ascii="Arial" w:hAnsi="Arial" w:cs="Arial"/>
          <w:b/>
          <w:bCs/>
          <w:sz w:val="24"/>
          <w:szCs w:val="24"/>
        </w:rPr>
      </w:pPr>
      <w:r w:rsidRPr="00695A4F">
        <w:rPr>
          <w:rFonts w:ascii="Arial" w:hAnsi="Arial" w:cs="Arial"/>
          <w:b/>
          <w:bCs/>
          <w:sz w:val="24"/>
          <w:szCs w:val="24"/>
        </w:rPr>
        <w:t>Word count: 1,025</w:t>
      </w:r>
    </w:p>
    <w:p w14:paraId="0B359C39" w14:textId="77777777" w:rsidR="00E874EE" w:rsidRPr="00695A4F" w:rsidRDefault="00E874EE" w:rsidP="00E874EE">
      <w:pPr>
        <w:rPr>
          <w:rFonts w:ascii="Arial" w:hAnsi="Arial" w:cs="Arial"/>
          <w:b/>
          <w:bCs/>
          <w:sz w:val="24"/>
          <w:szCs w:val="24"/>
        </w:rPr>
      </w:pPr>
    </w:p>
    <w:p w14:paraId="5C689415" w14:textId="77777777" w:rsidR="00E874EE" w:rsidRPr="00695A4F" w:rsidRDefault="00E874EE" w:rsidP="00E874EE">
      <w:pPr>
        <w:rPr>
          <w:rFonts w:ascii="Arial" w:hAnsi="Arial" w:cs="Arial"/>
          <w:i/>
          <w:iCs/>
          <w:color w:val="FF9900"/>
          <w:sz w:val="24"/>
          <w:szCs w:val="24"/>
        </w:rPr>
      </w:pPr>
    </w:p>
    <w:p w14:paraId="307FAF52" w14:textId="77777777" w:rsidR="00047E75" w:rsidRDefault="00047E75" w:rsidP="00E874EE">
      <w:pPr>
        <w:pStyle w:val="Default"/>
        <w:rPr>
          <w:b/>
          <w:bCs/>
          <w:i/>
          <w:iCs/>
          <w:color w:val="auto"/>
        </w:rPr>
      </w:pPr>
    </w:p>
    <w:p w14:paraId="79B82335" w14:textId="3DD50723" w:rsidR="00E874EE" w:rsidRPr="00695A4F" w:rsidRDefault="00E874EE" w:rsidP="00E874EE">
      <w:pPr>
        <w:pStyle w:val="Default"/>
        <w:rPr>
          <w:i/>
          <w:iCs/>
          <w:color w:val="auto"/>
        </w:rPr>
      </w:pPr>
      <w:r w:rsidRPr="00695A4F">
        <w:rPr>
          <w:b/>
          <w:bCs/>
          <w:i/>
          <w:iCs/>
          <w:color w:val="auto"/>
        </w:rPr>
        <w:t xml:space="preserve">Essay three: </w:t>
      </w:r>
    </w:p>
    <w:p w14:paraId="282B90EE" w14:textId="77777777" w:rsidR="00E874EE" w:rsidRPr="00695A4F" w:rsidRDefault="00E874EE" w:rsidP="00E874EE">
      <w:pPr>
        <w:pStyle w:val="Default"/>
        <w:rPr>
          <w:i/>
          <w:iCs/>
          <w:color w:val="auto"/>
        </w:rPr>
      </w:pPr>
      <w:r w:rsidRPr="00695A4F">
        <w:rPr>
          <w:i/>
          <w:iCs/>
          <w:color w:val="auto"/>
        </w:rPr>
        <w:t xml:space="preserve">How effective are cognitive interviews as a means of obtaining initial accounts from victims and witnesses? </w:t>
      </w:r>
    </w:p>
    <w:p w14:paraId="2A63CADC" w14:textId="77777777" w:rsidR="00E874EE" w:rsidRPr="00695A4F" w:rsidRDefault="00E874EE" w:rsidP="00E874EE">
      <w:pPr>
        <w:rPr>
          <w:rFonts w:ascii="Arial" w:hAnsi="Arial" w:cs="Arial"/>
          <w:i/>
          <w:iCs/>
          <w:sz w:val="24"/>
          <w:szCs w:val="24"/>
        </w:rPr>
      </w:pPr>
      <w:r w:rsidRPr="00695A4F">
        <w:rPr>
          <w:rFonts w:ascii="Arial" w:hAnsi="Arial" w:cs="Arial"/>
          <w:i/>
          <w:iCs/>
          <w:sz w:val="24"/>
          <w:szCs w:val="24"/>
        </w:rPr>
        <w:t>Your answer must be based on academic research.</w:t>
      </w:r>
    </w:p>
    <w:p w14:paraId="660DE83F" w14:textId="77777777" w:rsidR="00E874EE" w:rsidRPr="00695A4F" w:rsidRDefault="00E874EE" w:rsidP="00E874EE">
      <w:pPr>
        <w:rPr>
          <w:rFonts w:ascii="Arial" w:hAnsi="Arial" w:cs="Arial"/>
          <w:i/>
          <w:iCs/>
          <w:sz w:val="24"/>
          <w:szCs w:val="24"/>
        </w:rPr>
      </w:pPr>
    </w:p>
    <w:p w14:paraId="0341D511" w14:textId="77777777" w:rsidR="00E874EE" w:rsidRPr="00695A4F" w:rsidRDefault="00E874EE" w:rsidP="00E874EE">
      <w:pPr>
        <w:rPr>
          <w:rFonts w:ascii="Arial" w:hAnsi="Arial" w:cs="Arial"/>
          <w:sz w:val="24"/>
          <w:szCs w:val="24"/>
        </w:rPr>
      </w:pPr>
      <w:r w:rsidRPr="00695A4F">
        <w:rPr>
          <w:rFonts w:ascii="Arial" w:hAnsi="Arial" w:cs="Arial"/>
          <w:sz w:val="24"/>
          <w:szCs w:val="24"/>
        </w:rPr>
        <w:t>One of the difficulties in building an investigation is the retrieval of an account from a victim or witness who has experienced, oftentimes, a traumatic event. For the accounts to be as reliable as possible, factors have been recognised that may compromise the accounts, such as stress, therefore safeguards have been developed to counteract this (</w:t>
      </w:r>
      <w:proofErr w:type="spellStart"/>
      <w:r w:rsidRPr="00695A4F">
        <w:rPr>
          <w:rFonts w:ascii="Arial" w:hAnsi="Arial" w:cs="Arial"/>
          <w:sz w:val="24"/>
          <w:szCs w:val="24"/>
        </w:rPr>
        <w:t>Dodier</w:t>
      </w:r>
      <w:proofErr w:type="spellEnd"/>
      <w:r w:rsidRPr="00695A4F">
        <w:rPr>
          <w:rFonts w:ascii="Arial" w:hAnsi="Arial" w:cs="Arial"/>
          <w:sz w:val="24"/>
          <w:szCs w:val="24"/>
        </w:rPr>
        <w:t xml:space="preserve">, et al. 2021, p. 1099). In saying this, cognitive interviews are conducted to ascertain the circumstances; information is retrieved from the individual’s memory, with the interview comprising of the procedure known as ‘PEACE’, which stands for planning and preparation, </w:t>
      </w:r>
      <w:proofErr w:type="gramStart"/>
      <w:r w:rsidRPr="00695A4F">
        <w:rPr>
          <w:rFonts w:ascii="Arial" w:hAnsi="Arial" w:cs="Arial"/>
          <w:sz w:val="24"/>
          <w:szCs w:val="24"/>
        </w:rPr>
        <w:t>engage</w:t>
      </w:r>
      <w:proofErr w:type="gramEnd"/>
      <w:r w:rsidRPr="00695A4F">
        <w:rPr>
          <w:rFonts w:ascii="Arial" w:hAnsi="Arial" w:cs="Arial"/>
          <w:sz w:val="24"/>
          <w:szCs w:val="24"/>
        </w:rPr>
        <w:t xml:space="preserve"> and explain, account, closure, and evaluation (Dando, 2009). Howes (2020, p. 335) highlights that the PEACE model was introduced in response to interviews that were coercive in nature and resulted in injustices. As a result, the structure of cognitive interviews and the way in which victims and witnesses are dealt with are at the forefront of investigations, with the effectiveness of such interviews being put into question as to whether they are working to the standard that is expected. </w:t>
      </w:r>
    </w:p>
    <w:p w14:paraId="0DB05028" w14:textId="77777777" w:rsidR="0076421B" w:rsidRPr="00695A4F" w:rsidRDefault="0076421B" w:rsidP="00221E92">
      <w:pPr>
        <w:rPr>
          <w:rFonts w:ascii="Arial" w:hAnsi="Arial" w:cs="Arial"/>
          <w:color w:val="FF3399"/>
          <w:sz w:val="24"/>
          <w:szCs w:val="24"/>
        </w:rPr>
      </w:pPr>
    </w:p>
    <w:p w14:paraId="35C36C7A"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During the cognitive interview, there are informal methods in place to assist the individual in recalling information. In addition to allowing the individual the space to talk freely and encouraging them that what they are recounting is relevant, it is also vital to get the individual to recount the event in the way that they are comfortable with as they may recall some information better than others and asking probing </w:t>
      </w:r>
      <w:r w:rsidRPr="00695A4F">
        <w:rPr>
          <w:rFonts w:ascii="Arial" w:hAnsi="Arial" w:cs="Arial"/>
          <w:sz w:val="24"/>
          <w:szCs w:val="24"/>
        </w:rPr>
        <w:lastRenderedPageBreak/>
        <w:t xml:space="preserve">question to get more detail and ensure accuracy. In conjunction to this, formal methods are in place to use as a structure when interviewing victims and witnesses, with the PEACE model, as aforementioned, being the principal framework. The PEACE model is described by Howes (2020, p. 335) as involving five stages, as shown above, which allows the interview to have clearly defined areas that offer exploration and detail to be garnered. Howes (2020, p. 335) goes on to show that the stages are vital to the fluidity of the interview, such as the planning and preparation stage involving preparing an interview plan and gathering information to go into the interviewed equipped with a structure to help the interviewee keep on track, with the engage and explain stage going hand in hand with this whereby the structure and purpose of the interview will be explained to the individual. This allows the individual the opportunity to talk about the relevant areas so there is consistency within the interview. The account stage allows the officer to ask probing and clarifying questions </w:t>
      </w:r>
      <w:proofErr w:type="gramStart"/>
      <w:r w:rsidRPr="00695A4F">
        <w:rPr>
          <w:rFonts w:ascii="Arial" w:hAnsi="Arial" w:cs="Arial"/>
          <w:sz w:val="24"/>
          <w:szCs w:val="24"/>
        </w:rPr>
        <w:t>to, and</w:t>
      </w:r>
      <w:proofErr w:type="gramEnd"/>
      <w:r w:rsidRPr="00695A4F">
        <w:rPr>
          <w:rFonts w:ascii="Arial" w:hAnsi="Arial" w:cs="Arial"/>
          <w:sz w:val="24"/>
          <w:szCs w:val="24"/>
        </w:rPr>
        <w:t xml:space="preserve"> allowing the individual the opportunity to recall the event, as well as the closure stage giving the individual the chance to clarify or add anything further. The evaluation stage is then important for the officer to take the interview and how it was conducted into consideration </w:t>
      </w:r>
      <w:proofErr w:type="gramStart"/>
      <w:r w:rsidRPr="00695A4F">
        <w:rPr>
          <w:rFonts w:ascii="Arial" w:hAnsi="Arial" w:cs="Arial"/>
          <w:sz w:val="24"/>
          <w:szCs w:val="24"/>
        </w:rPr>
        <w:t>and also</w:t>
      </w:r>
      <w:proofErr w:type="gramEnd"/>
      <w:r w:rsidRPr="00695A4F">
        <w:rPr>
          <w:rFonts w:ascii="Arial" w:hAnsi="Arial" w:cs="Arial"/>
          <w:sz w:val="24"/>
          <w:szCs w:val="24"/>
        </w:rPr>
        <w:t xml:space="preserve"> the contribution of the individual’s account. Wood (</w:t>
      </w:r>
      <w:r w:rsidRPr="00695A4F">
        <w:rPr>
          <w:rFonts w:ascii="Arial" w:hAnsi="Arial" w:cs="Arial"/>
          <w:i/>
          <w:iCs/>
          <w:sz w:val="24"/>
          <w:szCs w:val="24"/>
        </w:rPr>
        <w:t>et al</w:t>
      </w:r>
      <w:r w:rsidRPr="00695A4F">
        <w:rPr>
          <w:rFonts w:ascii="Arial" w:hAnsi="Arial" w:cs="Arial"/>
          <w:sz w:val="24"/>
          <w:szCs w:val="24"/>
        </w:rPr>
        <w:t xml:space="preserve">. 2021, p. 608) describes the interview of victims and witnesses as flexible as PACE Codes of Practice do not govern these interviews, therefore this flexibility allows for the implementation of different interviewing techniques to be used, especially where adaptation is needed for the needs of the individual or due to the event that has occurred. Dando, Wilcock, and Milne (2008, p. 61) show that there are limitations to the PEACE model, especially where perceptions towards such interviews is that they are time constraining, therefore officers do not conduct full interviews but rather shortened ones, thus </w:t>
      </w:r>
      <w:r w:rsidRPr="00695A4F">
        <w:rPr>
          <w:rFonts w:ascii="Arial" w:hAnsi="Arial" w:cs="Arial"/>
          <w:sz w:val="24"/>
          <w:szCs w:val="24"/>
        </w:rPr>
        <w:lastRenderedPageBreak/>
        <w:t xml:space="preserve">increasing the demand on officers’ concentration and cognition. Howes (2020, p. 345-346) reiterates the notion that there are limitations to the PEACE model by suggesting that officers are unsure of how to develop and engage in a rapport between themselves and the individual, despite this being a key component to making the interviewee comfortable and confident in giving their accounts to a stranger in a police uniform. This shows that the PEACE model </w:t>
      </w:r>
      <w:proofErr w:type="gramStart"/>
      <w:r w:rsidRPr="00695A4F">
        <w:rPr>
          <w:rFonts w:ascii="Arial" w:hAnsi="Arial" w:cs="Arial"/>
          <w:sz w:val="24"/>
          <w:szCs w:val="24"/>
        </w:rPr>
        <w:t>in itself is</w:t>
      </w:r>
      <w:proofErr w:type="gramEnd"/>
      <w:r w:rsidRPr="00695A4F">
        <w:rPr>
          <w:rFonts w:ascii="Arial" w:hAnsi="Arial" w:cs="Arial"/>
          <w:sz w:val="24"/>
          <w:szCs w:val="24"/>
        </w:rPr>
        <w:t xml:space="preserve"> a found framework, although it’s the understanding and application of the model therein lies the limitations on its effective use. </w:t>
      </w:r>
    </w:p>
    <w:p w14:paraId="3E9EB92C" w14:textId="77777777" w:rsidR="00E874EE" w:rsidRPr="00695A4F" w:rsidRDefault="00E874EE" w:rsidP="00221E92">
      <w:pPr>
        <w:rPr>
          <w:rFonts w:ascii="Arial" w:hAnsi="Arial" w:cs="Arial"/>
          <w:color w:val="FF3399"/>
          <w:sz w:val="24"/>
          <w:szCs w:val="24"/>
        </w:rPr>
      </w:pPr>
    </w:p>
    <w:p w14:paraId="5C86311A" w14:textId="77777777" w:rsidR="00E874EE" w:rsidRPr="00695A4F" w:rsidRDefault="00E874EE" w:rsidP="00E874EE">
      <w:pPr>
        <w:rPr>
          <w:rFonts w:ascii="Arial" w:hAnsi="Arial" w:cs="Arial"/>
          <w:sz w:val="24"/>
          <w:szCs w:val="24"/>
        </w:rPr>
      </w:pPr>
      <w:r w:rsidRPr="00695A4F">
        <w:rPr>
          <w:rFonts w:ascii="Arial" w:hAnsi="Arial" w:cs="Arial"/>
          <w:sz w:val="24"/>
          <w:szCs w:val="24"/>
        </w:rPr>
        <w:t>The way in which vulnerable and intimidated victims and witnesses are interviewed is a focal point within criminal investigations. To account for this barrier, Wood (</w:t>
      </w:r>
      <w:r w:rsidRPr="00695A4F">
        <w:rPr>
          <w:rFonts w:ascii="Arial" w:hAnsi="Arial" w:cs="Arial"/>
          <w:i/>
          <w:iCs/>
          <w:sz w:val="24"/>
          <w:szCs w:val="24"/>
        </w:rPr>
        <w:t xml:space="preserve">et al. </w:t>
      </w:r>
      <w:r w:rsidRPr="00695A4F">
        <w:rPr>
          <w:rFonts w:ascii="Arial" w:hAnsi="Arial" w:cs="Arial"/>
          <w:sz w:val="24"/>
          <w:szCs w:val="24"/>
        </w:rPr>
        <w:t xml:space="preserve">2021, p. 608) outlines that recorded interviews are conducted with vulnerable and intimidated witnesses by trained officers, with this method being called ‘achieving best evidence’ (ABE), and victims and witnesses interviewed in this way are assessed on their vulnerability, with their characteristics determining how special measures or procedures need to be tailored towards their needs. ABE interviews are conducted to gather information from individuals, as suggested by VanMeter (et al. 2021), and is used to provide the victim or witness the best possible chance in providing evidence whilst taking their vulnerability into consideration (Ministry of Justice, 2022). The Ministry of Justice (2022) goes on to describe ABE interviews as a ‘strong victim-centred and trauma-informed approach’, showing its importance in prioritising the treatment of vulnerable and intimidated victims and witnesses within the investigation process. The efficiency of ABE interviews is outlined by Gooch and von Berg (2019) due to the ABE guidance that must be adhered and the training of officers that accompany the process being necessary, as well as the Ministry of </w:t>
      </w:r>
      <w:r w:rsidRPr="00695A4F">
        <w:rPr>
          <w:rFonts w:ascii="Arial" w:hAnsi="Arial" w:cs="Arial"/>
          <w:sz w:val="24"/>
          <w:szCs w:val="24"/>
        </w:rPr>
        <w:lastRenderedPageBreak/>
        <w:t xml:space="preserve">Justice (2022) referring to the importance of transparency within the interviews and it being monitored, especially due to them being video recorded. ABE interviews are effective where they are conducted, however the process </w:t>
      </w:r>
      <w:proofErr w:type="gramStart"/>
      <w:r w:rsidRPr="00695A4F">
        <w:rPr>
          <w:rFonts w:ascii="Arial" w:hAnsi="Arial" w:cs="Arial"/>
          <w:sz w:val="24"/>
          <w:szCs w:val="24"/>
        </w:rPr>
        <w:t>as a whole has</w:t>
      </w:r>
      <w:proofErr w:type="gramEnd"/>
      <w:r w:rsidRPr="00695A4F">
        <w:rPr>
          <w:rFonts w:ascii="Arial" w:hAnsi="Arial" w:cs="Arial"/>
          <w:sz w:val="24"/>
          <w:szCs w:val="24"/>
        </w:rPr>
        <w:t xml:space="preserve"> its flaws. Bunting (et al. 2015) raised one such barrier involving the scarcity of ABE trained officers as the number of officers is not proportionate to the backlog of cases requiring an ABE interview, with Hill and Davies (2012) highlighting the omission of certain elements of the process that are supposed to be included within the interview, showing that guidance on the interviews is not always adhered to. </w:t>
      </w:r>
      <w:proofErr w:type="gramStart"/>
      <w:r w:rsidRPr="00695A4F">
        <w:rPr>
          <w:rFonts w:ascii="Arial" w:hAnsi="Arial" w:cs="Arial"/>
          <w:sz w:val="24"/>
          <w:szCs w:val="24"/>
        </w:rPr>
        <w:t>In light of</w:t>
      </w:r>
      <w:proofErr w:type="gramEnd"/>
      <w:r w:rsidRPr="00695A4F">
        <w:rPr>
          <w:rFonts w:ascii="Arial" w:hAnsi="Arial" w:cs="Arial"/>
          <w:sz w:val="24"/>
          <w:szCs w:val="24"/>
        </w:rPr>
        <w:t xml:space="preserve"> this, Dando, Wilcock, and Milne (2008, p. 61-62) introduces the idea that inexperienced or newly trained ABE officers may contribute to this notion due to lack of experience in this area of interviewing, causing certain details to be missed, or guidance not being followed. ABE interviews can be an efficient tool when conducted correctly and its guidance followed. However, as shown using the sources above, its scarcity of use in recent times is not due to the flaws of the interviewing </w:t>
      </w:r>
      <w:proofErr w:type="gramStart"/>
      <w:r w:rsidRPr="00695A4F">
        <w:rPr>
          <w:rFonts w:ascii="Arial" w:hAnsi="Arial" w:cs="Arial"/>
          <w:sz w:val="24"/>
          <w:szCs w:val="24"/>
        </w:rPr>
        <w:t>practice in itself, but</w:t>
      </w:r>
      <w:proofErr w:type="gramEnd"/>
      <w:r w:rsidRPr="00695A4F">
        <w:rPr>
          <w:rFonts w:ascii="Arial" w:hAnsi="Arial" w:cs="Arial"/>
          <w:sz w:val="24"/>
          <w:szCs w:val="24"/>
        </w:rPr>
        <w:t xml:space="preserve"> rather the demand for its practice putting a strain on the number of officers available to carry them out. This, therefore, goes on to increase officer workloads, puts the victim’s and witness’s confidence in the police into jeopardy, and does not promise progression where investigations are on hold where an ABE interview is needed. </w:t>
      </w:r>
    </w:p>
    <w:p w14:paraId="5B1F582A" w14:textId="77777777" w:rsidR="00E874EE" w:rsidRPr="00695A4F" w:rsidRDefault="00E874EE" w:rsidP="00221E92">
      <w:pPr>
        <w:rPr>
          <w:rFonts w:ascii="Arial" w:hAnsi="Arial" w:cs="Arial"/>
          <w:b/>
          <w:bCs/>
          <w:color w:val="FF3399"/>
          <w:sz w:val="24"/>
          <w:szCs w:val="24"/>
        </w:rPr>
      </w:pPr>
    </w:p>
    <w:p w14:paraId="153198EE"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Despite the methods that are in place for cognitive interviews to be carried out with efficiency, there are factors present that derive issues that are ineffective to the </w:t>
      </w:r>
      <w:proofErr w:type="gramStart"/>
      <w:r w:rsidRPr="00695A4F">
        <w:rPr>
          <w:rFonts w:ascii="Arial" w:hAnsi="Arial" w:cs="Arial"/>
          <w:sz w:val="24"/>
          <w:szCs w:val="24"/>
        </w:rPr>
        <w:t>interview as a whole</w:t>
      </w:r>
      <w:proofErr w:type="gramEnd"/>
      <w:r w:rsidRPr="00695A4F">
        <w:rPr>
          <w:rFonts w:ascii="Arial" w:hAnsi="Arial" w:cs="Arial"/>
          <w:sz w:val="24"/>
          <w:szCs w:val="24"/>
        </w:rPr>
        <w:t xml:space="preserve">. One such issue is a factor of human nature, as opposed to procedural downfall, and this is in relation to an individual’s personal involvement in the event itself; despite efforts made to ensure cognitive interviews are as detailed </w:t>
      </w:r>
      <w:r w:rsidRPr="00695A4F">
        <w:rPr>
          <w:rFonts w:ascii="Arial" w:hAnsi="Arial" w:cs="Arial"/>
          <w:sz w:val="24"/>
          <w:szCs w:val="24"/>
        </w:rPr>
        <w:lastRenderedPageBreak/>
        <w:t>as possible and derive relevant information for the investigation, accounts would inherently differ due to the event being remembered differently, showing that no matter how effective the cognitive interview is, there is still scope for the investigation to be tarnished due to accounts differing (</w:t>
      </w:r>
      <w:proofErr w:type="spellStart"/>
      <w:r w:rsidRPr="00695A4F">
        <w:rPr>
          <w:rFonts w:ascii="Arial" w:hAnsi="Arial" w:cs="Arial"/>
          <w:sz w:val="24"/>
          <w:szCs w:val="24"/>
        </w:rPr>
        <w:t>Bekerian</w:t>
      </w:r>
      <w:proofErr w:type="spellEnd"/>
      <w:r w:rsidRPr="00695A4F">
        <w:rPr>
          <w:rFonts w:ascii="Arial" w:hAnsi="Arial" w:cs="Arial"/>
          <w:sz w:val="24"/>
          <w:szCs w:val="24"/>
        </w:rPr>
        <w:t xml:space="preserve"> and Dennett, 1993, p. 287). The time that has elapsed since the event occurring and the interview being conducted is also a negative factor of the interviews due to information or details being skewed, or confusion with subsequent events causing forgetfulness of the event in question, showing that inconsistencies are inevitable at times, and therefore has an impact on the effective of cognitive interviews. In addition, Wood (</w:t>
      </w:r>
      <w:r w:rsidRPr="00695A4F">
        <w:rPr>
          <w:rFonts w:ascii="Arial" w:hAnsi="Arial" w:cs="Arial"/>
          <w:i/>
          <w:iCs/>
          <w:sz w:val="24"/>
          <w:szCs w:val="24"/>
        </w:rPr>
        <w:t xml:space="preserve">et al. </w:t>
      </w:r>
      <w:r w:rsidRPr="00695A4F">
        <w:rPr>
          <w:rFonts w:ascii="Arial" w:hAnsi="Arial" w:cs="Arial"/>
          <w:sz w:val="24"/>
          <w:szCs w:val="24"/>
        </w:rPr>
        <w:t xml:space="preserve">2021, p. 608) includes perceived answers as being a pitfall of such interviews, whereby the officer will anticipate what the interviewee means without asking any clarifying questions, showing that supplementing any gaps in an account may contaminate the individual’s version of events. Also, </w:t>
      </w:r>
      <w:proofErr w:type="spellStart"/>
      <w:r w:rsidRPr="00695A4F">
        <w:rPr>
          <w:rFonts w:ascii="Arial" w:hAnsi="Arial" w:cs="Arial"/>
          <w:sz w:val="24"/>
          <w:szCs w:val="24"/>
        </w:rPr>
        <w:t>Risan</w:t>
      </w:r>
      <w:proofErr w:type="spellEnd"/>
      <w:r w:rsidRPr="00695A4F">
        <w:rPr>
          <w:rFonts w:ascii="Arial" w:hAnsi="Arial" w:cs="Arial"/>
          <w:sz w:val="24"/>
          <w:szCs w:val="24"/>
        </w:rPr>
        <w:t xml:space="preserve">, Binder, and Milne (2018) indicate that victims and witnesses are oftentimes experiencing trauma relating to the event that they have gone through, therefore this trauma may impact on the way the interviewee is able to recall details of the event, or even places them in a position of hesitation to disclose certain features in fear of reliving them, or even consequences they may face from the subject. </w:t>
      </w:r>
    </w:p>
    <w:p w14:paraId="2589092C" w14:textId="77777777" w:rsidR="00E874EE" w:rsidRPr="00695A4F" w:rsidRDefault="00E874EE" w:rsidP="00221E92">
      <w:pPr>
        <w:rPr>
          <w:rFonts w:ascii="Arial" w:hAnsi="Arial" w:cs="Arial"/>
          <w:b/>
          <w:bCs/>
          <w:color w:val="FF3399"/>
          <w:sz w:val="24"/>
          <w:szCs w:val="24"/>
        </w:rPr>
      </w:pPr>
    </w:p>
    <w:p w14:paraId="6C80D538" w14:textId="77777777" w:rsidR="00E874EE" w:rsidRPr="00695A4F" w:rsidRDefault="00E874EE" w:rsidP="00E874EE">
      <w:pPr>
        <w:rPr>
          <w:rFonts w:ascii="Arial" w:hAnsi="Arial" w:cs="Arial"/>
          <w:i/>
          <w:iCs/>
        </w:rPr>
      </w:pPr>
      <w:r w:rsidRPr="00695A4F">
        <w:rPr>
          <w:rFonts w:ascii="Arial" w:hAnsi="Arial" w:cs="Arial"/>
          <w:sz w:val="24"/>
          <w:szCs w:val="24"/>
        </w:rPr>
        <w:t xml:space="preserve">When a victim or witness bravely comes forward in the face of a traumatic event to give their account of what happened, it is only right that there are necessary procedures in place that allows that individual the confidence and assurance to provide it. The PEACE model acts as a reliable structure for the police officer to adhere to </w:t>
      </w:r>
      <w:proofErr w:type="gramStart"/>
      <w:r w:rsidRPr="00695A4F">
        <w:rPr>
          <w:rFonts w:ascii="Arial" w:hAnsi="Arial" w:cs="Arial"/>
          <w:sz w:val="24"/>
          <w:szCs w:val="24"/>
        </w:rPr>
        <w:t>in order for</w:t>
      </w:r>
      <w:proofErr w:type="gramEnd"/>
      <w:r w:rsidRPr="00695A4F">
        <w:rPr>
          <w:rFonts w:ascii="Arial" w:hAnsi="Arial" w:cs="Arial"/>
          <w:sz w:val="24"/>
          <w:szCs w:val="24"/>
        </w:rPr>
        <w:t xml:space="preserve"> the interview to cover the relevant and necessary areas, whilst bearing in mind the human nature of the interviewee, such as their perceptions and </w:t>
      </w:r>
      <w:r w:rsidRPr="00695A4F">
        <w:rPr>
          <w:rFonts w:ascii="Arial" w:hAnsi="Arial" w:cs="Arial"/>
          <w:sz w:val="24"/>
          <w:szCs w:val="24"/>
        </w:rPr>
        <w:lastRenderedPageBreak/>
        <w:t xml:space="preserve">emotions being a factor that may inhibit the full picture from being provided. The use of ABE interviews and the vulnerabilities of an individual being </w:t>
      </w:r>
      <w:proofErr w:type="gramStart"/>
      <w:r w:rsidRPr="00695A4F">
        <w:rPr>
          <w:rFonts w:ascii="Arial" w:hAnsi="Arial" w:cs="Arial"/>
          <w:sz w:val="24"/>
          <w:szCs w:val="24"/>
        </w:rPr>
        <w:t>taken into account</w:t>
      </w:r>
      <w:proofErr w:type="gramEnd"/>
      <w:r w:rsidRPr="00695A4F">
        <w:rPr>
          <w:rFonts w:ascii="Arial" w:hAnsi="Arial" w:cs="Arial"/>
          <w:sz w:val="24"/>
          <w:szCs w:val="24"/>
        </w:rPr>
        <w:t xml:space="preserve"> are utilised in order for the interview to be conducted efficiently and consistently, although it has been shown that this is not always the case due to limitations from: officer inexperience, trauma impacting the way an individual remembers or perceive the event, as well as the other examples that illustrate this point. </w:t>
      </w:r>
    </w:p>
    <w:p w14:paraId="25A9C9BB" w14:textId="77777777" w:rsidR="00E874EE" w:rsidRPr="00695A4F" w:rsidRDefault="00E874EE" w:rsidP="00221E92">
      <w:pPr>
        <w:rPr>
          <w:rFonts w:ascii="Arial" w:hAnsi="Arial" w:cs="Arial"/>
          <w:b/>
          <w:bCs/>
          <w:color w:val="FF3399"/>
          <w:sz w:val="24"/>
          <w:szCs w:val="24"/>
        </w:rPr>
      </w:pPr>
    </w:p>
    <w:p w14:paraId="5DDFEB8B" w14:textId="08DC3F25" w:rsidR="00E874EE" w:rsidRPr="00695A4F" w:rsidRDefault="00E874EE" w:rsidP="00221E92">
      <w:pPr>
        <w:rPr>
          <w:rFonts w:ascii="Arial" w:hAnsi="Arial" w:cs="Arial"/>
          <w:b/>
          <w:bCs/>
          <w:sz w:val="24"/>
          <w:szCs w:val="24"/>
        </w:rPr>
      </w:pPr>
      <w:r w:rsidRPr="00695A4F">
        <w:rPr>
          <w:rFonts w:ascii="Arial" w:hAnsi="Arial" w:cs="Arial"/>
          <w:b/>
          <w:bCs/>
          <w:sz w:val="24"/>
          <w:szCs w:val="24"/>
        </w:rPr>
        <w:t xml:space="preserve">Word count: 1,580 </w:t>
      </w:r>
      <w:r w:rsidR="00E968C7">
        <w:rPr>
          <w:rFonts w:ascii="Arial" w:hAnsi="Arial" w:cs="Arial"/>
          <w:b/>
          <w:bCs/>
          <w:sz w:val="24"/>
          <w:szCs w:val="24"/>
        </w:rPr>
        <w:t xml:space="preserve">(REDUCE WORDCOUNT) </w:t>
      </w:r>
    </w:p>
    <w:p w14:paraId="7272F82B" w14:textId="77777777" w:rsidR="00E874EE" w:rsidRPr="00695A4F" w:rsidRDefault="00E874EE" w:rsidP="00221E92">
      <w:pPr>
        <w:rPr>
          <w:rFonts w:ascii="Arial" w:hAnsi="Arial" w:cs="Arial"/>
          <w:b/>
          <w:bCs/>
          <w:sz w:val="24"/>
          <w:szCs w:val="24"/>
        </w:rPr>
      </w:pPr>
    </w:p>
    <w:p w14:paraId="18C6DC55" w14:textId="77777777" w:rsidR="00E874EE" w:rsidRPr="00695A4F" w:rsidRDefault="00E874EE" w:rsidP="00221E92">
      <w:pPr>
        <w:rPr>
          <w:rFonts w:ascii="Arial" w:hAnsi="Arial" w:cs="Arial"/>
          <w:b/>
          <w:bCs/>
          <w:sz w:val="24"/>
          <w:szCs w:val="24"/>
        </w:rPr>
      </w:pPr>
    </w:p>
    <w:p w14:paraId="22C8FDC2" w14:textId="77777777" w:rsidR="00E874EE" w:rsidRPr="00695A4F" w:rsidRDefault="00E874EE" w:rsidP="00221E92">
      <w:pPr>
        <w:rPr>
          <w:rFonts w:ascii="Arial" w:hAnsi="Arial" w:cs="Arial"/>
          <w:b/>
          <w:bCs/>
          <w:sz w:val="24"/>
          <w:szCs w:val="24"/>
        </w:rPr>
      </w:pPr>
    </w:p>
    <w:p w14:paraId="252D560B" w14:textId="77777777" w:rsidR="00E874EE" w:rsidRPr="00695A4F" w:rsidRDefault="00E874EE" w:rsidP="00221E92">
      <w:pPr>
        <w:rPr>
          <w:rFonts w:ascii="Arial" w:hAnsi="Arial" w:cs="Arial"/>
          <w:b/>
          <w:bCs/>
          <w:sz w:val="24"/>
          <w:szCs w:val="24"/>
        </w:rPr>
      </w:pPr>
    </w:p>
    <w:p w14:paraId="66A14C19" w14:textId="77777777" w:rsidR="00E874EE" w:rsidRPr="00695A4F" w:rsidRDefault="00E874EE" w:rsidP="00221E92">
      <w:pPr>
        <w:rPr>
          <w:rFonts w:ascii="Arial" w:hAnsi="Arial" w:cs="Arial"/>
          <w:b/>
          <w:bCs/>
          <w:sz w:val="24"/>
          <w:szCs w:val="24"/>
        </w:rPr>
      </w:pPr>
    </w:p>
    <w:p w14:paraId="464B5F1A" w14:textId="77777777" w:rsidR="00E874EE" w:rsidRPr="00695A4F" w:rsidRDefault="00E874EE" w:rsidP="00221E92">
      <w:pPr>
        <w:rPr>
          <w:rFonts w:ascii="Arial" w:hAnsi="Arial" w:cs="Arial"/>
          <w:b/>
          <w:bCs/>
          <w:sz w:val="24"/>
          <w:szCs w:val="24"/>
        </w:rPr>
      </w:pPr>
    </w:p>
    <w:p w14:paraId="248CD40C" w14:textId="77777777" w:rsidR="00E874EE" w:rsidRPr="00695A4F" w:rsidRDefault="00E874EE" w:rsidP="00221E92">
      <w:pPr>
        <w:rPr>
          <w:rFonts w:ascii="Arial" w:hAnsi="Arial" w:cs="Arial"/>
          <w:b/>
          <w:bCs/>
          <w:sz w:val="24"/>
          <w:szCs w:val="24"/>
        </w:rPr>
      </w:pPr>
    </w:p>
    <w:p w14:paraId="6EA64BCC" w14:textId="77777777" w:rsidR="00E874EE" w:rsidRPr="00695A4F" w:rsidRDefault="00E874EE" w:rsidP="00221E92">
      <w:pPr>
        <w:rPr>
          <w:rFonts w:ascii="Arial" w:hAnsi="Arial" w:cs="Arial"/>
          <w:b/>
          <w:bCs/>
          <w:sz w:val="24"/>
          <w:szCs w:val="24"/>
        </w:rPr>
      </w:pPr>
    </w:p>
    <w:p w14:paraId="0BAB65D9" w14:textId="77777777" w:rsidR="00E874EE" w:rsidRPr="00695A4F" w:rsidRDefault="00E874EE" w:rsidP="00221E92">
      <w:pPr>
        <w:rPr>
          <w:rFonts w:ascii="Arial" w:hAnsi="Arial" w:cs="Arial"/>
          <w:b/>
          <w:bCs/>
          <w:sz w:val="24"/>
          <w:szCs w:val="24"/>
        </w:rPr>
      </w:pPr>
    </w:p>
    <w:p w14:paraId="3CD16634" w14:textId="77777777" w:rsidR="00E874EE" w:rsidRPr="00695A4F" w:rsidRDefault="00E874EE" w:rsidP="00221E92">
      <w:pPr>
        <w:rPr>
          <w:rFonts w:ascii="Arial" w:hAnsi="Arial" w:cs="Arial"/>
          <w:b/>
          <w:bCs/>
          <w:sz w:val="24"/>
          <w:szCs w:val="24"/>
        </w:rPr>
      </w:pPr>
    </w:p>
    <w:p w14:paraId="727E5B36" w14:textId="77777777" w:rsidR="00E874EE" w:rsidRPr="00695A4F" w:rsidRDefault="00E874EE" w:rsidP="00221E92">
      <w:pPr>
        <w:rPr>
          <w:rFonts w:ascii="Arial" w:hAnsi="Arial" w:cs="Arial"/>
          <w:b/>
          <w:bCs/>
          <w:sz w:val="24"/>
          <w:szCs w:val="24"/>
        </w:rPr>
      </w:pPr>
    </w:p>
    <w:p w14:paraId="2185F48C" w14:textId="77777777" w:rsidR="00E874EE" w:rsidRPr="00695A4F" w:rsidRDefault="00E874EE" w:rsidP="00221E92">
      <w:pPr>
        <w:rPr>
          <w:rFonts w:ascii="Arial" w:hAnsi="Arial" w:cs="Arial"/>
          <w:b/>
          <w:bCs/>
          <w:sz w:val="24"/>
          <w:szCs w:val="24"/>
        </w:rPr>
      </w:pPr>
    </w:p>
    <w:p w14:paraId="397A7EEA" w14:textId="77777777" w:rsidR="00E874EE" w:rsidRPr="00695A4F" w:rsidRDefault="00E874EE" w:rsidP="00221E92">
      <w:pPr>
        <w:rPr>
          <w:rFonts w:ascii="Arial" w:hAnsi="Arial" w:cs="Arial"/>
          <w:b/>
          <w:bCs/>
          <w:sz w:val="24"/>
          <w:szCs w:val="24"/>
        </w:rPr>
      </w:pPr>
    </w:p>
    <w:p w14:paraId="13ECBE34" w14:textId="77777777" w:rsidR="00047E75" w:rsidRDefault="00047E75" w:rsidP="00E874EE">
      <w:pPr>
        <w:pStyle w:val="Default"/>
        <w:rPr>
          <w:b/>
          <w:bCs/>
          <w:i/>
          <w:iCs/>
          <w:color w:val="auto"/>
        </w:rPr>
      </w:pPr>
    </w:p>
    <w:p w14:paraId="589E7889" w14:textId="2D759BF4" w:rsidR="00E874EE" w:rsidRPr="00695A4F" w:rsidRDefault="00E874EE" w:rsidP="00E874EE">
      <w:pPr>
        <w:pStyle w:val="Default"/>
        <w:rPr>
          <w:i/>
          <w:iCs/>
          <w:color w:val="auto"/>
        </w:rPr>
      </w:pPr>
      <w:r w:rsidRPr="00695A4F">
        <w:rPr>
          <w:b/>
          <w:bCs/>
          <w:i/>
          <w:iCs/>
          <w:color w:val="auto"/>
        </w:rPr>
        <w:t xml:space="preserve">Essay four: </w:t>
      </w:r>
    </w:p>
    <w:p w14:paraId="5282FC61" w14:textId="77777777" w:rsidR="00E874EE" w:rsidRPr="00695A4F" w:rsidRDefault="00E874EE" w:rsidP="00E874EE">
      <w:pPr>
        <w:pStyle w:val="Default"/>
        <w:rPr>
          <w:i/>
          <w:iCs/>
          <w:color w:val="auto"/>
        </w:rPr>
      </w:pPr>
      <w:r w:rsidRPr="00695A4F">
        <w:rPr>
          <w:i/>
          <w:iCs/>
          <w:color w:val="auto"/>
        </w:rPr>
        <w:t xml:space="preserve">Examine the various socio-economic and psychological characteristics which can make people vulnerable to exploitation by criminal gangs. </w:t>
      </w:r>
    </w:p>
    <w:p w14:paraId="06190290" w14:textId="77777777" w:rsidR="00E874EE" w:rsidRPr="00695A4F" w:rsidRDefault="00E874EE" w:rsidP="00E874EE">
      <w:pPr>
        <w:rPr>
          <w:rFonts w:ascii="Arial" w:hAnsi="Arial" w:cs="Arial"/>
          <w:i/>
          <w:iCs/>
          <w:sz w:val="24"/>
          <w:szCs w:val="24"/>
        </w:rPr>
      </w:pPr>
      <w:r w:rsidRPr="00695A4F">
        <w:rPr>
          <w:rFonts w:ascii="Arial" w:hAnsi="Arial" w:cs="Arial"/>
          <w:i/>
          <w:iCs/>
          <w:sz w:val="24"/>
          <w:szCs w:val="24"/>
        </w:rPr>
        <w:t>Your answer must be based on academic research rather than personal experience.</w:t>
      </w:r>
    </w:p>
    <w:p w14:paraId="2CF9C95C" w14:textId="77777777" w:rsidR="00E874EE" w:rsidRPr="00695A4F" w:rsidRDefault="00E874EE" w:rsidP="00E874EE">
      <w:pPr>
        <w:rPr>
          <w:rFonts w:ascii="Arial" w:hAnsi="Arial" w:cs="Arial"/>
          <w:i/>
          <w:iCs/>
          <w:sz w:val="24"/>
          <w:szCs w:val="24"/>
        </w:rPr>
      </w:pPr>
    </w:p>
    <w:p w14:paraId="537DAFAC"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The Centre for Social Justice (2009) highlights that, nowadays, a young person’s sense of belonging is found within a gang, especially if they are disadvantaged and marginalised. Ashton and </w:t>
      </w:r>
      <w:proofErr w:type="spellStart"/>
      <w:r w:rsidRPr="00695A4F">
        <w:rPr>
          <w:rFonts w:ascii="Arial" w:hAnsi="Arial" w:cs="Arial"/>
          <w:sz w:val="24"/>
          <w:szCs w:val="24"/>
        </w:rPr>
        <w:t>Bussu</w:t>
      </w:r>
      <w:proofErr w:type="spellEnd"/>
      <w:r w:rsidRPr="00695A4F">
        <w:rPr>
          <w:rFonts w:ascii="Arial" w:hAnsi="Arial" w:cs="Arial"/>
          <w:sz w:val="24"/>
          <w:szCs w:val="24"/>
        </w:rPr>
        <w:t xml:space="preserve"> (2020) points out the difficulty in identifying criminal gangs due to the varying nature of such groups, with many members appearing to be vulnerable through psychological and social factors. Section 34(5) of the Policing and Crime Act 2009 indicates that ‘gang-related’ activity involves at least 3 people and has characteristics whereby group members would identify one another. Ashton and </w:t>
      </w:r>
      <w:proofErr w:type="spellStart"/>
      <w:r w:rsidRPr="00695A4F">
        <w:rPr>
          <w:rFonts w:ascii="Arial" w:hAnsi="Arial" w:cs="Arial"/>
          <w:sz w:val="24"/>
          <w:szCs w:val="24"/>
        </w:rPr>
        <w:t>Bussu</w:t>
      </w:r>
      <w:proofErr w:type="spellEnd"/>
      <w:r w:rsidRPr="00695A4F">
        <w:rPr>
          <w:rFonts w:ascii="Arial" w:hAnsi="Arial" w:cs="Arial"/>
          <w:sz w:val="24"/>
          <w:szCs w:val="24"/>
        </w:rPr>
        <w:t xml:space="preserve"> (2020) goes on to show that a main factor of criminal gang activity involves violence, offending, and substance misuse. These are social issues that are at the forefront of society within the UK, showing that young people nowadays find themselves at mercy to criminal </w:t>
      </w:r>
      <w:proofErr w:type="gramStart"/>
      <w:r w:rsidRPr="00695A4F">
        <w:rPr>
          <w:rFonts w:ascii="Arial" w:hAnsi="Arial" w:cs="Arial"/>
          <w:sz w:val="24"/>
          <w:szCs w:val="24"/>
        </w:rPr>
        <w:t>gangs</w:t>
      </w:r>
      <w:proofErr w:type="gramEnd"/>
      <w:r w:rsidRPr="00695A4F">
        <w:rPr>
          <w:rFonts w:ascii="Arial" w:hAnsi="Arial" w:cs="Arial"/>
          <w:sz w:val="24"/>
          <w:szCs w:val="24"/>
        </w:rPr>
        <w:t xml:space="preserve"> due circumstance rather than seeking gang affiliation. As such, it is important to note that the characteristics of an individual, in both a socio-economic and psychological sense, makes them susceptible to criminal gangs due to reasons involving grooming, threats, or persuasion. In addition, certain characteristics make individuals more vulnerable to certain times of criminal gang activity. This essay will explore why this is.   </w:t>
      </w:r>
    </w:p>
    <w:p w14:paraId="17C9416A" w14:textId="77777777" w:rsidR="00E874EE" w:rsidRPr="00695A4F" w:rsidRDefault="00E874EE" w:rsidP="00E874EE">
      <w:pPr>
        <w:rPr>
          <w:rFonts w:ascii="Arial" w:hAnsi="Arial" w:cs="Arial"/>
          <w:i/>
          <w:iCs/>
          <w:color w:val="7030A0"/>
          <w:sz w:val="24"/>
          <w:szCs w:val="24"/>
        </w:rPr>
      </w:pPr>
    </w:p>
    <w:p w14:paraId="1EDF3083"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As described by Gov.UK (2018), ‘socio-economic’ encapsulates what a person does for work, with the Cambridge Dictionary (2023) definition furthering this by describing the term as differentiating person groups based on their financial situation, with both </w:t>
      </w:r>
      <w:r w:rsidRPr="00695A4F">
        <w:rPr>
          <w:rFonts w:ascii="Arial" w:hAnsi="Arial" w:cs="Arial"/>
          <w:sz w:val="24"/>
          <w:szCs w:val="24"/>
        </w:rPr>
        <w:lastRenderedPageBreak/>
        <w:t xml:space="preserve">‘social’ and ‘economic’ factors being considered in how one informs the other. In addition, ‘psychological’ involves processes of the mind and behaviour (Gray, 1991, p. 3).  </w:t>
      </w:r>
    </w:p>
    <w:p w14:paraId="15C24350" w14:textId="77777777" w:rsidR="00E874EE" w:rsidRPr="00695A4F" w:rsidRDefault="00E874EE" w:rsidP="00E874EE">
      <w:pPr>
        <w:rPr>
          <w:rFonts w:ascii="Arial" w:hAnsi="Arial" w:cs="Arial"/>
          <w:i/>
          <w:iCs/>
          <w:sz w:val="24"/>
          <w:szCs w:val="24"/>
        </w:rPr>
      </w:pPr>
    </w:p>
    <w:p w14:paraId="784AFDC1" w14:textId="6900DA3D" w:rsidR="00E874EE" w:rsidRPr="00695A4F" w:rsidRDefault="00E874EE" w:rsidP="00E874EE">
      <w:pPr>
        <w:rPr>
          <w:rFonts w:ascii="Arial" w:hAnsi="Arial" w:cs="Arial"/>
          <w:sz w:val="24"/>
          <w:szCs w:val="24"/>
        </w:rPr>
      </w:pPr>
      <w:r w:rsidRPr="00695A4F">
        <w:rPr>
          <w:rFonts w:ascii="Arial" w:hAnsi="Arial" w:cs="Arial"/>
          <w:sz w:val="24"/>
          <w:szCs w:val="24"/>
        </w:rPr>
        <w:t xml:space="preserve">Taking the definitions of socio-economic and psychological characteristics into account is important to explain why this makes people vulnerable to criminal gangs exploiting them. This is especially significant in the context of the effect of </w:t>
      </w:r>
      <w:r w:rsidR="002642F7">
        <w:rPr>
          <w:rFonts w:ascii="Arial" w:hAnsi="Arial" w:cs="Arial"/>
          <w:sz w:val="24"/>
          <w:szCs w:val="24"/>
        </w:rPr>
        <w:t xml:space="preserve">adverse </w:t>
      </w:r>
      <w:r w:rsidRPr="00E968C7">
        <w:rPr>
          <w:rFonts w:ascii="Arial" w:hAnsi="Arial" w:cs="Arial"/>
          <w:sz w:val="24"/>
          <w:szCs w:val="24"/>
        </w:rPr>
        <w:t>childhood</w:t>
      </w:r>
      <w:r w:rsidR="002642F7" w:rsidRPr="00E968C7">
        <w:rPr>
          <w:rFonts w:ascii="Arial" w:hAnsi="Arial" w:cs="Arial"/>
          <w:sz w:val="24"/>
          <w:szCs w:val="24"/>
        </w:rPr>
        <w:t xml:space="preserve"> experiences</w:t>
      </w:r>
      <w:r w:rsidRPr="00E968C7">
        <w:rPr>
          <w:rFonts w:ascii="Arial" w:hAnsi="Arial" w:cs="Arial"/>
          <w:sz w:val="24"/>
          <w:szCs w:val="24"/>
        </w:rPr>
        <w:t xml:space="preserve"> </w:t>
      </w:r>
      <w:r w:rsidR="002642F7" w:rsidRPr="00E968C7">
        <w:rPr>
          <w:rFonts w:ascii="Arial" w:hAnsi="Arial" w:cs="Arial"/>
          <w:sz w:val="24"/>
          <w:szCs w:val="24"/>
        </w:rPr>
        <w:t>(</w:t>
      </w:r>
      <w:r w:rsidRPr="00E968C7">
        <w:rPr>
          <w:rFonts w:ascii="Arial" w:hAnsi="Arial" w:cs="Arial"/>
          <w:sz w:val="24"/>
          <w:szCs w:val="24"/>
        </w:rPr>
        <w:t>ACE</w:t>
      </w:r>
      <w:r w:rsidR="002642F7" w:rsidRPr="00E968C7">
        <w:rPr>
          <w:rFonts w:ascii="Arial" w:hAnsi="Arial" w:cs="Arial"/>
          <w:sz w:val="24"/>
          <w:szCs w:val="24"/>
        </w:rPr>
        <w:t>)</w:t>
      </w:r>
      <w:r w:rsidRPr="00E968C7">
        <w:rPr>
          <w:rFonts w:ascii="Arial" w:hAnsi="Arial" w:cs="Arial"/>
          <w:sz w:val="24"/>
          <w:szCs w:val="24"/>
        </w:rPr>
        <w:t xml:space="preserve"> </w:t>
      </w:r>
      <w:r w:rsidRPr="00695A4F">
        <w:rPr>
          <w:rFonts w:ascii="Arial" w:hAnsi="Arial" w:cs="Arial"/>
          <w:sz w:val="24"/>
          <w:szCs w:val="24"/>
        </w:rPr>
        <w:t>and their contribution to how a child goes on to conduct their life in adulthood</w:t>
      </w:r>
      <w:r w:rsidR="00F64316">
        <w:rPr>
          <w:rFonts w:ascii="Arial" w:hAnsi="Arial" w:cs="Arial"/>
          <w:sz w:val="24"/>
          <w:szCs w:val="24"/>
        </w:rPr>
        <w:t xml:space="preserve">, with </w:t>
      </w:r>
      <w:r w:rsidR="00205906">
        <w:rPr>
          <w:rFonts w:ascii="Arial" w:hAnsi="Arial" w:cs="Arial"/>
          <w:sz w:val="24"/>
          <w:szCs w:val="24"/>
        </w:rPr>
        <w:t>___ describing ACE</w:t>
      </w:r>
      <w:r w:rsidR="002642F7">
        <w:rPr>
          <w:rFonts w:ascii="Arial" w:hAnsi="Arial" w:cs="Arial"/>
          <w:sz w:val="24"/>
          <w:szCs w:val="24"/>
        </w:rPr>
        <w:t xml:space="preserve">s as ____, with these making children </w:t>
      </w:r>
      <w:r w:rsidR="00741E14">
        <w:rPr>
          <w:rFonts w:ascii="Arial" w:hAnsi="Arial" w:cs="Arial"/>
          <w:sz w:val="24"/>
          <w:szCs w:val="24"/>
        </w:rPr>
        <w:t xml:space="preserve">vulnerable and </w:t>
      </w:r>
      <w:r w:rsidR="002642F7">
        <w:rPr>
          <w:rFonts w:ascii="Arial" w:hAnsi="Arial" w:cs="Arial"/>
          <w:sz w:val="24"/>
          <w:szCs w:val="24"/>
        </w:rPr>
        <w:t xml:space="preserve">susceptible to criminality </w:t>
      </w:r>
      <w:r w:rsidR="009C2B1B">
        <w:rPr>
          <w:rFonts w:ascii="Arial" w:hAnsi="Arial" w:cs="Arial"/>
          <w:sz w:val="24"/>
          <w:szCs w:val="24"/>
        </w:rPr>
        <w:t xml:space="preserve">____. </w:t>
      </w:r>
      <w:r w:rsidRPr="00695A4F">
        <w:rPr>
          <w:rFonts w:ascii="Arial" w:hAnsi="Arial" w:cs="Arial"/>
          <w:sz w:val="24"/>
          <w:szCs w:val="24"/>
        </w:rPr>
        <w:t>This is especially seen where they are involved in county lines. County Lines is described by the HMICFRS (2019) as involving the distribution of illegal drugs by gangs and organised criminal groups through a network within the UK, with the drugs being moved from urban to rural areas. As Gov.UK (2023) highlights, criminal gangs take advantage of children and vulnerable young people and adults to move, sell, and deliver drugs; the vulnerabilities of these groups of people are exploited through methods of violence, coercion, and intimidation, with this power imbalance allowing the criminal gangs to manipulate individuals into this criminal activity. Gov.UK (2023) goes on to describe examples of vulnerabilities within the socio-economic and psychological sphere as: any gender, those between the ages of 15-17 years old, and all ethnicities and nationalities. In the context of county lines, children and young people are often the desired age group that criminal gangs target; Annan (</w:t>
      </w:r>
      <w:r w:rsidRPr="00695A4F">
        <w:rPr>
          <w:rFonts w:ascii="Arial" w:hAnsi="Arial" w:cs="Arial"/>
          <w:i/>
          <w:iCs/>
          <w:sz w:val="24"/>
          <w:szCs w:val="24"/>
        </w:rPr>
        <w:t xml:space="preserve">et al. </w:t>
      </w:r>
      <w:r w:rsidRPr="00695A4F">
        <w:rPr>
          <w:rFonts w:ascii="Arial" w:hAnsi="Arial" w:cs="Arial"/>
          <w:sz w:val="24"/>
          <w:szCs w:val="24"/>
        </w:rPr>
        <w:t xml:space="preserve">2021) shows that the geographical areas in which young people live is a major contributor, such as London being a prime area for gang activity (such as knife and gang crime), with the young people either being the offenders of such crime, or being groom by those who </w:t>
      </w:r>
      <w:r w:rsidRPr="00695A4F">
        <w:rPr>
          <w:rFonts w:ascii="Arial" w:hAnsi="Arial" w:cs="Arial"/>
          <w:sz w:val="24"/>
          <w:szCs w:val="24"/>
        </w:rPr>
        <w:lastRenderedPageBreak/>
        <w:t xml:space="preserve">commit the offences, as well as the adolescent and social behaviour of young people that has developed in recent time being a factor. Gov.UK (2018) goes on to illustrate more specific vulnerabilities, including those who have experienced abuse and neglect, unstable home lives, social isolation, economic vulnerability, and people with disabilities and mental health issues. The psychological impact that economic vulnerability poses on individuals may act as a major contributor as to why individuals are targeted, with criminal gangs making the criminal activity appear desirable due to the money attached to the activity. Ashton and </w:t>
      </w:r>
      <w:proofErr w:type="spellStart"/>
      <w:r w:rsidRPr="00695A4F">
        <w:rPr>
          <w:rFonts w:ascii="Arial" w:hAnsi="Arial" w:cs="Arial"/>
          <w:sz w:val="24"/>
          <w:szCs w:val="24"/>
        </w:rPr>
        <w:t>Bussu</w:t>
      </w:r>
      <w:proofErr w:type="spellEnd"/>
      <w:r w:rsidRPr="00695A4F">
        <w:rPr>
          <w:rFonts w:ascii="Arial" w:hAnsi="Arial" w:cs="Arial"/>
          <w:sz w:val="24"/>
          <w:szCs w:val="24"/>
        </w:rPr>
        <w:t xml:space="preserve"> (2020) go on to show that the enticement of gifts and money to children and young people who may be in social situations where they do not often experience is a contributing factor in the recruitment into county lines. Although, it is difficult to differentiate between criminals and victims in the county lines context, especially where children and young adults are incriminated in the illicit activity, such as where Ashton and </w:t>
      </w:r>
      <w:proofErr w:type="spellStart"/>
      <w:r w:rsidRPr="00695A4F">
        <w:rPr>
          <w:rFonts w:ascii="Arial" w:hAnsi="Arial" w:cs="Arial"/>
          <w:sz w:val="24"/>
          <w:szCs w:val="24"/>
        </w:rPr>
        <w:t>Bussu</w:t>
      </w:r>
      <w:proofErr w:type="spellEnd"/>
      <w:r w:rsidRPr="00695A4F">
        <w:rPr>
          <w:rFonts w:ascii="Arial" w:hAnsi="Arial" w:cs="Arial"/>
          <w:sz w:val="24"/>
          <w:szCs w:val="24"/>
        </w:rPr>
        <w:t xml:space="preserve"> (2020) gives the example of OCG adults giving ammunition and firearms to a young boy; this difficulty to distinguish criminals from victims is prominent, and allows for the victims to become trapped within the criminal world and cannot disengage from the criminal group. This disallows victims the support they need to leave the criminal network and keeps them in a cycle that becomes impossible to break. This also means that the criminal network grows, and more children and young adults are ensnared in the web of criminality that exploits them. </w:t>
      </w:r>
    </w:p>
    <w:p w14:paraId="44D48F41" w14:textId="77777777" w:rsidR="00E874EE" w:rsidRPr="00695A4F" w:rsidRDefault="00E874EE" w:rsidP="00E874EE">
      <w:pPr>
        <w:rPr>
          <w:rFonts w:ascii="Arial" w:hAnsi="Arial" w:cs="Arial"/>
          <w:i/>
          <w:iCs/>
          <w:sz w:val="24"/>
          <w:szCs w:val="24"/>
        </w:rPr>
      </w:pPr>
    </w:p>
    <w:p w14:paraId="462E2031"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One way in which the exploitation of psychological characteristics </w:t>
      </w:r>
      <w:proofErr w:type="gramStart"/>
      <w:r w:rsidRPr="00695A4F">
        <w:rPr>
          <w:rFonts w:ascii="Arial" w:hAnsi="Arial" w:cs="Arial"/>
          <w:sz w:val="24"/>
          <w:szCs w:val="24"/>
        </w:rPr>
        <w:t>are</w:t>
      </w:r>
      <w:proofErr w:type="gramEnd"/>
      <w:r w:rsidRPr="00695A4F">
        <w:rPr>
          <w:rFonts w:ascii="Arial" w:hAnsi="Arial" w:cs="Arial"/>
          <w:sz w:val="24"/>
          <w:szCs w:val="24"/>
        </w:rPr>
        <w:t xml:space="preserve"> concerned is through the practice of ‘cuckooing’. Stone (2018) describes the individual’s safe space, i.e., their home address, as being violated and used as a base for the criminal group to operate their illicit activity out of as it is located within the network where the </w:t>
      </w:r>
      <w:r w:rsidRPr="00695A4F">
        <w:rPr>
          <w:rFonts w:ascii="Arial" w:hAnsi="Arial" w:cs="Arial"/>
          <w:sz w:val="24"/>
          <w:szCs w:val="24"/>
        </w:rPr>
        <w:lastRenderedPageBreak/>
        <w:t xml:space="preserve">drugs market is located. </w:t>
      </w:r>
      <w:proofErr w:type="spellStart"/>
      <w:r w:rsidRPr="00695A4F">
        <w:rPr>
          <w:rFonts w:ascii="Arial" w:hAnsi="Arial" w:cs="Arial"/>
          <w:sz w:val="24"/>
          <w:szCs w:val="24"/>
        </w:rPr>
        <w:t>Coomber</w:t>
      </w:r>
      <w:proofErr w:type="spellEnd"/>
      <w:r w:rsidRPr="00695A4F">
        <w:rPr>
          <w:rFonts w:ascii="Arial" w:hAnsi="Arial" w:cs="Arial"/>
          <w:sz w:val="24"/>
          <w:szCs w:val="24"/>
        </w:rPr>
        <w:t xml:space="preserve"> and Moyle (2018) further this by highlighting that the individual’s vulnerabilities acts as a desirable factor for the criminals who take over their house, with it being described as a ‘spectrum of harm’, in which relationships are cultivated with vulnerable individuals who have mental health issues, disabilities, or learning difficulties, especially through the fear of violence and intimidation. Spicer, Moyle and </w:t>
      </w:r>
      <w:proofErr w:type="spellStart"/>
      <w:r w:rsidRPr="00695A4F">
        <w:rPr>
          <w:rFonts w:ascii="Arial" w:hAnsi="Arial" w:cs="Arial"/>
          <w:sz w:val="24"/>
          <w:szCs w:val="24"/>
        </w:rPr>
        <w:t>Coomber</w:t>
      </w:r>
      <w:proofErr w:type="spellEnd"/>
      <w:r w:rsidRPr="00695A4F">
        <w:rPr>
          <w:rFonts w:ascii="Arial" w:hAnsi="Arial" w:cs="Arial"/>
          <w:sz w:val="24"/>
          <w:szCs w:val="24"/>
        </w:rPr>
        <w:t xml:space="preserve"> (2020) describe the criminals as intruders who use predatory tactics and behaviour to induce the illicit drug market. Moreover, the negative impact to individuals’ psychological characteristics </w:t>
      </w:r>
      <w:proofErr w:type="gramStart"/>
      <w:r w:rsidRPr="00695A4F">
        <w:rPr>
          <w:rFonts w:ascii="Arial" w:hAnsi="Arial" w:cs="Arial"/>
          <w:sz w:val="24"/>
          <w:szCs w:val="24"/>
        </w:rPr>
        <w:t>are</w:t>
      </w:r>
      <w:proofErr w:type="gramEnd"/>
      <w:r w:rsidRPr="00695A4F">
        <w:rPr>
          <w:rFonts w:ascii="Arial" w:hAnsi="Arial" w:cs="Arial"/>
          <w:sz w:val="24"/>
          <w:szCs w:val="24"/>
        </w:rPr>
        <w:t xml:space="preserve"> exacerbated as not only are they targeted, but they are worsened; Spicer, Moyle and </w:t>
      </w:r>
      <w:proofErr w:type="spellStart"/>
      <w:r w:rsidRPr="00695A4F">
        <w:rPr>
          <w:rFonts w:ascii="Arial" w:hAnsi="Arial" w:cs="Arial"/>
          <w:sz w:val="24"/>
          <w:szCs w:val="24"/>
        </w:rPr>
        <w:t>Coomber</w:t>
      </w:r>
      <w:proofErr w:type="spellEnd"/>
      <w:r w:rsidRPr="00695A4F">
        <w:rPr>
          <w:rFonts w:ascii="Arial" w:hAnsi="Arial" w:cs="Arial"/>
          <w:sz w:val="24"/>
          <w:szCs w:val="24"/>
        </w:rPr>
        <w:t xml:space="preserve"> (2020) goes on to describe how a person may be entrapped inside their own address, or they may leave to avoid being victimised by the criminals. One vulnerability is where the exploited individual is a drug addict themselves, with examples showing that they are plied with drugs </w:t>
      </w:r>
      <w:proofErr w:type="gramStart"/>
      <w:r w:rsidRPr="00695A4F">
        <w:rPr>
          <w:rFonts w:ascii="Arial" w:hAnsi="Arial" w:cs="Arial"/>
          <w:sz w:val="24"/>
          <w:szCs w:val="24"/>
        </w:rPr>
        <w:t>in order for</w:t>
      </w:r>
      <w:proofErr w:type="gramEnd"/>
      <w:r w:rsidRPr="00695A4F">
        <w:rPr>
          <w:rFonts w:ascii="Arial" w:hAnsi="Arial" w:cs="Arial"/>
          <w:sz w:val="24"/>
          <w:szCs w:val="24"/>
        </w:rPr>
        <w:t xml:space="preserve"> the criminals to take over their address (BBC, 2021). Although, Nunes and Sani (2013, p. 677) points out that this area is under-researched, and more needs to be done on considering the victimisation of drug addicts, especially in the context of cuckooing as Spicer, Moyle and </w:t>
      </w:r>
      <w:proofErr w:type="spellStart"/>
      <w:r w:rsidRPr="00695A4F">
        <w:rPr>
          <w:rFonts w:ascii="Arial" w:hAnsi="Arial" w:cs="Arial"/>
          <w:sz w:val="24"/>
          <w:szCs w:val="24"/>
        </w:rPr>
        <w:t>Coomber</w:t>
      </w:r>
      <w:proofErr w:type="spellEnd"/>
      <w:r w:rsidRPr="00695A4F">
        <w:rPr>
          <w:rFonts w:ascii="Arial" w:hAnsi="Arial" w:cs="Arial"/>
          <w:sz w:val="24"/>
          <w:szCs w:val="24"/>
        </w:rPr>
        <w:t xml:space="preserve"> (2020) view the term as being a newer one. </w:t>
      </w:r>
    </w:p>
    <w:p w14:paraId="2DDF38C2" w14:textId="77777777" w:rsidR="00E874EE" w:rsidRPr="00695A4F" w:rsidRDefault="00E874EE" w:rsidP="00E874EE">
      <w:pPr>
        <w:rPr>
          <w:rFonts w:ascii="Arial" w:hAnsi="Arial" w:cs="Arial"/>
          <w:i/>
          <w:iCs/>
          <w:sz w:val="24"/>
          <w:szCs w:val="24"/>
        </w:rPr>
      </w:pPr>
    </w:p>
    <w:p w14:paraId="5B391041"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GOV.UK (2023) highlights that people whose immigration status is insecure may have an increased vulnerability to exploitation due to isolation they may experience through cultural and social isolation in which they do not have support surrounding them, as well as their entry into the country being facilitated through links by criminal gangs who organised their journey, or even exposure to criminal gangs from their journey into the country. This is manifested in the form of human trafficking, which is described by </w:t>
      </w:r>
      <w:r w:rsidRPr="00695A4F">
        <w:rPr>
          <w:rFonts w:ascii="Arial" w:hAnsi="Arial" w:cs="Arial"/>
          <w:b/>
          <w:bCs/>
          <w:sz w:val="24"/>
          <w:szCs w:val="24"/>
        </w:rPr>
        <w:t>(BLACKSTONES TEXTBOOK DEFINITION)</w:t>
      </w:r>
      <w:r w:rsidRPr="00695A4F">
        <w:rPr>
          <w:rFonts w:ascii="Arial" w:hAnsi="Arial" w:cs="Arial"/>
          <w:sz w:val="24"/>
          <w:szCs w:val="24"/>
        </w:rPr>
        <w:t xml:space="preserve"> ________. The offence </w:t>
      </w:r>
      <w:r w:rsidRPr="00695A4F">
        <w:rPr>
          <w:rFonts w:ascii="Arial" w:hAnsi="Arial" w:cs="Arial"/>
          <w:sz w:val="24"/>
          <w:szCs w:val="24"/>
        </w:rPr>
        <w:lastRenderedPageBreak/>
        <w:t>of human trafficking has also been put onto a legislative footing in the form of section 2 of the Modern Slavery Act (MSA) 2015 in which the offence is outlined as a person who facilitates of arranges travel with the intention of the other person being exploited. Although, A report by the House of Commons (2009) shows that human trafficking is drastically different from individuals who voluntarily assume a job role that is unpleasant and conditions and wages are not satisfactory, but the term is reserved for those who seek employment in another country where their poverty and desperation renders them vulnerable and exploited. There are instances where individuals, who fall victim to human trafficking, commit offences under compulsion due to exploitation (</w:t>
      </w:r>
      <w:proofErr w:type="spellStart"/>
      <w:r w:rsidRPr="00695A4F">
        <w:rPr>
          <w:rFonts w:ascii="Arial" w:hAnsi="Arial" w:cs="Arial"/>
          <w:sz w:val="24"/>
          <w:szCs w:val="24"/>
        </w:rPr>
        <w:t>Heys</w:t>
      </w:r>
      <w:proofErr w:type="spellEnd"/>
      <w:r w:rsidRPr="00695A4F">
        <w:rPr>
          <w:rFonts w:ascii="Arial" w:hAnsi="Arial" w:cs="Arial"/>
          <w:sz w:val="24"/>
          <w:szCs w:val="24"/>
        </w:rPr>
        <w:t xml:space="preserve">, 2023). To combat this, section 45 of the MSA 2015 provides a defence for individuals who commit such offences, although does not extend to some more serious offences, such as kidnapping and murder (Schedule 4 MSA 2015). Despite this, it is oftentimes difficult to determine whether an individual is a victim or an offender, and a reservation is that individuals may then exploit this defence to their advantage (Bowcott, 2019). This is a damaging perspective to maintain due to the vulnerability of victims and the possibility that they are criminalised due to the pre-conceived notion that they are using the section 45 defence to excuse their actions, especially where magistrates, those in positions of power, take on this view. This goes on to show that those whose vulnerabilities are exploited to the point where they are manipulated into committing offences are then rendered into an even more vulnerable position as they are then not protected by a statutory defence that has been implemented with them in mind. </w:t>
      </w:r>
    </w:p>
    <w:p w14:paraId="72EC19AA" w14:textId="77777777" w:rsidR="00E874EE" w:rsidRPr="00695A4F" w:rsidRDefault="00E874EE" w:rsidP="00E874EE">
      <w:pPr>
        <w:rPr>
          <w:rFonts w:ascii="Arial" w:hAnsi="Arial" w:cs="Arial"/>
          <w:i/>
          <w:iCs/>
          <w:sz w:val="24"/>
          <w:szCs w:val="24"/>
        </w:rPr>
      </w:pPr>
    </w:p>
    <w:p w14:paraId="54146280" w14:textId="77777777" w:rsidR="00E874EE" w:rsidRPr="00695A4F" w:rsidRDefault="00E874EE" w:rsidP="00E874EE">
      <w:pPr>
        <w:rPr>
          <w:rFonts w:ascii="Arial" w:hAnsi="Arial" w:cs="Arial"/>
          <w:sz w:val="24"/>
          <w:szCs w:val="24"/>
        </w:rPr>
      </w:pPr>
      <w:r w:rsidRPr="00695A4F">
        <w:rPr>
          <w:rFonts w:ascii="Arial" w:hAnsi="Arial" w:cs="Arial"/>
          <w:sz w:val="24"/>
          <w:szCs w:val="24"/>
        </w:rPr>
        <w:t xml:space="preserve">It is clear to see that an individual’s vulnerabilities are exploited </w:t>
      </w:r>
      <w:proofErr w:type="gramStart"/>
      <w:r w:rsidRPr="00695A4F">
        <w:rPr>
          <w:rFonts w:ascii="Arial" w:hAnsi="Arial" w:cs="Arial"/>
          <w:sz w:val="24"/>
          <w:szCs w:val="24"/>
        </w:rPr>
        <w:t>in order for</w:t>
      </w:r>
      <w:proofErr w:type="gramEnd"/>
      <w:r w:rsidRPr="00695A4F">
        <w:rPr>
          <w:rFonts w:ascii="Arial" w:hAnsi="Arial" w:cs="Arial"/>
          <w:sz w:val="24"/>
          <w:szCs w:val="24"/>
        </w:rPr>
        <w:t xml:space="preserve"> criminals to make a gain, especially through wavering socio-economic and psychological </w:t>
      </w:r>
      <w:r w:rsidRPr="00695A4F">
        <w:rPr>
          <w:rFonts w:ascii="Arial" w:hAnsi="Arial" w:cs="Arial"/>
          <w:sz w:val="24"/>
          <w:szCs w:val="24"/>
        </w:rPr>
        <w:lastRenderedPageBreak/>
        <w:t xml:space="preserve">characteristics. As seen in the examples highlighted above, criminals prey on such characteristics and use them to their advantage to grow the criminal network that would not thrive if it was not built on the back of those who fall victim to both the facilitation of the illicit activity, and those who suffer the repercussions from it – both often go hand-in-hand, which means the vulnerable individuals remain in this cycle and cannot disengage from it. </w:t>
      </w:r>
    </w:p>
    <w:p w14:paraId="6589B38A" w14:textId="77777777" w:rsidR="00E874EE" w:rsidRPr="00695A4F" w:rsidRDefault="00E874EE" w:rsidP="00E874EE">
      <w:pPr>
        <w:rPr>
          <w:rFonts w:ascii="Arial" w:hAnsi="Arial" w:cs="Arial"/>
          <w:sz w:val="24"/>
          <w:szCs w:val="24"/>
        </w:rPr>
      </w:pPr>
    </w:p>
    <w:p w14:paraId="075A9DA5" w14:textId="3D771959" w:rsidR="00E874EE" w:rsidRPr="00695A4F" w:rsidRDefault="00E874EE" w:rsidP="00E874EE">
      <w:pPr>
        <w:rPr>
          <w:rFonts w:ascii="Arial" w:hAnsi="Arial" w:cs="Arial"/>
          <w:b/>
          <w:bCs/>
          <w:sz w:val="24"/>
          <w:szCs w:val="24"/>
        </w:rPr>
      </w:pPr>
      <w:r w:rsidRPr="00695A4F">
        <w:rPr>
          <w:rFonts w:ascii="Arial" w:hAnsi="Arial" w:cs="Arial"/>
          <w:b/>
          <w:bCs/>
          <w:sz w:val="24"/>
          <w:szCs w:val="24"/>
        </w:rPr>
        <w:t>Word count: 1,521</w:t>
      </w:r>
      <w:r w:rsidR="00E968C7">
        <w:rPr>
          <w:rFonts w:ascii="Arial" w:hAnsi="Arial" w:cs="Arial"/>
          <w:b/>
          <w:bCs/>
          <w:sz w:val="24"/>
          <w:szCs w:val="24"/>
        </w:rPr>
        <w:t xml:space="preserve"> (REDUCE WORDCOUNT) </w:t>
      </w:r>
    </w:p>
    <w:p w14:paraId="26BE0A45" w14:textId="77777777" w:rsidR="00E874EE" w:rsidRPr="00695A4F" w:rsidRDefault="00E874EE" w:rsidP="00E874EE">
      <w:pPr>
        <w:rPr>
          <w:rFonts w:ascii="Arial" w:hAnsi="Arial" w:cs="Arial"/>
          <w:i/>
          <w:iCs/>
          <w:sz w:val="24"/>
          <w:szCs w:val="24"/>
        </w:rPr>
      </w:pPr>
    </w:p>
    <w:p w14:paraId="651B19AA" w14:textId="77777777" w:rsidR="00E874EE" w:rsidRPr="00695A4F" w:rsidRDefault="00E874EE" w:rsidP="00E874EE">
      <w:pPr>
        <w:rPr>
          <w:rFonts w:ascii="Arial" w:hAnsi="Arial" w:cs="Arial"/>
          <w:i/>
          <w:iCs/>
          <w:sz w:val="24"/>
          <w:szCs w:val="24"/>
        </w:rPr>
      </w:pPr>
    </w:p>
    <w:p w14:paraId="33B8C045" w14:textId="77777777" w:rsidR="00E874EE" w:rsidRPr="00695A4F" w:rsidRDefault="00E874EE" w:rsidP="00E874EE">
      <w:pPr>
        <w:rPr>
          <w:rFonts w:ascii="Arial" w:hAnsi="Arial" w:cs="Arial"/>
          <w:i/>
          <w:iCs/>
          <w:sz w:val="24"/>
          <w:szCs w:val="24"/>
        </w:rPr>
      </w:pPr>
    </w:p>
    <w:p w14:paraId="269EB98A" w14:textId="77777777" w:rsidR="00E874EE" w:rsidRPr="00695A4F" w:rsidRDefault="00E874EE" w:rsidP="00E874EE">
      <w:pPr>
        <w:rPr>
          <w:rFonts w:ascii="Arial" w:hAnsi="Arial" w:cs="Arial"/>
          <w:i/>
          <w:iCs/>
          <w:sz w:val="24"/>
          <w:szCs w:val="24"/>
        </w:rPr>
      </w:pPr>
    </w:p>
    <w:p w14:paraId="76C14398" w14:textId="77777777" w:rsidR="00E874EE" w:rsidRPr="00695A4F" w:rsidRDefault="00E874EE" w:rsidP="00E874EE">
      <w:pPr>
        <w:rPr>
          <w:rFonts w:ascii="Arial" w:hAnsi="Arial" w:cs="Arial"/>
          <w:i/>
          <w:iCs/>
          <w:sz w:val="24"/>
          <w:szCs w:val="24"/>
        </w:rPr>
      </w:pPr>
    </w:p>
    <w:p w14:paraId="2ED272E1" w14:textId="77777777" w:rsidR="00E874EE" w:rsidRPr="00695A4F" w:rsidRDefault="00E874EE" w:rsidP="00E874EE">
      <w:pPr>
        <w:rPr>
          <w:rFonts w:ascii="Arial" w:hAnsi="Arial" w:cs="Arial"/>
          <w:i/>
          <w:iCs/>
          <w:sz w:val="24"/>
          <w:szCs w:val="24"/>
        </w:rPr>
      </w:pPr>
    </w:p>
    <w:p w14:paraId="1449AAD2" w14:textId="77777777" w:rsidR="00E874EE" w:rsidRPr="00695A4F" w:rsidRDefault="00E874EE" w:rsidP="00E874EE">
      <w:pPr>
        <w:rPr>
          <w:rFonts w:ascii="Arial" w:hAnsi="Arial" w:cs="Arial"/>
          <w:i/>
          <w:iCs/>
          <w:sz w:val="24"/>
          <w:szCs w:val="24"/>
        </w:rPr>
      </w:pPr>
    </w:p>
    <w:p w14:paraId="2ED38B2B" w14:textId="77777777" w:rsidR="00E874EE" w:rsidRPr="00695A4F" w:rsidRDefault="00E874EE" w:rsidP="00E874EE">
      <w:pPr>
        <w:rPr>
          <w:rFonts w:ascii="Arial" w:hAnsi="Arial" w:cs="Arial"/>
          <w:i/>
          <w:iCs/>
          <w:sz w:val="24"/>
          <w:szCs w:val="24"/>
        </w:rPr>
      </w:pPr>
    </w:p>
    <w:p w14:paraId="7555DE66" w14:textId="77777777" w:rsidR="00E874EE" w:rsidRPr="00695A4F" w:rsidRDefault="00E874EE" w:rsidP="00E874EE">
      <w:pPr>
        <w:rPr>
          <w:rFonts w:ascii="Arial" w:hAnsi="Arial" w:cs="Arial"/>
          <w:i/>
          <w:iCs/>
          <w:sz w:val="24"/>
          <w:szCs w:val="24"/>
        </w:rPr>
      </w:pPr>
    </w:p>
    <w:p w14:paraId="4BEF6678" w14:textId="77777777" w:rsidR="00E874EE" w:rsidRPr="00695A4F" w:rsidRDefault="00E874EE" w:rsidP="00E874EE">
      <w:pPr>
        <w:rPr>
          <w:rFonts w:ascii="Arial" w:hAnsi="Arial" w:cs="Arial"/>
          <w:i/>
          <w:iCs/>
          <w:sz w:val="24"/>
          <w:szCs w:val="24"/>
        </w:rPr>
      </w:pPr>
    </w:p>
    <w:p w14:paraId="7F81B303" w14:textId="77777777" w:rsidR="00E874EE" w:rsidRPr="00695A4F" w:rsidRDefault="00E874EE" w:rsidP="00E874EE">
      <w:pPr>
        <w:rPr>
          <w:rFonts w:ascii="Arial" w:hAnsi="Arial" w:cs="Arial"/>
          <w:i/>
          <w:iCs/>
          <w:sz w:val="24"/>
          <w:szCs w:val="24"/>
        </w:rPr>
      </w:pPr>
    </w:p>
    <w:p w14:paraId="5703F845" w14:textId="77777777" w:rsidR="00E874EE" w:rsidRPr="00695A4F" w:rsidRDefault="00E874EE" w:rsidP="00E874EE">
      <w:pPr>
        <w:rPr>
          <w:rFonts w:ascii="Arial" w:hAnsi="Arial" w:cs="Arial"/>
          <w:i/>
          <w:iCs/>
          <w:sz w:val="24"/>
          <w:szCs w:val="24"/>
        </w:rPr>
      </w:pPr>
    </w:p>
    <w:p w14:paraId="2EDA3C76" w14:textId="77777777" w:rsidR="00E874EE" w:rsidRPr="00695A4F" w:rsidRDefault="00E874EE" w:rsidP="00E874EE">
      <w:pPr>
        <w:rPr>
          <w:rFonts w:ascii="Arial" w:hAnsi="Arial" w:cs="Arial"/>
          <w:i/>
          <w:iCs/>
          <w:sz w:val="24"/>
          <w:szCs w:val="24"/>
        </w:rPr>
      </w:pPr>
    </w:p>
    <w:p w14:paraId="24490CA6" w14:textId="77777777" w:rsidR="00E874EE" w:rsidRPr="00695A4F" w:rsidRDefault="00E874EE" w:rsidP="00E874EE">
      <w:pPr>
        <w:rPr>
          <w:rFonts w:ascii="Arial" w:hAnsi="Arial" w:cs="Arial"/>
          <w:i/>
          <w:iCs/>
          <w:sz w:val="24"/>
          <w:szCs w:val="24"/>
        </w:rPr>
      </w:pPr>
    </w:p>
    <w:p w14:paraId="19DB8D17" w14:textId="77777777" w:rsidR="00E874EE" w:rsidRPr="00695A4F" w:rsidRDefault="00E874EE" w:rsidP="00E874EE">
      <w:pPr>
        <w:pStyle w:val="Default"/>
        <w:rPr>
          <w:i/>
          <w:iCs/>
          <w:color w:val="auto"/>
        </w:rPr>
      </w:pPr>
      <w:r w:rsidRPr="00695A4F">
        <w:rPr>
          <w:b/>
          <w:bCs/>
          <w:i/>
          <w:iCs/>
          <w:color w:val="auto"/>
        </w:rPr>
        <w:t xml:space="preserve">Essay five: </w:t>
      </w:r>
    </w:p>
    <w:p w14:paraId="16C07696" w14:textId="77777777" w:rsidR="00E874EE" w:rsidRPr="00695A4F" w:rsidRDefault="00E874EE" w:rsidP="00E874EE">
      <w:pPr>
        <w:pStyle w:val="Default"/>
        <w:rPr>
          <w:i/>
          <w:iCs/>
          <w:color w:val="auto"/>
        </w:rPr>
      </w:pPr>
      <w:r w:rsidRPr="00695A4F">
        <w:rPr>
          <w:i/>
          <w:iCs/>
          <w:color w:val="auto"/>
        </w:rPr>
        <w:t xml:space="preserve">Critically assess the effectiveness of options available to reduce re-offending. You may choose a specific type of offence for this answer </w:t>
      </w:r>
      <w:proofErr w:type="gramStart"/>
      <w:r w:rsidRPr="00695A4F">
        <w:rPr>
          <w:i/>
          <w:iCs/>
          <w:color w:val="auto"/>
        </w:rPr>
        <w:t>e.g.</w:t>
      </w:r>
      <w:proofErr w:type="gramEnd"/>
      <w:r w:rsidRPr="00695A4F">
        <w:rPr>
          <w:i/>
          <w:iCs/>
          <w:color w:val="auto"/>
        </w:rPr>
        <w:t xml:space="preserve"> domestic violence, anti-social behaviour, knife crime. </w:t>
      </w:r>
    </w:p>
    <w:p w14:paraId="70921A0D" w14:textId="77777777" w:rsidR="00E874EE" w:rsidRPr="00695A4F" w:rsidRDefault="00E874EE" w:rsidP="00E874EE">
      <w:pPr>
        <w:pStyle w:val="Default"/>
        <w:rPr>
          <w:i/>
          <w:iCs/>
          <w:color w:val="auto"/>
        </w:rPr>
      </w:pPr>
      <w:r w:rsidRPr="00695A4F">
        <w:rPr>
          <w:i/>
          <w:iCs/>
          <w:color w:val="auto"/>
        </w:rPr>
        <w:t xml:space="preserve">Your answer must be based on academic research, but you may </w:t>
      </w:r>
      <w:proofErr w:type="gramStart"/>
      <w:r w:rsidRPr="00695A4F">
        <w:rPr>
          <w:i/>
          <w:iCs/>
          <w:color w:val="auto"/>
        </w:rPr>
        <w:t>make reference</w:t>
      </w:r>
      <w:proofErr w:type="gramEnd"/>
      <w:r w:rsidRPr="00695A4F">
        <w:rPr>
          <w:i/>
          <w:iCs/>
          <w:color w:val="auto"/>
        </w:rPr>
        <w:t xml:space="preserve"> to relevant case studies. </w:t>
      </w:r>
    </w:p>
    <w:p w14:paraId="6FC7848D" w14:textId="77777777" w:rsidR="00E874EE" w:rsidRPr="00695A4F" w:rsidRDefault="00E874EE" w:rsidP="00E874EE">
      <w:pPr>
        <w:rPr>
          <w:rFonts w:ascii="Arial" w:hAnsi="Arial" w:cs="Arial"/>
          <w:b/>
          <w:bCs/>
          <w:i/>
          <w:iCs/>
          <w:sz w:val="24"/>
          <w:szCs w:val="24"/>
        </w:rPr>
      </w:pPr>
    </w:p>
    <w:p w14:paraId="65C2882D" w14:textId="0293782B" w:rsidR="001F7DF4" w:rsidRPr="00695A4F" w:rsidRDefault="001F7DF4" w:rsidP="00E874EE">
      <w:pPr>
        <w:rPr>
          <w:rFonts w:ascii="Arial" w:hAnsi="Arial" w:cs="Arial"/>
          <w:sz w:val="24"/>
          <w:szCs w:val="24"/>
        </w:rPr>
      </w:pPr>
      <w:r w:rsidRPr="00695A4F">
        <w:rPr>
          <w:rFonts w:ascii="Arial" w:hAnsi="Arial" w:cs="Arial"/>
          <w:sz w:val="24"/>
          <w:szCs w:val="24"/>
        </w:rPr>
        <w:t xml:space="preserve">The reality of policing involves </w:t>
      </w:r>
      <w:proofErr w:type="gramStart"/>
      <w:r w:rsidRPr="00695A4F">
        <w:rPr>
          <w:rFonts w:ascii="Arial" w:hAnsi="Arial" w:cs="Arial"/>
          <w:sz w:val="24"/>
          <w:szCs w:val="24"/>
        </w:rPr>
        <w:t>coming into contact with</w:t>
      </w:r>
      <w:proofErr w:type="gramEnd"/>
      <w:r w:rsidRPr="00695A4F">
        <w:rPr>
          <w:rFonts w:ascii="Arial" w:hAnsi="Arial" w:cs="Arial"/>
          <w:sz w:val="24"/>
          <w:szCs w:val="24"/>
        </w:rPr>
        <w:t xml:space="preserve"> the same offenders frequently, oftentimes for the same offences. </w:t>
      </w:r>
      <w:r w:rsidR="003F6FB2" w:rsidRPr="00695A4F">
        <w:rPr>
          <w:rFonts w:ascii="Arial" w:hAnsi="Arial" w:cs="Arial"/>
          <w:sz w:val="24"/>
          <w:szCs w:val="24"/>
        </w:rPr>
        <w:t xml:space="preserve">Through this, </w:t>
      </w:r>
      <w:proofErr w:type="gramStart"/>
      <w:r w:rsidR="003F6FB2" w:rsidRPr="00695A4F">
        <w:rPr>
          <w:rFonts w:ascii="Arial" w:hAnsi="Arial" w:cs="Arial"/>
          <w:sz w:val="24"/>
          <w:szCs w:val="24"/>
        </w:rPr>
        <w:t>it is clear that the</w:t>
      </w:r>
      <w:proofErr w:type="gramEnd"/>
      <w:r w:rsidR="003F6FB2" w:rsidRPr="00695A4F">
        <w:rPr>
          <w:rFonts w:ascii="Arial" w:hAnsi="Arial" w:cs="Arial"/>
          <w:sz w:val="24"/>
          <w:szCs w:val="24"/>
        </w:rPr>
        <w:t xml:space="preserve"> individual has not been deterred from criminal activity </w:t>
      </w:r>
      <w:r w:rsidR="009611B5" w:rsidRPr="00695A4F">
        <w:rPr>
          <w:rFonts w:ascii="Arial" w:hAnsi="Arial" w:cs="Arial"/>
          <w:sz w:val="24"/>
          <w:szCs w:val="24"/>
        </w:rPr>
        <w:t xml:space="preserve">since the last crime they had committed. Gov.UK (2021) defines a ‘reoffence’ as a person committing a further offence within a period of 12 months from a disposal (such as a caution of fine) or from release from custody. Reoffending is not a simple concept but is comprised of </w:t>
      </w:r>
      <w:proofErr w:type="gramStart"/>
      <w:r w:rsidR="009611B5" w:rsidRPr="00695A4F">
        <w:rPr>
          <w:rFonts w:ascii="Arial" w:hAnsi="Arial" w:cs="Arial"/>
          <w:sz w:val="24"/>
          <w:szCs w:val="24"/>
        </w:rPr>
        <w:t>a number of</w:t>
      </w:r>
      <w:proofErr w:type="gramEnd"/>
      <w:r w:rsidR="009611B5" w:rsidRPr="00695A4F">
        <w:rPr>
          <w:rFonts w:ascii="Arial" w:hAnsi="Arial" w:cs="Arial"/>
          <w:sz w:val="24"/>
          <w:szCs w:val="24"/>
        </w:rPr>
        <w:t xml:space="preserve"> factors that accumulate, such as drug addiction, unstable relationships, and unemployment (Civil Service, 2021), with Gov.UK (2013) outlining the reasons for reoffending after prison release include risk factors that were present prior to the offender going to prison as well as their experiences during their sentence. Reoffending is rise in the context of anti-social behaviour (ASB). This is often due to victims not supporting police action, and oftentimes, if the risk level is low and there is little evidence</w:t>
      </w:r>
      <w:r w:rsidR="00CE429B" w:rsidRPr="00695A4F">
        <w:rPr>
          <w:rFonts w:ascii="Arial" w:hAnsi="Arial" w:cs="Arial"/>
          <w:sz w:val="24"/>
          <w:szCs w:val="24"/>
        </w:rPr>
        <w:t xml:space="preserve"> to proceed, no further action will be taken. In this vein, there are options available to reduce reoffending, although these need to be assessed to determine their effectiveness. </w:t>
      </w:r>
    </w:p>
    <w:p w14:paraId="36940F00" w14:textId="4CD6AD80" w:rsidR="001F7DF4" w:rsidRPr="00695A4F" w:rsidRDefault="001F7DF4" w:rsidP="00E874EE">
      <w:pPr>
        <w:rPr>
          <w:rFonts w:ascii="Arial" w:hAnsi="Arial" w:cs="Arial"/>
          <w:b/>
          <w:bCs/>
          <w:i/>
          <w:iCs/>
          <w:sz w:val="24"/>
          <w:szCs w:val="24"/>
        </w:rPr>
      </w:pPr>
    </w:p>
    <w:p w14:paraId="1CFCCF3A" w14:textId="67FC7D9F" w:rsidR="00CE429B" w:rsidRPr="00695A4F" w:rsidRDefault="00CE429B" w:rsidP="00E874EE">
      <w:pPr>
        <w:rPr>
          <w:rFonts w:ascii="Arial" w:hAnsi="Arial" w:cs="Arial"/>
          <w:sz w:val="24"/>
          <w:szCs w:val="24"/>
        </w:rPr>
      </w:pPr>
      <w:r w:rsidRPr="00695A4F">
        <w:rPr>
          <w:rFonts w:ascii="Arial" w:hAnsi="Arial" w:cs="Arial"/>
          <w:sz w:val="24"/>
          <w:szCs w:val="24"/>
        </w:rPr>
        <w:t xml:space="preserve">ASB, in the context of the offender, is highlighted by Heap (2020) as having the potential for reoffending to occur; as ASB oftentimes starts with low-level offending or non-crimes, there is the risk of the behaviour escalating, such as the example </w:t>
      </w:r>
      <w:r w:rsidRPr="00695A4F">
        <w:rPr>
          <w:rFonts w:ascii="Arial" w:hAnsi="Arial" w:cs="Arial"/>
          <w:sz w:val="24"/>
          <w:szCs w:val="24"/>
        </w:rPr>
        <w:lastRenderedPageBreak/>
        <w:t xml:space="preserve">given by Heap (2020) as starting off with a dispute between neighbours progressing to name calling, culminating to threats or even violence. </w:t>
      </w:r>
      <w:r w:rsidR="008234E4" w:rsidRPr="00695A4F">
        <w:rPr>
          <w:rFonts w:ascii="Arial" w:hAnsi="Arial" w:cs="Arial"/>
          <w:sz w:val="24"/>
          <w:szCs w:val="24"/>
        </w:rPr>
        <w:t xml:space="preserve">By stopping this ASB early on, especially where the offence committed is low-level, reoffending by the individual is targeted, and repeat victimisation of the victim is prevented. </w:t>
      </w:r>
    </w:p>
    <w:p w14:paraId="54AD36F0" w14:textId="77777777" w:rsidR="008234E4" w:rsidRPr="00695A4F" w:rsidRDefault="008234E4" w:rsidP="00E874EE">
      <w:pPr>
        <w:rPr>
          <w:rFonts w:ascii="Arial" w:hAnsi="Arial" w:cs="Arial"/>
          <w:b/>
          <w:bCs/>
          <w:i/>
          <w:iCs/>
          <w:sz w:val="24"/>
          <w:szCs w:val="24"/>
        </w:rPr>
      </w:pPr>
    </w:p>
    <w:p w14:paraId="60E6DA23" w14:textId="2616C929" w:rsidR="008234E4" w:rsidRPr="00695A4F" w:rsidRDefault="008234E4" w:rsidP="00E874EE">
      <w:pPr>
        <w:rPr>
          <w:rFonts w:ascii="Arial" w:hAnsi="Arial" w:cs="Arial"/>
          <w:sz w:val="24"/>
          <w:szCs w:val="24"/>
        </w:rPr>
      </w:pPr>
      <w:r w:rsidRPr="00695A4F">
        <w:rPr>
          <w:rFonts w:ascii="Arial" w:hAnsi="Arial" w:cs="Arial"/>
          <w:sz w:val="24"/>
          <w:szCs w:val="24"/>
        </w:rPr>
        <w:t xml:space="preserve">ASB is defined as behaviour that causes or likely to cause harassment, </w:t>
      </w:r>
      <w:proofErr w:type="gramStart"/>
      <w:r w:rsidR="00134236" w:rsidRPr="00695A4F">
        <w:rPr>
          <w:rFonts w:ascii="Arial" w:hAnsi="Arial" w:cs="Arial"/>
          <w:sz w:val="24"/>
          <w:szCs w:val="24"/>
        </w:rPr>
        <w:t>alarm</w:t>
      </w:r>
      <w:proofErr w:type="gramEnd"/>
      <w:r w:rsidR="00134236" w:rsidRPr="00695A4F">
        <w:rPr>
          <w:rFonts w:ascii="Arial" w:hAnsi="Arial" w:cs="Arial"/>
          <w:sz w:val="24"/>
          <w:szCs w:val="24"/>
        </w:rPr>
        <w:t xml:space="preserve"> or distress to others, although it is a subjective concept due to differing perceptions on what ASB</w:t>
      </w:r>
      <w:r w:rsidR="002218F1" w:rsidRPr="00695A4F">
        <w:rPr>
          <w:rFonts w:ascii="Arial" w:hAnsi="Arial" w:cs="Arial"/>
          <w:sz w:val="24"/>
          <w:szCs w:val="24"/>
        </w:rPr>
        <w:t xml:space="preserve"> is between individuals (Home Office, 2004)</w:t>
      </w:r>
      <w:r w:rsidR="00137D9B" w:rsidRPr="00695A4F">
        <w:rPr>
          <w:rFonts w:ascii="Arial" w:hAnsi="Arial" w:cs="Arial"/>
          <w:sz w:val="24"/>
          <w:szCs w:val="24"/>
        </w:rPr>
        <w:t xml:space="preserve">, with section 2 of the Anti-Social Behaviour, Crime and Policing Act 2014 including nuisance and annoyance as possible results of the conduct of the individual. Considering this, ASB is not an </w:t>
      </w:r>
      <w:proofErr w:type="gramStart"/>
      <w:r w:rsidR="00137D9B" w:rsidRPr="00695A4F">
        <w:rPr>
          <w:rFonts w:ascii="Arial" w:hAnsi="Arial" w:cs="Arial"/>
          <w:sz w:val="24"/>
          <w:szCs w:val="24"/>
        </w:rPr>
        <w:t>offence in itself, but</w:t>
      </w:r>
      <w:proofErr w:type="gramEnd"/>
      <w:r w:rsidR="00137D9B" w:rsidRPr="00695A4F">
        <w:rPr>
          <w:rFonts w:ascii="Arial" w:hAnsi="Arial" w:cs="Arial"/>
          <w:sz w:val="24"/>
          <w:szCs w:val="24"/>
        </w:rPr>
        <w:t xml:space="preserve"> encompasses a range of offences that are under the umbrella</w:t>
      </w:r>
      <w:r w:rsidR="009F1F7D" w:rsidRPr="00695A4F">
        <w:rPr>
          <w:rFonts w:ascii="Arial" w:hAnsi="Arial" w:cs="Arial"/>
          <w:sz w:val="24"/>
          <w:szCs w:val="24"/>
        </w:rPr>
        <w:t xml:space="preserve"> of ASB due to the harm caused to the community, such as damage to the environment (criminal damage), and offences directed towards people (such as verbal abuse and threats, and sending offensive letters) (Home Office, 2004). </w:t>
      </w:r>
    </w:p>
    <w:p w14:paraId="04BB2973" w14:textId="77777777" w:rsidR="009F1F7D" w:rsidRPr="00695A4F" w:rsidRDefault="009F1F7D" w:rsidP="00E874EE">
      <w:pPr>
        <w:rPr>
          <w:rFonts w:ascii="Arial" w:hAnsi="Arial" w:cs="Arial"/>
          <w:sz w:val="24"/>
          <w:szCs w:val="24"/>
        </w:rPr>
      </w:pPr>
    </w:p>
    <w:p w14:paraId="21836732" w14:textId="24506CBC" w:rsidR="009F1F7D" w:rsidRPr="00695A4F" w:rsidRDefault="009F1F7D" w:rsidP="00E874EE">
      <w:pPr>
        <w:rPr>
          <w:rFonts w:ascii="Arial" w:hAnsi="Arial" w:cs="Arial"/>
          <w:sz w:val="24"/>
          <w:szCs w:val="24"/>
        </w:rPr>
      </w:pPr>
      <w:r w:rsidRPr="00695A4F">
        <w:rPr>
          <w:rFonts w:ascii="Arial" w:hAnsi="Arial" w:cs="Arial"/>
          <w:sz w:val="24"/>
          <w:szCs w:val="24"/>
        </w:rPr>
        <w:t xml:space="preserve">Statistics show that in the year ending March 2022, 31.2% of young people and children had reoffended, with some offences including drugs offences and low-level public orders (Youth Justice Board, 2023). </w:t>
      </w:r>
      <w:r w:rsidR="00527DFB" w:rsidRPr="00695A4F">
        <w:rPr>
          <w:rFonts w:ascii="Arial" w:hAnsi="Arial" w:cs="Arial"/>
          <w:sz w:val="24"/>
          <w:szCs w:val="24"/>
        </w:rPr>
        <w:t xml:space="preserve">Youth Justice Board (2023) hoes on to show that this is the lowest level of reoffending rates on their record. However, these </w:t>
      </w:r>
      <w:r w:rsidR="008A2EF9" w:rsidRPr="00695A4F">
        <w:rPr>
          <w:rFonts w:ascii="Arial" w:hAnsi="Arial" w:cs="Arial"/>
          <w:sz w:val="24"/>
          <w:szCs w:val="24"/>
        </w:rPr>
        <w:t xml:space="preserve">statistics may be impacted by COVID restrictions, therefore causing a reduction in reoffending </w:t>
      </w:r>
      <w:r w:rsidR="00D74A0E" w:rsidRPr="00695A4F">
        <w:rPr>
          <w:rFonts w:ascii="Arial" w:hAnsi="Arial" w:cs="Arial"/>
          <w:sz w:val="24"/>
          <w:szCs w:val="24"/>
        </w:rPr>
        <w:t xml:space="preserve">rates due to individuals having a reduced opportunity to carry out ASB and committing offences. </w:t>
      </w:r>
    </w:p>
    <w:p w14:paraId="554E65CE" w14:textId="77777777" w:rsidR="006021BD" w:rsidRPr="00695A4F" w:rsidRDefault="006021BD" w:rsidP="00E874EE">
      <w:pPr>
        <w:rPr>
          <w:rFonts w:ascii="Arial" w:hAnsi="Arial" w:cs="Arial"/>
          <w:sz w:val="24"/>
          <w:szCs w:val="24"/>
        </w:rPr>
      </w:pPr>
    </w:p>
    <w:p w14:paraId="6C7DAAE4" w14:textId="20F9A24B" w:rsidR="008234E4" w:rsidRPr="00695A4F" w:rsidRDefault="006021BD" w:rsidP="006021BD">
      <w:pPr>
        <w:rPr>
          <w:rFonts w:ascii="Arial" w:hAnsi="Arial" w:cs="Arial"/>
          <w:sz w:val="24"/>
          <w:szCs w:val="24"/>
        </w:rPr>
      </w:pPr>
      <w:r w:rsidRPr="00695A4F">
        <w:rPr>
          <w:rFonts w:ascii="Arial" w:hAnsi="Arial" w:cs="Arial"/>
          <w:sz w:val="24"/>
          <w:szCs w:val="24"/>
        </w:rPr>
        <w:lastRenderedPageBreak/>
        <w:t xml:space="preserve">For low-level offending, out-of-court disposals are encouraged as they deal with the offence outside of court and is a positive outcome for those involved. Out-of-court disposals are highlighted in the Anti-Social Behaviour, Crime and Policing Act 2014 as an appropriate measure for ASB, with examples including conditional cautions, and community resolutions. </w:t>
      </w:r>
    </w:p>
    <w:p w14:paraId="7264AF27" w14:textId="77777777" w:rsidR="00E874EE" w:rsidRPr="00695A4F" w:rsidRDefault="00E874EE" w:rsidP="00E874EE">
      <w:pPr>
        <w:rPr>
          <w:rFonts w:ascii="Arial" w:hAnsi="Arial" w:cs="Arial"/>
          <w:b/>
          <w:bCs/>
          <w:i/>
          <w:iCs/>
          <w:sz w:val="24"/>
          <w:szCs w:val="24"/>
        </w:rPr>
      </w:pPr>
    </w:p>
    <w:p w14:paraId="1576983A" w14:textId="655B33E1" w:rsidR="006021BD" w:rsidRPr="00695A4F" w:rsidRDefault="00E874EE" w:rsidP="00E874EE">
      <w:pPr>
        <w:rPr>
          <w:rFonts w:ascii="Arial" w:hAnsi="Arial" w:cs="Arial"/>
          <w:sz w:val="24"/>
          <w:szCs w:val="24"/>
        </w:rPr>
      </w:pPr>
      <w:r w:rsidRPr="00695A4F">
        <w:rPr>
          <w:rFonts w:ascii="Arial" w:hAnsi="Arial" w:cs="Arial"/>
          <w:sz w:val="24"/>
          <w:szCs w:val="24"/>
        </w:rPr>
        <w:t xml:space="preserve">Due to the </w:t>
      </w:r>
      <w:proofErr w:type="gramStart"/>
      <w:r w:rsidRPr="00695A4F">
        <w:rPr>
          <w:rFonts w:ascii="Arial" w:hAnsi="Arial" w:cs="Arial"/>
          <w:sz w:val="24"/>
          <w:szCs w:val="24"/>
        </w:rPr>
        <w:t>aforementioned low-level</w:t>
      </w:r>
      <w:proofErr w:type="gramEnd"/>
      <w:r w:rsidRPr="00695A4F">
        <w:rPr>
          <w:rFonts w:ascii="Arial" w:hAnsi="Arial" w:cs="Arial"/>
          <w:sz w:val="24"/>
          <w:szCs w:val="24"/>
        </w:rPr>
        <w:t xml:space="preserve"> offences being encompassed under anti-social behaviour, these offence types can be dealt with by way of a community resolution which is an option available to reduce the risk of reoffending. A community resolution is an out-of-court disposal that avoids entering the criminal justice system and the courts, as well as considering the person’s offending history, therefore it is commonly used for first-time offenders (College of Policing, 2013b; Home Office, 2019, p. 18). As a community resolution is used in instances where the offender is a first-time offender or do not have a relevant offending history, the community resolution with the imposition of the conditions attached, such as a letter of apology or compensation, acts as a deterrent for individuals to not offend again as they are aware that any further offending would warrant more severe sanctions. Community resolutions have proven to be effective in mitigating the inclination to reoffend as it gives offenders the opportunity to take ownership and understand the consequences of their actions (College of Policing, 2013b)</w:t>
      </w:r>
      <w:r w:rsidR="006021BD" w:rsidRPr="00695A4F">
        <w:rPr>
          <w:rFonts w:ascii="Arial" w:hAnsi="Arial" w:cs="Arial"/>
          <w:sz w:val="24"/>
          <w:szCs w:val="24"/>
        </w:rPr>
        <w:t xml:space="preserve">. </w:t>
      </w:r>
    </w:p>
    <w:p w14:paraId="608715DE" w14:textId="77777777" w:rsidR="006021BD" w:rsidRPr="00695A4F" w:rsidRDefault="006021BD" w:rsidP="00E874EE">
      <w:pPr>
        <w:rPr>
          <w:rFonts w:ascii="Arial" w:hAnsi="Arial" w:cs="Arial"/>
          <w:sz w:val="24"/>
          <w:szCs w:val="24"/>
        </w:rPr>
      </w:pPr>
    </w:p>
    <w:p w14:paraId="2FD0EE11" w14:textId="4AC9B391" w:rsidR="006021BD" w:rsidRPr="00695A4F" w:rsidRDefault="006021BD" w:rsidP="006021BD">
      <w:pPr>
        <w:rPr>
          <w:rFonts w:ascii="Arial" w:hAnsi="Arial" w:cs="Arial"/>
          <w:sz w:val="24"/>
          <w:szCs w:val="24"/>
        </w:rPr>
      </w:pPr>
      <w:r w:rsidRPr="00695A4F">
        <w:rPr>
          <w:rFonts w:ascii="Arial" w:hAnsi="Arial" w:cs="Arial"/>
          <w:sz w:val="24"/>
          <w:szCs w:val="24"/>
        </w:rPr>
        <w:t xml:space="preserve">Another common out-of-court disposal that is available to officers is a conditional caution. </w:t>
      </w:r>
      <w:r w:rsidR="00E7582C">
        <w:rPr>
          <w:rFonts w:ascii="Arial" w:hAnsi="Arial" w:cs="Arial"/>
          <w:sz w:val="24"/>
          <w:szCs w:val="24"/>
        </w:rPr>
        <w:t>Cochrane (</w:t>
      </w:r>
      <w:r w:rsidR="00E7582C">
        <w:rPr>
          <w:rFonts w:ascii="Arial" w:hAnsi="Arial" w:cs="Arial"/>
          <w:i/>
          <w:iCs/>
          <w:sz w:val="24"/>
          <w:szCs w:val="24"/>
        </w:rPr>
        <w:t xml:space="preserve">et al. </w:t>
      </w:r>
      <w:r w:rsidR="00E7582C">
        <w:rPr>
          <w:rFonts w:ascii="Arial" w:hAnsi="Arial" w:cs="Arial"/>
          <w:sz w:val="24"/>
          <w:szCs w:val="24"/>
        </w:rPr>
        <w:t>2021)</w:t>
      </w:r>
      <w:r w:rsidRPr="00695A4F">
        <w:rPr>
          <w:rFonts w:ascii="Arial" w:hAnsi="Arial" w:cs="Arial"/>
          <w:sz w:val="24"/>
          <w:szCs w:val="24"/>
        </w:rPr>
        <w:t xml:space="preserve"> describes a conditional caution as</w:t>
      </w:r>
      <w:r w:rsidR="000F206F">
        <w:rPr>
          <w:rFonts w:ascii="Arial" w:hAnsi="Arial" w:cs="Arial"/>
          <w:sz w:val="24"/>
          <w:szCs w:val="24"/>
        </w:rPr>
        <w:t xml:space="preserve"> including conditions that the offender </w:t>
      </w:r>
      <w:proofErr w:type="gramStart"/>
      <w:r w:rsidR="000F206F">
        <w:rPr>
          <w:rFonts w:ascii="Arial" w:hAnsi="Arial" w:cs="Arial"/>
          <w:sz w:val="24"/>
          <w:szCs w:val="24"/>
        </w:rPr>
        <w:t>has to</w:t>
      </w:r>
      <w:proofErr w:type="gramEnd"/>
      <w:r w:rsidR="000F206F">
        <w:rPr>
          <w:rFonts w:ascii="Arial" w:hAnsi="Arial" w:cs="Arial"/>
          <w:sz w:val="24"/>
          <w:szCs w:val="24"/>
        </w:rPr>
        <w:t xml:space="preserve"> abide by</w:t>
      </w:r>
      <w:r w:rsidR="00591E02">
        <w:rPr>
          <w:rFonts w:ascii="Arial" w:hAnsi="Arial" w:cs="Arial"/>
          <w:sz w:val="24"/>
          <w:szCs w:val="24"/>
        </w:rPr>
        <w:t xml:space="preserve">, and they must be proportionate and </w:t>
      </w:r>
      <w:r w:rsidR="00591E02">
        <w:rPr>
          <w:rFonts w:ascii="Arial" w:hAnsi="Arial" w:cs="Arial"/>
          <w:sz w:val="24"/>
          <w:szCs w:val="24"/>
        </w:rPr>
        <w:lastRenderedPageBreak/>
        <w:t>appropriate to the offence which has</w:t>
      </w:r>
      <w:r w:rsidR="00D15AEE">
        <w:rPr>
          <w:rFonts w:ascii="Arial" w:hAnsi="Arial" w:cs="Arial"/>
          <w:sz w:val="24"/>
          <w:szCs w:val="24"/>
        </w:rPr>
        <w:t xml:space="preserve"> an element of</w:t>
      </w:r>
      <w:r w:rsidR="00591E02">
        <w:rPr>
          <w:rFonts w:ascii="Arial" w:hAnsi="Arial" w:cs="Arial"/>
          <w:sz w:val="24"/>
          <w:szCs w:val="24"/>
        </w:rPr>
        <w:t xml:space="preserve"> rehabilit</w:t>
      </w:r>
      <w:r w:rsidR="00D15AEE">
        <w:rPr>
          <w:rFonts w:ascii="Arial" w:hAnsi="Arial" w:cs="Arial"/>
          <w:sz w:val="24"/>
          <w:szCs w:val="24"/>
        </w:rPr>
        <w:t>ation</w:t>
      </w:r>
      <w:r w:rsidR="00591E02">
        <w:rPr>
          <w:rFonts w:ascii="Arial" w:hAnsi="Arial" w:cs="Arial"/>
          <w:sz w:val="24"/>
          <w:szCs w:val="24"/>
        </w:rPr>
        <w:t xml:space="preserve">, punishment, or </w:t>
      </w:r>
      <w:r w:rsidR="00D15AEE">
        <w:rPr>
          <w:rFonts w:ascii="Arial" w:hAnsi="Arial" w:cs="Arial"/>
          <w:sz w:val="24"/>
          <w:szCs w:val="24"/>
        </w:rPr>
        <w:t>reparation</w:t>
      </w:r>
      <w:r w:rsidR="00780D6D">
        <w:rPr>
          <w:rFonts w:ascii="Arial" w:hAnsi="Arial" w:cs="Arial"/>
          <w:sz w:val="24"/>
          <w:szCs w:val="24"/>
        </w:rPr>
        <w:t>, and include a victim awareness course, diversion courses, fines, etc</w:t>
      </w:r>
      <w:r w:rsidRPr="00695A4F">
        <w:rPr>
          <w:rFonts w:ascii="Arial" w:hAnsi="Arial" w:cs="Arial"/>
          <w:sz w:val="24"/>
          <w:szCs w:val="24"/>
        </w:rPr>
        <w:t xml:space="preserve">. CPS (2022) provides that conditional cautions may only be issued where it is in the public interest, </w:t>
      </w:r>
      <w:r w:rsidR="0090728F" w:rsidRPr="00695A4F">
        <w:rPr>
          <w:rFonts w:ascii="Arial" w:hAnsi="Arial" w:cs="Arial"/>
          <w:sz w:val="24"/>
          <w:szCs w:val="24"/>
        </w:rPr>
        <w:t>appropriate for the circumstances of the case, and is sufficient evidence that the individual would be charged. Rowe (</w:t>
      </w:r>
      <w:r w:rsidR="0090728F" w:rsidRPr="00695A4F">
        <w:rPr>
          <w:rFonts w:ascii="Arial" w:hAnsi="Arial" w:cs="Arial"/>
          <w:i/>
          <w:iCs/>
          <w:sz w:val="24"/>
          <w:szCs w:val="24"/>
        </w:rPr>
        <w:t xml:space="preserve">et al. </w:t>
      </w:r>
      <w:r w:rsidR="0090728F" w:rsidRPr="00695A4F">
        <w:rPr>
          <w:rFonts w:ascii="Arial" w:hAnsi="Arial" w:cs="Arial"/>
          <w:sz w:val="24"/>
          <w:szCs w:val="24"/>
        </w:rPr>
        <w:t>2022) highlights that conditional cautions are intended to reduce reoffending by dealing wi</w:t>
      </w:r>
      <w:r w:rsidR="00DF7007" w:rsidRPr="00695A4F">
        <w:rPr>
          <w:rFonts w:ascii="Arial" w:hAnsi="Arial" w:cs="Arial"/>
          <w:sz w:val="24"/>
          <w:szCs w:val="24"/>
        </w:rPr>
        <w:t xml:space="preserve">th the root of the offending, </w:t>
      </w:r>
      <w:proofErr w:type="gramStart"/>
      <w:r w:rsidR="00DF7007" w:rsidRPr="00695A4F">
        <w:rPr>
          <w:rFonts w:ascii="Arial" w:hAnsi="Arial" w:cs="Arial"/>
          <w:sz w:val="24"/>
          <w:szCs w:val="24"/>
        </w:rPr>
        <w:t>and also</w:t>
      </w:r>
      <w:proofErr w:type="gramEnd"/>
      <w:r w:rsidR="00DF7007" w:rsidRPr="00695A4F">
        <w:rPr>
          <w:rFonts w:ascii="Arial" w:hAnsi="Arial" w:cs="Arial"/>
          <w:sz w:val="24"/>
          <w:szCs w:val="24"/>
        </w:rPr>
        <w:t xml:space="preserve"> paying attention to the socio-economic contact contributing to the individual’s behaviour, particularly seen through interventions that include educating, such as drug or alcohol education. However, cases involving domestic related </w:t>
      </w:r>
      <w:r w:rsidR="00F00C94" w:rsidRPr="00695A4F">
        <w:rPr>
          <w:rFonts w:ascii="Arial" w:hAnsi="Arial" w:cs="Arial"/>
          <w:sz w:val="24"/>
          <w:szCs w:val="24"/>
        </w:rPr>
        <w:t xml:space="preserve">offences are not usually suitable for a conditional caution, as well as more serious crimes, such as indictable-only offences, need to be referred to a prosecutor for a decision to be made as to whether the conditional caution can be used (CPS, 2022). As such, conditional cautions appear to be more suitable for lower-level offences, such as those relating </w:t>
      </w:r>
      <w:r w:rsidR="008A0B7C" w:rsidRPr="00695A4F">
        <w:rPr>
          <w:rFonts w:ascii="Arial" w:hAnsi="Arial" w:cs="Arial"/>
          <w:sz w:val="24"/>
          <w:szCs w:val="24"/>
        </w:rPr>
        <w:t xml:space="preserve">to ASB. </w:t>
      </w:r>
    </w:p>
    <w:p w14:paraId="1B4AD037" w14:textId="77777777" w:rsidR="008A0B7C" w:rsidRPr="00695A4F" w:rsidRDefault="008A0B7C" w:rsidP="006021BD">
      <w:pPr>
        <w:rPr>
          <w:rFonts w:ascii="Arial" w:hAnsi="Arial" w:cs="Arial"/>
          <w:sz w:val="24"/>
          <w:szCs w:val="24"/>
        </w:rPr>
      </w:pPr>
    </w:p>
    <w:p w14:paraId="67B60CB3" w14:textId="0BCBA6EE" w:rsidR="008A0B7C" w:rsidRPr="00695A4F" w:rsidRDefault="008A0B7C" w:rsidP="006021BD">
      <w:pPr>
        <w:rPr>
          <w:rFonts w:ascii="Arial" w:hAnsi="Arial" w:cs="Arial"/>
          <w:sz w:val="24"/>
          <w:szCs w:val="24"/>
        </w:rPr>
      </w:pPr>
      <w:r w:rsidRPr="00695A4F">
        <w:rPr>
          <w:rFonts w:ascii="Arial" w:hAnsi="Arial" w:cs="Arial"/>
          <w:sz w:val="24"/>
          <w:szCs w:val="24"/>
        </w:rPr>
        <w:t>From the out-of-court disposals that are issued, programmes and interventions are used as an incentive for individuals</w:t>
      </w:r>
      <w:r w:rsidR="0041334C" w:rsidRPr="00695A4F">
        <w:rPr>
          <w:rFonts w:ascii="Arial" w:hAnsi="Arial" w:cs="Arial"/>
          <w:sz w:val="24"/>
          <w:szCs w:val="24"/>
        </w:rPr>
        <w:t xml:space="preserve"> to not go on to reoffend as they are used to help the individual recognise their behaviour as not acceptable and may lead them down a path of further criminality and reoffending. Such programmes and interventions include education, treatment</w:t>
      </w:r>
      <w:r w:rsidR="00C63A3E" w:rsidRPr="00695A4F">
        <w:rPr>
          <w:rFonts w:ascii="Arial" w:hAnsi="Arial" w:cs="Arial"/>
          <w:sz w:val="24"/>
          <w:szCs w:val="24"/>
        </w:rPr>
        <w:t xml:space="preserve">, etc. (Weisburd, Farrington and Gill, 2017). However, other measures include focusing on the root of the offending, </w:t>
      </w:r>
      <w:r w:rsidR="00F768FB" w:rsidRPr="00695A4F">
        <w:rPr>
          <w:rFonts w:ascii="Arial" w:hAnsi="Arial" w:cs="Arial"/>
          <w:sz w:val="24"/>
          <w:szCs w:val="24"/>
        </w:rPr>
        <w:t xml:space="preserve">opportunities to offend being reduced, and ensuring that the cost to offend is high and therefore not beneficial to the offenders (Levy </w:t>
      </w:r>
      <w:r w:rsidR="00F768FB" w:rsidRPr="00695A4F">
        <w:rPr>
          <w:rFonts w:ascii="Arial" w:hAnsi="Arial" w:cs="Arial"/>
          <w:i/>
          <w:iCs/>
          <w:sz w:val="24"/>
          <w:szCs w:val="24"/>
        </w:rPr>
        <w:t xml:space="preserve">et al. </w:t>
      </w:r>
      <w:r w:rsidR="00F768FB" w:rsidRPr="00695A4F">
        <w:rPr>
          <w:rFonts w:ascii="Arial" w:hAnsi="Arial" w:cs="Arial"/>
          <w:sz w:val="24"/>
          <w:szCs w:val="24"/>
        </w:rPr>
        <w:t xml:space="preserve">2014). These interventions allow the offender to be educated on the consequences of their behaviour, on both their life and the victim’s life, with Weisburd, Farrington and Gill (2017, p. </w:t>
      </w:r>
      <w:r w:rsidR="00B46368" w:rsidRPr="00695A4F">
        <w:rPr>
          <w:rFonts w:ascii="Arial" w:hAnsi="Arial" w:cs="Arial"/>
          <w:sz w:val="24"/>
          <w:szCs w:val="24"/>
        </w:rPr>
        <w:t xml:space="preserve">419-420) arguing that </w:t>
      </w:r>
      <w:r w:rsidR="00B46368" w:rsidRPr="00695A4F">
        <w:rPr>
          <w:rFonts w:ascii="Arial" w:hAnsi="Arial" w:cs="Arial"/>
          <w:sz w:val="24"/>
          <w:szCs w:val="24"/>
        </w:rPr>
        <w:lastRenderedPageBreak/>
        <w:t xml:space="preserve">despite the effectiveness of preventing crime, these interventions do not inform practitioners on the basis as to why they are effective and what can be implemented into everyday practice. </w:t>
      </w:r>
    </w:p>
    <w:p w14:paraId="0C3D057C" w14:textId="77777777" w:rsidR="00B46368" w:rsidRPr="00695A4F" w:rsidRDefault="00B46368" w:rsidP="006021BD">
      <w:pPr>
        <w:rPr>
          <w:rFonts w:ascii="Arial" w:hAnsi="Arial" w:cs="Arial"/>
          <w:sz w:val="24"/>
          <w:szCs w:val="24"/>
        </w:rPr>
      </w:pPr>
    </w:p>
    <w:p w14:paraId="6197002D" w14:textId="49B674ED" w:rsidR="000D267E" w:rsidRPr="00E968C7" w:rsidRDefault="00B46368" w:rsidP="00E874EE">
      <w:pPr>
        <w:rPr>
          <w:rFonts w:ascii="Arial" w:hAnsi="Arial" w:cs="Arial"/>
          <w:i/>
          <w:iCs/>
          <w:sz w:val="24"/>
          <w:szCs w:val="24"/>
        </w:rPr>
      </w:pPr>
      <w:r w:rsidRPr="00695A4F">
        <w:rPr>
          <w:rFonts w:ascii="Arial" w:hAnsi="Arial" w:cs="Arial"/>
          <w:sz w:val="24"/>
          <w:szCs w:val="24"/>
        </w:rPr>
        <w:t xml:space="preserve">An option available to curb re-offending is imprisonment due to both offenders being separated from the community, meaning they cannot commit offences, as well as rehabilitation courses being available for individuals to reform and become a functioning member of society once they are released. However, as Williams and </w:t>
      </w:r>
      <w:proofErr w:type="spellStart"/>
      <w:r w:rsidRPr="00695A4F">
        <w:rPr>
          <w:rFonts w:ascii="Arial" w:hAnsi="Arial" w:cs="Arial"/>
          <w:sz w:val="24"/>
          <w:szCs w:val="24"/>
        </w:rPr>
        <w:t>Treffers</w:t>
      </w:r>
      <w:proofErr w:type="spellEnd"/>
      <w:r w:rsidRPr="00695A4F">
        <w:rPr>
          <w:rFonts w:ascii="Arial" w:hAnsi="Arial" w:cs="Arial"/>
          <w:sz w:val="24"/>
          <w:szCs w:val="24"/>
        </w:rPr>
        <w:t xml:space="preserve"> (2021) highlight, imprisonment costs and the inflation of inmate population has meant that fewer offenders are being sent to prison, and community resolutions are being prioritised; the effect of offenders avoiding prison has resulted in </w:t>
      </w:r>
      <w:proofErr w:type="spellStart"/>
      <w:r w:rsidRPr="00695A4F">
        <w:rPr>
          <w:rFonts w:ascii="Arial" w:hAnsi="Arial" w:cs="Arial"/>
          <w:sz w:val="24"/>
          <w:szCs w:val="24"/>
        </w:rPr>
        <w:t>individuls</w:t>
      </w:r>
      <w:proofErr w:type="spellEnd"/>
      <w:r w:rsidRPr="00695A4F">
        <w:rPr>
          <w:rFonts w:ascii="Arial" w:hAnsi="Arial" w:cs="Arial"/>
          <w:sz w:val="24"/>
          <w:szCs w:val="24"/>
        </w:rPr>
        <w:t xml:space="preserve"> not being deterred from committing crimes, and therefore resulting in re-offending. There is also the possibility for individuals to carry on committing offences whilst in prison, </w:t>
      </w:r>
      <w:r w:rsidR="002129D9" w:rsidRPr="00695A4F">
        <w:rPr>
          <w:rFonts w:ascii="Arial" w:hAnsi="Arial" w:cs="Arial"/>
          <w:sz w:val="24"/>
          <w:szCs w:val="24"/>
        </w:rPr>
        <w:t xml:space="preserve">or the potential for them to commit worse offences in comparison to their convicted one, with the term ‘recidivism’ </w:t>
      </w:r>
      <w:r w:rsidR="00A2752A" w:rsidRPr="00695A4F">
        <w:rPr>
          <w:rFonts w:ascii="Arial" w:hAnsi="Arial" w:cs="Arial"/>
          <w:sz w:val="24"/>
          <w:szCs w:val="24"/>
        </w:rPr>
        <w:t xml:space="preserve">being used to refer to reoffending whilst in prison, with Fazel and Wolf (2015) describing it as a ‘relapse of criminal behaviour’. However, Nagin, </w:t>
      </w:r>
      <w:proofErr w:type="gramStart"/>
      <w:r w:rsidR="00A2752A" w:rsidRPr="00695A4F">
        <w:rPr>
          <w:rFonts w:ascii="Arial" w:hAnsi="Arial" w:cs="Arial"/>
          <w:sz w:val="24"/>
          <w:szCs w:val="24"/>
        </w:rPr>
        <w:t>Cullen</w:t>
      </w:r>
      <w:proofErr w:type="gramEnd"/>
      <w:r w:rsidR="00A2752A" w:rsidRPr="00695A4F">
        <w:rPr>
          <w:rFonts w:ascii="Arial" w:hAnsi="Arial" w:cs="Arial"/>
          <w:sz w:val="24"/>
          <w:szCs w:val="24"/>
        </w:rPr>
        <w:t xml:space="preserve"> and Jonson (2009) unearth that the existing research into the effects of imprisonment </w:t>
      </w:r>
      <w:r w:rsidR="0091770C" w:rsidRPr="00695A4F">
        <w:rPr>
          <w:rFonts w:ascii="Arial" w:hAnsi="Arial" w:cs="Arial"/>
          <w:sz w:val="24"/>
          <w:szCs w:val="24"/>
        </w:rPr>
        <w:t>on reoffending is limited and argues that more needs to be done to understand reoffending in this context. Although, there is the concept that imprisonment does not prevent reoffending. This is due to offenders</w:t>
      </w:r>
      <w:r w:rsidR="00FB734A" w:rsidRPr="00695A4F">
        <w:rPr>
          <w:rFonts w:ascii="Arial" w:hAnsi="Arial" w:cs="Arial"/>
          <w:sz w:val="24"/>
          <w:szCs w:val="24"/>
        </w:rPr>
        <w:t xml:space="preserve"> being removed from the community by being placed into prison, but this may only have a temporary effect as the person may then go on to commit further offences when they are released, as outlined by </w:t>
      </w:r>
      <w:proofErr w:type="spellStart"/>
      <w:r w:rsidR="00FB734A" w:rsidRPr="00695A4F">
        <w:rPr>
          <w:rFonts w:ascii="Arial" w:hAnsi="Arial" w:cs="Arial"/>
          <w:sz w:val="24"/>
          <w:szCs w:val="24"/>
        </w:rPr>
        <w:t>Beij</w:t>
      </w:r>
      <w:r w:rsidR="0046449F" w:rsidRPr="00695A4F">
        <w:rPr>
          <w:rFonts w:ascii="Arial" w:hAnsi="Arial" w:cs="Arial"/>
          <w:sz w:val="24"/>
          <w:szCs w:val="24"/>
        </w:rPr>
        <w:t>ersbergen</w:t>
      </w:r>
      <w:proofErr w:type="spellEnd"/>
      <w:r w:rsidR="0046449F" w:rsidRPr="00695A4F">
        <w:rPr>
          <w:rFonts w:ascii="Arial" w:hAnsi="Arial" w:cs="Arial"/>
          <w:sz w:val="24"/>
          <w:szCs w:val="24"/>
        </w:rPr>
        <w:t xml:space="preserve">, </w:t>
      </w:r>
      <w:proofErr w:type="spellStart"/>
      <w:r w:rsidR="0046449F" w:rsidRPr="00695A4F">
        <w:rPr>
          <w:rFonts w:ascii="Arial" w:hAnsi="Arial" w:cs="Arial"/>
          <w:sz w:val="24"/>
          <w:szCs w:val="24"/>
        </w:rPr>
        <w:t>Dirkzwager</w:t>
      </w:r>
      <w:proofErr w:type="spellEnd"/>
      <w:r w:rsidR="0046449F" w:rsidRPr="00695A4F">
        <w:rPr>
          <w:rFonts w:ascii="Arial" w:hAnsi="Arial" w:cs="Arial"/>
          <w:sz w:val="24"/>
          <w:szCs w:val="24"/>
        </w:rPr>
        <w:t xml:space="preserve"> and </w:t>
      </w:r>
      <w:proofErr w:type="spellStart"/>
      <w:r w:rsidR="0046449F" w:rsidRPr="00695A4F">
        <w:rPr>
          <w:rFonts w:ascii="Arial" w:hAnsi="Arial" w:cs="Arial"/>
          <w:sz w:val="24"/>
          <w:szCs w:val="24"/>
        </w:rPr>
        <w:t>Nieuwbeerta</w:t>
      </w:r>
      <w:proofErr w:type="spellEnd"/>
      <w:r w:rsidR="0046449F" w:rsidRPr="00695A4F">
        <w:rPr>
          <w:rFonts w:ascii="Arial" w:hAnsi="Arial" w:cs="Arial"/>
          <w:sz w:val="24"/>
          <w:szCs w:val="24"/>
        </w:rPr>
        <w:t xml:space="preserve"> (2015), with this source going on to speculate whether the treatment of prisoners influence whether they go on to </w:t>
      </w:r>
      <w:r w:rsidR="007E1D3A" w:rsidRPr="00695A4F">
        <w:rPr>
          <w:rFonts w:ascii="Arial" w:hAnsi="Arial" w:cs="Arial"/>
          <w:sz w:val="24"/>
          <w:szCs w:val="24"/>
        </w:rPr>
        <w:t xml:space="preserve">reoffend once released. In addition, Ministry of Justice (2013, </w:t>
      </w:r>
      <w:r w:rsidR="007E1D3A" w:rsidRPr="00E968C7">
        <w:rPr>
          <w:rFonts w:ascii="Arial" w:hAnsi="Arial" w:cs="Arial"/>
          <w:sz w:val="24"/>
          <w:szCs w:val="24"/>
        </w:rPr>
        <w:lastRenderedPageBreak/>
        <w:t xml:space="preserve">p. 7) identified that there are risk factors present that may cause </w:t>
      </w:r>
      <w:r w:rsidR="00191437" w:rsidRPr="00E968C7">
        <w:rPr>
          <w:rFonts w:ascii="Arial" w:hAnsi="Arial" w:cs="Arial"/>
          <w:sz w:val="24"/>
          <w:szCs w:val="24"/>
        </w:rPr>
        <w:t xml:space="preserve">individuals to reoffend once released from prison, such as their imprisonment causing loss of employment and reputation, causing them to go on to reoffend to survive, or being welcomed into the criminal </w:t>
      </w:r>
      <w:r w:rsidR="00C83B5D" w:rsidRPr="00E968C7">
        <w:rPr>
          <w:rFonts w:ascii="Arial" w:hAnsi="Arial" w:cs="Arial"/>
          <w:sz w:val="24"/>
          <w:szCs w:val="24"/>
        </w:rPr>
        <w:t xml:space="preserve">network after being ostracised by their own community. Weisburd, Farrington and Gill (2017, p. 423) sums up imprisonment in fewer words as </w:t>
      </w:r>
      <w:r w:rsidR="00C83B5D" w:rsidRPr="00E968C7">
        <w:rPr>
          <w:rFonts w:ascii="Arial" w:hAnsi="Arial" w:cs="Arial"/>
          <w:i/>
          <w:iCs/>
          <w:sz w:val="24"/>
          <w:szCs w:val="24"/>
        </w:rPr>
        <w:t>“at best ineffective and at worst harmful”.</w:t>
      </w:r>
    </w:p>
    <w:p w14:paraId="5204613F" w14:textId="77777777" w:rsidR="00C83B5D" w:rsidRPr="00E968C7" w:rsidRDefault="00C83B5D" w:rsidP="00E874EE">
      <w:pPr>
        <w:rPr>
          <w:rFonts w:ascii="Arial" w:hAnsi="Arial" w:cs="Arial"/>
          <w:i/>
          <w:iCs/>
          <w:sz w:val="24"/>
          <w:szCs w:val="24"/>
        </w:rPr>
      </w:pPr>
    </w:p>
    <w:p w14:paraId="4751FFEE" w14:textId="73DB1654" w:rsidR="000D267E" w:rsidRPr="00E968C7" w:rsidRDefault="00E276E0" w:rsidP="00E874EE">
      <w:pPr>
        <w:rPr>
          <w:rFonts w:ascii="Arial" w:hAnsi="Arial" w:cs="Arial"/>
          <w:sz w:val="24"/>
          <w:szCs w:val="24"/>
        </w:rPr>
      </w:pPr>
      <w:r w:rsidRPr="00E968C7">
        <w:rPr>
          <w:rFonts w:ascii="Arial" w:hAnsi="Arial" w:cs="Arial"/>
          <w:sz w:val="24"/>
          <w:szCs w:val="24"/>
        </w:rPr>
        <w:t xml:space="preserve">All in all, the options that are </w:t>
      </w:r>
      <w:r w:rsidR="00B44684" w:rsidRPr="00E968C7">
        <w:rPr>
          <w:rFonts w:ascii="Arial" w:hAnsi="Arial" w:cs="Arial"/>
          <w:sz w:val="24"/>
          <w:szCs w:val="24"/>
        </w:rPr>
        <w:t xml:space="preserve">currently </w:t>
      </w:r>
      <w:r w:rsidRPr="00E968C7">
        <w:rPr>
          <w:rFonts w:ascii="Arial" w:hAnsi="Arial" w:cs="Arial"/>
          <w:sz w:val="24"/>
          <w:szCs w:val="24"/>
        </w:rPr>
        <w:t xml:space="preserve">utilised by the police are effective at most, with these </w:t>
      </w:r>
      <w:r w:rsidR="00B44684" w:rsidRPr="00E968C7">
        <w:rPr>
          <w:rFonts w:ascii="Arial" w:hAnsi="Arial" w:cs="Arial"/>
          <w:sz w:val="24"/>
          <w:szCs w:val="24"/>
        </w:rPr>
        <w:t>interventions</w:t>
      </w:r>
      <w:r w:rsidRPr="00E968C7">
        <w:rPr>
          <w:rFonts w:ascii="Arial" w:hAnsi="Arial" w:cs="Arial"/>
          <w:sz w:val="24"/>
          <w:szCs w:val="24"/>
        </w:rPr>
        <w:t xml:space="preserve"> </w:t>
      </w:r>
      <w:r w:rsidR="00B44684" w:rsidRPr="00E968C7">
        <w:rPr>
          <w:rFonts w:ascii="Arial" w:hAnsi="Arial" w:cs="Arial"/>
          <w:sz w:val="24"/>
          <w:szCs w:val="24"/>
        </w:rPr>
        <w:t>having</w:t>
      </w:r>
      <w:r w:rsidRPr="00E968C7">
        <w:rPr>
          <w:rFonts w:ascii="Arial" w:hAnsi="Arial" w:cs="Arial"/>
          <w:sz w:val="24"/>
          <w:szCs w:val="24"/>
        </w:rPr>
        <w:t xml:space="preserve"> their quirks that sometimes </w:t>
      </w:r>
      <w:r w:rsidR="002F3A71" w:rsidRPr="00E968C7">
        <w:rPr>
          <w:rFonts w:ascii="Arial" w:hAnsi="Arial" w:cs="Arial"/>
          <w:sz w:val="24"/>
          <w:szCs w:val="24"/>
        </w:rPr>
        <w:t xml:space="preserve">render them ineffective. </w:t>
      </w:r>
      <w:r w:rsidR="00B44684" w:rsidRPr="00E968C7">
        <w:rPr>
          <w:rFonts w:ascii="Arial" w:hAnsi="Arial" w:cs="Arial"/>
          <w:sz w:val="24"/>
          <w:szCs w:val="24"/>
        </w:rPr>
        <w:t xml:space="preserve">However, on the most part, </w:t>
      </w:r>
      <w:r w:rsidR="00242BD4" w:rsidRPr="00E968C7">
        <w:rPr>
          <w:rFonts w:ascii="Arial" w:hAnsi="Arial" w:cs="Arial"/>
          <w:sz w:val="24"/>
          <w:szCs w:val="24"/>
        </w:rPr>
        <w:t xml:space="preserve">offending behaviour reduces once these interventions are actioned, oftentimes with the offender </w:t>
      </w:r>
      <w:r w:rsidR="003F0147" w:rsidRPr="00E968C7">
        <w:rPr>
          <w:rFonts w:ascii="Arial" w:hAnsi="Arial" w:cs="Arial"/>
          <w:sz w:val="24"/>
          <w:szCs w:val="24"/>
        </w:rPr>
        <w:t>being rehavilitated and understanding of why their behaviour is harmful not only to their own lives, but those around them.</w:t>
      </w:r>
      <w:r w:rsidR="00C03DD0" w:rsidRPr="00E968C7">
        <w:rPr>
          <w:rFonts w:ascii="Arial" w:hAnsi="Arial" w:cs="Arial"/>
          <w:sz w:val="24"/>
          <w:szCs w:val="24"/>
        </w:rPr>
        <w:t xml:space="preserve"> As seen in this essay, this outcome is more common when interventions within the community are used rather than more serious sanctions, such as imprisonment. </w:t>
      </w:r>
    </w:p>
    <w:p w14:paraId="2A730748" w14:textId="77777777" w:rsidR="00E874EE" w:rsidRPr="00E968C7" w:rsidRDefault="00E874EE" w:rsidP="00221E92">
      <w:pPr>
        <w:rPr>
          <w:rFonts w:ascii="Arial" w:hAnsi="Arial" w:cs="Arial"/>
          <w:b/>
          <w:bCs/>
          <w:sz w:val="24"/>
          <w:szCs w:val="24"/>
        </w:rPr>
      </w:pPr>
    </w:p>
    <w:p w14:paraId="3256FAF1" w14:textId="2E504D3C" w:rsidR="000D773A" w:rsidRPr="00E968C7" w:rsidRDefault="000D773A" w:rsidP="00221E92">
      <w:pPr>
        <w:rPr>
          <w:rFonts w:ascii="Arial" w:hAnsi="Arial" w:cs="Arial"/>
          <w:b/>
          <w:bCs/>
          <w:sz w:val="24"/>
          <w:szCs w:val="24"/>
        </w:rPr>
      </w:pPr>
      <w:r w:rsidRPr="00E968C7">
        <w:rPr>
          <w:rFonts w:ascii="Arial" w:hAnsi="Arial" w:cs="Arial"/>
          <w:b/>
          <w:bCs/>
          <w:sz w:val="24"/>
          <w:szCs w:val="24"/>
        </w:rPr>
        <w:t>Word count: 1,464</w:t>
      </w:r>
      <w:r w:rsidR="00E968C7" w:rsidRPr="00E968C7">
        <w:rPr>
          <w:rFonts w:ascii="Arial" w:hAnsi="Arial" w:cs="Arial"/>
          <w:b/>
          <w:bCs/>
          <w:sz w:val="24"/>
          <w:szCs w:val="24"/>
        </w:rPr>
        <w:t xml:space="preserve"> (REDUCE WORDCOUNT) </w:t>
      </w:r>
    </w:p>
    <w:p w14:paraId="2ABB45F7" w14:textId="77777777" w:rsidR="00E874EE" w:rsidRPr="00E968C7" w:rsidRDefault="00E874EE" w:rsidP="00221E92">
      <w:pPr>
        <w:rPr>
          <w:rFonts w:ascii="Arial" w:hAnsi="Arial" w:cs="Arial"/>
          <w:b/>
          <w:bCs/>
          <w:sz w:val="24"/>
          <w:szCs w:val="24"/>
        </w:rPr>
      </w:pPr>
    </w:p>
    <w:p w14:paraId="5269B78A" w14:textId="77777777" w:rsidR="00E874EE" w:rsidRPr="00E968C7" w:rsidRDefault="00E874EE" w:rsidP="00221E92">
      <w:pPr>
        <w:rPr>
          <w:rFonts w:ascii="Arial" w:hAnsi="Arial" w:cs="Arial"/>
          <w:sz w:val="24"/>
          <w:szCs w:val="24"/>
        </w:rPr>
      </w:pPr>
    </w:p>
    <w:p w14:paraId="3CDBC13B" w14:textId="77777777" w:rsidR="00E874EE" w:rsidRPr="00E968C7" w:rsidRDefault="00E874EE" w:rsidP="00221E92">
      <w:pPr>
        <w:rPr>
          <w:rFonts w:ascii="Arial" w:hAnsi="Arial" w:cs="Arial"/>
          <w:sz w:val="24"/>
          <w:szCs w:val="24"/>
        </w:rPr>
      </w:pPr>
    </w:p>
    <w:p w14:paraId="2D3AFCA4" w14:textId="77777777" w:rsidR="00E874EE" w:rsidRPr="00E968C7" w:rsidRDefault="00E874EE" w:rsidP="00221E92">
      <w:pPr>
        <w:rPr>
          <w:rFonts w:ascii="Arial" w:hAnsi="Arial" w:cs="Arial"/>
          <w:sz w:val="24"/>
          <w:szCs w:val="24"/>
        </w:rPr>
      </w:pPr>
    </w:p>
    <w:p w14:paraId="64F184FD" w14:textId="77777777" w:rsidR="00E874EE" w:rsidRPr="00E968C7" w:rsidRDefault="00E874EE" w:rsidP="00221E92">
      <w:pPr>
        <w:rPr>
          <w:rFonts w:ascii="Arial" w:hAnsi="Arial" w:cs="Arial"/>
          <w:sz w:val="24"/>
          <w:szCs w:val="24"/>
        </w:rPr>
      </w:pPr>
    </w:p>
    <w:p w14:paraId="1355FEC4" w14:textId="77777777" w:rsidR="00E874EE" w:rsidRPr="00E968C7" w:rsidRDefault="00E874EE" w:rsidP="00221E92">
      <w:pPr>
        <w:rPr>
          <w:rFonts w:ascii="Arial" w:hAnsi="Arial" w:cs="Arial"/>
          <w:sz w:val="24"/>
          <w:szCs w:val="24"/>
        </w:rPr>
      </w:pPr>
    </w:p>
    <w:p w14:paraId="619AFD18" w14:textId="77777777" w:rsidR="00E874EE" w:rsidRPr="00E968C7" w:rsidRDefault="00E874EE" w:rsidP="00221E92">
      <w:pPr>
        <w:rPr>
          <w:rFonts w:ascii="Arial" w:hAnsi="Arial" w:cs="Arial"/>
          <w:sz w:val="24"/>
          <w:szCs w:val="24"/>
        </w:rPr>
      </w:pPr>
    </w:p>
    <w:p w14:paraId="0A4DA845" w14:textId="4E6B6999" w:rsidR="0076421B" w:rsidRPr="00E968C7" w:rsidRDefault="0076421B" w:rsidP="0076421B">
      <w:pPr>
        <w:rPr>
          <w:rFonts w:ascii="Arial" w:hAnsi="Arial" w:cs="Arial"/>
          <w:sz w:val="24"/>
          <w:szCs w:val="24"/>
        </w:rPr>
      </w:pPr>
      <w:r w:rsidRPr="00E968C7">
        <w:rPr>
          <w:rFonts w:ascii="Arial" w:hAnsi="Arial" w:cs="Arial"/>
          <w:b/>
          <w:bCs/>
          <w:sz w:val="24"/>
          <w:szCs w:val="24"/>
        </w:rPr>
        <w:t>BIBLIOGRAPHY</w:t>
      </w:r>
    </w:p>
    <w:p w14:paraId="20148628" w14:textId="77777777" w:rsidR="0076421B" w:rsidRPr="00E968C7" w:rsidRDefault="0076421B" w:rsidP="0076421B">
      <w:pPr>
        <w:rPr>
          <w:rFonts w:ascii="Arial" w:hAnsi="Arial" w:cs="Arial"/>
          <w:sz w:val="24"/>
          <w:szCs w:val="24"/>
        </w:rPr>
      </w:pPr>
    </w:p>
    <w:p w14:paraId="79CD3F9F" w14:textId="603D05CD" w:rsidR="0076421B" w:rsidRPr="00E968C7" w:rsidRDefault="0076421B" w:rsidP="0076421B">
      <w:pPr>
        <w:rPr>
          <w:rFonts w:ascii="Arial" w:hAnsi="Arial" w:cs="Arial"/>
          <w:sz w:val="24"/>
          <w:szCs w:val="24"/>
        </w:rPr>
      </w:pPr>
      <w:r w:rsidRPr="00E968C7">
        <w:rPr>
          <w:rFonts w:ascii="Arial" w:hAnsi="Arial" w:cs="Arial"/>
          <w:sz w:val="24"/>
          <w:szCs w:val="24"/>
        </w:rPr>
        <w:t xml:space="preserve">Annan, L. G. et al. (2021) ‘What makes young people get involved with street gangs in London? A study of the perceived risk factors’, </w:t>
      </w:r>
      <w:r w:rsidRPr="00E968C7">
        <w:rPr>
          <w:rFonts w:ascii="Arial" w:hAnsi="Arial" w:cs="Arial"/>
          <w:i/>
          <w:iCs/>
          <w:sz w:val="24"/>
          <w:szCs w:val="24"/>
        </w:rPr>
        <w:t xml:space="preserve">Journal of Community Psychology, </w:t>
      </w:r>
      <w:r w:rsidRPr="00E968C7">
        <w:rPr>
          <w:rFonts w:ascii="Arial" w:hAnsi="Arial" w:cs="Arial"/>
          <w:sz w:val="24"/>
          <w:szCs w:val="24"/>
        </w:rPr>
        <w:t xml:space="preserve">50(5), pp. 2198-2213. Accessed: 17th December 2023. DOI: 10.1002/jcop.22767. </w:t>
      </w:r>
    </w:p>
    <w:p w14:paraId="520EB3AB" w14:textId="77777777" w:rsidR="0076421B" w:rsidRPr="00E968C7" w:rsidRDefault="0076421B" w:rsidP="0076421B">
      <w:pPr>
        <w:rPr>
          <w:rFonts w:ascii="Arial" w:hAnsi="Arial" w:cs="Arial"/>
          <w:sz w:val="24"/>
          <w:szCs w:val="24"/>
        </w:rPr>
      </w:pPr>
    </w:p>
    <w:p w14:paraId="190F792C"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Anti-Social Behaviour, Crime and Policing Act 2014, s 2. Available at: https://www.legislation.gov.uk/ukpga/2014/12/section/2 (Accessed: 20th December 2023). </w:t>
      </w:r>
    </w:p>
    <w:p w14:paraId="01A83C7E" w14:textId="77777777" w:rsidR="0076421B" w:rsidRPr="00E968C7" w:rsidRDefault="0076421B" w:rsidP="0076421B">
      <w:pPr>
        <w:rPr>
          <w:rFonts w:ascii="Arial" w:hAnsi="Arial" w:cs="Arial"/>
          <w:sz w:val="24"/>
          <w:szCs w:val="24"/>
        </w:rPr>
      </w:pPr>
    </w:p>
    <w:p w14:paraId="2E256765"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rPr>
        <w:t xml:space="preserve">Ashton, S. and </w:t>
      </w:r>
      <w:proofErr w:type="spellStart"/>
      <w:r w:rsidRPr="00E968C7">
        <w:rPr>
          <w:rFonts w:ascii="Arial" w:hAnsi="Arial" w:cs="Arial"/>
          <w:sz w:val="24"/>
          <w:szCs w:val="24"/>
        </w:rPr>
        <w:t>Bussu</w:t>
      </w:r>
      <w:proofErr w:type="spellEnd"/>
      <w:r w:rsidRPr="00E968C7">
        <w:rPr>
          <w:rFonts w:ascii="Arial" w:hAnsi="Arial" w:cs="Arial"/>
          <w:sz w:val="24"/>
          <w:szCs w:val="24"/>
        </w:rPr>
        <w:t xml:space="preserve">, A. (2020) ‘Peer groups, street gangs and organised crime in the narratives of adolescent male offenders’, </w:t>
      </w:r>
      <w:r w:rsidRPr="00E968C7">
        <w:rPr>
          <w:rFonts w:ascii="Arial" w:hAnsi="Arial" w:cs="Arial"/>
          <w:i/>
          <w:iCs/>
          <w:sz w:val="24"/>
          <w:szCs w:val="24"/>
        </w:rPr>
        <w:t xml:space="preserve">Journal of Criminal Psychology, </w:t>
      </w:r>
      <w:r w:rsidRPr="00E968C7">
        <w:rPr>
          <w:rFonts w:ascii="Arial" w:hAnsi="Arial" w:cs="Arial"/>
          <w:sz w:val="24"/>
          <w:szCs w:val="24"/>
        </w:rPr>
        <w:t xml:space="preserve">10(4), pp. 277-292. Accessed: 26th November 2023. DOI: </w:t>
      </w:r>
      <w:r w:rsidRPr="00E968C7">
        <w:rPr>
          <w:rFonts w:ascii="Arial" w:hAnsi="Arial" w:cs="Arial"/>
          <w:sz w:val="24"/>
          <w:szCs w:val="24"/>
          <w:shd w:val="clear" w:color="auto" w:fill="FFFFFF"/>
        </w:rPr>
        <w:t xml:space="preserve">10.1108/JCP-06-2020-0020. </w:t>
      </w:r>
    </w:p>
    <w:p w14:paraId="6BFC5B51" w14:textId="77777777" w:rsidR="0076421B" w:rsidRPr="00E968C7" w:rsidRDefault="0076421B" w:rsidP="0076421B">
      <w:pPr>
        <w:rPr>
          <w:rFonts w:ascii="Arial" w:hAnsi="Arial" w:cs="Arial"/>
          <w:sz w:val="24"/>
          <w:szCs w:val="24"/>
          <w:shd w:val="clear" w:color="auto" w:fill="FFFFFF"/>
        </w:rPr>
      </w:pPr>
    </w:p>
    <w:p w14:paraId="4B481EA9"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BBC (2021) </w:t>
      </w:r>
      <w:r w:rsidRPr="00E968C7">
        <w:rPr>
          <w:rFonts w:ascii="Arial" w:hAnsi="Arial" w:cs="Arial"/>
          <w:i/>
          <w:iCs/>
          <w:sz w:val="24"/>
          <w:szCs w:val="24"/>
          <w:shd w:val="clear" w:color="auto" w:fill="FFFFFF"/>
        </w:rPr>
        <w:t xml:space="preserve">Pandemic could be leading to ‘cuckooing’ increase, charity warns.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https://www.bbc.co.uk/news/uk-england-tyne-57474485. Accessed: 19th December 2023. </w:t>
      </w:r>
    </w:p>
    <w:p w14:paraId="28CD0EBD" w14:textId="77777777" w:rsidR="0076421B" w:rsidRPr="00E968C7" w:rsidRDefault="0076421B" w:rsidP="0076421B">
      <w:pPr>
        <w:rPr>
          <w:rFonts w:ascii="Arial" w:hAnsi="Arial" w:cs="Arial"/>
          <w:sz w:val="24"/>
          <w:szCs w:val="24"/>
          <w:shd w:val="clear" w:color="auto" w:fill="FFFFFF"/>
        </w:rPr>
      </w:pPr>
    </w:p>
    <w:p w14:paraId="5DBB3E3A" w14:textId="77777777" w:rsidR="0076421B" w:rsidRPr="00E968C7" w:rsidRDefault="0076421B" w:rsidP="0076421B">
      <w:pPr>
        <w:rPr>
          <w:rFonts w:ascii="Arial" w:hAnsi="Arial" w:cs="Arial"/>
          <w:sz w:val="24"/>
          <w:szCs w:val="24"/>
          <w:shd w:val="clear" w:color="auto" w:fill="FFFFFF"/>
        </w:rPr>
      </w:pPr>
      <w:proofErr w:type="spellStart"/>
      <w:r w:rsidRPr="00E968C7">
        <w:rPr>
          <w:rFonts w:ascii="Arial" w:hAnsi="Arial" w:cs="Arial"/>
          <w:sz w:val="24"/>
          <w:szCs w:val="24"/>
          <w:shd w:val="clear" w:color="auto" w:fill="FFFFFF"/>
        </w:rPr>
        <w:t>Bweijersbergen</w:t>
      </w:r>
      <w:proofErr w:type="spellEnd"/>
      <w:r w:rsidRPr="00E968C7">
        <w:rPr>
          <w:rFonts w:ascii="Arial" w:hAnsi="Arial" w:cs="Arial"/>
          <w:sz w:val="24"/>
          <w:szCs w:val="24"/>
          <w:shd w:val="clear" w:color="auto" w:fill="FFFFFF"/>
        </w:rPr>
        <w:t xml:space="preserve">, K. A., </w:t>
      </w:r>
      <w:proofErr w:type="spellStart"/>
      <w:r w:rsidRPr="00E968C7">
        <w:rPr>
          <w:rFonts w:ascii="Arial" w:hAnsi="Arial" w:cs="Arial"/>
          <w:sz w:val="24"/>
          <w:szCs w:val="24"/>
          <w:shd w:val="clear" w:color="auto" w:fill="FFFFFF"/>
        </w:rPr>
        <w:t>Dirkzwagerm</w:t>
      </w:r>
      <w:proofErr w:type="spellEnd"/>
      <w:r w:rsidRPr="00E968C7">
        <w:rPr>
          <w:rFonts w:ascii="Arial" w:hAnsi="Arial" w:cs="Arial"/>
          <w:sz w:val="24"/>
          <w:szCs w:val="24"/>
          <w:shd w:val="clear" w:color="auto" w:fill="FFFFFF"/>
        </w:rPr>
        <w:t xml:space="preserve"> A. J. E. and </w:t>
      </w:r>
      <w:proofErr w:type="spellStart"/>
      <w:r w:rsidRPr="00E968C7">
        <w:rPr>
          <w:rFonts w:ascii="Arial" w:hAnsi="Arial" w:cs="Arial"/>
          <w:sz w:val="24"/>
          <w:szCs w:val="24"/>
          <w:shd w:val="clear" w:color="auto" w:fill="FFFFFF"/>
        </w:rPr>
        <w:t>Nieuwbeerta</w:t>
      </w:r>
      <w:proofErr w:type="spellEnd"/>
      <w:r w:rsidRPr="00E968C7">
        <w:rPr>
          <w:rFonts w:ascii="Arial" w:hAnsi="Arial" w:cs="Arial"/>
          <w:sz w:val="24"/>
          <w:szCs w:val="24"/>
          <w:shd w:val="clear" w:color="auto" w:fill="FFFFFF"/>
        </w:rPr>
        <w:t xml:space="preserve">, P. (2015) ‘Reoffending After Release: Does Procedural Justice During Imprisonment Matter?’, </w:t>
      </w:r>
      <w:r w:rsidRPr="00E968C7">
        <w:rPr>
          <w:rFonts w:ascii="Arial" w:hAnsi="Arial" w:cs="Arial"/>
          <w:i/>
          <w:iCs/>
          <w:sz w:val="24"/>
          <w:szCs w:val="24"/>
          <w:shd w:val="clear" w:color="auto" w:fill="FFFFFF"/>
        </w:rPr>
        <w:lastRenderedPageBreak/>
        <w:t xml:space="preserve">Criminal Justice and </w:t>
      </w:r>
      <w:proofErr w:type="spellStart"/>
      <w:r w:rsidRPr="00E968C7">
        <w:rPr>
          <w:rFonts w:ascii="Arial" w:hAnsi="Arial" w:cs="Arial"/>
          <w:i/>
          <w:iCs/>
          <w:sz w:val="24"/>
          <w:szCs w:val="24"/>
          <w:shd w:val="clear" w:color="auto" w:fill="FFFFFF"/>
        </w:rPr>
        <w:t>Behavior</w:t>
      </w:r>
      <w:proofErr w:type="spellEnd"/>
      <w:r w:rsidRPr="00E968C7">
        <w:rPr>
          <w:rFonts w:ascii="Arial" w:hAnsi="Arial" w:cs="Arial"/>
          <w:i/>
          <w:iCs/>
          <w:sz w:val="24"/>
          <w:szCs w:val="24"/>
          <w:shd w:val="clear" w:color="auto" w:fill="FFFFFF"/>
        </w:rPr>
        <w:t xml:space="preserve">, </w:t>
      </w:r>
      <w:r w:rsidRPr="00E968C7">
        <w:rPr>
          <w:rFonts w:ascii="Arial" w:hAnsi="Arial" w:cs="Arial"/>
          <w:sz w:val="24"/>
          <w:szCs w:val="24"/>
          <w:shd w:val="clear" w:color="auto" w:fill="FFFFFF"/>
        </w:rPr>
        <w:t xml:space="preserve">43(1), pp. 63-82. Accessed: 20th December 2023. DOI:  10.1177/0093854815609643. </w:t>
      </w:r>
    </w:p>
    <w:p w14:paraId="734F218A" w14:textId="77777777" w:rsidR="0076421B" w:rsidRPr="00E968C7" w:rsidRDefault="0076421B" w:rsidP="0076421B">
      <w:pPr>
        <w:rPr>
          <w:rFonts w:ascii="Arial" w:hAnsi="Arial" w:cs="Arial"/>
          <w:sz w:val="24"/>
          <w:szCs w:val="24"/>
          <w:shd w:val="clear" w:color="auto" w:fill="FFFFFF"/>
        </w:rPr>
      </w:pPr>
    </w:p>
    <w:p w14:paraId="3DC6AF9B" w14:textId="77777777" w:rsidR="0076421B" w:rsidRPr="00E968C7" w:rsidRDefault="0076421B" w:rsidP="0076421B">
      <w:pPr>
        <w:rPr>
          <w:rFonts w:ascii="Arial" w:hAnsi="Arial" w:cs="Arial"/>
          <w:sz w:val="24"/>
          <w:szCs w:val="24"/>
          <w:shd w:val="clear" w:color="auto" w:fill="FFFFFF"/>
        </w:rPr>
      </w:pPr>
      <w:proofErr w:type="spellStart"/>
      <w:r w:rsidRPr="00E968C7">
        <w:rPr>
          <w:rFonts w:ascii="Arial" w:hAnsi="Arial" w:cs="Arial"/>
          <w:sz w:val="24"/>
          <w:szCs w:val="24"/>
          <w:shd w:val="clear" w:color="auto" w:fill="FFFFFF"/>
        </w:rPr>
        <w:t>Bekerian</w:t>
      </w:r>
      <w:proofErr w:type="spellEnd"/>
      <w:r w:rsidRPr="00E968C7">
        <w:rPr>
          <w:rFonts w:ascii="Arial" w:hAnsi="Arial" w:cs="Arial"/>
          <w:sz w:val="24"/>
          <w:szCs w:val="24"/>
          <w:shd w:val="clear" w:color="auto" w:fill="FFFFFF"/>
        </w:rPr>
        <w:t xml:space="preserve">, D.A. and Dennett, J.L. (1993) ‘The Cognitive Interview Technique: Reviving the Issues’, </w:t>
      </w:r>
      <w:r w:rsidRPr="00E968C7">
        <w:rPr>
          <w:rFonts w:ascii="Arial" w:hAnsi="Arial" w:cs="Arial"/>
          <w:i/>
          <w:iCs/>
          <w:sz w:val="24"/>
          <w:szCs w:val="24"/>
          <w:shd w:val="clear" w:color="auto" w:fill="FFFFFF"/>
        </w:rPr>
        <w:t>Applied Cognitive Psychology</w:t>
      </w:r>
      <w:r w:rsidRPr="00E968C7">
        <w:rPr>
          <w:rFonts w:ascii="Arial" w:hAnsi="Arial" w:cs="Arial"/>
          <w:sz w:val="24"/>
          <w:szCs w:val="24"/>
          <w:shd w:val="clear" w:color="auto" w:fill="FFFFFF"/>
        </w:rPr>
        <w:t xml:space="preserve">, 7(4), pp. 275-297. Accessed: 28th November 2023. DOI: 10.1002/acp.2350070403. </w:t>
      </w:r>
    </w:p>
    <w:p w14:paraId="0A4BAC8C" w14:textId="77777777" w:rsidR="0076421B" w:rsidRPr="00E968C7" w:rsidRDefault="0076421B" w:rsidP="0076421B">
      <w:pPr>
        <w:rPr>
          <w:rFonts w:ascii="Arial" w:hAnsi="Arial" w:cs="Arial"/>
          <w:sz w:val="24"/>
          <w:szCs w:val="24"/>
        </w:rPr>
      </w:pPr>
    </w:p>
    <w:p w14:paraId="1427252B"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BMG Research (2018) </w:t>
      </w:r>
      <w:r w:rsidRPr="00E968C7">
        <w:rPr>
          <w:rFonts w:ascii="Arial" w:hAnsi="Arial" w:cs="Arial"/>
          <w:i/>
          <w:iCs/>
          <w:sz w:val="24"/>
          <w:szCs w:val="24"/>
        </w:rPr>
        <w:t>Public Perceptions of Policing in England and Wales 2018</w:t>
      </w:r>
      <w:r w:rsidRPr="00E968C7">
        <w:rPr>
          <w:rFonts w:ascii="Arial" w:hAnsi="Arial" w:cs="Arial"/>
          <w:sz w:val="24"/>
          <w:szCs w:val="24"/>
        </w:rPr>
        <w:t xml:space="preserve">. Birmingham: BMG Research. </w:t>
      </w:r>
    </w:p>
    <w:p w14:paraId="3CC99FD7" w14:textId="77777777" w:rsidR="0076421B" w:rsidRPr="00E968C7" w:rsidRDefault="0076421B" w:rsidP="0076421B">
      <w:pPr>
        <w:rPr>
          <w:rFonts w:ascii="Arial" w:hAnsi="Arial" w:cs="Arial"/>
          <w:sz w:val="24"/>
          <w:szCs w:val="24"/>
        </w:rPr>
      </w:pPr>
    </w:p>
    <w:p w14:paraId="1E05BDF2"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Bowcott, O. (2019) </w:t>
      </w:r>
      <w:r w:rsidRPr="00E968C7">
        <w:rPr>
          <w:rFonts w:ascii="Arial" w:hAnsi="Arial" w:cs="Arial"/>
          <w:i/>
          <w:iCs/>
          <w:sz w:val="24"/>
          <w:szCs w:val="24"/>
        </w:rPr>
        <w:t xml:space="preserve">Magistrates raise concerns over use of county lines defence. </w:t>
      </w:r>
      <w:r w:rsidRPr="00E968C7">
        <w:rPr>
          <w:rFonts w:ascii="Arial" w:hAnsi="Arial" w:cs="Arial"/>
          <w:sz w:val="24"/>
          <w:szCs w:val="24"/>
        </w:rPr>
        <w:t xml:space="preserve">Available at: https://www.theguardian.com/uk-news/2019/oct/06/magistrates-call-for-close-monitoring-of-defence-claims-by-county-lines-victims (Accessed: 19th December 2023). </w:t>
      </w:r>
    </w:p>
    <w:p w14:paraId="5D54A14A" w14:textId="77777777" w:rsidR="0076421B" w:rsidRPr="00E968C7" w:rsidRDefault="0076421B" w:rsidP="0076421B">
      <w:pPr>
        <w:rPr>
          <w:rFonts w:ascii="Arial" w:hAnsi="Arial" w:cs="Arial"/>
          <w:sz w:val="24"/>
          <w:szCs w:val="24"/>
        </w:rPr>
      </w:pPr>
    </w:p>
    <w:p w14:paraId="12BC6C73"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Bunting, L. et al. (2015) </w:t>
      </w:r>
      <w:r w:rsidRPr="00E968C7">
        <w:rPr>
          <w:rFonts w:ascii="Arial" w:hAnsi="Arial" w:cs="Arial"/>
          <w:i/>
          <w:iCs/>
          <w:sz w:val="24"/>
          <w:szCs w:val="24"/>
        </w:rPr>
        <w:t xml:space="preserve">Good Practice in Achieving Best Evidence Interview </w:t>
      </w:r>
      <w:proofErr w:type="gramStart"/>
      <w:r w:rsidRPr="00E968C7">
        <w:rPr>
          <w:rFonts w:ascii="Arial" w:hAnsi="Arial" w:cs="Arial"/>
          <w:i/>
          <w:iCs/>
          <w:sz w:val="24"/>
          <w:szCs w:val="24"/>
        </w:rPr>
        <w:t>With</w:t>
      </w:r>
      <w:proofErr w:type="gramEnd"/>
      <w:r w:rsidRPr="00E968C7">
        <w:rPr>
          <w:rFonts w:ascii="Arial" w:hAnsi="Arial" w:cs="Arial"/>
          <w:i/>
          <w:iCs/>
          <w:sz w:val="24"/>
          <w:szCs w:val="24"/>
        </w:rPr>
        <w:t xml:space="preserve"> Child WITNESSES In Northern Ireland – Criminal Justice Perspectives. </w:t>
      </w:r>
      <w:r w:rsidRPr="00E968C7">
        <w:rPr>
          <w:rFonts w:ascii="Arial" w:hAnsi="Arial" w:cs="Arial"/>
          <w:sz w:val="24"/>
          <w:szCs w:val="24"/>
        </w:rPr>
        <w:t xml:space="preserve">Available at: https://niopa.qub.ac.uk/bitstream/NIOPA/2674/1/ABE%20final%20report%2028-04-15.pdf (Accessed: 28th November 2023). </w:t>
      </w:r>
    </w:p>
    <w:p w14:paraId="61994613" w14:textId="77777777" w:rsidR="0076421B" w:rsidRPr="00E968C7" w:rsidRDefault="0076421B" w:rsidP="0076421B">
      <w:pPr>
        <w:rPr>
          <w:rFonts w:ascii="Arial" w:hAnsi="Arial" w:cs="Arial"/>
          <w:sz w:val="24"/>
          <w:szCs w:val="24"/>
        </w:rPr>
      </w:pPr>
    </w:p>
    <w:p w14:paraId="50223FFC"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Cambridge Dictionary (2023) </w:t>
      </w:r>
      <w:r w:rsidRPr="00E968C7">
        <w:rPr>
          <w:rFonts w:ascii="Arial" w:hAnsi="Arial" w:cs="Arial"/>
          <w:i/>
          <w:iCs/>
          <w:sz w:val="24"/>
          <w:szCs w:val="24"/>
        </w:rPr>
        <w:t xml:space="preserve">Socioeconomic. </w:t>
      </w:r>
      <w:r w:rsidRPr="00E968C7">
        <w:rPr>
          <w:rFonts w:ascii="Arial" w:hAnsi="Arial" w:cs="Arial"/>
          <w:sz w:val="24"/>
          <w:szCs w:val="24"/>
        </w:rPr>
        <w:t xml:space="preserve">Available at: https://dictionary.cambridge.org/dictionary/english/socioeconomic (Accessed: 17th December 2023). </w:t>
      </w:r>
    </w:p>
    <w:p w14:paraId="4CFD94C4" w14:textId="77777777" w:rsidR="0076421B" w:rsidRPr="00E968C7" w:rsidRDefault="0076421B" w:rsidP="0076421B">
      <w:pPr>
        <w:rPr>
          <w:rFonts w:ascii="Arial" w:hAnsi="Arial" w:cs="Arial"/>
          <w:sz w:val="24"/>
          <w:szCs w:val="24"/>
        </w:rPr>
      </w:pPr>
    </w:p>
    <w:p w14:paraId="37410476" w14:textId="77777777" w:rsidR="0076421B" w:rsidRPr="00E968C7" w:rsidRDefault="0076421B" w:rsidP="0076421B">
      <w:pPr>
        <w:rPr>
          <w:rFonts w:ascii="Arial" w:hAnsi="Arial" w:cs="Arial"/>
          <w:sz w:val="24"/>
          <w:szCs w:val="24"/>
          <w:shd w:val="clear" w:color="auto" w:fill="FFFFFF"/>
        </w:rPr>
      </w:pPr>
      <w:proofErr w:type="spellStart"/>
      <w:r w:rsidRPr="00E968C7">
        <w:rPr>
          <w:rFonts w:ascii="Arial" w:hAnsi="Arial" w:cs="Arial"/>
          <w:sz w:val="24"/>
          <w:szCs w:val="24"/>
        </w:rPr>
        <w:t>Caveney</w:t>
      </w:r>
      <w:proofErr w:type="spellEnd"/>
      <w:r w:rsidRPr="00E968C7">
        <w:rPr>
          <w:rFonts w:ascii="Arial" w:hAnsi="Arial" w:cs="Arial"/>
          <w:sz w:val="24"/>
          <w:szCs w:val="24"/>
        </w:rPr>
        <w:t xml:space="preserve">, N. et al. (2020) ‘Police reform, austerity and ‘cop culture’: time to change the record?’ </w:t>
      </w:r>
      <w:r w:rsidRPr="00E968C7">
        <w:rPr>
          <w:rFonts w:ascii="Arial" w:hAnsi="Arial" w:cs="Arial"/>
          <w:i/>
          <w:iCs/>
          <w:sz w:val="24"/>
          <w:szCs w:val="24"/>
        </w:rPr>
        <w:t>Policing &amp; Society</w:t>
      </w:r>
      <w:r w:rsidRPr="00E968C7">
        <w:rPr>
          <w:rFonts w:ascii="Arial" w:hAnsi="Arial" w:cs="Arial"/>
          <w:sz w:val="24"/>
          <w:szCs w:val="24"/>
        </w:rPr>
        <w:t xml:space="preserve">, 30(10), pp. 1210-1225. Accessed: 26th November 2023. DOI: </w:t>
      </w:r>
      <w:r w:rsidRPr="00E968C7">
        <w:rPr>
          <w:rFonts w:ascii="Arial" w:hAnsi="Arial" w:cs="Arial"/>
          <w:sz w:val="24"/>
          <w:szCs w:val="24"/>
          <w:shd w:val="clear" w:color="auto" w:fill="FFFFFF"/>
        </w:rPr>
        <w:t xml:space="preserve">10.1080/10439463.2019.1691549. </w:t>
      </w:r>
    </w:p>
    <w:p w14:paraId="5454F3DD" w14:textId="77777777" w:rsidR="0076421B" w:rsidRPr="00E968C7" w:rsidRDefault="0076421B" w:rsidP="0076421B">
      <w:pPr>
        <w:rPr>
          <w:rFonts w:ascii="Arial" w:hAnsi="Arial" w:cs="Arial"/>
          <w:sz w:val="24"/>
          <w:szCs w:val="24"/>
          <w:shd w:val="clear" w:color="auto" w:fill="FFFFFF"/>
        </w:rPr>
      </w:pPr>
    </w:p>
    <w:p w14:paraId="5A1C4CAF" w14:textId="77777777" w:rsidR="0076421B" w:rsidRPr="00E968C7" w:rsidRDefault="0076421B" w:rsidP="0076421B">
      <w:pPr>
        <w:rPr>
          <w:rFonts w:ascii="Arial" w:hAnsi="Arial" w:cs="Arial"/>
          <w:sz w:val="24"/>
          <w:szCs w:val="24"/>
        </w:rPr>
      </w:pPr>
      <w:r w:rsidRPr="00E968C7">
        <w:rPr>
          <w:rFonts w:ascii="Arial" w:hAnsi="Arial" w:cs="Arial"/>
          <w:sz w:val="24"/>
          <w:szCs w:val="24"/>
          <w:shd w:val="clear" w:color="auto" w:fill="FFFFFF"/>
        </w:rPr>
        <w:t xml:space="preserve">Civil Service (2021) </w:t>
      </w:r>
      <w:r w:rsidRPr="00E968C7">
        <w:rPr>
          <w:rFonts w:ascii="Arial" w:hAnsi="Arial" w:cs="Arial"/>
          <w:i/>
          <w:iCs/>
          <w:sz w:val="24"/>
          <w:szCs w:val="24"/>
          <w:shd w:val="clear" w:color="auto" w:fill="FFFFFF"/>
        </w:rPr>
        <w:t xml:space="preserve">Innovating to tackle reoffending.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https://civilservice.blog.gov.uk/2021/06/28/innovating-to-tackle-reoffending/ (Accessed: 27th November 2023). </w:t>
      </w:r>
    </w:p>
    <w:p w14:paraId="47C541C5" w14:textId="77777777" w:rsidR="00E7582C" w:rsidRPr="00E968C7" w:rsidRDefault="00E7582C" w:rsidP="0076421B">
      <w:pPr>
        <w:rPr>
          <w:rFonts w:ascii="Arial" w:hAnsi="Arial" w:cs="Arial"/>
          <w:sz w:val="24"/>
          <w:szCs w:val="24"/>
        </w:rPr>
      </w:pPr>
    </w:p>
    <w:p w14:paraId="3C0B3971" w14:textId="7FD61106" w:rsidR="00AA0F29" w:rsidRPr="00E968C7" w:rsidRDefault="00F843E2" w:rsidP="0076421B">
      <w:pPr>
        <w:rPr>
          <w:rFonts w:ascii="Arial" w:hAnsi="Arial" w:cs="Arial"/>
          <w:sz w:val="24"/>
          <w:szCs w:val="24"/>
        </w:rPr>
      </w:pPr>
      <w:r w:rsidRPr="00E968C7">
        <w:rPr>
          <w:rFonts w:ascii="Arial" w:hAnsi="Arial" w:cs="Arial"/>
          <w:sz w:val="24"/>
          <w:szCs w:val="24"/>
        </w:rPr>
        <w:t>Cochrane, A. et al. (2021) ‘</w:t>
      </w:r>
      <w:r w:rsidR="003744B1" w:rsidRPr="00E968C7">
        <w:rPr>
          <w:rFonts w:ascii="Arial" w:hAnsi="Arial" w:cs="Arial"/>
          <w:sz w:val="24"/>
          <w:szCs w:val="24"/>
        </w:rPr>
        <w:t>Examining the effectiveness of Gateway</w:t>
      </w:r>
      <w:r w:rsidR="00AA0F29" w:rsidRPr="00E968C7">
        <w:rPr>
          <w:rFonts w:ascii="Arial" w:hAnsi="Arial" w:cs="Arial"/>
          <w:sz w:val="24"/>
          <w:szCs w:val="24"/>
        </w:rPr>
        <w:t xml:space="preserve"> – an out-of-court community-based intervention to reduce recidivism and improve the health and well-being of young adults committing low-level offences: study protocol for a randomised controlled trial’, </w:t>
      </w:r>
      <w:r w:rsidR="001C1312" w:rsidRPr="00E968C7">
        <w:rPr>
          <w:rFonts w:ascii="Arial" w:hAnsi="Arial" w:cs="Arial"/>
          <w:i/>
          <w:iCs/>
          <w:sz w:val="24"/>
          <w:szCs w:val="24"/>
        </w:rPr>
        <w:t xml:space="preserve">Trials, </w:t>
      </w:r>
      <w:r w:rsidR="001C1312" w:rsidRPr="00E968C7">
        <w:rPr>
          <w:rFonts w:ascii="Arial" w:hAnsi="Arial" w:cs="Arial"/>
          <w:sz w:val="24"/>
          <w:szCs w:val="24"/>
        </w:rPr>
        <w:t xml:space="preserve">22(1), pp. </w:t>
      </w:r>
      <w:r w:rsidR="00B52D62" w:rsidRPr="00E968C7">
        <w:rPr>
          <w:rFonts w:ascii="Arial" w:hAnsi="Arial" w:cs="Arial"/>
          <w:sz w:val="24"/>
          <w:szCs w:val="24"/>
        </w:rPr>
        <w:t xml:space="preserve">939. DOI: </w:t>
      </w:r>
      <w:r w:rsidR="00B52D62" w:rsidRPr="00E968C7">
        <w:rPr>
          <w:rFonts w:ascii="Arial" w:hAnsi="Arial" w:cs="Arial"/>
          <w:sz w:val="24"/>
          <w:szCs w:val="24"/>
          <w:shd w:val="clear" w:color="auto" w:fill="FFFFFF"/>
        </w:rPr>
        <w:t xml:space="preserve">10.1186/s13063-021-05905-2. </w:t>
      </w:r>
    </w:p>
    <w:p w14:paraId="0AB6C8E4" w14:textId="77777777" w:rsidR="0076421B" w:rsidRPr="00E968C7" w:rsidRDefault="0076421B" w:rsidP="0076421B">
      <w:pPr>
        <w:rPr>
          <w:rFonts w:ascii="Arial" w:hAnsi="Arial" w:cs="Arial"/>
          <w:sz w:val="24"/>
          <w:szCs w:val="24"/>
        </w:rPr>
      </w:pPr>
    </w:p>
    <w:p w14:paraId="21459B36"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College of Policing (2013a) </w:t>
      </w:r>
      <w:r w:rsidRPr="00E968C7">
        <w:rPr>
          <w:rFonts w:ascii="Arial" w:hAnsi="Arial" w:cs="Arial"/>
          <w:i/>
          <w:iCs/>
          <w:sz w:val="24"/>
          <w:szCs w:val="24"/>
        </w:rPr>
        <w:t xml:space="preserve">Legal framework. </w:t>
      </w:r>
      <w:r w:rsidRPr="00E968C7">
        <w:rPr>
          <w:rFonts w:ascii="Arial" w:hAnsi="Arial" w:cs="Arial"/>
          <w:sz w:val="24"/>
          <w:szCs w:val="24"/>
        </w:rPr>
        <w:t>Available at: https://www.college.police.uk/app/armed-policing/legal-framework (Accessed: 30th October 2023).</w:t>
      </w:r>
    </w:p>
    <w:p w14:paraId="06602BEE" w14:textId="77777777" w:rsidR="0076421B" w:rsidRPr="00E968C7" w:rsidRDefault="0076421B" w:rsidP="0076421B">
      <w:pPr>
        <w:rPr>
          <w:rFonts w:ascii="Arial" w:hAnsi="Arial" w:cs="Arial"/>
          <w:sz w:val="24"/>
          <w:szCs w:val="24"/>
        </w:rPr>
      </w:pPr>
    </w:p>
    <w:p w14:paraId="3281FD9D"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College of Policing (2013b) </w:t>
      </w:r>
      <w:r w:rsidRPr="00E968C7">
        <w:rPr>
          <w:rFonts w:ascii="Arial" w:hAnsi="Arial" w:cs="Arial"/>
          <w:i/>
          <w:iCs/>
          <w:sz w:val="24"/>
          <w:szCs w:val="24"/>
        </w:rPr>
        <w:t xml:space="preserve">Possible justice outcomes following investigation. </w:t>
      </w:r>
      <w:r w:rsidRPr="00E968C7">
        <w:rPr>
          <w:rFonts w:ascii="Arial" w:hAnsi="Arial" w:cs="Arial"/>
          <w:sz w:val="24"/>
          <w:szCs w:val="24"/>
        </w:rPr>
        <w:t xml:space="preserve">Available at: https://www.college.police.uk/app/prosecution-and-case-management/possible-justice-outcomes-following-investigation (Accessed: 27th November 2023). </w:t>
      </w:r>
    </w:p>
    <w:p w14:paraId="3FEB33B2" w14:textId="77777777" w:rsidR="0076421B" w:rsidRPr="00E968C7" w:rsidRDefault="0076421B" w:rsidP="0076421B">
      <w:pPr>
        <w:rPr>
          <w:rFonts w:ascii="Arial" w:hAnsi="Arial" w:cs="Arial"/>
          <w:sz w:val="24"/>
          <w:szCs w:val="24"/>
        </w:rPr>
      </w:pPr>
    </w:p>
    <w:p w14:paraId="3D2B0E54"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College of Policing (2014) </w:t>
      </w:r>
      <w:r w:rsidRPr="00E968C7">
        <w:rPr>
          <w:rFonts w:ascii="Arial" w:hAnsi="Arial" w:cs="Arial"/>
          <w:i/>
          <w:iCs/>
          <w:sz w:val="24"/>
          <w:szCs w:val="24"/>
        </w:rPr>
        <w:t xml:space="preserve">Code of Ethics. </w:t>
      </w:r>
      <w:r w:rsidRPr="00E968C7">
        <w:rPr>
          <w:rFonts w:ascii="Arial" w:hAnsi="Arial" w:cs="Arial"/>
          <w:sz w:val="24"/>
          <w:szCs w:val="24"/>
        </w:rPr>
        <w:t xml:space="preserve">Available at: https://assets.college.police.uk/s3fs-public/2021-02/code_of_ethics.pdf (Accessed: 8th November 2023). </w:t>
      </w:r>
    </w:p>
    <w:p w14:paraId="37D17E1D" w14:textId="77777777" w:rsidR="0076421B" w:rsidRPr="00E968C7" w:rsidRDefault="0076421B" w:rsidP="0076421B">
      <w:pPr>
        <w:rPr>
          <w:rFonts w:ascii="Arial" w:hAnsi="Arial" w:cs="Arial"/>
          <w:sz w:val="24"/>
          <w:szCs w:val="24"/>
        </w:rPr>
      </w:pPr>
    </w:p>
    <w:p w14:paraId="7ADFF0F4"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College of Policing (2021) </w:t>
      </w:r>
      <w:r w:rsidRPr="00E968C7">
        <w:rPr>
          <w:rFonts w:ascii="Arial" w:hAnsi="Arial" w:cs="Arial"/>
          <w:i/>
          <w:iCs/>
          <w:sz w:val="24"/>
          <w:szCs w:val="24"/>
        </w:rPr>
        <w:t>Promoting the right culture</w:t>
      </w:r>
      <w:r w:rsidRPr="00E968C7">
        <w:rPr>
          <w:rFonts w:ascii="Arial" w:hAnsi="Arial" w:cs="Arial"/>
          <w:sz w:val="24"/>
          <w:szCs w:val="24"/>
        </w:rPr>
        <w:t xml:space="preserve">. Available at: https://www.college.police.uk/guidance/neighbourhood-policing/promoting-right-culture (Accessed: 26th November 2023). </w:t>
      </w:r>
    </w:p>
    <w:p w14:paraId="7C2BB959" w14:textId="77777777" w:rsidR="0076421B" w:rsidRPr="00E968C7" w:rsidRDefault="0076421B" w:rsidP="0076421B">
      <w:pPr>
        <w:rPr>
          <w:rFonts w:ascii="Arial" w:hAnsi="Arial" w:cs="Arial"/>
          <w:sz w:val="24"/>
          <w:szCs w:val="24"/>
        </w:rPr>
      </w:pPr>
    </w:p>
    <w:p w14:paraId="34727D26" w14:textId="77777777" w:rsidR="0076421B" w:rsidRPr="00E968C7" w:rsidRDefault="0076421B" w:rsidP="0076421B">
      <w:pPr>
        <w:rPr>
          <w:rFonts w:ascii="Arial" w:hAnsi="Arial" w:cs="Arial"/>
          <w:sz w:val="24"/>
          <w:szCs w:val="24"/>
          <w:shd w:val="clear" w:color="auto" w:fill="FFFFFF"/>
        </w:rPr>
      </w:pPr>
      <w:proofErr w:type="spellStart"/>
      <w:r w:rsidRPr="00E968C7">
        <w:rPr>
          <w:rFonts w:ascii="Arial" w:hAnsi="Arial" w:cs="Arial"/>
          <w:sz w:val="24"/>
          <w:szCs w:val="24"/>
        </w:rPr>
        <w:t>Coomber</w:t>
      </w:r>
      <w:proofErr w:type="spellEnd"/>
      <w:r w:rsidRPr="00E968C7">
        <w:rPr>
          <w:rFonts w:ascii="Arial" w:hAnsi="Arial" w:cs="Arial"/>
          <w:sz w:val="24"/>
          <w:szCs w:val="24"/>
        </w:rPr>
        <w:t xml:space="preserve">, R. and Moyle, L. (2018) ‘The Changing Shape of Street-Level Heroin and Crack Supply in England: Commuting, Holidaying and Cuckooing Drug Dealers Across ‘County Lines’’, </w:t>
      </w:r>
      <w:r w:rsidRPr="00E968C7">
        <w:rPr>
          <w:rFonts w:ascii="Arial" w:hAnsi="Arial" w:cs="Arial"/>
          <w:i/>
          <w:iCs/>
          <w:sz w:val="24"/>
          <w:szCs w:val="24"/>
        </w:rPr>
        <w:t>The British Journal of Criminology</w:t>
      </w:r>
      <w:r w:rsidRPr="00E968C7">
        <w:rPr>
          <w:rFonts w:ascii="Arial" w:hAnsi="Arial" w:cs="Arial"/>
          <w:sz w:val="24"/>
          <w:szCs w:val="24"/>
        </w:rPr>
        <w:t xml:space="preserve">, 58(6), pp. 1323-1342. Accessed: 18th December 2023. DOI: </w:t>
      </w:r>
      <w:r w:rsidRPr="00E968C7">
        <w:rPr>
          <w:rFonts w:ascii="Arial" w:hAnsi="Arial" w:cs="Arial"/>
          <w:sz w:val="24"/>
          <w:szCs w:val="24"/>
          <w:shd w:val="clear" w:color="auto" w:fill="FFFFFF"/>
        </w:rPr>
        <w:t>10.1093/</w:t>
      </w:r>
      <w:proofErr w:type="spellStart"/>
      <w:r w:rsidRPr="00E968C7">
        <w:rPr>
          <w:rFonts w:ascii="Arial" w:hAnsi="Arial" w:cs="Arial"/>
          <w:sz w:val="24"/>
          <w:szCs w:val="24"/>
          <w:shd w:val="clear" w:color="auto" w:fill="FFFFFF"/>
        </w:rPr>
        <w:t>bjc</w:t>
      </w:r>
      <w:proofErr w:type="spellEnd"/>
      <w:r w:rsidRPr="00E968C7">
        <w:rPr>
          <w:rFonts w:ascii="Arial" w:hAnsi="Arial" w:cs="Arial"/>
          <w:sz w:val="24"/>
          <w:szCs w:val="24"/>
          <w:shd w:val="clear" w:color="auto" w:fill="FFFFFF"/>
        </w:rPr>
        <w:t xml:space="preserve">/azx068. </w:t>
      </w:r>
    </w:p>
    <w:p w14:paraId="2737F159" w14:textId="77777777" w:rsidR="0076421B" w:rsidRPr="00E968C7" w:rsidRDefault="0076421B" w:rsidP="0076421B">
      <w:pPr>
        <w:rPr>
          <w:rFonts w:ascii="Arial" w:hAnsi="Arial" w:cs="Arial"/>
          <w:sz w:val="24"/>
          <w:szCs w:val="24"/>
          <w:shd w:val="clear" w:color="auto" w:fill="FFFFFF"/>
        </w:rPr>
      </w:pPr>
    </w:p>
    <w:p w14:paraId="2832B54E"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CPS (2022) </w:t>
      </w:r>
      <w:r w:rsidRPr="00E968C7">
        <w:rPr>
          <w:rFonts w:ascii="Arial" w:hAnsi="Arial" w:cs="Arial"/>
          <w:i/>
          <w:iCs/>
          <w:sz w:val="24"/>
          <w:szCs w:val="24"/>
          <w:shd w:val="clear" w:color="auto" w:fill="FFFFFF"/>
        </w:rPr>
        <w:t xml:space="preserve">Conditional Cautioning: Adults – DPP Guidance.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https://www.cps.gov.uk/legal-guidance/conditional-cautioning-adults-dpp-guidance (Accessed: 20th December 2023). </w:t>
      </w:r>
    </w:p>
    <w:p w14:paraId="3C62403C" w14:textId="77777777" w:rsidR="0076421B" w:rsidRPr="00E968C7" w:rsidRDefault="0076421B" w:rsidP="0076421B">
      <w:pPr>
        <w:rPr>
          <w:rFonts w:ascii="Arial" w:hAnsi="Arial" w:cs="Arial"/>
          <w:sz w:val="24"/>
          <w:szCs w:val="24"/>
        </w:rPr>
      </w:pPr>
    </w:p>
    <w:p w14:paraId="204721E7"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rPr>
        <w:lastRenderedPageBreak/>
        <w:t xml:space="preserve">Dando, C. (2009) ‘The Cognitive Interview: novice police officers’ witness/ victim interviewing practices’, </w:t>
      </w:r>
      <w:r w:rsidRPr="00E968C7">
        <w:rPr>
          <w:rFonts w:ascii="Arial" w:hAnsi="Arial" w:cs="Arial"/>
          <w:i/>
          <w:iCs/>
          <w:sz w:val="24"/>
          <w:szCs w:val="24"/>
        </w:rPr>
        <w:t xml:space="preserve">Psychology, Crime &amp; Law, </w:t>
      </w:r>
      <w:r w:rsidRPr="00E968C7">
        <w:rPr>
          <w:rFonts w:ascii="Arial" w:hAnsi="Arial" w:cs="Arial"/>
          <w:sz w:val="24"/>
          <w:szCs w:val="24"/>
        </w:rPr>
        <w:t xml:space="preserve">15(8), pp. 679-696. Accessed: 28th November 2023. DOI: 10.1080/10683160802203963. </w:t>
      </w:r>
      <w:r w:rsidRPr="00E968C7">
        <w:rPr>
          <w:rFonts w:ascii="Arial" w:hAnsi="Arial" w:cs="Arial"/>
          <w:sz w:val="24"/>
          <w:szCs w:val="24"/>
          <w:shd w:val="clear" w:color="auto" w:fill="FFFFFF"/>
        </w:rPr>
        <w:t xml:space="preserve"> </w:t>
      </w:r>
    </w:p>
    <w:p w14:paraId="63EC682B" w14:textId="77777777" w:rsidR="0076421B" w:rsidRPr="00E968C7" w:rsidRDefault="0076421B" w:rsidP="0076421B">
      <w:pPr>
        <w:rPr>
          <w:rFonts w:ascii="Arial" w:hAnsi="Arial" w:cs="Arial"/>
          <w:sz w:val="24"/>
          <w:szCs w:val="24"/>
          <w:shd w:val="clear" w:color="auto" w:fill="FFFFFF"/>
        </w:rPr>
      </w:pPr>
    </w:p>
    <w:p w14:paraId="7F651DDF"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Dando, C., Wilcock, R. and Milne, R. (2008) ‘The cognitive interview: Inexperienced police officers’ perceptions of their witness/ victim interviewing practices’, </w:t>
      </w:r>
      <w:r w:rsidRPr="00E968C7">
        <w:rPr>
          <w:rFonts w:ascii="Arial" w:hAnsi="Arial" w:cs="Arial"/>
          <w:i/>
          <w:iCs/>
          <w:sz w:val="24"/>
          <w:szCs w:val="24"/>
          <w:shd w:val="clear" w:color="auto" w:fill="FFFFFF"/>
        </w:rPr>
        <w:t xml:space="preserve">Legal and Criminological Psychology, </w:t>
      </w:r>
      <w:r w:rsidRPr="00E968C7">
        <w:rPr>
          <w:rFonts w:ascii="Arial" w:hAnsi="Arial" w:cs="Arial"/>
          <w:sz w:val="24"/>
          <w:szCs w:val="24"/>
          <w:shd w:val="clear" w:color="auto" w:fill="FFFFFF"/>
        </w:rPr>
        <w:t xml:space="preserve">13(1), pp. 59-70. Accessed: 17th December 2023. DOI: 10.1348/135532506X162498. </w:t>
      </w:r>
    </w:p>
    <w:p w14:paraId="6537F590" w14:textId="77777777" w:rsidR="0076421B" w:rsidRPr="00E968C7" w:rsidRDefault="0076421B" w:rsidP="0076421B">
      <w:pPr>
        <w:rPr>
          <w:rFonts w:ascii="Arial" w:hAnsi="Arial" w:cs="Arial"/>
          <w:sz w:val="24"/>
          <w:szCs w:val="24"/>
          <w:shd w:val="clear" w:color="auto" w:fill="FFFFFF"/>
        </w:rPr>
      </w:pPr>
    </w:p>
    <w:p w14:paraId="2ED47167" w14:textId="77777777" w:rsidR="0076421B" w:rsidRPr="00E968C7" w:rsidRDefault="0076421B" w:rsidP="0076421B">
      <w:pPr>
        <w:rPr>
          <w:rFonts w:ascii="Arial" w:hAnsi="Arial" w:cs="Arial"/>
          <w:sz w:val="24"/>
          <w:szCs w:val="24"/>
        </w:rPr>
      </w:pPr>
      <w:proofErr w:type="spellStart"/>
      <w:r w:rsidRPr="00E968C7">
        <w:rPr>
          <w:rFonts w:ascii="Arial" w:hAnsi="Arial" w:cs="Arial"/>
          <w:sz w:val="24"/>
          <w:szCs w:val="24"/>
          <w:shd w:val="clear" w:color="auto" w:fill="FFFFFF"/>
        </w:rPr>
        <w:t>Dodier</w:t>
      </w:r>
      <w:proofErr w:type="spellEnd"/>
      <w:r w:rsidRPr="00E968C7">
        <w:rPr>
          <w:rFonts w:ascii="Arial" w:hAnsi="Arial" w:cs="Arial"/>
          <w:sz w:val="24"/>
          <w:szCs w:val="24"/>
          <w:shd w:val="clear" w:color="auto" w:fill="FFFFFF"/>
        </w:rPr>
        <w:t xml:space="preserve">, O. et al. (2021) ‘Using the cognitive interview to recall real-world emotionally stressful experiences: Road accidents’, </w:t>
      </w:r>
      <w:r w:rsidRPr="00E968C7">
        <w:rPr>
          <w:rFonts w:ascii="Arial" w:hAnsi="Arial" w:cs="Arial"/>
          <w:i/>
          <w:iCs/>
          <w:sz w:val="24"/>
          <w:szCs w:val="24"/>
          <w:shd w:val="clear" w:color="auto" w:fill="FFFFFF"/>
        </w:rPr>
        <w:t>Applied cognitive psychology</w:t>
      </w:r>
      <w:r w:rsidRPr="00E968C7">
        <w:rPr>
          <w:rFonts w:ascii="Arial" w:hAnsi="Arial" w:cs="Arial"/>
          <w:sz w:val="24"/>
          <w:szCs w:val="24"/>
          <w:shd w:val="clear" w:color="auto" w:fill="FFFFFF"/>
        </w:rPr>
        <w:t xml:space="preserve">, 35(4), pp. 1099-1105. Accessed: 28th November 2023. DOI: 10.1002/acp.3828. </w:t>
      </w:r>
    </w:p>
    <w:p w14:paraId="270F38F6" w14:textId="77777777" w:rsidR="0076421B" w:rsidRPr="00E968C7" w:rsidRDefault="0076421B" w:rsidP="0076421B">
      <w:pPr>
        <w:rPr>
          <w:rFonts w:ascii="Arial" w:hAnsi="Arial" w:cs="Arial"/>
          <w:sz w:val="24"/>
          <w:szCs w:val="24"/>
        </w:rPr>
      </w:pPr>
    </w:p>
    <w:p w14:paraId="0E090638"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rPr>
        <w:t xml:space="preserve">Edwards, R. A. (2020) ‘Police Powers and Article 5 ECHR: Time for a New Approach to the Interpretation of the Right to Liberty’, </w:t>
      </w:r>
      <w:r w:rsidRPr="00E968C7">
        <w:rPr>
          <w:rFonts w:ascii="Arial" w:hAnsi="Arial" w:cs="Arial"/>
          <w:i/>
          <w:iCs/>
          <w:sz w:val="24"/>
          <w:szCs w:val="24"/>
        </w:rPr>
        <w:t>Liverpool Law Review</w:t>
      </w:r>
      <w:r w:rsidRPr="00E968C7">
        <w:rPr>
          <w:rFonts w:ascii="Arial" w:hAnsi="Arial" w:cs="Arial"/>
          <w:sz w:val="24"/>
          <w:szCs w:val="24"/>
        </w:rPr>
        <w:t xml:space="preserve">, 41(3), pp. 331-356. Accessed: 8th November 2023. DOI: </w:t>
      </w:r>
      <w:r w:rsidRPr="00E968C7">
        <w:rPr>
          <w:rFonts w:ascii="Arial" w:hAnsi="Arial" w:cs="Arial"/>
          <w:sz w:val="24"/>
          <w:szCs w:val="24"/>
          <w:shd w:val="clear" w:color="auto" w:fill="FFFFFF"/>
        </w:rPr>
        <w:t xml:space="preserve">10.1007/s10991-020-09255-y. </w:t>
      </w:r>
    </w:p>
    <w:p w14:paraId="0B404573" w14:textId="77777777" w:rsidR="0076421B" w:rsidRPr="00E968C7" w:rsidRDefault="0076421B" w:rsidP="0076421B">
      <w:pPr>
        <w:rPr>
          <w:rFonts w:ascii="Arial" w:hAnsi="Arial" w:cs="Arial"/>
          <w:sz w:val="24"/>
          <w:szCs w:val="24"/>
          <w:shd w:val="clear" w:color="auto" w:fill="FFFFFF"/>
        </w:rPr>
      </w:pPr>
    </w:p>
    <w:p w14:paraId="3BB4FB9C"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Fazel, S. and Wolf, A. (2015) ‘A Systematic Review of Criminal Recidivism Rates Worldwide: Current Difficulties and Recommendations for Best Practice’, </w:t>
      </w:r>
      <w:proofErr w:type="spellStart"/>
      <w:r w:rsidRPr="00E968C7">
        <w:rPr>
          <w:rFonts w:ascii="Arial" w:hAnsi="Arial" w:cs="Arial"/>
          <w:i/>
          <w:iCs/>
          <w:sz w:val="24"/>
          <w:szCs w:val="24"/>
          <w:shd w:val="clear" w:color="auto" w:fill="FFFFFF"/>
        </w:rPr>
        <w:t>PLoS</w:t>
      </w:r>
      <w:proofErr w:type="spellEnd"/>
      <w:r w:rsidRPr="00E968C7">
        <w:rPr>
          <w:rFonts w:ascii="Arial" w:hAnsi="Arial" w:cs="Arial"/>
          <w:i/>
          <w:iCs/>
          <w:sz w:val="24"/>
          <w:szCs w:val="24"/>
          <w:shd w:val="clear" w:color="auto" w:fill="FFFFFF"/>
        </w:rPr>
        <w:t xml:space="preserve"> One, </w:t>
      </w:r>
      <w:r w:rsidRPr="00E968C7">
        <w:rPr>
          <w:rFonts w:ascii="Arial" w:hAnsi="Arial" w:cs="Arial"/>
          <w:sz w:val="24"/>
          <w:szCs w:val="24"/>
          <w:shd w:val="clear" w:color="auto" w:fill="FFFFFF"/>
        </w:rPr>
        <w:t xml:space="preserve">10(6), pp. 1-8. Accessed: 20th December 2023. DOI: 10.1371/journal.pone.0130390. </w:t>
      </w:r>
    </w:p>
    <w:p w14:paraId="2925574E" w14:textId="77777777" w:rsidR="0076421B" w:rsidRPr="00E968C7" w:rsidRDefault="0076421B" w:rsidP="0076421B">
      <w:pPr>
        <w:rPr>
          <w:rFonts w:ascii="Arial" w:hAnsi="Arial" w:cs="Arial"/>
          <w:sz w:val="24"/>
          <w:szCs w:val="24"/>
          <w:shd w:val="clear" w:color="auto" w:fill="FFFFFF"/>
        </w:rPr>
      </w:pPr>
    </w:p>
    <w:p w14:paraId="189317B1"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lastRenderedPageBreak/>
        <w:t xml:space="preserve">Gooch, K. and von Berg, P. (2019) ‘What Happens in the Beginning, </w:t>
      </w:r>
      <w:proofErr w:type="gramStart"/>
      <w:r w:rsidRPr="00E968C7">
        <w:rPr>
          <w:rFonts w:ascii="Arial" w:hAnsi="Arial" w:cs="Arial"/>
          <w:sz w:val="24"/>
          <w:szCs w:val="24"/>
          <w:shd w:val="clear" w:color="auto" w:fill="FFFFFF"/>
        </w:rPr>
        <w:t>Matters</w:t>
      </w:r>
      <w:proofErr w:type="gramEnd"/>
      <w:r w:rsidRPr="00E968C7">
        <w:rPr>
          <w:rFonts w:ascii="Arial" w:hAnsi="Arial" w:cs="Arial"/>
          <w:sz w:val="24"/>
          <w:szCs w:val="24"/>
          <w:shd w:val="clear" w:color="auto" w:fill="FFFFFF"/>
        </w:rPr>
        <w:t xml:space="preserve"> in the End: Achieving Best Evidence with Child Suspects in the Police Station’, </w:t>
      </w:r>
      <w:r w:rsidRPr="00E968C7">
        <w:rPr>
          <w:rFonts w:ascii="Arial" w:hAnsi="Arial" w:cs="Arial"/>
          <w:i/>
          <w:iCs/>
          <w:sz w:val="24"/>
          <w:szCs w:val="24"/>
          <w:shd w:val="clear" w:color="auto" w:fill="FFFFFF"/>
        </w:rPr>
        <w:t xml:space="preserve">Youth Justice, </w:t>
      </w:r>
      <w:r w:rsidRPr="00E968C7">
        <w:rPr>
          <w:rFonts w:ascii="Arial" w:hAnsi="Arial" w:cs="Arial"/>
          <w:sz w:val="24"/>
          <w:szCs w:val="24"/>
          <w:shd w:val="clear" w:color="auto" w:fill="FFFFFF"/>
        </w:rPr>
        <w:t xml:space="preserve">19(2), pp. 85-101. Accessed: 28th November 2023. DOI: 10.1177/1473225419868840. </w:t>
      </w:r>
    </w:p>
    <w:p w14:paraId="5E00984C" w14:textId="77777777" w:rsidR="0076421B" w:rsidRPr="00E968C7" w:rsidRDefault="0076421B" w:rsidP="0076421B">
      <w:pPr>
        <w:rPr>
          <w:rFonts w:ascii="Arial" w:hAnsi="Arial" w:cs="Arial"/>
          <w:sz w:val="24"/>
          <w:szCs w:val="24"/>
          <w:shd w:val="clear" w:color="auto" w:fill="FFFFFF"/>
        </w:rPr>
      </w:pPr>
    </w:p>
    <w:p w14:paraId="57DF81E3"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Gov.UK (2013) </w:t>
      </w:r>
      <w:r w:rsidRPr="00E968C7">
        <w:rPr>
          <w:rFonts w:ascii="Arial" w:hAnsi="Arial" w:cs="Arial"/>
          <w:i/>
          <w:iCs/>
          <w:sz w:val="24"/>
          <w:szCs w:val="24"/>
          <w:shd w:val="clear" w:color="auto" w:fill="FFFFFF"/>
        </w:rPr>
        <w:t xml:space="preserve">The factors associated with proven-reoffending following release from prison: findings from Waves 1 to 3 of Surveying Prisoner Crime Reduction (SPCR).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https://www.gov.uk/government/publications/results-from-the-surveying-prisoner-crime-reduction-survey (Accessed: 27th November 2023). </w:t>
      </w:r>
    </w:p>
    <w:p w14:paraId="3486B8FB" w14:textId="77777777" w:rsidR="0076421B" w:rsidRPr="00E968C7" w:rsidRDefault="0076421B" w:rsidP="0076421B">
      <w:pPr>
        <w:rPr>
          <w:rFonts w:ascii="Arial" w:hAnsi="Arial" w:cs="Arial"/>
          <w:sz w:val="24"/>
          <w:szCs w:val="24"/>
          <w:shd w:val="clear" w:color="auto" w:fill="FFFFFF"/>
        </w:rPr>
      </w:pPr>
    </w:p>
    <w:p w14:paraId="2F735505" w14:textId="77777777" w:rsidR="0076421B" w:rsidRPr="00E968C7" w:rsidRDefault="0076421B" w:rsidP="0076421B">
      <w:pPr>
        <w:rPr>
          <w:rFonts w:ascii="Arial" w:hAnsi="Arial" w:cs="Arial"/>
          <w:sz w:val="24"/>
          <w:szCs w:val="24"/>
        </w:rPr>
      </w:pPr>
      <w:r w:rsidRPr="00E968C7">
        <w:rPr>
          <w:rFonts w:ascii="Arial" w:hAnsi="Arial" w:cs="Arial"/>
          <w:sz w:val="24"/>
          <w:szCs w:val="24"/>
          <w:shd w:val="clear" w:color="auto" w:fill="FFFFFF"/>
        </w:rPr>
        <w:t xml:space="preserve">Gov.UK (2021) </w:t>
      </w:r>
      <w:r w:rsidRPr="00E968C7">
        <w:rPr>
          <w:rFonts w:ascii="Arial" w:hAnsi="Arial" w:cs="Arial"/>
          <w:i/>
          <w:iCs/>
          <w:sz w:val="24"/>
          <w:szCs w:val="24"/>
          <w:shd w:val="clear" w:color="auto" w:fill="FFFFFF"/>
        </w:rPr>
        <w:t xml:space="preserve">Reoffending.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https://www.ethnicity-facts-figures.service.gov.uk/crime-justice-and-the-law/crime-and-reoffending/proven-reoffending/latest#main-facts-and-figures (Accessed 27th November 2023). </w:t>
      </w:r>
    </w:p>
    <w:p w14:paraId="76916081" w14:textId="77777777" w:rsidR="0076421B" w:rsidRPr="00E968C7" w:rsidRDefault="0076421B" w:rsidP="0076421B">
      <w:pPr>
        <w:rPr>
          <w:rFonts w:ascii="Arial" w:hAnsi="Arial" w:cs="Arial"/>
          <w:sz w:val="24"/>
          <w:szCs w:val="24"/>
        </w:rPr>
      </w:pPr>
    </w:p>
    <w:p w14:paraId="42301DD7"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Gov.UK (2023) </w:t>
      </w:r>
      <w:r w:rsidRPr="00E968C7">
        <w:rPr>
          <w:rFonts w:ascii="Arial" w:hAnsi="Arial" w:cs="Arial"/>
          <w:i/>
          <w:iCs/>
          <w:sz w:val="24"/>
          <w:szCs w:val="24"/>
        </w:rPr>
        <w:t xml:space="preserve">Criminal exploitation of children and vulnerable adults: county lines. </w:t>
      </w:r>
      <w:r w:rsidRPr="00E968C7">
        <w:rPr>
          <w:rFonts w:ascii="Arial" w:hAnsi="Arial" w:cs="Arial"/>
          <w:sz w:val="24"/>
          <w:szCs w:val="24"/>
        </w:rPr>
        <w:t xml:space="preserve">Available at: https://www.gov.uk/government/publications/criminal-exploitation-of-children-and-vulnerable-adults-county-lines/criminal-exploitation-of-children-and-vulnerable-adults-county-lines (Accessed: 17th December 2023). </w:t>
      </w:r>
    </w:p>
    <w:p w14:paraId="4AF58703" w14:textId="77777777" w:rsidR="0076421B" w:rsidRPr="00E968C7" w:rsidRDefault="0076421B" w:rsidP="0076421B">
      <w:pPr>
        <w:rPr>
          <w:rFonts w:ascii="Arial" w:hAnsi="Arial" w:cs="Arial"/>
          <w:sz w:val="24"/>
          <w:szCs w:val="24"/>
        </w:rPr>
      </w:pPr>
    </w:p>
    <w:p w14:paraId="484969FD"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Gray, P. (1991) </w:t>
      </w:r>
      <w:r w:rsidRPr="00E968C7">
        <w:rPr>
          <w:rFonts w:ascii="Arial" w:hAnsi="Arial" w:cs="Arial"/>
          <w:i/>
          <w:iCs/>
          <w:sz w:val="24"/>
          <w:szCs w:val="24"/>
        </w:rPr>
        <w:t xml:space="preserve">Psychology. </w:t>
      </w:r>
      <w:r w:rsidRPr="00E968C7">
        <w:rPr>
          <w:rFonts w:ascii="Arial" w:hAnsi="Arial" w:cs="Arial"/>
          <w:sz w:val="24"/>
          <w:szCs w:val="24"/>
        </w:rPr>
        <w:t xml:space="preserve">New York: Worth. </w:t>
      </w:r>
    </w:p>
    <w:p w14:paraId="4373D7F7" w14:textId="77777777" w:rsidR="0076421B" w:rsidRPr="00E968C7" w:rsidRDefault="0076421B" w:rsidP="0076421B">
      <w:pPr>
        <w:rPr>
          <w:rFonts w:ascii="Arial" w:hAnsi="Arial" w:cs="Arial"/>
          <w:sz w:val="24"/>
          <w:szCs w:val="24"/>
        </w:rPr>
      </w:pPr>
    </w:p>
    <w:p w14:paraId="484F641D" w14:textId="2C71F4DB" w:rsidR="0076421B" w:rsidRPr="00E968C7" w:rsidRDefault="0076421B" w:rsidP="0076421B">
      <w:pPr>
        <w:rPr>
          <w:rFonts w:ascii="Arial" w:hAnsi="Arial" w:cs="Arial"/>
          <w:b/>
          <w:bCs/>
          <w:sz w:val="24"/>
          <w:szCs w:val="24"/>
        </w:rPr>
      </w:pPr>
      <w:r w:rsidRPr="00E968C7">
        <w:rPr>
          <w:rFonts w:ascii="Arial" w:hAnsi="Arial" w:cs="Arial"/>
          <w:sz w:val="24"/>
          <w:szCs w:val="24"/>
        </w:rPr>
        <w:lastRenderedPageBreak/>
        <w:t xml:space="preserve">Heap, V. (2020) ‘Exploring the effects of long-term anti-social behaviour victimisation’, </w:t>
      </w:r>
      <w:r w:rsidRPr="00E968C7">
        <w:rPr>
          <w:rFonts w:ascii="Arial" w:hAnsi="Arial" w:cs="Arial"/>
          <w:i/>
          <w:iCs/>
          <w:sz w:val="24"/>
          <w:szCs w:val="24"/>
        </w:rPr>
        <w:t xml:space="preserve">International Review of Victimology, </w:t>
      </w:r>
      <w:r w:rsidRPr="00E968C7">
        <w:rPr>
          <w:rFonts w:ascii="Arial" w:hAnsi="Arial" w:cs="Arial"/>
          <w:sz w:val="24"/>
          <w:szCs w:val="24"/>
        </w:rPr>
        <w:t xml:space="preserve">27(2), pp. 227-242. Accessed: 20th December 2023. DOI: </w:t>
      </w:r>
      <w:r w:rsidRPr="00E968C7">
        <w:rPr>
          <w:rFonts w:ascii="Arial" w:hAnsi="Arial" w:cs="Arial"/>
          <w:sz w:val="24"/>
          <w:szCs w:val="24"/>
          <w:shd w:val="clear" w:color="auto" w:fill="FFFFFF"/>
        </w:rPr>
        <w:t xml:space="preserve">10.1177/0269758020961979. </w:t>
      </w:r>
    </w:p>
    <w:p w14:paraId="526A47FB" w14:textId="77777777" w:rsidR="00AD376A" w:rsidRPr="00E968C7" w:rsidRDefault="00AD376A" w:rsidP="0076421B">
      <w:pPr>
        <w:rPr>
          <w:rFonts w:ascii="Arial" w:hAnsi="Arial" w:cs="Arial"/>
          <w:b/>
          <w:bCs/>
          <w:sz w:val="24"/>
          <w:szCs w:val="24"/>
        </w:rPr>
      </w:pPr>
    </w:p>
    <w:p w14:paraId="28C099EF"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Heaton, R. and Tong, S. (2022) ‘More lesson learning, less risk aversion in England and Wales? Prospects for the police (conduct) regulations 2020’, </w:t>
      </w:r>
      <w:r w:rsidRPr="00E968C7">
        <w:rPr>
          <w:rFonts w:ascii="Arial" w:hAnsi="Arial" w:cs="Arial"/>
          <w:i/>
          <w:iCs/>
          <w:sz w:val="24"/>
          <w:szCs w:val="24"/>
        </w:rPr>
        <w:t>The Police Journal</w:t>
      </w:r>
      <w:r w:rsidRPr="00E968C7">
        <w:rPr>
          <w:rFonts w:ascii="Arial" w:hAnsi="Arial" w:cs="Arial"/>
          <w:sz w:val="24"/>
          <w:szCs w:val="24"/>
        </w:rPr>
        <w:t>, 0(0), p. 32258. Accessed: 8th November 2023. DOI: 10.1177/0032258X221107586.</w:t>
      </w:r>
    </w:p>
    <w:p w14:paraId="7FDE20CA" w14:textId="77777777" w:rsidR="0076421B" w:rsidRPr="00E968C7" w:rsidRDefault="0076421B" w:rsidP="0076421B">
      <w:pPr>
        <w:rPr>
          <w:rFonts w:ascii="Arial" w:hAnsi="Arial" w:cs="Arial"/>
          <w:sz w:val="24"/>
          <w:szCs w:val="24"/>
        </w:rPr>
      </w:pPr>
    </w:p>
    <w:p w14:paraId="079CE3B7" w14:textId="77777777" w:rsidR="0076421B" w:rsidRPr="00E968C7" w:rsidRDefault="0076421B" w:rsidP="0076421B">
      <w:pPr>
        <w:rPr>
          <w:rFonts w:ascii="Arial" w:hAnsi="Arial" w:cs="Arial"/>
          <w:sz w:val="24"/>
          <w:szCs w:val="24"/>
        </w:rPr>
      </w:pPr>
      <w:proofErr w:type="spellStart"/>
      <w:r w:rsidRPr="00E968C7">
        <w:rPr>
          <w:rFonts w:ascii="Arial" w:hAnsi="Arial" w:cs="Arial"/>
          <w:sz w:val="24"/>
          <w:szCs w:val="24"/>
        </w:rPr>
        <w:t>Heys</w:t>
      </w:r>
      <w:proofErr w:type="spellEnd"/>
      <w:r w:rsidRPr="00E968C7">
        <w:rPr>
          <w:rFonts w:ascii="Arial" w:hAnsi="Arial" w:cs="Arial"/>
          <w:sz w:val="24"/>
          <w:szCs w:val="24"/>
        </w:rPr>
        <w:t xml:space="preserve">, A (2023) ‘The UK’s Statutory Defence for Victims of Modern Slavery and its Narrow Understanding of Victimhood’, </w:t>
      </w:r>
      <w:r w:rsidRPr="00E968C7">
        <w:rPr>
          <w:rFonts w:ascii="Arial" w:hAnsi="Arial" w:cs="Arial"/>
          <w:i/>
          <w:iCs/>
          <w:sz w:val="24"/>
          <w:szCs w:val="24"/>
        </w:rPr>
        <w:t xml:space="preserve">The Journal of Criminal Law, </w:t>
      </w:r>
      <w:r w:rsidRPr="00E968C7">
        <w:rPr>
          <w:rFonts w:ascii="Arial" w:hAnsi="Arial" w:cs="Arial"/>
          <w:sz w:val="24"/>
          <w:szCs w:val="24"/>
        </w:rPr>
        <w:t xml:space="preserve">87(4), pp. 237-251. Accessed: 19th December 2023. DOI: </w:t>
      </w:r>
      <w:r w:rsidRPr="00E968C7">
        <w:rPr>
          <w:rFonts w:ascii="Arial" w:hAnsi="Arial" w:cs="Arial"/>
          <w:sz w:val="24"/>
          <w:szCs w:val="24"/>
          <w:shd w:val="clear" w:color="auto" w:fill="FFFFFF"/>
        </w:rPr>
        <w:t xml:space="preserve">10.1177/00220183231179181. </w:t>
      </w:r>
    </w:p>
    <w:p w14:paraId="28D8A08C" w14:textId="77777777" w:rsidR="0076421B" w:rsidRPr="00E968C7" w:rsidRDefault="0076421B" w:rsidP="0076421B">
      <w:pPr>
        <w:rPr>
          <w:rFonts w:ascii="Arial" w:hAnsi="Arial" w:cs="Arial"/>
          <w:sz w:val="24"/>
          <w:szCs w:val="24"/>
        </w:rPr>
      </w:pPr>
    </w:p>
    <w:p w14:paraId="1993F620" w14:textId="77777777" w:rsidR="0076421B" w:rsidRPr="00E968C7" w:rsidRDefault="0076421B" w:rsidP="0076421B">
      <w:pPr>
        <w:rPr>
          <w:rFonts w:ascii="Arial" w:hAnsi="Arial" w:cs="Arial"/>
          <w:i/>
          <w:iCs/>
          <w:sz w:val="24"/>
          <w:szCs w:val="24"/>
        </w:rPr>
      </w:pPr>
      <w:r w:rsidRPr="00E968C7">
        <w:rPr>
          <w:rFonts w:ascii="Arial" w:hAnsi="Arial" w:cs="Arial"/>
          <w:sz w:val="24"/>
          <w:szCs w:val="24"/>
        </w:rPr>
        <w:t xml:space="preserve">Hill, E.S. and Davies, G.M. (2012) ‘Has the Quality of Investigative Interviews with Children Improved with Changes in Guidance? An Exploratory Study’, </w:t>
      </w:r>
      <w:r w:rsidRPr="00E968C7">
        <w:rPr>
          <w:rFonts w:ascii="Arial" w:hAnsi="Arial" w:cs="Arial"/>
          <w:i/>
          <w:iCs/>
          <w:sz w:val="24"/>
          <w:szCs w:val="24"/>
        </w:rPr>
        <w:t>Policing: A Journal of Policy and Practice</w:t>
      </w:r>
      <w:r w:rsidRPr="00E968C7">
        <w:rPr>
          <w:rFonts w:ascii="Arial" w:hAnsi="Arial" w:cs="Arial"/>
          <w:sz w:val="24"/>
          <w:szCs w:val="24"/>
        </w:rPr>
        <w:t xml:space="preserve">, 7(1), pp. 63-71. Accessed: 28th November 2023. DOI: </w:t>
      </w:r>
      <w:r w:rsidRPr="00E968C7">
        <w:rPr>
          <w:rFonts w:ascii="Arial" w:hAnsi="Arial" w:cs="Arial"/>
          <w:sz w:val="24"/>
          <w:szCs w:val="24"/>
          <w:shd w:val="clear" w:color="auto" w:fill="FFFFFF"/>
        </w:rPr>
        <w:t xml:space="preserve">10.1093/police/pas046. </w:t>
      </w:r>
    </w:p>
    <w:p w14:paraId="5C55E63E" w14:textId="77777777" w:rsidR="0076421B" w:rsidRPr="00E968C7" w:rsidRDefault="0076421B" w:rsidP="0076421B">
      <w:pPr>
        <w:rPr>
          <w:rFonts w:ascii="Arial" w:hAnsi="Arial" w:cs="Arial"/>
          <w:sz w:val="24"/>
          <w:szCs w:val="24"/>
          <w:shd w:val="clear" w:color="auto" w:fill="FFFFFF"/>
        </w:rPr>
      </w:pPr>
    </w:p>
    <w:p w14:paraId="666EB056" w14:textId="77777777" w:rsidR="0076421B" w:rsidRPr="00E968C7" w:rsidRDefault="0076421B" w:rsidP="0076421B">
      <w:pPr>
        <w:rPr>
          <w:rFonts w:ascii="Arial" w:hAnsi="Arial" w:cs="Arial"/>
          <w:sz w:val="24"/>
          <w:szCs w:val="24"/>
        </w:rPr>
      </w:pPr>
      <w:r w:rsidRPr="00E968C7">
        <w:rPr>
          <w:rFonts w:ascii="Arial" w:hAnsi="Arial" w:cs="Arial"/>
          <w:sz w:val="24"/>
          <w:szCs w:val="24"/>
          <w:shd w:val="clear" w:color="auto" w:fill="FFFFFF"/>
        </w:rPr>
        <w:t xml:space="preserve">HMICFRS (2019) </w:t>
      </w:r>
      <w:r w:rsidRPr="00E968C7">
        <w:rPr>
          <w:rFonts w:ascii="Arial" w:hAnsi="Arial" w:cs="Arial"/>
          <w:i/>
          <w:iCs/>
          <w:sz w:val="24"/>
          <w:szCs w:val="24"/>
          <w:shd w:val="clear" w:color="auto" w:fill="FFFFFF"/>
        </w:rPr>
        <w:t xml:space="preserve">County lines inspection.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https://hmicfrs.justiceinspectorates.gov.uk/our-work/article/county-lines-inspection/ (Accessed: 17th December 2023). </w:t>
      </w:r>
    </w:p>
    <w:p w14:paraId="3F6FCEF3" w14:textId="77777777" w:rsidR="0076421B" w:rsidRPr="00E968C7" w:rsidRDefault="0076421B" w:rsidP="0076421B">
      <w:pPr>
        <w:rPr>
          <w:rFonts w:ascii="Arial" w:hAnsi="Arial" w:cs="Arial"/>
          <w:sz w:val="24"/>
          <w:szCs w:val="24"/>
        </w:rPr>
      </w:pPr>
    </w:p>
    <w:p w14:paraId="3F6315D9"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Home Office (2004) </w:t>
      </w:r>
      <w:r w:rsidRPr="00E968C7">
        <w:rPr>
          <w:rFonts w:ascii="Arial" w:hAnsi="Arial" w:cs="Arial"/>
          <w:i/>
          <w:iCs/>
          <w:sz w:val="24"/>
          <w:szCs w:val="24"/>
        </w:rPr>
        <w:t xml:space="preserve">Defining and measuring anti-social behaviour. </w:t>
      </w:r>
      <w:r w:rsidRPr="00E968C7">
        <w:rPr>
          <w:rFonts w:ascii="Arial" w:hAnsi="Arial" w:cs="Arial"/>
          <w:sz w:val="24"/>
          <w:szCs w:val="24"/>
        </w:rPr>
        <w:t xml:space="preserve">Available at: https://assets.publishing.service.gov.uk/government/uploads/system/uploads/attachment_data/file/116655/dpr26.pdf (Accessed: 27th November 2023).  </w:t>
      </w:r>
    </w:p>
    <w:p w14:paraId="5749E9F1" w14:textId="77777777" w:rsidR="0076421B" w:rsidRPr="00E968C7" w:rsidRDefault="0076421B" w:rsidP="0076421B">
      <w:pPr>
        <w:rPr>
          <w:rFonts w:ascii="Arial" w:hAnsi="Arial" w:cs="Arial"/>
          <w:sz w:val="24"/>
          <w:szCs w:val="24"/>
        </w:rPr>
      </w:pPr>
    </w:p>
    <w:p w14:paraId="49A0A0A9"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Home Office (2019) </w:t>
      </w:r>
      <w:r w:rsidRPr="00E968C7">
        <w:rPr>
          <w:rFonts w:ascii="Arial" w:hAnsi="Arial" w:cs="Arial"/>
          <w:i/>
          <w:iCs/>
          <w:sz w:val="24"/>
          <w:szCs w:val="24"/>
        </w:rPr>
        <w:t xml:space="preserve">Anti-social Behaviour, Crime and Policing Act 2014: Anti-social behaviour powers – Statutory guidance for frontline professionals. </w:t>
      </w:r>
      <w:r w:rsidRPr="00E968C7">
        <w:rPr>
          <w:rFonts w:ascii="Arial" w:hAnsi="Arial" w:cs="Arial"/>
          <w:sz w:val="24"/>
          <w:szCs w:val="24"/>
        </w:rPr>
        <w:t xml:space="preserve">Available at: https://asbhelp.co.uk/wp-content/uploads/2021/01/2019-08-05_ASB_Revised_Statutory_Guidance_V2.2.pdf (Accessed: 20th December 2023). </w:t>
      </w:r>
    </w:p>
    <w:p w14:paraId="324052A1" w14:textId="77777777" w:rsidR="0076421B" w:rsidRPr="00E968C7" w:rsidRDefault="0076421B" w:rsidP="0076421B">
      <w:pPr>
        <w:rPr>
          <w:rFonts w:ascii="Arial" w:hAnsi="Arial" w:cs="Arial"/>
          <w:sz w:val="24"/>
          <w:szCs w:val="24"/>
        </w:rPr>
      </w:pPr>
    </w:p>
    <w:p w14:paraId="68AEBF28"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Home Office (2020) </w:t>
      </w:r>
      <w:r w:rsidRPr="00E968C7">
        <w:rPr>
          <w:rFonts w:ascii="Arial" w:hAnsi="Arial" w:cs="Arial"/>
          <w:i/>
          <w:iCs/>
          <w:sz w:val="24"/>
          <w:szCs w:val="24"/>
        </w:rPr>
        <w:t xml:space="preserve">Conduct, Efficiency and Effectiveness: Statutory Guidance on Professional Standards, </w:t>
      </w:r>
      <w:proofErr w:type="gramStart"/>
      <w:r w:rsidRPr="00E968C7">
        <w:rPr>
          <w:rFonts w:ascii="Arial" w:hAnsi="Arial" w:cs="Arial"/>
          <w:i/>
          <w:iCs/>
          <w:sz w:val="24"/>
          <w:szCs w:val="24"/>
        </w:rPr>
        <w:t>Performance</w:t>
      </w:r>
      <w:proofErr w:type="gramEnd"/>
      <w:r w:rsidRPr="00E968C7">
        <w:rPr>
          <w:rFonts w:ascii="Arial" w:hAnsi="Arial" w:cs="Arial"/>
          <w:i/>
          <w:iCs/>
          <w:sz w:val="24"/>
          <w:szCs w:val="24"/>
        </w:rPr>
        <w:t xml:space="preserve"> and Integrity in Policing. </w:t>
      </w:r>
      <w:r w:rsidRPr="00E968C7">
        <w:rPr>
          <w:rFonts w:ascii="Arial" w:hAnsi="Arial" w:cs="Arial"/>
          <w:sz w:val="24"/>
          <w:szCs w:val="24"/>
        </w:rPr>
        <w:t xml:space="preserve">Available at: https://assets.publishing.service.gov.uk/government/uploads/system/uploads/attachment_data/file/863820/Home_Office_Statutory_Guidance_0502.pdf (Accessed: 26th November 2023). </w:t>
      </w:r>
    </w:p>
    <w:p w14:paraId="12E8451D" w14:textId="77777777" w:rsidR="0076421B" w:rsidRPr="00E968C7" w:rsidRDefault="0076421B" w:rsidP="0076421B">
      <w:pPr>
        <w:rPr>
          <w:rFonts w:ascii="Arial" w:hAnsi="Arial" w:cs="Arial"/>
          <w:sz w:val="24"/>
          <w:szCs w:val="24"/>
        </w:rPr>
      </w:pPr>
    </w:p>
    <w:p w14:paraId="73B02C5E"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Home Office (2023) </w:t>
      </w:r>
      <w:r w:rsidRPr="00E968C7">
        <w:rPr>
          <w:rFonts w:ascii="Arial" w:hAnsi="Arial" w:cs="Arial"/>
          <w:i/>
          <w:iCs/>
          <w:sz w:val="24"/>
          <w:szCs w:val="24"/>
        </w:rPr>
        <w:t>Police misconduct, England and Wales year ending 31 March 2022</w:t>
      </w:r>
      <w:r w:rsidRPr="00E968C7">
        <w:rPr>
          <w:rFonts w:ascii="Arial" w:hAnsi="Arial" w:cs="Arial"/>
          <w:sz w:val="24"/>
          <w:szCs w:val="24"/>
        </w:rPr>
        <w:t xml:space="preserve">. Available at: https://www.gov.uk/government/statistics/police-misconduct-england-and-wales-year-ending-31-march-2022/police-misconduct-england-and-wales-year-ending-31-march-2022 (Accessed: 26th November 2023). </w:t>
      </w:r>
    </w:p>
    <w:p w14:paraId="48A31340" w14:textId="77777777" w:rsidR="0076421B" w:rsidRPr="00E968C7" w:rsidRDefault="0076421B" w:rsidP="0076421B">
      <w:pPr>
        <w:rPr>
          <w:rFonts w:ascii="Arial" w:hAnsi="Arial" w:cs="Arial"/>
          <w:sz w:val="24"/>
          <w:szCs w:val="24"/>
        </w:rPr>
      </w:pPr>
    </w:p>
    <w:p w14:paraId="332656E4"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House of Commons (2009) </w:t>
      </w:r>
      <w:r w:rsidRPr="00E968C7">
        <w:rPr>
          <w:rFonts w:ascii="Arial" w:hAnsi="Arial" w:cs="Arial"/>
          <w:i/>
          <w:iCs/>
          <w:sz w:val="24"/>
          <w:szCs w:val="24"/>
        </w:rPr>
        <w:t xml:space="preserve">The trade in human beings: human trafficking in the UK. </w:t>
      </w:r>
      <w:r w:rsidRPr="00E968C7">
        <w:rPr>
          <w:rFonts w:ascii="Arial" w:hAnsi="Arial" w:cs="Arial"/>
          <w:sz w:val="24"/>
          <w:szCs w:val="24"/>
        </w:rPr>
        <w:t xml:space="preserve">London: The Stationary Office. </w:t>
      </w:r>
    </w:p>
    <w:p w14:paraId="60E03E18" w14:textId="77777777" w:rsidR="0076421B" w:rsidRPr="00E968C7" w:rsidRDefault="0076421B" w:rsidP="0076421B">
      <w:pPr>
        <w:rPr>
          <w:rFonts w:ascii="Arial" w:hAnsi="Arial" w:cs="Arial"/>
          <w:sz w:val="24"/>
          <w:szCs w:val="24"/>
        </w:rPr>
      </w:pPr>
    </w:p>
    <w:p w14:paraId="15BB13AF"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Howes, L.M. (2020) ‘Interpreted investigative interviews under the PEACE interview model: police interviewers’ perceptions of challenges and suggested solutions’, </w:t>
      </w:r>
      <w:r w:rsidRPr="00E968C7">
        <w:rPr>
          <w:rFonts w:ascii="Arial" w:hAnsi="Arial" w:cs="Arial"/>
          <w:i/>
          <w:iCs/>
          <w:sz w:val="24"/>
          <w:szCs w:val="24"/>
        </w:rPr>
        <w:t xml:space="preserve">Police Practice and Research, </w:t>
      </w:r>
      <w:r w:rsidRPr="00E968C7">
        <w:rPr>
          <w:rFonts w:ascii="Arial" w:hAnsi="Arial" w:cs="Arial"/>
          <w:sz w:val="24"/>
          <w:szCs w:val="24"/>
        </w:rPr>
        <w:t xml:space="preserve">21(4), pp. 333-350. Accessed: 28th November 2023. DOI: </w:t>
      </w:r>
      <w:r w:rsidRPr="00E968C7">
        <w:rPr>
          <w:rFonts w:ascii="Arial" w:hAnsi="Arial" w:cs="Arial"/>
          <w:sz w:val="24"/>
          <w:szCs w:val="24"/>
          <w:shd w:val="clear" w:color="auto" w:fill="FFFFFF"/>
        </w:rPr>
        <w:t xml:space="preserve">10.1080/15614263.2019.1617145. </w:t>
      </w:r>
    </w:p>
    <w:p w14:paraId="44EEE8CE" w14:textId="77777777" w:rsidR="0076421B" w:rsidRPr="00E968C7" w:rsidRDefault="0076421B" w:rsidP="0076421B">
      <w:pPr>
        <w:rPr>
          <w:rFonts w:ascii="Arial" w:hAnsi="Arial" w:cs="Arial"/>
          <w:sz w:val="24"/>
          <w:szCs w:val="24"/>
        </w:rPr>
      </w:pPr>
    </w:p>
    <w:p w14:paraId="1C660493"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Independent Office for Police Conduct (2023) </w:t>
      </w:r>
      <w:r w:rsidRPr="00E968C7">
        <w:rPr>
          <w:rFonts w:ascii="Arial" w:hAnsi="Arial" w:cs="Arial"/>
          <w:i/>
          <w:iCs/>
          <w:sz w:val="24"/>
          <w:szCs w:val="24"/>
        </w:rPr>
        <w:t xml:space="preserve">About us. </w:t>
      </w:r>
      <w:r w:rsidRPr="00E968C7">
        <w:rPr>
          <w:rFonts w:ascii="Arial" w:hAnsi="Arial" w:cs="Arial"/>
          <w:sz w:val="24"/>
          <w:szCs w:val="24"/>
        </w:rPr>
        <w:t xml:space="preserve">Available at: https://www.policeconduct.gov.uk/about-us (Accessed: 8th November 2023). </w:t>
      </w:r>
    </w:p>
    <w:p w14:paraId="68EB7747" w14:textId="77777777" w:rsidR="0076421B" w:rsidRPr="00E968C7" w:rsidRDefault="0076421B" w:rsidP="0076421B">
      <w:pPr>
        <w:rPr>
          <w:rFonts w:ascii="Arial" w:hAnsi="Arial" w:cs="Arial"/>
          <w:sz w:val="24"/>
          <w:szCs w:val="24"/>
        </w:rPr>
      </w:pPr>
    </w:p>
    <w:p w14:paraId="74AB5A55" w14:textId="7103C109" w:rsidR="0076421B" w:rsidRPr="00E968C7" w:rsidRDefault="0076421B" w:rsidP="0076421B">
      <w:pPr>
        <w:rPr>
          <w:rFonts w:ascii="Arial" w:hAnsi="Arial" w:cs="Arial"/>
          <w:sz w:val="24"/>
          <w:szCs w:val="24"/>
        </w:rPr>
      </w:pPr>
      <w:r w:rsidRPr="00E968C7">
        <w:rPr>
          <w:rFonts w:ascii="Arial" w:hAnsi="Arial" w:cs="Arial"/>
          <w:sz w:val="24"/>
          <w:szCs w:val="24"/>
        </w:rPr>
        <w:t xml:space="preserve">Independent Office for Police Conduct (2023) </w:t>
      </w:r>
      <w:r w:rsidRPr="00E968C7">
        <w:rPr>
          <w:rFonts w:ascii="Arial" w:hAnsi="Arial" w:cs="Arial"/>
          <w:i/>
          <w:iCs/>
          <w:sz w:val="24"/>
          <w:szCs w:val="24"/>
        </w:rPr>
        <w:t xml:space="preserve">Police complaints statistics data table – 2022/23. </w:t>
      </w:r>
      <w:r w:rsidRPr="00E968C7">
        <w:rPr>
          <w:rFonts w:ascii="Arial" w:hAnsi="Arial" w:cs="Arial"/>
          <w:sz w:val="24"/>
          <w:szCs w:val="24"/>
        </w:rPr>
        <w:t xml:space="preserve">Available at: https://www.policeconduct.gov.uk/publications/police-complaints-statistics-data-tables-202223 (Accessed: 4th May 2024). </w:t>
      </w:r>
    </w:p>
    <w:p w14:paraId="055B8094" w14:textId="77777777" w:rsidR="000D267E" w:rsidRPr="00E968C7" w:rsidRDefault="000D267E" w:rsidP="0076421B">
      <w:pPr>
        <w:rPr>
          <w:rFonts w:ascii="Arial" w:hAnsi="Arial" w:cs="Arial"/>
          <w:sz w:val="24"/>
          <w:szCs w:val="24"/>
        </w:rPr>
      </w:pPr>
    </w:p>
    <w:p w14:paraId="6477109A" w14:textId="759B6504" w:rsidR="000D267E" w:rsidRPr="00E968C7" w:rsidRDefault="000D267E" w:rsidP="0076421B">
      <w:pPr>
        <w:rPr>
          <w:rFonts w:ascii="Arial" w:hAnsi="Arial" w:cs="Arial"/>
          <w:sz w:val="24"/>
          <w:szCs w:val="24"/>
        </w:rPr>
      </w:pPr>
      <w:r w:rsidRPr="00E968C7">
        <w:rPr>
          <w:rFonts w:ascii="Arial" w:hAnsi="Arial" w:cs="Arial"/>
          <w:sz w:val="24"/>
          <w:szCs w:val="24"/>
        </w:rPr>
        <w:t xml:space="preserve">Levy, L. et al. (2014) </w:t>
      </w:r>
      <w:r w:rsidR="003E6217" w:rsidRPr="00E968C7">
        <w:rPr>
          <w:rFonts w:ascii="Arial" w:hAnsi="Arial" w:cs="Arial"/>
          <w:i/>
          <w:iCs/>
          <w:sz w:val="24"/>
          <w:szCs w:val="24"/>
        </w:rPr>
        <w:t xml:space="preserve">What Works to Reduce </w:t>
      </w:r>
      <w:proofErr w:type="gramStart"/>
      <w:r w:rsidR="003E6217" w:rsidRPr="00E968C7">
        <w:rPr>
          <w:rFonts w:ascii="Arial" w:hAnsi="Arial" w:cs="Arial"/>
          <w:i/>
          <w:iCs/>
          <w:sz w:val="24"/>
          <w:szCs w:val="24"/>
        </w:rPr>
        <w:t>Crime?:</w:t>
      </w:r>
      <w:proofErr w:type="gramEnd"/>
      <w:r w:rsidR="003E6217" w:rsidRPr="00E968C7">
        <w:rPr>
          <w:rFonts w:ascii="Arial" w:hAnsi="Arial" w:cs="Arial"/>
          <w:i/>
          <w:iCs/>
          <w:sz w:val="24"/>
          <w:szCs w:val="24"/>
        </w:rPr>
        <w:t xml:space="preserve"> A Summary of the Evidence. </w:t>
      </w:r>
      <w:r w:rsidR="003E6217" w:rsidRPr="00E968C7">
        <w:rPr>
          <w:rFonts w:ascii="Arial" w:hAnsi="Arial" w:cs="Arial"/>
          <w:sz w:val="24"/>
          <w:szCs w:val="24"/>
        </w:rPr>
        <w:t xml:space="preserve">Available at: https://www.shortcutstv.com/wp-content/uploads/2022/01/what-works.pdf (Accessed: 4th May 2024). </w:t>
      </w:r>
    </w:p>
    <w:p w14:paraId="10CA37CC" w14:textId="77777777" w:rsidR="0076421B" w:rsidRPr="00E968C7" w:rsidRDefault="0076421B" w:rsidP="0076421B">
      <w:pPr>
        <w:rPr>
          <w:rFonts w:ascii="Arial" w:hAnsi="Arial" w:cs="Arial"/>
          <w:sz w:val="24"/>
          <w:szCs w:val="24"/>
        </w:rPr>
      </w:pPr>
    </w:p>
    <w:p w14:paraId="38CB5005"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Ministry of Justice (2013) </w:t>
      </w:r>
      <w:r w:rsidRPr="00E968C7">
        <w:rPr>
          <w:rFonts w:ascii="Arial" w:hAnsi="Arial" w:cs="Arial"/>
          <w:i/>
          <w:iCs/>
          <w:sz w:val="24"/>
          <w:szCs w:val="24"/>
        </w:rPr>
        <w:t xml:space="preserve">The factors associated with proven re-offending following release from prison: findings from Waves 1 to 3 of SPCR. </w:t>
      </w:r>
      <w:r w:rsidRPr="00E968C7">
        <w:rPr>
          <w:rFonts w:ascii="Arial" w:hAnsi="Arial" w:cs="Arial"/>
          <w:sz w:val="24"/>
          <w:szCs w:val="24"/>
        </w:rPr>
        <w:t xml:space="preserve">Available at: https://assets.publishing.service.gov.uk/media/5a818d27e5274a2e8ab5498e/re-offending-release-waves-1-3-spcr-findings.pdf. (Accessed: 20th December 2023). </w:t>
      </w:r>
    </w:p>
    <w:p w14:paraId="6AC9B185" w14:textId="77777777" w:rsidR="0076421B" w:rsidRPr="00E968C7" w:rsidRDefault="0076421B" w:rsidP="0076421B">
      <w:pPr>
        <w:rPr>
          <w:rFonts w:ascii="Arial" w:hAnsi="Arial" w:cs="Arial"/>
          <w:sz w:val="24"/>
          <w:szCs w:val="24"/>
        </w:rPr>
      </w:pPr>
    </w:p>
    <w:p w14:paraId="56AC361F"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Ministry of Justice (2022) </w:t>
      </w:r>
      <w:r w:rsidRPr="00E968C7">
        <w:rPr>
          <w:rFonts w:ascii="Arial" w:hAnsi="Arial" w:cs="Arial"/>
          <w:i/>
          <w:iCs/>
          <w:sz w:val="24"/>
          <w:szCs w:val="24"/>
        </w:rPr>
        <w:t xml:space="preserve">Achieving Best Evidence in Criminal Proceedings: Guidance on Interviewing Victims and Witnesses, and Guidance on Using Special Measures. </w:t>
      </w:r>
      <w:r w:rsidRPr="00E968C7">
        <w:rPr>
          <w:rFonts w:ascii="Arial" w:hAnsi="Arial" w:cs="Arial"/>
          <w:sz w:val="24"/>
          <w:szCs w:val="24"/>
        </w:rPr>
        <w:t xml:space="preserve">Available at: https://assets.publishing.service.gov.uk/government/uploads/system/uploads/attachment_data/file/1164429/achieving-best-evidence-criminal-proceedings-2023.pdf (Accessed: 28th November 2023). </w:t>
      </w:r>
    </w:p>
    <w:p w14:paraId="27A53860" w14:textId="77777777" w:rsidR="0076421B" w:rsidRPr="00E968C7" w:rsidRDefault="0076421B" w:rsidP="0076421B">
      <w:pPr>
        <w:rPr>
          <w:rFonts w:ascii="Arial" w:hAnsi="Arial" w:cs="Arial"/>
          <w:sz w:val="24"/>
          <w:szCs w:val="24"/>
        </w:rPr>
      </w:pPr>
    </w:p>
    <w:p w14:paraId="0870910C"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Modern Slavery Act 2015, s 2. Available at: https://www.legislation.gov.uk/ukpga/2015/30/section/2 (Accessed: 18th December 2023). </w:t>
      </w:r>
    </w:p>
    <w:p w14:paraId="6179287D" w14:textId="77777777" w:rsidR="0076421B" w:rsidRPr="00E968C7" w:rsidRDefault="0076421B" w:rsidP="0076421B">
      <w:pPr>
        <w:rPr>
          <w:rFonts w:ascii="Arial" w:hAnsi="Arial" w:cs="Arial"/>
          <w:sz w:val="24"/>
          <w:szCs w:val="24"/>
        </w:rPr>
      </w:pPr>
    </w:p>
    <w:p w14:paraId="001326EB"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Modern Slavery Act 2015, Schedule 4. Available at: https://www.legislation.gov.uk/ukpga/2015/30/schedule/4 (Accessed: 19th December 2023). </w:t>
      </w:r>
    </w:p>
    <w:p w14:paraId="79C8C13C" w14:textId="77777777" w:rsidR="0076421B" w:rsidRPr="00E968C7" w:rsidRDefault="0076421B" w:rsidP="0076421B">
      <w:pPr>
        <w:rPr>
          <w:rFonts w:ascii="Arial" w:hAnsi="Arial" w:cs="Arial"/>
          <w:sz w:val="24"/>
          <w:szCs w:val="24"/>
        </w:rPr>
      </w:pPr>
    </w:p>
    <w:p w14:paraId="25AA2006"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Nagin, D. S., Cullen, F. </w:t>
      </w:r>
      <w:proofErr w:type="gramStart"/>
      <w:r w:rsidRPr="00E968C7">
        <w:rPr>
          <w:rFonts w:ascii="Arial" w:hAnsi="Arial" w:cs="Arial"/>
          <w:sz w:val="24"/>
          <w:szCs w:val="24"/>
        </w:rPr>
        <w:t>T.</w:t>
      </w:r>
      <w:proofErr w:type="gramEnd"/>
      <w:r w:rsidRPr="00E968C7">
        <w:rPr>
          <w:rFonts w:ascii="Arial" w:hAnsi="Arial" w:cs="Arial"/>
          <w:sz w:val="24"/>
          <w:szCs w:val="24"/>
        </w:rPr>
        <w:t xml:space="preserve"> and Jonson C. L. (2009) ‘Imprisonment and Reoffending’, </w:t>
      </w:r>
      <w:r w:rsidRPr="00E968C7">
        <w:rPr>
          <w:rFonts w:ascii="Arial" w:hAnsi="Arial" w:cs="Arial"/>
          <w:i/>
          <w:iCs/>
          <w:sz w:val="24"/>
          <w:szCs w:val="24"/>
        </w:rPr>
        <w:t xml:space="preserve">Crime and Justice, </w:t>
      </w:r>
      <w:r w:rsidRPr="00E968C7">
        <w:rPr>
          <w:rFonts w:ascii="Arial" w:hAnsi="Arial" w:cs="Arial"/>
          <w:sz w:val="24"/>
          <w:szCs w:val="24"/>
        </w:rPr>
        <w:t xml:space="preserve">38(1), pp. 115-200. Accessed: 20th December 2023. DOI: </w:t>
      </w:r>
      <w:r w:rsidRPr="00E968C7">
        <w:rPr>
          <w:rFonts w:ascii="Arial" w:hAnsi="Arial" w:cs="Arial"/>
          <w:sz w:val="24"/>
          <w:szCs w:val="24"/>
          <w:shd w:val="clear" w:color="auto" w:fill="FFFFFF"/>
        </w:rPr>
        <w:t xml:space="preserve">10.1086/599202. </w:t>
      </w:r>
    </w:p>
    <w:p w14:paraId="0A9B45CC" w14:textId="77777777" w:rsidR="0076421B" w:rsidRPr="00E968C7" w:rsidRDefault="0076421B" w:rsidP="0076421B">
      <w:pPr>
        <w:rPr>
          <w:rFonts w:ascii="Arial" w:hAnsi="Arial" w:cs="Arial"/>
          <w:sz w:val="24"/>
          <w:szCs w:val="24"/>
        </w:rPr>
      </w:pPr>
    </w:p>
    <w:p w14:paraId="01D15EC2"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Nunes, L. M. and Sani, A. I. (2013) ‘Victimization of the Drug Addict’, </w:t>
      </w:r>
      <w:r w:rsidRPr="00E968C7">
        <w:rPr>
          <w:rFonts w:ascii="Arial" w:hAnsi="Arial" w:cs="Arial"/>
          <w:i/>
          <w:iCs/>
          <w:sz w:val="24"/>
          <w:szCs w:val="24"/>
        </w:rPr>
        <w:t xml:space="preserve">Journal of Modern Education Review, </w:t>
      </w:r>
      <w:r w:rsidRPr="00E968C7">
        <w:rPr>
          <w:rFonts w:ascii="Arial" w:hAnsi="Arial" w:cs="Arial"/>
          <w:sz w:val="24"/>
          <w:szCs w:val="24"/>
        </w:rPr>
        <w:t xml:space="preserve">3(9), pp. 677-684. Accessed: 19th December 2023. </w:t>
      </w:r>
    </w:p>
    <w:p w14:paraId="582CDC11" w14:textId="77777777" w:rsidR="0076421B" w:rsidRPr="00E968C7" w:rsidRDefault="0076421B" w:rsidP="0076421B">
      <w:pPr>
        <w:rPr>
          <w:rFonts w:ascii="Arial" w:hAnsi="Arial" w:cs="Arial"/>
          <w:sz w:val="24"/>
          <w:szCs w:val="24"/>
        </w:rPr>
      </w:pPr>
    </w:p>
    <w:p w14:paraId="4C035CBB" w14:textId="77777777" w:rsidR="0076421B" w:rsidRPr="00E968C7" w:rsidRDefault="0076421B" w:rsidP="0076421B">
      <w:pPr>
        <w:rPr>
          <w:rFonts w:ascii="Arial" w:hAnsi="Arial" w:cs="Arial"/>
          <w:sz w:val="24"/>
          <w:szCs w:val="24"/>
        </w:rPr>
      </w:pPr>
      <w:r w:rsidRPr="00E968C7">
        <w:rPr>
          <w:rFonts w:ascii="Arial" w:hAnsi="Arial" w:cs="Arial"/>
          <w:sz w:val="24"/>
          <w:szCs w:val="24"/>
        </w:rPr>
        <w:lastRenderedPageBreak/>
        <w:t xml:space="preserve">Police and Crime Act 2009, s 34(5). Available at: https://www.legislation.gov.uk/ukpga/2009/26/section/34 (Accessed: 26th November 2023). </w:t>
      </w:r>
    </w:p>
    <w:p w14:paraId="380959A3" w14:textId="77777777" w:rsidR="0076421B" w:rsidRPr="00E968C7" w:rsidRDefault="0076421B" w:rsidP="0076421B">
      <w:pPr>
        <w:rPr>
          <w:rFonts w:ascii="Arial" w:hAnsi="Arial" w:cs="Arial"/>
          <w:sz w:val="24"/>
          <w:szCs w:val="24"/>
        </w:rPr>
      </w:pPr>
    </w:p>
    <w:p w14:paraId="59C084AD" w14:textId="77777777" w:rsidR="0076421B" w:rsidRPr="00E968C7" w:rsidRDefault="0076421B" w:rsidP="0076421B">
      <w:pPr>
        <w:rPr>
          <w:rFonts w:ascii="Arial" w:hAnsi="Arial" w:cs="Arial"/>
          <w:sz w:val="24"/>
          <w:szCs w:val="24"/>
          <w:shd w:val="clear" w:color="auto" w:fill="FFFFFF"/>
        </w:rPr>
      </w:pPr>
      <w:proofErr w:type="spellStart"/>
      <w:r w:rsidRPr="00E968C7">
        <w:rPr>
          <w:rFonts w:ascii="Arial" w:hAnsi="Arial" w:cs="Arial"/>
          <w:sz w:val="24"/>
          <w:szCs w:val="24"/>
        </w:rPr>
        <w:t>Risan</w:t>
      </w:r>
      <w:proofErr w:type="spellEnd"/>
      <w:r w:rsidRPr="00E968C7">
        <w:rPr>
          <w:rFonts w:ascii="Arial" w:hAnsi="Arial" w:cs="Arial"/>
          <w:sz w:val="24"/>
          <w:szCs w:val="24"/>
        </w:rPr>
        <w:t xml:space="preserve">, P., Binder, P. and Milne, R. J. (2018) ‘Establishing and Maintaining Rapport in Investigative Interviews of Traumatized Victims: A Qualitative Study’, </w:t>
      </w:r>
      <w:r w:rsidRPr="00E968C7">
        <w:rPr>
          <w:rFonts w:ascii="Arial" w:hAnsi="Arial" w:cs="Arial"/>
          <w:i/>
          <w:iCs/>
          <w:sz w:val="24"/>
          <w:szCs w:val="24"/>
        </w:rPr>
        <w:t xml:space="preserve">Policing: A Journal of Policy and Practice, </w:t>
      </w:r>
      <w:r w:rsidRPr="00E968C7">
        <w:rPr>
          <w:rFonts w:ascii="Arial" w:hAnsi="Arial" w:cs="Arial"/>
          <w:sz w:val="24"/>
          <w:szCs w:val="24"/>
        </w:rPr>
        <w:t xml:space="preserve">12(4), pp. 372-387. Accessed: 17th December 2023. DOI: </w:t>
      </w:r>
      <w:r w:rsidRPr="00E968C7">
        <w:rPr>
          <w:rFonts w:ascii="Arial" w:hAnsi="Arial" w:cs="Arial"/>
          <w:sz w:val="24"/>
          <w:szCs w:val="24"/>
          <w:shd w:val="clear" w:color="auto" w:fill="FFFFFF"/>
        </w:rPr>
        <w:t xml:space="preserve">10.1093/police/pax031. </w:t>
      </w:r>
    </w:p>
    <w:p w14:paraId="49AEBF1B" w14:textId="77777777" w:rsidR="0076421B" w:rsidRPr="00E968C7" w:rsidRDefault="0076421B" w:rsidP="0076421B">
      <w:pPr>
        <w:rPr>
          <w:rFonts w:ascii="Arial" w:hAnsi="Arial" w:cs="Arial"/>
          <w:sz w:val="24"/>
          <w:szCs w:val="24"/>
          <w:shd w:val="clear" w:color="auto" w:fill="FFFFFF"/>
        </w:rPr>
      </w:pPr>
    </w:p>
    <w:p w14:paraId="4FE65BFA"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Rowe, M. et al. (2022) ‘Streamlining out-of-court disposals: Assessing the impact on reoffending and police practice’, </w:t>
      </w:r>
      <w:r w:rsidRPr="00E968C7">
        <w:rPr>
          <w:rFonts w:ascii="Arial" w:hAnsi="Arial" w:cs="Arial"/>
          <w:i/>
          <w:iCs/>
          <w:sz w:val="24"/>
          <w:szCs w:val="24"/>
          <w:shd w:val="clear" w:color="auto" w:fill="FFFFFF"/>
        </w:rPr>
        <w:t xml:space="preserve">Criminology &amp; Criminal Justice. </w:t>
      </w:r>
      <w:r w:rsidRPr="00E968C7">
        <w:rPr>
          <w:rFonts w:ascii="Arial" w:hAnsi="Arial" w:cs="Arial"/>
          <w:sz w:val="24"/>
          <w:szCs w:val="24"/>
          <w:shd w:val="clear" w:color="auto" w:fill="FFFFFF"/>
        </w:rPr>
        <w:t xml:space="preserve">Accessed: 20th December 2023. DOI:  10.1177/17488958221087492.  </w:t>
      </w:r>
    </w:p>
    <w:p w14:paraId="5363789C" w14:textId="77777777" w:rsidR="0076421B" w:rsidRPr="00E968C7" w:rsidRDefault="0076421B" w:rsidP="0076421B">
      <w:pPr>
        <w:rPr>
          <w:rFonts w:ascii="Arial" w:hAnsi="Arial" w:cs="Arial"/>
          <w:sz w:val="24"/>
          <w:szCs w:val="24"/>
          <w:shd w:val="clear" w:color="auto" w:fill="FFFFFF"/>
        </w:rPr>
      </w:pPr>
    </w:p>
    <w:p w14:paraId="2A16DD01"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Spicer, J., Moyle, L. and </w:t>
      </w:r>
      <w:proofErr w:type="spellStart"/>
      <w:r w:rsidRPr="00E968C7">
        <w:rPr>
          <w:rFonts w:ascii="Arial" w:hAnsi="Arial" w:cs="Arial"/>
          <w:sz w:val="24"/>
          <w:szCs w:val="24"/>
          <w:shd w:val="clear" w:color="auto" w:fill="FFFFFF"/>
        </w:rPr>
        <w:t>Coomber</w:t>
      </w:r>
      <w:proofErr w:type="spellEnd"/>
      <w:r w:rsidRPr="00E968C7">
        <w:rPr>
          <w:rFonts w:ascii="Arial" w:hAnsi="Arial" w:cs="Arial"/>
          <w:sz w:val="24"/>
          <w:szCs w:val="24"/>
          <w:shd w:val="clear" w:color="auto" w:fill="FFFFFF"/>
        </w:rPr>
        <w:t xml:space="preserve">, R. (2020) ‘The variable and evolving nature of ‘cuckooing’ as a form of criminal exploitation in street level drug markets’, </w:t>
      </w:r>
      <w:r w:rsidRPr="00E968C7">
        <w:rPr>
          <w:rFonts w:ascii="Arial" w:hAnsi="Arial" w:cs="Arial"/>
          <w:i/>
          <w:iCs/>
          <w:sz w:val="24"/>
          <w:szCs w:val="24"/>
          <w:shd w:val="clear" w:color="auto" w:fill="FFFFFF"/>
        </w:rPr>
        <w:t xml:space="preserve">Trends in Organized Crime, </w:t>
      </w:r>
      <w:r w:rsidRPr="00E968C7">
        <w:rPr>
          <w:rFonts w:ascii="Arial" w:hAnsi="Arial" w:cs="Arial"/>
          <w:sz w:val="24"/>
          <w:szCs w:val="24"/>
          <w:shd w:val="clear" w:color="auto" w:fill="FFFFFF"/>
        </w:rPr>
        <w:t xml:space="preserve">23(4), pp. 301-323. Accessed: 19th December 2023. DOI:  10.1007/s12117-019-09368-5. </w:t>
      </w:r>
    </w:p>
    <w:p w14:paraId="4A292B28" w14:textId="77777777" w:rsidR="0076421B" w:rsidRPr="00E968C7" w:rsidRDefault="0076421B" w:rsidP="0076421B">
      <w:pPr>
        <w:rPr>
          <w:rFonts w:ascii="Arial" w:hAnsi="Arial" w:cs="Arial"/>
          <w:sz w:val="24"/>
          <w:szCs w:val="24"/>
          <w:shd w:val="clear" w:color="auto" w:fill="FFFFFF"/>
        </w:rPr>
      </w:pPr>
    </w:p>
    <w:p w14:paraId="2869756D" w14:textId="77777777" w:rsidR="0076421B" w:rsidRPr="00E968C7" w:rsidRDefault="0076421B" w:rsidP="0076421B">
      <w:pPr>
        <w:rPr>
          <w:rFonts w:ascii="Arial" w:hAnsi="Arial" w:cs="Arial"/>
          <w:sz w:val="24"/>
          <w:szCs w:val="24"/>
        </w:rPr>
      </w:pPr>
      <w:r w:rsidRPr="00E968C7">
        <w:rPr>
          <w:rFonts w:ascii="Arial" w:hAnsi="Arial" w:cs="Arial"/>
          <w:sz w:val="24"/>
          <w:szCs w:val="24"/>
          <w:shd w:val="clear" w:color="auto" w:fill="FFFFFF"/>
        </w:rPr>
        <w:t xml:space="preserve">Stone, N (2018) ‘Child Criminal Exploitation: ‘County Lines’, Trafficking and Cuckooing’, </w:t>
      </w:r>
      <w:r w:rsidRPr="00E968C7">
        <w:rPr>
          <w:rFonts w:ascii="Arial" w:hAnsi="Arial" w:cs="Arial"/>
          <w:i/>
          <w:iCs/>
          <w:sz w:val="24"/>
          <w:szCs w:val="24"/>
          <w:shd w:val="clear" w:color="auto" w:fill="FFFFFF"/>
        </w:rPr>
        <w:t xml:space="preserve">Youth Justice, </w:t>
      </w:r>
      <w:r w:rsidRPr="00E968C7">
        <w:rPr>
          <w:rFonts w:ascii="Arial" w:hAnsi="Arial" w:cs="Arial"/>
          <w:sz w:val="24"/>
          <w:szCs w:val="24"/>
          <w:shd w:val="clear" w:color="auto" w:fill="FFFFFF"/>
        </w:rPr>
        <w:t xml:space="preserve">18(3), pp. 285-293. Accessed: 18th December 2023. DOI: 10.1177/1473225418810833. </w:t>
      </w:r>
    </w:p>
    <w:p w14:paraId="70CA8C8B" w14:textId="77777777" w:rsidR="0076421B" w:rsidRPr="00E968C7" w:rsidRDefault="0076421B" w:rsidP="0076421B">
      <w:pPr>
        <w:rPr>
          <w:rFonts w:ascii="Arial" w:hAnsi="Arial" w:cs="Arial"/>
          <w:sz w:val="24"/>
          <w:szCs w:val="24"/>
          <w:shd w:val="clear" w:color="auto" w:fill="FFFFFF"/>
        </w:rPr>
      </w:pPr>
    </w:p>
    <w:p w14:paraId="257EA84F" w14:textId="77777777" w:rsidR="0076421B" w:rsidRPr="00E968C7" w:rsidRDefault="0076421B" w:rsidP="0076421B">
      <w:pPr>
        <w:rPr>
          <w:rFonts w:ascii="Arial" w:hAnsi="Arial" w:cs="Arial"/>
          <w:i/>
          <w:iCs/>
          <w:sz w:val="24"/>
          <w:szCs w:val="24"/>
          <w:shd w:val="clear" w:color="auto" w:fill="FFFFFF"/>
        </w:rPr>
      </w:pPr>
      <w:r w:rsidRPr="00E968C7">
        <w:rPr>
          <w:rFonts w:ascii="Arial" w:hAnsi="Arial" w:cs="Arial"/>
          <w:sz w:val="24"/>
          <w:szCs w:val="24"/>
          <w:shd w:val="clear" w:color="auto" w:fill="FFFFFF"/>
        </w:rPr>
        <w:lastRenderedPageBreak/>
        <w:t xml:space="preserve">The Centre for Social Justice (2009) </w:t>
      </w:r>
      <w:r w:rsidRPr="00E968C7">
        <w:rPr>
          <w:rFonts w:ascii="Arial" w:hAnsi="Arial" w:cs="Arial"/>
          <w:i/>
          <w:iCs/>
          <w:sz w:val="24"/>
          <w:szCs w:val="24"/>
          <w:shd w:val="clear" w:color="auto" w:fill="FFFFFF"/>
        </w:rPr>
        <w:t>Breakthrough Britain:</w:t>
      </w:r>
      <w:r w:rsidRPr="00E968C7">
        <w:rPr>
          <w:rFonts w:ascii="Arial" w:hAnsi="Arial" w:cs="Arial"/>
          <w:sz w:val="24"/>
          <w:szCs w:val="24"/>
          <w:shd w:val="clear" w:color="auto" w:fill="FFFFFF"/>
        </w:rPr>
        <w:t xml:space="preserve"> </w:t>
      </w:r>
      <w:r w:rsidRPr="00E968C7">
        <w:rPr>
          <w:rFonts w:ascii="Arial" w:hAnsi="Arial" w:cs="Arial"/>
          <w:i/>
          <w:iCs/>
          <w:sz w:val="24"/>
          <w:szCs w:val="24"/>
          <w:shd w:val="clear" w:color="auto" w:fill="FFFFFF"/>
        </w:rPr>
        <w:t xml:space="preserve">Dying to Belong – An In-Depth Review of Street Gangs in Britain. </w:t>
      </w:r>
      <w:r w:rsidRPr="00E968C7">
        <w:rPr>
          <w:rFonts w:ascii="Arial" w:hAnsi="Arial" w:cs="Arial"/>
          <w:sz w:val="24"/>
          <w:szCs w:val="24"/>
          <w:shd w:val="clear" w:color="auto" w:fill="FFFFFF"/>
        </w:rPr>
        <w:t xml:space="preserve">London: The Centre for Social Justice. </w:t>
      </w:r>
    </w:p>
    <w:p w14:paraId="070BA343" w14:textId="77777777" w:rsidR="0076421B" w:rsidRPr="00E968C7" w:rsidRDefault="0076421B" w:rsidP="0076421B">
      <w:pPr>
        <w:rPr>
          <w:rFonts w:ascii="Arial" w:hAnsi="Arial" w:cs="Arial"/>
          <w:sz w:val="24"/>
          <w:szCs w:val="24"/>
        </w:rPr>
      </w:pPr>
    </w:p>
    <w:p w14:paraId="6482FC88"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The Police (Conduct) Regulations 2020 (SI 2020/ 4). Available at: https://www.legislation.gov.uk/uksi/2020/4/schedule/2/made (Accessed: 8th November 2020). </w:t>
      </w:r>
    </w:p>
    <w:p w14:paraId="101EDA48" w14:textId="77777777" w:rsidR="0076421B" w:rsidRPr="00E968C7" w:rsidRDefault="0076421B" w:rsidP="0076421B">
      <w:pPr>
        <w:rPr>
          <w:rFonts w:ascii="Arial" w:hAnsi="Arial" w:cs="Arial"/>
          <w:sz w:val="24"/>
          <w:szCs w:val="24"/>
        </w:rPr>
      </w:pPr>
    </w:p>
    <w:p w14:paraId="0AA8ACB7" w14:textId="77777777" w:rsidR="0076421B" w:rsidRPr="00E968C7" w:rsidRDefault="0076421B" w:rsidP="0076421B">
      <w:pPr>
        <w:rPr>
          <w:rFonts w:ascii="Arial" w:hAnsi="Arial" w:cs="Arial"/>
          <w:sz w:val="24"/>
          <w:szCs w:val="24"/>
        </w:rPr>
      </w:pPr>
      <w:proofErr w:type="spellStart"/>
      <w:r w:rsidRPr="00E968C7">
        <w:rPr>
          <w:rFonts w:ascii="Arial" w:hAnsi="Arial" w:cs="Arial"/>
          <w:sz w:val="24"/>
          <w:szCs w:val="24"/>
        </w:rPr>
        <w:t>Torrible</w:t>
      </w:r>
      <w:proofErr w:type="spellEnd"/>
      <w:r w:rsidRPr="00E968C7">
        <w:rPr>
          <w:rFonts w:ascii="Arial" w:hAnsi="Arial" w:cs="Arial"/>
          <w:sz w:val="24"/>
          <w:szCs w:val="24"/>
        </w:rPr>
        <w:t xml:space="preserve">, C. (2022) ‘Trust in the police and policing by consent in turbulent times’, </w:t>
      </w:r>
      <w:r w:rsidRPr="00E968C7">
        <w:rPr>
          <w:rFonts w:ascii="Arial" w:hAnsi="Arial" w:cs="Arial"/>
          <w:i/>
          <w:iCs/>
          <w:sz w:val="24"/>
          <w:szCs w:val="24"/>
        </w:rPr>
        <w:t xml:space="preserve">Safer Communities, </w:t>
      </w:r>
      <w:r w:rsidRPr="00E968C7">
        <w:rPr>
          <w:rFonts w:ascii="Arial" w:hAnsi="Arial" w:cs="Arial"/>
          <w:sz w:val="24"/>
          <w:szCs w:val="24"/>
        </w:rPr>
        <w:t xml:space="preserve">21(3), pp. 171-183. Accessed: 30th October 2023. DOI: 10.1108/SC-08-2021-0036 </w:t>
      </w:r>
    </w:p>
    <w:p w14:paraId="03F69092" w14:textId="77777777" w:rsidR="0076421B" w:rsidRPr="00E968C7" w:rsidRDefault="0076421B" w:rsidP="0076421B">
      <w:pPr>
        <w:rPr>
          <w:rFonts w:ascii="Arial" w:hAnsi="Arial" w:cs="Arial"/>
          <w:sz w:val="24"/>
          <w:szCs w:val="24"/>
        </w:rPr>
      </w:pPr>
    </w:p>
    <w:p w14:paraId="2514EB56" w14:textId="77777777" w:rsidR="0076421B" w:rsidRPr="00E968C7" w:rsidRDefault="0076421B" w:rsidP="0076421B">
      <w:pPr>
        <w:rPr>
          <w:rFonts w:ascii="Arial" w:hAnsi="Arial" w:cs="Arial"/>
          <w:sz w:val="24"/>
          <w:szCs w:val="24"/>
        </w:rPr>
      </w:pPr>
      <w:r w:rsidRPr="00E968C7">
        <w:rPr>
          <w:rFonts w:ascii="Arial" w:hAnsi="Arial" w:cs="Arial"/>
          <w:sz w:val="24"/>
          <w:szCs w:val="24"/>
        </w:rPr>
        <w:t xml:space="preserve">VanMeter, F. et al. (2021) ‘Children’s narrative coherence in ‘Achieving Best Evidence’ forensic interviews and courtroom testimony’, </w:t>
      </w:r>
      <w:r w:rsidRPr="00E968C7">
        <w:rPr>
          <w:rFonts w:ascii="Arial" w:hAnsi="Arial" w:cs="Arial"/>
          <w:i/>
          <w:iCs/>
          <w:sz w:val="24"/>
          <w:szCs w:val="24"/>
        </w:rPr>
        <w:t xml:space="preserve">Psychology, Crime &amp; Law, </w:t>
      </w:r>
      <w:r w:rsidRPr="00E968C7">
        <w:rPr>
          <w:rFonts w:ascii="Arial" w:hAnsi="Arial" w:cs="Arial"/>
          <w:sz w:val="24"/>
          <w:szCs w:val="24"/>
        </w:rPr>
        <w:t xml:space="preserve">29(2), pp. 203-221. Accessed: 28th November 2023. DOI: 10.1080/1068316X.2021.2018438. </w:t>
      </w:r>
    </w:p>
    <w:p w14:paraId="5BBF34A4" w14:textId="77777777" w:rsidR="00510040" w:rsidRPr="00E968C7" w:rsidRDefault="00510040" w:rsidP="0076421B">
      <w:pPr>
        <w:rPr>
          <w:rFonts w:ascii="Arial" w:hAnsi="Arial" w:cs="Arial"/>
          <w:sz w:val="24"/>
          <w:szCs w:val="24"/>
        </w:rPr>
      </w:pPr>
    </w:p>
    <w:p w14:paraId="0778043E" w14:textId="67207241" w:rsidR="00510040" w:rsidRPr="00E968C7" w:rsidRDefault="00510040" w:rsidP="0076421B">
      <w:pPr>
        <w:rPr>
          <w:rFonts w:ascii="Arial" w:hAnsi="Arial" w:cs="Arial"/>
          <w:sz w:val="24"/>
          <w:szCs w:val="24"/>
        </w:rPr>
      </w:pPr>
      <w:r w:rsidRPr="00E968C7">
        <w:rPr>
          <w:rFonts w:ascii="Arial" w:hAnsi="Arial" w:cs="Arial"/>
          <w:sz w:val="24"/>
          <w:szCs w:val="24"/>
        </w:rPr>
        <w:t xml:space="preserve">Weisburd, D., Farrington, D. P. and Gill, C. (2017) ‘What Works </w:t>
      </w:r>
      <w:r w:rsidR="00224BFB" w:rsidRPr="00E968C7">
        <w:rPr>
          <w:rFonts w:ascii="Arial" w:hAnsi="Arial" w:cs="Arial"/>
          <w:sz w:val="24"/>
          <w:szCs w:val="24"/>
        </w:rPr>
        <w:t xml:space="preserve">in Crime Prevention and Rehabilitation’, </w:t>
      </w:r>
      <w:r w:rsidR="00224BFB" w:rsidRPr="00E968C7">
        <w:rPr>
          <w:rFonts w:ascii="Arial" w:hAnsi="Arial" w:cs="Arial"/>
          <w:i/>
          <w:iCs/>
          <w:sz w:val="24"/>
          <w:szCs w:val="24"/>
        </w:rPr>
        <w:t xml:space="preserve">American Society of Criminology, </w:t>
      </w:r>
      <w:r w:rsidR="00224BFB" w:rsidRPr="00E968C7">
        <w:rPr>
          <w:rFonts w:ascii="Arial" w:hAnsi="Arial" w:cs="Arial"/>
          <w:sz w:val="24"/>
          <w:szCs w:val="24"/>
        </w:rPr>
        <w:t>16(2), pp. 415-</w:t>
      </w:r>
      <w:r w:rsidR="00C90E51" w:rsidRPr="00E968C7">
        <w:rPr>
          <w:rFonts w:ascii="Arial" w:hAnsi="Arial" w:cs="Arial"/>
          <w:sz w:val="24"/>
          <w:szCs w:val="24"/>
        </w:rPr>
        <w:t xml:space="preserve">449. Accessed: 4th May 2024). DOI: 10.1111/1745-9133.12298. </w:t>
      </w:r>
    </w:p>
    <w:p w14:paraId="2E9501DC" w14:textId="77777777" w:rsidR="0076421B" w:rsidRPr="00E968C7" w:rsidRDefault="0076421B" w:rsidP="0076421B">
      <w:pPr>
        <w:rPr>
          <w:rFonts w:ascii="Arial" w:hAnsi="Arial" w:cs="Arial"/>
          <w:sz w:val="24"/>
          <w:szCs w:val="24"/>
        </w:rPr>
      </w:pPr>
    </w:p>
    <w:p w14:paraId="25751091"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rPr>
        <w:t xml:space="preserve">Williams, J.W. and </w:t>
      </w:r>
      <w:proofErr w:type="spellStart"/>
      <w:r w:rsidRPr="00E968C7">
        <w:rPr>
          <w:rFonts w:ascii="Arial" w:hAnsi="Arial" w:cs="Arial"/>
          <w:sz w:val="24"/>
          <w:szCs w:val="24"/>
        </w:rPr>
        <w:t>Treffers</w:t>
      </w:r>
      <w:proofErr w:type="spellEnd"/>
      <w:r w:rsidRPr="00E968C7">
        <w:rPr>
          <w:rFonts w:ascii="Arial" w:hAnsi="Arial" w:cs="Arial"/>
          <w:sz w:val="24"/>
          <w:szCs w:val="24"/>
        </w:rPr>
        <w:t xml:space="preserve">, S. (2021) ‘Investing in crime prevention after the crisis: Social impact bonds, the value of (re) offending and the new ‘culture of crime </w:t>
      </w:r>
      <w:r w:rsidRPr="00E968C7">
        <w:rPr>
          <w:rFonts w:ascii="Arial" w:hAnsi="Arial" w:cs="Arial"/>
          <w:sz w:val="24"/>
          <w:szCs w:val="24"/>
        </w:rPr>
        <w:lastRenderedPageBreak/>
        <w:t xml:space="preserve">control’’, </w:t>
      </w:r>
      <w:r w:rsidRPr="00E968C7">
        <w:rPr>
          <w:rFonts w:ascii="Arial" w:hAnsi="Arial" w:cs="Arial"/>
          <w:i/>
          <w:iCs/>
          <w:sz w:val="24"/>
          <w:szCs w:val="24"/>
        </w:rPr>
        <w:t>The British Journal of Criminology</w:t>
      </w:r>
      <w:r w:rsidRPr="00E968C7">
        <w:rPr>
          <w:rFonts w:ascii="Arial" w:hAnsi="Arial" w:cs="Arial"/>
          <w:sz w:val="24"/>
          <w:szCs w:val="24"/>
        </w:rPr>
        <w:t xml:space="preserve">, 61(5), pp. 1300-1315. Accessed: 26th November 2023. DOI: </w:t>
      </w:r>
      <w:r w:rsidRPr="00E968C7">
        <w:rPr>
          <w:rFonts w:ascii="Arial" w:hAnsi="Arial" w:cs="Arial"/>
          <w:sz w:val="24"/>
          <w:szCs w:val="24"/>
          <w:shd w:val="clear" w:color="auto" w:fill="FFFFFF"/>
        </w:rPr>
        <w:t>10.1093/</w:t>
      </w:r>
      <w:proofErr w:type="spellStart"/>
      <w:r w:rsidRPr="00E968C7">
        <w:rPr>
          <w:rFonts w:ascii="Arial" w:hAnsi="Arial" w:cs="Arial"/>
          <w:sz w:val="24"/>
          <w:szCs w:val="24"/>
          <w:shd w:val="clear" w:color="auto" w:fill="FFFFFF"/>
        </w:rPr>
        <w:t>bjc</w:t>
      </w:r>
      <w:proofErr w:type="spellEnd"/>
      <w:r w:rsidRPr="00E968C7">
        <w:rPr>
          <w:rFonts w:ascii="Arial" w:hAnsi="Arial" w:cs="Arial"/>
          <w:sz w:val="24"/>
          <w:szCs w:val="24"/>
          <w:shd w:val="clear" w:color="auto" w:fill="FFFFFF"/>
        </w:rPr>
        <w:t xml:space="preserve">/azab003. </w:t>
      </w:r>
    </w:p>
    <w:p w14:paraId="170954A2" w14:textId="77777777" w:rsidR="0076421B" w:rsidRPr="00E968C7" w:rsidRDefault="0076421B" w:rsidP="0076421B">
      <w:pPr>
        <w:rPr>
          <w:rFonts w:ascii="Arial" w:hAnsi="Arial" w:cs="Arial"/>
          <w:sz w:val="24"/>
          <w:szCs w:val="24"/>
          <w:shd w:val="clear" w:color="auto" w:fill="FFFFFF"/>
        </w:rPr>
      </w:pPr>
    </w:p>
    <w:p w14:paraId="5C00890A" w14:textId="77777777" w:rsidR="0076421B" w:rsidRPr="00E968C7" w:rsidRDefault="0076421B" w:rsidP="0076421B">
      <w:pPr>
        <w:rPr>
          <w:rFonts w:ascii="Arial" w:hAnsi="Arial" w:cs="Arial"/>
          <w:sz w:val="24"/>
          <w:szCs w:val="24"/>
          <w:shd w:val="clear" w:color="auto" w:fill="FFFFFF"/>
        </w:rPr>
      </w:pPr>
      <w:r w:rsidRPr="00E968C7">
        <w:rPr>
          <w:rFonts w:ascii="Arial" w:hAnsi="Arial" w:cs="Arial"/>
          <w:sz w:val="24"/>
          <w:szCs w:val="24"/>
          <w:shd w:val="clear" w:color="auto" w:fill="FFFFFF"/>
        </w:rPr>
        <w:t xml:space="preserve">Wood, D. et al. (2021) </w:t>
      </w:r>
      <w:r w:rsidRPr="00E968C7">
        <w:rPr>
          <w:rFonts w:ascii="Arial" w:hAnsi="Arial" w:cs="Arial"/>
          <w:i/>
          <w:iCs/>
          <w:sz w:val="24"/>
          <w:szCs w:val="24"/>
          <w:shd w:val="clear" w:color="auto" w:fill="FFFFFF"/>
        </w:rPr>
        <w:t xml:space="preserve">Blackstone’s Handbook for Policing Students. </w:t>
      </w:r>
      <w:r w:rsidRPr="00E968C7">
        <w:rPr>
          <w:rFonts w:ascii="Arial" w:hAnsi="Arial" w:cs="Arial"/>
          <w:sz w:val="24"/>
          <w:szCs w:val="24"/>
          <w:shd w:val="clear" w:color="auto" w:fill="FFFFFF"/>
        </w:rPr>
        <w:t xml:space="preserve">16th ed. Oxford: Oxford University Press. </w:t>
      </w:r>
    </w:p>
    <w:p w14:paraId="1B963BB2" w14:textId="77777777" w:rsidR="0076421B" w:rsidRPr="00E968C7" w:rsidRDefault="0076421B" w:rsidP="0076421B">
      <w:pPr>
        <w:rPr>
          <w:rFonts w:ascii="Arial" w:hAnsi="Arial" w:cs="Arial"/>
          <w:sz w:val="24"/>
          <w:szCs w:val="24"/>
          <w:shd w:val="clear" w:color="auto" w:fill="FFFFFF"/>
        </w:rPr>
      </w:pPr>
    </w:p>
    <w:p w14:paraId="6D7CE730" w14:textId="77777777" w:rsidR="0076421B" w:rsidRPr="00E968C7" w:rsidRDefault="0076421B" w:rsidP="0076421B">
      <w:pPr>
        <w:rPr>
          <w:rFonts w:ascii="Arial" w:hAnsi="Arial" w:cs="Arial"/>
          <w:sz w:val="24"/>
          <w:szCs w:val="24"/>
        </w:rPr>
      </w:pPr>
      <w:r w:rsidRPr="00E968C7">
        <w:rPr>
          <w:rFonts w:ascii="Arial" w:hAnsi="Arial" w:cs="Arial"/>
          <w:sz w:val="24"/>
          <w:szCs w:val="24"/>
          <w:shd w:val="clear" w:color="auto" w:fill="FFFFFF"/>
        </w:rPr>
        <w:t xml:space="preserve">Youth Justice Board (2023) </w:t>
      </w:r>
      <w:r w:rsidRPr="00E968C7">
        <w:rPr>
          <w:rFonts w:ascii="Arial" w:hAnsi="Arial" w:cs="Arial"/>
          <w:i/>
          <w:iCs/>
          <w:sz w:val="24"/>
          <w:szCs w:val="24"/>
          <w:shd w:val="clear" w:color="auto" w:fill="FFFFFF"/>
        </w:rPr>
        <w:t xml:space="preserve">Youth Justice Statistics 2021/2022 England and Wales. </w:t>
      </w:r>
      <w:r w:rsidRPr="00E968C7">
        <w:rPr>
          <w:rFonts w:ascii="Arial" w:hAnsi="Arial" w:cs="Arial"/>
          <w:sz w:val="24"/>
          <w:szCs w:val="24"/>
          <w:shd w:val="clear" w:color="auto" w:fill="FFFFFF"/>
        </w:rPr>
        <w:t xml:space="preserve">Available at: </w:t>
      </w:r>
      <w:r w:rsidRPr="00E968C7">
        <w:rPr>
          <w:rFonts w:ascii="Arial" w:hAnsi="Arial" w:cs="Arial"/>
          <w:sz w:val="24"/>
          <w:szCs w:val="24"/>
        </w:rPr>
        <w:t xml:space="preserve">https://assets.publishing.service.gov.uk/government/uploads/system/uploads/attachment_data/file/1131414/Youth_Justice_Statistics_2021-22.pdf (Accessed: 27th November 2023). </w:t>
      </w:r>
    </w:p>
    <w:p w14:paraId="544F1B0A" w14:textId="77777777" w:rsidR="0076421B" w:rsidRPr="0076421B" w:rsidRDefault="0076421B" w:rsidP="00221E92">
      <w:pPr>
        <w:rPr>
          <w:rFonts w:ascii="Arial" w:hAnsi="Arial" w:cs="Arial"/>
          <w:sz w:val="24"/>
          <w:szCs w:val="24"/>
        </w:rPr>
      </w:pPr>
    </w:p>
    <w:p w14:paraId="5B259D7B" w14:textId="77777777" w:rsidR="00221E92" w:rsidRPr="00221E92" w:rsidRDefault="00221E92">
      <w:pPr>
        <w:rPr>
          <w:b/>
          <w:bCs/>
          <w:sz w:val="28"/>
          <w:szCs w:val="28"/>
        </w:rPr>
      </w:pPr>
    </w:p>
    <w:sectPr w:rsidR="00221E92" w:rsidRPr="00221E9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9C816" w14:textId="77777777" w:rsidR="00221E92" w:rsidRDefault="00221E92" w:rsidP="00221E92">
      <w:pPr>
        <w:spacing w:after="0" w:line="240" w:lineRule="auto"/>
      </w:pPr>
      <w:r>
        <w:separator/>
      </w:r>
    </w:p>
  </w:endnote>
  <w:endnote w:type="continuationSeparator" w:id="0">
    <w:p w14:paraId="0B7CD0E7" w14:textId="77777777" w:rsidR="00221E92" w:rsidRDefault="00221E92" w:rsidP="0022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F5C71" w14:textId="77777777" w:rsidR="00221E92" w:rsidRDefault="00221E92" w:rsidP="00221E92">
      <w:pPr>
        <w:spacing w:after="0" w:line="240" w:lineRule="auto"/>
      </w:pPr>
      <w:r>
        <w:separator/>
      </w:r>
    </w:p>
  </w:footnote>
  <w:footnote w:type="continuationSeparator" w:id="0">
    <w:p w14:paraId="2C3A08AF" w14:textId="77777777" w:rsidR="00221E92" w:rsidRDefault="00221E92" w:rsidP="00221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0F1D0" w14:textId="0120892C" w:rsidR="00221E92" w:rsidRPr="00221E92" w:rsidRDefault="00221E92">
    <w:pPr>
      <w:pStyle w:val="Header"/>
      <w:rPr>
        <w:rFonts w:ascii="Arial" w:hAnsi="Arial" w:cs="Arial"/>
      </w:rPr>
    </w:pPr>
    <w:r w:rsidRPr="00221E92">
      <w:rPr>
        <w:rFonts w:ascii="Arial" w:hAnsi="Arial" w:cs="Arial"/>
      </w:rPr>
      <w:t>Miyah Greenslade</w:t>
    </w:r>
  </w:p>
  <w:p w14:paraId="6EEA59E8" w14:textId="591AF398" w:rsidR="00221E92" w:rsidRPr="00221E92" w:rsidRDefault="00221E92">
    <w:pPr>
      <w:pStyle w:val="Header"/>
      <w:rPr>
        <w:rFonts w:ascii="Arial" w:hAnsi="Arial" w:cs="Arial"/>
      </w:rPr>
    </w:pPr>
    <w:r w:rsidRPr="00221E92">
      <w:rPr>
        <w:rFonts w:ascii="Arial" w:hAnsi="Arial" w:cs="Arial"/>
      </w:rPr>
      <w:t>2222465</w:t>
    </w:r>
  </w:p>
  <w:p w14:paraId="1B9DE070" w14:textId="77777777" w:rsidR="00221E92" w:rsidRDefault="00221E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92"/>
    <w:rsid w:val="00047E75"/>
    <w:rsid w:val="00092CFD"/>
    <w:rsid w:val="000D267E"/>
    <w:rsid w:val="000D773A"/>
    <w:rsid w:val="000F206F"/>
    <w:rsid w:val="00113F83"/>
    <w:rsid w:val="00134236"/>
    <w:rsid w:val="00137D9B"/>
    <w:rsid w:val="00191437"/>
    <w:rsid w:val="001C1312"/>
    <w:rsid w:val="001F7DF4"/>
    <w:rsid w:val="00205906"/>
    <w:rsid w:val="002129D9"/>
    <w:rsid w:val="002218F1"/>
    <w:rsid w:val="00221E92"/>
    <w:rsid w:val="00224BFB"/>
    <w:rsid w:val="00242BD4"/>
    <w:rsid w:val="002642F7"/>
    <w:rsid w:val="002F3A71"/>
    <w:rsid w:val="002F6F60"/>
    <w:rsid w:val="003744B1"/>
    <w:rsid w:val="003E6217"/>
    <w:rsid w:val="003F0147"/>
    <w:rsid w:val="003F6FB2"/>
    <w:rsid w:val="0041334C"/>
    <w:rsid w:val="0046449F"/>
    <w:rsid w:val="004905EB"/>
    <w:rsid w:val="004B3F5F"/>
    <w:rsid w:val="00510040"/>
    <w:rsid w:val="00527DFB"/>
    <w:rsid w:val="00591E02"/>
    <w:rsid w:val="005F1943"/>
    <w:rsid w:val="006021BD"/>
    <w:rsid w:val="00695A4F"/>
    <w:rsid w:val="00731C60"/>
    <w:rsid w:val="00741E14"/>
    <w:rsid w:val="0076421B"/>
    <w:rsid w:val="00780D6D"/>
    <w:rsid w:val="007E1D3A"/>
    <w:rsid w:val="008234E4"/>
    <w:rsid w:val="008A0B7C"/>
    <w:rsid w:val="008A2EF9"/>
    <w:rsid w:val="0090728F"/>
    <w:rsid w:val="0091770C"/>
    <w:rsid w:val="009611B5"/>
    <w:rsid w:val="009C2B1B"/>
    <w:rsid w:val="009F1F7D"/>
    <w:rsid w:val="00A2752A"/>
    <w:rsid w:val="00A76EFD"/>
    <w:rsid w:val="00AA0F29"/>
    <w:rsid w:val="00AC516E"/>
    <w:rsid w:val="00AD376A"/>
    <w:rsid w:val="00B37CDD"/>
    <w:rsid w:val="00B44684"/>
    <w:rsid w:val="00B46368"/>
    <w:rsid w:val="00B52D62"/>
    <w:rsid w:val="00B5434A"/>
    <w:rsid w:val="00C03DD0"/>
    <w:rsid w:val="00C63A3E"/>
    <w:rsid w:val="00C83B5D"/>
    <w:rsid w:val="00C90E51"/>
    <w:rsid w:val="00CE429B"/>
    <w:rsid w:val="00D15AEE"/>
    <w:rsid w:val="00D74A0E"/>
    <w:rsid w:val="00DF7007"/>
    <w:rsid w:val="00E276E0"/>
    <w:rsid w:val="00E56D4F"/>
    <w:rsid w:val="00E7582C"/>
    <w:rsid w:val="00E874EE"/>
    <w:rsid w:val="00E968C7"/>
    <w:rsid w:val="00EB4052"/>
    <w:rsid w:val="00F00C94"/>
    <w:rsid w:val="00F30730"/>
    <w:rsid w:val="00F64316"/>
    <w:rsid w:val="00F768FB"/>
    <w:rsid w:val="00F843E2"/>
    <w:rsid w:val="00FB7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11DD"/>
  <w15:chartTrackingRefBased/>
  <w15:docId w15:val="{164D4691-C43A-4784-82EA-D4529798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1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E92"/>
  </w:style>
  <w:style w:type="paragraph" w:styleId="Footer">
    <w:name w:val="footer"/>
    <w:basedOn w:val="Normal"/>
    <w:link w:val="FooterChar"/>
    <w:uiPriority w:val="99"/>
    <w:unhideWhenUsed/>
    <w:rsid w:val="00221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E92"/>
  </w:style>
  <w:style w:type="paragraph" w:customStyle="1" w:styleId="Default">
    <w:name w:val="Default"/>
    <w:rsid w:val="00221E9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7642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2" ma:contentTypeDescription="Create a new document." ma:contentTypeScope="" ma:versionID="ce1b88b96e0b1298cf1d68477475eec8">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a39e1b88ca7af6fb151da92d23f81573"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0E9A12-3A14-4B5D-904D-02769F5F799D}">
  <ds:schemaRefs>
    <ds:schemaRef ds:uri="http://schemas.microsoft.com/office/2006/documentManagement/types"/>
    <ds:schemaRef ds:uri="http://schemas.openxmlformats.org/package/2006/metadata/core-properties"/>
    <ds:schemaRef ds:uri="6f089012-3fae-42a8-bbe5-94e46e1467ea"/>
    <ds:schemaRef ds:uri="http://purl.org/dc/elements/1.1/"/>
    <ds:schemaRef ds:uri="http://schemas.microsoft.com/office/2006/metadata/properties"/>
    <ds:schemaRef ds:uri="e20b08b0-acc6-4f95-a80d-0f14bda3809b"/>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47FEF1F-2B15-496B-A61C-AD5A1291D2DC}">
  <ds:schemaRefs>
    <ds:schemaRef ds:uri="http://schemas.microsoft.com/sharepoint/v3/contenttype/forms"/>
  </ds:schemaRefs>
</ds:datastoreItem>
</file>

<file path=customXml/itemProps3.xml><?xml version="1.0" encoding="utf-8"?>
<ds:datastoreItem xmlns:ds="http://schemas.openxmlformats.org/officeDocument/2006/customXml" ds:itemID="{C0DDE40D-5171-4D35-85F0-C1950B538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7606</Words>
  <Characters>43356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Greenslade, Miyah</dc:creator>
  <cp:keywords/>
  <dc:description/>
  <cp:lastModifiedBy>Greenslade, Miyah</cp:lastModifiedBy>
  <cp:revision>2</cp:revision>
  <dcterms:created xsi:type="dcterms:W3CDTF">2024-05-05T22:30:00Z</dcterms:created>
  <dcterms:modified xsi:type="dcterms:W3CDTF">2024-05-05T22:30:00Z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2024-05-04T18:11:54Z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6d362989-3a61-4393-bbb6-2603f7f2f865</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