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3AF6B" w14:textId="77777777" w:rsidR="00934CA1" w:rsidRDefault="00934CA1" w:rsidP="003912ED">
      <w:pPr>
        <w:jc w:val="center"/>
        <w:rPr>
          <w:b/>
          <w:bCs/>
          <w:sz w:val="28"/>
          <w:szCs w:val="24"/>
        </w:rPr>
      </w:pPr>
    </w:p>
    <w:p w14:paraId="0CBD5C3D" w14:textId="77777777" w:rsidR="00934CA1" w:rsidRDefault="00934CA1" w:rsidP="003912ED">
      <w:pPr>
        <w:jc w:val="center"/>
        <w:rPr>
          <w:b/>
          <w:bCs/>
          <w:sz w:val="28"/>
          <w:szCs w:val="24"/>
        </w:rPr>
      </w:pPr>
    </w:p>
    <w:p w14:paraId="578844C2" w14:textId="77777777" w:rsidR="00934CA1" w:rsidRDefault="00934CA1" w:rsidP="003912ED">
      <w:pPr>
        <w:jc w:val="center"/>
        <w:rPr>
          <w:b/>
          <w:bCs/>
          <w:sz w:val="28"/>
          <w:szCs w:val="24"/>
        </w:rPr>
      </w:pPr>
    </w:p>
    <w:p w14:paraId="21C2B3F3" w14:textId="77777777" w:rsidR="00934CA1" w:rsidRDefault="00934CA1" w:rsidP="003912ED">
      <w:pPr>
        <w:jc w:val="center"/>
        <w:rPr>
          <w:b/>
          <w:bCs/>
          <w:sz w:val="28"/>
          <w:szCs w:val="24"/>
        </w:rPr>
      </w:pPr>
    </w:p>
    <w:p w14:paraId="457E3337" w14:textId="77777777" w:rsidR="00934CA1" w:rsidRDefault="00934CA1" w:rsidP="003912ED">
      <w:pPr>
        <w:jc w:val="center"/>
        <w:rPr>
          <w:b/>
          <w:bCs/>
          <w:sz w:val="28"/>
          <w:szCs w:val="24"/>
        </w:rPr>
      </w:pPr>
    </w:p>
    <w:p w14:paraId="157F98D4" w14:textId="77777777" w:rsidR="00934CA1" w:rsidRDefault="00934CA1" w:rsidP="003912ED">
      <w:pPr>
        <w:jc w:val="center"/>
        <w:rPr>
          <w:b/>
          <w:bCs/>
          <w:sz w:val="28"/>
          <w:szCs w:val="24"/>
        </w:rPr>
      </w:pPr>
    </w:p>
    <w:p w14:paraId="05F9C2BE" w14:textId="7191AB2E" w:rsidR="003912ED" w:rsidRDefault="00934CA1" w:rsidP="003912ED">
      <w:pPr>
        <w:jc w:val="center"/>
        <w:rPr>
          <w:b/>
          <w:bCs/>
          <w:sz w:val="28"/>
          <w:szCs w:val="24"/>
        </w:rPr>
      </w:pPr>
      <w:r>
        <w:rPr>
          <w:b/>
          <w:bCs/>
          <w:sz w:val="28"/>
          <w:szCs w:val="24"/>
        </w:rPr>
        <w:t>Assessment 1</w:t>
      </w:r>
    </w:p>
    <w:p w14:paraId="53A52D46" w14:textId="75C30F35" w:rsidR="003912ED" w:rsidRDefault="00F767C7" w:rsidP="003912ED">
      <w:pPr>
        <w:jc w:val="center"/>
        <w:rPr>
          <w:b/>
          <w:bCs/>
          <w:sz w:val="28"/>
          <w:szCs w:val="24"/>
        </w:rPr>
      </w:pPr>
      <w:r>
        <w:rPr>
          <w:b/>
          <w:bCs/>
          <w:sz w:val="28"/>
          <w:szCs w:val="24"/>
        </w:rPr>
        <w:t>Sustainable Hospitality &amp; Tourism Management:</w:t>
      </w:r>
      <w:r w:rsidR="003912ED" w:rsidRPr="003912ED">
        <w:rPr>
          <w:b/>
          <w:bCs/>
          <w:sz w:val="28"/>
          <w:szCs w:val="24"/>
        </w:rPr>
        <w:t>Marriott</w:t>
      </w:r>
    </w:p>
    <w:p w14:paraId="20B4AA2F" w14:textId="104729B4" w:rsidR="00E7500D" w:rsidRPr="003912ED" w:rsidRDefault="00E7500D" w:rsidP="003912ED">
      <w:pPr>
        <w:jc w:val="center"/>
        <w:rPr>
          <w:b/>
          <w:bCs/>
          <w:sz w:val="28"/>
          <w:szCs w:val="24"/>
        </w:rPr>
      </w:pPr>
      <w:r>
        <w:rPr>
          <w:b/>
          <w:bCs/>
          <w:sz w:val="28"/>
          <w:szCs w:val="24"/>
        </w:rPr>
        <w:t>Module code:BMIH5006</w:t>
      </w:r>
    </w:p>
    <w:p w14:paraId="267EC775" w14:textId="272FD745" w:rsidR="003912ED" w:rsidRPr="003912ED" w:rsidRDefault="003912ED" w:rsidP="003912ED">
      <w:pPr>
        <w:jc w:val="center"/>
        <w:rPr>
          <w:b/>
          <w:bCs/>
          <w:sz w:val="28"/>
          <w:szCs w:val="24"/>
        </w:rPr>
      </w:pPr>
      <w:r w:rsidRPr="003912ED">
        <w:rPr>
          <w:b/>
          <w:bCs/>
          <w:sz w:val="28"/>
          <w:szCs w:val="24"/>
        </w:rPr>
        <w:t>Student Name</w:t>
      </w:r>
      <w:r w:rsidR="00FC044C">
        <w:rPr>
          <w:b/>
          <w:bCs/>
          <w:sz w:val="28"/>
          <w:szCs w:val="24"/>
        </w:rPr>
        <w:t xml:space="preserve">: Florin Vasilica Mecic </w:t>
      </w:r>
    </w:p>
    <w:p w14:paraId="505F44A9" w14:textId="0444EF88" w:rsidR="003912ED" w:rsidRDefault="003912ED" w:rsidP="003912ED">
      <w:pPr>
        <w:jc w:val="center"/>
        <w:rPr>
          <w:b/>
          <w:bCs/>
          <w:sz w:val="28"/>
          <w:szCs w:val="24"/>
        </w:rPr>
      </w:pPr>
      <w:r w:rsidRPr="003912ED">
        <w:rPr>
          <w:b/>
          <w:bCs/>
          <w:sz w:val="28"/>
          <w:szCs w:val="24"/>
        </w:rPr>
        <w:t>Student ID</w:t>
      </w:r>
      <w:r w:rsidR="0000455E">
        <w:rPr>
          <w:b/>
          <w:bCs/>
          <w:sz w:val="28"/>
          <w:szCs w:val="24"/>
        </w:rPr>
        <w:t>:</w:t>
      </w:r>
      <w:r w:rsidR="005A7FA0">
        <w:rPr>
          <w:b/>
          <w:bCs/>
          <w:sz w:val="28"/>
          <w:szCs w:val="24"/>
        </w:rPr>
        <w:t>2215417</w:t>
      </w:r>
    </w:p>
    <w:p w14:paraId="713BBE0F" w14:textId="2E8F76A0" w:rsidR="005A7FA0" w:rsidRDefault="005A7FA0" w:rsidP="003912ED">
      <w:pPr>
        <w:jc w:val="center"/>
        <w:rPr>
          <w:b/>
          <w:bCs/>
          <w:sz w:val="28"/>
          <w:szCs w:val="24"/>
        </w:rPr>
      </w:pPr>
      <w:r>
        <w:rPr>
          <w:b/>
          <w:bCs/>
          <w:sz w:val="28"/>
          <w:szCs w:val="24"/>
        </w:rPr>
        <w:t xml:space="preserve">Lecturer’s Name:Scott </w:t>
      </w:r>
      <w:r w:rsidR="00E7500D">
        <w:rPr>
          <w:b/>
          <w:bCs/>
          <w:sz w:val="28"/>
          <w:szCs w:val="24"/>
        </w:rPr>
        <w:t xml:space="preserve">James </w:t>
      </w:r>
    </w:p>
    <w:p w14:paraId="6DEBCD56" w14:textId="77777777" w:rsidR="00E7500D" w:rsidRPr="003912ED" w:rsidRDefault="00E7500D" w:rsidP="003912ED">
      <w:pPr>
        <w:jc w:val="center"/>
        <w:rPr>
          <w:b/>
          <w:bCs/>
          <w:sz w:val="28"/>
          <w:szCs w:val="24"/>
        </w:rPr>
      </w:pPr>
    </w:p>
    <w:p w14:paraId="661BEEC3" w14:textId="77777777" w:rsidR="003912ED" w:rsidRDefault="003912ED" w:rsidP="003912ED">
      <w:pPr>
        <w:jc w:val="center"/>
        <w:rPr>
          <w:b/>
          <w:bCs/>
          <w:sz w:val="28"/>
          <w:szCs w:val="24"/>
        </w:rPr>
      </w:pPr>
    </w:p>
    <w:p w14:paraId="125CD531" w14:textId="6ABFBE40" w:rsidR="003912ED" w:rsidRPr="003912ED" w:rsidRDefault="003912ED" w:rsidP="00F767C7">
      <w:pPr>
        <w:rPr>
          <w:b/>
          <w:bCs/>
          <w:sz w:val="28"/>
          <w:szCs w:val="24"/>
        </w:rPr>
      </w:pPr>
    </w:p>
    <w:p w14:paraId="1DB53E19" w14:textId="77777777" w:rsidR="003912ED" w:rsidRDefault="003912ED">
      <w:pPr>
        <w:jc w:val="left"/>
        <w:rPr>
          <w:rFonts w:eastAsiaTheme="majorEastAsia" w:cstheme="majorBidi"/>
          <w:b/>
          <w:sz w:val="28"/>
          <w:szCs w:val="32"/>
        </w:rPr>
      </w:pPr>
      <w:r>
        <w:br w:type="page"/>
      </w:r>
    </w:p>
    <w:sdt>
      <w:sdtPr>
        <w:rPr>
          <w:rFonts w:ascii="Times New Roman" w:eastAsiaTheme="minorHAnsi" w:hAnsi="Times New Roman" w:cstheme="minorBidi"/>
          <w:color w:val="auto"/>
          <w:sz w:val="24"/>
          <w:szCs w:val="22"/>
        </w:rPr>
        <w:id w:val="1934003984"/>
        <w:docPartObj>
          <w:docPartGallery w:val="Table of Contents"/>
          <w:docPartUnique/>
        </w:docPartObj>
      </w:sdtPr>
      <w:sdtEndPr>
        <w:rPr>
          <w:b/>
          <w:bCs/>
          <w:noProof/>
        </w:rPr>
      </w:sdtEndPr>
      <w:sdtContent>
        <w:p w14:paraId="4614015A" w14:textId="1F4E514B" w:rsidR="003912ED" w:rsidRDefault="003912ED">
          <w:pPr>
            <w:pStyle w:val="Titlucuprins"/>
          </w:pPr>
          <w:r>
            <w:t>Contents</w:t>
          </w:r>
        </w:p>
        <w:p w14:paraId="7AEA73F6" w14:textId="542DB1A6" w:rsidR="003912ED" w:rsidRDefault="003912ED">
          <w:pPr>
            <w:pStyle w:val="Cuprins1"/>
            <w:tabs>
              <w:tab w:val="right" w:leader="dot" w:pos="9350"/>
            </w:tabs>
            <w:rPr>
              <w:noProof/>
            </w:rPr>
          </w:pPr>
          <w:r>
            <w:fldChar w:fldCharType="begin"/>
          </w:r>
          <w:r>
            <w:instrText xml:space="preserve"> TOC \o "1-3" \h \z \u </w:instrText>
          </w:r>
          <w:r>
            <w:fldChar w:fldCharType="separate"/>
          </w:r>
          <w:hyperlink w:anchor="_Toc166269395" w:history="1">
            <w:r w:rsidRPr="00D429ED">
              <w:rPr>
                <w:rStyle w:val="Hyperlink"/>
                <w:noProof/>
              </w:rPr>
              <w:t>Introduction</w:t>
            </w:r>
            <w:r>
              <w:rPr>
                <w:noProof/>
                <w:webHidden/>
              </w:rPr>
              <w:tab/>
            </w:r>
            <w:r>
              <w:rPr>
                <w:noProof/>
                <w:webHidden/>
              </w:rPr>
              <w:fldChar w:fldCharType="begin"/>
            </w:r>
            <w:r>
              <w:rPr>
                <w:noProof/>
                <w:webHidden/>
              </w:rPr>
              <w:instrText xml:space="preserve"> PAGEREF _Toc166269395 \h </w:instrText>
            </w:r>
            <w:r>
              <w:rPr>
                <w:noProof/>
                <w:webHidden/>
              </w:rPr>
            </w:r>
            <w:r>
              <w:rPr>
                <w:noProof/>
                <w:webHidden/>
              </w:rPr>
              <w:fldChar w:fldCharType="separate"/>
            </w:r>
            <w:r>
              <w:rPr>
                <w:noProof/>
                <w:webHidden/>
              </w:rPr>
              <w:t>3</w:t>
            </w:r>
            <w:r>
              <w:rPr>
                <w:noProof/>
                <w:webHidden/>
              </w:rPr>
              <w:fldChar w:fldCharType="end"/>
            </w:r>
          </w:hyperlink>
        </w:p>
        <w:p w14:paraId="0F6FA147" w14:textId="6762101B" w:rsidR="003912ED" w:rsidRDefault="0063018E">
          <w:pPr>
            <w:pStyle w:val="Cuprins1"/>
            <w:tabs>
              <w:tab w:val="right" w:leader="dot" w:pos="9350"/>
            </w:tabs>
            <w:rPr>
              <w:noProof/>
            </w:rPr>
          </w:pPr>
          <w:hyperlink w:anchor="_Toc166269396" w:history="1">
            <w:r w:rsidR="003912ED" w:rsidRPr="00D429ED">
              <w:rPr>
                <w:rStyle w:val="Hyperlink"/>
                <w:noProof/>
              </w:rPr>
              <w:t>Main Body</w:t>
            </w:r>
            <w:r w:rsidR="003912ED">
              <w:rPr>
                <w:noProof/>
                <w:webHidden/>
              </w:rPr>
              <w:tab/>
            </w:r>
            <w:r w:rsidR="003912ED">
              <w:rPr>
                <w:noProof/>
                <w:webHidden/>
              </w:rPr>
              <w:fldChar w:fldCharType="begin"/>
            </w:r>
            <w:r w:rsidR="003912ED">
              <w:rPr>
                <w:noProof/>
                <w:webHidden/>
              </w:rPr>
              <w:instrText xml:space="preserve"> PAGEREF _Toc166269396 \h </w:instrText>
            </w:r>
            <w:r w:rsidR="003912ED">
              <w:rPr>
                <w:noProof/>
                <w:webHidden/>
              </w:rPr>
            </w:r>
            <w:r w:rsidR="003912ED">
              <w:rPr>
                <w:noProof/>
                <w:webHidden/>
              </w:rPr>
              <w:fldChar w:fldCharType="separate"/>
            </w:r>
            <w:r w:rsidR="003912ED">
              <w:rPr>
                <w:noProof/>
                <w:webHidden/>
              </w:rPr>
              <w:t>3</w:t>
            </w:r>
            <w:r w:rsidR="003912ED">
              <w:rPr>
                <w:noProof/>
                <w:webHidden/>
              </w:rPr>
              <w:fldChar w:fldCharType="end"/>
            </w:r>
          </w:hyperlink>
        </w:p>
        <w:p w14:paraId="488ACC7A" w14:textId="14953573" w:rsidR="003912ED" w:rsidRDefault="0063018E">
          <w:pPr>
            <w:pStyle w:val="Cuprins2"/>
            <w:tabs>
              <w:tab w:val="right" w:leader="dot" w:pos="9350"/>
            </w:tabs>
            <w:rPr>
              <w:noProof/>
            </w:rPr>
          </w:pPr>
          <w:hyperlink w:anchor="_Toc166269397" w:history="1">
            <w:r w:rsidR="003912ED" w:rsidRPr="00D429ED">
              <w:rPr>
                <w:rStyle w:val="Hyperlink"/>
                <w:noProof/>
              </w:rPr>
              <w:t>Analysis of Marriott's CSR Policies</w:t>
            </w:r>
            <w:r w:rsidR="003912ED">
              <w:rPr>
                <w:noProof/>
                <w:webHidden/>
              </w:rPr>
              <w:tab/>
            </w:r>
            <w:r w:rsidR="003912ED">
              <w:rPr>
                <w:noProof/>
                <w:webHidden/>
              </w:rPr>
              <w:fldChar w:fldCharType="begin"/>
            </w:r>
            <w:r w:rsidR="003912ED">
              <w:rPr>
                <w:noProof/>
                <w:webHidden/>
              </w:rPr>
              <w:instrText xml:space="preserve"> PAGEREF _Toc166269397 \h </w:instrText>
            </w:r>
            <w:r w:rsidR="003912ED">
              <w:rPr>
                <w:noProof/>
                <w:webHidden/>
              </w:rPr>
            </w:r>
            <w:r w:rsidR="003912ED">
              <w:rPr>
                <w:noProof/>
                <w:webHidden/>
              </w:rPr>
              <w:fldChar w:fldCharType="separate"/>
            </w:r>
            <w:r w:rsidR="003912ED">
              <w:rPr>
                <w:noProof/>
                <w:webHidden/>
              </w:rPr>
              <w:t>3</w:t>
            </w:r>
            <w:r w:rsidR="003912ED">
              <w:rPr>
                <w:noProof/>
                <w:webHidden/>
              </w:rPr>
              <w:fldChar w:fldCharType="end"/>
            </w:r>
          </w:hyperlink>
        </w:p>
        <w:p w14:paraId="0FD33A31" w14:textId="377D01D9" w:rsidR="003912ED" w:rsidRDefault="0063018E">
          <w:pPr>
            <w:pStyle w:val="Cuprins2"/>
            <w:tabs>
              <w:tab w:val="right" w:leader="dot" w:pos="9350"/>
            </w:tabs>
            <w:rPr>
              <w:noProof/>
            </w:rPr>
          </w:pPr>
          <w:hyperlink w:anchor="_Toc166269398" w:history="1">
            <w:r w:rsidR="003912ED" w:rsidRPr="00D429ED">
              <w:rPr>
                <w:rStyle w:val="Hyperlink"/>
                <w:noProof/>
              </w:rPr>
              <w:t>Evaluation of Sustainability Practices</w:t>
            </w:r>
            <w:r w:rsidR="003912ED">
              <w:rPr>
                <w:noProof/>
                <w:webHidden/>
              </w:rPr>
              <w:tab/>
            </w:r>
            <w:r w:rsidR="003912ED">
              <w:rPr>
                <w:noProof/>
                <w:webHidden/>
              </w:rPr>
              <w:fldChar w:fldCharType="begin"/>
            </w:r>
            <w:r w:rsidR="003912ED">
              <w:rPr>
                <w:noProof/>
                <w:webHidden/>
              </w:rPr>
              <w:instrText xml:space="preserve"> PAGEREF _Toc166269398 \h </w:instrText>
            </w:r>
            <w:r w:rsidR="003912ED">
              <w:rPr>
                <w:noProof/>
                <w:webHidden/>
              </w:rPr>
            </w:r>
            <w:r w:rsidR="003912ED">
              <w:rPr>
                <w:noProof/>
                <w:webHidden/>
              </w:rPr>
              <w:fldChar w:fldCharType="separate"/>
            </w:r>
            <w:r w:rsidR="003912ED">
              <w:rPr>
                <w:noProof/>
                <w:webHidden/>
              </w:rPr>
              <w:t>5</w:t>
            </w:r>
            <w:r w:rsidR="003912ED">
              <w:rPr>
                <w:noProof/>
                <w:webHidden/>
              </w:rPr>
              <w:fldChar w:fldCharType="end"/>
            </w:r>
          </w:hyperlink>
        </w:p>
        <w:p w14:paraId="356C236C" w14:textId="44C5AE90" w:rsidR="003912ED" w:rsidRDefault="0063018E">
          <w:pPr>
            <w:pStyle w:val="Cuprins2"/>
            <w:tabs>
              <w:tab w:val="right" w:leader="dot" w:pos="9350"/>
            </w:tabs>
            <w:rPr>
              <w:noProof/>
            </w:rPr>
          </w:pPr>
          <w:hyperlink w:anchor="_Toc166269399" w:history="1">
            <w:r w:rsidR="003912ED" w:rsidRPr="00D429ED">
              <w:rPr>
                <w:rStyle w:val="Hyperlink"/>
                <w:noProof/>
              </w:rPr>
              <w:t>Challenges and Opportunities</w:t>
            </w:r>
            <w:r w:rsidR="003912ED">
              <w:rPr>
                <w:noProof/>
                <w:webHidden/>
              </w:rPr>
              <w:tab/>
            </w:r>
            <w:r w:rsidR="003912ED">
              <w:rPr>
                <w:noProof/>
                <w:webHidden/>
              </w:rPr>
              <w:fldChar w:fldCharType="begin"/>
            </w:r>
            <w:r w:rsidR="003912ED">
              <w:rPr>
                <w:noProof/>
                <w:webHidden/>
              </w:rPr>
              <w:instrText xml:space="preserve"> PAGEREF _Toc166269399 \h </w:instrText>
            </w:r>
            <w:r w:rsidR="003912ED">
              <w:rPr>
                <w:noProof/>
                <w:webHidden/>
              </w:rPr>
            </w:r>
            <w:r w:rsidR="003912ED">
              <w:rPr>
                <w:noProof/>
                <w:webHidden/>
              </w:rPr>
              <w:fldChar w:fldCharType="separate"/>
            </w:r>
            <w:r w:rsidR="003912ED">
              <w:rPr>
                <w:noProof/>
                <w:webHidden/>
              </w:rPr>
              <w:t>6</w:t>
            </w:r>
            <w:r w:rsidR="003912ED">
              <w:rPr>
                <w:noProof/>
                <w:webHidden/>
              </w:rPr>
              <w:fldChar w:fldCharType="end"/>
            </w:r>
          </w:hyperlink>
        </w:p>
        <w:p w14:paraId="1097B3DD" w14:textId="1FD217A5" w:rsidR="003912ED" w:rsidRDefault="0063018E">
          <w:pPr>
            <w:pStyle w:val="Cuprins1"/>
            <w:tabs>
              <w:tab w:val="right" w:leader="dot" w:pos="9350"/>
            </w:tabs>
            <w:rPr>
              <w:noProof/>
            </w:rPr>
          </w:pPr>
          <w:hyperlink w:anchor="_Toc166269400" w:history="1">
            <w:r w:rsidR="003912ED" w:rsidRPr="00D429ED">
              <w:rPr>
                <w:rStyle w:val="Hyperlink"/>
                <w:noProof/>
              </w:rPr>
              <w:t>Conclusion</w:t>
            </w:r>
            <w:r w:rsidR="003912ED">
              <w:rPr>
                <w:noProof/>
                <w:webHidden/>
              </w:rPr>
              <w:tab/>
            </w:r>
            <w:r w:rsidR="003912ED">
              <w:rPr>
                <w:noProof/>
                <w:webHidden/>
              </w:rPr>
              <w:fldChar w:fldCharType="begin"/>
            </w:r>
            <w:r w:rsidR="003912ED">
              <w:rPr>
                <w:noProof/>
                <w:webHidden/>
              </w:rPr>
              <w:instrText xml:space="preserve"> PAGEREF _Toc166269400 \h </w:instrText>
            </w:r>
            <w:r w:rsidR="003912ED">
              <w:rPr>
                <w:noProof/>
                <w:webHidden/>
              </w:rPr>
            </w:r>
            <w:r w:rsidR="003912ED">
              <w:rPr>
                <w:noProof/>
                <w:webHidden/>
              </w:rPr>
              <w:fldChar w:fldCharType="separate"/>
            </w:r>
            <w:r w:rsidR="003912ED">
              <w:rPr>
                <w:noProof/>
                <w:webHidden/>
              </w:rPr>
              <w:t>7</w:t>
            </w:r>
            <w:r w:rsidR="003912ED">
              <w:rPr>
                <w:noProof/>
                <w:webHidden/>
              </w:rPr>
              <w:fldChar w:fldCharType="end"/>
            </w:r>
          </w:hyperlink>
        </w:p>
        <w:p w14:paraId="26DBDFA8" w14:textId="397074A1" w:rsidR="003912ED" w:rsidRDefault="0063018E">
          <w:pPr>
            <w:pStyle w:val="Cuprins1"/>
            <w:tabs>
              <w:tab w:val="right" w:leader="dot" w:pos="9350"/>
            </w:tabs>
            <w:rPr>
              <w:noProof/>
            </w:rPr>
          </w:pPr>
          <w:hyperlink w:anchor="_Toc166269401" w:history="1">
            <w:r w:rsidR="003912ED" w:rsidRPr="00D429ED">
              <w:rPr>
                <w:rStyle w:val="Hyperlink"/>
                <w:noProof/>
              </w:rPr>
              <w:t>References</w:t>
            </w:r>
            <w:r w:rsidR="003912ED">
              <w:rPr>
                <w:noProof/>
                <w:webHidden/>
              </w:rPr>
              <w:tab/>
            </w:r>
            <w:r w:rsidR="003912ED">
              <w:rPr>
                <w:noProof/>
                <w:webHidden/>
              </w:rPr>
              <w:fldChar w:fldCharType="begin"/>
            </w:r>
            <w:r w:rsidR="003912ED">
              <w:rPr>
                <w:noProof/>
                <w:webHidden/>
              </w:rPr>
              <w:instrText xml:space="preserve"> PAGEREF _Toc166269401 \h </w:instrText>
            </w:r>
            <w:r w:rsidR="003912ED">
              <w:rPr>
                <w:noProof/>
                <w:webHidden/>
              </w:rPr>
            </w:r>
            <w:r w:rsidR="003912ED">
              <w:rPr>
                <w:noProof/>
                <w:webHidden/>
              </w:rPr>
              <w:fldChar w:fldCharType="separate"/>
            </w:r>
            <w:r w:rsidR="003912ED">
              <w:rPr>
                <w:noProof/>
                <w:webHidden/>
              </w:rPr>
              <w:t>8</w:t>
            </w:r>
            <w:r w:rsidR="003912ED">
              <w:rPr>
                <w:noProof/>
                <w:webHidden/>
              </w:rPr>
              <w:fldChar w:fldCharType="end"/>
            </w:r>
          </w:hyperlink>
        </w:p>
        <w:p w14:paraId="0884AB39" w14:textId="2A371C88" w:rsidR="003912ED" w:rsidRDefault="003912ED">
          <w:r>
            <w:rPr>
              <w:b/>
              <w:bCs/>
              <w:noProof/>
            </w:rPr>
            <w:fldChar w:fldCharType="end"/>
          </w:r>
        </w:p>
      </w:sdtContent>
    </w:sdt>
    <w:p w14:paraId="4A0C35B8" w14:textId="77777777" w:rsidR="003912ED" w:rsidRDefault="003912ED" w:rsidP="003912ED"/>
    <w:p w14:paraId="2D60A40C" w14:textId="77777777" w:rsidR="003912ED" w:rsidRDefault="003912ED">
      <w:pPr>
        <w:jc w:val="left"/>
        <w:rPr>
          <w:rFonts w:eastAsiaTheme="majorEastAsia" w:cstheme="majorBidi"/>
          <w:b/>
          <w:sz w:val="28"/>
          <w:szCs w:val="32"/>
        </w:rPr>
      </w:pPr>
      <w:r>
        <w:br w:type="page"/>
      </w:r>
    </w:p>
    <w:p w14:paraId="2BC6CF2C" w14:textId="5175C057" w:rsidR="002E0ECB" w:rsidRDefault="002E0ECB" w:rsidP="003912ED">
      <w:pPr>
        <w:pStyle w:val="Titlu1"/>
        <w:spacing w:line="360" w:lineRule="auto"/>
      </w:pPr>
      <w:bookmarkStart w:id="0" w:name="_Toc166269395"/>
      <w:r>
        <w:t>Introduction</w:t>
      </w:r>
      <w:bookmarkEnd w:id="0"/>
    </w:p>
    <w:p w14:paraId="0506A50D" w14:textId="0D6BB261" w:rsidR="002E0ECB" w:rsidRDefault="002E0ECB" w:rsidP="003912ED">
      <w:pPr>
        <w:spacing w:line="360" w:lineRule="auto"/>
      </w:pPr>
      <w:r>
        <w:t xml:space="preserve">A corporate social responsibility (CSR) is a very important factor in molding modern business practices, </w:t>
      </w:r>
      <w:r w:rsidR="003912ED">
        <w:t>ethically</w:t>
      </w:r>
      <w:r>
        <w:t xml:space="preserve"> within the Hospitality sector where sustainability has become a thing due to the sector's great positive and negative impacts on the environment as well as the society. While bona fide travelers tend to look for ethically admirable businesses, the hotels find themselves in an awkward position of trying to be in line with the responsible business principles. The following analysis investigates the implication of CSR in the sustainability of hospitality businesses as far as its strategic initiatives can help achieve this</w:t>
      </w:r>
      <w:r w:rsidR="00CD698E" w:rsidRPr="00CD698E">
        <w:t xml:space="preserve"> (Van Mieghem et al., 2022)</w:t>
      </w:r>
      <w:r>
        <w:t xml:space="preserve">. </w:t>
      </w:r>
    </w:p>
    <w:p w14:paraId="6AF6A3EF" w14:textId="77777777" w:rsidR="002E0ECB" w:rsidRDefault="002E0ECB" w:rsidP="003912ED">
      <w:pPr>
        <w:spacing w:line="360" w:lineRule="auto"/>
      </w:pPr>
      <w:r>
        <w:t xml:space="preserve">In the hospitality industry, CSR stands for the blueprint that hotels have to make their staff happy, to cooperate with and help local communities, and to be kind to the environment. Indeed, sustainability is normally associated with the principles of eco-friendliness, social equity, and better economic performance.  These include lowering waste, conserving energy consumptions, and supporting community progress. Within this framework CSR and sustainability are carefully placed main ingredients of the corporate strategy. </w:t>
      </w:r>
    </w:p>
    <w:p w14:paraId="12FBFB38" w14:textId="17EA9553" w:rsidR="002E0ECB" w:rsidRDefault="002E0ECB" w:rsidP="003912ED">
      <w:pPr>
        <w:spacing w:line="360" w:lineRule="auto"/>
      </w:pPr>
      <w:r>
        <w:t>Facing the challenge of environmental degradation, economic transformation, and human welfare, a company like Marriott International promotes CSR activities with the aim to take care of the environment, people, and the economy</w:t>
      </w:r>
      <w:r w:rsidR="00CD698E" w:rsidRPr="00CD698E">
        <w:t xml:space="preserve"> (Tewhaiti-Smith et al., 2022)</w:t>
      </w:r>
      <w:r>
        <w:t xml:space="preserve">. The enterprise practices to make a positive change through its "Serve 360'' pillar while being aligned to the UN Sustainable Development Goals. This program places most of its focus upon issues of environmental protection, involvement of local communities and provision of rights and safety to employees. </w:t>
      </w:r>
    </w:p>
    <w:p w14:paraId="5D3AFA4E" w14:textId="7EA34A33" w:rsidR="002E0ECB" w:rsidRDefault="002E0ECB" w:rsidP="003912ED">
      <w:pPr>
        <w:pStyle w:val="Titlu1"/>
        <w:spacing w:line="360" w:lineRule="auto"/>
      </w:pPr>
      <w:bookmarkStart w:id="1" w:name="_Toc166269396"/>
      <w:r>
        <w:t>Main Body</w:t>
      </w:r>
      <w:bookmarkEnd w:id="1"/>
    </w:p>
    <w:p w14:paraId="202CF820" w14:textId="77777777" w:rsidR="002E0ECB" w:rsidRPr="002E0ECB" w:rsidRDefault="002E0ECB" w:rsidP="003912ED">
      <w:pPr>
        <w:pStyle w:val="Titlu2"/>
        <w:spacing w:line="360" w:lineRule="auto"/>
      </w:pPr>
      <w:bookmarkStart w:id="2" w:name="_Toc166269397"/>
      <w:r>
        <w:t>Analysis of Marriott's CSR Policies</w:t>
      </w:r>
      <w:bookmarkEnd w:id="2"/>
    </w:p>
    <w:p w14:paraId="78379599" w14:textId="759CFE3D" w:rsidR="002E0ECB" w:rsidRDefault="002E0ECB" w:rsidP="003912ED">
      <w:pPr>
        <w:spacing w:line="360" w:lineRule="auto"/>
      </w:pPr>
      <w:r>
        <w:t>By aiming for the strapline "Doing Good in Every Direction," this initiative helps the company achieve its ecological, social, and governance goals. Some of the key strategies include increasing the efficacy of water management and energy savings at our operations, prioritizing diversity and inclusion, devoting resources to the community via non-profit activities and doing business in an ethical way. With Marriott, this responsible behavior in business is very obvious, Human rights protection, procedures of health and safety among other safety standards are part of the corporate global practices</w:t>
      </w:r>
      <w:r w:rsidR="00CD698E" w:rsidRPr="00CD698E">
        <w:t xml:space="preserve"> (Straathof et al., 2020)</w:t>
      </w:r>
      <w:r>
        <w:t xml:space="preserve">. This system, which forms the backbone of the business, is an excellent demonstration of a holistic approach to improving sustainability within the tourism sector in line with UN Sustainable Development Goals. </w:t>
      </w:r>
    </w:p>
    <w:p w14:paraId="077314B5" w14:textId="7C45CABC" w:rsidR="002E0ECB" w:rsidRDefault="002E0ECB" w:rsidP="00CD698E">
      <w:pPr>
        <w:pStyle w:val="Listparagraf"/>
        <w:numPr>
          <w:ilvl w:val="0"/>
          <w:numId w:val="1"/>
        </w:numPr>
        <w:spacing w:line="360" w:lineRule="auto"/>
      </w:pPr>
      <w:r>
        <w:t>Environmental Impact Reduction: Marriott has reaffirmed its commitment to decrease carbon footprint, save water and avoid waste production. Goal of achieving carbon reduction by 30% till 2025 is in conformity with emission reduction strategies at the global level. Through the multitude of water conservation measures, including water-stressed regions, constructed and implemented across the properties, means of resource preservation becomes the principle for water use</w:t>
      </w:r>
      <w:r w:rsidR="00CD698E" w:rsidRPr="00CD698E">
        <w:t xml:space="preserve"> (Standen et al., 2021)</w:t>
      </w:r>
      <w:r>
        <w:t xml:space="preserve">. Single-use plastics and landfills waste diversion are the two prominent practices that are helping Marriott in developing an all-encompassing sustainability standpoint. </w:t>
      </w:r>
    </w:p>
    <w:p w14:paraId="64EE1C9F" w14:textId="77777777" w:rsidR="002E0ECB" w:rsidRDefault="002E0ECB" w:rsidP="003912ED">
      <w:pPr>
        <w:pStyle w:val="Listparagraf"/>
        <w:numPr>
          <w:ilvl w:val="0"/>
          <w:numId w:val="1"/>
        </w:numPr>
        <w:spacing w:line="360" w:lineRule="auto"/>
      </w:pPr>
      <w:r>
        <w:t xml:space="preserve">Diversity and Inclusion: Marriott Company understands that diverse workforce brings more value to the company and hence inclusive hiring solutions has been introduced. Such initiatives as backing up the businesses owned by minorities and women promotion to the leadership highlight the need for a more diverse and fair working environment. </w:t>
      </w:r>
    </w:p>
    <w:p w14:paraId="1DCCFACC" w14:textId="611B3CB7" w:rsidR="002E0ECB" w:rsidRDefault="002E0ECB" w:rsidP="00CD698E">
      <w:pPr>
        <w:pStyle w:val="Listparagraf"/>
        <w:numPr>
          <w:ilvl w:val="0"/>
          <w:numId w:val="1"/>
        </w:numPr>
        <w:spacing w:line="360" w:lineRule="auto"/>
      </w:pPr>
      <w:r>
        <w:t>Community Empowerment: The firm pays back locally by offering charitable donations, diadem training, and emergency relief programs. Through the provision of support to sustainable tourism, Marriott not only contributes but also strengthens the economic endurance of the areas in which it does business</w:t>
      </w:r>
      <w:r w:rsidR="00CD698E" w:rsidRPr="00CD698E">
        <w:t xml:space="preserve"> (Ryan et al., 2021)</w:t>
      </w:r>
      <w:r>
        <w:t xml:space="preserve">. </w:t>
      </w:r>
    </w:p>
    <w:p w14:paraId="5BBE2153" w14:textId="3E2D126E" w:rsidR="002E0ECB" w:rsidRDefault="002E0ECB" w:rsidP="003912ED">
      <w:pPr>
        <w:pStyle w:val="Listparagraf"/>
        <w:numPr>
          <w:ilvl w:val="0"/>
          <w:numId w:val="1"/>
        </w:numPr>
        <w:spacing w:line="360" w:lineRule="auto"/>
      </w:pPr>
      <w:r>
        <w:t xml:space="preserve">Ethical Supply Chain: Marriott adopts tough standards of ethics for its suppliers to make sure that there is a provision for fair labor practices, human rights protection and a </w:t>
      </w:r>
      <w:r w:rsidR="003912ED">
        <w:t>largely</w:t>
      </w:r>
      <w:r>
        <w:t xml:space="preserve"> environmentally responsible sourcing. </w:t>
      </w:r>
    </w:p>
    <w:p w14:paraId="2811565A" w14:textId="77777777" w:rsidR="002E0ECB" w:rsidRDefault="002E0ECB" w:rsidP="003912ED">
      <w:pPr>
        <w:spacing w:line="360" w:lineRule="auto"/>
      </w:pPr>
      <w:r>
        <w:t xml:space="preserve">By effect these policy provisions mean that hotel industry is considered as a good citizen irrespective of guest satisfaction factor. Through focusing on the solution of top problems such as social, environmental, and ethical ones, Marriott intends to generate long-term value for all stakeholders involved. </w:t>
      </w:r>
    </w:p>
    <w:p w14:paraId="3C2A956F" w14:textId="6B9395A3" w:rsidR="002E0ECB" w:rsidRDefault="002E0ECB" w:rsidP="003912ED">
      <w:pPr>
        <w:spacing w:line="360" w:lineRule="auto"/>
      </w:pPr>
      <w:r>
        <w:t>Marriott practices stakeholder theory by aligning its CSR policies with principles of the three-parted model known as Triple Bottom Line</w:t>
      </w:r>
      <w:r w:rsidR="00CD698E" w:rsidRPr="00CD698E">
        <w:t xml:space="preserve"> (Pitardi and Marriott, 2021)</w:t>
      </w:r>
      <w:r>
        <w:t xml:space="preserve">. According to Stakeholder theory, the main duty of an organization is to strike a balance between maximizing shareholder value, while at the same time conducting business in a way that does not compromise the interests of all relevant stakeholders. Marriott sustainability policies come with approach towards employment, local partnerships and environmental protection which help in building up clearness, trust and goodwill. </w:t>
      </w:r>
    </w:p>
    <w:p w14:paraId="48B39BE4" w14:textId="4455FD22" w:rsidR="002E0ECB" w:rsidRDefault="002E0ECB" w:rsidP="003912ED">
      <w:pPr>
        <w:spacing w:line="360" w:lineRule="auto"/>
      </w:pPr>
      <w:r>
        <w:t>In terms of the Triple Bottom Line, Marriott’s initiatives encompass the three pillars: environmental, societal, and economic framework. Environmental strategies include the waste reduction and energy conservation which results not only in the company's small ecological footprint but also in the use of renewable sources of energy. Social initiatives are aimed at many goals, including increasing inclusivity, community economic growth, and an expansion of the charitable sphere, thus enhancing the quality of life for communities. Considering the economic aspect, this hotel system’s sustainability efforts contribute to brand loyalty and profitability as they significantly reduce consumption costs, also known as energy efficiency and waste minimization</w:t>
      </w:r>
      <w:r w:rsidR="00CD698E" w:rsidRPr="00CD698E">
        <w:t xml:space="preserve"> (Pampaloni et al., 2022)</w:t>
      </w:r>
      <w:r>
        <w:t xml:space="preserve">. The company breaks down the model of CSR which shows how to implement comprehensive strategies and to obtain lasting values for the stakeholders and the society. </w:t>
      </w:r>
    </w:p>
    <w:p w14:paraId="611579DE" w14:textId="77777777" w:rsidR="002E0ECB" w:rsidRDefault="002E0ECB" w:rsidP="003912ED">
      <w:pPr>
        <w:pStyle w:val="Titlu2"/>
        <w:spacing w:line="360" w:lineRule="auto"/>
      </w:pPr>
      <w:bookmarkStart w:id="3" w:name="_Toc166269398"/>
      <w:r>
        <w:t>Evaluation of Sustainability Practices</w:t>
      </w:r>
      <w:bookmarkEnd w:id="3"/>
    </w:p>
    <w:p w14:paraId="0FF125A0" w14:textId="3269DD71" w:rsidR="002E0ECB" w:rsidRDefault="002E0ECB" w:rsidP="003912ED">
      <w:pPr>
        <w:spacing w:line="360" w:lineRule="auto"/>
      </w:pPr>
      <w:r>
        <w:t xml:space="preserve">Marriott’s energy efficient policies play a huge role in mitigating the scope of environmental degradation that the company is directly or indirectly responsible for. The company target is to reduce the carbon emissions by 30% by 2025 and has already achieved </w:t>
      </w:r>
      <w:r w:rsidR="003912ED">
        <w:t>this</w:t>
      </w:r>
      <w:r>
        <w:t>; through lighting, heating, ventilation, and air conditioning systems improvements. Marriott is becoming a leader in implementing renewables because it adopts renewable energy, as it uses solar systems in its properties, thus fossil fuels usage is diminished. As every moment, Marriott is able to track the energy flow and pinpoint the deficiencies so that the power consumption can be optimized accordingly. The initiatives of this type both reduce the amount of carbon reduced and save operational cost</w:t>
      </w:r>
      <w:r w:rsidR="00CD698E" w:rsidRPr="00CD698E">
        <w:t xml:space="preserve"> (Kalincik et al., 2023)</w:t>
      </w:r>
      <w:r>
        <w:t xml:space="preserve">. </w:t>
      </w:r>
    </w:p>
    <w:p w14:paraId="313D14C9" w14:textId="2BCD82D2" w:rsidR="002E0ECB" w:rsidRDefault="002E0ECB" w:rsidP="003912ED">
      <w:pPr>
        <w:spacing w:line="360" w:lineRule="auto"/>
      </w:pPr>
      <w:r>
        <w:t xml:space="preserve">Marriott is </w:t>
      </w:r>
      <w:r w:rsidR="003912ED">
        <w:t>committed</w:t>
      </w:r>
      <w:r>
        <w:t xml:space="preserve"> to the waste management, which is reflected in its considerable effort to cut back on waste generating and diversion of waste from landfills. Wee! The use of plastics like the straws and toiletries has been totally outlawed, and this has led to a drop in the amount of the non-biodegradable waste. The business also collaborates with local service units to donate extra food and keep the waste from the materials safe until they can be fed back to the circle of nature. Moreover, Marriott has a collaboration with the Clean the World to recycle soap and hygiene products and hence, many communities that are less fortunate get themselves the hygiene kits and the whole waste problem will be lowered. </w:t>
      </w:r>
    </w:p>
    <w:p w14:paraId="0F533C90" w14:textId="26181423" w:rsidR="002E0ECB" w:rsidRDefault="002E0ECB" w:rsidP="003912ED">
      <w:pPr>
        <w:spacing w:line="360" w:lineRule="auto"/>
      </w:pPr>
      <w:r>
        <w:t>Involvement of Marriott in the community through charitable giving, disaster relief, and skills behalf is the key to caring about the well-being of others</w:t>
      </w:r>
      <w:r w:rsidR="00CD698E" w:rsidRPr="00CD698E">
        <w:t xml:space="preserve"> (Holloway et al., 2022)</w:t>
      </w:r>
      <w:r>
        <w:t xml:space="preserve">. As the relationship between the Marriott group and NGOs as well as government agencies improves, Marriott ensures timely assistance in disaster response and provides critical resources to affected areas. Local skill training forms </w:t>
      </w:r>
      <w:r w:rsidR="003912ED">
        <w:t>neighborhoods</w:t>
      </w:r>
      <w:r>
        <w:t xml:space="preserve"> empowerment by creating job vacancies in the hotel industry. Consequently, the firm stimulates cultural heritage preservation among its customers, encouraging them to keep world tourism responsible. </w:t>
      </w:r>
    </w:p>
    <w:p w14:paraId="0747161D" w14:textId="3315A8C6" w:rsidR="002E0ECB" w:rsidRDefault="003912ED" w:rsidP="003912ED">
      <w:pPr>
        <w:spacing w:line="360" w:lineRule="auto"/>
      </w:pPr>
      <w:r>
        <w:t>Marriot</w:t>
      </w:r>
      <w:r w:rsidR="002E0ECB">
        <w:t xml:space="preserve"> policies hold a natural alignment with environmental sustainability through water conservation, less consumption of waste, and energy efficiency. Renewable energy switch and the absence of plastics made of </w:t>
      </w:r>
      <w:r>
        <w:t>one-time</w:t>
      </w:r>
      <w:r w:rsidR="002E0ECB">
        <w:t xml:space="preserve"> use serve to indicate the company’s aim to bring its environmental footprint under control. Their commitment to protecting biodiversity occupies various spheres of sustainable sourcing processes which guarantee the preservation of the ecosystems</w:t>
      </w:r>
      <w:r w:rsidR="00CD698E" w:rsidRPr="00CD698E">
        <w:t xml:space="preserve"> (Chung et al., 2020)</w:t>
      </w:r>
      <w:r w:rsidR="002E0ECB">
        <w:t xml:space="preserve">. </w:t>
      </w:r>
    </w:p>
    <w:p w14:paraId="4D281A0C" w14:textId="6389BA9B" w:rsidR="002E0ECB" w:rsidRDefault="002E0ECB" w:rsidP="003912ED">
      <w:pPr>
        <w:spacing w:line="360" w:lineRule="auto"/>
      </w:pPr>
      <w:r>
        <w:t>Marriott resolves social sustainability in such ways as it helps to hire people with disabilities and other vulnerable groups, reach out to communities, and be ready for any sort of catastrophes. Through guiding women and minority groups to leadership positions and being consciously aware of an unbiased work culture, Marriott therefore becomes a tolerant and fair-minded workspace. More so, development of professional skills projects which help uplift the sectors of the society that were the most disadvantaged, and empower them with required tools to be successful in the hospitality industry</w:t>
      </w:r>
      <w:r w:rsidR="00CD698E" w:rsidRPr="00CD698E">
        <w:t xml:space="preserve"> (Caton et al., 2022)</w:t>
      </w:r>
      <w:r>
        <w:t xml:space="preserve">. </w:t>
      </w:r>
    </w:p>
    <w:p w14:paraId="273E8A42" w14:textId="77777777" w:rsidR="002E0ECB" w:rsidRPr="002E0ECB" w:rsidRDefault="002E0ECB" w:rsidP="003912ED">
      <w:pPr>
        <w:pStyle w:val="Titlu2"/>
        <w:spacing w:line="360" w:lineRule="auto"/>
        <w:rPr>
          <w:rStyle w:val="Accentuaresubtil"/>
        </w:rPr>
      </w:pPr>
      <w:bookmarkStart w:id="4" w:name="_Toc166269399"/>
      <w:r>
        <w:t>Challenges and Opportunities</w:t>
      </w:r>
      <w:bookmarkEnd w:id="4"/>
    </w:p>
    <w:p w14:paraId="254AD541" w14:textId="1DA6D453" w:rsidR="002E0ECB" w:rsidRDefault="002E0ECB" w:rsidP="003912ED">
      <w:pPr>
        <w:spacing w:line="360" w:lineRule="auto"/>
      </w:pPr>
      <w:r>
        <w:t xml:space="preserve">Global implementation of CSR policy is a challenge besides Marriott International. One of the important factors is the different cultural backgrounds, which become evident with locally different </w:t>
      </w:r>
      <w:r w:rsidR="003912ED">
        <w:t>norms and</w:t>
      </w:r>
      <w:r>
        <w:t xml:space="preserve"> expectations, meaning that it would be difficult to create generally accepted CSR policies. The example for this is that if the societies regard something good in terms of sustainability, it might not be the same in other culture. Additionally, the complicated global regulatory space is a chronicle for an architect that presents such irregularities as environmental regulations, labor laws, and the free-trade rules that are incompatible</w:t>
      </w:r>
      <w:r w:rsidR="00CD698E" w:rsidRPr="00CD698E">
        <w:t xml:space="preserve"> (Casey et al., 2022)</w:t>
      </w:r>
      <w:r>
        <w:t>. Compliance is also a very expensive process, resulting in new CSR projects remain in enacting. The last issue is resource allocation, in case CSR is comprehensive, lots of money will be spent on training people, infrastructure and community engagement. Struggling with maintaining the costs with the efficient operational in the developing world has been a typical problem where resources are few and it not obvious why money is needed. Along with that the wide network of suppliers that Marriott has makes it not simple to ensure ethical resourcing and therefore sustainability. The fact checker requires constant monitoring of sustainability standards among suppliers, this is particularly crucial when engaging with emerging market players.  However, this comes at a huge logistical and cost</w:t>
      </w:r>
      <w:r w:rsidR="00CD698E" w:rsidRPr="00CD698E">
        <w:t xml:space="preserve"> (Bombelli et al., 2022)</w:t>
      </w:r>
      <w:r>
        <w:t xml:space="preserve">. </w:t>
      </w:r>
    </w:p>
    <w:p w14:paraId="42E3D8D5" w14:textId="005D6568" w:rsidR="002E0ECB" w:rsidRDefault="002E0ECB" w:rsidP="003912ED">
      <w:pPr>
        <w:spacing w:line="360" w:lineRule="auto"/>
      </w:pPr>
      <w:r>
        <w:t>The hurdles remain, however, present in the way of Marriott to expand CRS even more. Technology, like, for example, may come up with innovations which may help to boost these programs. Modern building technologies applies smarter energy and water consumption, blockchain ensures transparency in the supply chain and AI analytics helps in identifying inefficiencies, hence the management can make the best possible decision based on the gathered data. Furthermore, collaboration on the part of stakeholders becomes another option. Through joint efforts with NGOs, local governments, as well as other hospitality organizations the social impact of Marriott can be multiplied, especially if there are shared initiative between the stakeholders with diverse expertise, such as multi-sectoral task forces which focus on the global issues like human trafficking, as well as environmental preservation</w:t>
      </w:r>
      <w:r w:rsidR="00CD698E" w:rsidRPr="00CD698E">
        <w:t xml:space="preserve"> (Ahmed et al., 2022)</w:t>
      </w:r>
      <w:r>
        <w:t>. The level of customer engagement should not be forgotten either. The venture of Marriott Hotel could increase sustainability awareness of customers by means of its CSR programs such as the guest-facing carbon offset initiative.  This could be achieved through direct involvement of the guests in these programs. For example, exclusive “green” resorts may serve eco-conscious travelers in emerging markets and, furthermore, by establishing new business models, they have a chance to promote best practices in environmental conservation.  Lastly but definitely not the least, establishing Training and Development programs for employees may create responsible culture and enable them to understand what their new employer’s CSR objectives are</w:t>
      </w:r>
      <w:r w:rsidR="00CD698E" w:rsidRPr="00CD698E">
        <w:t xml:space="preserve"> (Abdul-Aziz et al., 2020)</w:t>
      </w:r>
      <w:r>
        <w:t xml:space="preserve">. </w:t>
      </w:r>
    </w:p>
    <w:p w14:paraId="15EB62D1" w14:textId="77777777" w:rsidR="002E0ECB" w:rsidRDefault="002E0ECB" w:rsidP="003912ED">
      <w:pPr>
        <w:pStyle w:val="Titlu1"/>
        <w:spacing w:line="360" w:lineRule="auto"/>
      </w:pPr>
      <w:bookmarkStart w:id="5" w:name="_Toc166269400"/>
      <w:r>
        <w:t>Conclusion</w:t>
      </w:r>
      <w:bookmarkEnd w:id="5"/>
    </w:p>
    <w:p w14:paraId="023AA7B9" w14:textId="4FE625A4" w:rsidR="002E0ECB" w:rsidRDefault="002E0ECB" w:rsidP="003912ED">
      <w:pPr>
        <w:spacing w:line="360" w:lineRule="auto"/>
      </w:pPr>
      <w:r>
        <w:t xml:space="preserve">It has been revealed that the main pillar of the Company's CSR policy is an integrated system that targets the reduction in environmental footprint, the improvement of social welfare, and the promotion of business growth. These functions such as energy </w:t>
      </w:r>
      <w:r w:rsidR="003912ED">
        <w:t>efficiency</w:t>
      </w:r>
      <w:r>
        <w:t xml:space="preserve"> programs, waste immigration plans and involvement of the community are </w:t>
      </w:r>
      <w:r w:rsidR="003912ED">
        <w:t>comprehensive evidence</w:t>
      </w:r>
      <w:r>
        <w:t xml:space="preserve"> for the company's true love for the environment. An analysis of Marriot’s technique vs.  that of their competitors indicates that while it is in the area of energy management and social impact which they are leading, the gaps on their supply chain transparency and worker's rights are something that they can still improve on. By large, Marriott cooperates with CSR theories – Stakeholder Theory and Triple Bottom Line and thereby frames itself as a good industry player among peers. </w:t>
      </w:r>
    </w:p>
    <w:p w14:paraId="1F4115BD" w14:textId="443853F1" w:rsidR="002E0ECB" w:rsidRDefault="002E0ECB" w:rsidP="003912ED">
      <w:pPr>
        <w:spacing w:line="360" w:lineRule="auto"/>
      </w:pPr>
      <w:r>
        <w:t xml:space="preserve">The sustainable hotel industry practice makes an operation more efficient, </w:t>
      </w:r>
      <w:r w:rsidR="003912ED">
        <w:t>ticket</w:t>
      </w:r>
      <w:r>
        <w:t xml:space="preserve"> the planet, and boost the company branding. They help achieve customer monogamy and bring in socially sensitive travelers whilst allowing the destinations to fall in line with the evolving laws. Beyond that sustainable hotels are always on the positive side for the development of local economies and communities through their symbiosis with a society. </w:t>
      </w:r>
    </w:p>
    <w:p w14:paraId="39C18C4E" w14:textId="1EEBA99D" w:rsidR="002E0ECB" w:rsidRDefault="002E0ECB" w:rsidP="003912ED">
      <w:pPr>
        <w:spacing w:line="360" w:lineRule="auto"/>
      </w:pPr>
      <w:r>
        <w:t>Supply chain integrity and dealing with all the emerging global legislation should be the principal directions for the future CSR strategies. Research focus covers long term economic impacts of various sustainability initiatives and develops models for quantifying the positive effect of well-designed CSR programs on total customer satisfaction, loyalty, and brands reputation in hospitality.</w:t>
      </w:r>
    </w:p>
    <w:p w14:paraId="269E4880" w14:textId="77777777" w:rsidR="00806C2D" w:rsidRDefault="00806C2D" w:rsidP="003912ED">
      <w:pPr>
        <w:spacing w:line="360" w:lineRule="auto"/>
      </w:pPr>
    </w:p>
    <w:p w14:paraId="1A5E822C" w14:textId="77777777" w:rsidR="00806C2D" w:rsidRDefault="00806C2D" w:rsidP="003912ED">
      <w:pPr>
        <w:spacing w:line="360" w:lineRule="auto"/>
      </w:pPr>
    </w:p>
    <w:p w14:paraId="6BC89567" w14:textId="77777777" w:rsidR="00806C2D" w:rsidRDefault="00806C2D" w:rsidP="003912ED">
      <w:pPr>
        <w:spacing w:line="360" w:lineRule="auto"/>
      </w:pPr>
    </w:p>
    <w:p w14:paraId="553BAC0C" w14:textId="77777777" w:rsidR="00806C2D" w:rsidRDefault="00806C2D" w:rsidP="003912ED">
      <w:pPr>
        <w:spacing w:line="360" w:lineRule="auto"/>
      </w:pPr>
    </w:p>
    <w:p w14:paraId="2A268238" w14:textId="77777777" w:rsidR="00806C2D" w:rsidRDefault="00806C2D" w:rsidP="003912ED">
      <w:pPr>
        <w:spacing w:line="360" w:lineRule="auto"/>
      </w:pPr>
    </w:p>
    <w:p w14:paraId="5A638EE7" w14:textId="77777777" w:rsidR="00806C2D" w:rsidRDefault="00806C2D" w:rsidP="003912ED">
      <w:pPr>
        <w:spacing w:line="360" w:lineRule="auto"/>
      </w:pPr>
    </w:p>
    <w:p w14:paraId="5BE07CB6" w14:textId="77777777" w:rsidR="00806C2D" w:rsidRDefault="00806C2D" w:rsidP="003912ED">
      <w:pPr>
        <w:spacing w:line="360" w:lineRule="auto"/>
      </w:pPr>
    </w:p>
    <w:p w14:paraId="7D916F37" w14:textId="77777777" w:rsidR="00806C2D" w:rsidRDefault="00806C2D" w:rsidP="003912ED">
      <w:pPr>
        <w:spacing w:line="360" w:lineRule="auto"/>
      </w:pPr>
    </w:p>
    <w:p w14:paraId="2AADB757" w14:textId="77777777" w:rsidR="00806C2D" w:rsidRDefault="00806C2D" w:rsidP="003912ED">
      <w:pPr>
        <w:spacing w:line="360" w:lineRule="auto"/>
      </w:pPr>
    </w:p>
    <w:p w14:paraId="35356828" w14:textId="674C075F" w:rsidR="002E0ECB" w:rsidRDefault="002E0ECB" w:rsidP="003912ED">
      <w:pPr>
        <w:pStyle w:val="Titlu1"/>
        <w:spacing w:line="360" w:lineRule="auto"/>
      </w:pPr>
      <w:bookmarkStart w:id="6" w:name="_Toc166269401"/>
      <w:r>
        <w:t>References</w:t>
      </w:r>
      <w:bookmarkEnd w:id="6"/>
    </w:p>
    <w:p w14:paraId="6AC3BA00" w14:textId="344EC538" w:rsidR="00CD698E" w:rsidRDefault="00CD698E" w:rsidP="00CD698E"/>
    <w:p w14:paraId="2854A10B" w14:textId="7E030676" w:rsidR="00CD698E" w:rsidRDefault="00CD698E" w:rsidP="00CD698E">
      <w:pPr>
        <w:pStyle w:val="NormalWeb"/>
        <w:spacing w:before="0" w:beforeAutospacing="0" w:after="240" w:afterAutospacing="0" w:line="360" w:lineRule="auto"/>
      </w:pPr>
      <w:r>
        <w:t xml:space="preserve">Abdul-Aziz, M.H., Alffenaar, J.-W.C., Bassetti, M., Bracht, H., Dimopoulos, G., Marriott, D., Neely, M.N., Paiva, J.-A., Pea, F., Sjovall, F., Timsit, J.F., Udy, A.A., Wicha, S.G., Zeitlinger, M., De Waele, J.J. and Roberts, J.A. (2020). Antimicrobial therapeutic drug monitoring in critically ill adult patients: a Position Paper#. </w:t>
      </w:r>
      <w:r>
        <w:rPr>
          <w:i/>
          <w:iCs/>
        </w:rPr>
        <w:t>Intensive Care Medicine</w:t>
      </w:r>
      <w:r>
        <w:t xml:space="preserve">, [online] pp.1–27. </w:t>
      </w:r>
    </w:p>
    <w:p w14:paraId="51B2DE6A" w14:textId="77777777" w:rsidR="00CD698E" w:rsidRDefault="00CD698E" w:rsidP="00CD698E">
      <w:pPr>
        <w:pStyle w:val="NormalWeb"/>
        <w:spacing w:before="0" w:beforeAutospacing="0" w:after="240" w:afterAutospacing="0" w:line="360" w:lineRule="auto"/>
      </w:pPr>
      <w:r>
        <w:t xml:space="preserve">Ahmed, N., Marriott, A., Dabi, N., Lowthers, M., Lawson, M. and Mugehera, L. (2022). </w:t>
      </w:r>
      <w:r>
        <w:rPr>
          <w:i/>
          <w:iCs/>
        </w:rPr>
        <w:t>Inequality Kills: The unparalleled action needed to combat unprecedented inequality in the wake of COVID-19</w:t>
      </w:r>
      <w:r>
        <w:t xml:space="preserve">. [online] </w:t>
      </w:r>
      <w:r>
        <w:rPr>
          <w:i/>
          <w:iCs/>
        </w:rPr>
        <w:t>oxfamilibrary.openrepository.com</w:t>
      </w:r>
      <w:r>
        <w:t>. Oxfam. Available at: https://oxfamilibrary.openrepository.com/handle/10546/621341.</w:t>
      </w:r>
    </w:p>
    <w:p w14:paraId="560B63EB" w14:textId="5008D5E8" w:rsidR="00CD698E" w:rsidRDefault="00CD698E" w:rsidP="00CD698E">
      <w:pPr>
        <w:pStyle w:val="NormalWeb"/>
        <w:spacing w:before="0" w:beforeAutospacing="0" w:after="240" w:afterAutospacing="0" w:line="360" w:lineRule="auto"/>
      </w:pPr>
      <w:r>
        <w:t xml:space="preserve">Bombelli, P., Savanth, A., Scarampi, A., Rowden, S.J.L., Green, D.H., Erbe, A., Årstøl, E., Jevremovic, I., Hohmann-Marriott, M.F., Trasatti, S.P., Ozer, E. and Howe, C.J. (2022). Powering a microprocessor by photosynthesis. </w:t>
      </w:r>
      <w:r>
        <w:rPr>
          <w:i/>
          <w:iCs/>
        </w:rPr>
        <w:t>Energy &amp; Environmental Science</w:t>
      </w:r>
      <w:r>
        <w:t xml:space="preserve">. [online] </w:t>
      </w:r>
    </w:p>
    <w:p w14:paraId="0E051F4B" w14:textId="3A9DBA82" w:rsidR="00CD698E" w:rsidRDefault="00CD698E" w:rsidP="00CD698E">
      <w:pPr>
        <w:pStyle w:val="NormalWeb"/>
        <w:spacing w:before="0" w:beforeAutospacing="0" w:after="240" w:afterAutospacing="0" w:line="360" w:lineRule="auto"/>
      </w:pPr>
      <w:r>
        <w:t xml:space="preserve">Casey, S.M., Varela, A., Marriott, J.P., Coleman, C.M. and Harlow, B.L. (2022). The influence of diagnosed mental health conditions and symptoms of depression and/or anxiety on suicide ideation, plan, and attempt among college students: Findings from the Healthy Minds Study, 2018–2019. </w:t>
      </w:r>
      <w:r>
        <w:rPr>
          <w:i/>
          <w:iCs/>
        </w:rPr>
        <w:t>Journal of Affective Disorders</w:t>
      </w:r>
      <w:r>
        <w:t xml:space="preserve">, [online] 298, pp.464–471. </w:t>
      </w:r>
    </w:p>
    <w:p w14:paraId="758E2974" w14:textId="333CB2A2" w:rsidR="00CD698E" w:rsidRDefault="00CD698E" w:rsidP="00CD698E">
      <w:pPr>
        <w:pStyle w:val="NormalWeb"/>
        <w:spacing w:before="0" w:beforeAutospacing="0" w:after="240" w:afterAutospacing="0" w:line="360" w:lineRule="auto"/>
      </w:pPr>
      <w:r>
        <w:t xml:space="preserve">Caton, S., Hatton, C., Gillooly, A., Oloidi, E., Clarke, L., Bradshaw, J., Flynn, S., Taggart, L., Mulhall, P., Jahoda, A., Maguire, R., Marriott, A., Todd, S., Abbott, D., Beyer, S., Gore, N., Heslop, P., Scior, K. and Hastings, R.P. (2022). Online social connections and Internet use among people with intellectual disabilities in the United Kingdom during the COVID-19 pandemic. </w:t>
      </w:r>
      <w:r>
        <w:rPr>
          <w:i/>
          <w:iCs/>
        </w:rPr>
        <w:t>New Media &amp; Society</w:t>
      </w:r>
      <w:r>
        <w:t xml:space="preserve">, p.146144482210937. </w:t>
      </w:r>
    </w:p>
    <w:p w14:paraId="69D94398" w14:textId="79AB1475" w:rsidR="00CD698E" w:rsidRDefault="00CD698E" w:rsidP="00CD698E">
      <w:pPr>
        <w:pStyle w:val="NormalWeb"/>
        <w:spacing w:before="0" w:beforeAutospacing="0" w:after="240" w:afterAutospacing="0" w:line="360" w:lineRule="auto"/>
      </w:pPr>
      <w:r>
        <w:t xml:space="preserve">Chung, B.Y.W., Balcerowicz, M., Di Antonio, M., Jaeger, K.E., Geng, F., Franaszek, K., Marriott, P., Brierley, I., Firth, A.E. and Wigge, P.A. (2020). An RNA thermoswitch regulates daytime growth in Arabidopsis. </w:t>
      </w:r>
      <w:r>
        <w:rPr>
          <w:i/>
          <w:iCs/>
        </w:rPr>
        <w:t>Nature Plants</w:t>
      </w:r>
      <w:r>
        <w:t xml:space="preserve">, 6(5), pp.522–532. </w:t>
      </w:r>
    </w:p>
    <w:p w14:paraId="4F03132E" w14:textId="64A06E0F" w:rsidR="00CD698E" w:rsidRDefault="00CD698E" w:rsidP="00CD698E">
      <w:pPr>
        <w:pStyle w:val="NormalWeb"/>
        <w:spacing w:before="0" w:beforeAutospacing="0" w:after="240" w:afterAutospacing="0" w:line="360" w:lineRule="auto"/>
      </w:pPr>
      <w:r>
        <w:t xml:space="preserve">Holloway, L.M., Goncu, C., Ilsar, A., Butler, M. and Marriott, K. (2022). Infosonics: Accessible Infographics for People who are Blind using Sonification and Voice. </w:t>
      </w:r>
      <w:r>
        <w:rPr>
          <w:i/>
          <w:iCs/>
        </w:rPr>
        <w:t>CHI Conference on Human Factors in Computing Systems</w:t>
      </w:r>
      <w:r>
        <w:t xml:space="preserve">. </w:t>
      </w:r>
    </w:p>
    <w:p w14:paraId="4403BA4E" w14:textId="0A12C1E4" w:rsidR="00CD698E" w:rsidRDefault="00CD698E" w:rsidP="00CD698E">
      <w:pPr>
        <w:pStyle w:val="NormalWeb"/>
        <w:spacing w:before="0" w:beforeAutospacing="0" w:after="240" w:afterAutospacing="0" w:line="360" w:lineRule="auto"/>
      </w:pPr>
      <w:r>
        <w:t xml:space="preserve">Kalincik, T., Sifat Sharmin, Roos, I., Freedman, M.S., Atkins, H.L., Burman, J., Massey, J., Sutton, I., Withers, B., Macdonell, R., Grigg, A., Øivind Torkildsen, Liu, B., Anne Kristine Lehmann, Havrdova, E., Krasulova, E., Marek Trneny, Kozak, T., van and Helmut Butzkueven (2023). Comparative Effectiveness of Autologous Hematopoietic Stem Cell Transplant vs Fingolimod, Natalizumab, and Ocrelizumab in Highly Active Relapsing-Remitting Multiple Sclerosis. </w:t>
      </w:r>
      <w:r>
        <w:rPr>
          <w:i/>
          <w:iCs/>
        </w:rPr>
        <w:t>JAMA Neurology</w:t>
      </w:r>
      <w:r>
        <w:t xml:space="preserve">, [online] 80(7), pp.702–702. </w:t>
      </w:r>
    </w:p>
    <w:p w14:paraId="5E0F2012" w14:textId="646822FA" w:rsidR="00CD698E" w:rsidRDefault="00CD698E" w:rsidP="00CD698E">
      <w:pPr>
        <w:pStyle w:val="NormalWeb"/>
        <w:spacing w:before="0" w:beforeAutospacing="0" w:after="240" w:afterAutospacing="0" w:line="360" w:lineRule="auto"/>
      </w:pPr>
      <w:r>
        <w:t xml:space="preserve">Pampaloni, I., Marriott, S., Pessina, E., Fisher, C., Govender, A., Mohamed, H., Chandler, A., Tyagi, H., Morris, L. and Pallanti, S. (2022). The global assessment of OCD. </w:t>
      </w:r>
      <w:r>
        <w:rPr>
          <w:i/>
          <w:iCs/>
        </w:rPr>
        <w:t>Comprehensive Psychiatry</w:t>
      </w:r>
      <w:r>
        <w:t xml:space="preserve">, [online] 118(152342), p.152342. </w:t>
      </w:r>
    </w:p>
    <w:p w14:paraId="054E354C" w14:textId="30E88CA3" w:rsidR="00CD698E" w:rsidRDefault="00CD698E" w:rsidP="00CD698E">
      <w:pPr>
        <w:pStyle w:val="NormalWeb"/>
        <w:spacing w:before="0" w:beforeAutospacing="0" w:after="240" w:afterAutospacing="0" w:line="360" w:lineRule="auto"/>
      </w:pPr>
      <w:r>
        <w:t xml:space="preserve">Pitardi, V. and Marriott, H.R. (2021). Alexa, she’s not human but… Unveiling the drivers of consumers’ trust in voice‐based artificial intelligence. </w:t>
      </w:r>
      <w:r>
        <w:rPr>
          <w:i/>
          <w:iCs/>
        </w:rPr>
        <w:t>Psychology &amp; Marketing</w:t>
      </w:r>
      <w:r>
        <w:t xml:space="preserve">, 38(4), pp.626–642. </w:t>
      </w:r>
    </w:p>
    <w:p w14:paraId="245F6786" w14:textId="3399DE0E" w:rsidR="00CD698E" w:rsidRDefault="00CD698E" w:rsidP="00806C2D">
      <w:pPr>
        <w:pStyle w:val="NormalWeb"/>
        <w:spacing w:before="0" w:beforeAutospacing="0" w:after="240" w:afterAutospacing="0" w:line="360" w:lineRule="auto"/>
      </w:pPr>
      <w:r>
        <w:t xml:space="preserve">Ryan, K.A., Bewley, K.R., Fotheringham, S.A., Slack, G.S., Brown, P., Hall, Y., Wand, N.I., Marriott, A.C., Cavell, B.E., Tree, J.A., Allen, L., Aram, M.J., Bean, T.J., Brunt, E., Buttigieg, K.R., Carter, D.P., Cobb, R., Coombes, N.S., Findlay-Wilson, S.J. and Godwin, K.J. (2021). Dose-dependent response to infection with SARS-CoV-2 in the ferret model and evidence of protective immunity. </w:t>
      </w:r>
      <w:r>
        <w:rPr>
          <w:i/>
          <w:iCs/>
        </w:rPr>
        <w:t>Nature Communications</w:t>
      </w:r>
      <w:r>
        <w:t xml:space="preserve">, 12(1). </w:t>
      </w:r>
    </w:p>
    <w:p w14:paraId="7B133B05" w14:textId="77777777" w:rsidR="00CD698E" w:rsidRDefault="00CD698E" w:rsidP="00CD698E">
      <w:pPr>
        <w:pStyle w:val="NormalWeb"/>
        <w:spacing w:before="0" w:beforeAutospacing="0" w:after="240" w:afterAutospacing="0" w:line="360" w:lineRule="auto"/>
      </w:pPr>
      <w:r>
        <w:t xml:space="preserve">Standen, M., Lucas, M., Bowman, D., Richer, T.J., Kim, J. and Marriott, D. (2021). CybORG: A Gym for the Development of Autonomous Cyber Agents. </w:t>
      </w:r>
      <w:r>
        <w:rPr>
          <w:i/>
          <w:iCs/>
        </w:rPr>
        <w:t>arXiv:2108.09118 [cs]</w:t>
      </w:r>
      <w:r>
        <w:t>. [online] Available at: https://arxiv.org/abs/2108.09118.</w:t>
      </w:r>
    </w:p>
    <w:p w14:paraId="2BCC29A0" w14:textId="7098DE6D" w:rsidR="00CD698E" w:rsidRDefault="00CD698E" w:rsidP="00CD698E">
      <w:pPr>
        <w:pStyle w:val="NormalWeb"/>
        <w:spacing w:before="0" w:beforeAutospacing="0" w:after="240" w:afterAutospacing="0" w:line="360" w:lineRule="auto"/>
      </w:pPr>
      <w:r>
        <w:t xml:space="preserve">Straathof, K., Flutter, B., Wallace, R., Jain, N., Loka, T., Depani, S., Wright, G., Thomas, S., Cheung, G.W.-K., Gileadi, T., Stafford, S., Kokalaki, E., Barton, J., Marriott, C., Rampling, D., Ogunbiyi, O., Akarca, A.U., Marafioti, T., Inglott, S. and Gilmour, K. (2020). Antitumor activity without on-target off-tumor toxicity of GD2-chimeric antigen receptor T cells in patients with neuroblastoma. </w:t>
      </w:r>
      <w:r>
        <w:rPr>
          <w:i/>
          <w:iCs/>
        </w:rPr>
        <w:t>Science Translational Medicine</w:t>
      </w:r>
      <w:r>
        <w:t xml:space="preserve">, [online] 12(571), p.eabd6169. </w:t>
      </w:r>
    </w:p>
    <w:p w14:paraId="5265ADE0" w14:textId="2D7EB2AA" w:rsidR="00CD698E" w:rsidRDefault="00CD698E" w:rsidP="00CD698E">
      <w:pPr>
        <w:pStyle w:val="NormalWeb"/>
        <w:spacing w:before="0" w:beforeAutospacing="0" w:after="240" w:afterAutospacing="0" w:line="360" w:lineRule="auto"/>
      </w:pPr>
      <w:r>
        <w:t xml:space="preserve">Tewhaiti-Smith, J., Semprini, A., Bush, D., Anderson, A., Eathorne, A., Johnson, N., Girling, J., East, M., Marriott, J. and Armour, M. (2022). An Aotearoa New Zealand survey of the impact and diagnostic delay for endometriosis and chronic pelvic pain. </w:t>
      </w:r>
      <w:r>
        <w:rPr>
          <w:i/>
          <w:iCs/>
        </w:rPr>
        <w:t>Scientific Reports</w:t>
      </w:r>
      <w:r>
        <w:t xml:space="preserve">, [online] 12(1), p.4425. </w:t>
      </w:r>
    </w:p>
    <w:p w14:paraId="21CC408B" w14:textId="19266B7A" w:rsidR="00CD698E" w:rsidRDefault="00CD698E" w:rsidP="00CD698E">
      <w:pPr>
        <w:pStyle w:val="NormalWeb"/>
        <w:spacing w:before="0" w:beforeAutospacing="0" w:after="240" w:afterAutospacing="0" w:line="360" w:lineRule="auto"/>
      </w:pPr>
      <w:r>
        <w:t xml:space="preserve">Van Mieghem, N.M., Deeb, G.M., Søndergaard, L., Grube, E., Windecker, S., Gada, H., Mumtaz, M., Olsen, P.S., Heiser, J.C., Merhi, W., Kleiman, N.S., Chetcuti, S.J., Gleason, T.G., Lee, J.S., Cheng, W., Makkar, R.R., Crestanello, J., George, B., George, I. and Kodali, S. (2022). Self-expanding Transcatheter vs Surgical Aortic Valve Replacement in Intermediate-Risk Patients: 5-Year Outcomes of the SURTAVI Randomized Clinical Trial. </w:t>
      </w:r>
      <w:r>
        <w:rPr>
          <w:i/>
          <w:iCs/>
        </w:rPr>
        <w:t>JAMA Cardiology</w:t>
      </w:r>
      <w:r>
        <w:t xml:space="preserve">, [online] 7(10), pp.1000–1008. </w:t>
      </w:r>
    </w:p>
    <w:p w14:paraId="4CF0C764" w14:textId="77777777" w:rsidR="00CD698E" w:rsidRPr="00CD698E" w:rsidRDefault="00CD698E" w:rsidP="00CD698E"/>
    <w:sectPr w:rsidR="00CD698E" w:rsidRPr="00CD698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608A3" w14:textId="77777777" w:rsidR="002B3CA8" w:rsidRDefault="002B3CA8" w:rsidP="003912ED">
      <w:pPr>
        <w:spacing w:after="0" w:line="240" w:lineRule="auto"/>
      </w:pPr>
      <w:r>
        <w:separator/>
      </w:r>
    </w:p>
  </w:endnote>
  <w:endnote w:type="continuationSeparator" w:id="0">
    <w:p w14:paraId="0E74C6DF" w14:textId="77777777" w:rsidR="002B3CA8" w:rsidRDefault="002B3CA8" w:rsidP="00391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0DF57" w14:textId="77777777" w:rsidR="002B3CA8" w:rsidRDefault="002B3CA8" w:rsidP="003912ED">
      <w:pPr>
        <w:spacing w:after="0" w:line="240" w:lineRule="auto"/>
      </w:pPr>
      <w:r>
        <w:separator/>
      </w:r>
    </w:p>
  </w:footnote>
  <w:footnote w:type="continuationSeparator" w:id="0">
    <w:p w14:paraId="5414B881" w14:textId="77777777" w:rsidR="002B3CA8" w:rsidRDefault="002B3CA8" w:rsidP="003912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1246592"/>
      <w:docPartObj>
        <w:docPartGallery w:val="Page Numbers (Top of Page)"/>
        <w:docPartUnique/>
      </w:docPartObj>
    </w:sdtPr>
    <w:sdtEndPr>
      <w:rPr>
        <w:noProof/>
      </w:rPr>
    </w:sdtEndPr>
    <w:sdtContent>
      <w:p w14:paraId="3B4A9B41" w14:textId="51064620" w:rsidR="003912ED" w:rsidRDefault="003912ED">
        <w:pPr>
          <w:pStyle w:val="Antet"/>
          <w:jc w:val="right"/>
        </w:pPr>
        <w:r>
          <w:fldChar w:fldCharType="begin"/>
        </w:r>
        <w:r>
          <w:instrText xml:space="preserve"> PAGE   \* MERGEFORMAT </w:instrText>
        </w:r>
        <w:r>
          <w:fldChar w:fldCharType="separate"/>
        </w:r>
        <w:r w:rsidR="00CD698E">
          <w:rPr>
            <w:noProof/>
          </w:rPr>
          <w:t>11</w:t>
        </w:r>
        <w:r>
          <w:rPr>
            <w:noProof/>
          </w:rPr>
          <w:fldChar w:fldCharType="end"/>
        </w:r>
      </w:p>
    </w:sdtContent>
  </w:sdt>
  <w:p w14:paraId="200F50D7" w14:textId="77777777" w:rsidR="003912ED" w:rsidRDefault="003912E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06F23"/>
    <w:multiLevelType w:val="hybridMultilevel"/>
    <w:tmpl w:val="DF487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225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ECB"/>
    <w:rsid w:val="0000455E"/>
    <w:rsid w:val="00113422"/>
    <w:rsid w:val="0028708C"/>
    <w:rsid w:val="00291829"/>
    <w:rsid w:val="002B3CA8"/>
    <w:rsid w:val="002E0ECB"/>
    <w:rsid w:val="00387B41"/>
    <w:rsid w:val="003912ED"/>
    <w:rsid w:val="00484418"/>
    <w:rsid w:val="005A0D39"/>
    <w:rsid w:val="005A7FA0"/>
    <w:rsid w:val="005D7B18"/>
    <w:rsid w:val="00667166"/>
    <w:rsid w:val="006B3BE8"/>
    <w:rsid w:val="007402D8"/>
    <w:rsid w:val="0076403A"/>
    <w:rsid w:val="00806C2D"/>
    <w:rsid w:val="008E2EE8"/>
    <w:rsid w:val="009300E9"/>
    <w:rsid w:val="00934CA1"/>
    <w:rsid w:val="00CD698E"/>
    <w:rsid w:val="00DD6B87"/>
    <w:rsid w:val="00E7500D"/>
    <w:rsid w:val="00EA792E"/>
    <w:rsid w:val="00F344BB"/>
    <w:rsid w:val="00F767C7"/>
    <w:rsid w:val="00FC044C"/>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FB84C"/>
  <w15:chartTrackingRefBased/>
  <w15:docId w15:val="{81DD5518-F9B1-4045-94A3-CC22DBCEB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2ED"/>
    <w:pPr>
      <w:jc w:val="both"/>
    </w:pPr>
    <w:rPr>
      <w:rFonts w:ascii="Times New Roman" w:hAnsi="Times New Roman"/>
      <w:sz w:val="24"/>
    </w:rPr>
  </w:style>
  <w:style w:type="paragraph" w:styleId="Titlu1">
    <w:name w:val="heading 1"/>
    <w:basedOn w:val="Normal"/>
    <w:next w:val="Normal"/>
    <w:link w:val="Titlu1Caracter"/>
    <w:uiPriority w:val="9"/>
    <w:qFormat/>
    <w:rsid w:val="003912ED"/>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3912ED"/>
    <w:pPr>
      <w:keepNext/>
      <w:keepLines/>
      <w:spacing w:before="40" w:after="0"/>
      <w:outlineLvl w:val="1"/>
    </w:pPr>
    <w:rPr>
      <w:rFonts w:eastAsiaTheme="majorEastAsia" w:cstheme="majorBidi"/>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912ED"/>
    <w:rPr>
      <w:rFonts w:ascii="Times New Roman" w:eastAsiaTheme="majorEastAsia" w:hAnsi="Times New Roman" w:cstheme="majorBidi"/>
      <w:b/>
      <w:sz w:val="28"/>
      <w:szCs w:val="32"/>
    </w:rPr>
  </w:style>
  <w:style w:type="paragraph" w:styleId="Listparagraf">
    <w:name w:val="List Paragraph"/>
    <w:basedOn w:val="Normal"/>
    <w:uiPriority w:val="34"/>
    <w:qFormat/>
    <w:rsid w:val="002E0ECB"/>
    <w:pPr>
      <w:ind w:left="720"/>
      <w:contextualSpacing/>
    </w:pPr>
  </w:style>
  <w:style w:type="character" w:customStyle="1" w:styleId="Titlu2Caracter">
    <w:name w:val="Titlu 2 Caracter"/>
    <w:basedOn w:val="Fontdeparagrafimplicit"/>
    <w:link w:val="Titlu2"/>
    <w:uiPriority w:val="9"/>
    <w:rsid w:val="003912ED"/>
    <w:rPr>
      <w:rFonts w:ascii="Times New Roman" w:eastAsiaTheme="majorEastAsia" w:hAnsi="Times New Roman" w:cstheme="majorBidi"/>
      <w:b/>
      <w:sz w:val="24"/>
      <w:szCs w:val="26"/>
    </w:rPr>
  </w:style>
  <w:style w:type="character" w:styleId="Accentuaresubtil">
    <w:name w:val="Subtle Emphasis"/>
    <w:basedOn w:val="Fontdeparagrafimplicit"/>
    <w:uiPriority w:val="19"/>
    <w:qFormat/>
    <w:rsid w:val="002E0ECB"/>
    <w:rPr>
      <w:i/>
      <w:iCs/>
      <w:color w:val="404040" w:themeColor="text1" w:themeTint="BF"/>
    </w:rPr>
  </w:style>
  <w:style w:type="paragraph" w:styleId="Titlucuprins">
    <w:name w:val="TOC Heading"/>
    <w:basedOn w:val="Titlu1"/>
    <w:next w:val="Normal"/>
    <w:uiPriority w:val="39"/>
    <w:unhideWhenUsed/>
    <w:qFormat/>
    <w:rsid w:val="003912ED"/>
    <w:pPr>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3912ED"/>
    <w:pPr>
      <w:spacing w:after="100"/>
    </w:pPr>
  </w:style>
  <w:style w:type="paragraph" w:styleId="Cuprins2">
    <w:name w:val="toc 2"/>
    <w:basedOn w:val="Normal"/>
    <w:next w:val="Normal"/>
    <w:autoRedefine/>
    <w:uiPriority w:val="39"/>
    <w:unhideWhenUsed/>
    <w:rsid w:val="003912ED"/>
    <w:pPr>
      <w:spacing w:after="100"/>
      <w:ind w:left="240"/>
    </w:pPr>
  </w:style>
  <w:style w:type="character" w:styleId="Hyperlink">
    <w:name w:val="Hyperlink"/>
    <w:basedOn w:val="Fontdeparagrafimplicit"/>
    <w:uiPriority w:val="99"/>
    <w:unhideWhenUsed/>
    <w:rsid w:val="003912ED"/>
    <w:rPr>
      <w:color w:val="0563C1" w:themeColor="hyperlink"/>
      <w:u w:val="single"/>
    </w:rPr>
  </w:style>
  <w:style w:type="paragraph" w:styleId="Antet">
    <w:name w:val="header"/>
    <w:basedOn w:val="Normal"/>
    <w:link w:val="AntetCaracter"/>
    <w:uiPriority w:val="99"/>
    <w:unhideWhenUsed/>
    <w:rsid w:val="003912E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3912ED"/>
    <w:rPr>
      <w:rFonts w:ascii="Times New Roman" w:hAnsi="Times New Roman"/>
      <w:sz w:val="24"/>
    </w:rPr>
  </w:style>
  <w:style w:type="paragraph" w:styleId="Subsol">
    <w:name w:val="footer"/>
    <w:basedOn w:val="Normal"/>
    <w:link w:val="SubsolCaracter"/>
    <w:uiPriority w:val="99"/>
    <w:unhideWhenUsed/>
    <w:rsid w:val="003912E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3912ED"/>
    <w:rPr>
      <w:rFonts w:ascii="Times New Roman" w:hAnsi="Times New Roman"/>
      <w:sz w:val="24"/>
    </w:rPr>
  </w:style>
  <w:style w:type="paragraph" w:styleId="NormalWeb">
    <w:name w:val="Normal (Web)"/>
    <w:basedOn w:val="Normal"/>
    <w:uiPriority w:val="99"/>
    <w:semiHidden/>
    <w:unhideWhenUsed/>
    <w:rsid w:val="00CD698E"/>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439904">
      <w:bodyDiv w:val="1"/>
      <w:marLeft w:val="0"/>
      <w:marRight w:val="0"/>
      <w:marTop w:val="0"/>
      <w:marBottom w:val="0"/>
      <w:divBdr>
        <w:top w:val="none" w:sz="0" w:space="0" w:color="auto"/>
        <w:left w:val="none" w:sz="0" w:space="0" w:color="auto"/>
        <w:bottom w:val="none" w:sz="0" w:space="0" w:color="auto"/>
        <w:right w:val="none" w:sz="0" w:space="0" w:color="auto"/>
      </w:divBdr>
      <w:divsChild>
        <w:div w:id="1904946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41A96-3624-49CB-B05A-EE6D1AE6F0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2832</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dc:creator>
  <cp:keywords/>
  <dc:description/>
  <cp:lastModifiedBy>mecic florin</cp:lastModifiedBy>
  <cp:revision>2</cp:revision>
  <dcterms:created xsi:type="dcterms:W3CDTF">2024-05-13T11:08:00Z</dcterms:created>
  <dcterms:modified xsi:type="dcterms:W3CDTF">2024-05-13T11:08:00Z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8783787b-e56e-4e37-ba35-8937fcf78412</vt:lpwstr>
  </property>
</Properties>
</file>