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89DE3" w14:textId="77777777" w:rsidR="00AD135B" w:rsidRPr="00187CB3" w:rsidRDefault="00AD135B" w:rsidP="005950A9">
      <w:pPr>
        <w:jc w:val="both"/>
        <w:rPr>
          <w:rFonts w:asciiTheme="majorBidi" w:hAnsiTheme="majorBidi" w:cstheme="majorBidi"/>
          <w:sz w:val="28"/>
          <w:szCs w:val="28"/>
        </w:rPr>
      </w:pPr>
      <w:r w:rsidRPr="00187CB3">
        <w:rPr>
          <w:rFonts w:asciiTheme="majorBidi" w:hAnsiTheme="majorBidi" w:cstheme="majorBidi"/>
          <w:sz w:val="28"/>
          <w:szCs w:val="28"/>
        </w:rPr>
        <w:t>How does gamification influence student engagement and learning outcomes in high school education?</w:t>
      </w:r>
    </w:p>
    <w:p w14:paraId="7FADD325"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Session 1: Developing a Research Focus</w:t>
      </w:r>
    </w:p>
    <w:p w14:paraId="4A8A2FCC" w14:textId="77777777" w:rsidR="0080171F" w:rsidRPr="00187CB3" w:rsidRDefault="0080171F" w:rsidP="005950A9">
      <w:pPr>
        <w:pStyle w:val="NormalWeb"/>
        <w:jc w:val="both"/>
        <w:rPr>
          <w:rFonts w:asciiTheme="majorBidi" w:hAnsiTheme="majorBidi" w:cstheme="majorBidi"/>
        </w:rPr>
      </w:pPr>
      <w:r w:rsidRPr="00187CB3">
        <w:rPr>
          <w:rStyle w:val="Strong"/>
          <w:rFonts w:asciiTheme="majorBidi" w:eastAsiaTheme="majorEastAsia" w:hAnsiTheme="majorBidi" w:cstheme="majorBidi"/>
          <w:b w:val="0"/>
          <w:bCs w:val="0"/>
        </w:rPr>
        <w:t>Gamification in Education: Refining the Research Focus</w:t>
      </w:r>
    </w:p>
    <w:p w14:paraId="32587A9B" w14:textId="77777777" w:rsidR="0080171F" w:rsidRPr="00187CB3" w:rsidRDefault="0080171F" w:rsidP="005950A9">
      <w:pPr>
        <w:pStyle w:val="NormalWeb"/>
        <w:jc w:val="both"/>
        <w:rPr>
          <w:rFonts w:asciiTheme="majorBidi" w:hAnsiTheme="majorBidi" w:cstheme="majorBidi"/>
        </w:rPr>
      </w:pPr>
      <w:r w:rsidRPr="00187CB3">
        <w:rPr>
          <w:rFonts w:asciiTheme="majorBidi" w:hAnsiTheme="majorBidi" w:cstheme="majorBidi"/>
        </w:rPr>
        <w:t xml:space="preserve">Gamification, defined as the integration of game design elements into non-game contexts, has emerged as a transformative approach in education, aiming to enhance student engagement and optimize learning outcomes. Research highlights that gamification fosters motivation and active participation by leveraging mechanisms such as points, badges, and leaderboards. For instance, a study conducted by </w:t>
      </w:r>
      <w:proofErr w:type="spellStart"/>
      <w:r w:rsidRPr="00187CB3">
        <w:rPr>
          <w:rFonts w:asciiTheme="majorBidi" w:hAnsiTheme="majorBidi" w:cstheme="majorBidi"/>
        </w:rPr>
        <w:t>Smiderle</w:t>
      </w:r>
      <w:proofErr w:type="spellEnd"/>
      <w:r w:rsidRPr="00187CB3">
        <w:rPr>
          <w:rFonts w:asciiTheme="majorBidi" w:hAnsiTheme="majorBidi" w:cstheme="majorBidi"/>
        </w:rPr>
        <w:t xml:space="preserve"> et al. (2020) demonstrated that gamified learning environments significantly influenced students' engagement and behavior, with outcomes varying based on individual personality traits. Similarly, </w:t>
      </w:r>
      <w:proofErr w:type="spellStart"/>
      <w:r w:rsidRPr="00187CB3">
        <w:rPr>
          <w:rFonts w:asciiTheme="majorBidi" w:hAnsiTheme="majorBidi" w:cstheme="majorBidi"/>
        </w:rPr>
        <w:t>Dichev</w:t>
      </w:r>
      <w:proofErr w:type="spellEnd"/>
      <w:r w:rsidRPr="00187CB3">
        <w:rPr>
          <w:rFonts w:asciiTheme="majorBidi" w:hAnsiTheme="majorBidi" w:cstheme="majorBidi"/>
        </w:rPr>
        <w:t xml:space="preserve"> and </w:t>
      </w:r>
      <w:proofErr w:type="spellStart"/>
      <w:r w:rsidRPr="00187CB3">
        <w:rPr>
          <w:rFonts w:asciiTheme="majorBidi" w:hAnsiTheme="majorBidi" w:cstheme="majorBidi"/>
        </w:rPr>
        <w:t>Dicheva</w:t>
      </w:r>
      <w:proofErr w:type="spellEnd"/>
      <w:r w:rsidRPr="00187CB3">
        <w:rPr>
          <w:rFonts w:asciiTheme="majorBidi" w:hAnsiTheme="majorBidi" w:cstheme="majorBidi"/>
        </w:rPr>
        <w:t xml:space="preserve"> (2017) critically reviewed the application of gamification in educational settings, emphasizing its potential to foster collaboration and behavioral changes while noting the need for systematic studies to validate its long-term benefits. Despite its promise, the literature reveals mixed results, with some studies reporting adverse effects, such as decreased motivation or unintended emotional responses to competitive elements.</w:t>
      </w:r>
    </w:p>
    <w:p w14:paraId="07644974" w14:textId="77777777" w:rsidR="0080171F" w:rsidRPr="00187CB3" w:rsidRDefault="0080171F" w:rsidP="005950A9">
      <w:pPr>
        <w:pStyle w:val="NormalWeb"/>
        <w:jc w:val="both"/>
        <w:rPr>
          <w:rFonts w:asciiTheme="majorBidi" w:hAnsiTheme="majorBidi" w:cstheme="majorBidi"/>
        </w:rPr>
      </w:pPr>
      <w:r w:rsidRPr="00187CB3">
        <w:rPr>
          <w:rFonts w:asciiTheme="majorBidi" w:hAnsiTheme="majorBidi" w:cstheme="majorBidi"/>
        </w:rPr>
        <w:t>To ensure the research builds on a solid foundation, this study adopts key practices outlined by Denscombe (2010) for critically reviewing literature. A successful literature review demands not only a synthesis of existing studies but also a rigorous evaluation of their credibility, relevance, and gaps (pp. 31–32). By employing these principles, the review highlights both the breadth and limitations of the current evidence on gamification.</w:t>
      </w:r>
    </w:p>
    <w:p w14:paraId="2D62A303" w14:textId="77777777" w:rsidR="0080171F" w:rsidRPr="00187CB3" w:rsidRDefault="0080171F" w:rsidP="005950A9">
      <w:pPr>
        <w:pStyle w:val="NormalWeb"/>
        <w:jc w:val="both"/>
        <w:rPr>
          <w:rFonts w:asciiTheme="majorBidi" w:hAnsiTheme="majorBidi" w:cstheme="majorBidi"/>
        </w:rPr>
      </w:pPr>
      <w:r w:rsidRPr="00187CB3">
        <w:rPr>
          <w:rFonts w:asciiTheme="majorBidi" w:hAnsiTheme="majorBidi" w:cstheme="majorBidi"/>
        </w:rPr>
        <w:t>A targeted search strategy, as recommended by Denscombe (2010, pp. 33–36), was used to navigate platforms like Google Scholar and JSTOR. Keywords such as “gamification in education,” “student engagement,” and “learning outcomes” yielded a diverse range of studies. These works reveal a growing body of literature spanning various contexts and methodologies. The majority of studies are published in English and reflect a global perspective, with contributions from countries worldwide. However, while the literature underscores the potential of gamification as a universal educational strategy, it also identifies significant gaps in understanding its mechanisms and contextual applications.</w:t>
      </w:r>
    </w:p>
    <w:p w14:paraId="3C146296" w14:textId="77777777" w:rsidR="0080171F" w:rsidRPr="00187CB3" w:rsidRDefault="0080171F" w:rsidP="005950A9">
      <w:pPr>
        <w:pStyle w:val="NormalWeb"/>
        <w:jc w:val="both"/>
        <w:rPr>
          <w:rFonts w:asciiTheme="majorBidi" w:hAnsiTheme="majorBidi" w:cstheme="majorBidi"/>
        </w:rPr>
      </w:pPr>
      <w:r w:rsidRPr="00187CB3">
        <w:rPr>
          <w:rFonts w:asciiTheme="majorBidi" w:hAnsiTheme="majorBidi" w:cstheme="majorBidi"/>
        </w:rPr>
        <w:t>Following Denscombe’s (2010) advice for completing a literature review (pp. 32–33), this study critically evaluates the methodological approaches, theoretical frameworks, and findings of existing research. This rigorous process ensures that the research is grounded in credible evidence, addressing unresolved questions and narrowing its focus to high school science education—a field where gamification's impact on engagement and academic performance remains underexplored.</w:t>
      </w:r>
    </w:p>
    <w:p w14:paraId="7516ECAE" w14:textId="77777777" w:rsidR="00AD135B" w:rsidRPr="00187CB3" w:rsidRDefault="00AD135B" w:rsidP="005950A9">
      <w:pPr>
        <w:jc w:val="both"/>
        <w:rPr>
          <w:rFonts w:asciiTheme="majorBidi" w:hAnsiTheme="majorBidi" w:cstheme="majorBidi"/>
          <w:sz w:val="24"/>
          <w:szCs w:val="24"/>
        </w:rPr>
      </w:pPr>
    </w:p>
    <w:p w14:paraId="0B82C766"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1: </w:t>
      </w:r>
      <w:r w:rsidRPr="00187CB3">
        <w:rPr>
          <w:rFonts w:asciiTheme="majorBidi" w:hAnsiTheme="majorBidi" w:cstheme="majorBidi"/>
          <w:i/>
          <w:iCs/>
          <w:sz w:val="24"/>
          <w:szCs w:val="24"/>
        </w:rPr>
        <w:t>The Impact of Gamification on Students’ Learning, Engagement, and Behavior</w:t>
      </w:r>
      <w:r w:rsidRPr="00187CB3">
        <w:rPr>
          <w:rFonts w:asciiTheme="majorBidi" w:hAnsiTheme="majorBidi" w:cstheme="majorBidi"/>
          <w:sz w:val="24"/>
          <w:szCs w:val="24"/>
        </w:rPr>
        <w:t xml:space="preserve">  </w:t>
      </w:r>
    </w:p>
    <w:p w14:paraId="33285505"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Problem Addressed:  </w:t>
      </w:r>
    </w:p>
    <w:p w14:paraId="2D5266CD"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This study investigates how gamification affects students’ learning and engagement, particularly focusing on the role of personality traits in shaping outcomes.</w:t>
      </w:r>
    </w:p>
    <w:p w14:paraId="4D3E92F9"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Enhancement of Understanding:  </w:t>
      </w:r>
    </w:p>
    <w:p w14:paraId="749945C0"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research highlights that gamification can significantly enhance engagement and learning outcomes but emphasizes that its effectiveness varies based on individual characteristics. This insight is crucial for tailoring gamified strategies to diverse student populations.</w:t>
      </w:r>
    </w:p>
    <w:p w14:paraId="3715DB26"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u w:val="single"/>
        </w:rPr>
        <w:t>Findings</w:t>
      </w:r>
      <w:r w:rsidRPr="00187CB3">
        <w:rPr>
          <w:rFonts w:asciiTheme="majorBidi" w:hAnsiTheme="majorBidi" w:cstheme="majorBidi"/>
          <w:sz w:val="24"/>
          <w:szCs w:val="24"/>
        </w:rPr>
        <w:t xml:space="preserve">:  </w:t>
      </w:r>
    </w:p>
    <w:p w14:paraId="5C851925"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study found that gamification positively influenced engagement and behavior for most students, though some experienced adverse effects, such as reduced motivation. This underscores the need for careful design and implementation of gamified elements.</w:t>
      </w:r>
    </w:p>
    <w:p w14:paraId="79228032"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2: </w:t>
      </w:r>
      <w:r w:rsidRPr="00187CB3">
        <w:rPr>
          <w:rFonts w:asciiTheme="majorBidi" w:hAnsiTheme="majorBidi" w:cstheme="majorBidi"/>
          <w:i/>
          <w:iCs/>
          <w:sz w:val="24"/>
          <w:szCs w:val="24"/>
        </w:rPr>
        <w:t xml:space="preserve">Gamifying Education: What is Known, </w:t>
      </w:r>
      <w:proofErr w:type="gramStart"/>
      <w:r w:rsidRPr="00187CB3">
        <w:rPr>
          <w:rFonts w:asciiTheme="majorBidi" w:hAnsiTheme="majorBidi" w:cstheme="majorBidi"/>
          <w:i/>
          <w:iCs/>
          <w:sz w:val="24"/>
          <w:szCs w:val="24"/>
        </w:rPr>
        <w:t>What</w:t>
      </w:r>
      <w:proofErr w:type="gramEnd"/>
      <w:r w:rsidRPr="00187CB3">
        <w:rPr>
          <w:rFonts w:asciiTheme="majorBidi" w:hAnsiTheme="majorBidi" w:cstheme="majorBidi"/>
          <w:i/>
          <w:iCs/>
          <w:sz w:val="24"/>
          <w:szCs w:val="24"/>
        </w:rPr>
        <w:t xml:space="preserve"> is Believed, and What Remains Uncertain</w:t>
      </w:r>
      <w:r w:rsidRPr="00187CB3">
        <w:rPr>
          <w:rFonts w:asciiTheme="majorBidi" w:hAnsiTheme="majorBidi" w:cstheme="majorBidi"/>
          <w:sz w:val="24"/>
          <w:szCs w:val="24"/>
        </w:rPr>
        <w:t xml:space="preserve">  </w:t>
      </w:r>
    </w:p>
    <w:p w14:paraId="3B9D039D"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Problem Addressed:  </w:t>
      </w:r>
    </w:p>
    <w:p w14:paraId="11A064D8"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This critical review examines the empirical evidence supporting gamification in education, identifying gaps in understanding its mechanisms and long-term benefits.</w:t>
      </w:r>
    </w:p>
    <w:p w14:paraId="51497EE5"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Enhancement of Understanding:  </w:t>
      </w:r>
    </w:p>
    <w:p w14:paraId="0B95FB86"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article provides a comprehensive overview of gamification mechanisms, such as points and leaderboards, and their impact on motivation and collaboration. It also highlights the need for systematic studies to validate gamification’s educational benefits.</w:t>
      </w:r>
    </w:p>
    <w:p w14:paraId="13DEFF7A"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Findings:  </w:t>
      </w:r>
    </w:p>
    <w:p w14:paraId="6CFB9CD8"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While gamification shows promise in fostering motivation and behavioral changes, the review reveals insufficient evidence to confirm its long-term effectiveness. This calls for more rigorous research to establish its reliability as an instructional approach.</w:t>
      </w:r>
    </w:p>
    <w:p w14:paraId="0BBD0D26" w14:textId="77777777" w:rsidR="00AD135B" w:rsidRPr="00187CB3" w:rsidRDefault="00AD135B" w:rsidP="005950A9">
      <w:pPr>
        <w:jc w:val="both"/>
        <w:rPr>
          <w:rFonts w:asciiTheme="majorBidi" w:hAnsiTheme="majorBidi" w:cstheme="majorBidi"/>
          <w:sz w:val="24"/>
          <w:szCs w:val="24"/>
        </w:rPr>
      </w:pPr>
    </w:p>
    <w:p w14:paraId="6EAE15E3" w14:textId="77777777" w:rsidR="00590823" w:rsidRPr="00187CB3" w:rsidRDefault="00AD135B" w:rsidP="005950A9">
      <w:pPr>
        <w:pStyle w:val="Heading3"/>
        <w:shd w:val="clear" w:color="auto" w:fill="FFFFFF"/>
        <w:spacing w:before="0" w:after="30" w:line="285" w:lineRule="atLeast"/>
        <w:ind w:right="1500"/>
        <w:jc w:val="both"/>
        <w:rPr>
          <w:rFonts w:asciiTheme="majorBidi" w:hAnsiTheme="majorBidi"/>
          <w:i/>
          <w:iCs/>
          <w:sz w:val="24"/>
          <w:szCs w:val="24"/>
        </w:rPr>
      </w:pPr>
      <w:r w:rsidRPr="00187CB3">
        <w:rPr>
          <w:rFonts w:asciiTheme="majorBidi" w:hAnsiTheme="majorBidi"/>
          <w:sz w:val="24"/>
          <w:szCs w:val="24"/>
        </w:rPr>
        <w:t xml:space="preserve"> Article 3: </w:t>
      </w:r>
      <w:hyperlink r:id="rId5" w:history="1">
        <w:r w:rsidR="00590823" w:rsidRPr="00187CB3">
          <w:rPr>
            <w:rStyle w:val="Hyperlink"/>
            <w:rFonts w:asciiTheme="majorBidi" w:hAnsiTheme="majorBidi"/>
            <w:i/>
            <w:iCs/>
            <w:color w:val="auto"/>
            <w:sz w:val="24"/>
            <w:szCs w:val="24"/>
            <w:u w:val="none"/>
          </w:rPr>
          <w:t>Effect of Gamification on students' motivation and learning achievement in Second Language Acquisition within higher education: a literature review 2011-2019</w:t>
        </w:r>
      </w:hyperlink>
    </w:p>
    <w:p w14:paraId="278A9050" w14:textId="77777777" w:rsidR="00AD135B" w:rsidRPr="00187CB3" w:rsidRDefault="00AD135B" w:rsidP="005950A9">
      <w:pPr>
        <w:jc w:val="both"/>
        <w:rPr>
          <w:rFonts w:asciiTheme="majorBidi" w:hAnsiTheme="majorBidi" w:cstheme="majorBidi"/>
          <w:i/>
          <w:iCs/>
          <w:sz w:val="24"/>
          <w:szCs w:val="24"/>
        </w:rPr>
      </w:pPr>
    </w:p>
    <w:p w14:paraId="09CF27CE"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Problem Addressed:  </w:t>
      </w:r>
    </w:p>
    <w:p w14:paraId="6B36BC09"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This study explores the impact of gamification on motivation and learning outcomes in second language acquisition within higher education.</w:t>
      </w:r>
    </w:p>
    <w:p w14:paraId="2DD899EF"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lastRenderedPageBreak/>
        <w:t xml:space="preserve">Enhancement of Understanding:  </w:t>
      </w:r>
    </w:p>
    <w:p w14:paraId="6996389E"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Although focused on language learning, the findings are transferable to other educational contexts. The study demonstrates how gamified environments can enhance motivation but notes limited evidence linking gamification to improved cognitive processes.</w:t>
      </w:r>
    </w:p>
    <w:p w14:paraId="4306FA96" w14:textId="77777777" w:rsidR="00AD135B" w:rsidRPr="00187CB3" w:rsidRDefault="00AD135B" w:rsidP="005950A9">
      <w:pPr>
        <w:jc w:val="both"/>
        <w:rPr>
          <w:rFonts w:asciiTheme="majorBidi" w:hAnsiTheme="majorBidi" w:cstheme="majorBidi"/>
          <w:sz w:val="24"/>
          <w:szCs w:val="24"/>
        </w:rPr>
      </w:pPr>
    </w:p>
    <w:p w14:paraId="7DC829A0"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Findings:  </w:t>
      </w:r>
    </w:p>
    <w:p w14:paraId="02F1D6DD"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meta-analysis revealed predominantly positive effects on motivation and engagement but found weak correlations with learning outcomes. This suggests that gamification’s impact may be more behavioral than cognitive.</w:t>
      </w:r>
    </w:p>
    <w:p w14:paraId="12CC99F4"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4: Gamification in Science Education: A </w:t>
      </w:r>
      <w:r w:rsidR="0006480E" w:rsidRPr="00187CB3">
        <w:rPr>
          <w:rFonts w:asciiTheme="majorBidi" w:hAnsiTheme="majorBidi" w:cstheme="majorBidi"/>
          <w:sz w:val="24"/>
          <w:szCs w:val="24"/>
        </w:rPr>
        <w:t>review</w:t>
      </w:r>
      <w:r w:rsidRPr="00187CB3">
        <w:rPr>
          <w:rFonts w:asciiTheme="majorBidi" w:hAnsiTheme="majorBidi" w:cstheme="majorBidi"/>
          <w:sz w:val="24"/>
          <w:szCs w:val="24"/>
        </w:rPr>
        <w:t xml:space="preserve"> </w:t>
      </w:r>
    </w:p>
    <w:p w14:paraId="4E3AEBED"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Problem Addressed:  </w:t>
      </w:r>
    </w:p>
    <w:p w14:paraId="4579BC1D"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This case study investigates the application of gamification in high school science classes, focusing on its impact on student participation and academic performance.</w:t>
      </w:r>
    </w:p>
    <w:p w14:paraId="6A327648" w14:textId="77777777" w:rsidR="00AD135B" w:rsidRPr="00187CB3" w:rsidRDefault="00AD135B" w:rsidP="005950A9">
      <w:pPr>
        <w:jc w:val="both"/>
        <w:rPr>
          <w:rFonts w:asciiTheme="majorBidi" w:hAnsiTheme="majorBidi" w:cstheme="majorBidi"/>
          <w:sz w:val="24"/>
          <w:szCs w:val="24"/>
          <w:u w:val="single"/>
        </w:rPr>
      </w:pPr>
      <w:r w:rsidRPr="00187CB3">
        <w:rPr>
          <w:rFonts w:asciiTheme="majorBidi" w:hAnsiTheme="majorBidi" w:cstheme="majorBidi"/>
          <w:sz w:val="24"/>
          <w:szCs w:val="24"/>
          <w:u w:val="single"/>
        </w:rPr>
        <w:t xml:space="preserve">Enhancement of Understanding:  </w:t>
      </w:r>
    </w:p>
    <w:p w14:paraId="2CF08884"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study provides practical insights into how gamification can be integrated into science curricula, offering examples of successful implementation and challenges faced by educators.</w:t>
      </w:r>
    </w:p>
    <w:p w14:paraId="22B1FA0F" w14:textId="77777777" w:rsidR="00AD135B" w:rsidRPr="00187CB3" w:rsidRDefault="00AD135B" w:rsidP="005950A9">
      <w:pPr>
        <w:jc w:val="both"/>
        <w:rPr>
          <w:rFonts w:asciiTheme="majorBidi" w:hAnsiTheme="majorBidi" w:cstheme="majorBidi"/>
          <w:color w:val="FF0000"/>
          <w:sz w:val="24"/>
          <w:szCs w:val="24"/>
          <w:u w:val="single"/>
        </w:rPr>
      </w:pPr>
      <w:r w:rsidRPr="00187CB3">
        <w:rPr>
          <w:rFonts w:asciiTheme="majorBidi" w:hAnsiTheme="majorBidi" w:cstheme="majorBidi"/>
          <w:color w:val="FF0000"/>
          <w:sz w:val="24"/>
          <w:szCs w:val="24"/>
          <w:u w:val="single"/>
        </w:rPr>
        <w:t xml:space="preserve">Findings:  </w:t>
      </w:r>
    </w:p>
    <w:p w14:paraId="20D2DD94"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Gamification led to increased participation and collaboration among students, though its impact on academic performance was less pronounced. This highlights the need for balanced approaches that address both engagement and learning outcomes.</w:t>
      </w:r>
    </w:p>
    <w:p w14:paraId="548B3F38" w14:textId="77777777" w:rsidR="009E5710" w:rsidRPr="00187CB3" w:rsidRDefault="00AD135B" w:rsidP="005950A9">
      <w:pPr>
        <w:pStyle w:val="NormalWeb"/>
        <w:jc w:val="both"/>
        <w:rPr>
          <w:rStyle w:val="Strong"/>
          <w:rFonts w:asciiTheme="majorBidi" w:eastAsiaTheme="majorEastAsia" w:hAnsiTheme="majorBidi" w:cstheme="majorBidi"/>
          <w:b w:val="0"/>
          <w:bCs w:val="0"/>
        </w:rPr>
      </w:pPr>
      <w:r w:rsidRPr="00187CB3">
        <w:rPr>
          <w:rFonts w:asciiTheme="majorBidi" w:hAnsiTheme="majorBidi" w:cstheme="majorBidi"/>
        </w:rPr>
        <w:t xml:space="preserve"> </w:t>
      </w:r>
      <w:r w:rsidR="00160310" w:rsidRPr="00187CB3">
        <w:rPr>
          <w:rStyle w:val="Strong"/>
          <w:rFonts w:asciiTheme="majorBidi" w:eastAsiaTheme="majorEastAsia" w:hAnsiTheme="majorBidi" w:cstheme="majorBidi"/>
          <w:b w:val="0"/>
          <w:bCs w:val="0"/>
        </w:rPr>
        <w:t>Article 5: Designing Effective Gamified Learning Environments</w:t>
      </w:r>
    </w:p>
    <w:p w14:paraId="7D0539FB" w14:textId="77777777" w:rsidR="00160310" w:rsidRPr="00187CB3" w:rsidRDefault="00160310" w:rsidP="005950A9">
      <w:pPr>
        <w:pStyle w:val="NormalWeb"/>
        <w:jc w:val="both"/>
        <w:rPr>
          <w:rFonts w:asciiTheme="majorBidi" w:hAnsiTheme="majorBidi" w:cstheme="majorBidi"/>
        </w:rPr>
      </w:pPr>
      <w:r w:rsidRPr="00187CB3">
        <w:rPr>
          <w:rFonts w:asciiTheme="majorBidi" w:hAnsiTheme="majorBidi" w:cstheme="majorBidi"/>
        </w:rPr>
        <w:t xml:space="preserve"> </w:t>
      </w:r>
      <w:r w:rsidRPr="00187CB3">
        <w:rPr>
          <w:rStyle w:val="Strong"/>
          <w:rFonts w:asciiTheme="majorBidi" w:eastAsiaTheme="majorEastAsia" w:hAnsiTheme="majorBidi" w:cstheme="majorBidi"/>
          <w:b w:val="0"/>
          <w:bCs w:val="0"/>
        </w:rPr>
        <w:t>Problem Addressed:</w:t>
      </w:r>
      <w:r w:rsidRPr="00187CB3">
        <w:rPr>
          <w:rFonts w:asciiTheme="majorBidi" w:hAnsiTheme="majorBidi" w:cstheme="majorBidi"/>
        </w:rPr>
        <w:t xml:space="preserve"> This research examines the design principles of gamified learning environments, highlighting how poor design can lead to failures in achieving educational goals despite the growing use of gamification across settings like business, healthcare, and education.</w:t>
      </w:r>
    </w:p>
    <w:p w14:paraId="4C8E4EF0" w14:textId="77777777" w:rsidR="00160310" w:rsidRPr="00187CB3" w:rsidRDefault="00160310" w:rsidP="005950A9">
      <w:pPr>
        <w:pStyle w:val="NormalWeb"/>
        <w:jc w:val="both"/>
        <w:rPr>
          <w:rFonts w:asciiTheme="majorBidi" w:hAnsiTheme="majorBidi" w:cstheme="majorBidi"/>
        </w:rPr>
      </w:pPr>
      <w:r w:rsidRPr="00187CB3">
        <w:rPr>
          <w:rStyle w:val="Strong"/>
          <w:rFonts w:asciiTheme="majorBidi" w:eastAsiaTheme="majorEastAsia" w:hAnsiTheme="majorBidi" w:cstheme="majorBidi"/>
          <w:b w:val="0"/>
          <w:bCs w:val="0"/>
        </w:rPr>
        <w:t>Enhancement of Understanding:</w:t>
      </w:r>
      <w:r w:rsidRPr="00187CB3">
        <w:rPr>
          <w:rFonts w:asciiTheme="majorBidi" w:hAnsiTheme="majorBidi" w:cstheme="majorBidi"/>
        </w:rPr>
        <w:t xml:space="preserve"> The article synthesizes guidance from various experts and identifies eight key design</w:t>
      </w:r>
      <w:r w:rsidR="00B34665" w:rsidRPr="00187CB3">
        <w:rPr>
          <w:rFonts w:asciiTheme="majorBidi" w:hAnsiTheme="majorBidi" w:cstheme="majorBidi"/>
        </w:rPr>
        <w:t>//</w:t>
      </w:r>
      <w:r w:rsidRPr="00187CB3">
        <w:rPr>
          <w:rFonts w:asciiTheme="majorBidi" w:hAnsiTheme="majorBidi" w:cstheme="majorBidi"/>
        </w:rPr>
        <w:t xml:space="preserve"> considerations for creating effective gamified learning experiences, such as user-centered design, personalization, feedback, and the balance between competition and cooperation. These considerations emphasize aligning game elements with educational objectives while accounting for contextual factors.</w:t>
      </w:r>
    </w:p>
    <w:p w14:paraId="0A7737AA" w14:textId="77777777" w:rsidR="00160310" w:rsidRPr="00187CB3" w:rsidRDefault="00160310" w:rsidP="005950A9">
      <w:pPr>
        <w:pStyle w:val="NormalWeb"/>
        <w:jc w:val="both"/>
        <w:rPr>
          <w:rFonts w:asciiTheme="majorBidi" w:hAnsiTheme="majorBidi" w:cstheme="majorBidi"/>
        </w:rPr>
      </w:pPr>
      <w:r w:rsidRPr="00187CB3">
        <w:rPr>
          <w:rStyle w:val="Strong"/>
          <w:rFonts w:asciiTheme="majorBidi" w:eastAsiaTheme="majorEastAsia" w:hAnsiTheme="majorBidi" w:cstheme="majorBidi"/>
          <w:b w:val="0"/>
          <w:bCs w:val="0"/>
        </w:rPr>
        <w:t>Findings:</w:t>
      </w:r>
      <w:r w:rsidRPr="00187CB3">
        <w:rPr>
          <w:rFonts w:asciiTheme="majorBidi" w:hAnsiTheme="majorBidi" w:cstheme="majorBidi"/>
        </w:rPr>
        <w:t xml:space="preserve"> The study concludes that well-designed gamified environments improve student engagement and satisfaction. However, it cautions that the novelty of gamification alone is </w:t>
      </w:r>
      <w:r w:rsidRPr="00187CB3">
        <w:rPr>
          <w:rFonts w:asciiTheme="majorBidi" w:hAnsiTheme="majorBidi" w:cstheme="majorBidi"/>
        </w:rPr>
        <w:lastRenderedPageBreak/>
        <w:t>insufficient, as poorly designed elements can negatively affect motivation and learning. The research calls for future studies to develop research-based guidelines that incorporate both methods and contextual factors for designing effective gamified learning experiences</w:t>
      </w:r>
    </w:p>
    <w:p w14:paraId="1A9F2C82" w14:textId="77777777" w:rsidR="00AD135B" w:rsidRPr="00187CB3" w:rsidRDefault="00AD135B" w:rsidP="005950A9">
      <w:pPr>
        <w:jc w:val="both"/>
        <w:rPr>
          <w:rFonts w:asciiTheme="majorBidi" w:hAnsiTheme="majorBidi" w:cstheme="majorBidi"/>
          <w:sz w:val="24"/>
          <w:szCs w:val="24"/>
        </w:rPr>
      </w:pPr>
    </w:p>
    <w:p w14:paraId="677B3018"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Synthesis of Findings  </w:t>
      </w:r>
    </w:p>
    <w:p w14:paraId="7BF103BF" w14:textId="77777777" w:rsidR="00AD135B" w:rsidRPr="00187CB3" w:rsidRDefault="00AD135B" w:rsidP="005950A9">
      <w:pPr>
        <w:jc w:val="both"/>
        <w:rPr>
          <w:rFonts w:asciiTheme="majorBidi" w:hAnsiTheme="majorBidi" w:cstheme="majorBidi"/>
          <w:sz w:val="24"/>
          <w:szCs w:val="24"/>
        </w:rPr>
      </w:pPr>
      <w:r w:rsidRPr="00187CB3">
        <w:rPr>
          <w:rFonts w:asciiTheme="majorBidi" w:hAnsiTheme="majorBidi" w:cstheme="majorBidi"/>
          <w:sz w:val="24"/>
          <w:szCs w:val="24"/>
        </w:rPr>
        <w:t>The reviewed articles collectively highlight the potential of gamification to enhance student engagement and motivation, though its impact on learning outcomes remains inconsistent. They emphasize the importance of tailoring gamified strategies to individual needs and aligning them with educational goals. These insights will inform the development of your research proposal, ensuring it addresses both the opportunities and challenges of gamification in high school education.</w:t>
      </w:r>
    </w:p>
    <w:p w14:paraId="6829C054"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Session 2: Research Questions and Methodology</w:t>
      </w:r>
    </w:p>
    <w:p w14:paraId="24C43FCB"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To systematically investigate the research question—How does gamification influence student engagement and learning outcomes in high school </w:t>
      </w:r>
      <w:proofErr w:type="gramStart"/>
      <w:r w:rsidRPr="00187CB3">
        <w:rPr>
          <w:rFonts w:asciiTheme="majorBidi" w:hAnsiTheme="majorBidi" w:cstheme="majorBidi"/>
          <w:sz w:val="24"/>
          <w:szCs w:val="24"/>
        </w:rPr>
        <w:t>education?—</w:t>
      </w:r>
      <w:proofErr w:type="gramEnd"/>
      <w:r w:rsidRPr="00187CB3">
        <w:rPr>
          <w:rFonts w:asciiTheme="majorBidi" w:hAnsiTheme="majorBidi" w:cstheme="majorBidi"/>
          <w:sz w:val="24"/>
          <w:szCs w:val="24"/>
        </w:rPr>
        <w:t>a mixed-methods approach is employed to explore both quantitative and qualitative dimensions. This combination ensures a comprehensive understanding by utilizing the strengths of each method.</w:t>
      </w:r>
    </w:p>
    <w:p w14:paraId="17D00A18"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Crafting Research Questions</w:t>
      </w:r>
    </w:p>
    <w:p w14:paraId="231FE8CD"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The research will address the following two key questions:</w:t>
      </w:r>
    </w:p>
    <w:p w14:paraId="1A32CF26"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Quantitative Research Question:  </w:t>
      </w:r>
    </w:p>
    <w:p w14:paraId="2A41B401"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How does the use of gamification in science classes affect students' test scores compared to traditional teaching methods?  </w:t>
      </w:r>
    </w:p>
    <w:p w14:paraId="35A363FA"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This question focuses on the measurable impact of gamification on academic performance. By analyzing test scores, the study quantifies the effectiveness of gamification in enhancing learning outcomes.</w:t>
      </w:r>
    </w:p>
    <w:p w14:paraId="583F50F3"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Qualitative Research Question:  </w:t>
      </w:r>
    </w:p>
    <w:p w14:paraId="10116009"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What do students and teachers perceive as the benefits and challenges of gamified learning?  </w:t>
      </w:r>
    </w:p>
    <w:p w14:paraId="059DE003"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This question delves into the subjective experiences of both students and educators, uncovering insights into motivation, collaboration, and potential barriers to implementing gamified learning environments.</w:t>
      </w:r>
    </w:p>
    <w:p w14:paraId="14A7830C"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Session 2: Methodology Planning</w:t>
      </w:r>
    </w:p>
    <w:p w14:paraId="795B206C" w14:textId="77777777" w:rsidR="00817F7B" w:rsidRPr="00187CB3" w:rsidRDefault="00817F7B" w:rsidP="005950A9">
      <w:pPr>
        <w:pStyle w:val="NormalWeb"/>
        <w:jc w:val="both"/>
        <w:rPr>
          <w:rFonts w:asciiTheme="majorBidi" w:hAnsiTheme="majorBidi" w:cstheme="majorBidi"/>
        </w:rPr>
      </w:pPr>
      <w:r w:rsidRPr="00187CB3">
        <w:rPr>
          <w:rFonts w:asciiTheme="majorBidi" w:hAnsiTheme="majorBidi" w:cstheme="majorBidi"/>
        </w:rPr>
        <w:lastRenderedPageBreak/>
        <w:t xml:space="preserve">A mixed-methods approach is well-suited to address the research question: </w:t>
      </w:r>
      <w:r w:rsidRPr="00187CB3">
        <w:rPr>
          <w:rStyle w:val="Emphasis"/>
          <w:rFonts w:asciiTheme="majorBidi" w:eastAsiaTheme="majorEastAsia" w:hAnsiTheme="majorBidi" w:cstheme="majorBidi"/>
        </w:rPr>
        <w:t>How does gamification influence student engagement and learning outcomes in high school education?</w:t>
      </w:r>
      <w:r w:rsidRPr="00187CB3">
        <w:rPr>
          <w:rFonts w:asciiTheme="majorBidi" w:hAnsiTheme="majorBidi" w:cstheme="majorBidi"/>
        </w:rPr>
        <w:t xml:space="preserve"> As Bell (2017) emphasizes, this approach allows researchers to draw on the strengths of both quantitative and qualitative methods while mitigating their individual limitations. By integrating objective data with rich contextual insights, mixed-methods research provides a holistic understanding of the subject matter.</w:t>
      </w:r>
    </w:p>
    <w:p w14:paraId="37F7D0DC" w14:textId="77777777" w:rsidR="00817F7B" w:rsidRPr="00187CB3" w:rsidRDefault="00817F7B" w:rsidP="005950A9">
      <w:pPr>
        <w:pStyle w:val="Heading4"/>
        <w:jc w:val="both"/>
        <w:rPr>
          <w:rFonts w:asciiTheme="majorBidi" w:hAnsiTheme="majorBidi"/>
        </w:rPr>
      </w:pPr>
      <w:r w:rsidRPr="00187CB3">
        <w:rPr>
          <w:rStyle w:val="Strong"/>
          <w:rFonts w:asciiTheme="majorBidi" w:hAnsiTheme="majorBidi"/>
          <w:b w:val="0"/>
          <w:bCs w:val="0"/>
        </w:rPr>
        <w:t>Quantitative Approach</w:t>
      </w:r>
    </w:p>
    <w:p w14:paraId="39146B0E" w14:textId="77777777" w:rsidR="00817F7B" w:rsidRPr="00187CB3" w:rsidRDefault="00817F7B" w:rsidP="005950A9">
      <w:pPr>
        <w:pStyle w:val="NormalWeb"/>
        <w:jc w:val="both"/>
        <w:rPr>
          <w:rFonts w:asciiTheme="majorBidi" w:hAnsiTheme="majorBidi" w:cstheme="majorBidi"/>
        </w:rPr>
      </w:pPr>
      <w:r w:rsidRPr="00187CB3">
        <w:rPr>
          <w:rFonts w:asciiTheme="majorBidi" w:hAnsiTheme="majorBidi" w:cstheme="majorBidi"/>
        </w:rPr>
        <w:t>Quantitative methods focus on measuring the tangible impact of gamification using objective, numerical data. Drawing on the work of Cohen, Manion, and Morrison (2011), quantitative research provides clarity and structure, enabling the identification of patterns and relationships in large datasets. The process includes:</w:t>
      </w:r>
    </w:p>
    <w:p w14:paraId="5F5BB779" w14:textId="77777777" w:rsidR="00817F7B" w:rsidRPr="00187CB3" w:rsidRDefault="00817F7B" w:rsidP="005950A9">
      <w:pPr>
        <w:pStyle w:val="NormalWeb"/>
        <w:numPr>
          <w:ilvl w:val="0"/>
          <w:numId w:val="7"/>
        </w:numPr>
        <w:jc w:val="both"/>
        <w:rPr>
          <w:rFonts w:asciiTheme="majorBidi" w:hAnsiTheme="majorBidi" w:cstheme="majorBidi"/>
        </w:rPr>
      </w:pPr>
      <w:r w:rsidRPr="00187CB3">
        <w:rPr>
          <w:rStyle w:val="Strong"/>
          <w:rFonts w:asciiTheme="majorBidi" w:eastAsiaTheme="majorEastAsia" w:hAnsiTheme="majorBidi" w:cstheme="majorBidi"/>
          <w:b w:val="0"/>
          <w:bCs w:val="0"/>
        </w:rPr>
        <w:t>Academic Metrics</w:t>
      </w:r>
      <w:r w:rsidRPr="00187CB3">
        <w:rPr>
          <w:rFonts w:asciiTheme="majorBidi" w:hAnsiTheme="majorBidi" w:cstheme="majorBidi"/>
        </w:rPr>
        <w:t>:</w:t>
      </w:r>
    </w:p>
    <w:p w14:paraId="5C9A906C"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Pre- and post-test scores will be collected from science classes implementing gamified teaching strategies and those using traditional methods.</w:t>
      </w:r>
    </w:p>
    <w:p w14:paraId="30A3558E"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Statistical tools such as paired t-tests and ANOVA will measure differences in academic performance.</w:t>
      </w:r>
    </w:p>
    <w:p w14:paraId="0515E5A8" w14:textId="77777777" w:rsidR="00817F7B" w:rsidRPr="00187CB3" w:rsidRDefault="00817F7B" w:rsidP="005950A9">
      <w:pPr>
        <w:pStyle w:val="NormalWeb"/>
        <w:numPr>
          <w:ilvl w:val="0"/>
          <w:numId w:val="7"/>
        </w:numPr>
        <w:jc w:val="both"/>
        <w:rPr>
          <w:rFonts w:asciiTheme="majorBidi" w:hAnsiTheme="majorBidi" w:cstheme="majorBidi"/>
        </w:rPr>
      </w:pPr>
      <w:r w:rsidRPr="00187CB3">
        <w:rPr>
          <w:rStyle w:val="Strong"/>
          <w:rFonts w:asciiTheme="majorBidi" w:eastAsiaTheme="majorEastAsia" w:hAnsiTheme="majorBidi" w:cstheme="majorBidi"/>
          <w:b w:val="0"/>
          <w:bCs w:val="0"/>
        </w:rPr>
        <w:t>Questionnaires</w:t>
      </w:r>
      <w:r w:rsidRPr="00187CB3">
        <w:rPr>
          <w:rFonts w:asciiTheme="majorBidi" w:hAnsiTheme="majorBidi" w:cstheme="majorBidi"/>
        </w:rPr>
        <w:t>:</w:t>
      </w:r>
    </w:p>
    <w:p w14:paraId="341812EF" w14:textId="77777777" w:rsidR="00817F7B" w:rsidRPr="00187CB3" w:rsidRDefault="00817F7B" w:rsidP="005950A9">
      <w:pPr>
        <w:pStyle w:val="NormalWeb"/>
        <w:numPr>
          <w:ilvl w:val="1"/>
          <w:numId w:val="7"/>
        </w:numPr>
        <w:jc w:val="both"/>
        <w:rPr>
          <w:rFonts w:asciiTheme="majorBidi" w:hAnsiTheme="majorBidi" w:cstheme="majorBidi"/>
        </w:rPr>
      </w:pPr>
      <w:r w:rsidRPr="00187CB3">
        <w:rPr>
          <w:rFonts w:asciiTheme="majorBidi" w:hAnsiTheme="majorBidi" w:cstheme="majorBidi"/>
        </w:rPr>
        <w:t>Designed with Likert-scale and multiple-choice items, the questionnaires will assess student engagement, motivation, and perceptions of gamified activities.</w:t>
      </w:r>
    </w:p>
    <w:p w14:paraId="1A9B1772" w14:textId="77777777" w:rsidR="00817F7B" w:rsidRPr="00187CB3" w:rsidRDefault="00817F7B" w:rsidP="005950A9">
      <w:pPr>
        <w:pStyle w:val="NormalWeb"/>
        <w:jc w:val="both"/>
        <w:rPr>
          <w:rFonts w:asciiTheme="majorBidi" w:hAnsiTheme="majorBidi" w:cstheme="majorBidi"/>
        </w:rPr>
      </w:pPr>
      <w:r w:rsidRPr="00187CB3">
        <w:rPr>
          <w:rStyle w:val="Strong"/>
          <w:rFonts w:asciiTheme="majorBidi" w:eastAsiaTheme="majorEastAsia" w:hAnsiTheme="majorBidi" w:cstheme="majorBidi"/>
          <w:b w:val="0"/>
          <w:bCs w:val="0"/>
        </w:rPr>
        <w:t>Rationale</w:t>
      </w:r>
      <w:r w:rsidRPr="00187CB3">
        <w:rPr>
          <w:rFonts w:asciiTheme="majorBidi" w:hAnsiTheme="majorBidi" w:cstheme="majorBidi"/>
        </w:rPr>
        <w:t>: Cohen et al. (2011) note that quantitative methods are particularly suited for establishing causality and identifying trends, while Bell (2017) highlights their ability to generate reliable and replicable results. By capturing measurable impacts, quantitative data ensures findings are robust and actionable.</w:t>
      </w:r>
    </w:p>
    <w:p w14:paraId="4ADF21DE" w14:textId="77777777" w:rsidR="00817F7B" w:rsidRPr="00187CB3" w:rsidRDefault="00817F7B" w:rsidP="005950A9">
      <w:pPr>
        <w:pStyle w:val="Heading4"/>
        <w:jc w:val="both"/>
        <w:rPr>
          <w:rFonts w:asciiTheme="majorBidi" w:hAnsiTheme="majorBidi"/>
        </w:rPr>
      </w:pPr>
      <w:r w:rsidRPr="00187CB3">
        <w:rPr>
          <w:rStyle w:val="Strong"/>
          <w:rFonts w:asciiTheme="majorBidi" w:hAnsiTheme="majorBidi"/>
          <w:b w:val="0"/>
          <w:bCs w:val="0"/>
        </w:rPr>
        <w:t>Qualitative Approach</w:t>
      </w:r>
    </w:p>
    <w:p w14:paraId="6D2316FD" w14:textId="77777777" w:rsidR="00817F7B" w:rsidRPr="00187CB3" w:rsidRDefault="00817F7B" w:rsidP="005950A9">
      <w:pPr>
        <w:pStyle w:val="NormalWeb"/>
        <w:jc w:val="both"/>
        <w:rPr>
          <w:rFonts w:asciiTheme="majorBidi" w:hAnsiTheme="majorBidi" w:cstheme="majorBidi"/>
        </w:rPr>
      </w:pPr>
      <w:r w:rsidRPr="00187CB3">
        <w:rPr>
          <w:rFonts w:asciiTheme="majorBidi" w:hAnsiTheme="majorBidi" w:cstheme="majorBidi"/>
        </w:rPr>
        <w:t>Qualitative methods will delve into the subjective experiences of participants, providing insights that enrich and contextualize the numerical findings. Bell (2017) advocates for the use of qualitative techniques to explore phenomena that cannot be fully understood through quantitative measures alone. The qualitative process will involve:</w:t>
      </w:r>
    </w:p>
    <w:p w14:paraId="7635E3D7" w14:textId="77777777" w:rsidR="00817F7B" w:rsidRPr="00187CB3" w:rsidRDefault="00817F7B" w:rsidP="005950A9">
      <w:pPr>
        <w:pStyle w:val="NormalWeb"/>
        <w:numPr>
          <w:ilvl w:val="0"/>
          <w:numId w:val="8"/>
        </w:numPr>
        <w:jc w:val="both"/>
        <w:rPr>
          <w:rFonts w:asciiTheme="majorBidi" w:hAnsiTheme="majorBidi" w:cstheme="majorBidi"/>
        </w:rPr>
      </w:pPr>
      <w:r w:rsidRPr="00187CB3">
        <w:rPr>
          <w:rStyle w:val="Strong"/>
          <w:rFonts w:asciiTheme="majorBidi" w:eastAsiaTheme="majorEastAsia" w:hAnsiTheme="majorBidi" w:cstheme="majorBidi"/>
          <w:b w:val="0"/>
          <w:bCs w:val="0"/>
        </w:rPr>
        <w:t>Semi-Structured Interviews</w:t>
      </w:r>
      <w:r w:rsidRPr="00187CB3">
        <w:rPr>
          <w:rFonts w:asciiTheme="majorBidi" w:hAnsiTheme="majorBidi" w:cstheme="majorBidi"/>
        </w:rPr>
        <w:t>:</w:t>
      </w:r>
    </w:p>
    <w:p w14:paraId="0C7299BB"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Teachers and focus groups of students will share their perspectives on gamified learning, discussing benefits, challenges, and areas for improvement.</w:t>
      </w:r>
    </w:p>
    <w:p w14:paraId="238060B2"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These interviews allow for flexibility, encouraging participants to elaborate on their experiences.</w:t>
      </w:r>
    </w:p>
    <w:p w14:paraId="0F0A4444" w14:textId="77777777" w:rsidR="00817F7B" w:rsidRPr="00187CB3" w:rsidRDefault="00817F7B" w:rsidP="005950A9">
      <w:pPr>
        <w:pStyle w:val="NormalWeb"/>
        <w:numPr>
          <w:ilvl w:val="0"/>
          <w:numId w:val="8"/>
        </w:numPr>
        <w:jc w:val="both"/>
        <w:rPr>
          <w:rFonts w:asciiTheme="majorBidi" w:hAnsiTheme="majorBidi" w:cstheme="majorBidi"/>
        </w:rPr>
      </w:pPr>
      <w:r w:rsidRPr="00187CB3">
        <w:rPr>
          <w:rStyle w:val="Strong"/>
          <w:rFonts w:asciiTheme="majorBidi" w:eastAsiaTheme="majorEastAsia" w:hAnsiTheme="majorBidi" w:cstheme="majorBidi"/>
          <w:b w:val="0"/>
          <w:bCs w:val="0"/>
        </w:rPr>
        <w:lastRenderedPageBreak/>
        <w:t>Thematic Analysis</w:t>
      </w:r>
      <w:r w:rsidRPr="00187CB3">
        <w:rPr>
          <w:rFonts w:asciiTheme="majorBidi" w:hAnsiTheme="majorBidi" w:cstheme="majorBidi"/>
        </w:rPr>
        <w:t>:</w:t>
      </w:r>
    </w:p>
    <w:p w14:paraId="17E98FA4"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Recurring themes such as collaboration, emotional responses, and implementation challenges will be identified and analyzed.</w:t>
      </w:r>
    </w:p>
    <w:p w14:paraId="76383D1F" w14:textId="77777777" w:rsidR="00817F7B" w:rsidRPr="00187CB3" w:rsidRDefault="00817F7B" w:rsidP="005950A9">
      <w:pPr>
        <w:pStyle w:val="NormalWeb"/>
        <w:ind w:left="1440"/>
        <w:jc w:val="both"/>
        <w:rPr>
          <w:rFonts w:asciiTheme="majorBidi" w:hAnsiTheme="majorBidi" w:cstheme="majorBidi"/>
        </w:rPr>
      </w:pPr>
      <w:r w:rsidRPr="00187CB3">
        <w:rPr>
          <w:rFonts w:asciiTheme="majorBidi" w:hAnsiTheme="majorBidi" w:cstheme="majorBidi"/>
        </w:rPr>
        <w:t>Cohen et al. (2011) emphasize thematic analysis as an effective method for uncovering patterns and interpreting participants’ narratives in educational research.</w:t>
      </w:r>
    </w:p>
    <w:p w14:paraId="668DD774" w14:textId="77777777" w:rsidR="00817F7B" w:rsidRPr="00187CB3" w:rsidRDefault="00817F7B" w:rsidP="005950A9">
      <w:pPr>
        <w:pStyle w:val="NormalWeb"/>
        <w:jc w:val="both"/>
        <w:rPr>
          <w:rFonts w:asciiTheme="majorBidi" w:hAnsiTheme="majorBidi" w:cstheme="majorBidi"/>
        </w:rPr>
      </w:pPr>
      <w:r w:rsidRPr="00187CB3">
        <w:rPr>
          <w:rStyle w:val="Strong"/>
          <w:rFonts w:asciiTheme="majorBidi" w:eastAsiaTheme="majorEastAsia" w:hAnsiTheme="majorBidi" w:cstheme="majorBidi"/>
          <w:b w:val="0"/>
          <w:bCs w:val="0"/>
        </w:rPr>
        <w:t>Rationale</w:t>
      </w:r>
      <w:r w:rsidRPr="00187CB3">
        <w:rPr>
          <w:rFonts w:asciiTheme="majorBidi" w:hAnsiTheme="majorBidi" w:cstheme="majorBidi"/>
        </w:rPr>
        <w:t xml:space="preserve">: While quantitative methods excel in measuring outcomes, qualitative methods explain </w:t>
      </w:r>
      <w:r w:rsidRPr="00187CB3">
        <w:rPr>
          <w:rStyle w:val="Emphasis"/>
          <w:rFonts w:asciiTheme="majorBidi" w:eastAsiaTheme="majorEastAsia" w:hAnsiTheme="majorBidi" w:cstheme="majorBidi"/>
        </w:rPr>
        <w:t>how</w:t>
      </w:r>
      <w:r w:rsidRPr="00187CB3">
        <w:rPr>
          <w:rFonts w:asciiTheme="majorBidi" w:hAnsiTheme="majorBidi" w:cstheme="majorBidi"/>
        </w:rPr>
        <w:t xml:space="preserve"> and </w:t>
      </w:r>
      <w:r w:rsidRPr="00187CB3">
        <w:rPr>
          <w:rStyle w:val="Emphasis"/>
          <w:rFonts w:asciiTheme="majorBidi" w:eastAsiaTheme="majorEastAsia" w:hAnsiTheme="majorBidi" w:cstheme="majorBidi"/>
        </w:rPr>
        <w:t>why</w:t>
      </w:r>
      <w:r w:rsidRPr="00187CB3">
        <w:rPr>
          <w:rFonts w:asciiTheme="majorBidi" w:hAnsiTheme="majorBidi" w:cstheme="majorBidi"/>
        </w:rPr>
        <w:t xml:space="preserve"> these outcomes occur. Bell (2017) points out that qualitative insights are essential for understanding complexities, especially when addressing diverse viewpoints.</w:t>
      </w:r>
    </w:p>
    <w:p w14:paraId="6A8F6D75" w14:textId="77777777" w:rsidR="00817F7B" w:rsidRPr="00187CB3" w:rsidRDefault="00817F7B" w:rsidP="005950A9">
      <w:pPr>
        <w:pStyle w:val="Heading4"/>
        <w:jc w:val="both"/>
        <w:rPr>
          <w:rFonts w:asciiTheme="majorBidi" w:hAnsiTheme="majorBidi"/>
        </w:rPr>
      </w:pPr>
      <w:r w:rsidRPr="00187CB3">
        <w:rPr>
          <w:rStyle w:val="Strong"/>
          <w:rFonts w:asciiTheme="majorBidi" w:hAnsiTheme="majorBidi"/>
          <w:b w:val="0"/>
          <w:bCs w:val="0"/>
        </w:rPr>
        <w:t>Justification of Mixed-Methods Approach</w:t>
      </w:r>
    </w:p>
    <w:p w14:paraId="1B67060F" w14:textId="77777777" w:rsidR="00817F7B" w:rsidRPr="00187CB3" w:rsidRDefault="00817F7B" w:rsidP="005950A9">
      <w:pPr>
        <w:pStyle w:val="NormalWeb"/>
        <w:jc w:val="both"/>
        <w:rPr>
          <w:rFonts w:asciiTheme="majorBidi" w:hAnsiTheme="majorBidi" w:cstheme="majorBidi"/>
        </w:rPr>
      </w:pPr>
      <w:r w:rsidRPr="00187CB3">
        <w:rPr>
          <w:rFonts w:asciiTheme="majorBidi" w:hAnsiTheme="majorBidi" w:cstheme="majorBidi"/>
        </w:rPr>
        <w:t>This mixed-methods design is underpinned by key principles discussed by Bell (2017) and Cohen et al. (2011):</w:t>
      </w:r>
    </w:p>
    <w:p w14:paraId="5A603E25" w14:textId="77777777" w:rsidR="00817F7B" w:rsidRPr="00187CB3" w:rsidRDefault="00817F7B" w:rsidP="005950A9">
      <w:pPr>
        <w:pStyle w:val="NormalWeb"/>
        <w:numPr>
          <w:ilvl w:val="0"/>
          <w:numId w:val="9"/>
        </w:numPr>
        <w:jc w:val="both"/>
        <w:rPr>
          <w:rFonts w:asciiTheme="majorBidi" w:hAnsiTheme="majorBidi" w:cstheme="majorBidi"/>
        </w:rPr>
      </w:pPr>
      <w:r w:rsidRPr="00187CB3">
        <w:rPr>
          <w:rStyle w:val="Strong"/>
          <w:rFonts w:asciiTheme="majorBidi" w:eastAsiaTheme="majorEastAsia" w:hAnsiTheme="majorBidi" w:cstheme="majorBidi"/>
          <w:b w:val="0"/>
          <w:bCs w:val="0"/>
        </w:rPr>
        <w:t>Complementarity</w:t>
      </w:r>
      <w:r w:rsidRPr="00187CB3">
        <w:rPr>
          <w:rFonts w:asciiTheme="majorBidi" w:hAnsiTheme="majorBidi" w:cstheme="majorBidi"/>
        </w:rPr>
        <w:t>: Quantitative data identifies measurable impacts, while qualitative data offers explanatory context, addressing the strengths and limitations of each method.</w:t>
      </w:r>
    </w:p>
    <w:p w14:paraId="393D0355" w14:textId="77777777" w:rsidR="00817F7B" w:rsidRPr="00187CB3" w:rsidRDefault="00817F7B" w:rsidP="005950A9">
      <w:pPr>
        <w:pStyle w:val="NormalWeb"/>
        <w:numPr>
          <w:ilvl w:val="0"/>
          <w:numId w:val="9"/>
        </w:numPr>
        <w:jc w:val="both"/>
        <w:rPr>
          <w:rFonts w:asciiTheme="majorBidi" w:hAnsiTheme="majorBidi" w:cstheme="majorBidi"/>
        </w:rPr>
      </w:pPr>
      <w:r w:rsidRPr="00187CB3">
        <w:rPr>
          <w:rStyle w:val="Strong"/>
          <w:rFonts w:asciiTheme="majorBidi" w:eastAsiaTheme="majorEastAsia" w:hAnsiTheme="majorBidi" w:cstheme="majorBidi"/>
          <w:b w:val="0"/>
          <w:bCs w:val="0"/>
        </w:rPr>
        <w:t>Triangulation</w:t>
      </w:r>
      <w:r w:rsidRPr="00187CB3">
        <w:rPr>
          <w:rFonts w:asciiTheme="majorBidi" w:hAnsiTheme="majorBidi" w:cstheme="majorBidi"/>
        </w:rPr>
        <w:t>: Combining methods enhances the validity of findings, with conclusions supported by multiple sources of evidence.</w:t>
      </w:r>
    </w:p>
    <w:p w14:paraId="74B5B150" w14:textId="77777777" w:rsidR="00817F7B" w:rsidRPr="00187CB3" w:rsidRDefault="00817F7B" w:rsidP="005950A9">
      <w:pPr>
        <w:pStyle w:val="NormalWeb"/>
        <w:numPr>
          <w:ilvl w:val="0"/>
          <w:numId w:val="9"/>
        </w:numPr>
        <w:jc w:val="both"/>
        <w:rPr>
          <w:rFonts w:asciiTheme="majorBidi" w:hAnsiTheme="majorBidi" w:cstheme="majorBidi"/>
        </w:rPr>
      </w:pPr>
      <w:r w:rsidRPr="00187CB3">
        <w:rPr>
          <w:rStyle w:val="Strong"/>
          <w:rFonts w:asciiTheme="majorBidi" w:eastAsiaTheme="majorEastAsia" w:hAnsiTheme="majorBidi" w:cstheme="majorBidi"/>
          <w:b w:val="0"/>
          <w:bCs w:val="0"/>
        </w:rPr>
        <w:t>Rich Insights</w:t>
      </w:r>
      <w:r w:rsidRPr="00187CB3">
        <w:rPr>
          <w:rFonts w:asciiTheme="majorBidi" w:hAnsiTheme="majorBidi" w:cstheme="majorBidi"/>
        </w:rPr>
        <w:t>: A mixed approach captures both academic performance metrics and lived experiences, offering a nuanced understanding of gamification’s impact.</w:t>
      </w:r>
    </w:p>
    <w:p w14:paraId="7960374E" w14:textId="77777777" w:rsidR="00817F7B" w:rsidRPr="00187CB3" w:rsidRDefault="00817F7B" w:rsidP="005950A9">
      <w:pPr>
        <w:pStyle w:val="NormalWeb"/>
        <w:jc w:val="both"/>
        <w:rPr>
          <w:rFonts w:asciiTheme="majorBidi" w:hAnsiTheme="majorBidi" w:cstheme="majorBidi"/>
        </w:rPr>
      </w:pPr>
      <w:r w:rsidRPr="00187CB3">
        <w:rPr>
          <w:rFonts w:asciiTheme="majorBidi" w:hAnsiTheme="majorBidi" w:cstheme="majorBidi"/>
        </w:rPr>
        <w:t>As Cohen et al. (2011) highlight, mixed-methods research is particularly effective in complex educational studies where neither quantitative nor qualitative data alone can provide a complete picture. This methodology ensures a balanced, reliable, and comprehensive analysis of gamification’s role in high school education</w:t>
      </w:r>
    </w:p>
    <w:p w14:paraId="7B36A53E"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Session 3: Research Tools 1</w:t>
      </w:r>
    </w:p>
    <w:p w14:paraId="7A6E29BD"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Effective research tools are essential for collecting high-quality data to address the research question: How does gamification influence student engagement and learning outcomes in high school education? This session emphasizes the design and application of questionnaires and observational methods, both tailored specifically to the context of gamified science classes.</w:t>
      </w:r>
    </w:p>
    <w:p w14:paraId="6F443F5A"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Questionnaires</w:t>
      </w:r>
    </w:p>
    <w:p w14:paraId="283F5E1A"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Questionnaires serve as a vital tool for quantitatively assessing students’ perceptions, motivation, and academic performance linked to gamified learning. These surveys will be structured to gather data across key variables such as interest, engagement levels, and overall satisfaction with the gamified environment.  </w:t>
      </w:r>
    </w:p>
    <w:p w14:paraId="2209CF68"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Structure:  </w:t>
      </w:r>
    </w:p>
    <w:p w14:paraId="6D6698F4"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   The questionnaire will include:</w:t>
      </w:r>
    </w:p>
    <w:p w14:paraId="1406B01F"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Likert-scale items: For example, "Rate your enjoyment of the gamified activities from 1 (low) to 5 (high)."  </w:t>
      </w:r>
    </w:p>
    <w:p w14:paraId="5F9F42E4"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Multiple-choice questions: To capture preferences regarding specific game elements (e.g., badges, leaderboards).  </w:t>
      </w:r>
    </w:p>
    <w:p w14:paraId="7BD6166B"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Open-ended questions: To allow qualitative insights into personal experiences with gamification.  </w:t>
      </w:r>
    </w:p>
    <w:p w14:paraId="5F26EECC" w14:textId="77777777" w:rsidR="00DB461A" w:rsidRPr="00187CB3" w:rsidRDefault="00DB461A" w:rsidP="005950A9">
      <w:pPr>
        <w:jc w:val="both"/>
        <w:rPr>
          <w:rFonts w:asciiTheme="majorBidi" w:hAnsiTheme="majorBidi" w:cstheme="majorBidi"/>
          <w:sz w:val="24"/>
          <w:szCs w:val="24"/>
        </w:rPr>
      </w:pPr>
    </w:p>
    <w:p w14:paraId="73A3DF8C"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Purpose:  </w:t>
      </w:r>
    </w:p>
    <w:p w14:paraId="70C3FD16"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These surveys aim to measure not only engagement levels but also self-perceived academic progress and motivation within gamified science classes. For instance, responses might reveal whether competitive elements foster enthusiasm or, conversely, cause stress among students.  </w:t>
      </w:r>
    </w:p>
    <w:p w14:paraId="29D11F51" w14:textId="77777777" w:rsidR="00DB461A" w:rsidRPr="00187CB3" w:rsidRDefault="00DB461A" w:rsidP="005950A9">
      <w:pPr>
        <w:jc w:val="both"/>
        <w:rPr>
          <w:rFonts w:asciiTheme="majorBidi" w:hAnsiTheme="majorBidi" w:cstheme="majorBidi"/>
          <w:sz w:val="24"/>
          <w:szCs w:val="24"/>
        </w:rPr>
      </w:pPr>
    </w:p>
    <w:p w14:paraId="56AB36AC"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Application: Questionnaires will be administered before and after the gamified interventions to track changes in engagement and performance. Statistical analysis methods, such as paired t-tests, will be employed to quantify differences over time.</w:t>
      </w:r>
    </w:p>
    <w:p w14:paraId="015D52EF" w14:textId="77777777" w:rsidR="00DB461A" w:rsidRPr="00187CB3" w:rsidRDefault="00DB461A" w:rsidP="005950A9">
      <w:pPr>
        <w:jc w:val="both"/>
        <w:rPr>
          <w:rFonts w:asciiTheme="majorBidi" w:hAnsiTheme="majorBidi" w:cstheme="majorBidi"/>
          <w:sz w:val="24"/>
          <w:szCs w:val="24"/>
        </w:rPr>
      </w:pPr>
    </w:p>
    <w:p w14:paraId="74434442"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Observations</w:t>
      </w:r>
    </w:p>
    <w:p w14:paraId="539E82F9"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Observation provides an invaluable qualitative perspective on how gamified activities shape classroom dynamics and interaction patterns. The aim is to document behaviors and interactions that questionnaires may not fully capture.  </w:t>
      </w:r>
    </w:p>
    <w:p w14:paraId="03137E86"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Design:  </w:t>
      </w:r>
    </w:p>
    <w:p w14:paraId="1DE99C05"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Observational protocols will focus on key indicators such as:  </w:t>
      </w:r>
    </w:p>
    <w:p w14:paraId="26132E48"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Levels of participation during gamified tasks.  </w:t>
      </w:r>
    </w:p>
    <w:p w14:paraId="48E34F0E"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Peer collaboration and problem-solving behaviors.  </w:t>
      </w:r>
    </w:p>
    <w:p w14:paraId="535CB030"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Emotional responses, including expressions of enthusiasm or frustration.  </w:t>
      </w:r>
    </w:p>
    <w:p w14:paraId="25E0150E" w14:textId="77777777" w:rsidR="00DB461A" w:rsidRPr="00187CB3" w:rsidRDefault="00DB461A" w:rsidP="005950A9">
      <w:pPr>
        <w:jc w:val="both"/>
        <w:rPr>
          <w:rFonts w:asciiTheme="majorBidi" w:hAnsiTheme="majorBidi" w:cstheme="majorBidi"/>
          <w:sz w:val="24"/>
          <w:szCs w:val="24"/>
        </w:rPr>
      </w:pPr>
    </w:p>
    <w:p w14:paraId="209477FB"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Procedure:  </w:t>
      </w:r>
    </w:p>
    <w:p w14:paraId="7ACB8D01"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   Observations will take place during regular classroom sessions involving gamified activities, such as science quizzes or collaborative challenges. A standardized checklist will ensure consistency across all observation sessions.  </w:t>
      </w:r>
    </w:p>
    <w:p w14:paraId="6DED61BC" w14:textId="77777777" w:rsidR="00DB461A" w:rsidRPr="00187CB3" w:rsidRDefault="00DB461A" w:rsidP="005950A9">
      <w:pPr>
        <w:jc w:val="both"/>
        <w:rPr>
          <w:rFonts w:asciiTheme="majorBidi" w:hAnsiTheme="majorBidi" w:cstheme="majorBidi"/>
          <w:sz w:val="24"/>
          <w:szCs w:val="24"/>
        </w:rPr>
      </w:pPr>
    </w:p>
    <w:p w14:paraId="46CB6B99"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Application: Data collected from observations will undergo thematic analysis to identify patterns and draw connections between behaviors and the overall effectiveness of gamification. For example, an increase in collaborative behaviors may signal improved engagement, validating gamification’s role as a facilitator of teamwork.</w:t>
      </w:r>
    </w:p>
    <w:p w14:paraId="04EBA1A1" w14:textId="77777777" w:rsidR="00DB461A" w:rsidRPr="00187CB3" w:rsidRDefault="00DB461A" w:rsidP="005950A9">
      <w:pPr>
        <w:jc w:val="both"/>
        <w:rPr>
          <w:rFonts w:asciiTheme="majorBidi" w:hAnsiTheme="majorBidi" w:cstheme="majorBidi"/>
          <w:sz w:val="24"/>
          <w:szCs w:val="24"/>
        </w:rPr>
      </w:pPr>
    </w:p>
    <w:p w14:paraId="5EA4572E"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Complementarity of Tools</w:t>
      </w:r>
    </w:p>
    <w:p w14:paraId="61B17AAB"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Questionnaires and observations complement each other, offering a balanced view of gamification’s impact:</w:t>
      </w:r>
    </w:p>
    <w:p w14:paraId="70BBCEBB"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Questionnaires provide quantitative metrics, capturing broad patterns across a large sample.  </w:t>
      </w:r>
    </w:p>
    <w:p w14:paraId="6FF6C940"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Observations delve into qualitative nuances, uncovering behaviors and emotional responses that enrich the numerical data.  </w:t>
      </w:r>
    </w:p>
    <w:p w14:paraId="69939D0D" w14:textId="77777777" w:rsidR="00DB461A" w:rsidRPr="00187CB3" w:rsidRDefault="00DB461A" w:rsidP="005950A9">
      <w:pPr>
        <w:jc w:val="both"/>
        <w:rPr>
          <w:rFonts w:asciiTheme="majorBidi" w:hAnsiTheme="majorBidi" w:cstheme="majorBidi"/>
          <w:sz w:val="24"/>
          <w:szCs w:val="24"/>
        </w:rPr>
      </w:pPr>
    </w:p>
    <w:p w14:paraId="5EFCDEDA" w14:textId="77777777" w:rsidR="00DB461A" w:rsidRPr="00187CB3" w:rsidRDefault="00DB461A" w:rsidP="005950A9">
      <w:pPr>
        <w:jc w:val="both"/>
        <w:rPr>
          <w:rFonts w:asciiTheme="majorBidi" w:hAnsiTheme="majorBidi" w:cstheme="majorBidi"/>
          <w:sz w:val="24"/>
          <w:szCs w:val="24"/>
        </w:rPr>
      </w:pPr>
      <w:r w:rsidRPr="00187CB3">
        <w:rPr>
          <w:rFonts w:asciiTheme="majorBidi" w:hAnsiTheme="majorBidi" w:cstheme="majorBidi"/>
          <w:sz w:val="24"/>
          <w:szCs w:val="24"/>
        </w:rPr>
        <w:t>Together, these tools ensure that the research captures both measurable outcomes and dynamic classroom interactions, aligning seamlessly with the guidelines.</w:t>
      </w:r>
    </w:p>
    <w:p w14:paraId="25FE36F3" w14:textId="77777777" w:rsidR="00DB461A" w:rsidRPr="00187CB3" w:rsidRDefault="00DB461A" w:rsidP="005950A9">
      <w:pPr>
        <w:jc w:val="both"/>
        <w:rPr>
          <w:rFonts w:asciiTheme="majorBidi" w:hAnsiTheme="majorBidi" w:cstheme="majorBidi"/>
          <w:sz w:val="24"/>
          <w:szCs w:val="24"/>
        </w:rPr>
      </w:pPr>
    </w:p>
    <w:p w14:paraId="248ED561"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1: "The Impact of Gamification on Students’ Learning, Engagement, and Behavior"  </w:t>
      </w:r>
    </w:p>
    <w:p w14:paraId="169CC08F"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Accessible: This article is openly available on platforms like </w:t>
      </w:r>
      <w:proofErr w:type="spellStart"/>
      <w:r w:rsidRPr="00187CB3">
        <w:rPr>
          <w:rFonts w:asciiTheme="majorBidi" w:hAnsiTheme="majorBidi" w:cstheme="majorBidi"/>
          <w:sz w:val="24"/>
          <w:szCs w:val="24"/>
        </w:rPr>
        <w:t>SpringerOpen</w:t>
      </w:r>
      <w:proofErr w:type="spellEnd"/>
      <w:r w:rsidRPr="00187CB3">
        <w:rPr>
          <w:rFonts w:asciiTheme="majorBidi" w:hAnsiTheme="majorBidi" w:cstheme="majorBidi"/>
          <w:sz w:val="24"/>
          <w:szCs w:val="24"/>
        </w:rPr>
        <w:t xml:space="preserve">, making it easily accessible to researchers and practitioners.  </w:t>
      </w:r>
    </w:p>
    <w:p w14:paraId="1693EB05"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Accurate: The study employs a robust experimental design, comparing gamified and non-gamified learning environments over four months with 40 undergraduate students. The methods are appropriate for the research aims, and the findings are supported by prior studies.  </w:t>
      </w:r>
    </w:p>
    <w:p w14:paraId="43ABD3B7"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Applicable: While the study focuses on undergraduate programming courses, its findings on engagement and behavior are relevant to high school education, particularly in science subjects where similar gamified strategies can be applied.  </w:t>
      </w:r>
    </w:p>
    <w:p w14:paraId="31E5F676"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Acceptable: The research aligns with ethical standards, and its conclusions are consistent with existing literature on gamification’s potential to enhance engagement.  </w:t>
      </w:r>
    </w:p>
    <w:p w14:paraId="5E2CE4AE"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Appropriate: The study addresses recurring challenges in education, such as low engagement and motivation, making it relevant to your research focus.  </w:t>
      </w:r>
    </w:p>
    <w:p w14:paraId="7B4DE2EA"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Actionable: The findings provide clear recommendations for designing gamified learning environments, emphasizing the importance of tailoring strategies to individual personality traits.</w:t>
      </w:r>
    </w:p>
    <w:p w14:paraId="760726F0" w14:textId="77777777" w:rsidR="00AC721B" w:rsidRPr="00187CB3" w:rsidRDefault="00AC721B" w:rsidP="005950A9">
      <w:pPr>
        <w:jc w:val="both"/>
        <w:rPr>
          <w:rFonts w:asciiTheme="majorBidi" w:hAnsiTheme="majorBidi" w:cstheme="majorBidi"/>
          <w:sz w:val="24"/>
          <w:szCs w:val="24"/>
        </w:rPr>
      </w:pPr>
    </w:p>
    <w:p w14:paraId="0B6DAFD0" w14:textId="77777777" w:rsidR="00F64C29"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2: "Gamifying Education: What is Known, </w:t>
      </w:r>
      <w:proofErr w:type="gramStart"/>
      <w:r w:rsidRPr="00187CB3">
        <w:rPr>
          <w:rFonts w:asciiTheme="majorBidi" w:hAnsiTheme="majorBidi" w:cstheme="majorBidi"/>
          <w:sz w:val="24"/>
          <w:szCs w:val="24"/>
        </w:rPr>
        <w:t>What</w:t>
      </w:r>
      <w:proofErr w:type="gramEnd"/>
      <w:r w:rsidRPr="00187CB3">
        <w:rPr>
          <w:rFonts w:asciiTheme="majorBidi" w:hAnsiTheme="majorBidi" w:cstheme="majorBidi"/>
          <w:sz w:val="24"/>
          <w:szCs w:val="24"/>
        </w:rPr>
        <w:t xml:space="preserve"> is Believed, and What Remains Uncertain"</w:t>
      </w:r>
    </w:p>
    <w:p w14:paraId="09FE8453"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Accessible: This critical review is published in the International Journal of Educational Technology in Higher Education and is freely available online.  </w:t>
      </w:r>
    </w:p>
    <w:p w14:paraId="04271BC1"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Accurate: The article critically examines empirical evidence from multiple studies, ensuring a balanced and comprehensive analysis. However, it highlights the lack of systematic studies on gamification’s long-term benefits.  </w:t>
      </w:r>
    </w:p>
    <w:p w14:paraId="6B60660B"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Applicable: The review’s focus on gamification mechanisms and their educational impact is directly relevant to your research question, offering insights into both opportunities and limitations.  </w:t>
      </w:r>
    </w:p>
    <w:p w14:paraId="6C37B745"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Acceptable: The authors adopt an objective stance, critically evaluating the reliability and validity of existing studies. The ethical implications of gamification are also discussed.  </w:t>
      </w:r>
    </w:p>
    <w:p w14:paraId="307EB4E6"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Appropriate: By addressing gaps in understanding gamification’s mechanisms, the article contributes to solving practical challenges in educational research.  </w:t>
      </w:r>
    </w:p>
    <w:p w14:paraId="07EEA583"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Actionable: The review emphasizes the need for rigorously designed studies, providing a framework for future research on gamification’s educational benefits.</w:t>
      </w:r>
    </w:p>
    <w:p w14:paraId="695050C7" w14:textId="77777777" w:rsidR="00AC721B" w:rsidRPr="00187CB3" w:rsidRDefault="00AC721B" w:rsidP="005950A9">
      <w:pPr>
        <w:jc w:val="both"/>
        <w:rPr>
          <w:rFonts w:asciiTheme="majorBidi" w:hAnsiTheme="majorBidi" w:cstheme="majorBidi"/>
          <w:sz w:val="24"/>
          <w:szCs w:val="24"/>
        </w:rPr>
      </w:pPr>
    </w:p>
    <w:p w14:paraId="4937D95B"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Comparison of Conclusions and Applicability</w:t>
      </w:r>
    </w:p>
    <w:p w14:paraId="7E9A4395"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Both articles highlight the potential of gamification to enhance student engagement and motivation, though they differ in focus and depth:</w:t>
      </w:r>
    </w:p>
    <w:p w14:paraId="7F1FAEED"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Article 1 provides empirical evidence of gamification’s effects, emphasizing the role of personality traits in shaping outcomes. Its findings are actionable and directly applicable to designing gamified science classes.  </w:t>
      </w:r>
    </w:p>
    <w:p w14:paraId="7D86A76A" w14:textId="77777777" w:rsidR="00AC721B" w:rsidRPr="00187CB3" w:rsidRDefault="00AC721B" w:rsidP="005950A9">
      <w:pPr>
        <w:jc w:val="both"/>
        <w:rPr>
          <w:rFonts w:asciiTheme="majorBidi" w:hAnsiTheme="majorBidi" w:cstheme="majorBidi"/>
          <w:sz w:val="24"/>
          <w:szCs w:val="24"/>
        </w:rPr>
      </w:pPr>
      <w:r w:rsidRPr="00187CB3">
        <w:rPr>
          <w:rFonts w:asciiTheme="majorBidi" w:hAnsiTheme="majorBidi" w:cstheme="majorBidi"/>
          <w:sz w:val="24"/>
          <w:szCs w:val="24"/>
        </w:rPr>
        <w:t>- Article 2 offers a broader, critical perspective, identifying gaps in the literature and emphasizing the need for systematic research. While less specific, it provides valuable context for understanding the challenges and opportunities of gamification.</w:t>
      </w:r>
    </w:p>
    <w:p w14:paraId="31D18E50"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 Session 4: Research Tools 2</w:t>
      </w:r>
    </w:p>
    <w:p w14:paraId="4F4D4FD4"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Structured interviews are a powerful tool for collecting detailed qualitative feedback from teachers and students about their experiences with gamified learning. By employing this method, the research gains access to rich, subjective insights that complement quantitative findings and deepen the understanding of gamification's educational impact.</w:t>
      </w:r>
    </w:p>
    <w:p w14:paraId="63FC5DC4"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Interview Design  </w:t>
      </w:r>
    </w:p>
    <w:p w14:paraId="63A61BAA"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The interviews will be carefully structured to ensure consistency while allowing participants the freedom to express their thoughts. Key components include:</w:t>
      </w:r>
    </w:p>
    <w:p w14:paraId="7680456F"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Participants: Teachers and students from high school science classes actively engaging in gamified learning activities.</w:t>
      </w:r>
    </w:p>
    <w:p w14:paraId="31F4BD1E"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Themes: The interview questions will explore the following areas:</w:t>
      </w:r>
    </w:p>
    <w:p w14:paraId="1508033D"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Perceived benefits of gamification, such as increased motivation or collaboration.</w:t>
      </w:r>
    </w:p>
    <w:p w14:paraId="6F70FEBE"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Challenges or barriers encountered, such as stress from competition or disengagement with certain game elements.</w:t>
      </w:r>
    </w:p>
    <w:p w14:paraId="5CE9B915"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Suggestions for improving the gamified approach to better meet educational goals.</w:t>
      </w:r>
    </w:p>
    <w:p w14:paraId="0D6E306D" w14:textId="77777777" w:rsidR="009B1B55" w:rsidRPr="00187CB3" w:rsidRDefault="009B1B55" w:rsidP="005950A9">
      <w:pPr>
        <w:jc w:val="both"/>
        <w:rPr>
          <w:rFonts w:asciiTheme="majorBidi" w:hAnsiTheme="majorBidi" w:cstheme="majorBidi"/>
          <w:sz w:val="24"/>
          <w:szCs w:val="24"/>
        </w:rPr>
      </w:pPr>
    </w:p>
    <w:p w14:paraId="57447840"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Example Questions:</w:t>
      </w:r>
    </w:p>
    <w:p w14:paraId="78C600FE"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For students:  </w:t>
      </w:r>
    </w:p>
    <w:p w14:paraId="5F2116FE"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"What aspects of the gamified activities did you find most engaging?"  </w:t>
      </w:r>
    </w:p>
    <w:p w14:paraId="137BFEE5"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"Were there any elements of the gamification that frustrated you or made learning difficult?"  </w:t>
      </w:r>
    </w:p>
    <w:p w14:paraId="16EE4AE5"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For teachers:  </w:t>
      </w:r>
    </w:p>
    <w:p w14:paraId="4EBBF368"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"How do you feel gamified strategies affected student participation and collaboration?"  </w:t>
      </w:r>
    </w:p>
    <w:p w14:paraId="1B75A9CF"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"What challenges did you face in implementing gamification in your classroom?"</w:t>
      </w:r>
    </w:p>
    <w:p w14:paraId="0C00398D"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Interview Procedure  </w:t>
      </w:r>
    </w:p>
    <w:p w14:paraId="7FAC9768"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Recruitment: Participants will be recruited from classes where gamification is being trialed. Teachers and a representative sample of students will be invited to take part.  </w:t>
      </w:r>
    </w:p>
    <w:p w14:paraId="1B397209"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Environment: Interviews will be conducted in a quiet and comfortable setting, ensuring participants feel at ease.  </w:t>
      </w:r>
    </w:p>
    <w:p w14:paraId="05D8837D"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3. Duration: Each interview will last approximately 30 minutes, providing ample time to explore each question while respecting participants’ schedules.  </w:t>
      </w:r>
    </w:p>
    <w:p w14:paraId="5E38F912"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4. Recording and Transcription: With consent, interviews will be audio-recorded to facilitate accurate transcription and analysis.</w:t>
      </w:r>
    </w:p>
    <w:p w14:paraId="4AB81D40"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Analysis of Data  </w:t>
      </w:r>
    </w:p>
    <w:p w14:paraId="144707CE"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Thematic analysis will be applied to identify recurring themes and patterns in the feedback. For example:</w:t>
      </w:r>
    </w:p>
    <w:p w14:paraId="04031E5D"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Engagement Boosters: Positive comments on competitive elements, rewards, or collaborative challenges.  </w:t>
      </w:r>
    </w:p>
    <w:p w14:paraId="06B095ED"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Barriers to Effectiveness: Concerns about fairness or the impact of competitive dynamics on students with different abilities.  </w:t>
      </w:r>
    </w:p>
    <w:p w14:paraId="3F746B28" w14:textId="77777777" w:rsidR="009B1B55" w:rsidRPr="00187CB3" w:rsidRDefault="009B1B55" w:rsidP="005950A9">
      <w:pPr>
        <w:jc w:val="both"/>
        <w:rPr>
          <w:rFonts w:asciiTheme="majorBidi" w:hAnsiTheme="majorBidi" w:cstheme="majorBidi"/>
          <w:sz w:val="24"/>
          <w:szCs w:val="24"/>
        </w:rPr>
      </w:pPr>
    </w:p>
    <w:p w14:paraId="703FB100"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This analysis will provide nuanced insights into how gamified learning is perceived by both teachers and students, helping to identify areas of strength and potential improvement.</w:t>
      </w:r>
    </w:p>
    <w:p w14:paraId="5676342D" w14:textId="77777777" w:rsidR="009B1B55" w:rsidRPr="00187CB3" w:rsidRDefault="009B1B55" w:rsidP="005950A9">
      <w:pPr>
        <w:jc w:val="both"/>
        <w:rPr>
          <w:rFonts w:asciiTheme="majorBidi" w:hAnsiTheme="majorBidi" w:cstheme="majorBidi"/>
          <w:sz w:val="24"/>
          <w:szCs w:val="24"/>
        </w:rPr>
      </w:pPr>
    </w:p>
    <w:p w14:paraId="0FBC80D6"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Justification  </w:t>
      </w:r>
    </w:p>
    <w:p w14:paraId="4DA74717"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Structured interviews are particularly valuable for this research because they:</w:t>
      </w:r>
    </w:p>
    <w:p w14:paraId="255F23C9"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Allow participants to share personal, in-depth reflections that cannot be captured through quantitative tools alone.  </w:t>
      </w:r>
    </w:p>
    <w:p w14:paraId="4DEC951C"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Enable the exploration of specific, context-driven challenges and successes in implementing gamification.  </w:t>
      </w:r>
    </w:p>
    <w:p w14:paraId="08212AC4" w14:textId="77777777" w:rsidR="009B1B55"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3. Provide actionable feedback for improving gamified learning environments.</w:t>
      </w:r>
    </w:p>
    <w:p w14:paraId="7B7261A3" w14:textId="77777777" w:rsidR="009B1B55" w:rsidRPr="00187CB3" w:rsidRDefault="009B1B55" w:rsidP="005950A9">
      <w:pPr>
        <w:jc w:val="both"/>
        <w:rPr>
          <w:rFonts w:asciiTheme="majorBidi" w:hAnsiTheme="majorBidi" w:cstheme="majorBidi"/>
          <w:sz w:val="24"/>
          <w:szCs w:val="24"/>
        </w:rPr>
      </w:pPr>
    </w:p>
    <w:p w14:paraId="6E18B282" w14:textId="77777777" w:rsidR="00AD135B" w:rsidRPr="00187CB3" w:rsidRDefault="009B1B55" w:rsidP="005950A9">
      <w:pPr>
        <w:jc w:val="both"/>
        <w:rPr>
          <w:rFonts w:asciiTheme="majorBidi" w:hAnsiTheme="majorBidi" w:cstheme="majorBidi"/>
          <w:sz w:val="24"/>
          <w:szCs w:val="24"/>
        </w:rPr>
      </w:pPr>
      <w:r w:rsidRPr="00187CB3">
        <w:rPr>
          <w:rFonts w:asciiTheme="majorBidi" w:hAnsiTheme="majorBidi" w:cstheme="majorBidi"/>
          <w:sz w:val="24"/>
          <w:szCs w:val="24"/>
        </w:rPr>
        <w:t>By capturing diverse perspectives, structured interviews will enrich the research, making the findings both practical and impactful. Let me know if you'd like further details or if we should move on to sampling strategies.</w:t>
      </w:r>
    </w:p>
    <w:p w14:paraId="44850EA7"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Session 4: Sampling Strategies</w:t>
      </w:r>
    </w:p>
    <w:p w14:paraId="3F8FE606"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A well-defined sampling strategy is critical to ensure that the data collected is representative, relevant, and meaningful for addressing the research question: How does gamification influence </w:t>
      </w:r>
      <w:r w:rsidRPr="00187CB3">
        <w:rPr>
          <w:rFonts w:asciiTheme="majorBidi" w:hAnsiTheme="majorBidi" w:cstheme="majorBidi"/>
          <w:sz w:val="24"/>
          <w:szCs w:val="24"/>
        </w:rPr>
        <w:lastRenderedPageBreak/>
        <w:t>student engagement and learning outcomes in high school education? The sampling process will prioritize diversity, accessibility, and alignment with the study's objectives.</w:t>
      </w:r>
    </w:p>
    <w:p w14:paraId="0E78475A"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Sampling Plan</w:t>
      </w:r>
    </w:p>
    <w:p w14:paraId="37561300"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Participants:  </w:t>
      </w:r>
    </w:p>
    <w:p w14:paraId="7C23AF87"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Students: A diverse sample of 60 high school students, including a mix of genders, academic performance levels, and socioeconomic backgrounds. Students will be selected from science classes where gamified activities are integrated.  </w:t>
      </w:r>
    </w:p>
    <w:p w14:paraId="0011C7A8"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Teachers: A sample of 10 science teachers who implement gamified teaching strategies in their classrooms. Teachers with varying levels of experience (e.g., early-career, mid-career, and veteran educators) will be included to capture diverse perspectives.</w:t>
      </w:r>
    </w:p>
    <w:p w14:paraId="45252404" w14:textId="77777777" w:rsidR="002F5066" w:rsidRPr="00187CB3" w:rsidRDefault="002F5066" w:rsidP="005950A9">
      <w:pPr>
        <w:jc w:val="both"/>
        <w:rPr>
          <w:rFonts w:asciiTheme="majorBidi" w:hAnsiTheme="majorBidi" w:cstheme="majorBidi"/>
          <w:sz w:val="24"/>
          <w:szCs w:val="24"/>
        </w:rPr>
      </w:pPr>
    </w:p>
    <w:p w14:paraId="3CE378D5"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Sampling Technique:  </w:t>
      </w:r>
    </w:p>
    <w:p w14:paraId="7D9F6083" w14:textId="77777777" w:rsidR="002F5066" w:rsidRPr="00187CB3" w:rsidRDefault="002F5066" w:rsidP="00546CB7">
      <w:pPr>
        <w:jc w:val="both"/>
        <w:rPr>
          <w:rFonts w:asciiTheme="majorBidi" w:hAnsiTheme="majorBidi" w:cstheme="majorBidi"/>
          <w:sz w:val="24"/>
          <w:szCs w:val="24"/>
        </w:rPr>
      </w:pPr>
      <w:r w:rsidRPr="00187CB3">
        <w:rPr>
          <w:rFonts w:asciiTheme="majorBidi" w:hAnsiTheme="majorBidi" w:cstheme="majorBidi"/>
          <w:sz w:val="24"/>
          <w:szCs w:val="24"/>
        </w:rPr>
        <w:t xml:space="preserve">   A stratified random sampling approach will be employed to ensure that subgroups (e.g., different genders, academic abilities, and teaching experience levels) are adequately represented. Stratified sampling is particularly effective in educational research because it avoids bias and increases the reliability of findings.</w:t>
      </w:r>
    </w:p>
    <w:p w14:paraId="66467953" w14:textId="77777777" w:rsidR="002F5066" w:rsidRPr="00187CB3" w:rsidRDefault="002F5066" w:rsidP="005950A9">
      <w:pPr>
        <w:jc w:val="both"/>
        <w:rPr>
          <w:rFonts w:asciiTheme="majorBidi" w:hAnsiTheme="majorBidi" w:cstheme="majorBidi"/>
          <w:sz w:val="24"/>
          <w:szCs w:val="24"/>
        </w:rPr>
      </w:pPr>
    </w:p>
    <w:p w14:paraId="38A9492F"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Justification for Sample Size</w:t>
      </w:r>
    </w:p>
    <w:p w14:paraId="5169565B"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Students (n = 60):  </w:t>
      </w:r>
    </w:p>
    <w:p w14:paraId="5122C96F"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This sample size is sufficient for conducting meaningful statistical analysis (e.g., paired t-tests or ANOVA) of academic performance data and engagement levels.  </w:t>
      </w:r>
    </w:p>
    <w:p w14:paraId="3E968223"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Including diverse student demographics ensures that findings are generalizable to a wider population, capturing variations in how gamification impacts students from different backgrounds.  </w:t>
      </w:r>
    </w:p>
    <w:p w14:paraId="2F0B5840" w14:textId="77777777" w:rsidR="002F5066" w:rsidRPr="00187CB3" w:rsidRDefault="002F5066" w:rsidP="005950A9">
      <w:pPr>
        <w:jc w:val="both"/>
        <w:rPr>
          <w:rFonts w:asciiTheme="majorBidi" w:hAnsiTheme="majorBidi" w:cstheme="majorBidi"/>
          <w:sz w:val="24"/>
          <w:szCs w:val="24"/>
        </w:rPr>
      </w:pPr>
    </w:p>
    <w:p w14:paraId="6145596D"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Teachers (n = 10):  </w:t>
      </w:r>
    </w:p>
    <w:p w14:paraId="3C84A40F"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This smaller sample size allows for in-depth qualitative data collection through structured interviews, while remaining manageable within the study's scope.  </w:t>
      </w:r>
    </w:p>
    <w:p w14:paraId="479697C9"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 Teachers' insights are critical for understanding the practical implementation of gamified strategies and addressing potential challenges.</w:t>
      </w:r>
    </w:p>
    <w:p w14:paraId="7749C6AB"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lastRenderedPageBreak/>
        <w:t xml:space="preserve"> Demographic Selection  </w:t>
      </w:r>
    </w:p>
    <w:p w14:paraId="6457875A"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1. Relevance:  </w:t>
      </w:r>
    </w:p>
    <w:p w14:paraId="0CF08401" w14:textId="77777777" w:rsidR="002F5066" w:rsidRPr="00187CB3" w:rsidRDefault="002F5066" w:rsidP="00546CB7">
      <w:pPr>
        <w:jc w:val="both"/>
        <w:rPr>
          <w:rFonts w:asciiTheme="majorBidi" w:hAnsiTheme="majorBidi" w:cstheme="majorBidi"/>
          <w:sz w:val="24"/>
          <w:szCs w:val="24"/>
        </w:rPr>
      </w:pPr>
      <w:r w:rsidRPr="00187CB3">
        <w:rPr>
          <w:rFonts w:asciiTheme="majorBidi" w:hAnsiTheme="majorBidi" w:cstheme="majorBidi"/>
          <w:sz w:val="24"/>
          <w:szCs w:val="24"/>
        </w:rPr>
        <w:t xml:space="preserve">   High school science classes are chosen because they offer structured learning environments where gamified strategies can be easily integrated and evaluated. Science subjects, often perceived as challenging, provide an ideal context for measuring gamification’s effectiveness in boosting engagement and learning outcomes.</w:t>
      </w:r>
    </w:p>
    <w:p w14:paraId="0204DAF5"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2. Accessibility:  </w:t>
      </w:r>
    </w:p>
    <w:p w14:paraId="0F508C26" w14:textId="77777777" w:rsidR="002F5066" w:rsidRPr="00187CB3" w:rsidRDefault="002F5066" w:rsidP="00546CB7">
      <w:pPr>
        <w:jc w:val="both"/>
        <w:rPr>
          <w:rFonts w:asciiTheme="majorBidi" w:hAnsiTheme="majorBidi" w:cstheme="majorBidi"/>
          <w:sz w:val="24"/>
          <w:szCs w:val="24"/>
        </w:rPr>
      </w:pPr>
      <w:r w:rsidRPr="00187CB3">
        <w:rPr>
          <w:rFonts w:asciiTheme="majorBidi" w:hAnsiTheme="majorBidi" w:cstheme="majorBidi"/>
          <w:sz w:val="24"/>
          <w:szCs w:val="24"/>
        </w:rPr>
        <w:t xml:space="preserve">   Schools within the local district or region will be targeted for recruitment, ensuring ease of access for data collection while maintaining a focus on diverse demographics.</w:t>
      </w:r>
    </w:p>
    <w:p w14:paraId="201D488E" w14:textId="77777777" w:rsidR="002F5066" w:rsidRPr="00187CB3" w:rsidRDefault="002F5066" w:rsidP="005950A9">
      <w:pPr>
        <w:jc w:val="both"/>
        <w:rPr>
          <w:rFonts w:asciiTheme="majorBidi" w:hAnsiTheme="majorBidi" w:cstheme="majorBidi"/>
          <w:sz w:val="24"/>
          <w:szCs w:val="24"/>
        </w:rPr>
      </w:pPr>
    </w:p>
    <w:p w14:paraId="1E75234A"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Strengths of the Sampling Strategy</w:t>
      </w:r>
    </w:p>
    <w:p w14:paraId="0ED78E1A"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Inclusivity: Stratified random sampling ensures that key subgroups within the population are represented, providing a nuanced understanding of gamification’s impact.  </w:t>
      </w:r>
    </w:p>
    <w:p w14:paraId="7E73221B" w14:textId="77777777" w:rsidR="002F5066" w:rsidRPr="00187CB3" w:rsidRDefault="002F5066" w:rsidP="005950A9">
      <w:pPr>
        <w:jc w:val="both"/>
        <w:rPr>
          <w:rFonts w:asciiTheme="majorBidi" w:hAnsiTheme="majorBidi" w:cstheme="majorBidi"/>
          <w:sz w:val="24"/>
          <w:szCs w:val="24"/>
        </w:rPr>
      </w:pPr>
      <w:r w:rsidRPr="00187CB3">
        <w:rPr>
          <w:rFonts w:asciiTheme="majorBidi" w:hAnsiTheme="majorBidi" w:cstheme="majorBidi"/>
          <w:sz w:val="24"/>
          <w:szCs w:val="24"/>
        </w:rPr>
        <w:t xml:space="preserve">- Relevance to the Research Question: Focusing on high school science classes ensures that the sample is directly aligned with the study’s objectives.  </w:t>
      </w:r>
    </w:p>
    <w:p w14:paraId="21F05B86" w14:textId="77777777" w:rsidR="002F5066" w:rsidRPr="00187CB3" w:rsidRDefault="002F5066" w:rsidP="00546CB7">
      <w:pPr>
        <w:jc w:val="both"/>
        <w:rPr>
          <w:rFonts w:asciiTheme="majorBidi" w:hAnsiTheme="majorBidi" w:cstheme="majorBidi"/>
          <w:sz w:val="24"/>
          <w:szCs w:val="24"/>
        </w:rPr>
      </w:pPr>
      <w:r w:rsidRPr="00187CB3">
        <w:rPr>
          <w:rFonts w:asciiTheme="majorBidi" w:hAnsiTheme="majorBidi" w:cstheme="majorBidi"/>
          <w:sz w:val="24"/>
          <w:szCs w:val="24"/>
        </w:rPr>
        <w:t>- Feasibility: The chosen sample size and demographic selection balance practicality with the need for robust, reliable data.</w:t>
      </w:r>
    </w:p>
    <w:p w14:paraId="1CF3E4F2" w14:textId="77777777" w:rsidR="00187CB3" w:rsidRPr="00187CB3" w:rsidRDefault="00187CB3" w:rsidP="00187CB3">
      <w:pPr>
        <w:pStyle w:val="Heading3"/>
        <w:rPr>
          <w:rFonts w:asciiTheme="majorBidi" w:hAnsiTheme="majorBidi"/>
        </w:rPr>
      </w:pPr>
      <w:r w:rsidRPr="00187CB3">
        <w:rPr>
          <w:rStyle w:val="Strong"/>
          <w:rFonts w:asciiTheme="majorBidi" w:hAnsiTheme="majorBidi"/>
          <w:b w:val="0"/>
          <w:bCs w:val="0"/>
        </w:rPr>
        <w:t>Session 5: Ethics in Research</w:t>
      </w:r>
    </w:p>
    <w:p w14:paraId="53A2D368" w14:textId="77777777" w:rsidR="00187CB3" w:rsidRPr="00187CB3" w:rsidRDefault="00187CB3" w:rsidP="00187CB3">
      <w:pPr>
        <w:pStyle w:val="Heading4"/>
        <w:rPr>
          <w:rFonts w:asciiTheme="majorBidi" w:hAnsiTheme="majorBidi"/>
        </w:rPr>
      </w:pPr>
      <w:r w:rsidRPr="00187CB3">
        <w:rPr>
          <w:rStyle w:val="Strong"/>
          <w:rFonts w:asciiTheme="majorBidi" w:hAnsiTheme="majorBidi"/>
          <w:b w:val="0"/>
          <w:bCs w:val="0"/>
        </w:rPr>
        <w:t>1. Ethical Considerations</w:t>
      </w:r>
    </w:p>
    <w:p w14:paraId="28951F2A" w14:textId="77777777" w:rsidR="00187CB3" w:rsidRPr="00187CB3" w:rsidRDefault="00187CB3" w:rsidP="00187CB3">
      <w:pPr>
        <w:spacing w:before="100" w:beforeAutospacing="1" w:after="100" w:afterAutospacing="1"/>
        <w:rPr>
          <w:rFonts w:asciiTheme="majorBidi" w:hAnsiTheme="majorBidi" w:cstheme="majorBidi"/>
        </w:rPr>
      </w:pPr>
      <w:r w:rsidRPr="00187CB3">
        <w:rPr>
          <w:rFonts w:asciiTheme="majorBidi" w:hAnsiTheme="majorBidi" w:cstheme="majorBidi"/>
        </w:rPr>
        <w:t xml:space="preserve">To ensure academic and ethical integrity, this study emphasizes </w:t>
      </w:r>
      <w:r w:rsidRPr="00187CB3">
        <w:rPr>
          <w:rStyle w:val="Strong"/>
          <w:rFonts w:asciiTheme="majorBidi" w:hAnsiTheme="majorBidi" w:cstheme="majorBidi"/>
          <w:b w:val="0"/>
          <w:bCs w:val="0"/>
        </w:rPr>
        <w:t>informed consent, confidentiality, and risk mitigation</w:t>
      </w:r>
      <w:r w:rsidRPr="00187CB3">
        <w:rPr>
          <w:rFonts w:asciiTheme="majorBidi" w:hAnsiTheme="majorBidi" w:cstheme="majorBidi"/>
        </w:rPr>
        <w:t>.</w:t>
      </w:r>
    </w:p>
    <w:p w14:paraId="7BD954B0" w14:textId="77777777" w:rsidR="00187CB3" w:rsidRPr="00187CB3" w:rsidRDefault="00187CB3" w:rsidP="00187CB3">
      <w:pPr>
        <w:numPr>
          <w:ilvl w:val="0"/>
          <w:numId w:val="17"/>
        </w:numPr>
        <w:spacing w:before="100" w:beforeAutospacing="1" w:after="100" w:afterAutospacing="1" w:line="240" w:lineRule="auto"/>
        <w:rPr>
          <w:rFonts w:asciiTheme="majorBidi" w:hAnsiTheme="majorBidi" w:cstheme="majorBidi"/>
        </w:rPr>
      </w:pPr>
      <w:r w:rsidRPr="00187CB3">
        <w:rPr>
          <w:rStyle w:val="Strong"/>
          <w:rFonts w:asciiTheme="majorBidi" w:hAnsiTheme="majorBidi" w:cstheme="majorBidi"/>
          <w:b w:val="0"/>
          <w:bCs w:val="0"/>
        </w:rPr>
        <w:t>Informed Consent</w:t>
      </w:r>
      <w:r w:rsidRPr="00187CB3">
        <w:rPr>
          <w:rFonts w:asciiTheme="majorBidi" w:hAnsiTheme="majorBidi" w:cstheme="majorBidi"/>
        </w:rPr>
        <w:t>: Participants (students and teachers) will receive a consent form detailing the study’s objectives, methods, benefits, and risks. For students under 18, parental consent will also be required. The form will use clear, age-appropriate language.</w:t>
      </w:r>
    </w:p>
    <w:p w14:paraId="5B92DA3F" w14:textId="77777777" w:rsidR="00187CB3" w:rsidRPr="00187CB3" w:rsidRDefault="00187CB3" w:rsidP="00187CB3">
      <w:pPr>
        <w:numPr>
          <w:ilvl w:val="0"/>
          <w:numId w:val="17"/>
        </w:numPr>
        <w:spacing w:before="100" w:beforeAutospacing="1" w:after="100" w:afterAutospacing="1" w:line="240" w:lineRule="auto"/>
        <w:rPr>
          <w:rFonts w:asciiTheme="majorBidi" w:hAnsiTheme="majorBidi" w:cstheme="majorBidi"/>
        </w:rPr>
      </w:pPr>
      <w:r w:rsidRPr="00187CB3">
        <w:rPr>
          <w:rStyle w:val="Strong"/>
          <w:rFonts w:asciiTheme="majorBidi" w:hAnsiTheme="majorBidi" w:cstheme="majorBidi"/>
          <w:b w:val="0"/>
          <w:bCs w:val="0"/>
        </w:rPr>
        <w:t>Confidentiality</w:t>
      </w:r>
      <w:r w:rsidRPr="00187CB3">
        <w:rPr>
          <w:rFonts w:asciiTheme="majorBidi" w:hAnsiTheme="majorBidi" w:cstheme="majorBidi"/>
        </w:rPr>
        <w:t>: Data will be anonymized, securely stored in encrypted files, and accessed only by authorized researchers. Published findings will ensure participant anonymity.</w:t>
      </w:r>
    </w:p>
    <w:p w14:paraId="2BCB9BE6" w14:textId="77777777" w:rsidR="00187CB3" w:rsidRPr="00187CB3" w:rsidRDefault="00187CB3" w:rsidP="00187CB3">
      <w:pPr>
        <w:numPr>
          <w:ilvl w:val="0"/>
          <w:numId w:val="17"/>
        </w:numPr>
        <w:spacing w:before="100" w:beforeAutospacing="1" w:after="100" w:afterAutospacing="1" w:line="240" w:lineRule="auto"/>
        <w:rPr>
          <w:rFonts w:asciiTheme="majorBidi" w:hAnsiTheme="majorBidi" w:cstheme="majorBidi"/>
        </w:rPr>
      </w:pPr>
      <w:r w:rsidRPr="00187CB3">
        <w:rPr>
          <w:rStyle w:val="Strong"/>
          <w:rFonts w:asciiTheme="majorBidi" w:hAnsiTheme="majorBidi" w:cstheme="majorBidi"/>
          <w:b w:val="0"/>
          <w:bCs w:val="0"/>
        </w:rPr>
        <w:t>Anticipated Risks</w:t>
      </w:r>
      <w:r w:rsidRPr="00187CB3">
        <w:rPr>
          <w:rFonts w:asciiTheme="majorBidi" w:hAnsiTheme="majorBidi" w:cstheme="majorBidi"/>
        </w:rPr>
        <w:t>:</w:t>
      </w:r>
    </w:p>
    <w:p w14:paraId="3D288771"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t>Competition Stress</w:t>
      </w:r>
      <w:r w:rsidRPr="00187CB3">
        <w:rPr>
          <w:rFonts w:asciiTheme="majorBidi" w:hAnsiTheme="majorBidi" w:cstheme="majorBidi"/>
        </w:rPr>
        <w:t>: To prevent stress from gamified competition, collaborative elements will be included.</w:t>
      </w:r>
    </w:p>
    <w:p w14:paraId="56E0DF6D"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t>Sensitivity to Feedback</w:t>
      </w:r>
      <w:r w:rsidRPr="00187CB3">
        <w:rPr>
          <w:rFonts w:asciiTheme="majorBidi" w:hAnsiTheme="majorBidi" w:cstheme="majorBidi"/>
        </w:rPr>
        <w:t>: A supportive approach will be taken when discussing results to focus on growth rather than performance deficits.</w:t>
      </w:r>
    </w:p>
    <w:p w14:paraId="0BE84F96"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lastRenderedPageBreak/>
        <w:t>Monitoring</w:t>
      </w:r>
      <w:r w:rsidRPr="00187CB3">
        <w:rPr>
          <w:rFonts w:asciiTheme="majorBidi" w:hAnsiTheme="majorBidi" w:cstheme="majorBidi"/>
        </w:rPr>
        <w:t>: Teachers will observe students’ emotional well-being, and researchers will be available to address concerns.</w:t>
      </w:r>
    </w:p>
    <w:p w14:paraId="6A41F20D" w14:textId="77777777" w:rsidR="00187CB3" w:rsidRPr="00187CB3" w:rsidRDefault="00187CB3" w:rsidP="00187CB3">
      <w:pPr>
        <w:spacing w:after="0"/>
        <w:rPr>
          <w:rFonts w:asciiTheme="majorBidi" w:hAnsiTheme="majorBidi" w:cstheme="majorBidi"/>
        </w:rPr>
      </w:pPr>
    </w:p>
    <w:p w14:paraId="7EEFBE47" w14:textId="77777777" w:rsidR="00187CB3" w:rsidRPr="00187CB3" w:rsidRDefault="00187CB3" w:rsidP="00187CB3">
      <w:pPr>
        <w:pStyle w:val="Heading4"/>
        <w:rPr>
          <w:rFonts w:asciiTheme="majorBidi" w:hAnsiTheme="majorBidi"/>
        </w:rPr>
      </w:pPr>
      <w:r w:rsidRPr="00187CB3">
        <w:rPr>
          <w:rStyle w:val="Strong"/>
          <w:rFonts w:asciiTheme="majorBidi" w:hAnsiTheme="majorBidi"/>
          <w:b w:val="0"/>
          <w:bCs w:val="0"/>
        </w:rPr>
        <w:t>2. Philosophical Approach</w:t>
      </w:r>
    </w:p>
    <w:p w14:paraId="4E6396AA" w14:textId="77777777" w:rsidR="00187CB3" w:rsidRPr="00187CB3" w:rsidRDefault="00187CB3" w:rsidP="00187CB3">
      <w:pPr>
        <w:numPr>
          <w:ilvl w:val="0"/>
          <w:numId w:val="18"/>
        </w:numPr>
        <w:spacing w:before="100" w:beforeAutospacing="1" w:after="100" w:afterAutospacing="1" w:line="240" w:lineRule="auto"/>
        <w:rPr>
          <w:rFonts w:asciiTheme="majorBidi" w:hAnsiTheme="majorBidi" w:cstheme="majorBidi"/>
        </w:rPr>
      </w:pPr>
      <w:r w:rsidRPr="00187CB3">
        <w:rPr>
          <w:rStyle w:val="Strong"/>
          <w:rFonts w:asciiTheme="majorBidi" w:hAnsiTheme="majorBidi" w:cstheme="majorBidi"/>
          <w:b w:val="0"/>
          <w:bCs w:val="0"/>
        </w:rPr>
        <w:t>Ontology (Constructivist Perspective)</w:t>
      </w:r>
      <w:r w:rsidRPr="00187CB3">
        <w:rPr>
          <w:rFonts w:asciiTheme="majorBidi" w:hAnsiTheme="majorBidi" w:cstheme="majorBidi"/>
        </w:rPr>
        <w:t>: Reality is shaped by individual experiences rather than being fixed. In gamification, students’ learning experiences vary based on motivation, background, and cognitive style.</w:t>
      </w:r>
    </w:p>
    <w:p w14:paraId="5D97CEC0" w14:textId="77777777" w:rsidR="00187CB3" w:rsidRPr="00187CB3" w:rsidRDefault="00187CB3" w:rsidP="00187CB3">
      <w:pPr>
        <w:numPr>
          <w:ilvl w:val="0"/>
          <w:numId w:val="18"/>
        </w:numPr>
        <w:spacing w:before="100" w:beforeAutospacing="1" w:after="100" w:afterAutospacing="1" w:line="240" w:lineRule="auto"/>
        <w:rPr>
          <w:rFonts w:asciiTheme="majorBidi" w:hAnsiTheme="majorBidi" w:cstheme="majorBidi"/>
        </w:rPr>
      </w:pPr>
      <w:r w:rsidRPr="00187CB3">
        <w:rPr>
          <w:rStyle w:val="Strong"/>
          <w:rFonts w:asciiTheme="majorBidi" w:hAnsiTheme="majorBidi" w:cstheme="majorBidi"/>
          <w:b w:val="0"/>
          <w:bCs w:val="0"/>
        </w:rPr>
        <w:t>Epistemology (Combining Qualitative and Quantitative Methods)</w:t>
      </w:r>
    </w:p>
    <w:p w14:paraId="23E3712C"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t>Qualitative (Constructivist)</w:t>
      </w:r>
      <w:r w:rsidRPr="00187CB3">
        <w:rPr>
          <w:rFonts w:asciiTheme="majorBidi" w:hAnsiTheme="majorBidi" w:cstheme="majorBidi"/>
        </w:rPr>
        <w:t>: Semi-structured interviews and focus groups will explore participants' perspectives on engagement and motivation.</w:t>
      </w:r>
    </w:p>
    <w:p w14:paraId="67795B28"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t>Quantitative (Objectivist)</w:t>
      </w:r>
      <w:r w:rsidRPr="00187CB3">
        <w:rPr>
          <w:rFonts w:asciiTheme="majorBidi" w:hAnsiTheme="majorBidi" w:cstheme="majorBidi"/>
        </w:rPr>
        <w:t>: Academic performance metrics and engagement surveys will provide measurable evidence of gamification’s impact.</w:t>
      </w:r>
    </w:p>
    <w:p w14:paraId="35AAF3E2" w14:textId="77777777" w:rsidR="00187CB3" w:rsidRPr="00187CB3" w:rsidRDefault="00187CB3" w:rsidP="00187CB3">
      <w:pPr>
        <w:spacing w:before="100" w:beforeAutospacing="1" w:after="100" w:afterAutospacing="1" w:line="240" w:lineRule="auto"/>
        <w:ind w:left="1440"/>
        <w:rPr>
          <w:rFonts w:asciiTheme="majorBidi" w:hAnsiTheme="majorBidi" w:cstheme="majorBidi"/>
        </w:rPr>
      </w:pPr>
      <w:r w:rsidRPr="00187CB3">
        <w:rPr>
          <w:rStyle w:val="Strong"/>
          <w:rFonts w:asciiTheme="majorBidi" w:hAnsiTheme="majorBidi" w:cstheme="majorBidi"/>
          <w:b w:val="0"/>
          <w:bCs w:val="0"/>
        </w:rPr>
        <w:t>Justification</w:t>
      </w:r>
      <w:r w:rsidRPr="00187CB3">
        <w:rPr>
          <w:rFonts w:asciiTheme="majorBidi" w:hAnsiTheme="majorBidi" w:cstheme="majorBidi"/>
        </w:rPr>
        <w:t>:</w:t>
      </w:r>
    </w:p>
    <w:p w14:paraId="7A5B0395" w14:textId="77777777" w:rsidR="00187CB3" w:rsidRPr="00187CB3" w:rsidRDefault="00187CB3" w:rsidP="00187CB3">
      <w:pPr>
        <w:spacing w:before="100" w:beforeAutospacing="1" w:after="100" w:afterAutospacing="1" w:line="240" w:lineRule="auto"/>
        <w:ind w:left="2160"/>
        <w:rPr>
          <w:rFonts w:asciiTheme="majorBidi" w:hAnsiTheme="majorBidi" w:cstheme="majorBidi"/>
        </w:rPr>
      </w:pPr>
      <w:r w:rsidRPr="00187CB3">
        <w:rPr>
          <w:rStyle w:val="Strong"/>
          <w:rFonts w:asciiTheme="majorBidi" w:hAnsiTheme="majorBidi" w:cstheme="majorBidi"/>
          <w:b w:val="0"/>
          <w:bCs w:val="0"/>
        </w:rPr>
        <w:t>Triangulation</w:t>
      </w:r>
      <w:r w:rsidRPr="00187CB3">
        <w:rPr>
          <w:rFonts w:asciiTheme="majorBidi" w:hAnsiTheme="majorBidi" w:cstheme="majorBidi"/>
        </w:rPr>
        <w:t>: Combining subjective and objective data enhances research credibility.</w:t>
      </w:r>
    </w:p>
    <w:p w14:paraId="10A56D35" w14:textId="77777777" w:rsidR="00187CB3" w:rsidRPr="00187CB3" w:rsidRDefault="00187CB3" w:rsidP="00187CB3">
      <w:pPr>
        <w:spacing w:before="100" w:beforeAutospacing="1" w:after="100" w:afterAutospacing="1" w:line="240" w:lineRule="auto"/>
        <w:ind w:left="2160"/>
        <w:rPr>
          <w:rFonts w:asciiTheme="majorBidi" w:hAnsiTheme="majorBidi" w:cstheme="majorBidi"/>
        </w:rPr>
      </w:pPr>
      <w:r w:rsidRPr="00187CB3">
        <w:rPr>
          <w:rStyle w:val="Strong"/>
          <w:rFonts w:asciiTheme="majorBidi" w:hAnsiTheme="majorBidi" w:cstheme="majorBidi"/>
          <w:b w:val="0"/>
          <w:bCs w:val="0"/>
        </w:rPr>
        <w:t>Complementarity</w:t>
      </w:r>
      <w:r w:rsidRPr="00187CB3">
        <w:rPr>
          <w:rFonts w:asciiTheme="majorBidi" w:hAnsiTheme="majorBidi" w:cstheme="majorBidi"/>
        </w:rPr>
        <w:t>: Quantitative data captures learning outcomes, while qualitative data explains underlying motivations and challenges.</w:t>
      </w:r>
    </w:p>
    <w:p w14:paraId="355B4A52" w14:textId="77777777" w:rsidR="00187CB3" w:rsidRPr="00187CB3" w:rsidRDefault="002F5066" w:rsidP="00187CB3">
      <w:pPr>
        <w:pStyle w:val="NormalWeb"/>
        <w:rPr>
          <w:rFonts w:asciiTheme="majorBidi" w:hAnsiTheme="majorBidi" w:cstheme="majorBidi"/>
        </w:rPr>
      </w:pPr>
      <w:r w:rsidRPr="00187CB3">
        <w:rPr>
          <w:rFonts w:asciiTheme="majorBidi" w:hAnsiTheme="majorBidi" w:cstheme="majorBidi"/>
        </w:rPr>
        <w:t xml:space="preserve"> </w:t>
      </w:r>
      <w:r w:rsidR="00187CB3" w:rsidRPr="00187CB3">
        <w:rPr>
          <w:rFonts w:asciiTheme="majorBidi" w:hAnsiTheme="majorBidi" w:cstheme="majorBidi"/>
        </w:rPr>
        <w:t>3. Research Paradigm: Interpretivism and Positivism</w:t>
      </w:r>
    </w:p>
    <w:p w14:paraId="0A3EEAE2"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This study integrates qualitative and quantitative methodologies within a mixed-methods approach.</w:t>
      </w:r>
    </w:p>
    <w:p w14:paraId="2AC59155" w14:textId="77777777" w:rsidR="00187CB3" w:rsidRPr="00187CB3" w:rsidRDefault="00187CB3" w:rsidP="00187CB3">
      <w:pPr>
        <w:numPr>
          <w:ilvl w:val="0"/>
          <w:numId w:val="11"/>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Interpretivism: Rooted in constructivism, it emphasizes subjective interpretation of human behaviors. Thematic analysis of interviews and observations will reveal patterns in student engagement, such as collaboration and emotional responses to gamification.</w:t>
      </w:r>
    </w:p>
    <w:p w14:paraId="78652A50" w14:textId="77777777" w:rsidR="00187CB3" w:rsidRPr="00187CB3" w:rsidRDefault="00187CB3" w:rsidP="00187CB3">
      <w:pPr>
        <w:numPr>
          <w:ilvl w:val="0"/>
          <w:numId w:val="11"/>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Positivism: Empirical data from academic performance metrics and surveys will quantify gamification’s effects. Statistical improvements in test scores would indicate its effectiveness.</w:t>
      </w:r>
    </w:p>
    <w:p w14:paraId="5C15475B"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4. Practical Implications of the Philosophy</w:t>
      </w:r>
    </w:p>
    <w:p w14:paraId="375F577C" w14:textId="77777777" w:rsidR="00187CB3" w:rsidRPr="00187CB3" w:rsidRDefault="00187CB3" w:rsidP="00187CB3">
      <w:pPr>
        <w:numPr>
          <w:ilvl w:val="0"/>
          <w:numId w:val="12"/>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Tailored Insights: The constructivist approach ensures a nuanced understanding of gamification’s impact across diverse students.</w:t>
      </w:r>
    </w:p>
    <w:p w14:paraId="5FABF953" w14:textId="77777777" w:rsidR="00187CB3" w:rsidRPr="00187CB3" w:rsidRDefault="00187CB3" w:rsidP="00187CB3">
      <w:pPr>
        <w:numPr>
          <w:ilvl w:val="0"/>
          <w:numId w:val="12"/>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Balanced Analysis: Pragmatic epistemology integrates qualitative feedback with quantitative validation.</w:t>
      </w:r>
    </w:p>
    <w:p w14:paraId="6388D7B7" w14:textId="77777777" w:rsidR="00187CB3" w:rsidRPr="00187CB3" w:rsidRDefault="00187CB3" w:rsidP="00187CB3">
      <w:pPr>
        <w:numPr>
          <w:ilvl w:val="0"/>
          <w:numId w:val="12"/>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Comprehensive Findings: A dual-paradigm approach offers actionable insights into gamification in education.</w:t>
      </w:r>
    </w:p>
    <w:p w14:paraId="13C87D45"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Conclusion This philosophical framework enables a holistic analysis of gamification’s impact. Constructivism ensures sensitivity to individual experiences, while mixed-methods capture both subjective and objective realities.</w:t>
      </w:r>
    </w:p>
    <w:p w14:paraId="0D7A883A"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Session 7 &amp; 8: Data Analysis</w:t>
      </w:r>
    </w:p>
    <w:p w14:paraId="30C8C97A"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Qualitative Methods Thematic analysis will identify recurring patterns in student engagement and motivation through:</w:t>
      </w:r>
    </w:p>
    <w:p w14:paraId="21E60DD6" w14:textId="77777777" w:rsidR="00187CB3" w:rsidRPr="00187CB3" w:rsidRDefault="00187CB3" w:rsidP="00187CB3">
      <w:pPr>
        <w:numPr>
          <w:ilvl w:val="0"/>
          <w:numId w:val="13"/>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Familiarization: Reviewing and transcribing interview data.</w:t>
      </w:r>
    </w:p>
    <w:p w14:paraId="11AD8D48" w14:textId="77777777" w:rsidR="00187CB3" w:rsidRPr="00187CB3" w:rsidRDefault="00187CB3" w:rsidP="00187CB3">
      <w:pPr>
        <w:numPr>
          <w:ilvl w:val="0"/>
          <w:numId w:val="13"/>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Coding: Assigning labels (e.g., "motivation," "collaboration," "competition frustration").</w:t>
      </w:r>
    </w:p>
    <w:p w14:paraId="4A11C205" w14:textId="77777777" w:rsidR="00187CB3" w:rsidRPr="00187CB3" w:rsidRDefault="00187CB3" w:rsidP="00187CB3">
      <w:pPr>
        <w:numPr>
          <w:ilvl w:val="0"/>
          <w:numId w:val="13"/>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Theme Development: Organizing codes into broader themes (e.g., "Emotional Response to Gamification").</w:t>
      </w:r>
    </w:p>
    <w:p w14:paraId="264D22DE" w14:textId="77777777" w:rsidR="00187CB3" w:rsidRPr="00187CB3" w:rsidRDefault="00187CB3" w:rsidP="00187CB3">
      <w:pPr>
        <w:numPr>
          <w:ilvl w:val="0"/>
          <w:numId w:val="13"/>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Refinement &amp; Reporting: Ensuring clarity and supporting themes with participant quotes.</w:t>
      </w:r>
    </w:p>
    <w:p w14:paraId="783F6B72"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Quantitative Methods Statistical analysis will measure gamification’s impact through:</w:t>
      </w:r>
    </w:p>
    <w:p w14:paraId="3409FB96" w14:textId="77777777" w:rsidR="00187CB3" w:rsidRPr="00187CB3" w:rsidRDefault="00187CB3" w:rsidP="00187CB3">
      <w:pPr>
        <w:numPr>
          <w:ilvl w:val="0"/>
          <w:numId w:val="14"/>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Data Collection: Pre- and post-gamification metrics (test scores, attendance, participation).</w:t>
      </w:r>
    </w:p>
    <w:p w14:paraId="7E05770A" w14:textId="77777777" w:rsidR="00187CB3" w:rsidRPr="00187CB3" w:rsidRDefault="00187CB3" w:rsidP="00187CB3">
      <w:pPr>
        <w:numPr>
          <w:ilvl w:val="0"/>
          <w:numId w:val="14"/>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Descriptive Statistics: Means, medians, and standard deviations to outline performance trends.</w:t>
      </w:r>
    </w:p>
    <w:p w14:paraId="32B4BAC3" w14:textId="77777777" w:rsidR="00187CB3" w:rsidRPr="00187CB3" w:rsidRDefault="00187CB3" w:rsidP="00187CB3">
      <w:pPr>
        <w:numPr>
          <w:ilvl w:val="0"/>
          <w:numId w:val="14"/>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Inferential Analysis:</w:t>
      </w:r>
    </w:p>
    <w:p w14:paraId="5A6D95B1" w14:textId="77777777" w:rsidR="00187CB3" w:rsidRPr="00187CB3" w:rsidRDefault="00187CB3" w:rsidP="00187CB3">
      <w:pPr>
        <w:pStyle w:val="ListParagraph"/>
        <w:numPr>
          <w:ilvl w:val="0"/>
          <w:numId w:val="19"/>
        </w:numPr>
        <w:spacing w:before="100" w:beforeAutospacing="1" w:after="100" w:afterAutospacing="1"/>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Paired t-tests for pre- and post-gamification comparisons.</w:t>
      </w:r>
    </w:p>
    <w:p w14:paraId="391492C0" w14:textId="77777777" w:rsidR="00187CB3" w:rsidRPr="00187CB3" w:rsidRDefault="00187CB3" w:rsidP="00187CB3">
      <w:pPr>
        <w:pStyle w:val="ListParagraph"/>
        <w:numPr>
          <w:ilvl w:val="0"/>
          <w:numId w:val="19"/>
        </w:numPr>
        <w:spacing w:before="100" w:beforeAutospacing="1" w:after="100" w:afterAutospacing="1"/>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ANOVA for group differences (gamified vs. non-gamified classes).</w:t>
      </w:r>
    </w:p>
    <w:p w14:paraId="654E955B" w14:textId="77777777" w:rsidR="00187CB3" w:rsidRPr="00187CB3" w:rsidRDefault="00187CB3" w:rsidP="00187CB3">
      <w:pPr>
        <w:numPr>
          <w:ilvl w:val="0"/>
          <w:numId w:val="14"/>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Correlation &amp; Regression:</w:t>
      </w:r>
    </w:p>
    <w:p w14:paraId="12C4BA73" w14:textId="77777777" w:rsidR="00187CB3" w:rsidRPr="00187CB3" w:rsidRDefault="00187CB3" w:rsidP="00187CB3">
      <w:pPr>
        <w:pStyle w:val="ListParagraph"/>
        <w:numPr>
          <w:ilvl w:val="0"/>
          <w:numId w:val="20"/>
        </w:numPr>
        <w:spacing w:before="100" w:beforeAutospacing="1" w:after="100" w:afterAutospacing="1"/>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Examining relationships between gamification elements and academic outcomes.</w:t>
      </w:r>
    </w:p>
    <w:p w14:paraId="203180F5" w14:textId="77777777" w:rsidR="00187CB3" w:rsidRPr="00187CB3" w:rsidRDefault="00187CB3" w:rsidP="00187CB3">
      <w:pPr>
        <w:pStyle w:val="ListParagraph"/>
        <w:numPr>
          <w:ilvl w:val="0"/>
          <w:numId w:val="20"/>
        </w:numPr>
        <w:spacing w:before="100" w:beforeAutospacing="1" w:after="100" w:afterAutospacing="1"/>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Regression analysis to predict trends influenced by gamification strategies.</w:t>
      </w:r>
    </w:p>
    <w:p w14:paraId="262CECCE" w14:textId="77777777" w:rsidR="00187CB3" w:rsidRPr="00187CB3" w:rsidRDefault="00187CB3" w:rsidP="00187CB3">
      <w:pPr>
        <w:numPr>
          <w:ilvl w:val="0"/>
          <w:numId w:val="14"/>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Data Visualization: Graphs and tables to enhance interpretability.</w:t>
      </w:r>
    </w:p>
    <w:p w14:paraId="24855E59"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Triangulation of Data Integrating qualitative and quantitative findings ensures validity. For instance, interview themes on leaderboard frustration will be cross-referenced with engagement scores.</w:t>
      </w:r>
    </w:p>
    <w:p w14:paraId="2B81490F"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b/>
          <w:bCs/>
          <w:sz w:val="28"/>
          <w:szCs w:val="28"/>
        </w:rPr>
      </w:pPr>
      <w:r w:rsidRPr="00187CB3">
        <w:rPr>
          <w:rFonts w:asciiTheme="majorBidi" w:eastAsia="Times New Roman" w:hAnsiTheme="majorBidi" w:cstheme="majorBidi"/>
          <w:b/>
          <w:bCs/>
          <w:sz w:val="28"/>
          <w:szCs w:val="28"/>
        </w:rPr>
        <w:t>Session 9: Ethics 2</w:t>
      </w:r>
    </w:p>
    <w:p w14:paraId="19DC9E4A"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Feedback Mechanisms</w:t>
      </w:r>
    </w:p>
    <w:p w14:paraId="3FB14E8E" w14:textId="77777777" w:rsidR="00187CB3" w:rsidRPr="00187CB3" w:rsidRDefault="00187CB3" w:rsidP="00187CB3">
      <w:pPr>
        <w:numPr>
          <w:ilvl w:val="0"/>
          <w:numId w:val="15"/>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Sharing Findings: Participants will receive a summary of engagement and learning outcomes via email or an online platform.</w:t>
      </w:r>
    </w:p>
    <w:p w14:paraId="101F76FB" w14:textId="77777777" w:rsidR="00187CB3" w:rsidRPr="00187CB3" w:rsidRDefault="00187CB3" w:rsidP="00187CB3">
      <w:pPr>
        <w:numPr>
          <w:ilvl w:val="0"/>
          <w:numId w:val="15"/>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Post-Study Presentation: An optional webinar will offer deeper insights and allow participant feedback.</w:t>
      </w:r>
    </w:p>
    <w:p w14:paraId="2224230C" w14:textId="77777777" w:rsidR="00187CB3" w:rsidRPr="00187CB3" w:rsidRDefault="00187CB3" w:rsidP="00187CB3">
      <w:pPr>
        <w:numPr>
          <w:ilvl w:val="0"/>
          <w:numId w:val="15"/>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Actionable Insights: Educators will receive practical recommendations on gamification strategies.</w:t>
      </w:r>
    </w:p>
    <w:p w14:paraId="5F614F1C" w14:textId="77777777" w:rsidR="00187CB3" w:rsidRPr="00187CB3" w:rsidRDefault="00187CB3" w:rsidP="00187CB3">
      <w:p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Data Protection Measures</w:t>
      </w:r>
    </w:p>
    <w:p w14:paraId="3324D783" w14:textId="77777777" w:rsidR="00187CB3" w:rsidRPr="00187CB3" w:rsidRDefault="00187CB3" w:rsidP="00187CB3">
      <w:pPr>
        <w:numPr>
          <w:ilvl w:val="0"/>
          <w:numId w:val="16"/>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Secure Storage: Digital data will be password-protected; physical documents will be stored securely.</w:t>
      </w:r>
    </w:p>
    <w:p w14:paraId="276C9D79" w14:textId="77777777" w:rsidR="00187CB3" w:rsidRPr="00187CB3" w:rsidRDefault="00187CB3" w:rsidP="00187CB3">
      <w:pPr>
        <w:numPr>
          <w:ilvl w:val="0"/>
          <w:numId w:val="16"/>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Anonymity &amp; Confidentiality: Personal identifiers will be anonymized, and data will be reported in aggregate.</w:t>
      </w:r>
    </w:p>
    <w:p w14:paraId="0CE1FF7B" w14:textId="77777777" w:rsidR="00187CB3" w:rsidRPr="00187CB3" w:rsidRDefault="00187CB3" w:rsidP="00187CB3">
      <w:pPr>
        <w:numPr>
          <w:ilvl w:val="0"/>
          <w:numId w:val="16"/>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Limited Access: Only authorized personnel will access the data.</w:t>
      </w:r>
    </w:p>
    <w:p w14:paraId="5512C0F6" w14:textId="77777777" w:rsidR="00187CB3" w:rsidRPr="00187CB3" w:rsidRDefault="00187CB3" w:rsidP="00187CB3">
      <w:pPr>
        <w:numPr>
          <w:ilvl w:val="0"/>
          <w:numId w:val="16"/>
        </w:numPr>
        <w:spacing w:before="100" w:beforeAutospacing="1" w:after="100" w:afterAutospacing="1" w:line="240" w:lineRule="auto"/>
        <w:rPr>
          <w:rFonts w:asciiTheme="majorBidi" w:eastAsia="Times New Roman" w:hAnsiTheme="majorBidi" w:cstheme="majorBidi"/>
          <w:sz w:val="24"/>
          <w:szCs w:val="24"/>
        </w:rPr>
      </w:pPr>
      <w:r w:rsidRPr="00187CB3">
        <w:rPr>
          <w:rFonts w:asciiTheme="majorBidi" w:eastAsia="Times New Roman" w:hAnsiTheme="majorBidi" w:cstheme="majorBidi"/>
          <w:sz w:val="24"/>
          <w:szCs w:val="24"/>
        </w:rPr>
        <w:t>Responsible Use: Data will solely serve this study and not be shared externally.</w:t>
      </w:r>
    </w:p>
    <w:p w14:paraId="4B818ECF" w14:textId="77777777" w:rsidR="00AD135B" w:rsidRPr="00187CB3" w:rsidRDefault="00187CB3" w:rsidP="00232CF1">
      <w:pPr>
        <w:numPr>
          <w:ilvl w:val="0"/>
          <w:numId w:val="16"/>
        </w:numPr>
        <w:spacing w:before="100" w:beforeAutospacing="1" w:after="100" w:afterAutospacing="1" w:line="240" w:lineRule="auto"/>
        <w:jc w:val="both"/>
        <w:rPr>
          <w:rFonts w:asciiTheme="majorBidi" w:hAnsiTheme="majorBidi" w:cstheme="majorBidi"/>
          <w:sz w:val="24"/>
          <w:szCs w:val="24"/>
        </w:rPr>
      </w:pPr>
      <w:r w:rsidRPr="00187CB3">
        <w:rPr>
          <w:rFonts w:asciiTheme="majorBidi" w:eastAsia="Times New Roman" w:hAnsiTheme="majorBidi" w:cstheme="majorBidi"/>
          <w:sz w:val="24"/>
          <w:szCs w:val="24"/>
        </w:rPr>
        <w:t>Data Retention &amp; Disposal: Data will be stored for a specified period (e.g., five years) before secure deletion.</w:t>
      </w:r>
    </w:p>
    <w:p w14:paraId="44507530" w14:textId="77777777" w:rsidR="00AD135B" w:rsidRPr="00187CB3" w:rsidRDefault="00AD135B" w:rsidP="005950A9">
      <w:pPr>
        <w:jc w:val="both"/>
        <w:rPr>
          <w:rFonts w:asciiTheme="majorBidi" w:hAnsiTheme="majorBidi" w:cstheme="majorBidi"/>
          <w:sz w:val="24"/>
          <w:szCs w:val="24"/>
        </w:rPr>
      </w:pPr>
    </w:p>
    <w:p w14:paraId="5DAC920B" w14:textId="77777777" w:rsidR="00AD135B" w:rsidRPr="00187CB3" w:rsidRDefault="00187CB3" w:rsidP="005950A9">
      <w:pPr>
        <w:jc w:val="both"/>
        <w:rPr>
          <w:rFonts w:asciiTheme="majorBidi" w:hAnsiTheme="majorBidi" w:cstheme="majorBidi"/>
          <w:color w:val="222222"/>
          <w:sz w:val="24"/>
          <w:szCs w:val="24"/>
          <w:shd w:val="clear" w:color="auto" w:fill="FFFFFF"/>
        </w:rPr>
      </w:pPr>
      <w:r>
        <w:rPr>
          <w:rFonts w:asciiTheme="majorBidi" w:hAnsiTheme="majorBidi" w:cstheme="majorBidi"/>
          <w:color w:val="222222"/>
          <w:sz w:val="24"/>
          <w:szCs w:val="24"/>
          <w:shd w:val="clear" w:color="auto" w:fill="FFFFFF"/>
        </w:rPr>
        <w:t>References</w:t>
      </w:r>
    </w:p>
    <w:p w14:paraId="406BA782" w14:textId="77777777" w:rsidR="009E5710" w:rsidRPr="00187CB3" w:rsidRDefault="009E5710" w:rsidP="005950A9">
      <w:pPr>
        <w:spacing w:before="100" w:beforeAutospacing="1" w:after="100" w:afterAutospacing="1" w:line="240" w:lineRule="auto"/>
        <w:jc w:val="both"/>
        <w:rPr>
          <w:rFonts w:asciiTheme="majorBidi" w:eastAsia="Times New Roman" w:hAnsiTheme="majorBidi" w:cstheme="majorBidi"/>
          <w:sz w:val="24"/>
          <w:szCs w:val="24"/>
        </w:rPr>
      </w:pPr>
      <w:proofErr w:type="gramStart"/>
      <w:r w:rsidRPr="00187CB3">
        <w:rPr>
          <w:rFonts w:asciiTheme="majorBidi" w:eastAsia="Times New Roman" w:hAnsiTheme="majorBidi" w:cstheme="majorBidi"/>
          <w:sz w:val="24"/>
          <w:szCs w:val="24"/>
        </w:rPr>
        <w:t xml:space="preserve">1  </w:t>
      </w:r>
      <w:proofErr w:type="spellStart"/>
      <w:r w:rsidRPr="00187CB3">
        <w:rPr>
          <w:rFonts w:asciiTheme="majorBidi" w:eastAsia="Times New Roman" w:hAnsiTheme="majorBidi" w:cstheme="majorBidi"/>
          <w:sz w:val="24"/>
          <w:szCs w:val="24"/>
        </w:rPr>
        <w:t>Dichev</w:t>
      </w:r>
      <w:proofErr w:type="spellEnd"/>
      <w:proofErr w:type="gramEnd"/>
      <w:r w:rsidRPr="00187CB3">
        <w:rPr>
          <w:rFonts w:asciiTheme="majorBidi" w:eastAsia="Times New Roman" w:hAnsiTheme="majorBidi" w:cstheme="majorBidi"/>
          <w:sz w:val="24"/>
          <w:szCs w:val="24"/>
        </w:rPr>
        <w:t xml:space="preserve">, C., &amp; </w:t>
      </w:r>
      <w:proofErr w:type="spellStart"/>
      <w:r w:rsidRPr="00187CB3">
        <w:rPr>
          <w:rFonts w:asciiTheme="majorBidi" w:eastAsia="Times New Roman" w:hAnsiTheme="majorBidi" w:cstheme="majorBidi"/>
          <w:sz w:val="24"/>
          <w:szCs w:val="24"/>
        </w:rPr>
        <w:t>Dicheva</w:t>
      </w:r>
      <w:proofErr w:type="spellEnd"/>
      <w:r w:rsidRPr="00187CB3">
        <w:rPr>
          <w:rFonts w:asciiTheme="majorBidi" w:eastAsia="Times New Roman" w:hAnsiTheme="majorBidi" w:cstheme="majorBidi"/>
          <w:sz w:val="24"/>
          <w:szCs w:val="24"/>
        </w:rPr>
        <w:t xml:space="preserve">, D. (2017). Gamifying education: What is known, what is believed, and what remains uncertain: A critical review. </w:t>
      </w:r>
      <w:r w:rsidRPr="00187CB3">
        <w:rPr>
          <w:rFonts w:asciiTheme="majorBidi" w:eastAsia="Times New Roman" w:hAnsiTheme="majorBidi" w:cstheme="majorBidi"/>
          <w:i/>
          <w:iCs/>
          <w:sz w:val="24"/>
          <w:szCs w:val="24"/>
        </w:rPr>
        <w:t>International Journal of Educational Technology in Higher Education, 14</w:t>
      </w:r>
      <w:r w:rsidRPr="00187CB3">
        <w:rPr>
          <w:rFonts w:asciiTheme="majorBidi" w:eastAsia="Times New Roman" w:hAnsiTheme="majorBidi" w:cstheme="majorBidi"/>
          <w:sz w:val="24"/>
          <w:szCs w:val="24"/>
        </w:rPr>
        <w:t>(1), 1–36.</w:t>
      </w:r>
    </w:p>
    <w:p w14:paraId="7D05F533" w14:textId="77777777" w:rsidR="009E5710" w:rsidRPr="00187CB3" w:rsidRDefault="009E5710" w:rsidP="005950A9">
      <w:pPr>
        <w:spacing w:before="100" w:beforeAutospacing="1" w:after="100" w:afterAutospacing="1" w:line="240" w:lineRule="auto"/>
        <w:jc w:val="both"/>
        <w:rPr>
          <w:rFonts w:asciiTheme="majorBidi" w:eastAsia="Times New Roman" w:hAnsiTheme="majorBidi" w:cstheme="majorBidi"/>
          <w:sz w:val="24"/>
          <w:szCs w:val="24"/>
        </w:rPr>
      </w:pPr>
      <w:proofErr w:type="gramStart"/>
      <w:r w:rsidRPr="00187CB3">
        <w:rPr>
          <w:rFonts w:asciiTheme="majorBidi" w:eastAsia="Times New Roman" w:hAnsiTheme="majorBidi" w:cstheme="majorBidi"/>
          <w:sz w:val="24"/>
          <w:szCs w:val="24"/>
        </w:rPr>
        <w:t xml:space="preserve">2  </w:t>
      </w:r>
      <w:proofErr w:type="spellStart"/>
      <w:r w:rsidRPr="00187CB3">
        <w:rPr>
          <w:rFonts w:asciiTheme="majorBidi" w:eastAsia="Times New Roman" w:hAnsiTheme="majorBidi" w:cstheme="majorBidi"/>
          <w:sz w:val="24"/>
          <w:szCs w:val="24"/>
        </w:rPr>
        <w:t>Smiderle</w:t>
      </w:r>
      <w:proofErr w:type="spellEnd"/>
      <w:proofErr w:type="gramEnd"/>
      <w:r w:rsidRPr="00187CB3">
        <w:rPr>
          <w:rFonts w:asciiTheme="majorBidi" w:eastAsia="Times New Roman" w:hAnsiTheme="majorBidi" w:cstheme="majorBidi"/>
          <w:sz w:val="24"/>
          <w:szCs w:val="24"/>
        </w:rPr>
        <w:t xml:space="preserve">, R., Rigo, S. J., Marques, L. B., Peçanha de Miranda Coelho, J. A., &amp; Jaques, P. A. (2020). The impact of gamification on students’ learning, engagement, and behavior based on their personality traits. </w:t>
      </w:r>
      <w:r w:rsidRPr="00187CB3">
        <w:rPr>
          <w:rFonts w:asciiTheme="majorBidi" w:eastAsia="Times New Roman" w:hAnsiTheme="majorBidi" w:cstheme="majorBidi"/>
          <w:i/>
          <w:iCs/>
          <w:sz w:val="24"/>
          <w:szCs w:val="24"/>
        </w:rPr>
        <w:t>Smart Learning Environments, 7</w:t>
      </w:r>
      <w:r w:rsidRPr="00187CB3">
        <w:rPr>
          <w:rFonts w:asciiTheme="majorBidi" w:eastAsia="Times New Roman" w:hAnsiTheme="majorBidi" w:cstheme="majorBidi"/>
          <w:sz w:val="24"/>
          <w:szCs w:val="24"/>
        </w:rPr>
        <w:t>(1), 3. https://doi.org/10.1186/s40561-020-00118-5</w:t>
      </w:r>
    </w:p>
    <w:p w14:paraId="689C9099" w14:textId="77777777" w:rsidR="009E5710" w:rsidRPr="00187CB3" w:rsidRDefault="009E5710" w:rsidP="005950A9">
      <w:pPr>
        <w:spacing w:before="100" w:beforeAutospacing="1" w:after="100" w:afterAutospacing="1" w:line="240" w:lineRule="auto"/>
        <w:jc w:val="both"/>
        <w:rPr>
          <w:rFonts w:asciiTheme="majorBidi" w:eastAsia="Times New Roman" w:hAnsiTheme="majorBidi" w:cstheme="majorBidi"/>
          <w:sz w:val="24"/>
          <w:szCs w:val="24"/>
        </w:rPr>
      </w:pPr>
      <w:proofErr w:type="gramStart"/>
      <w:r w:rsidRPr="00187CB3">
        <w:rPr>
          <w:rFonts w:asciiTheme="majorBidi" w:eastAsia="Times New Roman" w:hAnsiTheme="majorBidi" w:cstheme="majorBidi"/>
          <w:sz w:val="24"/>
          <w:szCs w:val="24"/>
        </w:rPr>
        <w:t xml:space="preserve">3  </w:t>
      </w:r>
      <w:proofErr w:type="spellStart"/>
      <w:r w:rsidRPr="00187CB3">
        <w:rPr>
          <w:rFonts w:asciiTheme="majorBidi" w:eastAsia="Times New Roman" w:hAnsiTheme="majorBidi" w:cstheme="majorBidi"/>
          <w:sz w:val="24"/>
          <w:szCs w:val="24"/>
        </w:rPr>
        <w:t>Boudadi</w:t>
      </w:r>
      <w:proofErr w:type="spellEnd"/>
      <w:proofErr w:type="gramEnd"/>
      <w:r w:rsidRPr="00187CB3">
        <w:rPr>
          <w:rFonts w:asciiTheme="majorBidi" w:eastAsia="Times New Roman" w:hAnsiTheme="majorBidi" w:cstheme="majorBidi"/>
          <w:sz w:val="24"/>
          <w:szCs w:val="24"/>
        </w:rPr>
        <w:t xml:space="preserve">, N. A., &amp; Gutiérrez-Colón, M. (2020). Effect of gamification on students’ motivation and learning achievement in second language acquisition within higher education: A literature review 2011–2019. </w:t>
      </w:r>
      <w:r w:rsidRPr="00187CB3">
        <w:rPr>
          <w:rFonts w:asciiTheme="majorBidi" w:eastAsia="Times New Roman" w:hAnsiTheme="majorBidi" w:cstheme="majorBidi"/>
          <w:i/>
          <w:iCs/>
          <w:sz w:val="24"/>
          <w:szCs w:val="24"/>
        </w:rPr>
        <w:t xml:space="preserve">The </w:t>
      </w:r>
      <w:proofErr w:type="spellStart"/>
      <w:r w:rsidRPr="00187CB3">
        <w:rPr>
          <w:rFonts w:asciiTheme="majorBidi" w:eastAsia="Times New Roman" w:hAnsiTheme="majorBidi" w:cstheme="majorBidi"/>
          <w:i/>
          <w:iCs/>
          <w:sz w:val="24"/>
          <w:szCs w:val="24"/>
        </w:rPr>
        <w:t>EuroCALL</w:t>
      </w:r>
      <w:proofErr w:type="spellEnd"/>
      <w:r w:rsidRPr="00187CB3">
        <w:rPr>
          <w:rFonts w:asciiTheme="majorBidi" w:eastAsia="Times New Roman" w:hAnsiTheme="majorBidi" w:cstheme="majorBidi"/>
          <w:i/>
          <w:iCs/>
          <w:sz w:val="24"/>
          <w:szCs w:val="24"/>
        </w:rPr>
        <w:t xml:space="preserve"> Review, 28</w:t>
      </w:r>
      <w:r w:rsidRPr="00187CB3">
        <w:rPr>
          <w:rFonts w:asciiTheme="majorBidi" w:eastAsia="Times New Roman" w:hAnsiTheme="majorBidi" w:cstheme="majorBidi"/>
          <w:sz w:val="24"/>
          <w:szCs w:val="24"/>
        </w:rPr>
        <w:t>(1), 57–69.</w:t>
      </w:r>
    </w:p>
    <w:p w14:paraId="59642D26" w14:textId="77777777" w:rsidR="009E5710" w:rsidRPr="00187CB3" w:rsidRDefault="009E5710" w:rsidP="005950A9">
      <w:pPr>
        <w:spacing w:before="100" w:beforeAutospacing="1" w:after="100" w:afterAutospacing="1" w:line="240" w:lineRule="auto"/>
        <w:jc w:val="both"/>
        <w:rPr>
          <w:rFonts w:asciiTheme="majorBidi" w:eastAsia="Times New Roman" w:hAnsiTheme="majorBidi" w:cstheme="majorBidi"/>
          <w:sz w:val="24"/>
          <w:szCs w:val="24"/>
        </w:rPr>
      </w:pPr>
      <w:proofErr w:type="gramStart"/>
      <w:r w:rsidRPr="00187CB3">
        <w:rPr>
          <w:rFonts w:asciiTheme="majorBidi" w:eastAsia="Times New Roman" w:hAnsiTheme="majorBidi" w:cstheme="majorBidi"/>
          <w:sz w:val="24"/>
          <w:szCs w:val="24"/>
        </w:rPr>
        <w:t xml:space="preserve">4  </w:t>
      </w:r>
      <w:proofErr w:type="spellStart"/>
      <w:r w:rsidRPr="00187CB3">
        <w:rPr>
          <w:rFonts w:asciiTheme="majorBidi" w:eastAsia="Times New Roman" w:hAnsiTheme="majorBidi" w:cstheme="majorBidi"/>
          <w:sz w:val="24"/>
          <w:szCs w:val="24"/>
        </w:rPr>
        <w:t>Kalogiannakis</w:t>
      </w:r>
      <w:proofErr w:type="spellEnd"/>
      <w:proofErr w:type="gramEnd"/>
      <w:r w:rsidRPr="00187CB3">
        <w:rPr>
          <w:rFonts w:asciiTheme="majorBidi" w:eastAsia="Times New Roman" w:hAnsiTheme="majorBidi" w:cstheme="majorBidi"/>
          <w:sz w:val="24"/>
          <w:szCs w:val="24"/>
        </w:rPr>
        <w:t xml:space="preserve">, M., Papadakis, S., &amp; </w:t>
      </w:r>
      <w:proofErr w:type="spellStart"/>
      <w:r w:rsidRPr="00187CB3">
        <w:rPr>
          <w:rFonts w:asciiTheme="majorBidi" w:eastAsia="Times New Roman" w:hAnsiTheme="majorBidi" w:cstheme="majorBidi"/>
          <w:sz w:val="24"/>
          <w:szCs w:val="24"/>
        </w:rPr>
        <w:t>Zourmpakis</w:t>
      </w:r>
      <w:proofErr w:type="spellEnd"/>
      <w:r w:rsidRPr="00187CB3">
        <w:rPr>
          <w:rFonts w:asciiTheme="majorBidi" w:eastAsia="Times New Roman" w:hAnsiTheme="majorBidi" w:cstheme="majorBidi"/>
          <w:sz w:val="24"/>
          <w:szCs w:val="24"/>
        </w:rPr>
        <w:t xml:space="preserve">, A. I. (2021). Gamification in science education: A systematic review of the literature. </w:t>
      </w:r>
      <w:r w:rsidRPr="00187CB3">
        <w:rPr>
          <w:rFonts w:asciiTheme="majorBidi" w:eastAsia="Times New Roman" w:hAnsiTheme="majorBidi" w:cstheme="majorBidi"/>
          <w:i/>
          <w:iCs/>
          <w:sz w:val="24"/>
          <w:szCs w:val="24"/>
        </w:rPr>
        <w:t>Education Sciences, 11</w:t>
      </w:r>
      <w:r w:rsidRPr="00187CB3">
        <w:rPr>
          <w:rFonts w:asciiTheme="majorBidi" w:eastAsia="Times New Roman" w:hAnsiTheme="majorBidi" w:cstheme="majorBidi"/>
          <w:sz w:val="24"/>
          <w:szCs w:val="24"/>
        </w:rPr>
        <w:t>(1), 22. https://doi.org/10.3390/educsci11010022</w:t>
      </w:r>
    </w:p>
    <w:p w14:paraId="7324F666" w14:textId="77777777" w:rsidR="009E5710" w:rsidRPr="00187CB3" w:rsidRDefault="009E5710" w:rsidP="005950A9">
      <w:pPr>
        <w:spacing w:before="100" w:beforeAutospacing="1" w:after="100" w:afterAutospacing="1" w:line="240" w:lineRule="auto"/>
        <w:jc w:val="both"/>
        <w:rPr>
          <w:rFonts w:asciiTheme="majorBidi" w:eastAsia="Times New Roman" w:hAnsiTheme="majorBidi" w:cstheme="majorBidi"/>
          <w:sz w:val="24"/>
          <w:szCs w:val="24"/>
        </w:rPr>
      </w:pPr>
      <w:proofErr w:type="gramStart"/>
      <w:r w:rsidRPr="00187CB3">
        <w:rPr>
          <w:rFonts w:asciiTheme="majorBidi" w:eastAsia="Times New Roman" w:hAnsiTheme="majorBidi" w:cstheme="majorBidi"/>
          <w:sz w:val="24"/>
          <w:szCs w:val="24"/>
        </w:rPr>
        <w:t>5  An</w:t>
      </w:r>
      <w:proofErr w:type="gramEnd"/>
      <w:r w:rsidRPr="00187CB3">
        <w:rPr>
          <w:rFonts w:asciiTheme="majorBidi" w:eastAsia="Times New Roman" w:hAnsiTheme="majorBidi" w:cstheme="majorBidi"/>
          <w:sz w:val="24"/>
          <w:szCs w:val="24"/>
        </w:rPr>
        <w:t xml:space="preserve">, Y. (2020). Designing effective gamified learning experiences. </w:t>
      </w:r>
      <w:r w:rsidRPr="00187CB3">
        <w:rPr>
          <w:rFonts w:asciiTheme="majorBidi" w:eastAsia="Times New Roman" w:hAnsiTheme="majorBidi" w:cstheme="majorBidi"/>
          <w:i/>
          <w:iCs/>
          <w:sz w:val="24"/>
          <w:szCs w:val="24"/>
        </w:rPr>
        <w:t>International Journal of Technology in Education, 3</w:t>
      </w:r>
      <w:r w:rsidRPr="00187CB3">
        <w:rPr>
          <w:rFonts w:asciiTheme="majorBidi" w:eastAsia="Times New Roman" w:hAnsiTheme="majorBidi" w:cstheme="majorBidi"/>
          <w:sz w:val="24"/>
          <w:szCs w:val="24"/>
        </w:rPr>
        <w:t>(2), 62–69.</w:t>
      </w:r>
    </w:p>
    <w:p w14:paraId="6C0DA0F6" w14:textId="77777777" w:rsidR="00817F7B" w:rsidRPr="00187CB3" w:rsidRDefault="00817F7B" w:rsidP="005950A9">
      <w:pPr>
        <w:jc w:val="both"/>
        <w:rPr>
          <w:rFonts w:asciiTheme="majorBidi" w:hAnsiTheme="majorBidi" w:cstheme="majorBidi"/>
          <w:sz w:val="24"/>
          <w:szCs w:val="24"/>
          <w:lang w:val="en-GB" w:eastAsia="zh-CN"/>
        </w:rPr>
      </w:pPr>
      <w:r w:rsidRPr="00187CB3">
        <w:rPr>
          <w:rFonts w:asciiTheme="majorBidi" w:hAnsiTheme="majorBidi" w:cstheme="majorBidi"/>
          <w:sz w:val="24"/>
          <w:szCs w:val="24"/>
          <w:lang w:val="en-GB" w:eastAsia="zh-CN"/>
        </w:rPr>
        <w:t>Cohen,</w:t>
      </w:r>
      <w:r w:rsidRPr="00187CB3">
        <w:rPr>
          <w:rFonts w:asciiTheme="majorBidi" w:hAnsiTheme="majorBidi" w:cstheme="majorBidi"/>
          <w:sz w:val="24"/>
          <w:szCs w:val="24"/>
        </w:rPr>
        <w:t xml:space="preserve"> L.,</w:t>
      </w:r>
      <w:r w:rsidRPr="00187CB3">
        <w:rPr>
          <w:rFonts w:asciiTheme="majorBidi" w:hAnsiTheme="majorBidi" w:cstheme="majorBidi"/>
          <w:sz w:val="24"/>
          <w:szCs w:val="24"/>
          <w:lang w:val="en-GB" w:eastAsia="zh-CN"/>
        </w:rPr>
        <w:t xml:space="preserve"> Manion</w:t>
      </w:r>
      <w:r w:rsidRPr="00187CB3">
        <w:rPr>
          <w:rFonts w:asciiTheme="majorBidi" w:hAnsiTheme="majorBidi" w:cstheme="majorBidi"/>
          <w:sz w:val="24"/>
          <w:szCs w:val="24"/>
        </w:rPr>
        <w:t>, L.</w:t>
      </w:r>
      <w:r w:rsidRPr="00187CB3">
        <w:rPr>
          <w:rFonts w:asciiTheme="majorBidi" w:hAnsiTheme="majorBidi" w:cstheme="majorBidi"/>
          <w:sz w:val="24"/>
          <w:szCs w:val="24"/>
          <w:lang w:val="en-GB" w:eastAsia="zh-CN"/>
        </w:rPr>
        <w:t xml:space="preserve"> </w:t>
      </w:r>
      <w:r w:rsidRPr="00187CB3">
        <w:rPr>
          <w:rFonts w:asciiTheme="majorBidi" w:hAnsiTheme="majorBidi" w:cstheme="majorBidi"/>
          <w:sz w:val="24"/>
          <w:szCs w:val="24"/>
        </w:rPr>
        <w:t>&amp;</w:t>
      </w:r>
      <w:r w:rsidRPr="00187CB3">
        <w:rPr>
          <w:rFonts w:asciiTheme="majorBidi" w:hAnsiTheme="majorBidi" w:cstheme="majorBidi"/>
          <w:sz w:val="24"/>
          <w:szCs w:val="24"/>
          <w:lang w:val="en-GB" w:eastAsia="zh-CN"/>
        </w:rPr>
        <w:t xml:space="preserve"> Morrison</w:t>
      </w:r>
      <w:r w:rsidRPr="00187CB3">
        <w:rPr>
          <w:rFonts w:asciiTheme="majorBidi" w:hAnsiTheme="majorBidi" w:cstheme="majorBidi"/>
          <w:sz w:val="24"/>
          <w:szCs w:val="24"/>
        </w:rPr>
        <w:t xml:space="preserve">, K. (2011) Research Methods in Education, </w:t>
      </w:r>
      <w:r w:rsidRPr="00187CB3">
        <w:rPr>
          <w:rFonts w:asciiTheme="majorBidi" w:hAnsiTheme="majorBidi" w:cstheme="majorBidi"/>
          <w:sz w:val="24"/>
          <w:szCs w:val="24"/>
          <w:lang w:val="en-GB" w:eastAsia="zh-CN"/>
        </w:rPr>
        <w:t>7th ed.; Routledge</w:t>
      </w:r>
      <w:r w:rsidRPr="00187CB3">
        <w:rPr>
          <w:rFonts w:asciiTheme="majorBidi" w:hAnsiTheme="majorBidi" w:cstheme="majorBidi"/>
          <w:sz w:val="24"/>
          <w:szCs w:val="24"/>
        </w:rPr>
        <w:t>.</w:t>
      </w:r>
    </w:p>
    <w:p w14:paraId="61E4EB96" w14:textId="77777777" w:rsidR="00817F7B" w:rsidRPr="00187CB3" w:rsidRDefault="00817F7B" w:rsidP="005950A9">
      <w:pPr>
        <w:spacing w:before="100" w:beforeAutospacing="1" w:after="100" w:afterAutospacing="1" w:line="240" w:lineRule="auto"/>
        <w:jc w:val="both"/>
        <w:rPr>
          <w:rFonts w:asciiTheme="majorBidi" w:eastAsia="Times New Roman" w:hAnsiTheme="majorBidi" w:cstheme="majorBidi"/>
          <w:sz w:val="24"/>
          <w:szCs w:val="24"/>
        </w:rPr>
      </w:pPr>
      <w:r w:rsidRPr="00187CB3">
        <w:rPr>
          <w:rFonts w:asciiTheme="majorBidi" w:hAnsiTheme="majorBidi" w:cstheme="majorBidi"/>
          <w:color w:val="222222"/>
          <w:sz w:val="20"/>
          <w:szCs w:val="20"/>
          <w:shd w:val="clear" w:color="auto" w:fill="FFFFFF"/>
        </w:rPr>
        <w:t>Bell, J., &amp; Waters, S. (2018). </w:t>
      </w:r>
      <w:proofErr w:type="spellStart"/>
      <w:r w:rsidRPr="00187CB3">
        <w:rPr>
          <w:rFonts w:asciiTheme="majorBidi" w:hAnsiTheme="majorBidi" w:cstheme="majorBidi"/>
          <w:i/>
          <w:iCs/>
          <w:color w:val="222222"/>
          <w:sz w:val="20"/>
          <w:szCs w:val="20"/>
          <w:shd w:val="clear" w:color="auto" w:fill="FFFFFF"/>
        </w:rPr>
        <w:t>Ebook</w:t>
      </w:r>
      <w:proofErr w:type="spellEnd"/>
      <w:r w:rsidRPr="00187CB3">
        <w:rPr>
          <w:rFonts w:asciiTheme="majorBidi" w:hAnsiTheme="majorBidi" w:cstheme="majorBidi"/>
          <w:i/>
          <w:iCs/>
          <w:color w:val="222222"/>
          <w:sz w:val="20"/>
          <w:szCs w:val="20"/>
          <w:shd w:val="clear" w:color="auto" w:fill="FFFFFF"/>
        </w:rPr>
        <w:t>: doing your research project: a guide for first-time researchers</w:t>
      </w:r>
      <w:r w:rsidRPr="00187CB3">
        <w:rPr>
          <w:rFonts w:asciiTheme="majorBidi" w:hAnsiTheme="majorBidi" w:cstheme="majorBidi"/>
          <w:color w:val="222222"/>
          <w:sz w:val="20"/>
          <w:szCs w:val="20"/>
          <w:shd w:val="clear" w:color="auto" w:fill="FFFFFF"/>
        </w:rPr>
        <w:t xml:space="preserve">. </w:t>
      </w:r>
      <w:proofErr w:type="spellStart"/>
      <w:r w:rsidRPr="00187CB3">
        <w:rPr>
          <w:rFonts w:asciiTheme="majorBidi" w:hAnsiTheme="majorBidi" w:cstheme="majorBidi"/>
          <w:color w:val="222222"/>
          <w:sz w:val="20"/>
          <w:szCs w:val="20"/>
          <w:shd w:val="clear" w:color="auto" w:fill="FFFFFF"/>
        </w:rPr>
        <w:t>McGraw-hill</w:t>
      </w:r>
      <w:proofErr w:type="spellEnd"/>
      <w:r w:rsidRPr="00187CB3">
        <w:rPr>
          <w:rFonts w:asciiTheme="majorBidi" w:hAnsiTheme="majorBidi" w:cstheme="majorBidi"/>
          <w:color w:val="222222"/>
          <w:sz w:val="20"/>
          <w:szCs w:val="20"/>
          <w:shd w:val="clear" w:color="auto" w:fill="FFFFFF"/>
        </w:rPr>
        <w:t xml:space="preserve"> education (UK).</w:t>
      </w:r>
    </w:p>
    <w:p w14:paraId="262EBAD3" w14:textId="77777777" w:rsidR="009E5710" w:rsidRPr="00187CB3" w:rsidRDefault="009E5710" w:rsidP="005950A9">
      <w:pPr>
        <w:jc w:val="both"/>
        <w:rPr>
          <w:rFonts w:asciiTheme="majorBidi" w:hAnsiTheme="majorBidi" w:cstheme="majorBidi"/>
          <w:color w:val="222222"/>
          <w:sz w:val="24"/>
          <w:szCs w:val="24"/>
          <w:shd w:val="clear" w:color="auto" w:fill="FFFFFF"/>
        </w:rPr>
      </w:pPr>
    </w:p>
    <w:sectPr w:rsidR="009E5710" w:rsidRPr="00187C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1633F"/>
    <w:multiLevelType w:val="multilevel"/>
    <w:tmpl w:val="553077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61F19"/>
    <w:multiLevelType w:val="multilevel"/>
    <w:tmpl w:val="57FA7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A117A"/>
    <w:multiLevelType w:val="multilevel"/>
    <w:tmpl w:val="68B6AD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1A5420"/>
    <w:multiLevelType w:val="multilevel"/>
    <w:tmpl w:val="1C6CC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0E207D"/>
    <w:multiLevelType w:val="multilevel"/>
    <w:tmpl w:val="185ABB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34427D"/>
    <w:multiLevelType w:val="multilevel"/>
    <w:tmpl w:val="0286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E258B7"/>
    <w:multiLevelType w:val="multilevel"/>
    <w:tmpl w:val="49B63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F2460D"/>
    <w:multiLevelType w:val="hybridMultilevel"/>
    <w:tmpl w:val="B722261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8" w15:restartNumberingAfterBreak="0">
    <w:nsid w:val="4DDA5DFD"/>
    <w:multiLevelType w:val="multilevel"/>
    <w:tmpl w:val="03F2D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901CD2"/>
    <w:multiLevelType w:val="multilevel"/>
    <w:tmpl w:val="A606B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901A4C"/>
    <w:multiLevelType w:val="hybridMultilevel"/>
    <w:tmpl w:val="FF7C029A"/>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A06671"/>
    <w:multiLevelType w:val="multilevel"/>
    <w:tmpl w:val="6FEC2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6C5F07"/>
    <w:multiLevelType w:val="multilevel"/>
    <w:tmpl w:val="D4E4F0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C92CFA"/>
    <w:multiLevelType w:val="multilevel"/>
    <w:tmpl w:val="828CA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6503B1"/>
    <w:multiLevelType w:val="hybridMultilevel"/>
    <w:tmpl w:val="25D0F688"/>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5" w15:restartNumberingAfterBreak="0">
    <w:nsid w:val="702E6A53"/>
    <w:multiLevelType w:val="multilevel"/>
    <w:tmpl w:val="94365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5F62259"/>
    <w:multiLevelType w:val="multilevel"/>
    <w:tmpl w:val="E6C6E0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AC54C8"/>
    <w:multiLevelType w:val="multilevel"/>
    <w:tmpl w:val="952E98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7B6138"/>
    <w:multiLevelType w:val="multilevel"/>
    <w:tmpl w:val="BA863C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A3219"/>
    <w:multiLevelType w:val="multilevel"/>
    <w:tmpl w:val="5CC8F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7406831">
    <w:abstractNumId w:val="3"/>
  </w:num>
  <w:num w:numId="2" w16cid:durableId="2020086386">
    <w:abstractNumId w:val="17"/>
  </w:num>
  <w:num w:numId="3" w16cid:durableId="339701820">
    <w:abstractNumId w:val="4"/>
  </w:num>
  <w:num w:numId="4" w16cid:durableId="145704758">
    <w:abstractNumId w:val="2"/>
  </w:num>
  <w:num w:numId="5" w16cid:durableId="475100751">
    <w:abstractNumId w:val="15"/>
  </w:num>
  <w:num w:numId="6" w16cid:durableId="238247450">
    <w:abstractNumId w:val="10"/>
  </w:num>
  <w:num w:numId="7" w16cid:durableId="44645664">
    <w:abstractNumId w:val="12"/>
  </w:num>
  <w:num w:numId="8" w16cid:durableId="263347362">
    <w:abstractNumId w:val="18"/>
  </w:num>
  <w:num w:numId="9" w16cid:durableId="840317401">
    <w:abstractNumId w:val="11"/>
  </w:num>
  <w:num w:numId="10" w16cid:durableId="656156541">
    <w:abstractNumId w:val="6"/>
  </w:num>
  <w:num w:numId="11" w16cid:durableId="1429352820">
    <w:abstractNumId w:val="5"/>
  </w:num>
  <w:num w:numId="12" w16cid:durableId="631516712">
    <w:abstractNumId w:val="8"/>
  </w:num>
  <w:num w:numId="13" w16cid:durableId="837111949">
    <w:abstractNumId w:val="9"/>
  </w:num>
  <w:num w:numId="14" w16cid:durableId="2043246632">
    <w:abstractNumId w:val="16"/>
  </w:num>
  <w:num w:numId="15" w16cid:durableId="1765225871">
    <w:abstractNumId w:val="1"/>
  </w:num>
  <w:num w:numId="16" w16cid:durableId="2082366913">
    <w:abstractNumId w:val="13"/>
  </w:num>
  <w:num w:numId="17" w16cid:durableId="1668554081">
    <w:abstractNumId w:val="19"/>
  </w:num>
  <w:num w:numId="18" w16cid:durableId="1940485913">
    <w:abstractNumId w:val="0"/>
  </w:num>
  <w:num w:numId="19" w16cid:durableId="1378698538">
    <w:abstractNumId w:val="14"/>
  </w:num>
  <w:num w:numId="20" w16cid:durableId="5131066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DC8"/>
    <w:rsid w:val="0006480E"/>
    <w:rsid w:val="00113FCB"/>
    <w:rsid w:val="00160310"/>
    <w:rsid w:val="00187CB3"/>
    <w:rsid w:val="001C3A70"/>
    <w:rsid w:val="00214721"/>
    <w:rsid w:val="002F5066"/>
    <w:rsid w:val="00410D4A"/>
    <w:rsid w:val="00434E51"/>
    <w:rsid w:val="004425B9"/>
    <w:rsid w:val="004C7AE7"/>
    <w:rsid w:val="00546CB7"/>
    <w:rsid w:val="00590823"/>
    <w:rsid w:val="005950A9"/>
    <w:rsid w:val="005C5ADC"/>
    <w:rsid w:val="00662634"/>
    <w:rsid w:val="0068582E"/>
    <w:rsid w:val="006F2D79"/>
    <w:rsid w:val="0070046B"/>
    <w:rsid w:val="007E43CE"/>
    <w:rsid w:val="0080171F"/>
    <w:rsid w:val="00817F7B"/>
    <w:rsid w:val="008E45FD"/>
    <w:rsid w:val="008F674D"/>
    <w:rsid w:val="009B1B55"/>
    <w:rsid w:val="009C3A5A"/>
    <w:rsid w:val="009D69D5"/>
    <w:rsid w:val="009E5710"/>
    <w:rsid w:val="00A271A4"/>
    <w:rsid w:val="00A834C0"/>
    <w:rsid w:val="00AC721B"/>
    <w:rsid w:val="00AD135B"/>
    <w:rsid w:val="00B34665"/>
    <w:rsid w:val="00DB461A"/>
    <w:rsid w:val="00DB5DC8"/>
    <w:rsid w:val="00F64C29"/>
    <w:rsid w:val="00FD02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00AFE"/>
  <w15:chartTrackingRefBased/>
  <w15:docId w15:val="{A61E44FA-1356-41A5-866D-217B8B156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823"/>
  </w:style>
  <w:style w:type="paragraph" w:styleId="Heading1">
    <w:name w:val="heading 1"/>
    <w:basedOn w:val="Normal"/>
    <w:next w:val="Normal"/>
    <w:link w:val="Heading1Char"/>
    <w:uiPriority w:val="9"/>
    <w:qFormat/>
    <w:rsid w:val="00590823"/>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9082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59082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59082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9082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59082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9082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9082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9082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82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9082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59082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59082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9082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59082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59082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9082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90823"/>
    <w:rPr>
      <w:b/>
      <w:bCs/>
      <w:i/>
      <w:iCs/>
    </w:rPr>
  </w:style>
  <w:style w:type="paragraph" w:styleId="Caption">
    <w:name w:val="caption"/>
    <w:basedOn w:val="Normal"/>
    <w:next w:val="Normal"/>
    <w:uiPriority w:val="35"/>
    <w:semiHidden/>
    <w:unhideWhenUsed/>
    <w:qFormat/>
    <w:rsid w:val="0059082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9082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59082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59082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590823"/>
    <w:rPr>
      <w:color w:val="44546A" w:themeColor="text2"/>
      <w:sz w:val="28"/>
      <w:szCs w:val="28"/>
    </w:rPr>
  </w:style>
  <w:style w:type="character" w:styleId="Strong">
    <w:name w:val="Strong"/>
    <w:basedOn w:val="DefaultParagraphFont"/>
    <w:uiPriority w:val="22"/>
    <w:qFormat/>
    <w:rsid w:val="00590823"/>
    <w:rPr>
      <w:b/>
      <w:bCs/>
    </w:rPr>
  </w:style>
  <w:style w:type="character" w:styleId="Emphasis">
    <w:name w:val="Emphasis"/>
    <w:basedOn w:val="DefaultParagraphFont"/>
    <w:uiPriority w:val="20"/>
    <w:qFormat/>
    <w:rsid w:val="00590823"/>
    <w:rPr>
      <w:i/>
      <w:iCs/>
      <w:color w:val="000000" w:themeColor="text1"/>
    </w:rPr>
  </w:style>
  <w:style w:type="paragraph" w:styleId="NoSpacing">
    <w:name w:val="No Spacing"/>
    <w:uiPriority w:val="1"/>
    <w:qFormat/>
    <w:rsid w:val="00590823"/>
    <w:pPr>
      <w:spacing w:after="0" w:line="240" w:lineRule="auto"/>
    </w:pPr>
  </w:style>
  <w:style w:type="paragraph" w:styleId="Quote">
    <w:name w:val="Quote"/>
    <w:basedOn w:val="Normal"/>
    <w:next w:val="Normal"/>
    <w:link w:val="QuoteChar"/>
    <w:uiPriority w:val="29"/>
    <w:qFormat/>
    <w:rsid w:val="0059082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590823"/>
    <w:rPr>
      <w:i/>
      <w:iCs/>
      <w:color w:val="7B7B7B" w:themeColor="accent3" w:themeShade="BF"/>
      <w:sz w:val="24"/>
      <w:szCs w:val="24"/>
    </w:rPr>
  </w:style>
  <w:style w:type="paragraph" w:styleId="IntenseQuote">
    <w:name w:val="Intense Quote"/>
    <w:basedOn w:val="Normal"/>
    <w:next w:val="Normal"/>
    <w:link w:val="IntenseQuoteChar"/>
    <w:uiPriority w:val="30"/>
    <w:qFormat/>
    <w:rsid w:val="00590823"/>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590823"/>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590823"/>
    <w:rPr>
      <w:i/>
      <w:iCs/>
      <w:color w:val="595959" w:themeColor="text1" w:themeTint="A6"/>
    </w:rPr>
  </w:style>
  <w:style w:type="character" w:styleId="IntenseEmphasis">
    <w:name w:val="Intense Emphasis"/>
    <w:basedOn w:val="DefaultParagraphFont"/>
    <w:uiPriority w:val="21"/>
    <w:qFormat/>
    <w:rsid w:val="00590823"/>
    <w:rPr>
      <w:b/>
      <w:bCs/>
      <w:i/>
      <w:iCs/>
      <w:color w:val="auto"/>
    </w:rPr>
  </w:style>
  <w:style w:type="character" w:styleId="SubtleReference">
    <w:name w:val="Subtle Reference"/>
    <w:basedOn w:val="DefaultParagraphFont"/>
    <w:uiPriority w:val="31"/>
    <w:qFormat/>
    <w:rsid w:val="0059082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90823"/>
    <w:rPr>
      <w:b/>
      <w:bCs/>
      <w:caps w:val="0"/>
      <w:smallCaps/>
      <w:color w:val="auto"/>
      <w:spacing w:val="0"/>
      <w:u w:val="single"/>
    </w:rPr>
  </w:style>
  <w:style w:type="character" w:styleId="BookTitle">
    <w:name w:val="Book Title"/>
    <w:basedOn w:val="DefaultParagraphFont"/>
    <w:uiPriority w:val="33"/>
    <w:qFormat/>
    <w:rsid w:val="00590823"/>
    <w:rPr>
      <w:b/>
      <w:bCs/>
      <w:caps w:val="0"/>
      <w:smallCaps/>
      <w:spacing w:val="0"/>
    </w:rPr>
  </w:style>
  <w:style w:type="paragraph" w:styleId="TOCHeading">
    <w:name w:val="TOC Heading"/>
    <w:basedOn w:val="Heading1"/>
    <w:next w:val="Normal"/>
    <w:uiPriority w:val="39"/>
    <w:semiHidden/>
    <w:unhideWhenUsed/>
    <w:qFormat/>
    <w:rsid w:val="00590823"/>
    <w:pPr>
      <w:outlineLvl w:val="9"/>
    </w:pPr>
  </w:style>
  <w:style w:type="character" w:styleId="Hyperlink">
    <w:name w:val="Hyperlink"/>
    <w:basedOn w:val="DefaultParagraphFont"/>
    <w:uiPriority w:val="99"/>
    <w:semiHidden/>
    <w:unhideWhenUsed/>
    <w:rsid w:val="00590823"/>
    <w:rPr>
      <w:color w:val="0000FF"/>
      <w:u w:val="single"/>
    </w:rPr>
  </w:style>
  <w:style w:type="paragraph" w:styleId="NormalWeb">
    <w:name w:val="Normal (Web)"/>
    <w:basedOn w:val="Normal"/>
    <w:uiPriority w:val="99"/>
    <w:unhideWhenUsed/>
    <w:rsid w:val="0016031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1"/>
    <w:qFormat/>
    <w:rsid w:val="00817F7B"/>
    <w:pPr>
      <w:widowControl w:val="0"/>
      <w:autoSpaceDE w:val="0"/>
      <w:autoSpaceDN w:val="0"/>
      <w:spacing w:after="0" w:line="240" w:lineRule="auto"/>
      <w:ind w:left="1653" w:hanging="343"/>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9598">
      <w:bodyDiv w:val="1"/>
      <w:marLeft w:val="0"/>
      <w:marRight w:val="0"/>
      <w:marTop w:val="0"/>
      <w:marBottom w:val="0"/>
      <w:divBdr>
        <w:top w:val="none" w:sz="0" w:space="0" w:color="auto"/>
        <w:left w:val="none" w:sz="0" w:space="0" w:color="auto"/>
        <w:bottom w:val="none" w:sz="0" w:space="0" w:color="auto"/>
        <w:right w:val="none" w:sz="0" w:space="0" w:color="auto"/>
      </w:divBdr>
    </w:div>
    <w:div w:id="205067094">
      <w:bodyDiv w:val="1"/>
      <w:marLeft w:val="0"/>
      <w:marRight w:val="0"/>
      <w:marTop w:val="0"/>
      <w:marBottom w:val="0"/>
      <w:divBdr>
        <w:top w:val="none" w:sz="0" w:space="0" w:color="auto"/>
        <w:left w:val="none" w:sz="0" w:space="0" w:color="auto"/>
        <w:bottom w:val="none" w:sz="0" w:space="0" w:color="auto"/>
        <w:right w:val="none" w:sz="0" w:space="0" w:color="auto"/>
      </w:divBdr>
    </w:div>
    <w:div w:id="431317311">
      <w:bodyDiv w:val="1"/>
      <w:marLeft w:val="0"/>
      <w:marRight w:val="0"/>
      <w:marTop w:val="0"/>
      <w:marBottom w:val="0"/>
      <w:divBdr>
        <w:top w:val="none" w:sz="0" w:space="0" w:color="auto"/>
        <w:left w:val="none" w:sz="0" w:space="0" w:color="auto"/>
        <w:bottom w:val="none" w:sz="0" w:space="0" w:color="auto"/>
        <w:right w:val="none" w:sz="0" w:space="0" w:color="auto"/>
      </w:divBdr>
    </w:div>
    <w:div w:id="506753518">
      <w:bodyDiv w:val="1"/>
      <w:marLeft w:val="0"/>
      <w:marRight w:val="0"/>
      <w:marTop w:val="0"/>
      <w:marBottom w:val="0"/>
      <w:divBdr>
        <w:top w:val="none" w:sz="0" w:space="0" w:color="auto"/>
        <w:left w:val="none" w:sz="0" w:space="0" w:color="auto"/>
        <w:bottom w:val="none" w:sz="0" w:space="0" w:color="auto"/>
        <w:right w:val="none" w:sz="0" w:space="0" w:color="auto"/>
      </w:divBdr>
    </w:div>
    <w:div w:id="1027291630">
      <w:bodyDiv w:val="1"/>
      <w:marLeft w:val="0"/>
      <w:marRight w:val="0"/>
      <w:marTop w:val="0"/>
      <w:marBottom w:val="0"/>
      <w:divBdr>
        <w:top w:val="none" w:sz="0" w:space="0" w:color="auto"/>
        <w:left w:val="none" w:sz="0" w:space="0" w:color="auto"/>
        <w:bottom w:val="none" w:sz="0" w:space="0" w:color="auto"/>
        <w:right w:val="none" w:sz="0" w:space="0" w:color="auto"/>
      </w:divBdr>
    </w:div>
    <w:div w:id="1118254570">
      <w:bodyDiv w:val="1"/>
      <w:marLeft w:val="0"/>
      <w:marRight w:val="0"/>
      <w:marTop w:val="0"/>
      <w:marBottom w:val="0"/>
      <w:divBdr>
        <w:top w:val="none" w:sz="0" w:space="0" w:color="auto"/>
        <w:left w:val="none" w:sz="0" w:space="0" w:color="auto"/>
        <w:bottom w:val="none" w:sz="0" w:space="0" w:color="auto"/>
        <w:right w:val="none" w:sz="0" w:space="0" w:color="auto"/>
      </w:divBdr>
    </w:div>
    <w:div w:id="1137138104">
      <w:bodyDiv w:val="1"/>
      <w:marLeft w:val="0"/>
      <w:marRight w:val="0"/>
      <w:marTop w:val="0"/>
      <w:marBottom w:val="0"/>
      <w:divBdr>
        <w:top w:val="none" w:sz="0" w:space="0" w:color="auto"/>
        <w:left w:val="none" w:sz="0" w:space="0" w:color="auto"/>
        <w:bottom w:val="none" w:sz="0" w:space="0" w:color="auto"/>
        <w:right w:val="none" w:sz="0" w:space="0" w:color="auto"/>
      </w:divBdr>
    </w:div>
    <w:div w:id="1319308776">
      <w:bodyDiv w:val="1"/>
      <w:marLeft w:val="0"/>
      <w:marRight w:val="0"/>
      <w:marTop w:val="0"/>
      <w:marBottom w:val="0"/>
      <w:divBdr>
        <w:top w:val="none" w:sz="0" w:space="0" w:color="auto"/>
        <w:left w:val="none" w:sz="0" w:space="0" w:color="auto"/>
        <w:bottom w:val="none" w:sz="0" w:space="0" w:color="auto"/>
        <w:right w:val="none" w:sz="0" w:space="0" w:color="auto"/>
      </w:divBdr>
      <w:divsChild>
        <w:div w:id="1762291542">
          <w:marLeft w:val="0"/>
          <w:marRight w:val="0"/>
          <w:marTop w:val="0"/>
          <w:marBottom w:val="0"/>
          <w:divBdr>
            <w:top w:val="none" w:sz="0" w:space="0" w:color="auto"/>
            <w:left w:val="none" w:sz="0" w:space="0" w:color="auto"/>
            <w:bottom w:val="none" w:sz="0" w:space="0" w:color="auto"/>
            <w:right w:val="none" w:sz="0" w:space="0" w:color="auto"/>
          </w:divBdr>
          <w:divsChild>
            <w:div w:id="1912352577">
              <w:marLeft w:val="0"/>
              <w:marRight w:val="0"/>
              <w:marTop w:val="0"/>
              <w:marBottom w:val="0"/>
              <w:divBdr>
                <w:top w:val="none" w:sz="0" w:space="0" w:color="auto"/>
                <w:left w:val="none" w:sz="0" w:space="0" w:color="auto"/>
                <w:bottom w:val="none" w:sz="0" w:space="0" w:color="auto"/>
                <w:right w:val="none" w:sz="0" w:space="0" w:color="auto"/>
              </w:divBdr>
              <w:divsChild>
                <w:div w:id="1283610396">
                  <w:marLeft w:val="0"/>
                  <w:marRight w:val="0"/>
                  <w:marTop w:val="0"/>
                  <w:marBottom w:val="0"/>
                  <w:divBdr>
                    <w:top w:val="none" w:sz="0" w:space="0" w:color="auto"/>
                    <w:left w:val="none" w:sz="0" w:space="0" w:color="auto"/>
                    <w:bottom w:val="none" w:sz="0" w:space="0" w:color="auto"/>
                    <w:right w:val="none" w:sz="0" w:space="0" w:color="auto"/>
                  </w:divBdr>
                  <w:divsChild>
                    <w:div w:id="508300975">
                      <w:marLeft w:val="0"/>
                      <w:marRight w:val="0"/>
                      <w:marTop w:val="0"/>
                      <w:marBottom w:val="0"/>
                      <w:divBdr>
                        <w:top w:val="none" w:sz="0" w:space="0" w:color="auto"/>
                        <w:left w:val="none" w:sz="0" w:space="0" w:color="auto"/>
                        <w:bottom w:val="none" w:sz="0" w:space="0" w:color="auto"/>
                        <w:right w:val="none" w:sz="0" w:space="0" w:color="auto"/>
                      </w:divBdr>
                      <w:divsChild>
                        <w:div w:id="701323147">
                          <w:marLeft w:val="0"/>
                          <w:marRight w:val="0"/>
                          <w:marTop w:val="0"/>
                          <w:marBottom w:val="0"/>
                          <w:divBdr>
                            <w:top w:val="none" w:sz="0" w:space="0" w:color="auto"/>
                            <w:left w:val="none" w:sz="0" w:space="0" w:color="auto"/>
                            <w:bottom w:val="none" w:sz="0" w:space="0" w:color="auto"/>
                            <w:right w:val="none" w:sz="0" w:space="0" w:color="auto"/>
                          </w:divBdr>
                          <w:divsChild>
                            <w:div w:id="108162100">
                              <w:marLeft w:val="0"/>
                              <w:marRight w:val="0"/>
                              <w:marTop w:val="0"/>
                              <w:marBottom w:val="0"/>
                              <w:divBdr>
                                <w:top w:val="none" w:sz="0" w:space="0" w:color="auto"/>
                                <w:left w:val="none" w:sz="0" w:space="0" w:color="auto"/>
                                <w:bottom w:val="none" w:sz="0" w:space="0" w:color="auto"/>
                                <w:right w:val="none" w:sz="0" w:space="0" w:color="auto"/>
                              </w:divBdr>
                              <w:divsChild>
                                <w:div w:id="423764844">
                                  <w:marLeft w:val="0"/>
                                  <w:marRight w:val="0"/>
                                  <w:marTop w:val="0"/>
                                  <w:marBottom w:val="0"/>
                                  <w:divBdr>
                                    <w:top w:val="none" w:sz="0" w:space="0" w:color="auto"/>
                                    <w:left w:val="none" w:sz="0" w:space="0" w:color="auto"/>
                                    <w:bottom w:val="none" w:sz="0" w:space="0" w:color="auto"/>
                                    <w:right w:val="none" w:sz="0" w:space="0" w:color="auto"/>
                                  </w:divBdr>
                                  <w:divsChild>
                                    <w:div w:id="1051151693">
                                      <w:marLeft w:val="0"/>
                                      <w:marRight w:val="0"/>
                                      <w:marTop w:val="0"/>
                                      <w:marBottom w:val="0"/>
                                      <w:divBdr>
                                        <w:top w:val="none" w:sz="0" w:space="0" w:color="auto"/>
                                        <w:left w:val="none" w:sz="0" w:space="0" w:color="auto"/>
                                        <w:bottom w:val="none" w:sz="0" w:space="0" w:color="auto"/>
                                        <w:right w:val="none" w:sz="0" w:space="0" w:color="auto"/>
                                      </w:divBdr>
                                      <w:divsChild>
                                        <w:div w:id="688261159">
                                          <w:marLeft w:val="0"/>
                                          <w:marRight w:val="0"/>
                                          <w:marTop w:val="0"/>
                                          <w:marBottom w:val="0"/>
                                          <w:divBdr>
                                            <w:top w:val="none" w:sz="0" w:space="0" w:color="auto"/>
                                            <w:left w:val="none" w:sz="0" w:space="0" w:color="auto"/>
                                            <w:bottom w:val="none" w:sz="0" w:space="0" w:color="auto"/>
                                            <w:right w:val="none" w:sz="0" w:space="0" w:color="auto"/>
                                          </w:divBdr>
                                          <w:divsChild>
                                            <w:div w:id="36321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0090244">
          <w:marLeft w:val="0"/>
          <w:marRight w:val="0"/>
          <w:marTop w:val="0"/>
          <w:marBottom w:val="0"/>
          <w:divBdr>
            <w:top w:val="none" w:sz="0" w:space="0" w:color="auto"/>
            <w:left w:val="none" w:sz="0" w:space="0" w:color="auto"/>
            <w:bottom w:val="none" w:sz="0" w:space="0" w:color="auto"/>
            <w:right w:val="none" w:sz="0" w:space="0" w:color="auto"/>
          </w:divBdr>
          <w:divsChild>
            <w:div w:id="872576359">
              <w:marLeft w:val="0"/>
              <w:marRight w:val="0"/>
              <w:marTop w:val="0"/>
              <w:marBottom w:val="0"/>
              <w:divBdr>
                <w:top w:val="none" w:sz="0" w:space="0" w:color="auto"/>
                <w:left w:val="none" w:sz="0" w:space="0" w:color="auto"/>
                <w:bottom w:val="none" w:sz="0" w:space="0" w:color="auto"/>
                <w:right w:val="none" w:sz="0" w:space="0" w:color="auto"/>
              </w:divBdr>
              <w:divsChild>
                <w:div w:id="1015576489">
                  <w:marLeft w:val="0"/>
                  <w:marRight w:val="0"/>
                  <w:marTop w:val="0"/>
                  <w:marBottom w:val="0"/>
                  <w:divBdr>
                    <w:top w:val="none" w:sz="0" w:space="0" w:color="auto"/>
                    <w:left w:val="none" w:sz="0" w:space="0" w:color="auto"/>
                    <w:bottom w:val="none" w:sz="0" w:space="0" w:color="auto"/>
                    <w:right w:val="none" w:sz="0" w:space="0" w:color="auto"/>
                  </w:divBdr>
                  <w:divsChild>
                    <w:div w:id="791822629">
                      <w:marLeft w:val="0"/>
                      <w:marRight w:val="0"/>
                      <w:marTop w:val="0"/>
                      <w:marBottom w:val="0"/>
                      <w:divBdr>
                        <w:top w:val="none" w:sz="0" w:space="0" w:color="auto"/>
                        <w:left w:val="none" w:sz="0" w:space="0" w:color="auto"/>
                        <w:bottom w:val="none" w:sz="0" w:space="0" w:color="auto"/>
                        <w:right w:val="none" w:sz="0" w:space="0" w:color="auto"/>
                      </w:divBdr>
                      <w:divsChild>
                        <w:div w:id="98182191">
                          <w:marLeft w:val="0"/>
                          <w:marRight w:val="0"/>
                          <w:marTop w:val="0"/>
                          <w:marBottom w:val="0"/>
                          <w:divBdr>
                            <w:top w:val="none" w:sz="0" w:space="0" w:color="auto"/>
                            <w:left w:val="none" w:sz="0" w:space="0" w:color="auto"/>
                            <w:bottom w:val="none" w:sz="0" w:space="0" w:color="auto"/>
                            <w:right w:val="none" w:sz="0" w:space="0" w:color="auto"/>
                          </w:divBdr>
                          <w:divsChild>
                            <w:div w:id="841549167">
                              <w:marLeft w:val="0"/>
                              <w:marRight w:val="0"/>
                              <w:marTop w:val="0"/>
                              <w:marBottom w:val="0"/>
                              <w:divBdr>
                                <w:top w:val="none" w:sz="0" w:space="0" w:color="auto"/>
                                <w:left w:val="none" w:sz="0" w:space="0" w:color="auto"/>
                                <w:bottom w:val="none" w:sz="0" w:space="0" w:color="auto"/>
                                <w:right w:val="none" w:sz="0" w:space="0" w:color="auto"/>
                              </w:divBdr>
                              <w:divsChild>
                                <w:div w:id="1443037532">
                                  <w:marLeft w:val="0"/>
                                  <w:marRight w:val="0"/>
                                  <w:marTop w:val="0"/>
                                  <w:marBottom w:val="0"/>
                                  <w:divBdr>
                                    <w:top w:val="none" w:sz="0" w:space="0" w:color="auto"/>
                                    <w:left w:val="none" w:sz="0" w:space="0" w:color="auto"/>
                                    <w:bottom w:val="none" w:sz="0" w:space="0" w:color="auto"/>
                                    <w:right w:val="none" w:sz="0" w:space="0" w:color="auto"/>
                                  </w:divBdr>
                                  <w:divsChild>
                                    <w:div w:id="55844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8212175">
      <w:bodyDiv w:val="1"/>
      <w:marLeft w:val="0"/>
      <w:marRight w:val="0"/>
      <w:marTop w:val="0"/>
      <w:marBottom w:val="0"/>
      <w:divBdr>
        <w:top w:val="none" w:sz="0" w:space="0" w:color="auto"/>
        <w:left w:val="none" w:sz="0" w:space="0" w:color="auto"/>
        <w:bottom w:val="none" w:sz="0" w:space="0" w:color="auto"/>
        <w:right w:val="none" w:sz="0" w:space="0" w:color="auto"/>
      </w:divBdr>
    </w:div>
    <w:div w:id="1815442999">
      <w:bodyDiv w:val="1"/>
      <w:marLeft w:val="0"/>
      <w:marRight w:val="0"/>
      <w:marTop w:val="0"/>
      <w:marBottom w:val="0"/>
      <w:divBdr>
        <w:top w:val="none" w:sz="0" w:space="0" w:color="auto"/>
        <w:left w:val="none" w:sz="0" w:space="0" w:color="auto"/>
        <w:bottom w:val="none" w:sz="0" w:space="0" w:color="auto"/>
        <w:right w:val="none" w:sz="0" w:space="0" w:color="auto"/>
      </w:divBdr>
    </w:div>
    <w:div w:id="1895851714">
      <w:bodyDiv w:val="1"/>
      <w:marLeft w:val="0"/>
      <w:marRight w:val="0"/>
      <w:marTop w:val="0"/>
      <w:marBottom w:val="0"/>
      <w:divBdr>
        <w:top w:val="none" w:sz="0" w:space="0" w:color="auto"/>
        <w:left w:val="none" w:sz="0" w:space="0" w:color="auto"/>
        <w:bottom w:val="none" w:sz="0" w:space="0" w:color="auto"/>
        <w:right w:val="none" w:sz="0" w:space="0" w:color="auto"/>
      </w:divBdr>
    </w:div>
    <w:div w:id="2002737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polipapers.upv.es/index.php/eurocall/article/view/1297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4792</Words>
  <Characters>27317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Vista Gostar</dc:creator>
  <cp:keywords/>
  <dc:description/>
  <cp:lastModifiedBy>roya barati</cp:lastModifiedBy>
  <cp:revision>2</cp:revision>
  <dcterms:created xsi:type="dcterms:W3CDTF">2025-04-24T17:02:00Z</dcterms:created>
  <dcterms:modified xsi:type="dcterms:W3CDTF">2025-04-24T17:02:00Z</dcterms:modified>
</cp:coreProperties>
</file>