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144BF" w14:textId="04018BD7" w:rsidR="00FC764F" w:rsidRDefault="00FC764F">
      <w:pPr>
        <w:rPr>
          <w:lang w:val="en-US"/>
        </w:rPr>
      </w:pPr>
      <w:r>
        <w:rPr>
          <w:lang w:val="en-US"/>
        </w:rPr>
        <w:t xml:space="preserve">Group – Script </w:t>
      </w:r>
    </w:p>
    <w:p w14:paraId="1B3C7D25" w14:textId="77777777" w:rsidR="00FC764F" w:rsidRPr="00FC764F" w:rsidRDefault="00FC764F" w:rsidP="00FC764F">
      <w:pPr>
        <w:rPr>
          <w:lang w:val="en-US"/>
        </w:rPr>
      </w:pPr>
      <w:r w:rsidRPr="00FC764F">
        <w:t xml:space="preserve">My name is Abigail Sullivan, Max Jones's (3 years old) and Mollie's (11 months) health visitor. According to this Section 47 report under the Children Act 1989, the children's wellbeing may be impacted by their mother Sarah Jones's deteriorating mental health and possible alcohol relapse, as well as worries about potential neglect and emotional harm after their father Stephen Jones returned from prison in April 2025 </w:t>
      </w:r>
      <w:r w:rsidRPr="00FC764F">
        <w:rPr>
          <w:b/>
          <w:bCs/>
        </w:rPr>
        <w:t>(HM Government, 2023; Gov.uk, 2021; Welsh Government, 2014a; 2014b)</w:t>
      </w:r>
      <w:r w:rsidRPr="00FC764F">
        <w:t>. When necessary, by law and for a specific safeguarding purpose, child protection experts may disclose special category data under the GDPR and the</w:t>
      </w:r>
      <w:r w:rsidRPr="00FC764F">
        <w:rPr>
          <w:b/>
          <w:bCs/>
        </w:rPr>
        <w:t xml:space="preserve"> Data</w:t>
      </w:r>
      <w:r w:rsidRPr="00FC764F">
        <w:t xml:space="preserve"> </w:t>
      </w:r>
      <w:r w:rsidRPr="00FC764F">
        <w:rPr>
          <w:b/>
          <w:bCs/>
        </w:rPr>
        <w:t>Protection Act of 2018 (Smart et al., 2021).</w:t>
      </w:r>
      <w:r w:rsidRPr="00FC764F">
        <w:t xml:space="preserve"> </w:t>
      </w:r>
      <w:r w:rsidRPr="00FC764F">
        <w:rPr>
          <w:lang w:val="en-US"/>
        </w:rPr>
        <w:t> </w:t>
      </w:r>
    </w:p>
    <w:p w14:paraId="7A99A1FF" w14:textId="77777777" w:rsidR="00FC764F" w:rsidRPr="00FC764F" w:rsidRDefault="00FC764F" w:rsidP="00FC764F">
      <w:pPr>
        <w:rPr>
          <w:lang w:val="en-US"/>
        </w:rPr>
      </w:pPr>
      <w:r w:rsidRPr="00FC764F">
        <w:t xml:space="preserve">My role involves giving support and guidance to families with children aged 0–19 by promoting health, well-being and holistic development through guidance on diet, sleep, feeding and parenting. During home visits, I assess health, monitor growth and nutrition, and identify early concerns to enable timely interventions </w:t>
      </w:r>
      <w:r w:rsidRPr="00FC764F">
        <w:rPr>
          <w:b/>
          <w:bCs/>
        </w:rPr>
        <w:t xml:space="preserve">(Edwards </w:t>
      </w:r>
      <w:r w:rsidRPr="00FC764F">
        <w:rPr>
          <w:b/>
          <w:bCs/>
          <w:i/>
          <w:iCs/>
        </w:rPr>
        <w:t>et al.,</w:t>
      </w:r>
      <w:r w:rsidRPr="00FC764F">
        <w:rPr>
          <w:b/>
          <w:bCs/>
        </w:rPr>
        <w:t xml:space="preserve"> 2021; Well-being of Future Generations (Wales) Act, 2015)</w:t>
      </w:r>
      <w:r w:rsidRPr="00FC764F">
        <w:t xml:space="preserve">. Working within the NHS, I provide guidance on infant care and work alongside multi agencies such as GPs, early years staff, midwives and social services to support families, especially in safeguarding and early intervention </w:t>
      </w:r>
      <w:r w:rsidRPr="00FC764F">
        <w:rPr>
          <w:b/>
          <w:bCs/>
        </w:rPr>
        <w:t>(Jenkins and Cook, 2012; Peckover and Appleton, 2019)</w:t>
      </w:r>
      <w:r w:rsidRPr="00FC764F">
        <w:t xml:space="preserve">. Health visitors assess needs, link families to support and help children reach their potential through early interventions </w:t>
      </w:r>
      <w:r w:rsidRPr="00FC764F">
        <w:rPr>
          <w:b/>
          <w:bCs/>
        </w:rPr>
        <w:t>(</w:t>
      </w:r>
      <w:proofErr w:type="spellStart"/>
      <w:r w:rsidRPr="00FC764F">
        <w:rPr>
          <w:b/>
          <w:bCs/>
        </w:rPr>
        <w:t>Shimwell</w:t>
      </w:r>
      <w:proofErr w:type="spellEnd"/>
      <w:r w:rsidRPr="00FC764F">
        <w:rPr>
          <w:b/>
          <w:bCs/>
        </w:rPr>
        <w:t>, White and Green, 2024; Morton, 2024)</w:t>
      </w:r>
      <w:r w:rsidRPr="00FC764F">
        <w:t>.</w:t>
      </w:r>
      <w:r w:rsidRPr="00FC764F">
        <w:rPr>
          <w:lang w:val="en-US"/>
        </w:rPr>
        <w:t> </w:t>
      </w:r>
    </w:p>
    <w:p w14:paraId="72E89E42" w14:textId="77777777" w:rsidR="00FC764F" w:rsidRPr="00FC764F" w:rsidRDefault="00FC764F" w:rsidP="00FC764F">
      <w:pPr>
        <w:rPr>
          <w:lang w:val="en-US"/>
        </w:rPr>
      </w:pPr>
      <w:r w:rsidRPr="00FC764F">
        <w:t xml:space="preserve">As a professional working with young children, I have a duty of care towards all children I engage with, especially for vulnerable children like Max and Mollie. It is vital to recognise signs such as unexplained injuries, developmental delays, poor hygiene and domestic violence, which may indicate abuse or neglect </w:t>
      </w:r>
      <w:r w:rsidRPr="00FC764F">
        <w:rPr>
          <w:b/>
          <w:bCs/>
        </w:rPr>
        <w:t>(Akehurst, 2015; NSPCC, 2012; Welsh Government, 2022)</w:t>
      </w:r>
      <w:r w:rsidRPr="00FC764F">
        <w:t>.</w:t>
      </w:r>
      <w:r w:rsidRPr="00FC764F">
        <w:rPr>
          <w:lang w:val="en-US"/>
        </w:rPr>
        <w:t> </w:t>
      </w:r>
    </w:p>
    <w:p w14:paraId="610C3619" w14:textId="77777777" w:rsidR="00FC764F" w:rsidRPr="00FC764F" w:rsidRDefault="00FC764F" w:rsidP="00FC764F">
      <w:pPr>
        <w:rPr>
          <w:lang w:val="en-US"/>
        </w:rPr>
      </w:pPr>
      <w:r w:rsidRPr="00FC764F">
        <w:t xml:space="preserve">According to </w:t>
      </w:r>
      <w:r w:rsidRPr="00FC764F">
        <w:rPr>
          <w:b/>
          <w:bCs/>
        </w:rPr>
        <w:t>UNICEF (2022)</w:t>
      </w:r>
      <w:r w:rsidRPr="00FC764F">
        <w:t xml:space="preserve">, every child has the right to clean water, a safe environment and access to health services, also article 27 specifies every child must have an adequate standard of living aligning with Maslow's Hierarchy of Needs </w:t>
      </w:r>
      <w:r w:rsidRPr="00FC764F">
        <w:rPr>
          <w:b/>
          <w:bCs/>
        </w:rPr>
        <w:t>(</w:t>
      </w:r>
      <w:proofErr w:type="spellStart"/>
      <w:r w:rsidRPr="00FC764F">
        <w:rPr>
          <w:b/>
          <w:bCs/>
        </w:rPr>
        <w:t>Pichère</w:t>
      </w:r>
      <w:proofErr w:type="spellEnd"/>
      <w:r w:rsidRPr="00FC764F">
        <w:rPr>
          <w:b/>
          <w:bCs/>
        </w:rPr>
        <w:t xml:space="preserve"> and </w:t>
      </w:r>
      <w:proofErr w:type="spellStart"/>
      <w:r w:rsidRPr="00FC764F">
        <w:rPr>
          <w:b/>
          <w:bCs/>
        </w:rPr>
        <w:t>Cadiat</w:t>
      </w:r>
      <w:proofErr w:type="spellEnd"/>
      <w:r w:rsidRPr="00FC764F">
        <w:rPr>
          <w:b/>
          <w:bCs/>
        </w:rPr>
        <w:t>, 2015)</w:t>
      </w:r>
      <w:r w:rsidRPr="00FC764F">
        <w:t xml:space="preserve">. </w:t>
      </w:r>
      <w:r w:rsidRPr="00FC764F">
        <w:rPr>
          <w:lang w:val="en-US"/>
        </w:rPr>
        <w:t> </w:t>
      </w:r>
    </w:p>
    <w:p w14:paraId="2C843B1E" w14:textId="77777777" w:rsidR="00FC764F" w:rsidRPr="00FC764F" w:rsidRDefault="00FC764F" w:rsidP="00FC764F">
      <w:pPr>
        <w:rPr>
          <w:lang w:val="en-US"/>
        </w:rPr>
      </w:pPr>
      <w:r w:rsidRPr="00FC764F">
        <w:t xml:space="preserve">Understanding these indicators can play a vital role in safeguarding individuals and ensuring their well-being. Recognising safeguarding risks such as domestic abuse, parental mental health issues, substance misuse, unsafe living conditions and non-verbal cues is essential to safeguarding individuals’ wellbeing </w:t>
      </w:r>
      <w:r w:rsidRPr="00FC764F">
        <w:rPr>
          <w:b/>
          <w:bCs/>
        </w:rPr>
        <w:t>(Litherland, 2012)</w:t>
      </w:r>
      <w:r w:rsidRPr="00FC764F">
        <w:t xml:space="preserve">. I conduct regular assessments, document findings in compliance with GDPR and the </w:t>
      </w:r>
      <w:r w:rsidRPr="00FC764F">
        <w:rPr>
          <w:b/>
          <w:bCs/>
        </w:rPr>
        <w:t>Data Protection Act (2018)</w:t>
      </w:r>
      <w:r w:rsidRPr="00FC764F">
        <w:t xml:space="preserve"> and respond promptly in accordance with Section 47 of the Children Act 1989. Additionally, I contribute to multi-agency discussions and reports to </w:t>
      </w:r>
      <w:r w:rsidRPr="00FC764F">
        <w:lastRenderedPageBreak/>
        <w:t xml:space="preserve">ensure effective safeguarding measures </w:t>
      </w:r>
      <w:r w:rsidRPr="00FC764F">
        <w:rPr>
          <w:b/>
          <w:bCs/>
        </w:rPr>
        <w:t>(Thain, 2012; Social Care Wales, (</w:t>
      </w:r>
      <w:proofErr w:type="spellStart"/>
      <w:r w:rsidRPr="00FC764F">
        <w:rPr>
          <w:b/>
          <w:bCs/>
        </w:rPr>
        <w:t>n.d</w:t>
      </w:r>
      <w:proofErr w:type="spellEnd"/>
      <w:r w:rsidRPr="00FC764F">
        <w:rPr>
          <w:b/>
          <w:bCs/>
        </w:rPr>
        <w:t>); Peckover and Appleton, 2019; NICE, 2017)</w:t>
      </w:r>
      <w:r w:rsidRPr="00FC764F">
        <w:t>.</w:t>
      </w:r>
      <w:r w:rsidRPr="00FC764F">
        <w:rPr>
          <w:lang w:val="en-US"/>
        </w:rPr>
        <w:t> </w:t>
      </w:r>
    </w:p>
    <w:p w14:paraId="67DCC629" w14:textId="77777777" w:rsidR="00FC764F" w:rsidRPr="00FC764F" w:rsidRDefault="00FC764F" w:rsidP="00FC764F">
      <w:pPr>
        <w:rPr>
          <w:lang w:val="en-US"/>
        </w:rPr>
      </w:pPr>
      <w:r w:rsidRPr="00FC764F">
        <w:t xml:space="preserve">Since Max’s birth in 2022 I have worked with the family, at this period Mr. Jones was present. He was incarcerated when Max was 15 months old. Max was born underweight at 5 pounds 2 ounces, bottle-fed and below the 2nd weight percentile by three months </w:t>
      </w:r>
      <w:r w:rsidRPr="00FC764F">
        <w:rPr>
          <w:b/>
          <w:bCs/>
        </w:rPr>
        <w:t>(Royal College of Paediatrics and Child Health, 2018; NHS, 2020).</w:t>
      </w:r>
      <w:r w:rsidRPr="00FC764F">
        <w:t xml:space="preserve"> I referred the family to a dietitian; </w:t>
      </w:r>
      <w:proofErr w:type="gramStart"/>
      <w:r w:rsidRPr="00FC764F">
        <w:t>however</w:t>
      </w:r>
      <w:proofErr w:type="gramEnd"/>
      <w:r w:rsidRPr="00FC764F">
        <w:t xml:space="preserve"> Mrs. Jones missed the initial appointment. Both parents were reluctant to engage with support, raising concerns about Mrs. Jones’s well-being and mental health, especially when Mr. Jones was present and they did not fully engage with services.</w:t>
      </w:r>
      <w:r w:rsidRPr="00FC764F">
        <w:rPr>
          <w:lang w:val="en-US"/>
        </w:rPr>
        <w:t> </w:t>
      </w:r>
    </w:p>
    <w:p w14:paraId="1BAB120D" w14:textId="77777777" w:rsidR="00FC764F" w:rsidRPr="00FC764F" w:rsidRDefault="00FC764F" w:rsidP="00FC764F">
      <w:pPr>
        <w:rPr>
          <w:lang w:val="en-US"/>
        </w:rPr>
      </w:pPr>
      <w:r w:rsidRPr="00FC764F">
        <w:t xml:space="preserve">However, following Mr. Jones’s incarceration, Mrs. Jones sought health support, including paediatric dietitian care for Max </w:t>
      </w:r>
      <w:r w:rsidRPr="00FC764F">
        <w:rPr>
          <w:b/>
          <w:bCs/>
        </w:rPr>
        <w:t>(British Dietetic Association, 2023)</w:t>
      </w:r>
      <w:r w:rsidRPr="00FC764F">
        <w:t>, vaccinations and prenatal care for her pregnancy on Mollie (now 11 months). Since Mr. Jones’s April 2025 release, her cooperation has declined; she missed two dietitian appointments and has not allowed me to do necessary checks on both children.</w:t>
      </w:r>
      <w:r w:rsidRPr="00FC764F">
        <w:rPr>
          <w:lang w:val="en-US"/>
        </w:rPr>
        <w:t> </w:t>
      </w:r>
    </w:p>
    <w:p w14:paraId="0CE03991" w14:textId="77777777" w:rsidR="00FC764F" w:rsidRPr="00FC764F" w:rsidRDefault="00FC764F" w:rsidP="00FC764F">
      <w:pPr>
        <w:rPr>
          <w:lang w:val="en-US"/>
        </w:rPr>
      </w:pPr>
      <w:r w:rsidRPr="00FC764F">
        <w:t xml:space="preserve">A recent consultation with the GP confirmed Max missed his MMR vaccine </w:t>
      </w:r>
      <w:r w:rsidRPr="00FC764F">
        <w:rPr>
          <w:b/>
          <w:bCs/>
        </w:rPr>
        <w:t>(NHS, 2024)</w:t>
      </w:r>
      <w:r w:rsidRPr="00FC764F">
        <w:t>. Concerns from the setting practitioner include Mrs. Jones’s poor engagement, hygiene, malnourishment, soiling and change in behaviour of Max.</w:t>
      </w:r>
      <w:r w:rsidRPr="00FC764F">
        <w:rPr>
          <w:lang w:val="en-US"/>
        </w:rPr>
        <w:t> </w:t>
      </w:r>
    </w:p>
    <w:p w14:paraId="110D3609" w14:textId="77777777" w:rsidR="00FC764F" w:rsidRPr="00FC764F" w:rsidRDefault="00FC764F" w:rsidP="00FC764F">
      <w:pPr>
        <w:rPr>
          <w:lang w:val="en-US"/>
        </w:rPr>
      </w:pPr>
      <w:r w:rsidRPr="00FC764F">
        <w:rPr>
          <w:b/>
          <w:bCs/>
        </w:rPr>
        <w:t>Can you both please confirm this? (Kirstie and Vicky)</w:t>
      </w:r>
      <w:r w:rsidRPr="00FC764F">
        <w:rPr>
          <w:lang w:val="en-US"/>
        </w:rPr>
        <w:t> </w:t>
      </w:r>
    </w:p>
    <w:p w14:paraId="42DEC040" w14:textId="77777777" w:rsidR="00FC764F" w:rsidRPr="00FC764F" w:rsidRDefault="00FC764F" w:rsidP="00FC764F">
      <w:pPr>
        <w:rPr>
          <w:lang w:val="en-US"/>
        </w:rPr>
      </w:pPr>
      <w:r w:rsidRPr="00FC764F">
        <w:t xml:space="preserve">Despite several attempts, I have been unable to contact the family. Following my duty of care </w:t>
      </w:r>
      <w:r w:rsidRPr="00FC764F">
        <w:rPr>
          <w:b/>
          <w:bCs/>
        </w:rPr>
        <w:t>(Nursing and Midwifery Council, 2018; Office, 2023)</w:t>
      </w:r>
      <w:r w:rsidRPr="00FC764F">
        <w:t xml:space="preserve">, I reported this to agencies </w:t>
      </w:r>
      <w:r w:rsidRPr="00FC764F">
        <w:rPr>
          <w:b/>
          <w:bCs/>
        </w:rPr>
        <w:t>(Welsh Government, 2025)</w:t>
      </w:r>
      <w:r w:rsidRPr="00FC764F">
        <w:t xml:space="preserve">, leading to a welfare check by myself and the PC Amy Cox </w:t>
      </w:r>
      <w:r w:rsidRPr="00FC764F">
        <w:rPr>
          <w:b/>
          <w:bCs/>
        </w:rPr>
        <w:t>Gwent Safeguarding (2022)</w:t>
      </w:r>
      <w:r w:rsidRPr="00FC764F">
        <w:t>.</w:t>
      </w:r>
      <w:r w:rsidRPr="00FC764F">
        <w:rPr>
          <w:lang w:val="en-US"/>
        </w:rPr>
        <w:t> </w:t>
      </w:r>
    </w:p>
    <w:p w14:paraId="76822DF0" w14:textId="77777777" w:rsidR="00FC764F" w:rsidRPr="00FC764F" w:rsidRDefault="00FC764F" w:rsidP="00FC764F">
      <w:pPr>
        <w:rPr>
          <w:lang w:val="en-US"/>
        </w:rPr>
      </w:pPr>
      <w:r w:rsidRPr="00FC764F">
        <w:t xml:space="preserve">During a welfare check due to the Section 47 being requested, conducted with South Wales Police </w:t>
      </w:r>
      <w:r w:rsidRPr="00FC764F">
        <w:rPr>
          <w:b/>
          <w:bCs/>
        </w:rPr>
        <w:t>Amy can you confirm this please?</w:t>
      </w:r>
      <w:r w:rsidRPr="00FC764F">
        <w:rPr>
          <w:lang w:val="en-US"/>
        </w:rPr>
        <w:t> </w:t>
      </w:r>
    </w:p>
    <w:p w14:paraId="7B295675" w14:textId="77777777" w:rsidR="00FC764F" w:rsidRPr="00FC764F" w:rsidRDefault="00FC764F" w:rsidP="00FC764F">
      <w:pPr>
        <w:rPr>
          <w:lang w:val="en-US"/>
        </w:rPr>
      </w:pPr>
      <w:r w:rsidRPr="00FC764F">
        <w:t xml:space="preserve">Mrs. Jones appeared fearful and disengaged. The children's hygiene appeared to be </w:t>
      </w:r>
      <w:proofErr w:type="gramStart"/>
      <w:r w:rsidRPr="00FC764F">
        <w:t>lacking</w:t>
      </w:r>
      <w:proofErr w:type="gramEnd"/>
      <w:r w:rsidRPr="00FC764F">
        <w:t xml:space="preserve"> and they exhibited signs of being timid, disengaged and lethargic, suggesting an unsettled emotional state. Mollie was seated in a highchair, seemingly without any interaction from the parents. Further examination of the home revealed a chaotic environment, with empty alcohol bottles scattered throughout and poor hygiene standards. The garden was cluttered with debris and the limited food available. The mother refrained from engaging in conversation and appeared disengaged seeming to be apprehensive, as if she were seeking approval to speak indicating control. Her demeanour suggested a sense of unease and tension, leaving Mr. Jones to communicate on behalf of the family.</w:t>
      </w:r>
      <w:r w:rsidRPr="00FC764F">
        <w:rPr>
          <w:lang w:val="en-US"/>
        </w:rPr>
        <w:t>  </w:t>
      </w:r>
    </w:p>
    <w:p w14:paraId="7BE6B385" w14:textId="77777777" w:rsidR="00FC764F" w:rsidRPr="00FC764F" w:rsidRDefault="00FC764F" w:rsidP="00FC764F">
      <w:pPr>
        <w:rPr>
          <w:lang w:val="en-US"/>
        </w:rPr>
      </w:pPr>
      <w:r w:rsidRPr="00FC764F">
        <w:t xml:space="preserve">To conclude, Poor weight gain, missing appointments, and limited parental participation have been issues since the realise of Mr Jones from Prison in April 2025. Mrs. Jones </w:t>
      </w:r>
      <w:r w:rsidRPr="00FC764F">
        <w:lastRenderedPageBreak/>
        <w:t>became withdrawn missing health checkups and has a lack of engagement with any healthcare and education. Upon a welfare visit, the children and Mrs. Jones displayed fearful behaviour, a disordered house, inadequate food, and poor hygiene—all of which suggested neglect, emotional harm, and maybe coercive control.</w:t>
      </w:r>
      <w:r w:rsidRPr="00FC764F">
        <w:rPr>
          <w:lang w:val="en-US"/>
        </w:rPr>
        <w:t> </w:t>
      </w:r>
    </w:p>
    <w:p w14:paraId="5C82009B" w14:textId="3D0B29E1" w:rsidR="00FC764F" w:rsidRPr="00FC764F" w:rsidRDefault="00FC764F" w:rsidP="00FC764F">
      <w:pPr>
        <w:rPr>
          <w:lang w:val="en-US"/>
        </w:rPr>
      </w:pPr>
      <w:r w:rsidRPr="00FC764F">
        <w:t xml:space="preserve">These concerns could place the children at risk of significant </w:t>
      </w:r>
      <w:r w:rsidRPr="00FC764F">
        <w:t>harm since</w:t>
      </w:r>
      <w:r w:rsidRPr="00FC764F">
        <w:t xml:space="preserve"> they imply emotional abuse and neglect. According to </w:t>
      </w:r>
      <w:r w:rsidRPr="00FC764F">
        <w:rPr>
          <w:b/>
          <w:bCs/>
        </w:rPr>
        <w:t>NSPCC (2012)</w:t>
      </w:r>
      <w:r w:rsidRPr="00FC764F">
        <w:t xml:space="preserve"> and the S</w:t>
      </w:r>
      <w:r w:rsidRPr="00FC764F">
        <w:rPr>
          <w:b/>
          <w:bCs/>
        </w:rPr>
        <w:t>ocial Services and Well-being (Wales) Act 2014</w:t>
      </w:r>
      <w:r w:rsidRPr="00FC764F">
        <w:t>, neglect is defined as unfulfilled fundamental requirements that impair development (</w:t>
      </w:r>
      <w:r w:rsidRPr="00FC764F">
        <w:rPr>
          <w:b/>
          <w:bCs/>
        </w:rPr>
        <w:t>Welsh Government, 2014a)</w:t>
      </w:r>
      <w:r w:rsidRPr="00FC764F">
        <w:t xml:space="preserve">, in violation of </w:t>
      </w:r>
      <w:r w:rsidRPr="00FC764F">
        <w:rPr>
          <w:b/>
          <w:bCs/>
        </w:rPr>
        <w:t>UNCRC Articles 19, 24, and 27</w:t>
      </w:r>
      <w:r w:rsidRPr="00FC764F">
        <w:t xml:space="preserve">. I believe </w:t>
      </w:r>
      <w:r w:rsidRPr="00FC764F">
        <w:t>a child</w:t>
      </w:r>
      <w:r w:rsidRPr="00FC764F">
        <w:t xml:space="preserve"> protection plan is necessary because the </w:t>
      </w:r>
      <w:r w:rsidRPr="00FC764F">
        <w:rPr>
          <w:b/>
          <w:bCs/>
        </w:rPr>
        <w:t>Childcare Act of 2006</w:t>
      </w:r>
      <w:r w:rsidRPr="00FC764F">
        <w:t xml:space="preserve"> places a high priority on the wellbeing of children.</w:t>
      </w:r>
      <w:r w:rsidRPr="00FC764F">
        <w:rPr>
          <w:lang w:val="en-US"/>
        </w:rPr>
        <w:t> </w:t>
      </w:r>
    </w:p>
    <w:p w14:paraId="24569A5A" w14:textId="77777777" w:rsidR="00FC764F" w:rsidRPr="00FC764F" w:rsidRDefault="00FC764F">
      <w:pPr>
        <w:rPr>
          <w:lang w:val="en-US"/>
        </w:rPr>
      </w:pPr>
    </w:p>
    <w:sectPr w:rsidR="00FC764F" w:rsidRPr="00FC76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64F"/>
    <w:rsid w:val="00A836C9"/>
    <w:rsid w:val="00FC7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00394"/>
  <w15:chartTrackingRefBased/>
  <w15:docId w15:val="{8CB23D69-D9D9-4E0D-B420-50B461581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76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76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76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76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76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76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76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76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76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6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76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76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76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76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76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76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76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764F"/>
    <w:rPr>
      <w:rFonts w:eastAsiaTheme="majorEastAsia" w:cstheme="majorBidi"/>
      <w:color w:val="272727" w:themeColor="text1" w:themeTint="D8"/>
    </w:rPr>
  </w:style>
  <w:style w:type="paragraph" w:styleId="Title">
    <w:name w:val="Title"/>
    <w:basedOn w:val="Normal"/>
    <w:next w:val="Normal"/>
    <w:link w:val="TitleChar"/>
    <w:uiPriority w:val="10"/>
    <w:qFormat/>
    <w:rsid w:val="00FC76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76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76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76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764F"/>
    <w:pPr>
      <w:spacing w:before="160"/>
      <w:jc w:val="center"/>
    </w:pPr>
    <w:rPr>
      <w:i/>
      <w:iCs/>
      <w:color w:val="404040" w:themeColor="text1" w:themeTint="BF"/>
    </w:rPr>
  </w:style>
  <w:style w:type="character" w:customStyle="1" w:styleId="QuoteChar">
    <w:name w:val="Quote Char"/>
    <w:basedOn w:val="DefaultParagraphFont"/>
    <w:link w:val="Quote"/>
    <w:uiPriority w:val="29"/>
    <w:rsid w:val="00FC764F"/>
    <w:rPr>
      <w:i/>
      <w:iCs/>
      <w:color w:val="404040" w:themeColor="text1" w:themeTint="BF"/>
    </w:rPr>
  </w:style>
  <w:style w:type="paragraph" w:styleId="ListParagraph">
    <w:name w:val="List Paragraph"/>
    <w:basedOn w:val="Normal"/>
    <w:uiPriority w:val="34"/>
    <w:qFormat/>
    <w:rsid w:val="00FC764F"/>
    <w:pPr>
      <w:ind w:left="720"/>
      <w:contextualSpacing/>
    </w:pPr>
  </w:style>
  <w:style w:type="character" w:styleId="IntenseEmphasis">
    <w:name w:val="Intense Emphasis"/>
    <w:basedOn w:val="DefaultParagraphFont"/>
    <w:uiPriority w:val="21"/>
    <w:qFormat/>
    <w:rsid w:val="00FC764F"/>
    <w:rPr>
      <w:i/>
      <w:iCs/>
      <w:color w:val="0F4761" w:themeColor="accent1" w:themeShade="BF"/>
    </w:rPr>
  </w:style>
  <w:style w:type="paragraph" w:styleId="IntenseQuote">
    <w:name w:val="Intense Quote"/>
    <w:basedOn w:val="Normal"/>
    <w:next w:val="Normal"/>
    <w:link w:val="IntenseQuoteChar"/>
    <w:uiPriority w:val="30"/>
    <w:qFormat/>
    <w:rsid w:val="00FC76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764F"/>
    <w:rPr>
      <w:i/>
      <w:iCs/>
      <w:color w:val="0F4761" w:themeColor="accent1" w:themeShade="BF"/>
    </w:rPr>
  </w:style>
  <w:style w:type="character" w:styleId="IntenseReference">
    <w:name w:val="Intense Reference"/>
    <w:basedOn w:val="DefaultParagraphFont"/>
    <w:uiPriority w:val="32"/>
    <w:qFormat/>
    <w:rsid w:val="00FC764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469217">
      <w:bodyDiv w:val="1"/>
      <w:marLeft w:val="0"/>
      <w:marRight w:val="0"/>
      <w:marTop w:val="0"/>
      <w:marBottom w:val="0"/>
      <w:divBdr>
        <w:top w:val="none" w:sz="0" w:space="0" w:color="auto"/>
        <w:left w:val="none" w:sz="0" w:space="0" w:color="auto"/>
        <w:bottom w:val="none" w:sz="0" w:space="0" w:color="auto"/>
        <w:right w:val="none" w:sz="0" w:space="0" w:color="auto"/>
      </w:divBdr>
      <w:divsChild>
        <w:div w:id="1098595441">
          <w:marLeft w:val="0"/>
          <w:marRight w:val="0"/>
          <w:marTop w:val="0"/>
          <w:marBottom w:val="0"/>
          <w:divBdr>
            <w:top w:val="none" w:sz="0" w:space="0" w:color="auto"/>
            <w:left w:val="none" w:sz="0" w:space="0" w:color="auto"/>
            <w:bottom w:val="none" w:sz="0" w:space="0" w:color="auto"/>
            <w:right w:val="none" w:sz="0" w:space="0" w:color="auto"/>
          </w:divBdr>
        </w:div>
        <w:div w:id="1541623795">
          <w:marLeft w:val="0"/>
          <w:marRight w:val="0"/>
          <w:marTop w:val="0"/>
          <w:marBottom w:val="0"/>
          <w:divBdr>
            <w:top w:val="none" w:sz="0" w:space="0" w:color="auto"/>
            <w:left w:val="none" w:sz="0" w:space="0" w:color="auto"/>
            <w:bottom w:val="none" w:sz="0" w:space="0" w:color="auto"/>
            <w:right w:val="none" w:sz="0" w:space="0" w:color="auto"/>
          </w:divBdr>
        </w:div>
        <w:div w:id="886836733">
          <w:marLeft w:val="0"/>
          <w:marRight w:val="0"/>
          <w:marTop w:val="0"/>
          <w:marBottom w:val="0"/>
          <w:divBdr>
            <w:top w:val="none" w:sz="0" w:space="0" w:color="auto"/>
            <w:left w:val="none" w:sz="0" w:space="0" w:color="auto"/>
            <w:bottom w:val="none" w:sz="0" w:space="0" w:color="auto"/>
            <w:right w:val="none" w:sz="0" w:space="0" w:color="auto"/>
          </w:divBdr>
        </w:div>
        <w:div w:id="1046686946">
          <w:marLeft w:val="0"/>
          <w:marRight w:val="0"/>
          <w:marTop w:val="0"/>
          <w:marBottom w:val="0"/>
          <w:divBdr>
            <w:top w:val="none" w:sz="0" w:space="0" w:color="auto"/>
            <w:left w:val="none" w:sz="0" w:space="0" w:color="auto"/>
            <w:bottom w:val="none" w:sz="0" w:space="0" w:color="auto"/>
            <w:right w:val="none" w:sz="0" w:space="0" w:color="auto"/>
          </w:divBdr>
        </w:div>
        <w:div w:id="1679650575">
          <w:marLeft w:val="0"/>
          <w:marRight w:val="0"/>
          <w:marTop w:val="0"/>
          <w:marBottom w:val="0"/>
          <w:divBdr>
            <w:top w:val="none" w:sz="0" w:space="0" w:color="auto"/>
            <w:left w:val="none" w:sz="0" w:space="0" w:color="auto"/>
            <w:bottom w:val="none" w:sz="0" w:space="0" w:color="auto"/>
            <w:right w:val="none" w:sz="0" w:space="0" w:color="auto"/>
          </w:divBdr>
        </w:div>
        <w:div w:id="685207271">
          <w:marLeft w:val="0"/>
          <w:marRight w:val="0"/>
          <w:marTop w:val="0"/>
          <w:marBottom w:val="0"/>
          <w:divBdr>
            <w:top w:val="none" w:sz="0" w:space="0" w:color="auto"/>
            <w:left w:val="none" w:sz="0" w:space="0" w:color="auto"/>
            <w:bottom w:val="none" w:sz="0" w:space="0" w:color="auto"/>
            <w:right w:val="none" w:sz="0" w:space="0" w:color="auto"/>
          </w:divBdr>
        </w:div>
        <w:div w:id="1326738058">
          <w:marLeft w:val="0"/>
          <w:marRight w:val="0"/>
          <w:marTop w:val="0"/>
          <w:marBottom w:val="0"/>
          <w:divBdr>
            <w:top w:val="none" w:sz="0" w:space="0" w:color="auto"/>
            <w:left w:val="none" w:sz="0" w:space="0" w:color="auto"/>
            <w:bottom w:val="none" w:sz="0" w:space="0" w:color="auto"/>
            <w:right w:val="none" w:sz="0" w:space="0" w:color="auto"/>
          </w:divBdr>
        </w:div>
        <w:div w:id="1738937062">
          <w:marLeft w:val="0"/>
          <w:marRight w:val="0"/>
          <w:marTop w:val="0"/>
          <w:marBottom w:val="0"/>
          <w:divBdr>
            <w:top w:val="none" w:sz="0" w:space="0" w:color="auto"/>
            <w:left w:val="none" w:sz="0" w:space="0" w:color="auto"/>
            <w:bottom w:val="none" w:sz="0" w:space="0" w:color="auto"/>
            <w:right w:val="none" w:sz="0" w:space="0" w:color="auto"/>
          </w:divBdr>
        </w:div>
        <w:div w:id="419377170">
          <w:marLeft w:val="0"/>
          <w:marRight w:val="0"/>
          <w:marTop w:val="0"/>
          <w:marBottom w:val="0"/>
          <w:divBdr>
            <w:top w:val="none" w:sz="0" w:space="0" w:color="auto"/>
            <w:left w:val="none" w:sz="0" w:space="0" w:color="auto"/>
            <w:bottom w:val="none" w:sz="0" w:space="0" w:color="auto"/>
            <w:right w:val="none" w:sz="0" w:space="0" w:color="auto"/>
          </w:divBdr>
        </w:div>
        <w:div w:id="1085153743">
          <w:marLeft w:val="0"/>
          <w:marRight w:val="0"/>
          <w:marTop w:val="0"/>
          <w:marBottom w:val="0"/>
          <w:divBdr>
            <w:top w:val="none" w:sz="0" w:space="0" w:color="auto"/>
            <w:left w:val="none" w:sz="0" w:space="0" w:color="auto"/>
            <w:bottom w:val="none" w:sz="0" w:space="0" w:color="auto"/>
            <w:right w:val="none" w:sz="0" w:space="0" w:color="auto"/>
          </w:divBdr>
        </w:div>
        <w:div w:id="591427343">
          <w:marLeft w:val="0"/>
          <w:marRight w:val="0"/>
          <w:marTop w:val="0"/>
          <w:marBottom w:val="0"/>
          <w:divBdr>
            <w:top w:val="none" w:sz="0" w:space="0" w:color="auto"/>
            <w:left w:val="none" w:sz="0" w:space="0" w:color="auto"/>
            <w:bottom w:val="none" w:sz="0" w:space="0" w:color="auto"/>
            <w:right w:val="none" w:sz="0" w:space="0" w:color="auto"/>
          </w:divBdr>
        </w:div>
        <w:div w:id="836926233">
          <w:marLeft w:val="0"/>
          <w:marRight w:val="0"/>
          <w:marTop w:val="0"/>
          <w:marBottom w:val="0"/>
          <w:divBdr>
            <w:top w:val="none" w:sz="0" w:space="0" w:color="auto"/>
            <w:left w:val="none" w:sz="0" w:space="0" w:color="auto"/>
            <w:bottom w:val="none" w:sz="0" w:space="0" w:color="auto"/>
            <w:right w:val="none" w:sz="0" w:space="0" w:color="auto"/>
          </w:divBdr>
        </w:div>
        <w:div w:id="651563825">
          <w:marLeft w:val="0"/>
          <w:marRight w:val="0"/>
          <w:marTop w:val="0"/>
          <w:marBottom w:val="0"/>
          <w:divBdr>
            <w:top w:val="none" w:sz="0" w:space="0" w:color="auto"/>
            <w:left w:val="none" w:sz="0" w:space="0" w:color="auto"/>
            <w:bottom w:val="none" w:sz="0" w:space="0" w:color="auto"/>
            <w:right w:val="none" w:sz="0" w:space="0" w:color="auto"/>
          </w:divBdr>
        </w:div>
        <w:div w:id="974867214">
          <w:marLeft w:val="0"/>
          <w:marRight w:val="0"/>
          <w:marTop w:val="0"/>
          <w:marBottom w:val="0"/>
          <w:divBdr>
            <w:top w:val="none" w:sz="0" w:space="0" w:color="auto"/>
            <w:left w:val="none" w:sz="0" w:space="0" w:color="auto"/>
            <w:bottom w:val="none" w:sz="0" w:space="0" w:color="auto"/>
            <w:right w:val="none" w:sz="0" w:space="0" w:color="auto"/>
          </w:divBdr>
        </w:div>
      </w:divsChild>
    </w:div>
    <w:div w:id="1575968641">
      <w:bodyDiv w:val="1"/>
      <w:marLeft w:val="0"/>
      <w:marRight w:val="0"/>
      <w:marTop w:val="0"/>
      <w:marBottom w:val="0"/>
      <w:divBdr>
        <w:top w:val="none" w:sz="0" w:space="0" w:color="auto"/>
        <w:left w:val="none" w:sz="0" w:space="0" w:color="auto"/>
        <w:bottom w:val="none" w:sz="0" w:space="0" w:color="auto"/>
        <w:right w:val="none" w:sz="0" w:space="0" w:color="auto"/>
      </w:divBdr>
      <w:divsChild>
        <w:div w:id="1159885545">
          <w:marLeft w:val="0"/>
          <w:marRight w:val="0"/>
          <w:marTop w:val="0"/>
          <w:marBottom w:val="0"/>
          <w:divBdr>
            <w:top w:val="none" w:sz="0" w:space="0" w:color="auto"/>
            <w:left w:val="none" w:sz="0" w:space="0" w:color="auto"/>
            <w:bottom w:val="none" w:sz="0" w:space="0" w:color="auto"/>
            <w:right w:val="none" w:sz="0" w:space="0" w:color="auto"/>
          </w:divBdr>
        </w:div>
        <w:div w:id="2128157157">
          <w:marLeft w:val="0"/>
          <w:marRight w:val="0"/>
          <w:marTop w:val="0"/>
          <w:marBottom w:val="0"/>
          <w:divBdr>
            <w:top w:val="none" w:sz="0" w:space="0" w:color="auto"/>
            <w:left w:val="none" w:sz="0" w:space="0" w:color="auto"/>
            <w:bottom w:val="none" w:sz="0" w:space="0" w:color="auto"/>
            <w:right w:val="none" w:sz="0" w:space="0" w:color="auto"/>
          </w:divBdr>
        </w:div>
        <w:div w:id="1773941025">
          <w:marLeft w:val="0"/>
          <w:marRight w:val="0"/>
          <w:marTop w:val="0"/>
          <w:marBottom w:val="0"/>
          <w:divBdr>
            <w:top w:val="none" w:sz="0" w:space="0" w:color="auto"/>
            <w:left w:val="none" w:sz="0" w:space="0" w:color="auto"/>
            <w:bottom w:val="none" w:sz="0" w:space="0" w:color="auto"/>
            <w:right w:val="none" w:sz="0" w:space="0" w:color="auto"/>
          </w:divBdr>
        </w:div>
        <w:div w:id="1387072305">
          <w:marLeft w:val="0"/>
          <w:marRight w:val="0"/>
          <w:marTop w:val="0"/>
          <w:marBottom w:val="0"/>
          <w:divBdr>
            <w:top w:val="none" w:sz="0" w:space="0" w:color="auto"/>
            <w:left w:val="none" w:sz="0" w:space="0" w:color="auto"/>
            <w:bottom w:val="none" w:sz="0" w:space="0" w:color="auto"/>
            <w:right w:val="none" w:sz="0" w:space="0" w:color="auto"/>
          </w:divBdr>
        </w:div>
        <w:div w:id="1611737190">
          <w:marLeft w:val="0"/>
          <w:marRight w:val="0"/>
          <w:marTop w:val="0"/>
          <w:marBottom w:val="0"/>
          <w:divBdr>
            <w:top w:val="none" w:sz="0" w:space="0" w:color="auto"/>
            <w:left w:val="none" w:sz="0" w:space="0" w:color="auto"/>
            <w:bottom w:val="none" w:sz="0" w:space="0" w:color="auto"/>
            <w:right w:val="none" w:sz="0" w:space="0" w:color="auto"/>
          </w:divBdr>
        </w:div>
        <w:div w:id="1380665482">
          <w:marLeft w:val="0"/>
          <w:marRight w:val="0"/>
          <w:marTop w:val="0"/>
          <w:marBottom w:val="0"/>
          <w:divBdr>
            <w:top w:val="none" w:sz="0" w:space="0" w:color="auto"/>
            <w:left w:val="none" w:sz="0" w:space="0" w:color="auto"/>
            <w:bottom w:val="none" w:sz="0" w:space="0" w:color="auto"/>
            <w:right w:val="none" w:sz="0" w:space="0" w:color="auto"/>
          </w:divBdr>
        </w:div>
        <w:div w:id="1750425321">
          <w:marLeft w:val="0"/>
          <w:marRight w:val="0"/>
          <w:marTop w:val="0"/>
          <w:marBottom w:val="0"/>
          <w:divBdr>
            <w:top w:val="none" w:sz="0" w:space="0" w:color="auto"/>
            <w:left w:val="none" w:sz="0" w:space="0" w:color="auto"/>
            <w:bottom w:val="none" w:sz="0" w:space="0" w:color="auto"/>
            <w:right w:val="none" w:sz="0" w:space="0" w:color="auto"/>
          </w:divBdr>
        </w:div>
        <w:div w:id="819735193">
          <w:marLeft w:val="0"/>
          <w:marRight w:val="0"/>
          <w:marTop w:val="0"/>
          <w:marBottom w:val="0"/>
          <w:divBdr>
            <w:top w:val="none" w:sz="0" w:space="0" w:color="auto"/>
            <w:left w:val="none" w:sz="0" w:space="0" w:color="auto"/>
            <w:bottom w:val="none" w:sz="0" w:space="0" w:color="auto"/>
            <w:right w:val="none" w:sz="0" w:space="0" w:color="auto"/>
          </w:divBdr>
        </w:div>
        <w:div w:id="1293511505">
          <w:marLeft w:val="0"/>
          <w:marRight w:val="0"/>
          <w:marTop w:val="0"/>
          <w:marBottom w:val="0"/>
          <w:divBdr>
            <w:top w:val="none" w:sz="0" w:space="0" w:color="auto"/>
            <w:left w:val="none" w:sz="0" w:space="0" w:color="auto"/>
            <w:bottom w:val="none" w:sz="0" w:space="0" w:color="auto"/>
            <w:right w:val="none" w:sz="0" w:space="0" w:color="auto"/>
          </w:divBdr>
        </w:div>
        <w:div w:id="605044048">
          <w:marLeft w:val="0"/>
          <w:marRight w:val="0"/>
          <w:marTop w:val="0"/>
          <w:marBottom w:val="0"/>
          <w:divBdr>
            <w:top w:val="none" w:sz="0" w:space="0" w:color="auto"/>
            <w:left w:val="none" w:sz="0" w:space="0" w:color="auto"/>
            <w:bottom w:val="none" w:sz="0" w:space="0" w:color="auto"/>
            <w:right w:val="none" w:sz="0" w:space="0" w:color="auto"/>
          </w:divBdr>
        </w:div>
        <w:div w:id="1263033534">
          <w:marLeft w:val="0"/>
          <w:marRight w:val="0"/>
          <w:marTop w:val="0"/>
          <w:marBottom w:val="0"/>
          <w:divBdr>
            <w:top w:val="none" w:sz="0" w:space="0" w:color="auto"/>
            <w:left w:val="none" w:sz="0" w:space="0" w:color="auto"/>
            <w:bottom w:val="none" w:sz="0" w:space="0" w:color="auto"/>
            <w:right w:val="none" w:sz="0" w:space="0" w:color="auto"/>
          </w:divBdr>
        </w:div>
        <w:div w:id="2102675178">
          <w:marLeft w:val="0"/>
          <w:marRight w:val="0"/>
          <w:marTop w:val="0"/>
          <w:marBottom w:val="0"/>
          <w:divBdr>
            <w:top w:val="none" w:sz="0" w:space="0" w:color="auto"/>
            <w:left w:val="none" w:sz="0" w:space="0" w:color="auto"/>
            <w:bottom w:val="none" w:sz="0" w:space="0" w:color="auto"/>
            <w:right w:val="none" w:sz="0" w:space="0" w:color="auto"/>
          </w:divBdr>
        </w:div>
        <w:div w:id="673537693">
          <w:marLeft w:val="0"/>
          <w:marRight w:val="0"/>
          <w:marTop w:val="0"/>
          <w:marBottom w:val="0"/>
          <w:divBdr>
            <w:top w:val="none" w:sz="0" w:space="0" w:color="auto"/>
            <w:left w:val="none" w:sz="0" w:space="0" w:color="auto"/>
            <w:bottom w:val="none" w:sz="0" w:space="0" w:color="auto"/>
            <w:right w:val="none" w:sz="0" w:space="0" w:color="auto"/>
          </w:divBdr>
        </w:div>
        <w:div w:id="15367678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950</Words>
  <Characters>5421</Characters>
  <Application>Microsoft Office Word</Application>
  <DocSecurity>0</DocSecurity>
  <Lines>45</Lines>
  <Paragraphs>12</Paragraphs>
  <ScaleCrop>false</ScaleCrop>
  <Company/>
  <LinksUpToDate>false</LinksUpToDate>
  <CharactersWithSpaces>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Sullivan (1704224)</dc:creator>
  <cp:keywords/>
  <dc:description/>
  <cp:lastModifiedBy>Abigail Sullivan (1704224)</cp:lastModifiedBy>
  <cp:revision>1</cp:revision>
  <dcterms:created xsi:type="dcterms:W3CDTF">2025-07-01T16:02:00Z</dcterms:created>
  <dcterms:modified xsi:type="dcterms:W3CDTF">2025-07-01T16:03:00Z</dcterms:modified>
</cp:coreProperties>
</file>