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DDF6" w:themeColor="accent2" w:themeTint="33">
    <v:background id="_x0000_s2049" o:bwmode="white" fillcolor="#eaddf6 [661]" o:targetscreensize="1024,768">
      <v:fill color2="#d6bbed [1301]" focus="100%" type="gradient"/>
    </v:background>
  </w:background>
  <w:body>
    <w:p w14:paraId="0FEFAF09" w14:textId="77777777" w:rsidR="00127955" w:rsidRPr="00862282" w:rsidRDefault="0033703D" w:rsidP="004A6EDE">
      <w:pPr>
        <w:rPr>
          <w:rFonts w:cstheme="minorHAnsi"/>
          <w:b/>
          <w:bCs/>
          <w:sz w:val="20"/>
          <w:szCs w:val="20"/>
        </w:rPr>
      </w:pPr>
      <w:r w:rsidRPr="00862282">
        <w:rPr>
          <w:noProof/>
          <w:sz w:val="20"/>
          <w:szCs w:val="20"/>
        </w:rPr>
        <w:drawing>
          <wp:anchor distT="0" distB="0" distL="114300" distR="114300" simplePos="0" relativeHeight="251658245" behindDoc="0" locked="0" layoutInCell="1" allowOverlap="1" wp14:anchorId="0A4DF842" wp14:editId="765C74DA">
            <wp:simplePos x="0" y="0"/>
            <wp:positionH relativeFrom="column">
              <wp:posOffset>49530</wp:posOffset>
            </wp:positionH>
            <wp:positionV relativeFrom="paragraph">
              <wp:posOffset>120650</wp:posOffset>
            </wp:positionV>
            <wp:extent cx="482600" cy="482600"/>
            <wp:effectExtent l="0" t="0" r="0" b="0"/>
            <wp:wrapSquare wrapText="bothSides"/>
            <wp:docPr id="2" name="Graphic 2" descr="Ques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Question Mark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482600" cy="482600"/>
                    </a:xfrm>
                    <a:prstGeom prst="rect">
                      <a:avLst/>
                    </a:prstGeom>
                  </pic:spPr>
                </pic:pic>
              </a:graphicData>
            </a:graphic>
          </wp:anchor>
        </w:drawing>
      </w:r>
      <w:r w:rsidR="004A6EDE" w:rsidRPr="00862282">
        <w:rPr>
          <w:rFonts w:cstheme="minorHAnsi"/>
          <w:b/>
          <w:bCs/>
          <w:sz w:val="20"/>
          <w:szCs w:val="20"/>
        </w:rPr>
        <w:t>What is Learning and Development?</w:t>
      </w:r>
      <w:r w:rsidRPr="00862282">
        <w:rPr>
          <w:rFonts w:cstheme="minorHAnsi"/>
          <w:b/>
          <w:bCs/>
          <w:sz w:val="20"/>
          <w:szCs w:val="20"/>
        </w:rPr>
        <w:t xml:space="preserve">  </w:t>
      </w:r>
      <w:r w:rsidR="00962193" w:rsidRPr="00862282">
        <w:rPr>
          <w:rFonts w:cstheme="minorHAnsi"/>
          <w:b/>
          <w:bCs/>
          <w:sz w:val="20"/>
          <w:szCs w:val="20"/>
        </w:rPr>
        <w:t>(AC</w:t>
      </w:r>
      <w:r w:rsidR="007E7E6E" w:rsidRPr="00862282">
        <w:rPr>
          <w:rFonts w:cstheme="minorHAnsi"/>
          <w:b/>
          <w:bCs/>
          <w:sz w:val="20"/>
          <w:szCs w:val="20"/>
        </w:rPr>
        <w:t xml:space="preserve"> </w:t>
      </w:r>
      <w:r w:rsidR="00962193" w:rsidRPr="00862282">
        <w:rPr>
          <w:rFonts w:cstheme="minorHAnsi"/>
          <w:b/>
          <w:bCs/>
          <w:sz w:val="20"/>
          <w:szCs w:val="20"/>
        </w:rPr>
        <w:t>6.1)</w:t>
      </w:r>
      <w:r w:rsidR="00797C7D" w:rsidRPr="00862282">
        <w:rPr>
          <w:rFonts w:cstheme="minorHAnsi"/>
          <w:b/>
          <w:bCs/>
          <w:sz w:val="20"/>
          <w:szCs w:val="20"/>
        </w:rPr>
        <w:t xml:space="preserve"> </w:t>
      </w:r>
    </w:p>
    <w:p w14:paraId="5E5787A5" w14:textId="4E4A73A2" w:rsidR="00FA0EB3" w:rsidRPr="00797C7D" w:rsidRDefault="004A6EDE" w:rsidP="004A6EDE">
      <w:pPr>
        <w:rPr>
          <w:b/>
        </w:rPr>
      </w:pPr>
      <w:r w:rsidRPr="007770EB">
        <w:rPr>
          <w:sz w:val="20"/>
          <w:szCs w:val="20"/>
        </w:rPr>
        <w:t>The CIPD profession map tells us that learni</w:t>
      </w:r>
      <w:r w:rsidRPr="002C1C32">
        <w:rPr>
          <w:sz w:val="20"/>
          <w:szCs w:val="20"/>
        </w:rPr>
        <w:t>ng</w:t>
      </w:r>
      <w:r w:rsidRPr="007770EB">
        <w:rPr>
          <w:sz w:val="20"/>
          <w:szCs w:val="20"/>
        </w:rPr>
        <w:t xml:space="preserve"> and development ensures that employees possess the information, abiliti</w:t>
      </w:r>
      <w:r w:rsidRPr="002C1C32">
        <w:rPr>
          <w:sz w:val="20"/>
          <w:szCs w:val="20"/>
        </w:rPr>
        <w:t>es</w:t>
      </w:r>
      <w:r w:rsidRPr="007770EB">
        <w:rPr>
          <w:sz w:val="20"/>
          <w:szCs w:val="20"/>
        </w:rPr>
        <w:t xml:space="preserve"> and experience necessary to meet their own requirements and the goals of the organisation (CIPD, 2022).</w:t>
      </w:r>
    </w:p>
    <w:p w14:paraId="1659BED1" w14:textId="0BC5EE21" w:rsidR="004959B9" w:rsidRPr="007770EB" w:rsidRDefault="004959B9" w:rsidP="004959B9">
      <w:pPr>
        <w:rPr>
          <w:sz w:val="20"/>
          <w:szCs w:val="20"/>
        </w:rPr>
      </w:pPr>
      <w:r w:rsidRPr="00862282">
        <w:rPr>
          <w:b/>
          <w:bCs/>
          <w:sz w:val="20"/>
          <w:szCs w:val="20"/>
        </w:rPr>
        <w:t>Why is it important?</w:t>
      </w:r>
      <w:r w:rsidR="005D0881">
        <w:rPr>
          <w:b/>
          <w:bCs/>
          <w:sz w:val="20"/>
          <w:szCs w:val="20"/>
        </w:rPr>
        <w:t xml:space="preserve"> (AC 6.1)</w:t>
      </w:r>
      <w:r w:rsidR="00797C7D" w:rsidRPr="00862282">
        <w:rPr>
          <w:sz w:val="20"/>
          <w:szCs w:val="20"/>
        </w:rPr>
        <w:t xml:space="preserve"> </w:t>
      </w:r>
      <w:r w:rsidRPr="007770EB">
        <w:rPr>
          <w:sz w:val="20"/>
          <w:szCs w:val="20"/>
        </w:rPr>
        <w:t xml:space="preserve">According to research from Gallup (2021), today's workforce regards training and development opportunities as standard. According to the study, 87% of millennials said that possibilities for learning and growth are a very important consideration when determining whether to accept a new job. By 2025, millennials are expected to account for 50% of the workforce, thus it is critical that firms offer learning and development opportunities to accommodate the future workforce (HR News, 2021). </w:t>
      </w:r>
    </w:p>
    <w:p w14:paraId="10911464" w14:textId="77777777" w:rsidR="00615BC5" w:rsidRDefault="00797C7D" w:rsidP="004959B9">
      <w:pPr>
        <w:rPr>
          <w:sz w:val="20"/>
          <w:szCs w:val="20"/>
        </w:rPr>
      </w:pPr>
      <w:r w:rsidRPr="00933DEB">
        <w:rPr>
          <w:b/>
          <w:bCs/>
          <w:noProof/>
          <w:sz w:val="20"/>
          <w:szCs w:val="20"/>
        </w:rPr>
        <mc:AlternateContent>
          <mc:Choice Requires="wps">
            <w:drawing>
              <wp:anchor distT="228600" distB="228600" distL="228600" distR="228600" simplePos="0" relativeHeight="251658242" behindDoc="1" locked="0" layoutInCell="1" allowOverlap="1" wp14:anchorId="711F8827" wp14:editId="33110D48">
                <wp:simplePos x="0" y="0"/>
                <wp:positionH relativeFrom="margin">
                  <wp:posOffset>28575</wp:posOffset>
                </wp:positionH>
                <wp:positionV relativeFrom="margin">
                  <wp:posOffset>3085465</wp:posOffset>
                </wp:positionV>
                <wp:extent cx="4308475" cy="723900"/>
                <wp:effectExtent l="0" t="0" r="15875" b="19050"/>
                <wp:wrapSquare wrapText="bothSides"/>
                <wp:docPr id="134" name="Text Box 134"/>
                <wp:cNvGraphicFramePr/>
                <a:graphic xmlns:a="http://schemas.openxmlformats.org/drawingml/2006/main">
                  <a:graphicData uri="http://schemas.microsoft.com/office/word/2010/wordprocessingShape">
                    <wps:wsp>
                      <wps:cNvSpPr txBox="1"/>
                      <wps:spPr>
                        <a:xfrm>
                          <a:off x="0" y="0"/>
                          <a:ext cx="4308475" cy="723900"/>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2F27E539" w14:textId="518B1FFC" w:rsidR="005D0544" w:rsidRPr="00615BC5" w:rsidRDefault="005D0544">
                            <w:pPr>
                              <w:rPr>
                                <w:sz w:val="20"/>
                                <w:szCs w:val="20"/>
                              </w:rPr>
                            </w:pPr>
                            <w:r w:rsidRPr="00615BC5">
                              <w:rPr>
                                <w:sz w:val="20"/>
                                <w:szCs w:val="20"/>
                              </w:rPr>
                              <w:t>According to Waite et al (2021, p. 208) “A learning need usually exists where there is a gap between what someone wants, needs or is required to do”.</w:t>
                            </w:r>
                          </w:p>
                          <w:p w14:paraId="289196AC" w14:textId="759F496F" w:rsidR="005D0544" w:rsidRDefault="005D0544">
                            <w:pPr>
                              <w:pStyle w:val="NoSpacing"/>
                              <w:pBdr>
                                <w:top w:val="dotted" w:sz="4" w:space="6" w:color="FFFFFF" w:themeColor="background1"/>
                              </w:pBdr>
                              <w:ind w:left="360"/>
                              <w:rPr>
                                <w:color w:val="FFFFFF" w:themeColor="background1"/>
                                <w:sz w:val="18"/>
                                <w:szCs w:val="18"/>
                              </w:rPr>
                            </w:pP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711F8827" id="_x0000_t202" coordsize="21600,21600" o:spt="202" path="m,l,21600r21600,l21600,xe">
                <v:stroke joinstyle="miter"/>
                <v:path gradientshapeok="t" o:connecttype="rect"/>
              </v:shapetype>
              <v:shape id="Text Box 134" o:spid="_x0000_s1026" type="#_x0000_t202" style="position:absolute;margin-left:2.25pt;margin-top:242.95pt;width:339.25pt;height:57pt;z-index:-25165823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" fillcolor="#92278f [3204]" strokecolor="white [3201]" strokeweight="1.5pt">
                <v:textbox inset="14.4pt,7.2pt,14.4pt,7.2pt">
                  <w:txbxContent>
                    <w:p w14:paraId="2F27E539" w14:textId="518B1FFC" w:rsidR="005D0544" w:rsidRPr="00615BC5" w:rsidRDefault="005D0544">
                      <w:pPr>
                        <w:rPr>
                          <w:sz w:val="20"/>
                          <w:szCs w:val="20"/>
                        </w:rPr>
                      </w:pPr>
                      <w:r w:rsidRPr="00615BC5">
                        <w:rPr>
                          <w:sz w:val="20"/>
                          <w:szCs w:val="20"/>
                        </w:rPr>
                        <w:t>According to Waite et al (2021, p. 208) “A learning need usually exists where there is a gap between what someone wants, needs or is required to do”.</w:t>
                      </w:r>
                    </w:p>
                    <w:p w14:paraId="289196AC" w14:textId="759F496F" w:rsidR="005D0544" w:rsidRDefault="005D0544">
                      <w:pPr>
                        <w:pStyle w:val="NoSpacing"/>
                        <w:pBdr>
                          <w:top w:val="dotted" w:sz="4" w:space="6" w:color="FFFFFF" w:themeColor="background1"/>
                        </w:pBdr>
                        <w:ind w:left="360"/>
                        <w:rPr>
                          <w:color w:val="FFFFFF" w:themeColor="background1"/>
                          <w:sz w:val="18"/>
                          <w:szCs w:val="18"/>
                        </w:rPr>
                      </w:pPr>
                    </w:p>
                  </w:txbxContent>
                </v:textbox>
                <w10:wrap type="square" anchorx="margin" anchory="margin"/>
              </v:shape>
            </w:pict>
          </mc:Fallback>
        </mc:AlternateContent>
      </w:r>
      <w:r w:rsidR="004959B9" w:rsidRPr="007770EB">
        <w:rPr>
          <w:sz w:val="20"/>
          <w:szCs w:val="20"/>
        </w:rPr>
        <w:t>Companies who invest in these L&amp;D strategies know that it is more profitable to invest in the skill-building of their current employees than it is to search for new talent (Factorial HR, 2022).</w:t>
      </w:r>
      <w:r w:rsidR="005D0544" w:rsidRPr="007770EB">
        <w:rPr>
          <w:sz w:val="20"/>
          <w:szCs w:val="20"/>
        </w:rPr>
        <w:t xml:space="preserve"> </w:t>
      </w:r>
    </w:p>
    <w:p w14:paraId="3450CBA7" w14:textId="5D63F8CE" w:rsidR="004959B9" w:rsidRPr="00C94CA7" w:rsidRDefault="00797C7D" w:rsidP="004959B9">
      <w:pPr>
        <w:rPr>
          <w:sz w:val="20"/>
          <w:szCs w:val="20"/>
        </w:rPr>
      </w:pPr>
      <w:r w:rsidRPr="00C94CA7">
        <w:rPr>
          <w:b/>
          <w:bCs/>
          <w:sz w:val="20"/>
          <w:szCs w:val="20"/>
        </w:rPr>
        <w:t>B</w:t>
      </w:r>
      <w:r w:rsidR="00A34635" w:rsidRPr="00C94CA7">
        <w:rPr>
          <w:b/>
          <w:bCs/>
          <w:sz w:val="20"/>
          <w:szCs w:val="20"/>
        </w:rPr>
        <w:t>enefits of Learning and Development</w:t>
      </w:r>
      <w:r w:rsidR="00C66642" w:rsidRPr="00C94CA7">
        <w:rPr>
          <w:b/>
          <w:bCs/>
          <w:sz w:val="20"/>
          <w:szCs w:val="20"/>
        </w:rPr>
        <w:t xml:space="preserve">… </w:t>
      </w:r>
      <w:r w:rsidR="00EA133A" w:rsidRPr="00C94CA7">
        <w:rPr>
          <w:b/>
          <w:bCs/>
          <w:sz w:val="20"/>
          <w:szCs w:val="20"/>
        </w:rPr>
        <w:t xml:space="preserve"> </w:t>
      </w:r>
    </w:p>
    <w:p w14:paraId="3E91306F" w14:textId="5F4CD82B" w:rsidR="00A34635" w:rsidRPr="007770EB" w:rsidRDefault="00615BC5" w:rsidP="00056B51">
      <w:pPr>
        <w:pStyle w:val="ListParagraph"/>
        <w:numPr>
          <w:ilvl w:val="0"/>
          <w:numId w:val="11"/>
        </w:numPr>
        <w:rPr>
          <w:sz w:val="20"/>
          <w:szCs w:val="20"/>
        </w:rPr>
      </w:pPr>
      <w:r w:rsidRPr="00C94CA7">
        <w:rPr>
          <w:noProof/>
          <w:sz w:val="20"/>
          <w:szCs w:val="20"/>
        </w:rPr>
        <w:drawing>
          <wp:anchor distT="0" distB="0" distL="114300" distR="114300" simplePos="0" relativeHeight="251658240" behindDoc="0" locked="0" layoutInCell="1" allowOverlap="1" wp14:anchorId="19DD5183" wp14:editId="33AD7709">
            <wp:simplePos x="0" y="0"/>
            <wp:positionH relativeFrom="column">
              <wp:posOffset>3829050</wp:posOffset>
            </wp:positionH>
            <wp:positionV relativeFrom="page">
              <wp:posOffset>5139690</wp:posOffset>
            </wp:positionV>
            <wp:extent cx="756000" cy="756000"/>
            <wp:effectExtent l="0" t="0" r="0" b="0"/>
            <wp:wrapSquare wrapText="bothSides"/>
            <wp:docPr id="4" name="Graphic 4" descr="Business Growth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usiness Growth outline"/>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756000" cy="756000"/>
                    </a:xfrm>
                    <a:prstGeom prst="rect">
                      <a:avLst/>
                    </a:prstGeom>
                  </pic:spPr>
                </pic:pic>
              </a:graphicData>
            </a:graphic>
            <wp14:sizeRelH relativeFrom="margin">
              <wp14:pctWidth>0</wp14:pctWidth>
            </wp14:sizeRelH>
            <wp14:sizeRelV relativeFrom="margin">
              <wp14:pctHeight>0</wp14:pctHeight>
            </wp14:sizeRelV>
          </wp:anchor>
        </w:drawing>
      </w:r>
      <w:r w:rsidR="00A34635" w:rsidRPr="007770EB">
        <w:rPr>
          <w:sz w:val="20"/>
          <w:szCs w:val="20"/>
        </w:rPr>
        <w:t>Attracting and retaining talent (Waite et al, 2021, p. 208)</w:t>
      </w:r>
      <w:r w:rsidR="0033703D" w:rsidRPr="007770EB">
        <w:rPr>
          <w:sz w:val="20"/>
          <w:szCs w:val="20"/>
        </w:rPr>
        <w:t xml:space="preserve"> </w:t>
      </w:r>
    </w:p>
    <w:p w14:paraId="62FBDDB3" w14:textId="34E83212" w:rsidR="00A34635" w:rsidRPr="007770EB" w:rsidRDefault="00A34635" w:rsidP="00056B51">
      <w:pPr>
        <w:pStyle w:val="ListParagraph"/>
        <w:numPr>
          <w:ilvl w:val="0"/>
          <w:numId w:val="11"/>
        </w:numPr>
        <w:rPr>
          <w:sz w:val="20"/>
          <w:szCs w:val="20"/>
        </w:rPr>
      </w:pPr>
      <w:r w:rsidRPr="007770EB">
        <w:rPr>
          <w:sz w:val="20"/>
          <w:szCs w:val="20"/>
        </w:rPr>
        <w:t>Identifying skill gaps within workforce</w:t>
      </w:r>
      <w:r w:rsidR="00056B51" w:rsidRPr="007770EB">
        <w:rPr>
          <w:sz w:val="20"/>
          <w:szCs w:val="20"/>
        </w:rPr>
        <w:t xml:space="preserve">                                                            </w:t>
      </w:r>
    </w:p>
    <w:p w14:paraId="737511E3" w14:textId="5FAE1B67" w:rsidR="00A34635" w:rsidRPr="007770EB" w:rsidRDefault="00A34635" w:rsidP="00056B51">
      <w:pPr>
        <w:pStyle w:val="ListParagraph"/>
        <w:numPr>
          <w:ilvl w:val="0"/>
          <w:numId w:val="11"/>
        </w:numPr>
        <w:rPr>
          <w:sz w:val="20"/>
          <w:szCs w:val="20"/>
        </w:rPr>
      </w:pPr>
      <w:r w:rsidRPr="007770EB">
        <w:rPr>
          <w:sz w:val="20"/>
          <w:szCs w:val="20"/>
        </w:rPr>
        <w:t>Professional Growth for employees</w:t>
      </w:r>
      <w:r w:rsidR="00C66642" w:rsidRPr="007770EB">
        <w:rPr>
          <w:sz w:val="20"/>
          <w:szCs w:val="20"/>
        </w:rPr>
        <w:t xml:space="preserve">                                                                                       </w:t>
      </w:r>
      <w:r w:rsidR="0010494A" w:rsidRPr="007770EB">
        <w:rPr>
          <w:sz w:val="20"/>
          <w:szCs w:val="20"/>
        </w:rPr>
        <w:t xml:space="preserve">                                          </w:t>
      </w:r>
    </w:p>
    <w:p w14:paraId="5D5C0051" w14:textId="157E71AD" w:rsidR="00A34635" w:rsidRPr="007770EB" w:rsidRDefault="00A34635" w:rsidP="00056B51">
      <w:pPr>
        <w:pStyle w:val="ListParagraph"/>
        <w:numPr>
          <w:ilvl w:val="0"/>
          <w:numId w:val="11"/>
        </w:numPr>
        <w:rPr>
          <w:sz w:val="20"/>
          <w:szCs w:val="20"/>
        </w:rPr>
      </w:pPr>
      <w:r w:rsidRPr="007770EB">
        <w:rPr>
          <w:sz w:val="20"/>
          <w:szCs w:val="20"/>
        </w:rPr>
        <w:t xml:space="preserve">Boost employee engagement and satisfaction (Factorial HR, 2022) </w:t>
      </w:r>
      <w:r w:rsidR="0010494A" w:rsidRPr="007770EB">
        <w:rPr>
          <w:sz w:val="20"/>
          <w:szCs w:val="20"/>
        </w:rPr>
        <w:t xml:space="preserve">   </w:t>
      </w:r>
    </w:p>
    <w:p w14:paraId="110AB981" w14:textId="6773C11F" w:rsidR="00434BA2" w:rsidRPr="00933DEB" w:rsidRDefault="00434BA2" w:rsidP="00434BA2">
      <w:pPr>
        <w:rPr>
          <w:sz w:val="20"/>
          <w:szCs w:val="20"/>
        </w:rPr>
      </w:pPr>
      <w:r w:rsidRPr="00862282">
        <w:rPr>
          <w:b/>
          <w:bCs/>
          <w:sz w:val="20"/>
          <w:szCs w:val="20"/>
        </w:rPr>
        <w:t>Understanding differing learning needs</w:t>
      </w:r>
      <w:r w:rsidR="005D0881">
        <w:rPr>
          <w:b/>
          <w:bCs/>
          <w:sz w:val="20"/>
          <w:szCs w:val="20"/>
        </w:rPr>
        <w:t xml:space="preserve"> (AC 6.2)</w:t>
      </w:r>
      <w:r w:rsidR="00864447">
        <w:rPr>
          <w:b/>
          <w:bCs/>
        </w:rPr>
        <w:t xml:space="preserve"> -</w:t>
      </w:r>
      <w:r w:rsidR="00862282">
        <w:rPr>
          <w:b/>
          <w:bCs/>
        </w:rPr>
        <w:t xml:space="preserve"> </w:t>
      </w:r>
      <w:r w:rsidRPr="00933DEB">
        <w:rPr>
          <w:sz w:val="20"/>
          <w:szCs w:val="20"/>
        </w:rPr>
        <w:t xml:space="preserve">Learning needs can be seen as the elements people require in their learning materials </w:t>
      </w:r>
      <w:r w:rsidR="002A0047" w:rsidRPr="00933DEB">
        <w:rPr>
          <w:sz w:val="20"/>
          <w:szCs w:val="20"/>
        </w:rPr>
        <w:t>to</w:t>
      </w:r>
      <w:r w:rsidRPr="00933DEB">
        <w:rPr>
          <w:sz w:val="20"/>
          <w:szCs w:val="20"/>
        </w:rPr>
        <w:t xml:space="preserve"> learn well from them (</w:t>
      </w:r>
      <w:proofErr w:type="spellStart"/>
      <w:r w:rsidRPr="00933DEB">
        <w:rPr>
          <w:sz w:val="20"/>
          <w:szCs w:val="20"/>
        </w:rPr>
        <w:t>Malec</w:t>
      </w:r>
      <w:proofErr w:type="spellEnd"/>
      <w:r w:rsidRPr="00933DEB">
        <w:rPr>
          <w:sz w:val="20"/>
          <w:szCs w:val="20"/>
        </w:rPr>
        <w:t>, 2022), these elements encompass both the learning material provided and the way in which the learning is delivered (</w:t>
      </w:r>
      <w:proofErr w:type="spellStart"/>
      <w:r w:rsidRPr="00933DEB">
        <w:rPr>
          <w:sz w:val="20"/>
          <w:szCs w:val="20"/>
        </w:rPr>
        <w:t>Malec</w:t>
      </w:r>
      <w:proofErr w:type="spellEnd"/>
      <w:r w:rsidRPr="00933DEB">
        <w:rPr>
          <w:sz w:val="20"/>
          <w:szCs w:val="20"/>
        </w:rPr>
        <w:t xml:space="preserve">, 2022).  </w:t>
      </w:r>
    </w:p>
    <w:p w14:paraId="7FA2EA10" w14:textId="1942E119" w:rsidR="00434BA2" w:rsidRDefault="00434BA2" w:rsidP="00434BA2">
      <w:proofErr w:type="spellStart"/>
      <w:r w:rsidRPr="00933DEB">
        <w:rPr>
          <w:sz w:val="20"/>
          <w:szCs w:val="20"/>
        </w:rPr>
        <w:t>Malec</w:t>
      </w:r>
      <w:proofErr w:type="spellEnd"/>
      <w:r w:rsidRPr="00933DEB">
        <w:rPr>
          <w:sz w:val="20"/>
          <w:szCs w:val="20"/>
        </w:rPr>
        <w:t xml:space="preserve"> (2022) goes on to say, that to choose the best learning resources for individuals, you must be aware of their learning requirements. You can support learning that is accessible, </w:t>
      </w:r>
      <w:r w:rsidR="002A0047" w:rsidRPr="00933DEB">
        <w:rPr>
          <w:sz w:val="20"/>
          <w:szCs w:val="20"/>
        </w:rPr>
        <w:t>engag</w:t>
      </w:r>
      <w:r w:rsidR="002A0047" w:rsidRPr="002C1C32">
        <w:rPr>
          <w:sz w:val="20"/>
          <w:szCs w:val="20"/>
        </w:rPr>
        <w:t>ing</w:t>
      </w:r>
      <w:r w:rsidRPr="00933DEB">
        <w:rPr>
          <w:sz w:val="20"/>
          <w:szCs w:val="20"/>
        </w:rPr>
        <w:t xml:space="preserve"> and memorable by selecting the appropriate learning resources to suit individual learning needs</w:t>
      </w:r>
      <w:r w:rsidR="007F4A54">
        <w:t>.</w:t>
      </w:r>
    </w:p>
    <w:p w14:paraId="3EBEB488" w14:textId="583EE592" w:rsidR="00E56891" w:rsidRDefault="00FA3AC8" w:rsidP="00434BA2">
      <w:pPr>
        <w:rPr>
          <w:sz w:val="20"/>
          <w:szCs w:val="20"/>
        </w:rPr>
      </w:pPr>
      <w:r w:rsidRPr="00862282">
        <w:rPr>
          <w:b/>
          <w:bCs/>
          <w:sz w:val="20"/>
          <w:szCs w:val="20"/>
        </w:rPr>
        <w:t>How do learning needs arise?</w:t>
      </w:r>
      <w:r w:rsidR="005D0881">
        <w:rPr>
          <w:b/>
          <w:bCs/>
          <w:sz w:val="20"/>
          <w:szCs w:val="20"/>
        </w:rPr>
        <w:t xml:space="preserve"> (AC 6.2)</w:t>
      </w:r>
      <w:r w:rsidRPr="00FA3AC8">
        <w:rPr>
          <w:b/>
          <w:bCs/>
        </w:rPr>
        <w:t xml:space="preserve"> </w:t>
      </w:r>
      <w:r w:rsidR="00E56891" w:rsidRPr="00933DEB">
        <w:rPr>
          <w:sz w:val="20"/>
          <w:szCs w:val="20"/>
        </w:rPr>
        <w:t>Learning needs not only arise from analysis of performance, but also through change. No matter where we work, we are always responding to the ever-changing demands of the world (Waite et al, 2021, P.210). Whether this is to upgrade technology to be competitive or a change in policy/process, staff will always need to be up</w:t>
      </w:r>
      <w:r w:rsidR="0AF1FFDA" w:rsidRPr="27836313">
        <w:rPr>
          <w:sz w:val="20"/>
          <w:szCs w:val="20"/>
        </w:rPr>
        <w:t>-</w:t>
      </w:r>
      <w:r w:rsidR="00E56891" w:rsidRPr="00933DEB">
        <w:rPr>
          <w:sz w:val="20"/>
          <w:szCs w:val="20"/>
        </w:rPr>
        <w:t>skilled to effectively comply (Waite et al, 2021, P.211).</w:t>
      </w:r>
    </w:p>
    <w:p w14:paraId="308D4B1F" w14:textId="3962858B" w:rsidR="0052177A" w:rsidRPr="0052177A" w:rsidRDefault="0052177A" w:rsidP="0052177A">
      <w:pPr>
        <w:rPr>
          <w:sz w:val="20"/>
          <w:szCs w:val="20"/>
        </w:rPr>
      </w:pPr>
      <w:r w:rsidRPr="0052177A">
        <w:rPr>
          <w:b/>
          <w:bCs/>
          <w:sz w:val="20"/>
          <w:szCs w:val="20"/>
        </w:rPr>
        <w:t xml:space="preserve">Factors to consider when deciding on approach </w:t>
      </w:r>
      <w:r w:rsidR="005D0881">
        <w:rPr>
          <w:b/>
          <w:bCs/>
          <w:sz w:val="20"/>
          <w:szCs w:val="20"/>
        </w:rPr>
        <w:t>(AC 6.3)</w:t>
      </w:r>
      <w:r w:rsidR="00E23AA0">
        <w:rPr>
          <w:b/>
          <w:bCs/>
          <w:sz w:val="20"/>
          <w:szCs w:val="20"/>
        </w:rPr>
        <w:t xml:space="preserve"> </w:t>
      </w:r>
      <w:r w:rsidRPr="0052177A">
        <w:rPr>
          <w:sz w:val="20"/>
          <w:szCs w:val="20"/>
        </w:rPr>
        <w:t xml:space="preserve">Hayden (2021) states making decisions about the best learning approaches is dependent on having a thorough knowledge of your organization's employees' capabilities and its learning culture (Hayden, 2021). Before deciding on a learning approach, it is </w:t>
      </w:r>
      <w:r w:rsidRPr="0052177A">
        <w:rPr>
          <w:sz w:val="20"/>
          <w:szCs w:val="20"/>
        </w:rPr>
        <w:t>important to ensure everyone involved in the learning process clearly understands the aim of the training to minimise the risk of misunderstanding, wasted money and resources (Waite et al, 2021, p. 212).</w:t>
      </w:r>
    </w:p>
    <w:p w14:paraId="5D6DDFF3" w14:textId="18096902" w:rsidR="0052177A" w:rsidRPr="003B0D8E" w:rsidRDefault="0052177A" w:rsidP="0052177A">
      <w:pPr>
        <w:rPr>
          <w:b/>
          <w:bCs/>
          <w:sz w:val="20"/>
          <w:szCs w:val="20"/>
        </w:rPr>
      </w:pPr>
      <w:r w:rsidRPr="003B0D8E">
        <w:rPr>
          <w:b/>
          <w:bCs/>
          <w:sz w:val="20"/>
          <w:szCs w:val="20"/>
        </w:rPr>
        <w:t>Methods of learning</w:t>
      </w:r>
      <w:r w:rsidR="005D0881">
        <w:rPr>
          <w:b/>
          <w:bCs/>
          <w:sz w:val="20"/>
          <w:szCs w:val="20"/>
        </w:rPr>
        <w:t xml:space="preserve"> (AC 6.3)</w:t>
      </w:r>
      <w:r w:rsidRPr="003B0D8E">
        <w:rPr>
          <w:b/>
          <w:bCs/>
          <w:sz w:val="20"/>
          <w:szCs w:val="20"/>
        </w:rPr>
        <w:t xml:space="preserve">  </w:t>
      </w:r>
    </w:p>
    <w:p w14:paraId="29E9EE0D" w14:textId="3254D2E5" w:rsidR="0052177A" w:rsidRPr="0052177A" w:rsidRDefault="00AF460F" w:rsidP="0052177A">
      <w:pPr>
        <w:rPr>
          <w:sz w:val="20"/>
          <w:szCs w:val="20"/>
        </w:rPr>
      </w:pPr>
      <w:r w:rsidRPr="00324CF7">
        <w:rPr>
          <w:noProof/>
          <w:sz w:val="20"/>
          <w:szCs w:val="20"/>
        </w:rPr>
        <mc:AlternateContent>
          <mc:Choice Requires="wps">
            <w:drawing>
              <wp:anchor distT="91440" distB="91440" distL="137160" distR="137160" simplePos="0" relativeHeight="251658243" behindDoc="0" locked="0" layoutInCell="0" allowOverlap="1" wp14:anchorId="523D57C2" wp14:editId="41565E77">
                <wp:simplePos x="0" y="0"/>
                <wp:positionH relativeFrom="margin">
                  <wp:posOffset>3371850</wp:posOffset>
                </wp:positionH>
                <wp:positionV relativeFrom="margin">
                  <wp:posOffset>7880350</wp:posOffset>
                </wp:positionV>
                <wp:extent cx="1878330" cy="9333230"/>
                <wp:effectExtent l="6350" t="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flipH="1">
                          <a:off x="0" y="0"/>
                          <a:ext cx="1878330" cy="9333230"/>
                        </a:xfrm>
                        <a:prstGeom prst="roundRect">
                          <a:avLst>
                            <a:gd name="adj" fmla="val 13032"/>
                          </a:avLst>
                        </a:prstGeom>
                        <a:solidFill>
                          <a:schemeClr val="accent1"/>
                        </a:solidFill>
                      </wps:spPr>
                      <wps:txbx>
                        <w:txbxContent>
                          <w:p w14:paraId="70059FDD" w14:textId="77777777" w:rsidR="00324CF7" w:rsidRPr="005129DC" w:rsidRDefault="00324CF7" w:rsidP="00324CF7">
                            <w:pPr>
                              <w:jc w:val="center"/>
                              <w:rPr>
                                <w:rFonts w:asciiTheme="majorHAnsi" w:eastAsiaTheme="majorEastAsia" w:hAnsiTheme="majorHAnsi" w:cstheme="majorBidi"/>
                                <w:color w:val="FFFFFF" w:themeColor="background1"/>
                              </w:rPr>
                            </w:pPr>
                            <w:proofErr w:type="spellStart"/>
                            <w:r w:rsidRPr="00C000FB">
                              <w:rPr>
                                <w:rFonts w:asciiTheme="majorHAnsi" w:eastAsiaTheme="majorEastAsia" w:hAnsiTheme="majorHAnsi" w:cstheme="majorBidi"/>
                                <w:b/>
                                <w:bCs/>
                                <w:color w:val="FFFFFF" w:themeColor="background1"/>
                              </w:rPr>
                              <w:t>Self Concept</w:t>
                            </w:r>
                            <w:proofErr w:type="spellEnd"/>
                            <w:r w:rsidRPr="005129DC">
                              <w:rPr>
                                <w:rFonts w:asciiTheme="majorHAnsi" w:eastAsiaTheme="majorEastAsia" w:hAnsiTheme="majorHAnsi" w:cstheme="majorBidi"/>
                                <w:color w:val="FFFFFF" w:themeColor="background1"/>
                              </w:rPr>
                              <w:t xml:space="preserve"> - ·Adults are self-directing and able to decide for themselves how to learn.</w:t>
                            </w:r>
                          </w:p>
                          <w:p w14:paraId="22D2D02E"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Willingness to Learn</w:t>
                            </w:r>
                            <w:r w:rsidRPr="005129DC">
                              <w:rPr>
                                <w:rFonts w:asciiTheme="majorHAnsi" w:eastAsiaTheme="majorEastAsia" w:hAnsiTheme="majorHAnsi" w:cstheme="majorBidi"/>
                                <w:color w:val="FFFFFF" w:themeColor="background1"/>
                              </w:rPr>
                              <w:t xml:space="preserve"> - As mature learners assume different roles, their drive to learn starts to focus on the skills needed for these roles.</w:t>
                            </w:r>
                          </w:p>
                          <w:p w14:paraId="0C8947F6"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Motivation to learn</w:t>
                            </w:r>
                            <w:r w:rsidRPr="005129DC">
                              <w:rPr>
                                <w:rFonts w:asciiTheme="majorHAnsi" w:eastAsiaTheme="majorEastAsia" w:hAnsiTheme="majorHAnsi" w:cstheme="majorBidi"/>
                                <w:color w:val="FFFFFF" w:themeColor="background1"/>
                              </w:rPr>
                              <w:t xml:space="preserve"> - Adult learners may be more driven to pursue education by intrinsic motivation than by extrinsic factors due to their desire for professional development and career progression. (Waite et al, 2021, p. 222)</w:t>
                            </w:r>
                          </w:p>
                          <w:p w14:paraId="099A5447"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Adult Learner Experience</w:t>
                            </w:r>
                            <w:r w:rsidRPr="005129DC">
                              <w:rPr>
                                <w:rFonts w:asciiTheme="majorHAnsi" w:eastAsiaTheme="majorEastAsia" w:hAnsiTheme="majorHAnsi" w:cstheme="majorBidi"/>
                                <w:color w:val="FFFFFF" w:themeColor="background1"/>
                              </w:rPr>
                              <w:t xml:space="preserve"> - Adults have a variety of prior experiences that serve as a foundation for and influence new learning.</w:t>
                            </w:r>
                          </w:p>
                          <w:p w14:paraId="6D03C053" w14:textId="009FEC35"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Orientation of Learning</w:t>
                            </w:r>
                            <w:r w:rsidRPr="005129DC">
                              <w:rPr>
                                <w:rFonts w:asciiTheme="majorHAnsi" w:eastAsiaTheme="majorEastAsia" w:hAnsiTheme="majorHAnsi" w:cstheme="majorBidi"/>
                                <w:color w:val="FFFFFF" w:themeColor="background1"/>
                              </w:rPr>
                              <w:t xml:space="preserve">  - ·Adults are particularly interested in learning that will aid in performance or problem-solving.</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oundrect w14:anchorId="523D57C2" id="AutoShape 2" o:spid="_x0000_s1027" style="position:absolute;margin-left:265.5pt;margin-top:620.5pt;width:147.9pt;height:734.9pt;rotation:-90;flip:x;z-index:251658243;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" o:allowincell="f" fillcolor="#92278f [3204]" stroked="f">
                <v:textbox>
                  <w:txbxContent>
                    <w:p w14:paraId="70059FDD" w14:textId="77777777" w:rsidR="00324CF7" w:rsidRPr="005129DC" w:rsidRDefault="00324CF7" w:rsidP="00324CF7">
                      <w:pPr>
                        <w:jc w:val="center"/>
                        <w:rPr>
                          <w:rFonts w:asciiTheme="majorHAnsi" w:eastAsiaTheme="majorEastAsia" w:hAnsiTheme="majorHAnsi" w:cstheme="majorBidi"/>
                          <w:color w:val="FFFFFF" w:themeColor="background1"/>
                        </w:rPr>
                      </w:pPr>
                      <w:proofErr w:type="spellStart"/>
                      <w:r w:rsidRPr="00C000FB">
                        <w:rPr>
                          <w:rFonts w:asciiTheme="majorHAnsi" w:eastAsiaTheme="majorEastAsia" w:hAnsiTheme="majorHAnsi" w:cstheme="majorBidi"/>
                          <w:b/>
                          <w:bCs/>
                          <w:color w:val="FFFFFF" w:themeColor="background1"/>
                        </w:rPr>
                        <w:t>Self Concept</w:t>
                      </w:r>
                      <w:proofErr w:type="spellEnd"/>
                      <w:r w:rsidRPr="005129DC">
                        <w:rPr>
                          <w:rFonts w:asciiTheme="majorHAnsi" w:eastAsiaTheme="majorEastAsia" w:hAnsiTheme="majorHAnsi" w:cstheme="majorBidi"/>
                          <w:color w:val="FFFFFF" w:themeColor="background1"/>
                        </w:rPr>
                        <w:t xml:space="preserve"> - ·Adults are self-directing and able to decide for themselves how to learn.</w:t>
                      </w:r>
                    </w:p>
                    <w:p w14:paraId="22D2D02E"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Willingness to Learn</w:t>
                      </w:r>
                      <w:r w:rsidRPr="005129DC">
                        <w:rPr>
                          <w:rFonts w:asciiTheme="majorHAnsi" w:eastAsiaTheme="majorEastAsia" w:hAnsiTheme="majorHAnsi" w:cstheme="majorBidi"/>
                          <w:color w:val="FFFFFF" w:themeColor="background1"/>
                        </w:rPr>
                        <w:t xml:space="preserve"> - As mature learners assume different roles, their drive to learn starts to focus on the skills needed for these roles.</w:t>
                      </w:r>
                    </w:p>
                    <w:p w14:paraId="0C8947F6"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Motivation to learn</w:t>
                      </w:r>
                      <w:r w:rsidRPr="005129DC">
                        <w:rPr>
                          <w:rFonts w:asciiTheme="majorHAnsi" w:eastAsiaTheme="majorEastAsia" w:hAnsiTheme="majorHAnsi" w:cstheme="majorBidi"/>
                          <w:color w:val="FFFFFF" w:themeColor="background1"/>
                        </w:rPr>
                        <w:t xml:space="preserve"> - Adult learners may be more driven to pursue education by intrinsic motivation than by extrinsic factors due to their desire for professional development and career progression. (Waite et al, 2021, p. 222)</w:t>
                      </w:r>
                    </w:p>
                    <w:p w14:paraId="099A5447" w14:textId="77777777"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Adult Learner Experience</w:t>
                      </w:r>
                      <w:r w:rsidRPr="005129DC">
                        <w:rPr>
                          <w:rFonts w:asciiTheme="majorHAnsi" w:eastAsiaTheme="majorEastAsia" w:hAnsiTheme="majorHAnsi" w:cstheme="majorBidi"/>
                          <w:color w:val="FFFFFF" w:themeColor="background1"/>
                        </w:rPr>
                        <w:t xml:space="preserve"> - Adults have a variety of prior experiences that serve as a foundation for and influence new learning.</w:t>
                      </w:r>
                    </w:p>
                    <w:p w14:paraId="6D03C053" w14:textId="009FEC35" w:rsidR="00324CF7" w:rsidRPr="005129DC" w:rsidRDefault="00324CF7" w:rsidP="00324CF7">
                      <w:pPr>
                        <w:jc w:val="center"/>
                        <w:rPr>
                          <w:rFonts w:asciiTheme="majorHAnsi" w:eastAsiaTheme="majorEastAsia" w:hAnsiTheme="majorHAnsi" w:cstheme="majorBidi"/>
                          <w:color w:val="FFFFFF" w:themeColor="background1"/>
                        </w:rPr>
                      </w:pPr>
                      <w:r w:rsidRPr="00C000FB">
                        <w:rPr>
                          <w:rFonts w:asciiTheme="majorHAnsi" w:eastAsiaTheme="majorEastAsia" w:hAnsiTheme="majorHAnsi" w:cstheme="majorBidi"/>
                          <w:b/>
                          <w:bCs/>
                          <w:color w:val="FFFFFF" w:themeColor="background1"/>
                        </w:rPr>
                        <w:t>Orientation of Learning</w:t>
                      </w:r>
                      <w:r w:rsidRPr="005129DC">
                        <w:rPr>
                          <w:rFonts w:asciiTheme="majorHAnsi" w:eastAsiaTheme="majorEastAsia" w:hAnsiTheme="majorHAnsi" w:cstheme="majorBidi"/>
                          <w:color w:val="FFFFFF" w:themeColor="background1"/>
                        </w:rPr>
                        <w:t xml:space="preserve">  - ·Adults are particularly interested in learning that will aid in performance or problem-solving.</w:t>
                      </w:r>
                    </w:p>
                  </w:txbxContent>
                </v:textbox>
                <w10:wrap type="square" anchorx="margin" anchory="margin"/>
              </v:roundrect>
            </w:pict>
          </mc:Fallback>
        </mc:AlternateContent>
      </w:r>
      <w:r w:rsidR="0052177A" w:rsidRPr="0052177A">
        <w:rPr>
          <w:sz w:val="20"/>
          <w:szCs w:val="20"/>
        </w:rPr>
        <w:t>Employee learning and development has various methods, from traditional classroom-style training classes or online learning and individualised educational plans created to fully utilise each person's skills (</w:t>
      </w:r>
      <w:proofErr w:type="spellStart"/>
      <w:r w:rsidR="0052177A" w:rsidRPr="0052177A">
        <w:rPr>
          <w:sz w:val="20"/>
          <w:szCs w:val="20"/>
        </w:rPr>
        <w:t>Valamis</w:t>
      </w:r>
      <w:proofErr w:type="spellEnd"/>
      <w:r w:rsidR="0052177A" w:rsidRPr="0052177A">
        <w:rPr>
          <w:sz w:val="20"/>
          <w:szCs w:val="20"/>
        </w:rPr>
        <w:t xml:space="preserve">, 2022).  </w:t>
      </w:r>
    </w:p>
    <w:p w14:paraId="4C6F568F" w14:textId="7549B84B" w:rsidR="0052177A" w:rsidRPr="0052177A" w:rsidRDefault="0052177A" w:rsidP="0052177A">
      <w:pPr>
        <w:rPr>
          <w:sz w:val="20"/>
          <w:szCs w:val="20"/>
        </w:rPr>
      </w:pPr>
      <w:r w:rsidRPr="0052177A">
        <w:rPr>
          <w:sz w:val="20"/>
          <w:szCs w:val="20"/>
        </w:rPr>
        <w:t xml:space="preserve">When launching new L&amp;D programmes, there is a host of delivery techniques to pick from, a few of these include - </w:t>
      </w:r>
    </w:p>
    <w:p w14:paraId="6EE8D2D8" w14:textId="0B621494" w:rsidR="0052177A" w:rsidRPr="003F4C8E" w:rsidRDefault="0052177A" w:rsidP="003F4C8E">
      <w:pPr>
        <w:pStyle w:val="ListParagraph"/>
        <w:numPr>
          <w:ilvl w:val="0"/>
          <w:numId w:val="25"/>
        </w:numPr>
        <w:rPr>
          <w:sz w:val="20"/>
          <w:szCs w:val="20"/>
        </w:rPr>
      </w:pPr>
      <w:r w:rsidRPr="003F4C8E">
        <w:rPr>
          <w:b/>
          <w:bCs/>
          <w:sz w:val="20"/>
          <w:szCs w:val="20"/>
        </w:rPr>
        <w:t>Facilitation</w:t>
      </w:r>
      <w:r w:rsidRPr="003F4C8E">
        <w:rPr>
          <w:sz w:val="20"/>
          <w:szCs w:val="20"/>
        </w:rPr>
        <w:t xml:space="preserve"> - In facilitation, the participants are the focus, a facilitator assists learners in resolving a problem or reaching a decision without directly participating (HR Bartender, 2016). A group may think more strategically, clearly, and effectively by coming up with their own answers by giving them the guidance and tools they need to conclude (</w:t>
      </w:r>
      <w:proofErr w:type="spellStart"/>
      <w:r w:rsidRPr="003F4C8E">
        <w:rPr>
          <w:sz w:val="20"/>
          <w:szCs w:val="20"/>
        </w:rPr>
        <w:t>Ciborowski</w:t>
      </w:r>
      <w:proofErr w:type="spellEnd"/>
      <w:r w:rsidRPr="003F4C8E">
        <w:rPr>
          <w:sz w:val="20"/>
          <w:szCs w:val="20"/>
        </w:rPr>
        <w:t xml:space="preserve">, 2021). </w:t>
      </w:r>
    </w:p>
    <w:p w14:paraId="58CF09DF" w14:textId="3C1EFA3D" w:rsidR="0052177A" w:rsidRPr="003F4C8E" w:rsidRDefault="0052177A" w:rsidP="003F4C8E">
      <w:pPr>
        <w:pStyle w:val="ListParagraph"/>
        <w:numPr>
          <w:ilvl w:val="0"/>
          <w:numId w:val="25"/>
        </w:numPr>
        <w:rPr>
          <w:sz w:val="20"/>
          <w:szCs w:val="20"/>
        </w:rPr>
      </w:pPr>
      <w:r w:rsidRPr="003F4C8E">
        <w:rPr>
          <w:b/>
          <w:bCs/>
          <w:sz w:val="20"/>
          <w:szCs w:val="20"/>
        </w:rPr>
        <w:t xml:space="preserve">Coaching </w:t>
      </w:r>
      <w:r w:rsidRPr="003F4C8E">
        <w:rPr>
          <w:sz w:val="20"/>
          <w:szCs w:val="20"/>
        </w:rPr>
        <w:t xml:space="preserve">- coaching and mentoring are development approaches based on one-on-one sessions to improve a person's abilities, knowledge, or work performance (Hayden, 2021). </w:t>
      </w:r>
    </w:p>
    <w:p w14:paraId="18212784" w14:textId="62260735" w:rsidR="0052177A" w:rsidRDefault="0052177A" w:rsidP="003F4C8E">
      <w:pPr>
        <w:pStyle w:val="ListParagraph"/>
        <w:numPr>
          <w:ilvl w:val="0"/>
          <w:numId w:val="25"/>
        </w:numPr>
        <w:rPr>
          <w:sz w:val="20"/>
          <w:szCs w:val="20"/>
        </w:rPr>
      </w:pPr>
      <w:r w:rsidRPr="003F4C8E">
        <w:rPr>
          <w:b/>
          <w:bCs/>
          <w:sz w:val="20"/>
          <w:szCs w:val="20"/>
        </w:rPr>
        <w:t>Training</w:t>
      </w:r>
      <w:r w:rsidRPr="003F4C8E">
        <w:rPr>
          <w:sz w:val="20"/>
          <w:szCs w:val="20"/>
        </w:rPr>
        <w:t xml:space="preserve"> - On-the-job training typically involves learning through observation and/or assistance from someone who has more experience and knowledge in that area (Hayden, 2021).  It is usually content driven where learning content must be covered </w:t>
      </w:r>
      <w:r w:rsidR="00B70EB1" w:rsidRPr="003F4C8E">
        <w:rPr>
          <w:sz w:val="20"/>
          <w:szCs w:val="20"/>
        </w:rPr>
        <w:t>to</w:t>
      </w:r>
      <w:r w:rsidRPr="003F4C8E">
        <w:rPr>
          <w:sz w:val="20"/>
          <w:szCs w:val="20"/>
        </w:rPr>
        <w:t xml:space="preserve"> build the necessary knowledge and skills (Waite et al, 2021, p. 212), it often features a several learning methods such as presentation, discussions and demonstrations (Waite et al, 2021, p. 212).  </w:t>
      </w:r>
    </w:p>
    <w:p w14:paraId="7EAE9D7F" w14:textId="77777777" w:rsidR="00B952F2" w:rsidRDefault="00D049A2" w:rsidP="00D049A2">
      <w:pPr>
        <w:rPr>
          <w:sz w:val="20"/>
          <w:szCs w:val="20"/>
        </w:rPr>
      </w:pPr>
      <w:r>
        <w:rPr>
          <w:b/>
          <w:bCs/>
          <w:sz w:val="20"/>
          <w:szCs w:val="20"/>
        </w:rPr>
        <w:t xml:space="preserve"> </w:t>
      </w:r>
      <w:r w:rsidR="008C7324" w:rsidRPr="00D049A2">
        <w:rPr>
          <w:b/>
          <w:bCs/>
          <w:sz w:val="20"/>
          <w:szCs w:val="20"/>
        </w:rPr>
        <w:t xml:space="preserve">Benefits to using blended learning approaches </w:t>
      </w:r>
      <w:r>
        <w:rPr>
          <w:sz w:val="20"/>
          <w:szCs w:val="20"/>
        </w:rPr>
        <w:t xml:space="preserve"> </w:t>
      </w:r>
    </w:p>
    <w:p w14:paraId="03CD3A60" w14:textId="5C23DD85" w:rsidR="008C7324" w:rsidRPr="00D049A2" w:rsidRDefault="008C7324" w:rsidP="00D049A2">
      <w:pPr>
        <w:rPr>
          <w:sz w:val="20"/>
          <w:szCs w:val="20"/>
        </w:rPr>
      </w:pPr>
      <w:r w:rsidRPr="00D049A2">
        <w:rPr>
          <w:sz w:val="20"/>
          <w:szCs w:val="20"/>
        </w:rPr>
        <w:t xml:space="preserve">We are increasingly blending different approaches such as face-to-face or </w:t>
      </w:r>
      <w:r w:rsidR="00B952F2">
        <w:rPr>
          <w:sz w:val="20"/>
          <w:szCs w:val="20"/>
        </w:rPr>
        <w:t xml:space="preserve"> </w:t>
      </w:r>
      <w:r w:rsidRPr="00D049A2">
        <w:rPr>
          <w:sz w:val="20"/>
          <w:szCs w:val="20"/>
        </w:rPr>
        <w:t xml:space="preserve">class-based learning with online training to produce a more varied and impactful learning experience for everyone (Workforce, 2019). </w:t>
      </w:r>
      <w:r w:rsidR="000428CC">
        <w:rPr>
          <w:sz w:val="20"/>
          <w:szCs w:val="20"/>
        </w:rPr>
        <w:t>One of the benefits of u</w:t>
      </w:r>
      <w:r w:rsidR="00CD2A88" w:rsidRPr="00CD2A88">
        <w:rPr>
          <w:sz w:val="20"/>
          <w:szCs w:val="20"/>
        </w:rPr>
        <w:t>sing differing approaches is likely to be more stimulating and memorable for employees (Waite et al, 2021, p.218)</w:t>
      </w:r>
      <w:r w:rsidR="000428CC">
        <w:rPr>
          <w:sz w:val="20"/>
          <w:szCs w:val="20"/>
        </w:rPr>
        <w:t>.</w:t>
      </w:r>
    </w:p>
    <w:p w14:paraId="7FABD116" w14:textId="757B0361" w:rsidR="00394437" w:rsidRPr="007F4D98" w:rsidRDefault="00101B01" w:rsidP="00434BA2">
      <w:pPr>
        <w:rPr>
          <w:b/>
          <w:bCs/>
          <w:sz w:val="20"/>
          <w:szCs w:val="20"/>
        </w:rPr>
      </w:pPr>
      <w:r>
        <w:rPr>
          <w:b/>
          <w:bCs/>
          <w:sz w:val="20"/>
          <w:szCs w:val="20"/>
        </w:rPr>
        <w:t>Designing and Delivering Learning</w:t>
      </w:r>
      <w:r w:rsidR="00394437" w:rsidRPr="00152FCB">
        <w:rPr>
          <w:b/>
          <w:bCs/>
          <w:sz w:val="20"/>
          <w:szCs w:val="20"/>
        </w:rPr>
        <w:t xml:space="preserve"> (AC 6.4)</w:t>
      </w:r>
      <w:r w:rsidR="00706249">
        <w:rPr>
          <w:b/>
          <w:bCs/>
          <w:sz w:val="20"/>
          <w:szCs w:val="20"/>
        </w:rPr>
        <w:t xml:space="preserve"> </w:t>
      </w:r>
      <w:r w:rsidR="0023450E" w:rsidRPr="0071555E">
        <w:rPr>
          <w:sz w:val="20"/>
          <w:szCs w:val="20"/>
        </w:rPr>
        <w:t>According to Waite et al (2021, p.221) Before choosing a method for addressing learning needs, it's important to consider the individual and their requirements as an employee. This will engage the learn</w:t>
      </w:r>
      <w:r w:rsidR="00A52829">
        <w:rPr>
          <w:sz w:val="20"/>
          <w:szCs w:val="20"/>
        </w:rPr>
        <w:t>er</w:t>
      </w:r>
      <w:r w:rsidR="0023450E" w:rsidRPr="0071555E">
        <w:rPr>
          <w:sz w:val="20"/>
          <w:szCs w:val="20"/>
        </w:rPr>
        <w:t xml:space="preserve"> and make the learning more effective (Waite et al, 2021, p.221).</w:t>
      </w:r>
    </w:p>
    <w:p w14:paraId="663E96AB" w14:textId="219E0ABA" w:rsidR="002A11DF" w:rsidRDefault="0023450E" w:rsidP="00434BA2">
      <w:pPr>
        <w:rPr>
          <w:sz w:val="20"/>
          <w:szCs w:val="20"/>
        </w:rPr>
      </w:pPr>
      <w:r w:rsidRPr="00706249">
        <w:rPr>
          <w:b/>
          <w:bCs/>
          <w:sz w:val="20"/>
          <w:szCs w:val="20"/>
        </w:rPr>
        <w:t>Learning Theories</w:t>
      </w:r>
      <w:r w:rsidR="00A52829">
        <w:rPr>
          <w:b/>
          <w:bCs/>
          <w:sz w:val="20"/>
          <w:szCs w:val="20"/>
        </w:rPr>
        <w:t>.</w:t>
      </w:r>
      <w:r w:rsidR="00706249">
        <w:rPr>
          <w:b/>
          <w:bCs/>
          <w:sz w:val="20"/>
          <w:szCs w:val="20"/>
        </w:rPr>
        <w:t xml:space="preserve"> </w:t>
      </w:r>
      <w:r w:rsidRPr="0071555E">
        <w:rPr>
          <w:sz w:val="20"/>
          <w:szCs w:val="20"/>
        </w:rPr>
        <w:t>If we look at Malcolm Knowles (1968) learning theory, it gives us insight on how adults respond to learning and how we can help them engage fully in learning initiatives</w:t>
      </w:r>
      <w:r w:rsidR="007A1150">
        <w:rPr>
          <w:sz w:val="20"/>
          <w:szCs w:val="20"/>
        </w:rPr>
        <w:t xml:space="preserve"> </w:t>
      </w:r>
      <w:r w:rsidR="00EA7195">
        <w:rPr>
          <w:sz w:val="20"/>
          <w:szCs w:val="20"/>
        </w:rPr>
        <w:t>(W</w:t>
      </w:r>
      <w:r w:rsidRPr="0071555E">
        <w:rPr>
          <w:sz w:val="20"/>
          <w:szCs w:val="20"/>
        </w:rPr>
        <w:t xml:space="preserve">aite et al, 2021, p.221). </w:t>
      </w:r>
      <w:r w:rsidR="003B4B93" w:rsidRPr="003B4B93">
        <w:rPr>
          <w:sz w:val="20"/>
          <w:szCs w:val="20"/>
        </w:rPr>
        <w:t>Adult learning, commonly referred to as andragogy, is based five fundamental principles (</w:t>
      </w:r>
      <w:proofErr w:type="spellStart"/>
      <w:r w:rsidR="003B4B93" w:rsidRPr="003B4B93">
        <w:rPr>
          <w:sz w:val="20"/>
          <w:szCs w:val="20"/>
        </w:rPr>
        <w:t>Bouchrika</w:t>
      </w:r>
      <w:proofErr w:type="spellEnd"/>
      <w:r w:rsidR="003B4B93" w:rsidRPr="003B4B93">
        <w:rPr>
          <w:sz w:val="20"/>
          <w:szCs w:val="20"/>
        </w:rPr>
        <w:t xml:space="preserve">, 2022). </w:t>
      </w:r>
    </w:p>
    <w:p w14:paraId="4D272DAB" w14:textId="470E4A40" w:rsidR="002D3B9A" w:rsidRPr="007A5006" w:rsidRDefault="00EB472F" w:rsidP="007A5006">
      <w:pPr>
        <w:pStyle w:val="ListParagraph"/>
        <w:numPr>
          <w:ilvl w:val="0"/>
          <w:numId w:val="27"/>
        </w:numPr>
        <w:rPr>
          <w:noProof/>
          <w:sz w:val="20"/>
          <w:szCs w:val="20"/>
        </w:rPr>
      </w:pPr>
      <w:r>
        <w:rPr>
          <w:noProof/>
          <w:sz w:val="20"/>
          <w:szCs w:val="20"/>
        </w:rPr>
        <w:drawing>
          <wp:anchor distT="0" distB="0" distL="114300" distR="114300" simplePos="0" relativeHeight="251658244" behindDoc="1" locked="0" layoutInCell="1" allowOverlap="1" wp14:anchorId="2D1A8A6F" wp14:editId="7DB43B58">
            <wp:simplePos x="0" y="0"/>
            <wp:positionH relativeFrom="column">
              <wp:posOffset>2084705</wp:posOffset>
            </wp:positionH>
            <wp:positionV relativeFrom="paragraph">
              <wp:posOffset>9525</wp:posOffset>
            </wp:positionV>
            <wp:extent cx="704850" cy="733425"/>
            <wp:effectExtent l="0" t="0" r="0" b="0"/>
            <wp:wrapNone/>
            <wp:docPr id="7" name="Graphic 7" descr="Class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Classroom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704850" cy="733425"/>
                    </a:xfrm>
                    <a:prstGeom prst="rect">
                      <a:avLst/>
                    </a:prstGeom>
                  </pic:spPr>
                </pic:pic>
              </a:graphicData>
            </a:graphic>
            <wp14:sizeRelV relativeFrom="margin">
              <wp14:pctHeight>0</wp14:pctHeight>
            </wp14:sizeRelV>
          </wp:anchor>
        </w:drawing>
      </w:r>
      <w:r w:rsidR="00B97D57" w:rsidRPr="007A5006">
        <w:rPr>
          <w:noProof/>
          <w:sz w:val="20"/>
          <w:szCs w:val="20"/>
        </w:rPr>
        <w:t>Self concept</w:t>
      </w:r>
    </w:p>
    <w:p w14:paraId="52940104" w14:textId="46EE2687" w:rsidR="00B97D57" w:rsidRPr="007A5006" w:rsidRDefault="001E5A8C" w:rsidP="007A5006">
      <w:pPr>
        <w:pStyle w:val="ListParagraph"/>
        <w:numPr>
          <w:ilvl w:val="0"/>
          <w:numId w:val="27"/>
        </w:numPr>
        <w:rPr>
          <w:noProof/>
          <w:sz w:val="20"/>
          <w:szCs w:val="20"/>
        </w:rPr>
      </w:pPr>
      <w:r w:rsidRPr="007A5006">
        <w:rPr>
          <w:noProof/>
          <w:sz w:val="20"/>
          <w:szCs w:val="20"/>
        </w:rPr>
        <w:t>Learner Experiemce</w:t>
      </w:r>
    </w:p>
    <w:p w14:paraId="39BC663A" w14:textId="0031C10F" w:rsidR="001E5A8C" w:rsidRPr="007A5006" w:rsidRDefault="001E5A8C" w:rsidP="007A5006">
      <w:pPr>
        <w:pStyle w:val="ListParagraph"/>
        <w:numPr>
          <w:ilvl w:val="0"/>
          <w:numId w:val="27"/>
        </w:numPr>
        <w:rPr>
          <w:noProof/>
          <w:sz w:val="20"/>
          <w:szCs w:val="20"/>
        </w:rPr>
      </w:pPr>
      <w:r w:rsidRPr="007A5006">
        <w:rPr>
          <w:noProof/>
          <w:sz w:val="20"/>
          <w:szCs w:val="20"/>
        </w:rPr>
        <w:t>Willingness to learn</w:t>
      </w:r>
      <w:r w:rsidR="00101B01">
        <w:rPr>
          <w:noProof/>
          <w:sz w:val="20"/>
          <w:szCs w:val="20"/>
        </w:rPr>
        <w:t xml:space="preserve">                          </w:t>
      </w:r>
    </w:p>
    <w:p w14:paraId="55FD0B77" w14:textId="05EDEEB0" w:rsidR="001E5A8C" w:rsidRPr="007A5006" w:rsidRDefault="00E10BD7" w:rsidP="007A5006">
      <w:pPr>
        <w:pStyle w:val="ListParagraph"/>
        <w:numPr>
          <w:ilvl w:val="0"/>
          <w:numId w:val="27"/>
        </w:numPr>
        <w:rPr>
          <w:noProof/>
          <w:sz w:val="20"/>
          <w:szCs w:val="20"/>
        </w:rPr>
      </w:pPr>
      <w:r w:rsidRPr="007A5006">
        <w:rPr>
          <w:noProof/>
          <w:sz w:val="20"/>
          <w:szCs w:val="20"/>
        </w:rPr>
        <w:t>Motivation to learn</w:t>
      </w:r>
    </w:p>
    <w:p w14:paraId="28FC89CB" w14:textId="734921FC" w:rsidR="00E10BD7" w:rsidRPr="007A5006" w:rsidRDefault="007A5006" w:rsidP="007A5006">
      <w:pPr>
        <w:pStyle w:val="ListParagraph"/>
        <w:numPr>
          <w:ilvl w:val="0"/>
          <w:numId w:val="27"/>
        </w:numPr>
        <w:rPr>
          <w:sz w:val="20"/>
          <w:szCs w:val="20"/>
        </w:rPr>
      </w:pPr>
      <w:r w:rsidRPr="007A5006">
        <w:rPr>
          <w:noProof/>
          <w:sz w:val="20"/>
          <w:szCs w:val="20"/>
        </w:rPr>
        <w:t xml:space="preserve">Orientation of learning, </w:t>
      </w:r>
    </w:p>
    <w:p w14:paraId="5281FBAA" w14:textId="03F3607E" w:rsidR="002A11DF" w:rsidRPr="00F22D4A" w:rsidRDefault="002A11DF" w:rsidP="00434BA2">
      <w:pPr>
        <w:rPr>
          <w:b/>
          <w:bCs/>
          <w:sz w:val="20"/>
          <w:szCs w:val="20"/>
        </w:rPr>
      </w:pPr>
      <w:r w:rsidRPr="00F22D4A">
        <w:rPr>
          <w:b/>
          <w:bCs/>
          <w:sz w:val="20"/>
          <w:szCs w:val="20"/>
        </w:rPr>
        <w:t>Inclusive and Equal Training</w:t>
      </w:r>
      <w:r w:rsidR="00455CFD">
        <w:rPr>
          <w:b/>
          <w:bCs/>
          <w:sz w:val="20"/>
          <w:szCs w:val="20"/>
        </w:rPr>
        <w:t xml:space="preserve"> (AC 6.4)</w:t>
      </w:r>
    </w:p>
    <w:p w14:paraId="709A73E8" w14:textId="77777777" w:rsidR="00E335D8" w:rsidRPr="00E335D8" w:rsidRDefault="00E335D8" w:rsidP="00E335D8">
      <w:pPr>
        <w:rPr>
          <w:sz w:val="20"/>
          <w:szCs w:val="20"/>
        </w:rPr>
      </w:pPr>
      <w:r w:rsidRPr="00E335D8">
        <w:rPr>
          <w:sz w:val="20"/>
          <w:szCs w:val="20"/>
        </w:rPr>
        <w:t>As professionals, it is our duty to be fair and respectful to all our learners and appreciate not everyone learns in the same way (Waite et al, 2021, p.224).</w:t>
      </w:r>
    </w:p>
    <w:p w14:paraId="705D6D23" w14:textId="77777777" w:rsidR="00E335D8" w:rsidRPr="00E335D8" w:rsidRDefault="00E335D8" w:rsidP="00E335D8">
      <w:pPr>
        <w:rPr>
          <w:sz w:val="20"/>
          <w:szCs w:val="20"/>
        </w:rPr>
      </w:pPr>
      <w:r w:rsidRPr="00E335D8">
        <w:rPr>
          <w:sz w:val="20"/>
          <w:szCs w:val="20"/>
        </w:rPr>
        <w:t>Learning and development teams can demonstrate inclusivity and equity within their methods by:</w:t>
      </w:r>
    </w:p>
    <w:p w14:paraId="4B30BA3F" w14:textId="5E620FAC" w:rsidR="00E335D8" w:rsidRPr="000F53AA" w:rsidRDefault="00B12D95" w:rsidP="000F53AA">
      <w:pPr>
        <w:pStyle w:val="ListParagraph"/>
        <w:numPr>
          <w:ilvl w:val="0"/>
          <w:numId w:val="26"/>
        </w:numPr>
        <w:rPr>
          <w:sz w:val="20"/>
          <w:szCs w:val="20"/>
        </w:rPr>
      </w:pPr>
      <w:r>
        <w:rPr>
          <w:noProof/>
        </w:rPr>
        <w:drawing>
          <wp:anchor distT="0" distB="0" distL="114300" distR="114300" simplePos="0" relativeHeight="251658241" behindDoc="0" locked="0" layoutInCell="1" allowOverlap="1" wp14:anchorId="46FA34D0" wp14:editId="0FE6D98A">
            <wp:simplePos x="0" y="0"/>
            <wp:positionH relativeFrom="column">
              <wp:posOffset>-300990</wp:posOffset>
            </wp:positionH>
            <wp:positionV relativeFrom="paragraph">
              <wp:posOffset>378460</wp:posOffset>
            </wp:positionV>
            <wp:extent cx="635000" cy="635000"/>
            <wp:effectExtent l="0" t="0" r="0" b="0"/>
            <wp:wrapSquare wrapText="bothSides"/>
            <wp:docPr id="5" name="Graphic 5" descr="Head with gea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Head with gears with solid fill"/>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35000" cy="635000"/>
                    </a:xfrm>
                    <a:prstGeom prst="rect">
                      <a:avLst/>
                    </a:prstGeom>
                  </pic:spPr>
                </pic:pic>
              </a:graphicData>
            </a:graphic>
            <wp14:sizeRelH relativeFrom="margin">
              <wp14:pctWidth>0</wp14:pctWidth>
            </wp14:sizeRelH>
            <wp14:sizeRelV relativeFrom="margin">
              <wp14:pctHeight>0</wp14:pctHeight>
            </wp14:sizeRelV>
          </wp:anchor>
        </w:drawing>
      </w:r>
      <w:r w:rsidR="00E335D8" w:rsidRPr="000F53AA">
        <w:rPr>
          <w:sz w:val="20"/>
          <w:szCs w:val="20"/>
        </w:rPr>
        <w:t>Using easily legible fonts, high contrast text and background colours, and confirm that all text is understandable by screen-reading software to provide accessible resources.</w:t>
      </w:r>
    </w:p>
    <w:p w14:paraId="2765D755" w14:textId="4C3EB6BF" w:rsidR="00E335D8" w:rsidRPr="000F53AA" w:rsidRDefault="00E335D8" w:rsidP="000F53AA">
      <w:pPr>
        <w:pStyle w:val="ListParagraph"/>
        <w:numPr>
          <w:ilvl w:val="0"/>
          <w:numId w:val="26"/>
        </w:numPr>
        <w:rPr>
          <w:sz w:val="20"/>
          <w:szCs w:val="20"/>
        </w:rPr>
      </w:pPr>
      <w:r w:rsidRPr="000F53AA">
        <w:rPr>
          <w:sz w:val="20"/>
          <w:szCs w:val="20"/>
        </w:rPr>
        <w:t xml:space="preserve">Offer content translations into the learners' desired language or in another format such as Braille. </w:t>
      </w:r>
    </w:p>
    <w:p w14:paraId="0902A68F" w14:textId="67F65EF6" w:rsidR="00E335D8" w:rsidRPr="000F53AA" w:rsidRDefault="00E335D8" w:rsidP="000F53AA">
      <w:pPr>
        <w:pStyle w:val="ListParagraph"/>
        <w:numPr>
          <w:ilvl w:val="0"/>
          <w:numId w:val="26"/>
        </w:numPr>
        <w:rPr>
          <w:sz w:val="20"/>
          <w:szCs w:val="20"/>
        </w:rPr>
      </w:pPr>
      <w:r w:rsidRPr="000F53AA">
        <w:rPr>
          <w:sz w:val="20"/>
          <w:szCs w:val="20"/>
        </w:rPr>
        <w:t>Avoid stereotyping resonate with all audiences (</w:t>
      </w:r>
      <w:proofErr w:type="spellStart"/>
      <w:r w:rsidRPr="000F53AA">
        <w:rPr>
          <w:sz w:val="20"/>
          <w:szCs w:val="20"/>
        </w:rPr>
        <w:t>Naybour</w:t>
      </w:r>
      <w:proofErr w:type="spellEnd"/>
      <w:r w:rsidRPr="000F53AA">
        <w:rPr>
          <w:sz w:val="20"/>
          <w:szCs w:val="20"/>
        </w:rPr>
        <w:t>, 2020)</w:t>
      </w:r>
    </w:p>
    <w:p w14:paraId="582B5FF8" w14:textId="77777777" w:rsidR="00FC3082" w:rsidRPr="000F53AA" w:rsidRDefault="00E335D8" w:rsidP="000F53AA">
      <w:pPr>
        <w:pStyle w:val="ListParagraph"/>
        <w:numPr>
          <w:ilvl w:val="0"/>
          <w:numId w:val="26"/>
        </w:numPr>
        <w:spacing w:before="100" w:beforeAutospacing="1" w:after="100" w:afterAutospacing="1" w:line="240" w:lineRule="auto"/>
        <w:rPr>
          <w:rFonts w:eastAsia="Times New Roman" w:cstheme="minorHAnsi"/>
          <w:b/>
          <w:bCs/>
          <w:lang w:eastAsia="en-GB"/>
        </w:rPr>
      </w:pPr>
      <w:r w:rsidRPr="000F53AA">
        <w:rPr>
          <w:sz w:val="20"/>
          <w:szCs w:val="20"/>
        </w:rPr>
        <w:t>Successful implementation of diversity and inclusion fosters a culture where workers feel appreciated and respected as an individual. As a result, they are motivated and willing to give the organization their best every day (McNeill, 2021).</w:t>
      </w:r>
    </w:p>
    <w:p w14:paraId="77C005D8" w14:textId="18DF7435" w:rsidR="0073010D" w:rsidRPr="00F22D4A" w:rsidRDefault="00101B01" w:rsidP="0073010D">
      <w:pPr>
        <w:spacing w:before="100" w:beforeAutospacing="1" w:after="100" w:afterAutospacing="1" w:line="240" w:lineRule="auto"/>
        <w:rPr>
          <w:rFonts w:eastAsia="Times New Roman" w:cstheme="minorHAnsi"/>
          <w:b/>
          <w:bCs/>
          <w:lang w:eastAsia="en-GB"/>
        </w:rPr>
      </w:pPr>
      <w:r>
        <w:rPr>
          <w:rFonts w:eastAsia="Times New Roman" w:cstheme="minorHAnsi"/>
          <w:b/>
          <w:bCs/>
          <w:sz w:val="20"/>
          <w:szCs w:val="20"/>
          <w:lang w:eastAsia="en-GB"/>
        </w:rPr>
        <w:t>Methods Evaluating Impact</w:t>
      </w:r>
      <w:r w:rsidR="00FC3082" w:rsidRPr="00F22D4A">
        <w:rPr>
          <w:rFonts w:eastAsia="Times New Roman" w:cstheme="minorHAnsi"/>
          <w:b/>
          <w:bCs/>
          <w:sz w:val="20"/>
          <w:szCs w:val="20"/>
          <w:lang w:eastAsia="en-GB"/>
        </w:rPr>
        <w:t xml:space="preserve"> (AC 6.5)</w:t>
      </w:r>
      <w:r w:rsidR="00C96CA5">
        <w:rPr>
          <w:rFonts w:eastAsia="Times New Roman" w:cstheme="minorHAnsi"/>
          <w:b/>
          <w:bCs/>
          <w:lang w:eastAsia="en-GB"/>
        </w:rPr>
        <w:t xml:space="preserve"> </w:t>
      </w:r>
      <w:r w:rsidR="00F22D4A">
        <w:rPr>
          <w:rFonts w:eastAsia="Times New Roman" w:cstheme="minorHAnsi"/>
          <w:lang w:eastAsia="en-GB"/>
        </w:rPr>
        <w:t>A</w:t>
      </w:r>
      <w:r w:rsidR="0073010D" w:rsidRPr="0073010D">
        <w:rPr>
          <w:rFonts w:eastAsia="Times New Roman" w:cstheme="minorHAnsi"/>
          <w:sz w:val="20"/>
          <w:szCs w:val="20"/>
          <w:lang w:eastAsia="en-GB"/>
        </w:rPr>
        <w:t xml:space="preserve">s outlined by CIPD (2022) “To effectively evaluate L&amp;D, </w:t>
      </w:r>
      <w:r w:rsidR="007D26DA" w:rsidRPr="0073010D">
        <w:rPr>
          <w:rFonts w:eastAsia="Times New Roman" w:cstheme="minorHAnsi"/>
          <w:sz w:val="20"/>
          <w:szCs w:val="20"/>
          <w:lang w:eastAsia="en-GB"/>
        </w:rPr>
        <w:t>its</w:t>
      </w:r>
      <w:r w:rsidR="0073010D" w:rsidRPr="0073010D">
        <w:rPr>
          <w:rFonts w:eastAsia="Times New Roman" w:cstheme="minorHAnsi"/>
          <w:sz w:val="20"/>
          <w:szCs w:val="20"/>
          <w:lang w:eastAsia="en-GB"/>
        </w:rPr>
        <w:t xml:space="preserve"> first necessary to have clearly identified organisational performance targets, appropriate learning needs, and agree what measures of success will look like”.</w:t>
      </w:r>
      <w:r w:rsidR="00B12D95">
        <w:rPr>
          <w:rFonts w:eastAsia="Times New Roman" w:cstheme="minorHAnsi"/>
          <w:sz w:val="20"/>
          <w:szCs w:val="20"/>
          <w:lang w:eastAsia="en-GB"/>
        </w:rPr>
        <w:t xml:space="preserve"> </w:t>
      </w:r>
      <w:r w:rsidR="0073010D" w:rsidRPr="0073010D">
        <w:rPr>
          <w:rFonts w:eastAsia="Times New Roman" w:cstheme="minorHAnsi"/>
          <w:sz w:val="20"/>
          <w:szCs w:val="20"/>
          <w:lang w:eastAsia="en-GB"/>
        </w:rPr>
        <w:t>Depending on our evaluation aims, the data we want will vary (Waite et al, 2021, p.226).</w:t>
      </w:r>
      <w:r w:rsidR="00B5586F">
        <w:rPr>
          <w:rFonts w:eastAsia="Times New Roman" w:cstheme="minorHAnsi"/>
          <w:sz w:val="20"/>
          <w:szCs w:val="20"/>
          <w:lang w:eastAsia="en-GB"/>
        </w:rPr>
        <w:t xml:space="preserve"> </w:t>
      </w:r>
      <w:r w:rsidR="0073010D" w:rsidRPr="0073010D">
        <w:rPr>
          <w:rFonts w:eastAsia="Times New Roman" w:cstheme="minorHAnsi"/>
          <w:sz w:val="20"/>
          <w:szCs w:val="20"/>
          <w:lang w:eastAsia="en-GB"/>
        </w:rPr>
        <w:t>By using an evaluation model, we can analyse all aspects of the learning experience. Kirkpatrick demonstrates his Four Levels of Evaluation model. The levels are summarised below.</w:t>
      </w:r>
    </w:p>
    <w:p w14:paraId="2AD08B4D" w14:textId="0477DEFC" w:rsidR="007D26DA" w:rsidRPr="007D26DA" w:rsidRDefault="007D26DA" w:rsidP="007D26DA">
      <w:pPr>
        <w:ind w:left="720"/>
        <w:rPr>
          <w:sz w:val="20"/>
          <w:szCs w:val="20"/>
        </w:rPr>
      </w:pPr>
      <w:r w:rsidRPr="007D26DA">
        <w:rPr>
          <w:noProof/>
          <w:sz w:val="20"/>
          <w:szCs w:val="20"/>
        </w:rPr>
        <w:drawing>
          <wp:inline distT="0" distB="0" distL="0" distR="0" wp14:anchorId="3BABD2F3" wp14:editId="59E80E90">
            <wp:extent cx="3460750" cy="13271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60750" cy="1327150"/>
                    </a:xfrm>
                    <a:prstGeom prst="rect">
                      <a:avLst/>
                    </a:prstGeom>
                    <a:noFill/>
                    <a:ln>
                      <a:noFill/>
                    </a:ln>
                  </pic:spPr>
                </pic:pic>
              </a:graphicData>
            </a:graphic>
          </wp:inline>
        </w:drawing>
      </w:r>
      <w:r w:rsidR="000F400F" w:rsidRPr="007D26DA">
        <w:rPr>
          <w:sz w:val="20"/>
          <w:szCs w:val="20"/>
        </w:rPr>
        <w:t xml:space="preserve"> </w:t>
      </w:r>
      <w:r w:rsidRPr="007D26DA">
        <w:rPr>
          <w:sz w:val="20"/>
          <w:szCs w:val="20"/>
        </w:rPr>
        <w:t>(Kudo Survey, 2015) </w:t>
      </w:r>
    </w:p>
    <w:p w14:paraId="1D7CCF7C" w14:textId="77777777" w:rsidR="007D26DA" w:rsidRPr="007D26DA" w:rsidRDefault="007D26DA" w:rsidP="00B5586F">
      <w:pPr>
        <w:rPr>
          <w:sz w:val="20"/>
          <w:szCs w:val="20"/>
        </w:rPr>
      </w:pPr>
      <w:r w:rsidRPr="007D26DA">
        <w:rPr>
          <w:sz w:val="20"/>
          <w:szCs w:val="20"/>
        </w:rPr>
        <w:t>If we are looking at Level 1 - learner enjoyment and engagement, learner feedback via surveys or questionnaires is likely to be our source for gathering information (</w:t>
      </w:r>
      <w:proofErr w:type="spellStart"/>
      <w:r w:rsidRPr="007D26DA">
        <w:rPr>
          <w:sz w:val="20"/>
          <w:szCs w:val="20"/>
        </w:rPr>
        <w:t>GraduateWay</w:t>
      </w:r>
      <w:proofErr w:type="spellEnd"/>
      <w:r w:rsidRPr="007D26DA">
        <w:rPr>
          <w:sz w:val="20"/>
          <w:szCs w:val="20"/>
        </w:rPr>
        <w:t>, 2022). </w:t>
      </w:r>
    </w:p>
    <w:p w14:paraId="58307899" w14:textId="77777777" w:rsidR="007D26DA" w:rsidRPr="007D26DA" w:rsidRDefault="007D26DA" w:rsidP="00B5586F">
      <w:pPr>
        <w:rPr>
          <w:sz w:val="20"/>
          <w:szCs w:val="20"/>
        </w:rPr>
      </w:pPr>
      <w:r w:rsidRPr="007D26DA">
        <w:rPr>
          <w:sz w:val="20"/>
          <w:szCs w:val="20"/>
        </w:rPr>
        <w:t>If we want to assess the learning and knowledge absorbed from the training (Level 2), we could use tests or skill assessments to determine its effectiveness (Waite et al, 2021, p.226). </w:t>
      </w:r>
    </w:p>
    <w:p w14:paraId="568F7A65" w14:textId="77777777" w:rsidR="007D26DA" w:rsidRPr="007D26DA" w:rsidRDefault="007D26DA" w:rsidP="00B5586F">
      <w:pPr>
        <w:rPr>
          <w:sz w:val="20"/>
          <w:szCs w:val="20"/>
        </w:rPr>
      </w:pPr>
      <w:r w:rsidRPr="007D26DA">
        <w:rPr>
          <w:sz w:val="20"/>
          <w:szCs w:val="20"/>
        </w:rPr>
        <w:t>It is important to note that Kirkpatrick is one of many evaluation models, and although it is the most popular model (Deller, 2020) it may not always be the right method of evaluation, depending on the outcome you are trying to measure.  </w:t>
      </w:r>
    </w:p>
    <w:p w14:paraId="59575559" w14:textId="77777777" w:rsidR="007D26DA" w:rsidRPr="007D26DA" w:rsidRDefault="007D26DA" w:rsidP="00B5586F">
      <w:pPr>
        <w:rPr>
          <w:sz w:val="20"/>
          <w:szCs w:val="20"/>
        </w:rPr>
      </w:pPr>
      <w:r w:rsidRPr="007D26DA">
        <w:rPr>
          <w:sz w:val="20"/>
          <w:szCs w:val="20"/>
        </w:rPr>
        <w:t>By assessing the impact and evaluating our training programmes, we are gathering information to continuously develop and improve upon our learning initiatives (Waite et al, 2021, p.224).  </w:t>
      </w:r>
    </w:p>
    <w:p w14:paraId="16F3B4E8" w14:textId="5638E760" w:rsidR="00892F71" w:rsidRPr="00892F71" w:rsidRDefault="00892F71" w:rsidP="00215EEB">
      <w:pPr>
        <w:pStyle w:val="paragraph"/>
        <w:spacing w:before="0" w:beforeAutospacing="0" w:after="0" w:afterAutospacing="0"/>
        <w:textAlignment w:val="baseline"/>
        <w:rPr>
          <w:rStyle w:val="normaltextrun"/>
          <w:rFonts w:ascii="Calibri" w:hAnsi="Calibri" w:cs="Calibri"/>
          <w:b/>
          <w:bCs/>
          <w:sz w:val="22"/>
          <w:szCs w:val="22"/>
        </w:rPr>
      </w:pPr>
      <w:r w:rsidRPr="00892F71">
        <w:rPr>
          <w:rStyle w:val="normaltextrun"/>
          <w:rFonts w:ascii="Calibri" w:hAnsi="Calibri" w:cs="Calibri"/>
          <w:b/>
          <w:bCs/>
          <w:sz w:val="22"/>
          <w:szCs w:val="22"/>
        </w:rPr>
        <w:lastRenderedPageBreak/>
        <w:t>WORDCOUNT 1268</w:t>
      </w:r>
    </w:p>
    <w:p w14:paraId="4373FCFA" w14:textId="77777777" w:rsidR="00892F71" w:rsidRDefault="00892F71" w:rsidP="00215EEB">
      <w:pPr>
        <w:pStyle w:val="paragraph"/>
        <w:spacing w:before="0" w:beforeAutospacing="0" w:after="0" w:afterAutospacing="0"/>
        <w:textAlignment w:val="baseline"/>
        <w:rPr>
          <w:rStyle w:val="normaltextrun"/>
          <w:rFonts w:ascii="Calibri" w:hAnsi="Calibri" w:cs="Calibri"/>
          <w:sz w:val="22"/>
          <w:szCs w:val="22"/>
        </w:rPr>
      </w:pPr>
    </w:p>
    <w:p w14:paraId="25628BC2" w14:textId="1E6FD611"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Adkins, A. </w:t>
      </w:r>
      <w:proofErr w:type="spellStart"/>
      <w:r>
        <w:rPr>
          <w:rStyle w:val="normaltextrun"/>
          <w:rFonts w:ascii="Calibri" w:hAnsi="Calibri" w:cs="Calibri"/>
          <w:sz w:val="22"/>
          <w:szCs w:val="22"/>
        </w:rPr>
        <w:t>Rigoni</w:t>
      </w:r>
      <w:proofErr w:type="spellEnd"/>
      <w:r>
        <w:rPr>
          <w:rStyle w:val="normaltextrun"/>
          <w:rFonts w:ascii="Calibri" w:hAnsi="Calibri" w:cs="Calibri"/>
          <w:sz w:val="22"/>
          <w:szCs w:val="22"/>
        </w:rPr>
        <w:t>, B. (2016)</w:t>
      </w:r>
      <w:r>
        <w:rPr>
          <w:rStyle w:val="normaltextrun"/>
          <w:rFonts w:ascii="Calibri" w:hAnsi="Calibri" w:cs="Calibri"/>
          <w:b/>
          <w:bCs/>
          <w:sz w:val="22"/>
          <w:szCs w:val="22"/>
        </w:rPr>
        <w:t xml:space="preserve"> </w:t>
      </w:r>
      <w:r>
        <w:rPr>
          <w:rStyle w:val="normaltextrun"/>
          <w:rFonts w:ascii="Calibri" w:hAnsi="Calibri" w:cs="Calibri"/>
          <w:i/>
          <w:iCs/>
          <w:sz w:val="22"/>
          <w:szCs w:val="22"/>
        </w:rPr>
        <w:t xml:space="preserve">Millennials Want Jobs to Be Development Opportunities, </w:t>
      </w:r>
      <w:r>
        <w:rPr>
          <w:rStyle w:val="normaltextrun"/>
          <w:rFonts w:ascii="Calibri" w:hAnsi="Calibri" w:cs="Calibri"/>
          <w:sz w:val="22"/>
          <w:szCs w:val="22"/>
        </w:rPr>
        <w:t xml:space="preserve">Available at: </w:t>
      </w:r>
      <w:hyperlink r:id="rId19" w:tgtFrame="_blank" w:history="1">
        <w:r>
          <w:rPr>
            <w:rStyle w:val="normaltextrun"/>
            <w:rFonts w:ascii="Calibri" w:hAnsi="Calibri" w:cs="Calibri"/>
            <w:color w:val="0563C1"/>
            <w:sz w:val="22"/>
            <w:szCs w:val="22"/>
            <w:u w:val="single"/>
          </w:rPr>
          <w:t>https://www.gallup.com/workplace/236438/millennials-jobs-development-opportunities.aspx</w:t>
        </w:r>
      </w:hyperlink>
      <w:r>
        <w:rPr>
          <w:rStyle w:val="normaltextrun"/>
          <w:rFonts w:ascii="Calibri" w:hAnsi="Calibri" w:cs="Calibri"/>
          <w:sz w:val="22"/>
          <w:szCs w:val="22"/>
        </w:rPr>
        <w:t xml:space="preserve"> (Accessed: 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509868C4"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CIPD (2022)</w:t>
      </w:r>
      <w:r>
        <w:rPr>
          <w:rStyle w:val="normaltextrun"/>
          <w:rFonts w:ascii="Calibri" w:hAnsi="Calibri" w:cs="Calibri"/>
          <w:i/>
          <w:iCs/>
          <w:sz w:val="22"/>
          <w:szCs w:val="22"/>
        </w:rPr>
        <w:t xml:space="preserve"> Learning and Development, </w:t>
      </w:r>
      <w:r>
        <w:rPr>
          <w:rStyle w:val="normaltextrun"/>
          <w:rFonts w:ascii="Calibri" w:hAnsi="Calibri" w:cs="Calibri"/>
          <w:sz w:val="22"/>
          <w:szCs w:val="22"/>
        </w:rPr>
        <w:t xml:space="preserve">Available at: </w:t>
      </w:r>
      <w:hyperlink r:id="rId20" w:tgtFrame="_blank" w:history="1">
        <w:r>
          <w:rPr>
            <w:rStyle w:val="normaltextrun"/>
            <w:rFonts w:ascii="Calibri" w:hAnsi="Calibri" w:cs="Calibri"/>
            <w:color w:val="0563C1"/>
            <w:sz w:val="22"/>
            <w:szCs w:val="22"/>
            <w:u w:val="single"/>
          </w:rPr>
          <w:t>https://peopleprofession.cipd.org/profession-map/specialist-knowledge/learning-development?_gl=1*5tbl5h*_ga*MTA5NjI2OTAzNC4xNjUzNTcyNDc5*_ga_D9HN5GYHYY*MTY3MDg1MTIzOS43My4xLjE2NzA4NTEyNDcuMC4wLjA.</w:t>
        </w:r>
      </w:hyperlink>
      <w:r>
        <w:rPr>
          <w:rStyle w:val="normaltextrun"/>
          <w:rFonts w:ascii="Calibri" w:hAnsi="Calibri" w:cs="Calibri"/>
          <w:sz w:val="22"/>
          <w:szCs w:val="22"/>
        </w:rPr>
        <w:t xml:space="preserve"> (Accessed: 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w:t>
      </w:r>
      <w:r>
        <w:rPr>
          <w:rStyle w:val="eop"/>
          <w:rFonts w:ascii="Calibri" w:eastAsiaTheme="majorEastAsia" w:hAnsi="Calibri" w:cs="Calibri"/>
          <w:sz w:val="22"/>
          <w:szCs w:val="22"/>
        </w:rPr>
        <w:t> </w:t>
      </w:r>
    </w:p>
    <w:p w14:paraId="01F81880"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Ciborowski</w:t>
      </w:r>
      <w:proofErr w:type="spellEnd"/>
      <w:r>
        <w:rPr>
          <w:rStyle w:val="normaltextrun"/>
          <w:rFonts w:ascii="Calibri" w:hAnsi="Calibri" w:cs="Calibri"/>
          <w:sz w:val="22"/>
          <w:szCs w:val="22"/>
        </w:rPr>
        <w:t xml:space="preserve">, L (2021) </w:t>
      </w:r>
      <w:r>
        <w:rPr>
          <w:rStyle w:val="normaltextrun"/>
          <w:rFonts w:ascii="Calibri" w:hAnsi="Calibri" w:cs="Calibri"/>
          <w:i/>
          <w:iCs/>
          <w:sz w:val="22"/>
          <w:szCs w:val="22"/>
        </w:rPr>
        <w:t xml:space="preserve">What’s The Difference Between Facilitators &amp; Trainers?, </w:t>
      </w:r>
      <w:r>
        <w:rPr>
          <w:rStyle w:val="normaltextrun"/>
          <w:rFonts w:ascii="Calibri" w:hAnsi="Calibri" w:cs="Calibri"/>
          <w:sz w:val="22"/>
          <w:szCs w:val="22"/>
        </w:rPr>
        <w:t xml:space="preserve">Available at: </w:t>
      </w:r>
      <w:hyperlink r:id="rId21" w:anchor=":~:text=%20Training%20and%20facilitation%20have%20very%20different%20goals.,and%20skills%20to%20use%20in%20their%20current%20jobs." w:tgtFrame="_blank" w:history="1">
        <w:r>
          <w:rPr>
            <w:rStyle w:val="normaltextrun"/>
            <w:rFonts w:ascii="Calibri" w:hAnsi="Calibri" w:cs="Calibri"/>
            <w:color w:val="0563C1"/>
            <w:sz w:val="22"/>
            <w:szCs w:val="22"/>
            <w:u w:val="single"/>
          </w:rPr>
          <w:t>https://www.trainsmartinc.com/difference-between-facilitator-and-trainer/#:~:text=%20Training%20and%20facilitation%20have%20very%20different%20goals.,and%20skills%20to%20use%20in%20their%20current%20jobs.</w:t>
        </w:r>
      </w:hyperlink>
      <w:r>
        <w:rPr>
          <w:rStyle w:val="normaltextrun"/>
          <w:rFonts w:ascii="Calibri" w:hAnsi="Calibri" w:cs="Calibri"/>
          <w:sz w:val="22"/>
          <w:szCs w:val="22"/>
        </w:rPr>
        <w:t xml:space="preserve"> (Accessed: 13</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25D08C31"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Deller, J (2020) </w:t>
      </w:r>
      <w:r>
        <w:rPr>
          <w:rStyle w:val="normaltextrun"/>
          <w:rFonts w:ascii="Calibri" w:hAnsi="Calibri" w:cs="Calibri"/>
          <w:i/>
          <w:iCs/>
          <w:sz w:val="22"/>
          <w:szCs w:val="22"/>
        </w:rPr>
        <w:t xml:space="preserve">Training Evaluations Models: The Complete Guide, Available at: </w:t>
      </w:r>
      <w:hyperlink r:id="rId22" w:anchor=":~:text=The%20Kirkpatrick%20Model%20is%20by,the%20Journal%20of%20the%20ASTD." w:tgtFrame="_blank" w:history="1">
        <w:r>
          <w:rPr>
            <w:rStyle w:val="normaltextrun"/>
            <w:rFonts w:ascii="Calibri" w:hAnsi="Calibri" w:cs="Calibri"/>
            <w:color w:val="0563C1"/>
            <w:sz w:val="22"/>
            <w:szCs w:val="22"/>
            <w:u w:val="single"/>
          </w:rPr>
          <w:t>https://kodosurvey.com/blog/training-evaluations-models-complete-guide#:~:text=The%20Kirkpatrick%20Model%20is%20by,the%20Journal%20of%20the%20ASTD.</w:t>
        </w:r>
      </w:hyperlink>
      <w:r>
        <w:rPr>
          <w:rStyle w:val="normaltextrun"/>
          <w:rFonts w:ascii="Calibri" w:hAnsi="Calibri" w:cs="Calibri"/>
          <w:sz w:val="22"/>
          <w:szCs w:val="22"/>
        </w:rPr>
        <w:t xml:space="preserve"> (Accessed: 15</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4C9EF54A"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Factorial HR (2022) </w:t>
      </w:r>
      <w:r>
        <w:rPr>
          <w:rStyle w:val="normaltextrun"/>
          <w:rFonts w:ascii="Calibri" w:hAnsi="Calibri" w:cs="Calibri"/>
          <w:i/>
          <w:iCs/>
          <w:sz w:val="22"/>
          <w:szCs w:val="22"/>
        </w:rPr>
        <w:t>What is Learning and Development? A Comprehensive Guide to L&amp;D,</w:t>
      </w:r>
      <w:r>
        <w:rPr>
          <w:rStyle w:val="normaltextrun"/>
          <w:rFonts w:ascii="Calibri" w:hAnsi="Calibri" w:cs="Calibri"/>
          <w:sz w:val="22"/>
          <w:szCs w:val="22"/>
        </w:rPr>
        <w:t xml:space="preserve"> Available at: </w:t>
      </w:r>
      <w:hyperlink r:id="rId23" w:tgtFrame="_blank" w:history="1">
        <w:r>
          <w:rPr>
            <w:rStyle w:val="normaltextrun"/>
            <w:rFonts w:ascii="Calibri" w:hAnsi="Calibri" w:cs="Calibri"/>
            <w:color w:val="0563C1"/>
            <w:sz w:val="22"/>
            <w:szCs w:val="22"/>
            <w:u w:val="single"/>
          </w:rPr>
          <w:t>https://factorialhr.co.uk/blog/learning-and-development/</w:t>
        </w:r>
      </w:hyperlink>
      <w:r>
        <w:rPr>
          <w:rStyle w:val="normaltextrun"/>
          <w:rFonts w:ascii="Calibri" w:hAnsi="Calibri" w:cs="Calibri"/>
          <w:sz w:val="22"/>
          <w:szCs w:val="22"/>
        </w:rPr>
        <w:t xml:space="preserve"> (Accessed:12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0934FF4A"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GraduateWay</w:t>
      </w:r>
      <w:proofErr w:type="spellEnd"/>
      <w:r>
        <w:rPr>
          <w:rStyle w:val="normaltextrun"/>
          <w:rFonts w:ascii="Calibri" w:hAnsi="Calibri" w:cs="Calibri"/>
          <w:sz w:val="22"/>
          <w:szCs w:val="22"/>
        </w:rPr>
        <w:t xml:space="preserve"> (2022) </w:t>
      </w:r>
      <w:r>
        <w:rPr>
          <w:rStyle w:val="normaltextrun"/>
          <w:rFonts w:ascii="Calibri" w:hAnsi="Calibri" w:cs="Calibri"/>
          <w:i/>
          <w:iCs/>
          <w:sz w:val="22"/>
          <w:szCs w:val="22"/>
        </w:rPr>
        <w:t xml:space="preserve">Evaluating Learning and Development, </w:t>
      </w:r>
      <w:r>
        <w:rPr>
          <w:rStyle w:val="normaltextrun"/>
          <w:rFonts w:ascii="Calibri" w:hAnsi="Calibri" w:cs="Calibri"/>
          <w:sz w:val="22"/>
          <w:szCs w:val="22"/>
        </w:rPr>
        <w:t xml:space="preserve">Available at: </w:t>
      </w:r>
      <w:hyperlink r:id="rId24" w:tgtFrame="_blank" w:history="1">
        <w:r>
          <w:rPr>
            <w:rStyle w:val="normaltextrun"/>
            <w:rFonts w:ascii="Calibri" w:hAnsi="Calibri" w:cs="Calibri"/>
            <w:color w:val="0563C1"/>
            <w:sz w:val="22"/>
            <w:szCs w:val="22"/>
            <w:u w:val="single"/>
          </w:rPr>
          <w:t>https://graduateway.com/evaluating-learning-and-development/</w:t>
        </w:r>
      </w:hyperlink>
      <w:r>
        <w:rPr>
          <w:rStyle w:val="normaltextrun"/>
          <w:rFonts w:ascii="Calibri" w:hAnsi="Calibri" w:cs="Calibri"/>
          <w:sz w:val="22"/>
          <w:szCs w:val="22"/>
        </w:rPr>
        <w:t xml:space="preserve"> (Accessed: 15</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w:t>
      </w:r>
      <w:r>
        <w:rPr>
          <w:rStyle w:val="eop"/>
          <w:rFonts w:ascii="Calibri" w:eastAsiaTheme="majorEastAsia" w:hAnsi="Calibri" w:cs="Calibri"/>
          <w:sz w:val="22"/>
          <w:szCs w:val="22"/>
        </w:rPr>
        <w:t> </w:t>
      </w:r>
    </w:p>
    <w:p w14:paraId="51326078"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Hayden, D (2021) Learning Methods</w:t>
      </w:r>
      <w:r>
        <w:rPr>
          <w:rStyle w:val="normaltextrun"/>
          <w:rFonts w:ascii="Calibri" w:hAnsi="Calibri" w:cs="Calibri"/>
          <w:i/>
          <w:iCs/>
          <w:sz w:val="22"/>
          <w:szCs w:val="22"/>
        </w:rPr>
        <w:t xml:space="preserve">, </w:t>
      </w:r>
      <w:r>
        <w:rPr>
          <w:rStyle w:val="normaltextrun"/>
          <w:rFonts w:ascii="Calibri" w:hAnsi="Calibri" w:cs="Calibri"/>
          <w:sz w:val="22"/>
          <w:szCs w:val="22"/>
        </w:rPr>
        <w:t xml:space="preserve">Available at: </w:t>
      </w:r>
      <w:hyperlink r:id="rId25" w:tgtFrame="_blank" w:history="1">
        <w:r>
          <w:rPr>
            <w:rStyle w:val="normaltextrun"/>
            <w:rFonts w:ascii="Calibri" w:hAnsi="Calibri" w:cs="Calibri"/>
            <w:color w:val="0563C1"/>
            <w:sz w:val="22"/>
            <w:szCs w:val="22"/>
            <w:u w:val="single"/>
          </w:rPr>
          <w:t>https://www.cipd.co.uk/knowledge/fundamentals/people/development/learning-methods-factsheet</w:t>
        </w:r>
      </w:hyperlink>
      <w:r>
        <w:rPr>
          <w:rStyle w:val="normaltextrun"/>
          <w:rFonts w:ascii="Calibri" w:hAnsi="Calibri" w:cs="Calibri"/>
          <w:sz w:val="22"/>
          <w:szCs w:val="22"/>
        </w:rPr>
        <w:t>  (Accessed: 13</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w:t>
      </w:r>
      <w:r>
        <w:rPr>
          <w:rStyle w:val="eop"/>
          <w:rFonts w:ascii="Calibri" w:eastAsiaTheme="majorEastAsia" w:hAnsi="Calibri" w:cs="Calibri"/>
          <w:sz w:val="22"/>
          <w:szCs w:val="22"/>
        </w:rPr>
        <w:t> </w:t>
      </w:r>
    </w:p>
    <w:p w14:paraId="14ABCA57"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Hayden, D (2022) </w:t>
      </w:r>
      <w:r>
        <w:rPr>
          <w:rStyle w:val="normaltextrun"/>
          <w:rFonts w:ascii="Calibri" w:hAnsi="Calibri" w:cs="Calibri"/>
          <w:i/>
          <w:iCs/>
          <w:sz w:val="22"/>
          <w:szCs w:val="22"/>
        </w:rPr>
        <w:t>Evaluating learning and development</w:t>
      </w:r>
      <w:r>
        <w:rPr>
          <w:rStyle w:val="normaltextrun"/>
          <w:rFonts w:ascii="Calibri" w:hAnsi="Calibri" w:cs="Calibri"/>
          <w:sz w:val="22"/>
          <w:szCs w:val="22"/>
        </w:rPr>
        <w:t xml:space="preserve">, Available at: </w:t>
      </w:r>
      <w:hyperlink r:id="rId26" w:anchor="gref" w:tgtFrame="_blank" w:history="1">
        <w:r>
          <w:rPr>
            <w:rStyle w:val="normaltextrun"/>
            <w:rFonts w:ascii="Calibri" w:hAnsi="Calibri" w:cs="Calibri"/>
            <w:color w:val="0563C1"/>
            <w:sz w:val="22"/>
            <w:szCs w:val="22"/>
            <w:u w:val="single"/>
          </w:rPr>
          <w:t>https://www.cipd.co.uk/knowledge/fundamentals/people/development/evaluating-learning-factsheet#gref</w:t>
        </w:r>
      </w:hyperlink>
      <w:r>
        <w:rPr>
          <w:rStyle w:val="normaltextrun"/>
          <w:rFonts w:ascii="Calibri" w:hAnsi="Calibri" w:cs="Calibri"/>
          <w:sz w:val="22"/>
          <w:szCs w:val="22"/>
        </w:rPr>
        <w:t xml:space="preserve"> (Accessed: 14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w:t>
      </w:r>
      <w:r>
        <w:rPr>
          <w:rStyle w:val="eop"/>
          <w:rFonts w:ascii="Calibri" w:eastAsiaTheme="majorEastAsia" w:hAnsi="Calibri" w:cs="Calibri"/>
          <w:sz w:val="22"/>
          <w:szCs w:val="22"/>
        </w:rPr>
        <w:t> </w:t>
      </w:r>
    </w:p>
    <w:p w14:paraId="1D7E30EB"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HR Bartender (2016) </w:t>
      </w:r>
      <w:r>
        <w:rPr>
          <w:rStyle w:val="normaltextrun"/>
          <w:rFonts w:ascii="Calibri" w:hAnsi="Calibri" w:cs="Calibri"/>
          <w:i/>
          <w:iCs/>
          <w:sz w:val="22"/>
          <w:szCs w:val="22"/>
        </w:rPr>
        <w:t>The difference between training, facilitation and presentations,</w:t>
      </w:r>
      <w:r>
        <w:rPr>
          <w:rStyle w:val="normaltextrun"/>
          <w:rFonts w:ascii="Calibri" w:hAnsi="Calibri" w:cs="Calibri"/>
          <w:sz w:val="22"/>
          <w:szCs w:val="22"/>
        </w:rPr>
        <w:t xml:space="preserve"> Available at: </w:t>
      </w:r>
      <w:hyperlink r:id="rId27" w:tgtFrame="_blank" w:history="1">
        <w:r>
          <w:rPr>
            <w:rStyle w:val="normaltextrun"/>
            <w:rFonts w:ascii="Calibri" w:hAnsi="Calibri" w:cs="Calibri"/>
            <w:color w:val="0563C1"/>
            <w:sz w:val="22"/>
            <w:szCs w:val="22"/>
            <w:u w:val="single"/>
          </w:rPr>
          <w:t>https://www.hrbartender.com/2016/training/difference-training-facilitation-presentations/</w:t>
        </w:r>
      </w:hyperlink>
      <w:r>
        <w:rPr>
          <w:rStyle w:val="normaltextrun"/>
          <w:rFonts w:ascii="Calibri" w:hAnsi="Calibri" w:cs="Calibri"/>
          <w:sz w:val="22"/>
          <w:szCs w:val="22"/>
        </w:rPr>
        <w:t xml:space="preserve"> (Accessed: 13</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w:t>
      </w:r>
      <w:r>
        <w:rPr>
          <w:rStyle w:val="eop"/>
          <w:rFonts w:ascii="Calibri" w:eastAsiaTheme="majorEastAsia" w:hAnsi="Calibri" w:cs="Calibri"/>
          <w:sz w:val="22"/>
          <w:szCs w:val="22"/>
        </w:rPr>
        <w:t> </w:t>
      </w:r>
    </w:p>
    <w:p w14:paraId="0D275B86"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HR News (2021) </w:t>
      </w:r>
      <w:r>
        <w:rPr>
          <w:rStyle w:val="normaltextrun"/>
          <w:rFonts w:ascii="Calibri" w:hAnsi="Calibri" w:cs="Calibri"/>
          <w:i/>
          <w:iCs/>
          <w:sz w:val="22"/>
          <w:szCs w:val="22"/>
        </w:rPr>
        <w:t xml:space="preserve">The importance of employee learning and development, </w:t>
      </w:r>
      <w:r>
        <w:rPr>
          <w:rStyle w:val="normaltextrun"/>
          <w:rFonts w:ascii="Calibri" w:hAnsi="Calibri" w:cs="Calibri"/>
          <w:sz w:val="22"/>
          <w:szCs w:val="22"/>
        </w:rPr>
        <w:t xml:space="preserve">Available at: </w:t>
      </w:r>
      <w:hyperlink r:id="rId28" w:tgtFrame="_blank" w:history="1">
        <w:r>
          <w:rPr>
            <w:rStyle w:val="normaltextrun"/>
            <w:rFonts w:ascii="Calibri" w:hAnsi="Calibri" w:cs="Calibri"/>
            <w:color w:val="0563C1"/>
            <w:sz w:val="22"/>
            <w:szCs w:val="22"/>
            <w:u w:val="single"/>
          </w:rPr>
          <w:t>https://hrnews.co.uk/the-importance-of-employee-learning-and-development/</w:t>
        </w:r>
      </w:hyperlink>
      <w:r>
        <w:rPr>
          <w:rStyle w:val="normaltextrun"/>
          <w:rFonts w:ascii="Calibri" w:hAnsi="Calibri" w:cs="Calibri"/>
          <w:sz w:val="22"/>
          <w:szCs w:val="22"/>
        </w:rPr>
        <w:t xml:space="preserve"> (Accessed:12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39EEE757"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Bretz</w:t>
      </w:r>
      <w:proofErr w:type="spellEnd"/>
      <w:r>
        <w:rPr>
          <w:rStyle w:val="normaltextrun"/>
          <w:rFonts w:ascii="Calibri" w:hAnsi="Calibri" w:cs="Calibri"/>
          <w:sz w:val="22"/>
          <w:szCs w:val="22"/>
        </w:rPr>
        <w:t xml:space="preserve">, F (2015) </w:t>
      </w:r>
      <w:r>
        <w:rPr>
          <w:rStyle w:val="normaltextrun"/>
          <w:rFonts w:ascii="Calibri" w:hAnsi="Calibri" w:cs="Calibri"/>
          <w:i/>
          <w:iCs/>
          <w:sz w:val="22"/>
          <w:szCs w:val="22"/>
        </w:rPr>
        <w:t xml:space="preserve">How to Master Kirkpatrick model of training evaluation, Available at: </w:t>
      </w:r>
      <w:hyperlink r:id="rId29" w:tgtFrame="_blank" w:history="1">
        <w:r>
          <w:rPr>
            <w:rStyle w:val="normaltextrun"/>
            <w:rFonts w:ascii="Calibri" w:hAnsi="Calibri" w:cs="Calibri"/>
            <w:color w:val="0563C1"/>
            <w:sz w:val="22"/>
            <w:szCs w:val="22"/>
            <w:u w:val="single"/>
          </w:rPr>
          <w:t>https://kodosurvey.com/blog/how-master-kirkpatrick-model-training-evaluation</w:t>
        </w:r>
      </w:hyperlink>
      <w:r>
        <w:rPr>
          <w:rStyle w:val="normaltextrun"/>
          <w:rFonts w:ascii="Calibri" w:hAnsi="Calibri" w:cs="Calibri"/>
          <w:sz w:val="22"/>
          <w:szCs w:val="22"/>
        </w:rPr>
        <w:t xml:space="preserve"> (Accessed: 14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1D2DCF45"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McNeill, M (2021) </w:t>
      </w:r>
      <w:r>
        <w:rPr>
          <w:rStyle w:val="normaltextrun"/>
          <w:rFonts w:ascii="Calibri" w:hAnsi="Calibri" w:cs="Calibri"/>
          <w:i/>
          <w:iCs/>
          <w:sz w:val="22"/>
          <w:szCs w:val="22"/>
        </w:rPr>
        <w:t>L&amp;D's Role in Diversity and Inclusion,</w:t>
      </w:r>
      <w:r>
        <w:rPr>
          <w:rStyle w:val="normaltextrun"/>
          <w:rFonts w:ascii="Calibri" w:hAnsi="Calibri" w:cs="Calibri"/>
          <w:sz w:val="22"/>
          <w:szCs w:val="22"/>
        </w:rPr>
        <w:t xml:space="preserve"> Available at: </w:t>
      </w:r>
      <w:hyperlink r:id="rId30" w:tgtFrame="_blank" w:history="1">
        <w:r>
          <w:rPr>
            <w:rStyle w:val="normaltextrun"/>
            <w:rFonts w:ascii="Calibri" w:hAnsi="Calibri" w:cs="Calibri"/>
            <w:color w:val="0563C1"/>
            <w:sz w:val="22"/>
            <w:szCs w:val="22"/>
            <w:u w:val="single"/>
          </w:rPr>
          <w:t>https://dpglearn.co.uk/blog/learning-and-development/l-d-s-role-in-diversity-and-inclusion/</w:t>
        </w:r>
      </w:hyperlink>
      <w:r>
        <w:rPr>
          <w:rStyle w:val="normaltextrun"/>
          <w:rFonts w:ascii="Calibri" w:hAnsi="Calibri" w:cs="Calibri"/>
          <w:sz w:val="22"/>
          <w:szCs w:val="22"/>
        </w:rPr>
        <w:t xml:space="preserve"> (Accessed:14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104A46FB" w14:textId="77777777" w:rsidR="00892F71" w:rsidRDefault="00892F71" w:rsidP="00215EEB">
      <w:pPr>
        <w:pStyle w:val="paragraph"/>
        <w:spacing w:before="0" w:beforeAutospacing="0" w:after="0" w:afterAutospacing="0"/>
        <w:textAlignment w:val="baseline"/>
        <w:rPr>
          <w:rStyle w:val="normaltextrun"/>
          <w:rFonts w:ascii="Calibri" w:hAnsi="Calibri" w:cs="Calibri"/>
          <w:sz w:val="22"/>
          <w:szCs w:val="22"/>
        </w:rPr>
      </w:pPr>
    </w:p>
    <w:p w14:paraId="51CD02B7" w14:textId="77777777" w:rsidR="00892F71" w:rsidRDefault="00892F71" w:rsidP="00215EEB">
      <w:pPr>
        <w:pStyle w:val="paragraph"/>
        <w:spacing w:before="0" w:beforeAutospacing="0" w:after="0" w:afterAutospacing="0"/>
        <w:textAlignment w:val="baseline"/>
        <w:rPr>
          <w:rStyle w:val="normaltextrun"/>
          <w:rFonts w:ascii="Calibri" w:hAnsi="Calibri" w:cs="Calibri"/>
          <w:sz w:val="22"/>
          <w:szCs w:val="22"/>
        </w:rPr>
      </w:pPr>
    </w:p>
    <w:p w14:paraId="0846BC2B" w14:textId="77777777" w:rsidR="00892F71" w:rsidRDefault="00892F71" w:rsidP="00215EEB">
      <w:pPr>
        <w:pStyle w:val="paragraph"/>
        <w:spacing w:before="0" w:beforeAutospacing="0" w:after="0" w:afterAutospacing="0"/>
        <w:textAlignment w:val="baseline"/>
        <w:rPr>
          <w:rStyle w:val="normaltextrun"/>
          <w:rFonts w:ascii="Calibri" w:hAnsi="Calibri" w:cs="Calibri"/>
          <w:sz w:val="22"/>
          <w:szCs w:val="22"/>
        </w:rPr>
      </w:pPr>
    </w:p>
    <w:p w14:paraId="44CD1E45" w14:textId="77777777" w:rsidR="00892F71" w:rsidRDefault="00892F71" w:rsidP="00215EEB">
      <w:pPr>
        <w:pStyle w:val="paragraph"/>
        <w:spacing w:before="0" w:beforeAutospacing="0" w:after="0" w:afterAutospacing="0"/>
        <w:textAlignment w:val="baseline"/>
        <w:rPr>
          <w:rStyle w:val="normaltextrun"/>
          <w:rFonts w:ascii="Calibri" w:hAnsi="Calibri" w:cs="Calibri"/>
          <w:sz w:val="22"/>
          <w:szCs w:val="22"/>
        </w:rPr>
      </w:pPr>
    </w:p>
    <w:p w14:paraId="01755BAB" w14:textId="1CAD70CD"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Malec</w:t>
      </w:r>
      <w:proofErr w:type="spellEnd"/>
      <w:r>
        <w:rPr>
          <w:rStyle w:val="normaltextrun"/>
          <w:rFonts w:ascii="Calibri" w:hAnsi="Calibri" w:cs="Calibri"/>
          <w:sz w:val="22"/>
          <w:szCs w:val="22"/>
        </w:rPr>
        <w:t xml:space="preserve">, M (2022) </w:t>
      </w:r>
      <w:r>
        <w:rPr>
          <w:rStyle w:val="normaltextrun"/>
          <w:rFonts w:ascii="Calibri" w:hAnsi="Calibri" w:cs="Calibri"/>
          <w:i/>
          <w:iCs/>
          <w:sz w:val="22"/>
          <w:szCs w:val="22"/>
        </w:rPr>
        <w:t xml:space="preserve">How to identify learning needs in your people, </w:t>
      </w:r>
      <w:r>
        <w:rPr>
          <w:rStyle w:val="normaltextrun"/>
          <w:rFonts w:ascii="Calibri" w:hAnsi="Calibri" w:cs="Calibri"/>
          <w:sz w:val="22"/>
          <w:szCs w:val="22"/>
        </w:rPr>
        <w:t xml:space="preserve">Available at: </w:t>
      </w:r>
      <w:hyperlink r:id="rId31" w:tgtFrame="_blank" w:history="1">
        <w:r>
          <w:rPr>
            <w:rStyle w:val="normaltextrun"/>
            <w:rFonts w:ascii="Calibri" w:hAnsi="Calibri" w:cs="Calibri"/>
            <w:color w:val="0563C1"/>
            <w:sz w:val="22"/>
            <w:szCs w:val="22"/>
            <w:u w:val="single"/>
          </w:rPr>
          <w:t>https://www.learnerbly.com/articles/how-to-identify-learning-needs-in-your-people</w:t>
        </w:r>
      </w:hyperlink>
      <w:r>
        <w:rPr>
          <w:rStyle w:val="normaltextrun"/>
          <w:rFonts w:ascii="Calibri" w:hAnsi="Calibri" w:cs="Calibri"/>
          <w:sz w:val="22"/>
          <w:szCs w:val="22"/>
        </w:rPr>
        <w:t xml:space="preserve"> (Accessed: 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0E4A5B2F"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Naybour</w:t>
      </w:r>
      <w:proofErr w:type="spellEnd"/>
      <w:r>
        <w:rPr>
          <w:rStyle w:val="normaltextrun"/>
          <w:rFonts w:ascii="Calibri" w:hAnsi="Calibri" w:cs="Calibri"/>
          <w:sz w:val="22"/>
          <w:szCs w:val="22"/>
        </w:rPr>
        <w:t xml:space="preserve">, P (2020) </w:t>
      </w:r>
      <w:r>
        <w:rPr>
          <w:rStyle w:val="normaltextrun"/>
          <w:rFonts w:ascii="Calibri" w:hAnsi="Calibri" w:cs="Calibri"/>
          <w:i/>
          <w:iCs/>
          <w:sz w:val="22"/>
          <w:szCs w:val="22"/>
        </w:rPr>
        <w:t>Inclusive L&amp;D Teams Provide Better Learning Experiences</w:t>
      </w:r>
      <w:r>
        <w:rPr>
          <w:rStyle w:val="normaltextrun"/>
          <w:rFonts w:ascii="Calibri" w:hAnsi="Calibri" w:cs="Calibri"/>
          <w:sz w:val="22"/>
          <w:szCs w:val="22"/>
        </w:rPr>
        <w:t xml:space="preserve">, Available at: </w:t>
      </w:r>
      <w:hyperlink r:id="rId32" w:anchor=":~:text=An%20inclusive%20approach%20to%20training%20can%20help%20all,people%2C%20backgrounds%20and%20ideas%2C%20makes%20a%20huge%20difference." w:tgtFrame="_blank" w:history="1">
        <w:r>
          <w:rPr>
            <w:rStyle w:val="normaltextrun"/>
            <w:rFonts w:ascii="Calibri" w:hAnsi="Calibri" w:cs="Calibri"/>
            <w:color w:val="0563C1"/>
            <w:sz w:val="22"/>
            <w:szCs w:val="22"/>
            <w:u w:val="single"/>
          </w:rPr>
          <w:t>https://trainingindustry.com/articles/diversity-equity-and-inclusion/inclusive-ld-teams-provide-better-learning-experiences/#:~:text=An%20inclusive%20approach%20to%20training%20can%20help%20all,people%2C%20backgrounds%20and%20ideas%2C%20makes%20a%20huge%20difference.</w:t>
        </w:r>
      </w:hyperlink>
      <w:r>
        <w:rPr>
          <w:rStyle w:val="normaltextrun"/>
          <w:rFonts w:ascii="Calibri" w:hAnsi="Calibri" w:cs="Calibri"/>
          <w:sz w:val="22"/>
          <w:szCs w:val="22"/>
        </w:rPr>
        <w:t xml:space="preserve"> (Accessed: 14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5598C60F"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Valamis</w:t>
      </w:r>
      <w:proofErr w:type="spellEnd"/>
      <w:r>
        <w:rPr>
          <w:rStyle w:val="normaltextrun"/>
          <w:rFonts w:ascii="Calibri" w:hAnsi="Calibri" w:cs="Calibri"/>
          <w:sz w:val="22"/>
          <w:szCs w:val="22"/>
        </w:rPr>
        <w:t xml:space="preserve"> (2022) </w:t>
      </w:r>
      <w:r>
        <w:rPr>
          <w:rStyle w:val="normaltextrun"/>
          <w:rFonts w:ascii="Calibri" w:hAnsi="Calibri" w:cs="Calibri"/>
          <w:i/>
          <w:iCs/>
          <w:sz w:val="22"/>
          <w:szCs w:val="22"/>
        </w:rPr>
        <w:t xml:space="preserve">Learning and Development fundamentals, </w:t>
      </w:r>
      <w:r>
        <w:rPr>
          <w:rStyle w:val="normaltextrun"/>
          <w:rFonts w:ascii="Calibri" w:hAnsi="Calibri" w:cs="Calibri"/>
          <w:sz w:val="22"/>
          <w:szCs w:val="22"/>
        </w:rPr>
        <w:t xml:space="preserve">Available at: </w:t>
      </w:r>
      <w:hyperlink r:id="rId33" w:anchor="delivery-methods" w:tgtFrame="_blank" w:history="1">
        <w:r>
          <w:rPr>
            <w:rStyle w:val="normaltextrun"/>
            <w:rFonts w:ascii="Calibri" w:hAnsi="Calibri" w:cs="Calibri"/>
            <w:color w:val="0563C1"/>
            <w:sz w:val="22"/>
            <w:szCs w:val="22"/>
            <w:u w:val="single"/>
          </w:rPr>
          <w:t>https://www.valamis.com/hub/learning-and-development#delivery-methods</w:t>
        </w:r>
      </w:hyperlink>
      <w:r>
        <w:rPr>
          <w:rStyle w:val="normaltextrun"/>
          <w:rFonts w:ascii="Calibri" w:hAnsi="Calibri" w:cs="Calibri"/>
          <w:sz w:val="22"/>
          <w:szCs w:val="22"/>
        </w:rPr>
        <w:t xml:space="preserve"> (Accessed: 13</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60F30454"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Waite, K. et al (2021) </w:t>
      </w:r>
      <w:r>
        <w:rPr>
          <w:rStyle w:val="normaltextrun"/>
          <w:rFonts w:ascii="Calibri" w:hAnsi="Calibri" w:cs="Calibri"/>
          <w:i/>
          <w:iCs/>
          <w:sz w:val="22"/>
          <w:szCs w:val="22"/>
        </w:rPr>
        <w:t xml:space="preserve">People practice: a complete guide, </w:t>
      </w:r>
      <w:r>
        <w:rPr>
          <w:rStyle w:val="normaltextrun"/>
          <w:rFonts w:ascii="Calibri" w:hAnsi="Calibri" w:cs="Calibri"/>
          <w:sz w:val="22"/>
          <w:szCs w:val="22"/>
        </w:rPr>
        <w:t>London: Kogan Page.</w:t>
      </w:r>
      <w:r>
        <w:rPr>
          <w:rStyle w:val="eop"/>
          <w:rFonts w:ascii="Calibri" w:eastAsiaTheme="majorEastAsia" w:hAnsi="Calibri" w:cs="Calibri"/>
          <w:sz w:val="22"/>
          <w:szCs w:val="22"/>
        </w:rPr>
        <w:t> </w:t>
      </w:r>
    </w:p>
    <w:p w14:paraId="65F9E8A0" w14:textId="77777777" w:rsidR="00215EEB" w:rsidRDefault="00215EEB" w:rsidP="00215EE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Workforce (2019)</w:t>
      </w:r>
      <w:r>
        <w:rPr>
          <w:rStyle w:val="normaltextrun"/>
          <w:rFonts w:ascii="Calibri" w:hAnsi="Calibri" w:cs="Calibri"/>
          <w:i/>
          <w:iCs/>
          <w:sz w:val="22"/>
          <w:szCs w:val="22"/>
        </w:rPr>
        <w:t xml:space="preserve"> 5 Benefits of Blended Learning in the Workplace</w:t>
      </w:r>
      <w:r>
        <w:rPr>
          <w:rStyle w:val="normaltextrun"/>
          <w:rFonts w:ascii="Calibri" w:hAnsi="Calibri" w:cs="Calibri"/>
          <w:sz w:val="22"/>
          <w:szCs w:val="22"/>
        </w:rPr>
        <w:t xml:space="preserve">, Available at:  </w:t>
      </w:r>
      <w:hyperlink r:id="rId34" w:tgtFrame="_blank" w:history="1">
        <w:r>
          <w:rPr>
            <w:rStyle w:val="normaltextrun"/>
            <w:rFonts w:ascii="Calibri" w:hAnsi="Calibri" w:cs="Calibri"/>
            <w:color w:val="0563C1"/>
            <w:sz w:val="22"/>
            <w:szCs w:val="22"/>
            <w:u w:val="single"/>
          </w:rPr>
          <w:t>https://workforcegroup.com/benefits-of-blended-learning/</w:t>
        </w:r>
      </w:hyperlink>
      <w:r>
        <w:rPr>
          <w:rStyle w:val="normaltextrun"/>
          <w:rFonts w:ascii="Calibri" w:hAnsi="Calibri" w:cs="Calibri"/>
          <w:sz w:val="22"/>
          <w:szCs w:val="22"/>
        </w:rPr>
        <w:t xml:space="preserve"> (Accessed: 13</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December 2022). </w:t>
      </w:r>
      <w:r>
        <w:rPr>
          <w:rStyle w:val="eop"/>
          <w:rFonts w:ascii="Calibri" w:eastAsiaTheme="majorEastAsia" w:hAnsi="Calibri" w:cs="Calibri"/>
          <w:sz w:val="22"/>
          <w:szCs w:val="22"/>
        </w:rPr>
        <w:t> </w:t>
      </w:r>
    </w:p>
    <w:p w14:paraId="0781FC3F" w14:textId="77777777" w:rsidR="00FC3082" w:rsidRPr="0073010D" w:rsidRDefault="00FC3082" w:rsidP="00FC3082">
      <w:pPr>
        <w:ind w:left="720"/>
        <w:rPr>
          <w:sz w:val="20"/>
          <w:szCs w:val="20"/>
        </w:rPr>
      </w:pPr>
    </w:p>
    <w:sectPr w:rsidR="00FC3082" w:rsidRPr="0073010D" w:rsidSect="008503C1">
      <w:headerReference w:type="default" r:id="rId35"/>
      <w:footerReference w:type="default" r:id="rId36"/>
      <w:pgSz w:w="23811" w:h="16838" w:orient="landscape" w:code="8"/>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3"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64497" w14:textId="77777777" w:rsidR="00E35AEF" w:rsidRDefault="00E35AEF" w:rsidP="007203D1">
      <w:pPr>
        <w:spacing w:after="0" w:line="240" w:lineRule="auto"/>
      </w:pPr>
      <w:r>
        <w:separator/>
      </w:r>
    </w:p>
  </w:endnote>
  <w:endnote w:type="continuationSeparator" w:id="0">
    <w:p w14:paraId="208D7FEC" w14:textId="77777777" w:rsidR="00E35AEF" w:rsidRDefault="00E35AEF" w:rsidP="007203D1">
      <w:pPr>
        <w:spacing w:after="0" w:line="240" w:lineRule="auto"/>
      </w:pPr>
      <w:r>
        <w:continuationSeparator/>
      </w:r>
    </w:p>
  </w:endnote>
  <w:endnote w:type="continuationNotice" w:id="1">
    <w:p w14:paraId="6603A0BE" w14:textId="77777777" w:rsidR="00E35AEF" w:rsidRDefault="00E35A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10479"/>
      <w:gridCol w:w="10452"/>
    </w:tblGrid>
    <w:tr w:rsidR="007453F1" w14:paraId="057B4915" w14:textId="77777777">
      <w:trPr>
        <w:trHeight w:hRule="exact" w:val="115"/>
        <w:jc w:val="center"/>
      </w:trPr>
      <w:tc>
        <w:tcPr>
          <w:tcW w:w="4686" w:type="dxa"/>
          <w:shd w:val="clear" w:color="auto" w:fill="92278F" w:themeFill="accent1"/>
          <w:tcMar>
            <w:top w:w="0" w:type="dxa"/>
            <w:bottom w:w="0" w:type="dxa"/>
          </w:tcMar>
        </w:tcPr>
        <w:p w14:paraId="0D96F244" w14:textId="77777777" w:rsidR="007453F1" w:rsidRDefault="007453F1">
          <w:pPr>
            <w:pStyle w:val="Header"/>
            <w:rPr>
              <w:caps/>
              <w:sz w:val="18"/>
            </w:rPr>
          </w:pPr>
        </w:p>
      </w:tc>
      <w:tc>
        <w:tcPr>
          <w:tcW w:w="4674" w:type="dxa"/>
          <w:shd w:val="clear" w:color="auto" w:fill="92278F" w:themeFill="accent1"/>
          <w:tcMar>
            <w:top w:w="0" w:type="dxa"/>
            <w:bottom w:w="0" w:type="dxa"/>
          </w:tcMar>
        </w:tcPr>
        <w:p w14:paraId="72D8E2A2" w14:textId="77777777" w:rsidR="007453F1" w:rsidRDefault="007453F1">
          <w:pPr>
            <w:pStyle w:val="Header"/>
            <w:jc w:val="right"/>
            <w:rPr>
              <w:caps/>
              <w:sz w:val="18"/>
            </w:rPr>
          </w:pPr>
        </w:p>
      </w:tc>
    </w:tr>
    <w:tr w:rsidR="007453F1" w14:paraId="4AD539E1" w14:textId="77777777">
      <w:trPr>
        <w:jc w:val="center"/>
      </w:trPr>
      <w:sdt>
        <w:sdtPr>
          <w:rPr>
            <w:caps/>
            <w:color w:val="000000" w:themeColor="text1"/>
            <w:sz w:val="18"/>
            <w:szCs w:val="18"/>
          </w:rPr>
          <w:alias w:val="Author"/>
          <w:tag w:val=""/>
          <w:id w:val="1534151868"/>
          <w:placeholder>
            <w:docPart w:val="EC890982D3E94EE4BC33E83D7DDAF0D7"/>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65AF5137" w14:textId="67480B41" w:rsidR="007453F1" w:rsidRDefault="00DD0B68">
              <w:pPr>
                <w:pStyle w:val="Footer"/>
                <w:rPr>
                  <w:caps/>
                  <w:color w:val="808080" w:themeColor="background1" w:themeShade="80"/>
                  <w:sz w:val="18"/>
                  <w:szCs w:val="18"/>
                </w:rPr>
              </w:pPr>
              <w:r>
                <w:rPr>
                  <w:caps/>
                  <w:color w:val="000000" w:themeColor="text1"/>
                  <w:sz w:val="18"/>
                  <w:szCs w:val="18"/>
                </w:rPr>
                <w:t>By Sarah russell, Wordcount 1268</w:t>
              </w:r>
            </w:p>
          </w:tc>
        </w:sdtContent>
      </w:sdt>
      <w:tc>
        <w:tcPr>
          <w:tcW w:w="4674" w:type="dxa"/>
          <w:shd w:val="clear" w:color="auto" w:fill="auto"/>
          <w:vAlign w:val="center"/>
        </w:tcPr>
        <w:p w14:paraId="11CB99BA" w14:textId="77777777" w:rsidR="007453F1" w:rsidRDefault="007453F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EF23234" w14:textId="77777777" w:rsidR="009865C1" w:rsidRDefault="00986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58D46" w14:textId="77777777" w:rsidR="00E35AEF" w:rsidRDefault="00E35AEF" w:rsidP="007203D1">
      <w:pPr>
        <w:spacing w:after="0" w:line="240" w:lineRule="auto"/>
      </w:pPr>
      <w:r>
        <w:separator/>
      </w:r>
    </w:p>
  </w:footnote>
  <w:footnote w:type="continuationSeparator" w:id="0">
    <w:p w14:paraId="03CC388A" w14:textId="77777777" w:rsidR="00E35AEF" w:rsidRDefault="00E35AEF" w:rsidP="007203D1">
      <w:pPr>
        <w:spacing w:after="0" w:line="240" w:lineRule="auto"/>
      </w:pPr>
      <w:r>
        <w:continuationSeparator/>
      </w:r>
    </w:p>
  </w:footnote>
  <w:footnote w:type="continuationNotice" w:id="1">
    <w:p w14:paraId="74BBF76F" w14:textId="77777777" w:rsidR="00E35AEF" w:rsidRDefault="00E35A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866BD" w14:textId="3B6E1B3D" w:rsidR="007203D1" w:rsidRDefault="008503C1">
    <w:pPr>
      <w:pStyle w:val="Header"/>
    </w:pPr>
    <w:r>
      <w:rPr>
        <w:noProof/>
      </w:rPr>
      <mc:AlternateContent>
        <mc:Choice Requires="wps">
          <w:drawing>
            <wp:anchor distT="0" distB="0" distL="118745" distR="118745" simplePos="0" relativeHeight="251658240" behindDoc="1" locked="0" layoutInCell="1" allowOverlap="0" wp14:anchorId="0A17D04D" wp14:editId="4E9EDBF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33FA373" w14:textId="4B55D4E4" w:rsidR="008503C1" w:rsidRDefault="008503C1">
                              <w:pPr>
                                <w:pStyle w:val="Header"/>
                                <w:jc w:val="center"/>
                                <w:rPr>
                                  <w:caps/>
                                  <w:color w:val="FFFFFF" w:themeColor="background1"/>
                                </w:rPr>
                              </w:pPr>
                              <w:r>
                                <w:rPr>
                                  <w:caps/>
                                  <w:color w:val="FFFFFF" w:themeColor="background1"/>
                                </w:rPr>
                                <w:t>Learning &amp; Development Factsheet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xmlns:arto="http://schemas.microsoft.com/office/word/2006/arto" xmlns:oel="http://schemas.microsoft.com/office/2019/extlst">
          <w:pict>
            <v:rect w14:anchorId="0A17D04D" id="Rectangle 197"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92278f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33FA373" w14:textId="4B55D4E4" w:rsidR="008503C1" w:rsidRDefault="008503C1">
                        <w:pPr>
                          <w:pStyle w:val="Header"/>
                          <w:jc w:val="center"/>
                          <w:rPr>
                            <w:caps/>
                            <w:color w:val="FFFFFF" w:themeColor="background1"/>
                          </w:rPr>
                        </w:pPr>
                        <w:r>
                          <w:rPr>
                            <w:caps/>
                            <w:color w:val="FFFFFF" w:themeColor="background1"/>
                          </w:rPr>
                          <w:t>Learning &amp; Development Factsheet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E1F5369"/>
    <w:multiLevelType w:val="hybridMultilevel"/>
    <w:tmpl w:val="6A98C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E1EBB"/>
    <w:multiLevelType w:val="hybridMultilevel"/>
    <w:tmpl w:val="5DBC7354"/>
    <w:lvl w:ilvl="0" w:tplc="495E287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D1B2A"/>
    <w:multiLevelType w:val="hybridMultilevel"/>
    <w:tmpl w:val="C2AEFF1A"/>
    <w:lvl w:ilvl="0" w:tplc="495E2874">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A423D44"/>
    <w:multiLevelType w:val="hybridMultilevel"/>
    <w:tmpl w:val="51ACB6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A025AD"/>
    <w:multiLevelType w:val="hybridMultilevel"/>
    <w:tmpl w:val="49CA5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E11DC8"/>
    <w:multiLevelType w:val="hybridMultilevel"/>
    <w:tmpl w:val="4E8A9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2F162A"/>
    <w:multiLevelType w:val="hybridMultilevel"/>
    <w:tmpl w:val="1EF63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6"/>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5"/>
  </w:num>
  <w:num w:numId="23">
    <w:abstractNumId w:val="2"/>
  </w:num>
  <w:num w:numId="24">
    <w:abstractNumId w:val="3"/>
  </w:num>
  <w:num w:numId="25">
    <w:abstractNumId w:val="1"/>
  </w:num>
  <w:num w:numId="26">
    <w:abstractNumId w:val="4"/>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2242F8"/>
    <w:rsid w:val="000428CC"/>
    <w:rsid w:val="00052203"/>
    <w:rsid w:val="00054D4C"/>
    <w:rsid w:val="00056287"/>
    <w:rsid w:val="00056B51"/>
    <w:rsid w:val="00076863"/>
    <w:rsid w:val="00083C50"/>
    <w:rsid w:val="0009610C"/>
    <w:rsid w:val="0009685A"/>
    <w:rsid w:val="000C4294"/>
    <w:rsid w:val="000D1976"/>
    <w:rsid w:val="000F400F"/>
    <w:rsid w:val="000F4D35"/>
    <w:rsid w:val="000F53AA"/>
    <w:rsid w:val="00101B01"/>
    <w:rsid w:val="0010494A"/>
    <w:rsid w:val="00127955"/>
    <w:rsid w:val="00152FCB"/>
    <w:rsid w:val="001C5A52"/>
    <w:rsid w:val="001E5A8C"/>
    <w:rsid w:val="00215EEB"/>
    <w:rsid w:val="0023450E"/>
    <w:rsid w:val="002422D2"/>
    <w:rsid w:val="0025702C"/>
    <w:rsid w:val="00263B6A"/>
    <w:rsid w:val="00276837"/>
    <w:rsid w:val="002A0047"/>
    <w:rsid w:val="002A11DF"/>
    <w:rsid w:val="002C1C32"/>
    <w:rsid w:val="002C67EA"/>
    <w:rsid w:val="002D3B9A"/>
    <w:rsid w:val="00324CF7"/>
    <w:rsid w:val="003323CD"/>
    <w:rsid w:val="0033703D"/>
    <w:rsid w:val="00351824"/>
    <w:rsid w:val="0036744D"/>
    <w:rsid w:val="00390938"/>
    <w:rsid w:val="00394437"/>
    <w:rsid w:val="003B0D8E"/>
    <w:rsid w:val="003B4B93"/>
    <w:rsid w:val="003F4C8E"/>
    <w:rsid w:val="004003F9"/>
    <w:rsid w:val="00434BA2"/>
    <w:rsid w:val="00441A98"/>
    <w:rsid w:val="00455CFD"/>
    <w:rsid w:val="00466860"/>
    <w:rsid w:val="00486D19"/>
    <w:rsid w:val="004959B9"/>
    <w:rsid w:val="004A6EDE"/>
    <w:rsid w:val="004C6735"/>
    <w:rsid w:val="005129DC"/>
    <w:rsid w:val="00517624"/>
    <w:rsid w:val="0052177A"/>
    <w:rsid w:val="005D0544"/>
    <w:rsid w:val="005D0881"/>
    <w:rsid w:val="005D418B"/>
    <w:rsid w:val="005E1717"/>
    <w:rsid w:val="00615BC5"/>
    <w:rsid w:val="00627B33"/>
    <w:rsid w:val="00651399"/>
    <w:rsid w:val="00677D42"/>
    <w:rsid w:val="006D2A0C"/>
    <w:rsid w:val="006D68EE"/>
    <w:rsid w:val="006F6030"/>
    <w:rsid w:val="00706249"/>
    <w:rsid w:val="00706A8A"/>
    <w:rsid w:val="0071555E"/>
    <w:rsid w:val="007203D1"/>
    <w:rsid w:val="0073010D"/>
    <w:rsid w:val="007453F1"/>
    <w:rsid w:val="00773301"/>
    <w:rsid w:val="007770EB"/>
    <w:rsid w:val="00784071"/>
    <w:rsid w:val="00797C7D"/>
    <w:rsid w:val="007A1150"/>
    <w:rsid w:val="007A5006"/>
    <w:rsid w:val="007B5A2B"/>
    <w:rsid w:val="007D26DA"/>
    <w:rsid w:val="007E14CA"/>
    <w:rsid w:val="007E7E6E"/>
    <w:rsid w:val="007F4A54"/>
    <w:rsid w:val="007F4D98"/>
    <w:rsid w:val="00826E41"/>
    <w:rsid w:val="00840943"/>
    <w:rsid w:val="008503C1"/>
    <w:rsid w:val="00862282"/>
    <w:rsid w:val="00864447"/>
    <w:rsid w:val="008906B9"/>
    <w:rsid w:val="00892F71"/>
    <w:rsid w:val="008C072E"/>
    <w:rsid w:val="008C450D"/>
    <w:rsid w:val="008C7324"/>
    <w:rsid w:val="0090250A"/>
    <w:rsid w:val="00906B18"/>
    <w:rsid w:val="00933DEB"/>
    <w:rsid w:val="00947FB2"/>
    <w:rsid w:val="00955F92"/>
    <w:rsid w:val="00962193"/>
    <w:rsid w:val="009865C1"/>
    <w:rsid w:val="009C1093"/>
    <w:rsid w:val="00A34635"/>
    <w:rsid w:val="00A52829"/>
    <w:rsid w:val="00A80FA9"/>
    <w:rsid w:val="00AB16C6"/>
    <w:rsid w:val="00AD61EB"/>
    <w:rsid w:val="00AE4326"/>
    <w:rsid w:val="00AF460F"/>
    <w:rsid w:val="00B12D95"/>
    <w:rsid w:val="00B160DD"/>
    <w:rsid w:val="00B5586F"/>
    <w:rsid w:val="00B70EB1"/>
    <w:rsid w:val="00B952F2"/>
    <w:rsid w:val="00B97D57"/>
    <w:rsid w:val="00BF7D19"/>
    <w:rsid w:val="00C000FB"/>
    <w:rsid w:val="00C11C13"/>
    <w:rsid w:val="00C378B5"/>
    <w:rsid w:val="00C40941"/>
    <w:rsid w:val="00C55B54"/>
    <w:rsid w:val="00C66642"/>
    <w:rsid w:val="00C80912"/>
    <w:rsid w:val="00C94CA7"/>
    <w:rsid w:val="00C96CA5"/>
    <w:rsid w:val="00CC078C"/>
    <w:rsid w:val="00CD2A88"/>
    <w:rsid w:val="00CD6377"/>
    <w:rsid w:val="00CF1009"/>
    <w:rsid w:val="00D03C64"/>
    <w:rsid w:val="00D049A2"/>
    <w:rsid w:val="00D04DEB"/>
    <w:rsid w:val="00D13C1A"/>
    <w:rsid w:val="00D276C4"/>
    <w:rsid w:val="00D37D8B"/>
    <w:rsid w:val="00D5254A"/>
    <w:rsid w:val="00D546B2"/>
    <w:rsid w:val="00D61CB5"/>
    <w:rsid w:val="00D6211D"/>
    <w:rsid w:val="00D63D1E"/>
    <w:rsid w:val="00D6699A"/>
    <w:rsid w:val="00DD05BB"/>
    <w:rsid w:val="00DD0B68"/>
    <w:rsid w:val="00E10BD7"/>
    <w:rsid w:val="00E12D3A"/>
    <w:rsid w:val="00E23AA0"/>
    <w:rsid w:val="00E30EF6"/>
    <w:rsid w:val="00E335D8"/>
    <w:rsid w:val="00E35AEF"/>
    <w:rsid w:val="00E41D9B"/>
    <w:rsid w:val="00E46EBF"/>
    <w:rsid w:val="00E51DEA"/>
    <w:rsid w:val="00E56891"/>
    <w:rsid w:val="00E84351"/>
    <w:rsid w:val="00E94261"/>
    <w:rsid w:val="00E9626B"/>
    <w:rsid w:val="00EA133A"/>
    <w:rsid w:val="00EA7195"/>
    <w:rsid w:val="00EB472F"/>
    <w:rsid w:val="00EB52D3"/>
    <w:rsid w:val="00EE08BB"/>
    <w:rsid w:val="00F22D4A"/>
    <w:rsid w:val="00F3526F"/>
    <w:rsid w:val="00F43273"/>
    <w:rsid w:val="00F6261F"/>
    <w:rsid w:val="00FA0EB3"/>
    <w:rsid w:val="00FA3AC8"/>
    <w:rsid w:val="00FC3082"/>
    <w:rsid w:val="00FF5219"/>
    <w:rsid w:val="00FF74CD"/>
    <w:rsid w:val="0AF1FFDA"/>
    <w:rsid w:val="182242F8"/>
    <w:rsid w:val="27836313"/>
    <w:rsid w:val="2C3DABD9"/>
    <w:rsid w:val="765E6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2242F8"/>
  <w15:chartTrackingRefBased/>
  <w15:docId w15:val="{F2A1F32A-1E17-4E02-B088-976158A17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193"/>
  </w:style>
  <w:style w:type="paragraph" w:styleId="Heading1">
    <w:name w:val="heading 1"/>
    <w:basedOn w:val="Normal"/>
    <w:next w:val="Normal"/>
    <w:link w:val="Heading1Char"/>
    <w:uiPriority w:val="9"/>
    <w:qFormat/>
    <w:rsid w:val="00962193"/>
    <w:pPr>
      <w:keepNext/>
      <w:keepLines/>
      <w:numPr>
        <w:numId w:val="2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962193"/>
    <w:pPr>
      <w:keepNext/>
      <w:keepLines/>
      <w:numPr>
        <w:ilvl w:val="1"/>
        <w:numId w:val="2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962193"/>
    <w:pPr>
      <w:keepNext/>
      <w:keepLines/>
      <w:numPr>
        <w:ilvl w:val="2"/>
        <w:numId w:val="2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62193"/>
    <w:pPr>
      <w:keepNext/>
      <w:keepLines/>
      <w:numPr>
        <w:ilvl w:val="3"/>
        <w:numId w:val="2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62193"/>
    <w:pPr>
      <w:keepNext/>
      <w:keepLines/>
      <w:numPr>
        <w:ilvl w:val="4"/>
        <w:numId w:val="21"/>
      </w:numPr>
      <w:spacing w:before="200" w:after="0"/>
      <w:outlineLvl w:val="4"/>
    </w:pPr>
    <w:rPr>
      <w:rFonts w:asciiTheme="majorHAnsi" w:eastAsiaTheme="majorEastAsia" w:hAnsiTheme="majorHAnsi" w:cstheme="majorBidi"/>
      <w:color w:val="492249" w:themeColor="text2" w:themeShade="BF"/>
    </w:rPr>
  </w:style>
  <w:style w:type="paragraph" w:styleId="Heading6">
    <w:name w:val="heading 6"/>
    <w:basedOn w:val="Normal"/>
    <w:next w:val="Normal"/>
    <w:link w:val="Heading6Char"/>
    <w:uiPriority w:val="9"/>
    <w:semiHidden/>
    <w:unhideWhenUsed/>
    <w:qFormat/>
    <w:rsid w:val="00962193"/>
    <w:pPr>
      <w:keepNext/>
      <w:keepLines/>
      <w:numPr>
        <w:ilvl w:val="5"/>
        <w:numId w:val="21"/>
      </w:numPr>
      <w:spacing w:before="200" w:after="0"/>
      <w:outlineLvl w:val="5"/>
    </w:pPr>
    <w:rPr>
      <w:rFonts w:asciiTheme="majorHAnsi" w:eastAsiaTheme="majorEastAsia" w:hAnsiTheme="majorHAnsi" w:cstheme="majorBidi"/>
      <w:i/>
      <w:iCs/>
      <w:color w:val="492249" w:themeColor="text2" w:themeShade="BF"/>
    </w:rPr>
  </w:style>
  <w:style w:type="paragraph" w:styleId="Heading7">
    <w:name w:val="heading 7"/>
    <w:basedOn w:val="Normal"/>
    <w:next w:val="Normal"/>
    <w:link w:val="Heading7Char"/>
    <w:uiPriority w:val="9"/>
    <w:semiHidden/>
    <w:unhideWhenUsed/>
    <w:qFormat/>
    <w:rsid w:val="00962193"/>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62193"/>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62193"/>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3D1"/>
  </w:style>
  <w:style w:type="paragraph" w:styleId="Footer">
    <w:name w:val="footer"/>
    <w:basedOn w:val="Normal"/>
    <w:link w:val="FooterChar"/>
    <w:uiPriority w:val="99"/>
    <w:unhideWhenUsed/>
    <w:rsid w:val="00720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3D1"/>
  </w:style>
  <w:style w:type="paragraph" w:styleId="NormalWeb">
    <w:name w:val="Normal (Web)"/>
    <w:basedOn w:val="Normal"/>
    <w:uiPriority w:val="99"/>
    <w:semiHidden/>
    <w:unhideWhenUsed/>
    <w:rsid w:val="00D04D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62193"/>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96219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962193"/>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6219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62193"/>
    <w:rPr>
      <w:rFonts w:asciiTheme="majorHAnsi" w:eastAsiaTheme="majorEastAsia" w:hAnsiTheme="majorHAnsi" w:cstheme="majorBidi"/>
      <w:color w:val="492249" w:themeColor="text2" w:themeShade="BF"/>
    </w:rPr>
  </w:style>
  <w:style w:type="character" w:customStyle="1" w:styleId="Heading6Char">
    <w:name w:val="Heading 6 Char"/>
    <w:basedOn w:val="DefaultParagraphFont"/>
    <w:link w:val="Heading6"/>
    <w:uiPriority w:val="9"/>
    <w:semiHidden/>
    <w:rsid w:val="00962193"/>
    <w:rPr>
      <w:rFonts w:asciiTheme="majorHAnsi" w:eastAsiaTheme="majorEastAsia" w:hAnsiTheme="majorHAnsi" w:cstheme="majorBidi"/>
      <w:i/>
      <w:iCs/>
      <w:color w:val="492249" w:themeColor="text2" w:themeShade="BF"/>
    </w:rPr>
  </w:style>
  <w:style w:type="character" w:customStyle="1" w:styleId="Heading7Char">
    <w:name w:val="Heading 7 Char"/>
    <w:basedOn w:val="DefaultParagraphFont"/>
    <w:link w:val="Heading7"/>
    <w:uiPriority w:val="9"/>
    <w:semiHidden/>
    <w:rsid w:val="0096219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6219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6219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62193"/>
    <w:pPr>
      <w:spacing w:after="200" w:line="240" w:lineRule="auto"/>
    </w:pPr>
    <w:rPr>
      <w:i/>
      <w:iCs/>
      <w:color w:val="632E62" w:themeColor="text2"/>
      <w:sz w:val="18"/>
      <w:szCs w:val="18"/>
    </w:rPr>
  </w:style>
  <w:style w:type="paragraph" w:styleId="Title">
    <w:name w:val="Title"/>
    <w:basedOn w:val="Normal"/>
    <w:next w:val="Normal"/>
    <w:link w:val="TitleChar"/>
    <w:uiPriority w:val="10"/>
    <w:qFormat/>
    <w:rsid w:val="0096219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62193"/>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62193"/>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62193"/>
    <w:rPr>
      <w:color w:val="5A5A5A" w:themeColor="text1" w:themeTint="A5"/>
      <w:spacing w:val="10"/>
    </w:rPr>
  </w:style>
  <w:style w:type="character" w:styleId="Strong">
    <w:name w:val="Strong"/>
    <w:basedOn w:val="DefaultParagraphFont"/>
    <w:uiPriority w:val="22"/>
    <w:qFormat/>
    <w:rsid w:val="00962193"/>
    <w:rPr>
      <w:b/>
      <w:bCs/>
      <w:color w:val="000000" w:themeColor="text1"/>
    </w:rPr>
  </w:style>
  <w:style w:type="character" w:styleId="Emphasis">
    <w:name w:val="Emphasis"/>
    <w:basedOn w:val="DefaultParagraphFont"/>
    <w:uiPriority w:val="20"/>
    <w:qFormat/>
    <w:rsid w:val="00962193"/>
    <w:rPr>
      <w:i/>
      <w:iCs/>
      <w:color w:val="auto"/>
    </w:rPr>
  </w:style>
  <w:style w:type="paragraph" w:styleId="NoSpacing">
    <w:name w:val="No Spacing"/>
    <w:link w:val="NoSpacingChar"/>
    <w:uiPriority w:val="1"/>
    <w:qFormat/>
    <w:rsid w:val="00962193"/>
    <w:pPr>
      <w:spacing w:after="0" w:line="240" w:lineRule="auto"/>
    </w:pPr>
  </w:style>
  <w:style w:type="paragraph" w:styleId="Quote">
    <w:name w:val="Quote"/>
    <w:basedOn w:val="Normal"/>
    <w:next w:val="Normal"/>
    <w:link w:val="QuoteChar"/>
    <w:uiPriority w:val="29"/>
    <w:qFormat/>
    <w:rsid w:val="00962193"/>
    <w:pPr>
      <w:spacing w:before="160"/>
      <w:ind w:left="720" w:right="720"/>
    </w:pPr>
    <w:rPr>
      <w:i/>
      <w:iCs/>
      <w:color w:val="000000" w:themeColor="text1"/>
    </w:rPr>
  </w:style>
  <w:style w:type="character" w:customStyle="1" w:styleId="QuoteChar">
    <w:name w:val="Quote Char"/>
    <w:basedOn w:val="DefaultParagraphFont"/>
    <w:link w:val="Quote"/>
    <w:uiPriority w:val="29"/>
    <w:rsid w:val="00962193"/>
    <w:rPr>
      <w:i/>
      <w:iCs/>
      <w:color w:val="000000" w:themeColor="text1"/>
    </w:rPr>
  </w:style>
  <w:style w:type="paragraph" w:styleId="IntenseQuote">
    <w:name w:val="Intense Quote"/>
    <w:basedOn w:val="Normal"/>
    <w:next w:val="Normal"/>
    <w:link w:val="IntenseQuoteChar"/>
    <w:uiPriority w:val="30"/>
    <w:qFormat/>
    <w:rsid w:val="0096219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62193"/>
    <w:rPr>
      <w:color w:val="000000" w:themeColor="text1"/>
      <w:shd w:val="clear" w:color="auto" w:fill="F2F2F2" w:themeFill="background1" w:themeFillShade="F2"/>
    </w:rPr>
  </w:style>
  <w:style w:type="character" w:styleId="SubtleEmphasis">
    <w:name w:val="Subtle Emphasis"/>
    <w:basedOn w:val="DefaultParagraphFont"/>
    <w:uiPriority w:val="19"/>
    <w:qFormat/>
    <w:rsid w:val="00962193"/>
    <w:rPr>
      <w:i/>
      <w:iCs/>
      <w:color w:val="404040" w:themeColor="text1" w:themeTint="BF"/>
    </w:rPr>
  </w:style>
  <w:style w:type="character" w:styleId="IntenseEmphasis">
    <w:name w:val="Intense Emphasis"/>
    <w:basedOn w:val="DefaultParagraphFont"/>
    <w:uiPriority w:val="21"/>
    <w:qFormat/>
    <w:rsid w:val="00962193"/>
    <w:rPr>
      <w:b/>
      <w:bCs/>
      <w:i/>
      <w:iCs/>
      <w:caps/>
    </w:rPr>
  </w:style>
  <w:style w:type="character" w:styleId="SubtleReference">
    <w:name w:val="Subtle Reference"/>
    <w:basedOn w:val="DefaultParagraphFont"/>
    <w:uiPriority w:val="31"/>
    <w:qFormat/>
    <w:rsid w:val="0096219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62193"/>
    <w:rPr>
      <w:b/>
      <w:bCs/>
      <w:smallCaps/>
      <w:u w:val="single"/>
    </w:rPr>
  </w:style>
  <w:style w:type="character" w:styleId="BookTitle">
    <w:name w:val="Book Title"/>
    <w:basedOn w:val="DefaultParagraphFont"/>
    <w:uiPriority w:val="33"/>
    <w:qFormat/>
    <w:rsid w:val="00962193"/>
    <w:rPr>
      <w:b w:val="0"/>
      <w:bCs w:val="0"/>
      <w:smallCaps/>
      <w:spacing w:val="5"/>
    </w:rPr>
  </w:style>
  <w:style w:type="paragraph" w:styleId="TOCHeading">
    <w:name w:val="TOC Heading"/>
    <w:basedOn w:val="Heading1"/>
    <w:next w:val="Normal"/>
    <w:uiPriority w:val="39"/>
    <w:semiHidden/>
    <w:unhideWhenUsed/>
    <w:qFormat/>
    <w:rsid w:val="00962193"/>
    <w:pPr>
      <w:outlineLvl w:val="9"/>
    </w:pPr>
  </w:style>
  <w:style w:type="paragraph" w:styleId="ListParagraph">
    <w:name w:val="List Paragraph"/>
    <w:basedOn w:val="Normal"/>
    <w:uiPriority w:val="34"/>
    <w:qFormat/>
    <w:rsid w:val="00056B51"/>
    <w:pPr>
      <w:ind w:left="720"/>
      <w:contextualSpacing/>
    </w:pPr>
  </w:style>
  <w:style w:type="character" w:customStyle="1" w:styleId="NoSpacingChar">
    <w:name w:val="No Spacing Char"/>
    <w:basedOn w:val="DefaultParagraphFont"/>
    <w:link w:val="NoSpacing"/>
    <w:uiPriority w:val="1"/>
    <w:rsid w:val="005D0544"/>
  </w:style>
  <w:style w:type="paragraph" w:customStyle="1" w:styleId="paragraph">
    <w:name w:val="paragraph"/>
    <w:basedOn w:val="Normal"/>
    <w:rsid w:val="00215E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15EEB"/>
  </w:style>
  <w:style w:type="character" w:customStyle="1" w:styleId="eop">
    <w:name w:val="eop"/>
    <w:basedOn w:val="DefaultParagraphFont"/>
    <w:rsid w:val="00215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6952">
      <w:bodyDiv w:val="1"/>
      <w:marLeft w:val="0"/>
      <w:marRight w:val="0"/>
      <w:marTop w:val="0"/>
      <w:marBottom w:val="0"/>
      <w:divBdr>
        <w:top w:val="none" w:sz="0" w:space="0" w:color="auto"/>
        <w:left w:val="none" w:sz="0" w:space="0" w:color="auto"/>
        <w:bottom w:val="none" w:sz="0" w:space="0" w:color="auto"/>
        <w:right w:val="none" w:sz="0" w:space="0" w:color="auto"/>
      </w:divBdr>
      <w:divsChild>
        <w:div w:id="1572620486">
          <w:marLeft w:val="0"/>
          <w:marRight w:val="0"/>
          <w:marTop w:val="0"/>
          <w:marBottom w:val="0"/>
          <w:divBdr>
            <w:top w:val="none" w:sz="0" w:space="0" w:color="auto"/>
            <w:left w:val="none" w:sz="0" w:space="0" w:color="auto"/>
            <w:bottom w:val="none" w:sz="0" w:space="0" w:color="auto"/>
            <w:right w:val="none" w:sz="0" w:space="0" w:color="auto"/>
          </w:divBdr>
        </w:div>
      </w:divsChild>
    </w:div>
    <w:div w:id="338629097">
      <w:bodyDiv w:val="1"/>
      <w:marLeft w:val="0"/>
      <w:marRight w:val="0"/>
      <w:marTop w:val="0"/>
      <w:marBottom w:val="0"/>
      <w:divBdr>
        <w:top w:val="none" w:sz="0" w:space="0" w:color="auto"/>
        <w:left w:val="none" w:sz="0" w:space="0" w:color="auto"/>
        <w:bottom w:val="none" w:sz="0" w:space="0" w:color="auto"/>
        <w:right w:val="none" w:sz="0" w:space="0" w:color="auto"/>
      </w:divBdr>
      <w:divsChild>
        <w:div w:id="333924697">
          <w:marLeft w:val="0"/>
          <w:marRight w:val="0"/>
          <w:marTop w:val="0"/>
          <w:marBottom w:val="0"/>
          <w:divBdr>
            <w:top w:val="none" w:sz="0" w:space="0" w:color="auto"/>
            <w:left w:val="none" w:sz="0" w:space="0" w:color="auto"/>
            <w:bottom w:val="none" w:sz="0" w:space="0" w:color="auto"/>
            <w:right w:val="none" w:sz="0" w:space="0" w:color="auto"/>
          </w:divBdr>
        </w:div>
        <w:div w:id="521434482">
          <w:marLeft w:val="0"/>
          <w:marRight w:val="0"/>
          <w:marTop w:val="0"/>
          <w:marBottom w:val="0"/>
          <w:divBdr>
            <w:top w:val="none" w:sz="0" w:space="0" w:color="auto"/>
            <w:left w:val="none" w:sz="0" w:space="0" w:color="auto"/>
            <w:bottom w:val="none" w:sz="0" w:space="0" w:color="auto"/>
            <w:right w:val="none" w:sz="0" w:space="0" w:color="auto"/>
          </w:divBdr>
        </w:div>
        <w:div w:id="596213638">
          <w:marLeft w:val="0"/>
          <w:marRight w:val="0"/>
          <w:marTop w:val="0"/>
          <w:marBottom w:val="0"/>
          <w:divBdr>
            <w:top w:val="none" w:sz="0" w:space="0" w:color="auto"/>
            <w:left w:val="none" w:sz="0" w:space="0" w:color="auto"/>
            <w:bottom w:val="none" w:sz="0" w:space="0" w:color="auto"/>
            <w:right w:val="none" w:sz="0" w:space="0" w:color="auto"/>
          </w:divBdr>
        </w:div>
        <w:div w:id="628051750">
          <w:marLeft w:val="0"/>
          <w:marRight w:val="0"/>
          <w:marTop w:val="0"/>
          <w:marBottom w:val="0"/>
          <w:divBdr>
            <w:top w:val="none" w:sz="0" w:space="0" w:color="auto"/>
            <w:left w:val="none" w:sz="0" w:space="0" w:color="auto"/>
            <w:bottom w:val="none" w:sz="0" w:space="0" w:color="auto"/>
            <w:right w:val="none" w:sz="0" w:space="0" w:color="auto"/>
          </w:divBdr>
        </w:div>
        <w:div w:id="946279781">
          <w:marLeft w:val="0"/>
          <w:marRight w:val="0"/>
          <w:marTop w:val="0"/>
          <w:marBottom w:val="0"/>
          <w:divBdr>
            <w:top w:val="none" w:sz="0" w:space="0" w:color="auto"/>
            <w:left w:val="none" w:sz="0" w:space="0" w:color="auto"/>
            <w:bottom w:val="none" w:sz="0" w:space="0" w:color="auto"/>
            <w:right w:val="none" w:sz="0" w:space="0" w:color="auto"/>
          </w:divBdr>
        </w:div>
        <w:div w:id="956908416">
          <w:marLeft w:val="0"/>
          <w:marRight w:val="0"/>
          <w:marTop w:val="0"/>
          <w:marBottom w:val="0"/>
          <w:divBdr>
            <w:top w:val="none" w:sz="0" w:space="0" w:color="auto"/>
            <w:left w:val="none" w:sz="0" w:space="0" w:color="auto"/>
            <w:bottom w:val="none" w:sz="0" w:space="0" w:color="auto"/>
            <w:right w:val="none" w:sz="0" w:space="0" w:color="auto"/>
          </w:divBdr>
        </w:div>
        <w:div w:id="1136678694">
          <w:marLeft w:val="0"/>
          <w:marRight w:val="0"/>
          <w:marTop w:val="0"/>
          <w:marBottom w:val="0"/>
          <w:divBdr>
            <w:top w:val="none" w:sz="0" w:space="0" w:color="auto"/>
            <w:left w:val="none" w:sz="0" w:space="0" w:color="auto"/>
            <w:bottom w:val="none" w:sz="0" w:space="0" w:color="auto"/>
            <w:right w:val="none" w:sz="0" w:space="0" w:color="auto"/>
          </w:divBdr>
        </w:div>
        <w:div w:id="1403025030">
          <w:marLeft w:val="0"/>
          <w:marRight w:val="0"/>
          <w:marTop w:val="0"/>
          <w:marBottom w:val="0"/>
          <w:divBdr>
            <w:top w:val="none" w:sz="0" w:space="0" w:color="auto"/>
            <w:left w:val="none" w:sz="0" w:space="0" w:color="auto"/>
            <w:bottom w:val="none" w:sz="0" w:space="0" w:color="auto"/>
            <w:right w:val="none" w:sz="0" w:space="0" w:color="auto"/>
          </w:divBdr>
        </w:div>
        <w:div w:id="1492208502">
          <w:marLeft w:val="0"/>
          <w:marRight w:val="0"/>
          <w:marTop w:val="0"/>
          <w:marBottom w:val="0"/>
          <w:divBdr>
            <w:top w:val="none" w:sz="0" w:space="0" w:color="auto"/>
            <w:left w:val="none" w:sz="0" w:space="0" w:color="auto"/>
            <w:bottom w:val="none" w:sz="0" w:space="0" w:color="auto"/>
            <w:right w:val="none" w:sz="0" w:space="0" w:color="auto"/>
          </w:divBdr>
        </w:div>
        <w:div w:id="1606839411">
          <w:marLeft w:val="0"/>
          <w:marRight w:val="0"/>
          <w:marTop w:val="0"/>
          <w:marBottom w:val="0"/>
          <w:divBdr>
            <w:top w:val="none" w:sz="0" w:space="0" w:color="auto"/>
            <w:left w:val="none" w:sz="0" w:space="0" w:color="auto"/>
            <w:bottom w:val="none" w:sz="0" w:space="0" w:color="auto"/>
            <w:right w:val="none" w:sz="0" w:space="0" w:color="auto"/>
          </w:divBdr>
        </w:div>
        <w:div w:id="1640652205">
          <w:marLeft w:val="0"/>
          <w:marRight w:val="0"/>
          <w:marTop w:val="0"/>
          <w:marBottom w:val="0"/>
          <w:divBdr>
            <w:top w:val="none" w:sz="0" w:space="0" w:color="auto"/>
            <w:left w:val="none" w:sz="0" w:space="0" w:color="auto"/>
            <w:bottom w:val="none" w:sz="0" w:space="0" w:color="auto"/>
            <w:right w:val="none" w:sz="0" w:space="0" w:color="auto"/>
          </w:divBdr>
        </w:div>
        <w:div w:id="1713651787">
          <w:marLeft w:val="0"/>
          <w:marRight w:val="0"/>
          <w:marTop w:val="0"/>
          <w:marBottom w:val="0"/>
          <w:divBdr>
            <w:top w:val="none" w:sz="0" w:space="0" w:color="auto"/>
            <w:left w:val="none" w:sz="0" w:space="0" w:color="auto"/>
            <w:bottom w:val="none" w:sz="0" w:space="0" w:color="auto"/>
            <w:right w:val="none" w:sz="0" w:space="0" w:color="auto"/>
          </w:divBdr>
        </w:div>
        <w:div w:id="1742169698">
          <w:marLeft w:val="0"/>
          <w:marRight w:val="0"/>
          <w:marTop w:val="0"/>
          <w:marBottom w:val="0"/>
          <w:divBdr>
            <w:top w:val="none" w:sz="0" w:space="0" w:color="auto"/>
            <w:left w:val="none" w:sz="0" w:space="0" w:color="auto"/>
            <w:bottom w:val="none" w:sz="0" w:space="0" w:color="auto"/>
            <w:right w:val="none" w:sz="0" w:space="0" w:color="auto"/>
          </w:divBdr>
        </w:div>
        <w:div w:id="1846746550">
          <w:marLeft w:val="0"/>
          <w:marRight w:val="0"/>
          <w:marTop w:val="0"/>
          <w:marBottom w:val="0"/>
          <w:divBdr>
            <w:top w:val="none" w:sz="0" w:space="0" w:color="auto"/>
            <w:left w:val="none" w:sz="0" w:space="0" w:color="auto"/>
            <w:bottom w:val="none" w:sz="0" w:space="0" w:color="auto"/>
            <w:right w:val="none" w:sz="0" w:space="0" w:color="auto"/>
          </w:divBdr>
        </w:div>
        <w:div w:id="1876580680">
          <w:marLeft w:val="0"/>
          <w:marRight w:val="0"/>
          <w:marTop w:val="0"/>
          <w:marBottom w:val="0"/>
          <w:divBdr>
            <w:top w:val="none" w:sz="0" w:space="0" w:color="auto"/>
            <w:left w:val="none" w:sz="0" w:space="0" w:color="auto"/>
            <w:bottom w:val="none" w:sz="0" w:space="0" w:color="auto"/>
            <w:right w:val="none" w:sz="0" w:space="0" w:color="auto"/>
          </w:divBdr>
        </w:div>
        <w:div w:id="2096320600">
          <w:marLeft w:val="0"/>
          <w:marRight w:val="0"/>
          <w:marTop w:val="0"/>
          <w:marBottom w:val="0"/>
          <w:divBdr>
            <w:top w:val="none" w:sz="0" w:space="0" w:color="auto"/>
            <w:left w:val="none" w:sz="0" w:space="0" w:color="auto"/>
            <w:bottom w:val="none" w:sz="0" w:space="0" w:color="auto"/>
            <w:right w:val="none" w:sz="0" w:space="0" w:color="auto"/>
          </w:divBdr>
        </w:div>
        <w:div w:id="2125877569">
          <w:marLeft w:val="0"/>
          <w:marRight w:val="0"/>
          <w:marTop w:val="0"/>
          <w:marBottom w:val="0"/>
          <w:divBdr>
            <w:top w:val="none" w:sz="0" w:space="0" w:color="auto"/>
            <w:left w:val="none" w:sz="0" w:space="0" w:color="auto"/>
            <w:bottom w:val="none" w:sz="0" w:space="0" w:color="auto"/>
            <w:right w:val="none" w:sz="0" w:space="0" w:color="auto"/>
          </w:divBdr>
        </w:div>
      </w:divsChild>
    </w:div>
    <w:div w:id="364988361">
      <w:bodyDiv w:val="1"/>
      <w:marLeft w:val="0"/>
      <w:marRight w:val="0"/>
      <w:marTop w:val="0"/>
      <w:marBottom w:val="0"/>
      <w:divBdr>
        <w:top w:val="none" w:sz="0" w:space="0" w:color="auto"/>
        <w:left w:val="none" w:sz="0" w:space="0" w:color="auto"/>
        <w:bottom w:val="none" w:sz="0" w:space="0" w:color="auto"/>
        <w:right w:val="none" w:sz="0" w:space="0" w:color="auto"/>
      </w:divBdr>
      <w:divsChild>
        <w:div w:id="556937694">
          <w:marLeft w:val="0"/>
          <w:marRight w:val="0"/>
          <w:marTop w:val="0"/>
          <w:marBottom w:val="0"/>
          <w:divBdr>
            <w:top w:val="none" w:sz="0" w:space="0" w:color="auto"/>
            <w:left w:val="none" w:sz="0" w:space="0" w:color="auto"/>
            <w:bottom w:val="none" w:sz="0" w:space="0" w:color="auto"/>
            <w:right w:val="none" w:sz="0" w:space="0" w:color="auto"/>
          </w:divBdr>
        </w:div>
      </w:divsChild>
    </w:div>
    <w:div w:id="427770125">
      <w:bodyDiv w:val="1"/>
      <w:marLeft w:val="0"/>
      <w:marRight w:val="0"/>
      <w:marTop w:val="0"/>
      <w:marBottom w:val="0"/>
      <w:divBdr>
        <w:top w:val="none" w:sz="0" w:space="0" w:color="auto"/>
        <w:left w:val="none" w:sz="0" w:space="0" w:color="auto"/>
        <w:bottom w:val="none" w:sz="0" w:space="0" w:color="auto"/>
        <w:right w:val="none" w:sz="0" w:space="0" w:color="auto"/>
      </w:divBdr>
      <w:divsChild>
        <w:div w:id="262422973">
          <w:marLeft w:val="0"/>
          <w:marRight w:val="0"/>
          <w:marTop w:val="0"/>
          <w:marBottom w:val="0"/>
          <w:divBdr>
            <w:top w:val="none" w:sz="0" w:space="0" w:color="auto"/>
            <w:left w:val="none" w:sz="0" w:space="0" w:color="auto"/>
            <w:bottom w:val="none" w:sz="0" w:space="0" w:color="auto"/>
            <w:right w:val="none" w:sz="0" w:space="0" w:color="auto"/>
          </w:divBdr>
        </w:div>
        <w:div w:id="649211365">
          <w:marLeft w:val="0"/>
          <w:marRight w:val="0"/>
          <w:marTop w:val="0"/>
          <w:marBottom w:val="0"/>
          <w:divBdr>
            <w:top w:val="none" w:sz="0" w:space="0" w:color="auto"/>
            <w:left w:val="none" w:sz="0" w:space="0" w:color="auto"/>
            <w:bottom w:val="none" w:sz="0" w:space="0" w:color="auto"/>
            <w:right w:val="none" w:sz="0" w:space="0" w:color="auto"/>
          </w:divBdr>
        </w:div>
        <w:div w:id="779111841">
          <w:marLeft w:val="0"/>
          <w:marRight w:val="0"/>
          <w:marTop w:val="0"/>
          <w:marBottom w:val="0"/>
          <w:divBdr>
            <w:top w:val="none" w:sz="0" w:space="0" w:color="auto"/>
            <w:left w:val="none" w:sz="0" w:space="0" w:color="auto"/>
            <w:bottom w:val="none" w:sz="0" w:space="0" w:color="auto"/>
            <w:right w:val="none" w:sz="0" w:space="0" w:color="auto"/>
          </w:divBdr>
        </w:div>
        <w:div w:id="1131676169">
          <w:marLeft w:val="0"/>
          <w:marRight w:val="0"/>
          <w:marTop w:val="0"/>
          <w:marBottom w:val="0"/>
          <w:divBdr>
            <w:top w:val="none" w:sz="0" w:space="0" w:color="auto"/>
            <w:left w:val="none" w:sz="0" w:space="0" w:color="auto"/>
            <w:bottom w:val="none" w:sz="0" w:space="0" w:color="auto"/>
            <w:right w:val="none" w:sz="0" w:space="0" w:color="auto"/>
          </w:divBdr>
        </w:div>
        <w:div w:id="1286500666">
          <w:marLeft w:val="0"/>
          <w:marRight w:val="0"/>
          <w:marTop w:val="0"/>
          <w:marBottom w:val="0"/>
          <w:divBdr>
            <w:top w:val="none" w:sz="0" w:space="0" w:color="auto"/>
            <w:left w:val="none" w:sz="0" w:space="0" w:color="auto"/>
            <w:bottom w:val="none" w:sz="0" w:space="0" w:color="auto"/>
            <w:right w:val="none" w:sz="0" w:space="0" w:color="auto"/>
          </w:divBdr>
        </w:div>
        <w:div w:id="1806195428">
          <w:marLeft w:val="0"/>
          <w:marRight w:val="0"/>
          <w:marTop w:val="0"/>
          <w:marBottom w:val="0"/>
          <w:divBdr>
            <w:top w:val="none" w:sz="0" w:space="0" w:color="auto"/>
            <w:left w:val="none" w:sz="0" w:space="0" w:color="auto"/>
            <w:bottom w:val="none" w:sz="0" w:space="0" w:color="auto"/>
            <w:right w:val="none" w:sz="0" w:space="0" w:color="auto"/>
          </w:divBdr>
        </w:div>
        <w:div w:id="1968974965">
          <w:marLeft w:val="0"/>
          <w:marRight w:val="0"/>
          <w:marTop w:val="0"/>
          <w:marBottom w:val="0"/>
          <w:divBdr>
            <w:top w:val="none" w:sz="0" w:space="0" w:color="auto"/>
            <w:left w:val="none" w:sz="0" w:space="0" w:color="auto"/>
            <w:bottom w:val="none" w:sz="0" w:space="0" w:color="auto"/>
            <w:right w:val="none" w:sz="0" w:space="0" w:color="auto"/>
          </w:divBdr>
        </w:div>
      </w:divsChild>
    </w:div>
    <w:div w:id="432673666">
      <w:bodyDiv w:val="1"/>
      <w:marLeft w:val="0"/>
      <w:marRight w:val="0"/>
      <w:marTop w:val="0"/>
      <w:marBottom w:val="0"/>
      <w:divBdr>
        <w:top w:val="none" w:sz="0" w:space="0" w:color="auto"/>
        <w:left w:val="none" w:sz="0" w:space="0" w:color="auto"/>
        <w:bottom w:val="none" w:sz="0" w:space="0" w:color="auto"/>
        <w:right w:val="none" w:sz="0" w:space="0" w:color="auto"/>
      </w:divBdr>
      <w:divsChild>
        <w:div w:id="1278677024">
          <w:marLeft w:val="0"/>
          <w:marRight w:val="0"/>
          <w:marTop w:val="0"/>
          <w:marBottom w:val="0"/>
          <w:divBdr>
            <w:top w:val="none" w:sz="0" w:space="0" w:color="auto"/>
            <w:left w:val="none" w:sz="0" w:space="0" w:color="auto"/>
            <w:bottom w:val="none" w:sz="0" w:space="0" w:color="auto"/>
            <w:right w:val="none" w:sz="0" w:space="0" w:color="auto"/>
          </w:divBdr>
        </w:div>
      </w:divsChild>
    </w:div>
    <w:div w:id="581916973">
      <w:bodyDiv w:val="1"/>
      <w:marLeft w:val="0"/>
      <w:marRight w:val="0"/>
      <w:marTop w:val="0"/>
      <w:marBottom w:val="0"/>
      <w:divBdr>
        <w:top w:val="none" w:sz="0" w:space="0" w:color="auto"/>
        <w:left w:val="none" w:sz="0" w:space="0" w:color="auto"/>
        <w:bottom w:val="none" w:sz="0" w:space="0" w:color="auto"/>
        <w:right w:val="none" w:sz="0" w:space="0" w:color="auto"/>
      </w:divBdr>
      <w:divsChild>
        <w:div w:id="1736930249">
          <w:marLeft w:val="0"/>
          <w:marRight w:val="0"/>
          <w:marTop w:val="0"/>
          <w:marBottom w:val="0"/>
          <w:divBdr>
            <w:top w:val="none" w:sz="0" w:space="0" w:color="auto"/>
            <w:left w:val="none" w:sz="0" w:space="0" w:color="auto"/>
            <w:bottom w:val="none" w:sz="0" w:space="0" w:color="auto"/>
            <w:right w:val="none" w:sz="0" w:space="0" w:color="auto"/>
          </w:divBdr>
        </w:div>
      </w:divsChild>
    </w:div>
    <w:div w:id="660044162">
      <w:bodyDiv w:val="1"/>
      <w:marLeft w:val="0"/>
      <w:marRight w:val="0"/>
      <w:marTop w:val="0"/>
      <w:marBottom w:val="0"/>
      <w:divBdr>
        <w:top w:val="none" w:sz="0" w:space="0" w:color="auto"/>
        <w:left w:val="none" w:sz="0" w:space="0" w:color="auto"/>
        <w:bottom w:val="none" w:sz="0" w:space="0" w:color="auto"/>
        <w:right w:val="none" w:sz="0" w:space="0" w:color="auto"/>
      </w:divBdr>
      <w:divsChild>
        <w:div w:id="2006589827">
          <w:marLeft w:val="0"/>
          <w:marRight w:val="0"/>
          <w:marTop w:val="0"/>
          <w:marBottom w:val="0"/>
          <w:divBdr>
            <w:top w:val="none" w:sz="0" w:space="0" w:color="auto"/>
            <w:left w:val="none" w:sz="0" w:space="0" w:color="auto"/>
            <w:bottom w:val="none" w:sz="0" w:space="0" w:color="auto"/>
            <w:right w:val="none" w:sz="0" w:space="0" w:color="auto"/>
          </w:divBdr>
        </w:div>
      </w:divsChild>
    </w:div>
    <w:div w:id="698236452">
      <w:bodyDiv w:val="1"/>
      <w:marLeft w:val="0"/>
      <w:marRight w:val="0"/>
      <w:marTop w:val="0"/>
      <w:marBottom w:val="0"/>
      <w:divBdr>
        <w:top w:val="none" w:sz="0" w:space="0" w:color="auto"/>
        <w:left w:val="none" w:sz="0" w:space="0" w:color="auto"/>
        <w:bottom w:val="none" w:sz="0" w:space="0" w:color="auto"/>
        <w:right w:val="none" w:sz="0" w:space="0" w:color="auto"/>
      </w:divBdr>
      <w:divsChild>
        <w:div w:id="659771635">
          <w:marLeft w:val="0"/>
          <w:marRight w:val="0"/>
          <w:marTop w:val="0"/>
          <w:marBottom w:val="0"/>
          <w:divBdr>
            <w:top w:val="none" w:sz="0" w:space="0" w:color="auto"/>
            <w:left w:val="none" w:sz="0" w:space="0" w:color="auto"/>
            <w:bottom w:val="none" w:sz="0" w:space="0" w:color="auto"/>
            <w:right w:val="none" w:sz="0" w:space="0" w:color="auto"/>
          </w:divBdr>
        </w:div>
      </w:divsChild>
    </w:div>
    <w:div w:id="855927547">
      <w:bodyDiv w:val="1"/>
      <w:marLeft w:val="0"/>
      <w:marRight w:val="0"/>
      <w:marTop w:val="0"/>
      <w:marBottom w:val="0"/>
      <w:divBdr>
        <w:top w:val="none" w:sz="0" w:space="0" w:color="auto"/>
        <w:left w:val="none" w:sz="0" w:space="0" w:color="auto"/>
        <w:bottom w:val="none" w:sz="0" w:space="0" w:color="auto"/>
        <w:right w:val="none" w:sz="0" w:space="0" w:color="auto"/>
      </w:divBdr>
      <w:divsChild>
        <w:div w:id="484392846">
          <w:marLeft w:val="0"/>
          <w:marRight w:val="0"/>
          <w:marTop w:val="0"/>
          <w:marBottom w:val="0"/>
          <w:divBdr>
            <w:top w:val="none" w:sz="0" w:space="0" w:color="auto"/>
            <w:left w:val="none" w:sz="0" w:space="0" w:color="auto"/>
            <w:bottom w:val="none" w:sz="0" w:space="0" w:color="auto"/>
            <w:right w:val="none" w:sz="0" w:space="0" w:color="auto"/>
          </w:divBdr>
        </w:div>
      </w:divsChild>
    </w:div>
    <w:div w:id="1061369031">
      <w:bodyDiv w:val="1"/>
      <w:marLeft w:val="0"/>
      <w:marRight w:val="0"/>
      <w:marTop w:val="0"/>
      <w:marBottom w:val="0"/>
      <w:divBdr>
        <w:top w:val="none" w:sz="0" w:space="0" w:color="auto"/>
        <w:left w:val="none" w:sz="0" w:space="0" w:color="auto"/>
        <w:bottom w:val="none" w:sz="0" w:space="0" w:color="auto"/>
        <w:right w:val="none" w:sz="0" w:space="0" w:color="auto"/>
      </w:divBdr>
      <w:divsChild>
        <w:div w:id="825707770">
          <w:marLeft w:val="0"/>
          <w:marRight w:val="0"/>
          <w:marTop w:val="0"/>
          <w:marBottom w:val="0"/>
          <w:divBdr>
            <w:top w:val="none" w:sz="0" w:space="0" w:color="auto"/>
            <w:left w:val="none" w:sz="0" w:space="0" w:color="auto"/>
            <w:bottom w:val="none" w:sz="0" w:space="0" w:color="auto"/>
            <w:right w:val="none" w:sz="0" w:space="0" w:color="auto"/>
          </w:divBdr>
        </w:div>
      </w:divsChild>
    </w:div>
    <w:div w:id="1255556121">
      <w:bodyDiv w:val="1"/>
      <w:marLeft w:val="0"/>
      <w:marRight w:val="0"/>
      <w:marTop w:val="0"/>
      <w:marBottom w:val="0"/>
      <w:divBdr>
        <w:top w:val="none" w:sz="0" w:space="0" w:color="auto"/>
        <w:left w:val="none" w:sz="0" w:space="0" w:color="auto"/>
        <w:bottom w:val="none" w:sz="0" w:space="0" w:color="auto"/>
        <w:right w:val="none" w:sz="0" w:space="0" w:color="auto"/>
      </w:divBdr>
      <w:divsChild>
        <w:div w:id="1780682671">
          <w:marLeft w:val="0"/>
          <w:marRight w:val="0"/>
          <w:marTop w:val="0"/>
          <w:marBottom w:val="0"/>
          <w:divBdr>
            <w:top w:val="none" w:sz="0" w:space="0" w:color="auto"/>
            <w:left w:val="none" w:sz="0" w:space="0" w:color="auto"/>
            <w:bottom w:val="none" w:sz="0" w:space="0" w:color="auto"/>
            <w:right w:val="none" w:sz="0" w:space="0" w:color="auto"/>
          </w:divBdr>
        </w:div>
      </w:divsChild>
    </w:div>
    <w:div w:id="1836264452">
      <w:bodyDiv w:val="1"/>
      <w:marLeft w:val="0"/>
      <w:marRight w:val="0"/>
      <w:marTop w:val="0"/>
      <w:marBottom w:val="0"/>
      <w:divBdr>
        <w:top w:val="none" w:sz="0" w:space="0" w:color="auto"/>
        <w:left w:val="none" w:sz="0" w:space="0" w:color="auto"/>
        <w:bottom w:val="none" w:sz="0" w:space="0" w:color="auto"/>
        <w:right w:val="none" w:sz="0" w:space="0" w:color="auto"/>
      </w:divBdr>
      <w:divsChild>
        <w:div w:id="1189175939">
          <w:marLeft w:val="0"/>
          <w:marRight w:val="0"/>
          <w:marTop w:val="0"/>
          <w:marBottom w:val="0"/>
          <w:divBdr>
            <w:top w:val="none" w:sz="0" w:space="0" w:color="auto"/>
            <w:left w:val="none" w:sz="0" w:space="0" w:color="auto"/>
            <w:bottom w:val="none" w:sz="0" w:space="0" w:color="auto"/>
            <w:right w:val="none" w:sz="0" w:space="0" w:color="auto"/>
          </w:divBdr>
        </w:div>
      </w:divsChild>
    </w:div>
    <w:div w:id="2095054937">
      <w:bodyDiv w:val="1"/>
      <w:marLeft w:val="0"/>
      <w:marRight w:val="0"/>
      <w:marTop w:val="0"/>
      <w:marBottom w:val="0"/>
      <w:divBdr>
        <w:top w:val="none" w:sz="0" w:space="0" w:color="auto"/>
        <w:left w:val="none" w:sz="0" w:space="0" w:color="auto"/>
        <w:bottom w:val="none" w:sz="0" w:space="0" w:color="auto"/>
        <w:right w:val="none" w:sz="0" w:space="0" w:color="auto"/>
      </w:divBdr>
      <w:divsChild>
        <w:div w:id="1783761857">
          <w:marLeft w:val="0"/>
          <w:marRight w:val="0"/>
          <w:marTop w:val="0"/>
          <w:marBottom w:val="0"/>
          <w:divBdr>
            <w:top w:val="none" w:sz="0" w:space="0" w:color="auto"/>
            <w:left w:val="none" w:sz="0" w:space="0" w:color="auto"/>
            <w:bottom w:val="none" w:sz="0" w:space="0" w:color="auto"/>
            <w:right w:val="none" w:sz="0" w:space="0" w:color="auto"/>
          </w:divBdr>
        </w:div>
      </w:divsChild>
    </w:div>
    <w:div w:id="2117365517">
      <w:bodyDiv w:val="1"/>
      <w:marLeft w:val="0"/>
      <w:marRight w:val="0"/>
      <w:marTop w:val="0"/>
      <w:marBottom w:val="0"/>
      <w:divBdr>
        <w:top w:val="none" w:sz="0" w:space="0" w:color="auto"/>
        <w:left w:val="none" w:sz="0" w:space="0" w:color="auto"/>
        <w:bottom w:val="none" w:sz="0" w:space="0" w:color="auto"/>
        <w:right w:val="none" w:sz="0" w:space="0" w:color="auto"/>
      </w:divBdr>
      <w:divsChild>
        <w:div w:id="550113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hyperlink" Target="https://www.cipd.co.uk/knowledge/fundamentals/people/development/evaluating-learning-factsheet" TargetMode="External"/><Relationship Id="rId39" Type="http://schemas.openxmlformats.org/officeDocument/2006/relationships/theme" Target="theme/theme1.xml"/><Relationship Id="rId21" Type="http://schemas.openxmlformats.org/officeDocument/2006/relationships/hyperlink" Target="https://www.trainsmartinc.com/difference-between-facilitator-and-trainer/" TargetMode="External"/><Relationship Id="rId34" Type="http://schemas.openxmlformats.org/officeDocument/2006/relationships/hyperlink" Target="https://workforcegroup.com/benefits-of-blended-learni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hyperlink" Target="https://www.cipd.co.uk/knowledge/fundamentals/people/development/learning-methods-factsheet" TargetMode="External"/><Relationship Id="rId33" Type="http://schemas.openxmlformats.org/officeDocument/2006/relationships/hyperlink" Target="https://www.valamis.com/hub/learning-and-development"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peopleprofession.cipd.org/profession-map/specialist-knowledge/learning-development?_gl=1*5tbl5h*_ga*MTA5NjI2OTAzNC4xNjUzNTcyNDc5*_ga_D9HN5GYHYY*MTY3MDg1MTIzOS43My4xLjE2NzA4NTEyNDcuMC4wLjA." TargetMode="External"/><Relationship Id="rId29" Type="http://schemas.openxmlformats.org/officeDocument/2006/relationships/hyperlink" Target="https://kodosurvey.com/blog/how-master-kirkpatrick-model-training-evalu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24" Type="http://schemas.openxmlformats.org/officeDocument/2006/relationships/hyperlink" Target="https://graduateway.com/evaluating-learning-and-development/" TargetMode="External"/><Relationship Id="rId32" Type="http://schemas.openxmlformats.org/officeDocument/2006/relationships/hyperlink" Target="https://trainingindustry.com/articles/diversity-equity-and-inclusion/inclusive-ld-teams-provide-better-learning-experiences/"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svg"/><Relationship Id="rId23" Type="http://schemas.openxmlformats.org/officeDocument/2006/relationships/hyperlink" Target="https://factorialhr.co.uk/blog/learning-and-development/" TargetMode="External"/><Relationship Id="rId28" Type="http://schemas.openxmlformats.org/officeDocument/2006/relationships/hyperlink" Target="https://hrnews.co.uk/the-importance-of-employee-learning-and-development/"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gallup.com/workplace/236438/millennials-jobs-development-opportunities.aspx" TargetMode="External"/><Relationship Id="rId31" Type="http://schemas.openxmlformats.org/officeDocument/2006/relationships/hyperlink" Target="https://www.learnerbly.com/articles/how-to-identify-learning-needs-in-your-peop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kodosurvey.com/blog/training-evaluations-models-complete-guide" TargetMode="External"/><Relationship Id="rId27" Type="http://schemas.openxmlformats.org/officeDocument/2006/relationships/hyperlink" Target="https://www.hrbartender.com/2016/training/difference-training-facilitation-presentations/" TargetMode="External"/><Relationship Id="rId30" Type="http://schemas.openxmlformats.org/officeDocument/2006/relationships/hyperlink" Target="https://dpglearn.co.uk/blog/learning-and-development/l-d-s-role-in-diversity-and-inclusion/"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890982D3E94EE4BC33E83D7DDAF0D7"/>
        <w:category>
          <w:name w:val="General"/>
          <w:gallery w:val="placeholder"/>
        </w:category>
        <w:types>
          <w:type w:val="bbPlcHdr"/>
        </w:types>
        <w:behaviors>
          <w:behavior w:val="content"/>
        </w:behaviors>
        <w:guid w:val="{FD29E93A-E0DC-4C63-B926-D3E22234E11E}"/>
      </w:docPartPr>
      <w:docPartBody>
        <w:p w:rsidR="00F93CEC" w:rsidRDefault="00056287" w:rsidP="00056287">
          <w:pPr>
            <w:pStyle w:val="EC890982D3E94EE4BC33E83D7DDAF0D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287"/>
    <w:rsid w:val="00056287"/>
    <w:rsid w:val="004913CC"/>
    <w:rsid w:val="00B9503F"/>
    <w:rsid w:val="00DC71D9"/>
    <w:rsid w:val="00F93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6287"/>
    <w:rPr>
      <w:color w:val="808080"/>
    </w:rPr>
  </w:style>
  <w:style w:type="paragraph" w:customStyle="1" w:styleId="EC890982D3E94EE4BC33E83D7DDAF0D7">
    <w:name w:val="EC890982D3E94EE4BC33E83D7DDAF0D7"/>
    <w:rsid w:val="000562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A47E0156DD1247B98918C06EE9A5BC" ma:contentTypeVersion="13" ma:contentTypeDescription="Create a new document." ma:contentTypeScope="" ma:versionID="fe0ef4b46d883f2b316caa57e1eda862">
  <xsd:schema xmlns:xsd="http://www.w3.org/2001/XMLSchema" xmlns:xs="http://www.w3.org/2001/XMLSchema" xmlns:p="http://schemas.microsoft.com/office/2006/metadata/properties" xmlns:ns3="b8e4dedc-0b9d-4c46-bd47-d249b68b5043" xmlns:ns4="e86665c2-56c5-46d0-b194-5d1926975826" targetNamespace="http://schemas.microsoft.com/office/2006/metadata/properties" ma:root="true" ma:fieldsID="baa3a1f09b8913b0bd090c96a45ee3af" ns3:_="" ns4:_="">
    <xsd:import namespace="b8e4dedc-0b9d-4c46-bd47-d249b68b5043"/>
    <xsd:import namespace="e86665c2-56c5-46d0-b194-5d192697582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e4dedc-0b9d-4c46-bd47-d249b68b50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86665c2-56c5-46d0-b194-5d192697582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769D01-B2B3-401D-A1F2-2293E444C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e4dedc-0b9d-4c46-bd47-d249b68b5043"/>
    <ds:schemaRef ds:uri="e86665c2-56c5-46d0-b194-5d19269758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60D46F-7929-4C00-AF2B-ADF1BD2AC4D6}">
  <ds:schemaRefs>
    <ds:schemaRef ds:uri="http://schemas.microsoft.com/sharepoint/v3/contenttype/forms"/>
  </ds:schemaRefs>
</ds:datastoreItem>
</file>

<file path=customXml/itemProps3.xml><?xml version="1.0" encoding="utf-8"?>
<ds:datastoreItem xmlns:ds="http://schemas.openxmlformats.org/officeDocument/2006/customXml" ds:itemID="{7B70EDD8-4083-41B2-9091-199E06DA13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2025</Words>
  <Characters>11548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Learning &amp; Development Factsheet</vt:lpstr>
    </vt:vector>
  </TitlesOfParts>
  <Company/>
  <LinksUpToDate>false</LinksUpToDate>
  <CharactersWithSpaces>13546</CharactersWithSpaces>
  <SharedDoc>false</SharedDoc>
  <HLinks>
    <vt:vector size="96" baseType="variant">
      <vt:variant>
        <vt:i4>2031702</vt:i4>
      </vt:variant>
      <vt:variant>
        <vt:i4>45</vt:i4>
      </vt:variant>
      <vt:variant>
        <vt:i4>0</vt:i4>
      </vt:variant>
      <vt:variant>
        <vt:i4>5</vt:i4>
      </vt:variant>
      <vt:variant>
        <vt:lpwstr>https://workforcegroup.com/benefits-of-blended-learning/</vt:lpwstr>
      </vt:variant>
      <vt:variant>
        <vt:lpwstr/>
      </vt:variant>
      <vt:variant>
        <vt:i4>196615</vt:i4>
      </vt:variant>
      <vt:variant>
        <vt:i4>42</vt:i4>
      </vt:variant>
      <vt:variant>
        <vt:i4>0</vt:i4>
      </vt:variant>
      <vt:variant>
        <vt:i4>5</vt:i4>
      </vt:variant>
      <vt:variant>
        <vt:lpwstr>https://www.valamis.com/hub/learning-and-development</vt:lpwstr>
      </vt:variant>
      <vt:variant>
        <vt:lpwstr>delivery-methods</vt:lpwstr>
      </vt:variant>
      <vt:variant>
        <vt:i4>2949161</vt:i4>
      </vt:variant>
      <vt:variant>
        <vt:i4>39</vt:i4>
      </vt:variant>
      <vt:variant>
        <vt:i4>0</vt:i4>
      </vt:variant>
      <vt:variant>
        <vt:i4>5</vt:i4>
      </vt:variant>
      <vt:variant>
        <vt:lpwstr>https://trainingindustry.com/articles/diversity-equity-and-inclusion/inclusive-ld-teams-provide-better-learning-experiences/</vt:lpwstr>
      </vt:variant>
      <vt:variant>
        <vt:lpwstr>:~:text=An%20inclusive%20approach%20to%20training%20can%20help%20all,people%2C%20backgrounds%20and%20ideas%2C%20makes%20a%20huge%20difference.</vt:lpwstr>
      </vt:variant>
      <vt:variant>
        <vt:i4>4587613</vt:i4>
      </vt:variant>
      <vt:variant>
        <vt:i4>36</vt:i4>
      </vt:variant>
      <vt:variant>
        <vt:i4>0</vt:i4>
      </vt:variant>
      <vt:variant>
        <vt:i4>5</vt:i4>
      </vt:variant>
      <vt:variant>
        <vt:lpwstr>https://www.learnerbly.com/articles/how-to-identify-learning-needs-in-your-people</vt:lpwstr>
      </vt:variant>
      <vt:variant>
        <vt:lpwstr/>
      </vt:variant>
      <vt:variant>
        <vt:i4>3014780</vt:i4>
      </vt:variant>
      <vt:variant>
        <vt:i4>33</vt:i4>
      </vt:variant>
      <vt:variant>
        <vt:i4>0</vt:i4>
      </vt:variant>
      <vt:variant>
        <vt:i4>5</vt:i4>
      </vt:variant>
      <vt:variant>
        <vt:lpwstr>https://dpglearn.co.uk/blog/learning-and-development/l-d-s-role-in-diversity-and-inclusion/</vt:lpwstr>
      </vt:variant>
      <vt:variant>
        <vt:lpwstr/>
      </vt:variant>
      <vt:variant>
        <vt:i4>6029312</vt:i4>
      </vt:variant>
      <vt:variant>
        <vt:i4>30</vt:i4>
      </vt:variant>
      <vt:variant>
        <vt:i4>0</vt:i4>
      </vt:variant>
      <vt:variant>
        <vt:i4>5</vt:i4>
      </vt:variant>
      <vt:variant>
        <vt:lpwstr>https://kodosurvey.com/blog/how-master-kirkpatrick-model-training-evaluation</vt:lpwstr>
      </vt:variant>
      <vt:variant>
        <vt:lpwstr/>
      </vt:variant>
      <vt:variant>
        <vt:i4>5308482</vt:i4>
      </vt:variant>
      <vt:variant>
        <vt:i4>27</vt:i4>
      </vt:variant>
      <vt:variant>
        <vt:i4>0</vt:i4>
      </vt:variant>
      <vt:variant>
        <vt:i4>5</vt:i4>
      </vt:variant>
      <vt:variant>
        <vt:lpwstr>https://hrnews.co.uk/the-importance-of-employee-learning-and-development/</vt:lpwstr>
      </vt:variant>
      <vt:variant>
        <vt:lpwstr/>
      </vt:variant>
      <vt:variant>
        <vt:i4>5439495</vt:i4>
      </vt:variant>
      <vt:variant>
        <vt:i4>24</vt:i4>
      </vt:variant>
      <vt:variant>
        <vt:i4>0</vt:i4>
      </vt:variant>
      <vt:variant>
        <vt:i4>5</vt:i4>
      </vt:variant>
      <vt:variant>
        <vt:lpwstr>https://www.hrbartender.com/2016/training/difference-training-facilitation-presentations/</vt:lpwstr>
      </vt:variant>
      <vt:variant>
        <vt:lpwstr/>
      </vt:variant>
      <vt:variant>
        <vt:i4>7471148</vt:i4>
      </vt:variant>
      <vt:variant>
        <vt:i4>21</vt:i4>
      </vt:variant>
      <vt:variant>
        <vt:i4>0</vt:i4>
      </vt:variant>
      <vt:variant>
        <vt:i4>5</vt:i4>
      </vt:variant>
      <vt:variant>
        <vt:lpwstr>https://www.cipd.co.uk/knowledge/fundamentals/people/development/evaluating-learning-factsheet</vt:lpwstr>
      </vt:variant>
      <vt:variant>
        <vt:lpwstr>gref</vt:lpwstr>
      </vt:variant>
      <vt:variant>
        <vt:i4>2228332</vt:i4>
      </vt:variant>
      <vt:variant>
        <vt:i4>18</vt:i4>
      </vt:variant>
      <vt:variant>
        <vt:i4>0</vt:i4>
      </vt:variant>
      <vt:variant>
        <vt:i4>5</vt:i4>
      </vt:variant>
      <vt:variant>
        <vt:lpwstr>https://www.cipd.co.uk/knowledge/fundamentals/people/development/learning-methods-factsheet</vt:lpwstr>
      </vt:variant>
      <vt:variant>
        <vt:lpwstr/>
      </vt:variant>
      <vt:variant>
        <vt:i4>5832706</vt:i4>
      </vt:variant>
      <vt:variant>
        <vt:i4>15</vt:i4>
      </vt:variant>
      <vt:variant>
        <vt:i4>0</vt:i4>
      </vt:variant>
      <vt:variant>
        <vt:i4>5</vt:i4>
      </vt:variant>
      <vt:variant>
        <vt:lpwstr>https://graduateway.com/evaluating-learning-and-development/</vt:lpwstr>
      </vt:variant>
      <vt:variant>
        <vt:lpwstr/>
      </vt:variant>
      <vt:variant>
        <vt:i4>5177434</vt:i4>
      </vt:variant>
      <vt:variant>
        <vt:i4>12</vt:i4>
      </vt:variant>
      <vt:variant>
        <vt:i4>0</vt:i4>
      </vt:variant>
      <vt:variant>
        <vt:i4>5</vt:i4>
      </vt:variant>
      <vt:variant>
        <vt:lpwstr>https://factorialhr.co.uk/blog/learning-and-development/</vt:lpwstr>
      </vt:variant>
      <vt:variant>
        <vt:lpwstr/>
      </vt:variant>
      <vt:variant>
        <vt:i4>6946853</vt:i4>
      </vt:variant>
      <vt:variant>
        <vt:i4>9</vt:i4>
      </vt:variant>
      <vt:variant>
        <vt:i4>0</vt:i4>
      </vt:variant>
      <vt:variant>
        <vt:i4>5</vt:i4>
      </vt:variant>
      <vt:variant>
        <vt:lpwstr>https://kodosurvey.com/blog/training-evaluations-models-complete-guide</vt:lpwstr>
      </vt:variant>
      <vt:variant>
        <vt:lpwstr>:~:text=The%20Kirkpatrick%20Model%20is%20by,the%20Journal%20of%20the%20ASTD.</vt:lpwstr>
      </vt:variant>
      <vt:variant>
        <vt:i4>6357089</vt:i4>
      </vt:variant>
      <vt:variant>
        <vt:i4>6</vt:i4>
      </vt:variant>
      <vt:variant>
        <vt:i4>0</vt:i4>
      </vt:variant>
      <vt:variant>
        <vt:i4>5</vt:i4>
      </vt:variant>
      <vt:variant>
        <vt:lpwstr>https://www.trainsmartinc.com/difference-between-facilitator-and-trainer/</vt:lpwstr>
      </vt:variant>
      <vt:variant>
        <vt:lpwstr>:~:text=%20Training%20and%20facilitation%20have%20very%20different%20goals.,and%20skills%20to%20use%20in%20their%20current%20jobs.</vt:lpwstr>
      </vt:variant>
      <vt:variant>
        <vt:i4>917515</vt:i4>
      </vt:variant>
      <vt:variant>
        <vt:i4>3</vt:i4>
      </vt:variant>
      <vt:variant>
        <vt:i4>0</vt:i4>
      </vt:variant>
      <vt:variant>
        <vt:i4>5</vt:i4>
      </vt:variant>
      <vt:variant>
        <vt:lpwstr>https://peopleprofession.cipd.org/profession-map/specialist-knowledge/learning-development?_gl=1*5tbl5h*_ga*MTA5NjI2OTAzNC4xNjUzNTcyNDc5*_ga_D9HN5GYHYY*MTY3MDg1MTIzOS43My4xLjE2NzA4NTEyNDcuMC4wLjA.</vt:lpwstr>
      </vt:variant>
      <vt:variant>
        <vt:lpwstr/>
      </vt:variant>
      <vt:variant>
        <vt:i4>6815870</vt:i4>
      </vt:variant>
      <vt:variant>
        <vt:i4>0</vt:i4>
      </vt:variant>
      <vt:variant>
        <vt:i4>0</vt:i4>
      </vt:variant>
      <vt:variant>
        <vt:i4>5</vt:i4>
      </vt:variant>
      <vt:variant>
        <vt:lpwstr>https://www.gallup.com/workplace/236438/millennials-jobs-development-opportunities.aspx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Development Factsheet</dc:title>
  <dc:subject/>
  <dc:creator>By Sarah russell, Wordcount 1268</dc:creator>
  <cp:keywords/>
  <dc:description/>
  <cp:lastModifiedBy>Sarah Russell (Hywel Dda UHB - Culture and Workforce Experience Team Assistant)</cp:lastModifiedBy>
  <cp:revision>2</cp:revision>
  <dcterms:created xsi:type="dcterms:W3CDTF">2022-12-19T10:31:00Z</dcterms:created>
  <dcterms:modified xsi:type="dcterms:W3CDTF">2022-12-19T10:31:00Z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0x010100BEA47E0156DD1247B98918C06EE9A5BC</vt:lpwstr>
  </property>
</Properties>
</file>