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7A740" w14:textId="77777777" w:rsidR="00205B7A" w:rsidRDefault="00205B7A" w:rsidP="00205B7A">
      <w:pPr>
        <w:spacing w:after="0" w:line="480" w:lineRule="auto"/>
        <w:jc w:val="center"/>
        <w:rPr>
          <w:rFonts w:ascii="Times New Roman" w:hAnsi="Times New Roman" w:cs="Times New Roman"/>
          <w:sz w:val="24"/>
          <w:szCs w:val="24"/>
        </w:rPr>
      </w:pPr>
    </w:p>
    <w:p w14:paraId="73E3FDFE" w14:textId="75770601" w:rsidR="00205B7A" w:rsidRDefault="00367FFE" w:rsidP="00367FFE">
      <w:pPr>
        <w:spacing w:after="0" w:line="480" w:lineRule="auto"/>
        <w:rPr>
          <w:rFonts w:ascii="Times New Roman" w:hAnsi="Times New Roman" w:cs="Times New Roman"/>
          <w:sz w:val="24"/>
          <w:szCs w:val="24"/>
        </w:rPr>
      </w:pPr>
      <w:r w:rsidRPr="004741E8">
        <w:rPr>
          <w:rFonts w:ascii="Times New Roman" w:hAnsi="Times New Roman" w:cs="Times New Roman"/>
          <w:noProof/>
          <w:sz w:val="24"/>
          <w:szCs w:val="24"/>
        </w:rPr>
        <w:drawing>
          <wp:inline distT="0" distB="0" distL="0" distR="0" wp14:anchorId="722E4BCC" wp14:editId="751EBFA0">
            <wp:extent cx="3017520" cy="998103"/>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9516" cy="1002071"/>
                    </a:xfrm>
                    <a:prstGeom prst="rect">
                      <a:avLst/>
                    </a:prstGeom>
                    <a:noFill/>
                    <a:ln>
                      <a:noFill/>
                    </a:ln>
                  </pic:spPr>
                </pic:pic>
              </a:graphicData>
            </a:graphic>
          </wp:inline>
        </w:drawing>
      </w:r>
    </w:p>
    <w:p w14:paraId="41330A4B" w14:textId="77777777" w:rsidR="00205B7A" w:rsidRDefault="00205B7A" w:rsidP="00367FFE">
      <w:pPr>
        <w:spacing w:after="0" w:line="480" w:lineRule="auto"/>
        <w:rPr>
          <w:rFonts w:ascii="Times New Roman" w:hAnsi="Times New Roman" w:cs="Times New Roman"/>
          <w:sz w:val="24"/>
          <w:szCs w:val="24"/>
        </w:rPr>
      </w:pPr>
    </w:p>
    <w:p w14:paraId="5B3977F7" w14:textId="2D2C0475" w:rsidR="00205B7A" w:rsidRDefault="00205B7A" w:rsidP="00205B7A">
      <w:pPr>
        <w:spacing w:after="0" w:line="480" w:lineRule="auto"/>
        <w:jc w:val="center"/>
        <w:rPr>
          <w:rFonts w:ascii="Times New Roman" w:hAnsi="Times New Roman" w:cs="Times New Roman"/>
          <w:sz w:val="24"/>
          <w:szCs w:val="24"/>
        </w:rPr>
      </w:pPr>
    </w:p>
    <w:p w14:paraId="0CB3D991" w14:textId="77777777" w:rsidR="00614F62" w:rsidRDefault="00614F62" w:rsidP="00205B7A">
      <w:pPr>
        <w:spacing w:after="0" w:line="480" w:lineRule="auto"/>
        <w:jc w:val="center"/>
        <w:rPr>
          <w:rFonts w:ascii="Times New Roman" w:hAnsi="Times New Roman" w:cs="Times New Roman"/>
          <w:sz w:val="24"/>
          <w:szCs w:val="24"/>
        </w:rPr>
      </w:pPr>
    </w:p>
    <w:p w14:paraId="0AC96360" w14:textId="77777777" w:rsidR="00367FFE" w:rsidRPr="00047D33" w:rsidRDefault="00367FFE" w:rsidP="00367FFE">
      <w:pPr>
        <w:spacing w:line="36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47D33">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 BUSINESS MANAGEMENT</w:t>
      </w:r>
    </w:p>
    <w:p w14:paraId="6AF60734" w14:textId="77777777" w:rsidR="00367FFE" w:rsidRPr="00047D33" w:rsidRDefault="00367FFE" w:rsidP="00367FFE">
      <w:pPr>
        <w:spacing w:line="36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47D33">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1</w:t>
      </w:r>
    </w:p>
    <w:p w14:paraId="7B7F51F8" w14:textId="77777777" w:rsidR="00367FFE" w:rsidRDefault="00367FFE" w:rsidP="00367FFE">
      <w:pPr>
        <w:spacing w:line="360" w:lineRule="auto"/>
        <w:jc w:val="both"/>
        <w:rPr>
          <w:rFonts w:ascii="Times New Roman" w:hAnsi="Times New Roman" w:cs="Times New Roman"/>
          <w:b/>
          <w:bCs/>
          <w:sz w:val="24"/>
          <w:szCs w:val="24"/>
        </w:rPr>
      </w:pPr>
    </w:p>
    <w:p w14:paraId="5E788F81" w14:textId="77777777" w:rsidR="00367FFE" w:rsidRDefault="00367FFE" w:rsidP="00367FFE">
      <w:pPr>
        <w:spacing w:line="360" w:lineRule="auto"/>
        <w:jc w:val="both"/>
        <w:rPr>
          <w:rFonts w:ascii="Times New Roman" w:hAnsi="Times New Roman" w:cs="Times New Roman"/>
          <w:b/>
          <w:bCs/>
          <w:sz w:val="24"/>
          <w:szCs w:val="24"/>
        </w:rPr>
      </w:pPr>
    </w:p>
    <w:p w14:paraId="52261DCE" w14:textId="77777777" w:rsidR="00367FFE" w:rsidRPr="004741E8" w:rsidRDefault="00367FFE" w:rsidP="00367FFE">
      <w:pPr>
        <w:spacing w:line="360" w:lineRule="auto"/>
        <w:jc w:val="both"/>
        <w:rPr>
          <w:rFonts w:ascii="Times New Roman" w:hAnsi="Times New Roman" w:cs="Times New Roman"/>
          <w:b/>
          <w:bCs/>
          <w:sz w:val="24"/>
          <w:szCs w:val="24"/>
        </w:rPr>
      </w:pPr>
    </w:p>
    <w:p w14:paraId="1B524ECA" w14:textId="20FDFCE8" w:rsidR="00367FFE" w:rsidRPr="000972B1" w:rsidRDefault="00367FFE" w:rsidP="00367FFE">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 xml:space="preserve">Module: </w:t>
      </w:r>
      <w:r w:rsidRPr="00367FFE">
        <w:rPr>
          <w:rFonts w:ascii="Times New Roman" w:hAnsi="Times New Roman" w:cs="Times New Roman"/>
          <w:b/>
          <w:bCs/>
          <w:sz w:val="28"/>
          <w:szCs w:val="28"/>
        </w:rPr>
        <w:t>Accounting Fundamentals</w:t>
      </w:r>
    </w:p>
    <w:p w14:paraId="3FA564E3" w14:textId="2C6B0C99" w:rsidR="00367FFE" w:rsidRPr="000972B1" w:rsidRDefault="00367FFE" w:rsidP="00367FFE">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Code</w:t>
      </w:r>
      <w:r w:rsidRPr="000972B1">
        <w:rPr>
          <w:rFonts w:ascii="Times New Roman" w:hAnsi="Times New Roman" w:cs="Times New Roman"/>
          <w:sz w:val="28"/>
          <w:szCs w:val="28"/>
        </w:rPr>
        <w:t xml:space="preserve">: </w:t>
      </w:r>
      <w:r w:rsidRPr="000972B1">
        <w:rPr>
          <w:rFonts w:ascii="Times New Roman" w:hAnsi="Times New Roman" w:cs="Times New Roman"/>
          <w:b/>
          <w:bCs/>
          <w:sz w:val="28"/>
          <w:szCs w:val="28"/>
        </w:rPr>
        <w:t>LCBB400</w:t>
      </w:r>
      <w:r>
        <w:rPr>
          <w:rFonts w:ascii="Times New Roman" w:hAnsi="Times New Roman" w:cs="Times New Roman"/>
          <w:b/>
          <w:bCs/>
          <w:sz w:val="28"/>
          <w:szCs w:val="28"/>
        </w:rPr>
        <w:t>1</w:t>
      </w:r>
    </w:p>
    <w:p w14:paraId="471C3992" w14:textId="35C2ADB6" w:rsidR="00367FFE" w:rsidRPr="000972B1" w:rsidRDefault="00367FFE" w:rsidP="00367FFE">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Lecturer</w:t>
      </w:r>
      <w:r w:rsidRPr="000972B1">
        <w:rPr>
          <w:rFonts w:ascii="Times New Roman" w:hAnsi="Times New Roman" w:cs="Times New Roman"/>
          <w:sz w:val="28"/>
          <w:szCs w:val="28"/>
        </w:rPr>
        <w:t xml:space="preserve">: </w:t>
      </w:r>
      <w:r w:rsidRPr="00367FFE">
        <w:rPr>
          <w:rFonts w:ascii="Times New Roman" w:hAnsi="Times New Roman" w:cs="Times New Roman"/>
          <w:b/>
          <w:bCs/>
          <w:sz w:val="28"/>
          <w:szCs w:val="28"/>
        </w:rPr>
        <w:t xml:space="preserve">Rita </w:t>
      </w:r>
      <w:proofErr w:type="spellStart"/>
      <w:r w:rsidRPr="00367FFE">
        <w:rPr>
          <w:rFonts w:ascii="Times New Roman" w:hAnsi="Times New Roman" w:cs="Times New Roman"/>
          <w:b/>
          <w:bCs/>
          <w:sz w:val="28"/>
          <w:szCs w:val="28"/>
        </w:rPr>
        <w:t>Ukachi</w:t>
      </w:r>
      <w:proofErr w:type="spellEnd"/>
      <w:r w:rsidRPr="00367FFE">
        <w:rPr>
          <w:rFonts w:ascii="Times New Roman" w:hAnsi="Times New Roman" w:cs="Times New Roman"/>
          <w:b/>
          <w:bCs/>
          <w:sz w:val="28"/>
          <w:szCs w:val="28"/>
        </w:rPr>
        <w:t>-Lois</w:t>
      </w:r>
    </w:p>
    <w:p w14:paraId="20D97F77" w14:textId="77777777" w:rsidR="00367FFE" w:rsidRPr="000972B1" w:rsidRDefault="00367FFE" w:rsidP="00367FFE">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Name: Cristina-Loredana Balaban</w:t>
      </w:r>
    </w:p>
    <w:p w14:paraId="52FBC182" w14:textId="77777777" w:rsidR="00367FFE" w:rsidRPr="000972B1" w:rsidRDefault="00367FFE" w:rsidP="00367FFE">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Student ID: 2030114</w:t>
      </w:r>
    </w:p>
    <w:p w14:paraId="1F3B8ACB" w14:textId="77777777" w:rsidR="00367FFE" w:rsidRPr="004741E8" w:rsidRDefault="00367FFE" w:rsidP="00367FFE">
      <w:pPr>
        <w:spacing w:line="360" w:lineRule="auto"/>
        <w:jc w:val="both"/>
        <w:rPr>
          <w:rFonts w:ascii="Times New Roman" w:hAnsi="Times New Roman" w:cs="Times New Roman"/>
          <w:b/>
          <w:bCs/>
          <w:sz w:val="24"/>
          <w:szCs w:val="24"/>
        </w:rPr>
      </w:pPr>
    </w:p>
    <w:p w14:paraId="4A485D2B" w14:textId="77777777" w:rsidR="00367FFE" w:rsidRDefault="00367FFE" w:rsidP="00367FFE">
      <w:pPr>
        <w:spacing w:line="360" w:lineRule="auto"/>
        <w:jc w:val="both"/>
        <w:rPr>
          <w:rFonts w:ascii="Times New Roman" w:hAnsi="Times New Roman" w:cs="Times New Roman"/>
          <w:b/>
          <w:bCs/>
          <w:sz w:val="24"/>
          <w:szCs w:val="24"/>
        </w:rPr>
      </w:pPr>
    </w:p>
    <w:p w14:paraId="73D620D8" w14:textId="77777777" w:rsidR="00367FFE" w:rsidRDefault="00367FFE" w:rsidP="00367FFE">
      <w:pPr>
        <w:spacing w:line="360" w:lineRule="auto"/>
        <w:jc w:val="both"/>
        <w:rPr>
          <w:rFonts w:ascii="Times New Roman" w:hAnsi="Times New Roman" w:cs="Times New Roman"/>
          <w:b/>
          <w:bCs/>
          <w:sz w:val="24"/>
          <w:szCs w:val="24"/>
        </w:rPr>
      </w:pPr>
    </w:p>
    <w:p w14:paraId="2015F86C" w14:textId="383840D8" w:rsidR="0064361B" w:rsidRDefault="00367FFE" w:rsidP="00367FFE">
      <w:pPr>
        <w:spacing w:line="360" w:lineRule="auto"/>
        <w:jc w:val="center"/>
        <w:rPr>
          <w:rFonts w:ascii="Times New Roman" w:hAnsi="Times New Roman" w:cs="Times New Roman"/>
          <w:b/>
          <w:bCs/>
          <w:sz w:val="24"/>
          <w:szCs w:val="24"/>
        </w:rPr>
      </w:pPr>
      <w:r w:rsidRPr="004741E8">
        <w:rPr>
          <w:rFonts w:ascii="Times New Roman" w:hAnsi="Times New Roman" w:cs="Times New Roman"/>
          <w:b/>
          <w:bCs/>
          <w:sz w:val="24"/>
          <w:szCs w:val="24"/>
        </w:rPr>
        <w:t xml:space="preserve">SUBMITTED ON THE </w:t>
      </w:r>
      <w:r>
        <w:rPr>
          <w:rFonts w:ascii="Times New Roman" w:hAnsi="Times New Roman" w:cs="Times New Roman"/>
          <w:b/>
          <w:bCs/>
          <w:sz w:val="24"/>
          <w:szCs w:val="24"/>
        </w:rPr>
        <w:t>13</w:t>
      </w:r>
      <w:r>
        <w:rPr>
          <w:rFonts w:ascii="Times New Roman" w:hAnsi="Times New Roman" w:cs="Times New Roman"/>
          <w:b/>
          <w:bCs/>
          <w:sz w:val="24"/>
          <w:szCs w:val="24"/>
          <w:vertAlign w:val="superscript"/>
        </w:rPr>
        <w:t xml:space="preserve"> </w:t>
      </w:r>
      <w:r>
        <w:rPr>
          <w:rFonts w:ascii="Times New Roman" w:hAnsi="Times New Roman" w:cs="Times New Roman"/>
          <w:b/>
          <w:bCs/>
          <w:sz w:val="24"/>
          <w:szCs w:val="24"/>
        </w:rPr>
        <w:t>OF</w:t>
      </w:r>
      <w:r w:rsidRPr="004741E8">
        <w:rPr>
          <w:rFonts w:ascii="Times New Roman" w:hAnsi="Times New Roman" w:cs="Times New Roman"/>
          <w:b/>
          <w:bCs/>
          <w:sz w:val="24"/>
          <w:szCs w:val="24"/>
        </w:rPr>
        <w:t xml:space="preserve"> </w:t>
      </w:r>
      <w:r>
        <w:rPr>
          <w:rFonts w:ascii="Times New Roman" w:hAnsi="Times New Roman" w:cs="Times New Roman"/>
          <w:b/>
          <w:bCs/>
          <w:sz w:val="24"/>
          <w:szCs w:val="24"/>
        </w:rPr>
        <w:t>JANUARY</w:t>
      </w:r>
      <w:r w:rsidRPr="004741E8">
        <w:rPr>
          <w:rFonts w:ascii="Times New Roman" w:hAnsi="Times New Roman" w:cs="Times New Roman"/>
          <w:b/>
          <w:bCs/>
          <w:sz w:val="24"/>
          <w:szCs w:val="24"/>
        </w:rPr>
        <w:t xml:space="preserve"> 202</w:t>
      </w:r>
      <w:r>
        <w:rPr>
          <w:rFonts w:ascii="Times New Roman" w:hAnsi="Times New Roman" w:cs="Times New Roman"/>
          <w:b/>
          <w:bCs/>
          <w:sz w:val="24"/>
          <w:szCs w:val="24"/>
        </w:rPr>
        <w:t>3</w:t>
      </w:r>
    </w:p>
    <w:sdt>
      <w:sdtPr>
        <w:id w:val="218482591"/>
        <w:docPartObj>
          <w:docPartGallery w:val="Table of Contents"/>
          <w:docPartUnique/>
        </w:docPartObj>
      </w:sdtPr>
      <w:sdtEndPr>
        <w:rPr>
          <w:rFonts w:ascii="Times New Roman" w:eastAsiaTheme="minorHAnsi" w:hAnsi="Times New Roman" w:cs="Times New Roman"/>
          <w:b/>
          <w:bCs/>
          <w:noProof/>
          <w:color w:val="auto"/>
          <w:sz w:val="28"/>
          <w:szCs w:val="28"/>
        </w:rPr>
      </w:sdtEndPr>
      <w:sdtContent>
        <w:p w14:paraId="7F5C1910" w14:textId="77777777" w:rsidR="002F2AFF" w:rsidRDefault="002F2AFF" w:rsidP="002F2AFF">
          <w:pPr>
            <w:pStyle w:val="TOCHeading"/>
            <w:jc w:val="center"/>
          </w:pPr>
        </w:p>
        <w:p w14:paraId="00B0ECD7" w14:textId="17DC7408" w:rsidR="002F2AFF" w:rsidRDefault="002F2AFF" w:rsidP="002F2AFF">
          <w:pPr>
            <w:pStyle w:val="TOCHeading"/>
            <w:jc w:val="center"/>
            <w:rPr>
              <w:rFonts w:ascii="Times New Roman" w:hAnsi="Times New Roman" w:cs="Times New Roman"/>
              <w:color w:val="auto"/>
              <w:sz w:val="36"/>
              <w:szCs w:val="36"/>
            </w:rPr>
          </w:pPr>
          <w:r w:rsidRPr="002F2AFF">
            <w:rPr>
              <w:rFonts w:ascii="Times New Roman" w:hAnsi="Times New Roman" w:cs="Times New Roman"/>
              <w:color w:val="auto"/>
              <w:sz w:val="36"/>
              <w:szCs w:val="36"/>
            </w:rPr>
            <w:t>Table of Contents</w:t>
          </w:r>
        </w:p>
        <w:p w14:paraId="23F20CA9" w14:textId="77777777" w:rsidR="002F2AFF" w:rsidRPr="002F2AFF" w:rsidRDefault="002F2AFF" w:rsidP="002F2AFF"/>
        <w:p w14:paraId="15A0B5D3" w14:textId="77777777" w:rsidR="002F2AFF" w:rsidRPr="002F2AFF" w:rsidRDefault="002F2AFF" w:rsidP="002F2AFF"/>
        <w:p w14:paraId="4AE4AF4A" w14:textId="1D77E7E4"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r w:rsidRPr="002F2AFF">
            <w:rPr>
              <w:rFonts w:ascii="Times New Roman" w:hAnsi="Times New Roman" w:cs="Times New Roman"/>
              <w:sz w:val="28"/>
              <w:szCs w:val="28"/>
            </w:rPr>
            <w:fldChar w:fldCharType="begin"/>
          </w:r>
          <w:r w:rsidRPr="002F2AFF">
            <w:rPr>
              <w:rFonts w:ascii="Times New Roman" w:hAnsi="Times New Roman" w:cs="Times New Roman"/>
              <w:sz w:val="28"/>
              <w:szCs w:val="28"/>
            </w:rPr>
            <w:instrText xml:space="preserve"> TOC \o "1-3" \h \z \u </w:instrText>
          </w:r>
          <w:r w:rsidRPr="002F2AFF">
            <w:rPr>
              <w:rFonts w:ascii="Times New Roman" w:hAnsi="Times New Roman" w:cs="Times New Roman"/>
              <w:sz w:val="28"/>
              <w:szCs w:val="28"/>
            </w:rPr>
            <w:fldChar w:fldCharType="separate"/>
          </w:r>
          <w:hyperlink w:anchor="_Toc124464364" w:history="1">
            <w:r w:rsidRPr="002F2AFF">
              <w:rPr>
                <w:rStyle w:val="Hyperlink"/>
                <w:rFonts w:ascii="Times New Roman" w:hAnsi="Times New Roman" w:cs="Times New Roman"/>
                <w:noProof/>
                <w:sz w:val="28"/>
                <w:szCs w:val="28"/>
              </w:rPr>
              <w:t>Question 1</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_Toc124464364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3</w:t>
            </w:r>
            <w:r w:rsidRPr="002F2AFF">
              <w:rPr>
                <w:rFonts w:ascii="Times New Roman" w:hAnsi="Times New Roman" w:cs="Times New Roman"/>
                <w:noProof/>
                <w:webHidden/>
                <w:sz w:val="28"/>
                <w:szCs w:val="28"/>
              </w:rPr>
              <w:fldChar w:fldCharType="end"/>
            </w:r>
          </w:hyperlink>
        </w:p>
        <w:p w14:paraId="422587B1" w14:textId="0BA9A0CF"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65" w:history="1">
            <w:r w:rsidRPr="002F2AFF">
              <w:rPr>
                <w:rStyle w:val="Hyperlink"/>
                <w:rFonts w:ascii="Times New Roman" w:hAnsi="Times New Roman" w:cs="Times New Roman"/>
                <w:noProof/>
                <w:sz w:val="28"/>
                <w:szCs w:val="28"/>
              </w:rPr>
              <w:t>Part A: Income Statement and Statement of Financial Position as of 31</w:t>
            </w:r>
            <w:r w:rsidRPr="002F2AFF">
              <w:rPr>
                <w:rStyle w:val="Hyperlink"/>
                <w:rFonts w:ascii="Times New Roman" w:hAnsi="Times New Roman" w:cs="Times New Roman"/>
                <w:noProof/>
                <w:sz w:val="28"/>
                <w:szCs w:val="28"/>
                <w:vertAlign w:val="superscript"/>
              </w:rPr>
              <w:t>st</w:t>
            </w:r>
            <w:r w:rsidRPr="002F2AFF">
              <w:rPr>
                <w:rStyle w:val="Hyperlink"/>
                <w:rFonts w:ascii="Times New Roman" w:hAnsi="Times New Roman" w:cs="Times New Roman"/>
                <w:noProof/>
                <w:sz w:val="28"/>
                <w:szCs w:val="28"/>
              </w:rPr>
              <w:t xml:space="preserve"> December 2021</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_Toc124464365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3</w:t>
            </w:r>
            <w:r w:rsidRPr="002F2AFF">
              <w:rPr>
                <w:rFonts w:ascii="Times New Roman" w:hAnsi="Times New Roman" w:cs="Times New Roman"/>
                <w:noProof/>
                <w:webHidden/>
                <w:sz w:val="28"/>
                <w:szCs w:val="28"/>
              </w:rPr>
              <w:fldChar w:fldCharType="end"/>
            </w:r>
          </w:hyperlink>
        </w:p>
        <w:p w14:paraId="34D37B07" w14:textId="160CE100"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66" w:history="1">
            <w:r w:rsidRPr="002F2AFF">
              <w:rPr>
                <w:rStyle w:val="Hyperlink"/>
                <w:rFonts w:ascii="Times New Roman" w:hAnsi="Times New Roman" w:cs="Times New Roman"/>
                <w:noProof/>
                <w:sz w:val="28"/>
                <w:szCs w:val="28"/>
              </w:rPr>
              <w:t>Part B: Reasons Why the Statement of Financial Position Balances</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_Toc124464366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6</w:t>
            </w:r>
            <w:r w:rsidRPr="002F2AFF">
              <w:rPr>
                <w:rFonts w:ascii="Times New Roman" w:hAnsi="Times New Roman" w:cs="Times New Roman"/>
                <w:noProof/>
                <w:webHidden/>
                <w:sz w:val="28"/>
                <w:szCs w:val="28"/>
              </w:rPr>
              <w:fldChar w:fldCharType="end"/>
            </w:r>
          </w:hyperlink>
        </w:p>
        <w:p w14:paraId="30237A56" w14:textId="12E2AA06"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67" w:history="1">
            <w:r w:rsidRPr="002F2AFF">
              <w:rPr>
                <w:rStyle w:val="Hyperlink"/>
                <w:rFonts w:ascii="Times New Roman" w:hAnsi="Times New Roman" w:cs="Times New Roman"/>
                <w:noProof/>
                <w:sz w:val="28"/>
                <w:szCs w:val="28"/>
              </w:rPr>
              <w:t>Question 2</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_Toc124464367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7</w:t>
            </w:r>
            <w:r w:rsidRPr="002F2AFF">
              <w:rPr>
                <w:rFonts w:ascii="Times New Roman" w:hAnsi="Times New Roman" w:cs="Times New Roman"/>
                <w:noProof/>
                <w:webHidden/>
                <w:sz w:val="28"/>
                <w:szCs w:val="28"/>
              </w:rPr>
              <w:fldChar w:fldCharType="end"/>
            </w:r>
          </w:hyperlink>
        </w:p>
        <w:p w14:paraId="5C18F0F5" w14:textId="5DC957D4"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68" w:history="1">
            <w:r w:rsidRPr="002F2AFF">
              <w:rPr>
                <w:rStyle w:val="Hyperlink"/>
                <w:rFonts w:ascii="Times New Roman" w:hAnsi="Times New Roman" w:cs="Times New Roman"/>
                <w:noProof/>
                <w:sz w:val="28"/>
                <w:szCs w:val="28"/>
              </w:rPr>
              <w:t>Part A: Financial Ratio Analysis of Sweets Plc. for 2021 and 2020</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_Toc124464368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7</w:t>
            </w:r>
            <w:r w:rsidRPr="002F2AFF">
              <w:rPr>
                <w:rFonts w:ascii="Times New Roman" w:hAnsi="Times New Roman" w:cs="Times New Roman"/>
                <w:noProof/>
                <w:webHidden/>
                <w:sz w:val="28"/>
                <w:szCs w:val="28"/>
              </w:rPr>
              <w:fldChar w:fldCharType="end"/>
            </w:r>
          </w:hyperlink>
        </w:p>
        <w:p w14:paraId="43E0DE4A" w14:textId="71DCBB56"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69" w:history="1">
            <w:r w:rsidRPr="002F2AFF">
              <w:rPr>
                <w:rStyle w:val="Hyperlink"/>
                <w:rFonts w:ascii="Times New Roman" w:hAnsi="Times New Roman" w:cs="Times New Roman"/>
                <w:noProof/>
                <w:sz w:val="28"/>
                <w:szCs w:val="28"/>
              </w:rPr>
              <w:t>Part B: Comment on the Financial Performance and Position of Sweets Plc.</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_Toc124464369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10</w:t>
            </w:r>
            <w:r w:rsidRPr="002F2AFF">
              <w:rPr>
                <w:rFonts w:ascii="Times New Roman" w:hAnsi="Times New Roman" w:cs="Times New Roman"/>
                <w:noProof/>
                <w:webHidden/>
                <w:sz w:val="28"/>
                <w:szCs w:val="28"/>
              </w:rPr>
              <w:fldChar w:fldCharType="end"/>
            </w:r>
          </w:hyperlink>
        </w:p>
        <w:p w14:paraId="24BC9D51" w14:textId="76B411D4" w:rsidR="002F2AFF" w:rsidRPr="002F2AFF" w:rsidRDefault="002F2AFF" w:rsidP="002F2AFF">
          <w:pPr>
            <w:pStyle w:val="TOC1"/>
            <w:tabs>
              <w:tab w:val="right" w:leader="dot" w:pos="9350"/>
            </w:tabs>
            <w:spacing w:line="360" w:lineRule="auto"/>
            <w:jc w:val="both"/>
            <w:rPr>
              <w:rFonts w:ascii="Times New Roman" w:hAnsi="Times New Roman" w:cs="Times New Roman"/>
              <w:noProof/>
              <w:sz w:val="28"/>
              <w:szCs w:val="28"/>
            </w:rPr>
          </w:pPr>
          <w:hyperlink w:anchor="_Toc124464370" w:history="1">
            <w:r w:rsidRPr="002F2AFF">
              <w:rPr>
                <w:rStyle w:val="Hyperlink"/>
                <w:rFonts w:ascii="Times New Roman" w:hAnsi="Times New Roman" w:cs="Times New Roman"/>
                <w:noProof/>
                <w:sz w:val="28"/>
                <w:szCs w:val="28"/>
              </w:rPr>
              <w:t>References</w:t>
            </w:r>
            <w:r w:rsidRPr="002F2AFF">
              <w:rPr>
                <w:rFonts w:ascii="Times New Roman" w:hAnsi="Times New Roman" w:cs="Times New Roman"/>
                <w:noProof/>
                <w:webHidden/>
                <w:sz w:val="28"/>
                <w:szCs w:val="28"/>
              </w:rPr>
              <w:tab/>
            </w:r>
            <w:r w:rsidRPr="002F2AFF">
              <w:rPr>
                <w:rFonts w:ascii="Times New Roman" w:hAnsi="Times New Roman" w:cs="Times New Roman"/>
                <w:noProof/>
                <w:webHidden/>
                <w:sz w:val="28"/>
                <w:szCs w:val="28"/>
              </w:rPr>
              <w:fldChar w:fldCharType="begin"/>
            </w:r>
            <w:r w:rsidRPr="002F2AFF">
              <w:rPr>
                <w:rFonts w:ascii="Times New Roman" w:hAnsi="Times New Roman" w:cs="Times New Roman"/>
                <w:noProof/>
                <w:webHidden/>
                <w:sz w:val="28"/>
                <w:szCs w:val="28"/>
              </w:rPr>
              <w:instrText xml:space="preserve"> PAGEREF _Toc124464370 \h </w:instrText>
            </w:r>
            <w:r w:rsidRPr="002F2AFF">
              <w:rPr>
                <w:rFonts w:ascii="Times New Roman" w:hAnsi="Times New Roman" w:cs="Times New Roman"/>
                <w:noProof/>
                <w:webHidden/>
                <w:sz w:val="28"/>
                <w:szCs w:val="28"/>
              </w:rPr>
            </w:r>
            <w:r w:rsidRPr="002F2AFF">
              <w:rPr>
                <w:rFonts w:ascii="Times New Roman" w:hAnsi="Times New Roman" w:cs="Times New Roman"/>
                <w:noProof/>
                <w:webHidden/>
                <w:sz w:val="28"/>
                <w:szCs w:val="28"/>
              </w:rPr>
              <w:fldChar w:fldCharType="separate"/>
            </w:r>
            <w:r w:rsidRPr="002F2AFF">
              <w:rPr>
                <w:rFonts w:ascii="Times New Roman" w:hAnsi="Times New Roman" w:cs="Times New Roman"/>
                <w:noProof/>
                <w:webHidden/>
                <w:sz w:val="28"/>
                <w:szCs w:val="28"/>
              </w:rPr>
              <w:t>15</w:t>
            </w:r>
            <w:r w:rsidRPr="002F2AFF">
              <w:rPr>
                <w:rFonts w:ascii="Times New Roman" w:hAnsi="Times New Roman" w:cs="Times New Roman"/>
                <w:noProof/>
                <w:webHidden/>
                <w:sz w:val="28"/>
                <w:szCs w:val="28"/>
              </w:rPr>
              <w:fldChar w:fldCharType="end"/>
            </w:r>
          </w:hyperlink>
        </w:p>
        <w:p w14:paraId="1E7AB3B9" w14:textId="751CDEE2" w:rsidR="002F2AFF" w:rsidRPr="002F2AFF" w:rsidRDefault="002F2AFF" w:rsidP="002F2AFF">
          <w:pPr>
            <w:spacing w:line="360" w:lineRule="auto"/>
            <w:jc w:val="both"/>
            <w:rPr>
              <w:rFonts w:ascii="Times New Roman" w:hAnsi="Times New Roman" w:cs="Times New Roman"/>
              <w:sz w:val="28"/>
              <w:szCs w:val="28"/>
            </w:rPr>
          </w:pPr>
          <w:r w:rsidRPr="002F2AFF">
            <w:rPr>
              <w:rFonts w:ascii="Times New Roman" w:hAnsi="Times New Roman" w:cs="Times New Roman"/>
              <w:b/>
              <w:bCs/>
              <w:noProof/>
              <w:sz w:val="28"/>
              <w:szCs w:val="28"/>
            </w:rPr>
            <w:fldChar w:fldCharType="end"/>
          </w:r>
        </w:p>
      </w:sdtContent>
    </w:sdt>
    <w:p w14:paraId="372DF5E4" w14:textId="793EEE96" w:rsidR="00367FFE" w:rsidRDefault="00367FFE" w:rsidP="00367FFE">
      <w:pPr>
        <w:spacing w:line="360" w:lineRule="auto"/>
        <w:jc w:val="center"/>
        <w:rPr>
          <w:rFonts w:ascii="Times New Roman" w:hAnsi="Times New Roman" w:cs="Times New Roman"/>
          <w:b/>
          <w:bCs/>
          <w:sz w:val="24"/>
          <w:szCs w:val="24"/>
        </w:rPr>
      </w:pPr>
    </w:p>
    <w:p w14:paraId="7E53EA9F" w14:textId="745CD8F5" w:rsidR="00367FFE" w:rsidRDefault="00367FFE" w:rsidP="00367FFE">
      <w:pPr>
        <w:spacing w:line="360" w:lineRule="auto"/>
        <w:jc w:val="center"/>
        <w:rPr>
          <w:rFonts w:ascii="Times New Roman" w:hAnsi="Times New Roman" w:cs="Times New Roman"/>
          <w:b/>
          <w:bCs/>
          <w:sz w:val="24"/>
          <w:szCs w:val="24"/>
        </w:rPr>
      </w:pPr>
    </w:p>
    <w:p w14:paraId="28FC314E" w14:textId="6DFC5261" w:rsidR="00367FFE" w:rsidRDefault="00367FFE" w:rsidP="00367FFE">
      <w:pPr>
        <w:spacing w:line="360" w:lineRule="auto"/>
        <w:jc w:val="center"/>
        <w:rPr>
          <w:rFonts w:ascii="Times New Roman" w:hAnsi="Times New Roman" w:cs="Times New Roman"/>
          <w:b/>
          <w:bCs/>
          <w:sz w:val="24"/>
          <w:szCs w:val="24"/>
        </w:rPr>
      </w:pPr>
    </w:p>
    <w:p w14:paraId="03F1334D" w14:textId="5749BF5A" w:rsidR="00367FFE" w:rsidRDefault="00367FFE" w:rsidP="00367FFE">
      <w:pPr>
        <w:spacing w:line="360" w:lineRule="auto"/>
        <w:jc w:val="center"/>
        <w:rPr>
          <w:rFonts w:ascii="Times New Roman" w:hAnsi="Times New Roman" w:cs="Times New Roman"/>
          <w:b/>
          <w:bCs/>
          <w:sz w:val="24"/>
          <w:szCs w:val="24"/>
        </w:rPr>
      </w:pPr>
    </w:p>
    <w:p w14:paraId="433ECA3E" w14:textId="5AE1919A" w:rsidR="00367FFE" w:rsidRDefault="00367FFE" w:rsidP="00367FFE">
      <w:pPr>
        <w:spacing w:line="360" w:lineRule="auto"/>
        <w:jc w:val="center"/>
        <w:rPr>
          <w:rFonts w:ascii="Times New Roman" w:hAnsi="Times New Roman" w:cs="Times New Roman"/>
          <w:b/>
          <w:bCs/>
          <w:sz w:val="24"/>
          <w:szCs w:val="24"/>
        </w:rPr>
      </w:pPr>
    </w:p>
    <w:p w14:paraId="1A9B9C10" w14:textId="5EBEC07E" w:rsidR="00367FFE" w:rsidRDefault="00367FFE" w:rsidP="00367FFE">
      <w:pPr>
        <w:spacing w:line="360" w:lineRule="auto"/>
        <w:jc w:val="center"/>
        <w:rPr>
          <w:rFonts w:ascii="Times New Roman" w:hAnsi="Times New Roman" w:cs="Times New Roman"/>
          <w:b/>
          <w:bCs/>
          <w:sz w:val="24"/>
          <w:szCs w:val="24"/>
        </w:rPr>
      </w:pPr>
    </w:p>
    <w:p w14:paraId="56EB81D5" w14:textId="23E09CFA" w:rsidR="00367FFE" w:rsidRDefault="00367FFE" w:rsidP="00367FFE">
      <w:pPr>
        <w:spacing w:line="360" w:lineRule="auto"/>
        <w:jc w:val="center"/>
        <w:rPr>
          <w:rFonts w:ascii="Times New Roman" w:hAnsi="Times New Roman" w:cs="Times New Roman"/>
          <w:b/>
          <w:bCs/>
          <w:sz w:val="24"/>
          <w:szCs w:val="24"/>
        </w:rPr>
      </w:pPr>
    </w:p>
    <w:p w14:paraId="7AF2D911" w14:textId="517E4E7F" w:rsidR="00367FFE" w:rsidRDefault="00367FFE" w:rsidP="00367FFE">
      <w:pPr>
        <w:spacing w:line="360" w:lineRule="auto"/>
        <w:jc w:val="center"/>
        <w:rPr>
          <w:rFonts w:ascii="Times New Roman" w:hAnsi="Times New Roman" w:cs="Times New Roman"/>
          <w:b/>
          <w:bCs/>
          <w:sz w:val="24"/>
          <w:szCs w:val="24"/>
        </w:rPr>
      </w:pPr>
    </w:p>
    <w:p w14:paraId="086AC524" w14:textId="77777777" w:rsidR="00367FFE" w:rsidRDefault="00367FFE" w:rsidP="000B368A">
      <w:pPr>
        <w:spacing w:line="360" w:lineRule="auto"/>
        <w:rPr>
          <w:rFonts w:ascii="Times New Roman" w:hAnsi="Times New Roman" w:cs="Times New Roman"/>
          <w:b/>
          <w:bCs/>
          <w:sz w:val="24"/>
          <w:szCs w:val="24"/>
        </w:rPr>
      </w:pPr>
    </w:p>
    <w:p w14:paraId="689EAB6E" w14:textId="1429BBCA" w:rsidR="00A508ED" w:rsidRPr="004B76FD" w:rsidRDefault="00A508ED" w:rsidP="004B76FD">
      <w:pPr>
        <w:pStyle w:val="Heading1"/>
        <w:jc w:val="center"/>
        <w:rPr>
          <w:rFonts w:ascii="Times New Roman" w:hAnsi="Times New Roman" w:cs="Times New Roman"/>
          <w:b/>
          <w:bCs/>
          <w:color w:val="auto"/>
          <w:sz w:val="28"/>
          <w:szCs w:val="28"/>
        </w:rPr>
      </w:pPr>
      <w:bookmarkStart w:id="0" w:name="_Toc124464364"/>
      <w:r w:rsidRPr="004B76FD">
        <w:rPr>
          <w:rFonts w:ascii="Times New Roman" w:hAnsi="Times New Roman" w:cs="Times New Roman"/>
          <w:b/>
          <w:bCs/>
          <w:color w:val="auto"/>
          <w:sz w:val="28"/>
          <w:szCs w:val="28"/>
        </w:rPr>
        <w:lastRenderedPageBreak/>
        <w:t>Question 1</w:t>
      </w:r>
      <w:bookmarkEnd w:id="0"/>
    </w:p>
    <w:p w14:paraId="20BED49C" w14:textId="631C53D9" w:rsidR="00A508ED" w:rsidRPr="004B76FD" w:rsidRDefault="00A508ED" w:rsidP="004B76FD">
      <w:pPr>
        <w:pStyle w:val="Heading1"/>
        <w:rPr>
          <w:rFonts w:ascii="Times New Roman" w:hAnsi="Times New Roman" w:cs="Times New Roman"/>
          <w:b/>
          <w:bCs/>
          <w:color w:val="auto"/>
          <w:sz w:val="28"/>
          <w:szCs w:val="28"/>
        </w:rPr>
      </w:pPr>
      <w:bookmarkStart w:id="1" w:name="_Toc124464365"/>
      <w:r w:rsidRPr="004B76FD">
        <w:rPr>
          <w:rFonts w:ascii="Times New Roman" w:hAnsi="Times New Roman" w:cs="Times New Roman"/>
          <w:b/>
          <w:bCs/>
          <w:color w:val="auto"/>
          <w:sz w:val="28"/>
          <w:szCs w:val="28"/>
        </w:rPr>
        <w:t xml:space="preserve">Part A: Income Statement and Statement of Financial Position </w:t>
      </w:r>
      <w:r w:rsidR="00151DE0" w:rsidRPr="004B76FD">
        <w:rPr>
          <w:rFonts w:ascii="Times New Roman" w:hAnsi="Times New Roman" w:cs="Times New Roman"/>
          <w:b/>
          <w:bCs/>
          <w:color w:val="auto"/>
          <w:sz w:val="28"/>
          <w:szCs w:val="28"/>
        </w:rPr>
        <w:t>as</w:t>
      </w:r>
      <w:r w:rsidRPr="004B76FD">
        <w:rPr>
          <w:rFonts w:ascii="Times New Roman" w:hAnsi="Times New Roman" w:cs="Times New Roman"/>
          <w:b/>
          <w:bCs/>
          <w:color w:val="auto"/>
          <w:sz w:val="28"/>
          <w:szCs w:val="28"/>
        </w:rPr>
        <w:t xml:space="preserve"> </w:t>
      </w:r>
      <w:r w:rsidR="00151DE0" w:rsidRPr="004B76FD">
        <w:rPr>
          <w:rFonts w:ascii="Times New Roman" w:hAnsi="Times New Roman" w:cs="Times New Roman"/>
          <w:b/>
          <w:bCs/>
          <w:color w:val="auto"/>
          <w:sz w:val="28"/>
          <w:szCs w:val="28"/>
        </w:rPr>
        <w:t>of</w:t>
      </w:r>
      <w:r w:rsidRPr="004B76FD">
        <w:rPr>
          <w:rFonts w:ascii="Times New Roman" w:hAnsi="Times New Roman" w:cs="Times New Roman"/>
          <w:b/>
          <w:bCs/>
          <w:color w:val="auto"/>
          <w:sz w:val="28"/>
          <w:szCs w:val="28"/>
        </w:rPr>
        <w:t xml:space="preserve"> 31</w:t>
      </w:r>
      <w:r w:rsidRPr="004B76FD">
        <w:rPr>
          <w:rFonts w:ascii="Times New Roman" w:hAnsi="Times New Roman" w:cs="Times New Roman"/>
          <w:b/>
          <w:bCs/>
          <w:color w:val="auto"/>
          <w:sz w:val="28"/>
          <w:szCs w:val="28"/>
          <w:vertAlign w:val="superscript"/>
        </w:rPr>
        <w:t>st</w:t>
      </w:r>
      <w:r w:rsidRPr="004B76FD">
        <w:rPr>
          <w:rFonts w:ascii="Times New Roman" w:hAnsi="Times New Roman" w:cs="Times New Roman"/>
          <w:b/>
          <w:bCs/>
          <w:color w:val="auto"/>
          <w:sz w:val="28"/>
          <w:szCs w:val="28"/>
        </w:rPr>
        <w:t xml:space="preserve"> </w:t>
      </w:r>
      <w:r w:rsidR="00151DE0" w:rsidRPr="004B76FD">
        <w:rPr>
          <w:rFonts w:ascii="Times New Roman" w:hAnsi="Times New Roman" w:cs="Times New Roman"/>
          <w:b/>
          <w:bCs/>
          <w:color w:val="auto"/>
          <w:sz w:val="28"/>
          <w:szCs w:val="28"/>
        </w:rPr>
        <w:t>December</w:t>
      </w:r>
      <w:r w:rsidRPr="004B76FD">
        <w:rPr>
          <w:rFonts w:ascii="Times New Roman" w:hAnsi="Times New Roman" w:cs="Times New Roman"/>
          <w:b/>
          <w:bCs/>
          <w:color w:val="auto"/>
          <w:sz w:val="28"/>
          <w:szCs w:val="28"/>
        </w:rPr>
        <w:t xml:space="preserve"> 2021</w:t>
      </w:r>
      <w:bookmarkEnd w:id="1"/>
    </w:p>
    <w:p w14:paraId="50C98E70" w14:textId="77777777" w:rsidR="004B76FD" w:rsidRPr="004B76FD" w:rsidRDefault="004B76FD" w:rsidP="004B76FD"/>
    <w:p w14:paraId="28F2DBE6" w14:textId="192FDFB0" w:rsidR="00507196" w:rsidRDefault="00F80F82" w:rsidP="00507196">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income statement</w:t>
      </w:r>
      <w:r w:rsidR="00347D53">
        <w:rPr>
          <w:rFonts w:ascii="Times New Roman" w:hAnsi="Times New Roman" w:cs="Times New Roman"/>
          <w:sz w:val="24"/>
          <w:szCs w:val="24"/>
        </w:rPr>
        <w:t xml:space="preserve"> or the statement of financial performance is a financial statement, which involves the determination of the profit or loss of a business </w:t>
      </w:r>
      <w:r w:rsidR="00347D53" w:rsidRPr="00347D53">
        <w:rPr>
          <w:rFonts w:ascii="Times New Roman" w:hAnsi="Times New Roman" w:cs="Times New Roman"/>
          <w:sz w:val="24"/>
          <w:szCs w:val="24"/>
        </w:rPr>
        <w:t>(Lin et al., 2016)</w:t>
      </w:r>
      <w:r w:rsidR="00347D53">
        <w:rPr>
          <w:rFonts w:ascii="Times New Roman" w:hAnsi="Times New Roman" w:cs="Times New Roman"/>
          <w:sz w:val="24"/>
          <w:szCs w:val="24"/>
        </w:rPr>
        <w:t xml:space="preserve">. The main items of the income statement involve the sales, cost of sales, gross profit, operating expenses and net income or loss </w:t>
      </w:r>
      <w:r w:rsidR="00347D53" w:rsidRPr="00347D53">
        <w:rPr>
          <w:rFonts w:ascii="Times New Roman" w:hAnsi="Times New Roman" w:cs="Times New Roman"/>
          <w:sz w:val="24"/>
          <w:szCs w:val="24"/>
        </w:rPr>
        <w:t>(Lau &amp; Fredriksson, 2013)</w:t>
      </w:r>
      <w:r w:rsidR="00347D53">
        <w:rPr>
          <w:rFonts w:ascii="Times New Roman" w:hAnsi="Times New Roman" w:cs="Times New Roman"/>
          <w:sz w:val="24"/>
          <w:szCs w:val="24"/>
        </w:rPr>
        <w:t xml:space="preserve">. </w:t>
      </w:r>
      <w:r w:rsidR="00507196">
        <w:rPr>
          <w:rFonts w:ascii="Times New Roman" w:hAnsi="Times New Roman" w:cs="Times New Roman"/>
          <w:sz w:val="24"/>
          <w:szCs w:val="24"/>
        </w:rPr>
        <w:t>Table 1 below shows the income statement of Wales Plc. for the year ended 31</w:t>
      </w:r>
      <w:r w:rsidR="00507196" w:rsidRPr="00507196">
        <w:rPr>
          <w:rFonts w:ascii="Times New Roman" w:hAnsi="Times New Roman" w:cs="Times New Roman"/>
          <w:sz w:val="24"/>
          <w:szCs w:val="24"/>
          <w:vertAlign w:val="superscript"/>
        </w:rPr>
        <w:t>st</w:t>
      </w:r>
      <w:r w:rsidR="00507196">
        <w:rPr>
          <w:rFonts w:ascii="Times New Roman" w:hAnsi="Times New Roman" w:cs="Times New Roman"/>
          <w:sz w:val="24"/>
          <w:szCs w:val="24"/>
        </w:rPr>
        <w:t xml:space="preserve"> </w:t>
      </w:r>
      <w:r w:rsidR="00347D53">
        <w:rPr>
          <w:rFonts w:ascii="Times New Roman" w:hAnsi="Times New Roman" w:cs="Times New Roman"/>
          <w:sz w:val="24"/>
          <w:szCs w:val="24"/>
        </w:rPr>
        <w:t>December</w:t>
      </w:r>
      <w:r w:rsidR="00507196">
        <w:rPr>
          <w:rFonts w:ascii="Times New Roman" w:hAnsi="Times New Roman" w:cs="Times New Roman"/>
          <w:sz w:val="24"/>
          <w:szCs w:val="24"/>
        </w:rPr>
        <w:t xml:space="preserve"> 2021. Based on table 1, Wales Plc. had a net income of £5</w:t>
      </w:r>
      <w:r w:rsidR="007645B2">
        <w:rPr>
          <w:rFonts w:ascii="Times New Roman" w:hAnsi="Times New Roman" w:cs="Times New Roman"/>
          <w:sz w:val="24"/>
          <w:szCs w:val="24"/>
        </w:rPr>
        <w:t>4</w:t>
      </w:r>
      <w:r w:rsidR="00507196">
        <w:rPr>
          <w:rFonts w:ascii="Times New Roman" w:hAnsi="Times New Roman" w:cs="Times New Roman"/>
          <w:sz w:val="24"/>
          <w:szCs w:val="24"/>
        </w:rPr>
        <w:t>,330.</w:t>
      </w:r>
    </w:p>
    <w:p w14:paraId="5CA5124A" w14:textId="77777777" w:rsidR="004B76FD" w:rsidRPr="00507196" w:rsidRDefault="004B76FD" w:rsidP="00507196">
      <w:pPr>
        <w:spacing w:after="0" w:line="480" w:lineRule="auto"/>
        <w:ind w:firstLine="720"/>
        <w:jc w:val="both"/>
        <w:rPr>
          <w:rFonts w:ascii="Times New Roman" w:hAnsi="Times New Roman" w:cs="Times New Roman"/>
          <w:sz w:val="24"/>
          <w:szCs w:val="24"/>
        </w:rPr>
      </w:pPr>
    </w:p>
    <w:p w14:paraId="06457827" w14:textId="00C3B599" w:rsidR="00507196" w:rsidRPr="00507196" w:rsidRDefault="00507196" w:rsidP="00507196">
      <w:pPr>
        <w:pStyle w:val="Caption"/>
        <w:keepNext/>
        <w:rPr>
          <w:rFonts w:ascii="Times New Roman" w:hAnsi="Times New Roman" w:cs="Times New Roman"/>
          <w:b/>
          <w:bCs/>
          <w:i w:val="0"/>
          <w:iCs w:val="0"/>
          <w:color w:val="auto"/>
          <w:sz w:val="24"/>
          <w:szCs w:val="24"/>
        </w:rPr>
      </w:pPr>
      <w:r w:rsidRPr="00507196">
        <w:rPr>
          <w:rFonts w:ascii="Times New Roman" w:hAnsi="Times New Roman" w:cs="Times New Roman"/>
          <w:b/>
          <w:bCs/>
          <w:i w:val="0"/>
          <w:iCs w:val="0"/>
          <w:color w:val="auto"/>
          <w:sz w:val="24"/>
          <w:szCs w:val="24"/>
        </w:rPr>
        <w:t xml:space="preserve">Table </w:t>
      </w:r>
      <w:r w:rsidRPr="00507196">
        <w:rPr>
          <w:rFonts w:ascii="Times New Roman" w:hAnsi="Times New Roman" w:cs="Times New Roman"/>
          <w:b/>
          <w:bCs/>
          <w:i w:val="0"/>
          <w:iCs w:val="0"/>
          <w:color w:val="auto"/>
          <w:sz w:val="24"/>
          <w:szCs w:val="24"/>
        </w:rPr>
        <w:fldChar w:fldCharType="begin"/>
      </w:r>
      <w:r w:rsidRPr="00507196">
        <w:rPr>
          <w:rFonts w:ascii="Times New Roman" w:hAnsi="Times New Roman" w:cs="Times New Roman"/>
          <w:b/>
          <w:bCs/>
          <w:i w:val="0"/>
          <w:iCs w:val="0"/>
          <w:color w:val="auto"/>
          <w:sz w:val="24"/>
          <w:szCs w:val="24"/>
        </w:rPr>
        <w:instrText xml:space="preserve"> SEQ Table \* ARABIC </w:instrText>
      </w:r>
      <w:r w:rsidRPr="00507196">
        <w:rPr>
          <w:rFonts w:ascii="Times New Roman" w:hAnsi="Times New Roman" w:cs="Times New Roman"/>
          <w:b/>
          <w:bCs/>
          <w:i w:val="0"/>
          <w:iCs w:val="0"/>
          <w:color w:val="auto"/>
          <w:sz w:val="24"/>
          <w:szCs w:val="24"/>
        </w:rPr>
        <w:fldChar w:fldCharType="separate"/>
      </w:r>
      <w:r>
        <w:rPr>
          <w:rFonts w:ascii="Times New Roman" w:hAnsi="Times New Roman" w:cs="Times New Roman"/>
          <w:b/>
          <w:bCs/>
          <w:i w:val="0"/>
          <w:iCs w:val="0"/>
          <w:noProof/>
          <w:color w:val="auto"/>
          <w:sz w:val="24"/>
          <w:szCs w:val="24"/>
        </w:rPr>
        <w:t>1</w:t>
      </w:r>
      <w:r w:rsidRPr="00507196">
        <w:rPr>
          <w:rFonts w:ascii="Times New Roman" w:hAnsi="Times New Roman" w:cs="Times New Roman"/>
          <w:b/>
          <w:bCs/>
          <w:i w:val="0"/>
          <w:iCs w:val="0"/>
          <w:color w:val="auto"/>
          <w:sz w:val="24"/>
          <w:szCs w:val="24"/>
        </w:rPr>
        <w:fldChar w:fldCharType="end"/>
      </w:r>
      <w:r w:rsidRPr="00507196">
        <w:rPr>
          <w:rFonts w:ascii="Times New Roman" w:hAnsi="Times New Roman" w:cs="Times New Roman"/>
          <w:b/>
          <w:bCs/>
          <w:i w:val="0"/>
          <w:iCs w:val="0"/>
          <w:color w:val="auto"/>
          <w:sz w:val="24"/>
          <w:szCs w:val="24"/>
        </w:rPr>
        <w:t xml:space="preserve">: Income Statement for the Year Ended 31st </w:t>
      </w:r>
      <w:r w:rsidR="00347D53" w:rsidRPr="00507196">
        <w:rPr>
          <w:rFonts w:ascii="Times New Roman" w:hAnsi="Times New Roman" w:cs="Times New Roman"/>
          <w:b/>
          <w:bCs/>
          <w:i w:val="0"/>
          <w:iCs w:val="0"/>
          <w:color w:val="auto"/>
          <w:sz w:val="24"/>
          <w:szCs w:val="24"/>
        </w:rPr>
        <w:t>December</w:t>
      </w:r>
      <w:r w:rsidRPr="00507196">
        <w:rPr>
          <w:rFonts w:ascii="Times New Roman" w:hAnsi="Times New Roman" w:cs="Times New Roman"/>
          <w:b/>
          <w:bCs/>
          <w:i w:val="0"/>
          <w:iCs w:val="0"/>
          <w:color w:val="auto"/>
          <w:sz w:val="24"/>
          <w:szCs w:val="24"/>
        </w:rPr>
        <w:t xml:space="preserve"> 2021</w:t>
      </w:r>
    </w:p>
    <w:tbl>
      <w:tblPr>
        <w:tblW w:w="5000" w:type="pct"/>
        <w:tblLook w:val="04A0" w:firstRow="1" w:lastRow="0" w:firstColumn="1" w:lastColumn="0" w:noHBand="0" w:noVBand="1"/>
      </w:tblPr>
      <w:tblGrid>
        <w:gridCol w:w="4106"/>
        <w:gridCol w:w="5234"/>
      </w:tblGrid>
      <w:tr w:rsidR="007645B2" w:rsidRPr="007645B2" w14:paraId="21D15A91" w14:textId="77777777" w:rsidTr="007645B2">
        <w:trPr>
          <w:trHeight w:val="310"/>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60330EF3" w14:textId="77777777" w:rsidR="007645B2" w:rsidRPr="007645B2" w:rsidRDefault="007645B2" w:rsidP="007645B2">
            <w:pPr>
              <w:spacing w:after="0" w:line="240" w:lineRule="auto"/>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Wales Plc.</w:t>
            </w:r>
          </w:p>
        </w:tc>
      </w:tr>
      <w:tr w:rsidR="007645B2" w:rsidRPr="007645B2" w14:paraId="5AC4EFC5" w14:textId="77777777" w:rsidTr="007645B2">
        <w:trPr>
          <w:trHeight w:val="310"/>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78C41CB" w14:textId="77777777" w:rsidR="007645B2" w:rsidRPr="007645B2" w:rsidRDefault="007645B2" w:rsidP="007645B2">
            <w:pPr>
              <w:spacing w:after="0" w:line="240" w:lineRule="auto"/>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Income Statement</w:t>
            </w:r>
          </w:p>
        </w:tc>
      </w:tr>
      <w:tr w:rsidR="007645B2" w:rsidRPr="007645B2" w14:paraId="4208DF46" w14:textId="77777777" w:rsidTr="007645B2">
        <w:trPr>
          <w:trHeight w:val="310"/>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502F4F7A" w14:textId="77777777" w:rsidR="007645B2" w:rsidRPr="007645B2" w:rsidRDefault="007645B2" w:rsidP="007645B2">
            <w:pPr>
              <w:spacing w:after="0" w:line="240" w:lineRule="auto"/>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For the year ended 31st December 2021</w:t>
            </w:r>
          </w:p>
        </w:tc>
      </w:tr>
      <w:tr w:rsidR="007645B2" w:rsidRPr="007645B2" w14:paraId="60EAB8C6"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696A661B"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Sales</w:t>
            </w:r>
          </w:p>
        </w:tc>
        <w:tc>
          <w:tcPr>
            <w:tcW w:w="2802" w:type="pct"/>
            <w:tcBorders>
              <w:top w:val="nil"/>
              <w:left w:val="nil"/>
              <w:bottom w:val="single" w:sz="8" w:space="0" w:color="auto"/>
              <w:right w:val="single" w:sz="8" w:space="0" w:color="auto"/>
            </w:tcBorders>
            <w:shd w:val="clear" w:color="auto" w:fill="auto"/>
            <w:noWrap/>
            <w:vAlign w:val="center"/>
            <w:hideMark/>
          </w:tcPr>
          <w:p w14:paraId="31DC064E" w14:textId="5E67EF9B"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800,980</w:t>
            </w:r>
            <w:r w:rsidR="002A239F">
              <w:rPr>
                <w:rFonts w:ascii="Times New Roman" w:eastAsia="Times New Roman" w:hAnsi="Times New Roman" w:cs="Times New Roman"/>
                <w:color w:val="000000"/>
                <w:sz w:val="24"/>
                <w:szCs w:val="24"/>
              </w:rPr>
              <w:t>.00</w:t>
            </w:r>
          </w:p>
        </w:tc>
      </w:tr>
      <w:tr w:rsidR="007645B2" w:rsidRPr="007645B2" w14:paraId="1E1F7E1B"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27BF66FD"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Cost of sales</w:t>
            </w:r>
          </w:p>
        </w:tc>
        <w:tc>
          <w:tcPr>
            <w:tcW w:w="2802" w:type="pct"/>
            <w:tcBorders>
              <w:top w:val="nil"/>
              <w:left w:val="nil"/>
              <w:bottom w:val="single" w:sz="8" w:space="0" w:color="auto"/>
              <w:right w:val="single" w:sz="8" w:space="0" w:color="auto"/>
            </w:tcBorders>
            <w:shd w:val="clear" w:color="auto" w:fill="auto"/>
            <w:noWrap/>
            <w:vAlign w:val="center"/>
            <w:hideMark/>
          </w:tcPr>
          <w:p w14:paraId="74DEB054"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578,650.00 </w:t>
            </w:r>
          </w:p>
        </w:tc>
      </w:tr>
      <w:tr w:rsidR="007645B2" w:rsidRPr="007645B2" w14:paraId="3C6A95E0"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39358164" w14:textId="77777777" w:rsidR="007645B2" w:rsidRPr="00376CF2" w:rsidRDefault="007645B2" w:rsidP="007645B2">
            <w:pPr>
              <w:spacing w:after="0" w:line="240" w:lineRule="auto"/>
              <w:rPr>
                <w:rFonts w:ascii="Times New Roman" w:eastAsia="Times New Roman" w:hAnsi="Times New Roman" w:cs="Times New Roman"/>
                <w:b/>
                <w:bCs/>
                <w:color w:val="000000"/>
                <w:sz w:val="24"/>
                <w:szCs w:val="24"/>
              </w:rPr>
            </w:pPr>
            <w:r w:rsidRPr="00376CF2">
              <w:rPr>
                <w:rFonts w:ascii="Times New Roman" w:eastAsia="Times New Roman" w:hAnsi="Times New Roman" w:cs="Times New Roman"/>
                <w:b/>
                <w:bCs/>
                <w:color w:val="000000"/>
                <w:sz w:val="24"/>
                <w:szCs w:val="24"/>
              </w:rPr>
              <w:t>Gross profit</w:t>
            </w:r>
          </w:p>
        </w:tc>
        <w:tc>
          <w:tcPr>
            <w:tcW w:w="2802" w:type="pct"/>
            <w:tcBorders>
              <w:top w:val="nil"/>
              <w:left w:val="nil"/>
              <w:bottom w:val="single" w:sz="8" w:space="0" w:color="auto"/>
              <w:right w:val="single" w:sz="8" w:space="0" w:color="auto"/>
            </w:tcBorders>
            <w:shd w:val="clear" w:color="auto" w:fill="auto"/>
            <w:noWrap/>
            <w:vAlign w:val="center"/>
            <w:hideMark/>
          </w:tcPr>
          <w:p w14:paraId="54B199EA"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w:t>
            </w:r>
            <w:r w:rsidRPr="00376CF2">
              <w:rPr>
                <w:rFonts w:ascii="Times New Roman" w:eastAsia="Times New Roman" w:hAnsi="Times New Roman" w:cs="Times New Roman"/>
                <w:b/>
                <w:bCs/>
                <w:color w:val="000000"/>
                <w:sz w:val="24"/>
                <w:szCs w:val="24"/>
              </w:rPr>
              <w:t>222,330.00</w:t>
            </w:r>
            <w:r w:rsidRPr="007645B2">
              <w:rPr>
                <w:rFonts w:ascii="Times New Roman" w:eastAsia="Times New Roman" w:hAnsi="Times New Roman" w:cs="Times New Roman"/>
                <w:color w:val="000000"/>
                <w:sz w:val="24"/>
                <w:szCs w:val="24"/>
              </w:rPr>
              <w:t xml:space="preserve"> </w:t>
            </w:r>
          </w:p>
        </w:tc>
      </w:tr>
      <w:tr w:rsidR="007645B2" w:rsidRPr="007645B2" w14:paraId="0DA25E75" w14:textId="77777777" w:rsidTr="007645B2">
        <w:trPr>
          <w:trHeight w:val="31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6004937B" w14:textId="77777777" w:rsidR="007645B2" w:rsidRPr="007645B2" w:rsidRDefault="007645B2" w:rsidP="007645B2">
            <w:pPr>
              <w:spacing w:after="0" w:line="240" w:lineRule="auto"/>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t>Less: Operating Expenses</w:t>
            </w:r>
          </w:p>
        </w:tc>
        <w:tc>
          <w:tcPr>
            <w:tcW w:w="2802" w:type="pct"/>
            <w:tcBorders>
              <w:top w:val="nil"/>
              <w:left w:val="nil"/>
              <w:bottom w:val="single" w:sz="8" w:space="0" w:color="auto"/>
              <w:right w:val="single" w:sz="8" w:space="0" w:color="auto"/>
            </w:tcBorders>
            <w:shd w:val="clear" w:color="auto" w:fill="auto"/>
            <w:noWrap/>
            <w:hideMark/>
          </w:tcPr>
          <w:p w14:paraId="2A9ABF1C" w14:textId="77777777" w:rsidR="007645B2" w:rsidRPr="007645B2" w:rsidRDefault="007645B2" w:rsidP="007645B2">
            <w:pPr>
              <w:spacing w:after="0" w:line="240" w:lineRule="auto"/>
              <w:rPr>
                <w:rFonts w:ascii="Calibri" w:eastAsia="Times New Roman" w:hAnsi="Calibri" w:cs="Calibri"/>
                <w:color w:val="000000"/>
              </w:rPr>
            </w:pPr>
            <w:r w:rsidRPr="007645B2">
              <w:rPr>
                <w:rFonts w:ascii="Calibri" w:eastAsia="Times New Roman" w:hAnsi="Calibri" w:cs="Calibri"/>
                <w:color w:val="000000"/>
              </w:rPr>
              <w:t> </w:t>
            </w:r>
          </w:p>
        </w:tc>
      </w:tr>
      <w:tr w:rsidR="007645B2" w:rsidRPr="007645B2" w14:paraId="4BAB81D9"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290E5458"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Administrative expenses</w:t>
            </w:r>
          </w:p>
        </w:tc>
        <w:tc>
          <w:tcPr>
            <w:tcW w:w="2802" w:type="pct"/>
            <w:tcBorders>
              <w:top w:val="nil"/>
              <w:left w:val="nil"/>
              <w:bottom w:val="single" w:sz="8" w:space="0" w:color="auto"/>
              <w:right w:val="single" w:sz="8" w:space="0" w:color="auto"/>
            </w:tcBorders>
            <w:shd w:val="clear" w:color="auto" w:fill="auto"/>
            <w:noWrap/>
            <w:vAlign w:val="center"/>
            <w:hideMark/>
          </w:tcPr>
          <w:p w14:paraId="25C68365"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30,000.00 </w:t>
            </w:r>
          </w:p>
        </w:tc>
      </w:tr>
      <w:tr w:rsidR="007645B2" w:rsidRPr="007645B2" w14:paraId="4A876D67"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0DA1389A"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Directors’ remuneration</w:t>
            </w:r>
          </w:p>
        </w:tc>
        <w:tc>
          <w:tcPr>
            <w:tcW w:w="2802" w:type="pct"/>
            <w:tcBorders>
              <w:top w:val="nil"/>
              <w:left w:val="nil"/>
              <w:bottom w:val="single" w:sz="8" w:space="0" w:color="auto"/>
              <w:right w:val="single" w:sz="8" w:space="0" w:color="auto"/>
            </w:tcBorders>
            <w:shd w:val="clear" w:color="auto" w:fill="auto"/>
            <w:noWrap/>
            <w:vAlign w:val="center"/>
            <w:hideMark/>
          </w:tcPr>
          <w:p w14:paraId="7D052C75"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5,000.00 </w:t>
            </w:r>
          </w:p>
        </w:tc>
      </w:tr>
      <w:tr w:rsidR="007645B2" w:rsidRPr="007645B2" w14:paraId="05F9CC14"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487CEDA5"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Distribution costs</w:t>
            </w:r>
          </w:p>
        </w:tc>
        <w:tc>
          <w:tcPr>
            <w:tcW w:w="2802" w:type="pct"/>
            <w:tcBorders>
              <w:top w:val="nil"/>
              <w:left w:val="nil"/>
              <w:bottom w:val="single" w:sz="8" w:space="0" w:color="auto"/>
              <w:right w:val="single" w:sz="8" w:space="0" w:color="auto"/>
            </w:tcBorders>
            <w:shd w:val="clear" w:color="auto" w:fill="auto"/>
            <w:noWrap/>
            <w:vAlign w:val="center"/>
            <w:hideMark/>
          </w:tcPr>
          <w:p w14:paraId="7BB5BBFD"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28,000.00 </w:t>
            </w:r>
          </w:p>
        </w:tc>
      </w:tr>
      <w:tr w:rsidR="007645B2" w:rsidRPr="007645B2" w14:paraId="24FC07C7"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5B16D5C9"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Sales commission</w:t>
            </w:r>
          </w:p>
        </w:tc>
        <w:tc>
          <w:tcPr>
            <w:tcW w:w="2802" w:type="pct"/>
            <w:tcBorders>
              <w:top w:val="nil"/>
              <w:left w:val="nil"/>
              <w:bottom w:val="single" w:sz="8" w:space="0" w:color="auto"/>
              <w:right w:val="single" w:sz="8" w:space="0" w:color="auto"/>
            </w:tcBorders>
            <w:shd w:val="clear" w:color="auto" w:fill="auto"/>
            <w:noWrap/>
            <w:vAlign w:val="center"/>
            <w:hideMark/>
          </w:tcPr>
          <w:p w14:paraId="1614548B"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3,000.00 </w:t>
            </w:r>
          </w:p>
        </w:tc>
      </w:tr>
      <w:tr w:rsidR="007645B2" w:rsidRPr="007645B2" w14:paraId="49FD742F"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73C3285E"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Total operating expenses</w:t>
            </w:r>
          </w:p>
        </w:tc>
        <w:tc>
          <w:tcPr>
            <w:tcW w:w="2802" w:type="pct"/>
            <w:tcBorders>
              <w:top w:val="nil"/>
              <w:left w:val="nil"/>
              <w:bottom w:val="single" w:sz="8" w:space="0" w:color="auto"/>
              <w:right w:val="single" w:sz="8" w:space="0" w:color="auto"/>
            </w:tcBorders>
            <w:shd w:val="clear" w:color="auto" w:fill="auto"/>
            <w:noWrap/>
            <w:vAlign w:val="center"/>
            <w:hideMark/>
          </w:tcPr>
          <w:p w14:paraId="20F09E81"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66,000.00 </w:t>
            </w:r>
          </w:p>
        </w:tc>
      </w:tr>
      <w:tr w:rsidR="007645B2" w:rsidRPr="007645B2" w14:paraId="4D49CB1D"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1B5F0731"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Profit before interest </w:t>
            </w:r>
            <w:proofErr w:type="gramStart"/>
            <w:r w:rsidRPr="007645B2">
              <w:rPr>
                <w:rFonts w:ascii="Times New Roman" w:eastAsia="Times New Roman" w:hAnsi="Times New Roman" w:cs="Times New Roman"/>
                <w:color w:val="000000"/>
                <w:sz w:val="24"/>
                <w:szCs w:val="24"/>
              </w:rPr>
              <w:t>and  taxes</w:t>
            </w:r>
            <w:proofErr w:type="gramEnd"/>
          </w:p>
        </w:tc>
        <w:tc>
          <w:tcPr>
            <w:tcW w:w="2802" w:type="pct"/>
            <w:tcBorders>
              <w:top w:val="nil"/>
              <w:left w:val="nil"/>
              <w:bottom w:val="single" w:sz="8" w:space="0" w:color="auto"/>
              <w:right w:val="single" w:sz="8" w:space="0" w:color="auto"/>
            </w:tcBorders>
            <w:shd w:val="clear" w:color="auto" w:fill="auto"/>
            <w:noWrap/>
            <w:vAlign w:val="center"/>
            <w:hideMark/>
          </w:tcPr>
          <w:p w14:paraId="27A3ADA8"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156,330.00 </w:t>
            </w:r>
          </w:p>
        </w:tc>
      </w:tr>
      <w:tr w:rsidR="007645B2" w:rsidRPr="007645B2" w14:paraId="76BF0AC9"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23020382"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Interest paid</w:t>
            </w:r>
          </w:p>
        </w:tc>
        <w:tc>
          <w:tcPr>
            <w:tcW w:w="2802" w:type="pct"/>
            <w:tcBorders>
              <w:top w:val="nil"/>
              <w:left w:val="nil"/>
              <w:bottom w:val="single" w:sz="8" w:space="0" w:color="auto"/>
              <w:right w:val="single" w:sz="8" w:space="0" w:color="auto"/>
            </w:tcBorders>
            <w:shd w:val="clear" w:color="auto" w:fill="auto"/>
            <w:noWrap/>
            <w:vAlign w:val="center"/>
            <w:hideMark/>
          </w:tcPr>
          <w:p w14:paraId="1F4D6241"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2,000.00 </w:t>
            </w:r>
          </w:p>
        </w:tc>
      </w:tr>
      <w:tr w:rsidR="007645B2" w:rsidRPr="007645B2" w14:paraId="135BE9FC"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1A0DC38C"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Profit before taxes</w:t>
            </w:r>
          </w:p>
        </w:tc>
        <w:tc>
          <w:tcPr>
            <w:tcW w:w="2802" w:type="pct"/>
            <w:tcBorders>
              <w:top w:val="nil"/>
              <w:left w:val="nil"/>
              <w:bottom w:val="single" w:sz="8" w:space="0" w:color="auto"/>
              <w:right w:val="single" w:sz="8" w:space="0" w:color="auto"/>
            </w:tcBorders>
            <w:shd w:val="clear" w:color="auto" w:fill="auto"/>
            <w:noWrap/>
            <w:vAlign w:val="center"/>
            <w:hideMark/>
          </w:tcPr>
          <w:p w14:paraId="1D139586"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154,330.00 </w:t>
            </w:r>
          </w:p>
        </w:tc>
      </w:tr>
      <w:tr w:rsidR="007645B2" w:rsidRPr="007645B2" w14:paraId="355F7B9D"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482C13C8"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Corporate taxes</w:t>
            </w:r>
          </w:p>
        </w:tc>
        <w:tc>
          <w:tcPr>
            <w:tcW w:w="2802" w:type="pct"/>
            <w:tcBorders>
              <w:top w:val="nil"/>
              <w:left w:val="nil"/>
              <w:bottom w:val="single" w:sz="8" w:space="0" w:color="auto"/>
              <w:right w:val="single" w:sz="8" w:space="0" w:color="auto"/>
            </w:tcBorders>
            <w:shd w:val="clear" w:color="auto" w:fill="auto"/>
            <w:noWrap/>
            <w:vAlign w:val="center"/>
            <w:hideMark/>
          </w:tcPr>
          <w:p w14:paraId="5DFFB213"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100,000.00 </w:t>
            </w:r>
          </w:p>
        </w:tc>
      </w:tr>
      <w:tr w:rsidR="007645B2" w:rsidRPr="007645B2" w14:paraId="08E98EDB" w14:textId="77777777" w:rsidTr="007645B2">
        <w:trPr>
          <w:trHeight w:val="320"/>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14:paraId="2B16016A" w14:textId="77777777" w:rsidR="007645B2" w:rsidRPr="00376CF2" w:rsidRDefault="007645B2" w:rsidP="007645B2">
            <w:pPr>
              <w:spacing w:after="0" w:line="240" w:lineRule="auto"/>
              <w:rPr>
                <w:rFonts w:ascii="Times New Roman" w:eastAsia="Times New Roman" w:hAnsi="Times New Roman" w:cs="Times New Roman"/>
                <w:b/>
                <w:bCs/>
                <w:color w:val="000000"/>
                <w:sz w:val="24"/>
                <w:szCs w:val="24"/>
              </w:rPr>
            </w:pPr>
            <w:r w:rsidRPr="00376CF2">
              <w:rPr>
                <w:rFonts w:ascii="Times New Roman" w:eastAsia="Times New Roman" w:hAnsi="Times New Roman" w:cs="Times New Roman"/>
                <w:b/>
                <w:bCs/>
                <w:color w:val="000000"/>
                <w:sz w:val="24"/>
                <w:szCs w:val="24"/>
              </w:rPr>
              <w:t>Net income</w:t>
            </w:r>
          </w:p>
        </w:tc>
        <w:tc>
          <w:tcPr>
            <w:tcW w:w="2802" w:type="pct"/>
            <w:tcBorders>
              <w:top w:val="nil"/>
              <w:left w:val="nil"/>
              <w:bottom w:val="single" w:sz="8" w:space="0" w:color="auto"/>
              <w:right w:val="single" w:sz="8" w:space="0" w:color="auto"/>
            </w:tcBorders>
            <w:shd w:val="clear" w:color="auto" w:fill="auto"/>
            <w:noWrap/>
            <w:vAlign w:val="center"/>
            <w:hideMark/>
          </w:tcPr>
          <w:p w14:paraId="06410F03" w14:textId="77777777" w:rsidR="007645B2" w:rsidRPr="007645B2" w:rsidRDefault="007645B2" w:rsidP="007645B2">
            <w:pPr>
              <w:spacing w:after="0" w:line="240" w:lineRule="auto"/>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w:t>
            </w:r>
            <w:r w:rsidRPr="00376CF2">
              <w:rPr>
                <w:rFonts w:ascii="Times New Roman" w:eastAsia="Times New Roman" w:hAnsi="Times New Roman" w:cs="Times New Roman"/>
                <w:b/>
                <w:bCs/>
                <w:color w:val="000000"/>
                <w:sz w:val="24"/>
                <w:szCs w:val="24"/>
              </w:rPr>
              <w:t>54,330.00</w:t>
            </w:r>
            <w:r w:rsidRPr="007645B2">
              <w:rPr>
                <w:rFonts w:ascii="Times New Roman" w:eastAsia="Times New Roman" w:hAnsi="Times New Roman" w:cs="Times New Roman"/>
                <w:color w:val="000000"/>
                <w:sz w:val="24"/>
                <w:szCs w:val="24"/>
              </w:rPr>
              <w:t xml:space="preserve"> </w:t>
            </w:r>
          </w:p>
        </w:tc>
      </w:tr>
    </w:tbl>
    <w:p w14:paraId="6859903B" w14:textId="095F1FFD" w:rsidR="00A508ED" w:rsidRDefault="00A508ED" w:rsidP="00A508ED">
      <w:pPr>
        <w:spacing w:after="0" w:line="480" w:lineRule="auto"/>
        <w:jc w:val="both"/>
        <w:rPr>
          <w:rFonts w:ascii="Times New Roman" w:hAnsi="Times New Roman" w:cs="Times New Roman"/>
          <w:sz w:val="24"/>
          <w:szCs w:val="24"/>
        </w:rPr>
      </w:pPr>
    </w:p>
    <w:p w14:paraId="0940E222" w14:textId="77777777" w:rsidR="004B76FD" w:rsidRDefault="004B76FD" w:rsidP="00507196">
      <w:pPr>
        <w:spacing w:after="0" w:line="480" w:lineRule="auto"/>
        <w:ind w:firstLine="720"/>
        <w:jc w:val="both"/>
        <w:rPr>
          <w:rFonts w:ascii="Times New Roman" w:hAnsi="Times New Roman" w:cs="Times New Roman"/>
          <w:sz w:val="24"/>
          <w:szCs w:val="24"/>
        </w:rPr>
      </w:pPr>
    </w:p>
    <w:p w14:paraId="215AE0D6" w14:textId="43BB994B" w:rsidR="00507196" w:rsidRDefault="00507196" w:rsidP="00507196">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statement of retained earnings of Wales Plc. had to be prepared to determine the ending balances of the retained profits, which were used in the statement of financial position. </w:t>
      </w:r>
      <w:r w:rsidR="00347D53">
        <w:rPr>
          <w:rFonts w:ascii="Times New Roman" w:hAnsi="Times New Roman" w:cs="Times New Roman"/>
          <w:sz w:val="24"/>
          <w:szCs w:val="24"/>
        </w:rPr>
        <w:t xml:space="preserve">According to </w:t>
      </w:r>
      <w:proofErr w:type="spellStart"/>
      <w:r w:rsidR="00347D53">
        <w:rPr>
          <w:rFonts w:ascii="Times New Roman" w:hAnsi="Times New Roman" w:cs="Times New Roman"/>
          <w:sz w:val="24"/>
          <w:szCs w:val="24"/>
        </w:rPr>
        <w:t>Touvila</w:t>
      </w:r>
      <w:proofErr w:type="spellEnd"/>
      <w:r w:rsidR="00347D53">
        <w:rPr>
          <w:rFonts w:ascii="Times New Roman" w:hAnsi="Times New Roman" w:cs="Times New Roman"/>
          <w:sz w:val="24"/>
          <w:szCs w:val="24"/>
        </w:rPr>
        <w:t xml:space="preserve"> (2020), the statement of retained earnings refers to a financial statement that details the retained earnings of a business through a specific period. Its elements involve the retained earnings balance brought forward, the dividends paid and the net profit or loss for the year to get the retained earnings balance carried down </w:t>
      </w:r>
      <w:r w:rsidR="00347D53" w:rsidRPr="00347D53">
        <w:rPr>
          <w:rFonts w:ascii="Times New Roman" w:hAnsi="Times New Roman" w:cs="Times New Roman"/>
          <w:sz w:val="24"/>
          <w:szCs w:val="24"/>
        </w:rPr>
        <w:t>(CFI Team, 2022)</w:t>
      </w:r>
      <w:r w:rsidR="00347D53">
        <w:rPr>
          <w:rFonts w:ascii="Times New Roman" w:hAnsi="Times New Roman" w:cs="Times New Roman"/>
          <w:sz w:val="24"/>
          <w:szCs w:val="24"/>
        </w:rPr>
        <w:t xml:space="preserve">. In contrast, a balance sheet or statement of </w:t>
      </w:r>
      <w:r w:rsidR="007723FA">
        <w:rPr>
          <w:rFonts w:ascii="Times New Roman" w:hAnsi="Times New Roman" w:cs="Times New Roman"/>
          <w:sz w:val="24"/>
          <w:szCs w:val="24"/>
        </w:rPr>
        <w:t xml:space="preserve">the </w:t>
      </w:r>
      <w:r w:rsidR="00347D53">
        <w:rPr>
          <w:rFonts w:ascii="Times New Roman" w:hAnsi="Times New Roman" w:cs="Times New Roman"/>
          <w:sz w:val="24"/>
          <w:szCs w:val="24"/>
        </w:rPr>
        <w:t xml:space="preserve">financial position involves </w:t>
      </w:r>
      <w:r w:rsidR="004A23EE">
        <w:rPr>
          <w:rFonts w:ascii="Times New Roman" w:hAnsi="Times New Roman" w:cs="Times New Roman"/>
          <w:sz w:val="24"/>
          <w:szCs w:val="24"/>
        </w:rPr>
        <w:t xml:space="preserve">a financial statement that shows the assets, </w:t>
      </w:r>
      <w:r w:rsidR="00151DE0">
        <w:rPr>
          <w:rFonts w:ascii="Times New Roman" w:hAnsi="Times New Roman" w:cs="Times New Roman"/>
          <w:sz w:val="24"/>
          <w:szCs w:val="24"/>
        </w:rPr>
        <w:t>equity,</w:t>
      </w:r>
      <w:r w:rsidR="004A23EE">
        <w:rPr>
          <w:rFonts w:ascii="Times New Roman" w:hAnsi="Times New Roman" w:cs="Times New Roman"/>
          <w:sz w:val="24"/>
          <w:szCs w:val="24"/>
        </w:rPr>
        <w:t xml:space="preserve"> and liabilities of the business </w:t>
      </w:r>
      <w:r w:rsidR="004A23EE" w:rsidRPr="004A23EE">
        <w:rPr>
          <w:rFonts w:ascii="Times New Roman" w:hAnsi="Times New Roman" w:cs="Times New Roman"/>
          <w:sz w:val="24"/>
          <w:szCs w:val="24"/>
        </w:rPr>
        <w:t>(Ferranti, 2013)</w:t>
      </w:r>
      <w:r w:rsidR="004A23EE">
        <w:rPr>
          <w:rFonts w:ascii="Times New Roman" w:hAnsi="Times New Roman" w:cs="Times New Roman"/>
          <w:sz w:val="24"/>
          <w:szCs w:val="24"/>
        </w:rPr>
        <w:t xml:space="preserve">. </w:t>
      </w:r>
      <w:r>
        <w:rPr>
          <w:rFonts w:ascii="Times New Roman" w:hAnsi="Times New Roman" w:cs="Times New Roman"/>
          <w:sz w:val="24"/>
          <w:szCs w:val="24"/>
        </w:rPr>
        <w:t>Table 2 and 3 below shows the two statements. Based on table 3, Wales Plc. had total assets amounting to £2,02</w:t>
      </w:r>
      <w:r w:rsidR="00BE1E6E">
        <w:rPr>
          <w:rFonts w:ascii="Times New Roman" w:hAnsi="Times New Roman" w:cs="Times New Roman"/>
          <w:sz w:val="24"/>
          <w:szCs w:val="24"/>
        </w:rPr>
        <w:t>7</w:t>
      </w:r>
      <w:r>
        <w:rPr>
          <w:rFonts w:ascii="Times New Roman" w:hAnsi="Times New Roman" w:cs="Times New Roman"/>
          <w:sz w:val="24"/>
          <w:szCs w:val="24"/>
        </w:rPr>
        <w:t>,9</w:t>
      </w:r>
      <w:r w:rsidR="00BE1E6E">
        <w:rPr>
          <w:rFonts w:ascii="Times New Roman" w:hAnsi="Times New Roman" w:cs="Times New Roman"/>
          <w:sz w:val="24"/>
          <w:szCs w:val="24"/>
        </w:rPr>
        <w:t>5</w:t>
      </w:r>
      <w:r>
        <w:rPr>
          <w:rFonts w:ascii="Times New Roman" w:hAnsi="Times New Roman" w:cs="Times New Roman"/>
          <w:sz w:val="24"/>
          <w:szCs w:val="24"/>
        </w:rPr>
        <w:t>5, total liabilities amounting to £4</w:t>
      </w:r>
      <w:r w:rsidR="009A3283">
        <w:rPr>
          <w:rFonts w:ascii="Times New Roman" w:hAnsi="Times New Roman" w:cs="Times New Roman"/>
          <w:sz w:val="24"/>
          <w:szCs w:val="24"/>
        </w:rPr>
        <w:t>91</w:t>
      </w:r>
      <w:r>
        <w:rPr>
          <w:rFonts w:ascii="Times New Roman" w:hAnsi="Times New Roman" w:cs="Times New Roman"/>
          <w:sz w:val="24"/>
          <w:szCs w:val="24"/>
        </w:rPr>
        <w:t>,625 and total equity amounting to £1,53</w:t>
      </w:r>
      <w:r w:rsidR="009A3283">
        <w:rPr>
          <w:rFonts w:ascii="Times New Roman" w:hAnsi="Times New Roman" w:cs="Times New Roman"/>
          <w:sz w:val="24"/>
          <w:szCs w:val="24"/>
        </w:rPr>
        <w:t>6</w:t>
      </w:r>
      <w:r>
        <w:rPr>
          <w:rFonts w:ascii="Times New Roman" w:hAnsi="Times New Roman" w:cs="Times New Roman"/>
          <w:sz w:val="24"/>
          <w:szCs w:val="24"/>
        </w:rPr>
        <w:t>,330.</w:t>
      </w:r>
    </w:p>
    <w:p w14:paraId="0EF4A81E" w14:textId="77777777" w:rsidR="004B76FD" w:rsidRDefault="004B76FD" w:rsidP="00507196">
      <w:pPr>
        <w:spacing w:after="0" w:line="480" w:lineRule="auto"/>
        <w:ind w:firstLine="720"/>
        <w:jc w:val="both"/>
        <w:rPr>
          <w:rFonts w:ascii="Times New Roman" w:hAnsi="Times New Roman" w:cs="Times New Roman"/>
          <w:sz w:val="24"/>
          <w:szCs w:val="24"/>
        </w:rPr>
      </w:pPr>
    </w:p>
    <w:p w14:paraId="63BAADE7" w14:textId="6100D5C3" w:rsidR="00507196" w:rsidRPr="00507196" w:rsidRDefault="00507196" w:rsidP="00507196">
      <w:pPr>
        <w:pStyle w:val="Caption"/>
        <w:keepNext/>
        <w:rPr>
          <w:rFonts w:ascii="Times New Roman" w:hAnsi="Times New Roman" w:cs="Times New Roman"/>
          <w:b/>
          <w:bCs/>
          <w:i w:val="0"/>
          <w:iCs w:val="0"/>
          <w:color w:val="auto"/>
          <w:sz w:val="24"/>
          <w:szCs w:val="24"/>
        </w:rPr>
      </w:pPr>
      <w:r w:rsidRPr="00507196">
        <w:rPr>
          <w:rFonts w:ascii="Times New Roman" w:hAnsi="Times New Roman" w:cs="Times New Roman"/>
          <w:b/>
          <w:bCs/>
          <w:i w:val="0"/>
          <w:iCs w:val="0"/>
          <w:color w:val="auto"/>
          <w:sz w:val="24"/>
          <w:szCs w:val="24"/>
        </w:rPr>
        <w:t xml:space="preserve">Table </w:t>
      </w:r>
      <w:r w:rsidRPr="00507196">
        <w:rPr>
          <w:rFonts w:ascii="Times New Roman" w:hAnsi="Times New Roman" w:cs="Times New Roman"/>
          <w:b/>
          <w:bCs/>
          <w:i w:val="0"/>
          <w:iCs w:val="0"/>
          <w:color w:val="auto"/>
          <w:sz w:val="24"/>
          <w:szCs w:val="24"/>
        </w:rPr>
        <w:fldChar w:fldCharType="begin"/>
      </w:r>
      <w:r w:rsidRPr="00507196">
        <w:rPr>
          <w:rFonts w:ascii="Times New Roman" w:hAnsi="Times New Roman" w:cs="Times New Roman"/>
          <w:b/>
          <w:bCs/>
          <w:i w:val="0"/>
          <w:iCs w:val="0"/>
          <w:color w:val="auto"/>
          <w:sz w:val="24"/>
          <w:szCs w:val="24"/>
        </w:rPr>
        <w:instrText xml:space="preserve"> SEQ Table \* ARABIC </w:instrText>
      </w:r>
      <w:r w:rsidRPr="00507196">
        <w:rPr>
          <w:rFonts w:ascii="Times New Roman" w:hAnsi="Times New Roman" w:cs="Times New Roman"/>
          <w:b/>
          <w:bCs/>
          <w:i w:val="0"/>
          <w:iCs w:val="0"/>
          <w:color w:val="auto"/>
          <w:sz w:val="24"/>
          <w:szCs w:val="24"/>
        </w:rPr>
        <w:fldChar w:fldCharType="separate"/>
      </w:r>
      <w:r>
        <w:rPr>
          <w:rFonts w:ascii="Times New Roman" w:hAnsi="Times New Roman" w:cs="Times New Roman"/>
          <w:b/>
          <w:bCs/>
          <w:i w:val="0"/>
          <w:iCs w:val="0"/>
          <w:noProof/>
          <w:color w:val="auto"/>
          <w:sz w:val="24"/>
          <w:szCs w:val="24"/>
        </w:rPr>
        <w:t>2</w:t>
      </w:r>
      <w:r w:rsidRPr="00507196">
        <w:rPr>
          <w:rFonts w:ascii="Times New Roman" w:hAnsi="Times New Roman" w:cs="Times New Roman"/>
          <w:b/>
          <w:bCs/>
          <w:i w:val="0"/>
          <w:iCs w:val="0"/>
          <w:color w:val="auto"/>
          <w:sz w:val="24"/>
          <w:szCs w:val="24"/>
        </w:rPr>
        <w:fldChar w:fldCharType="end"/>
      </w:r>
      <w:r w:rsidRPr="00507196">
        <w:rPr>
          <w:rFonts w:ascii="Times New Roman" w:hAnsi="Times New Roman" w:cs="Times New Roman"/>
          <w:b/>
          <w:bCs/>
          <w:i w:val="0"/>
          <w:iCs w:val="0"/>
          <w:color w:val="auto"/>
          <w:sz w:val="24"/>
          <w:szCs w:val="24"/>
        </w:rPr>
        <w:t xml:space="preserve">: Statement of Retained Earnings for the Year Ended 31st </w:t>
      </w:r>
      <w:r w:rsidR="004A23EE" w:rsidRPr="00507196">
        <w:rPr>
          <w:rFonts w:ascii="Times New Roman" w:hAnsi="Times New Roman" w:cs="Times New Roman"/>
          <w:b/>
          <w:bCs/>
          <w:i w:val="0"/>
          <w:iCs w:val="0"/>
          <w:color w:val="auto"/>
          <w:sz w:val="24"/>
          <w:szCs w:val="24"/>
        </w:rPr>
        <w:t>December</w:t>
      </w:r>
      <w:r w:rsidRPr="00507196">
        <w:rPr>
          <w:rFonts w:ascii="Times New Roman" w:hAnsi="Times New Roman" w:cs="Times New Roman"/>
          <w:b/>
          <w:bCs/>
          <w:i w:val="0"/>
          <w:iCs w:val="0"/>
          <w:color w:val="auto"/>
          <w:sz w:val="24"/>
          <w:szCs w:val="24"/>
        </w:rPr>
        <w:t xml:space="preserve"> 2021</w:t>
      </w:r>
    </w:p>
    <w:tbl>
      <w:tblPr>
        <w:tblStyle w:val="TableGrid"/>
        <w:tblW w:w="5000" w:type="pct"/>
        <w:tblLook w:val="04A0" w:firstRow="1" w:lastRow="0" w:firstColumn="1" w:lastColumn="0" w:noHBand="0" w:noVBand="1"/>
      </w:tblPr>
      <w:tblGrid>
        <w:gridCol w:w="5142"/>
        <w:gridCol w:w="4208"/>
      </w:tblGrid>
      <w:tr w:rsidR="00B078A1" w:rsidRPr="00B078A1" w14:paraId="02BD3EA7" w14:textId="77777777" w:rsidTr="00B078A1">
        <w:trPr>
          <w:trHeight w:val="312"/>
        </w:trPr>
        <w:tc>
          <w:tcPr>
            <w:tcW w:w="5000" w:type="pct"/>
            <w:gridSpan w:val="2"/>
            <w:noWrap/>
            <w:hideMark/>
          </w:tcPr>
          <w:p w14:paraId="542AA308" w14:textId="77777777" w:rsidR="00B078A1" w:rsidRPr="00205B7A" w:rsidRDefault="00B078A1" w:rsidP="00B078A1">
            <w:pPr>
              <w:jc w:val="center"/>
              <w:rPr>
                <w:rFonts w:ascii="Times New Roman" w:eastAsia="Times New Roman" w:hAnsi="Times New Roman" w:cs="Times New Roman"/>
                <w:b/>
                <w:bCs/>
                <w:color w:val="000000"/>
                <w:sz w:val="24"/>
                <w:szCs w:val="24"/>
              </w:rPr>
            </w:pPr>
            <w:r w:rsidRPr="00205B7A">
              <w:rPr>
                <w:rFonts w:ascii="Times New Roman" w:eastAsia="Times New Roman" w:hAnsi="Times New Roman" w:cs="Times New Roman"/>
                <w:b/>
                <w:bCs/>
                <w:color w:val="000000"/>
                <w:sz w:val="24"/>
                <w:szCs w:val="24"/>
              </w:rPr>
              <w:t>Wales Plc.</w:t>
            </w:r>
          </w:p>
        </w:tc>
      </w:tr>
      <w:tr w:rsidR="00B078A1" w:rsidRPr="00B078A1" w14:paraId="333FA047" w14:textId="77777777" w:rsidTr="00B078A1">
        <w:trPr>
          <w:trHeight w:val="312"/>
        </w:trPr>
        <w:tc>
          <w:tcPr>
            <w:tcW w:w="5000" w:type="pct"/>
            <w:gridSpan w:val="2"/>
            <w:noWrap/>
            <w:hideMark/>
          </w:tcPr>
          <w:p w14:paraId="311950DB" w14:textId="77777777" w:rsidR="00B078A1" w:rsidRPr="00205B7A" w:rsidRDefault="00B078A1" w:rsidP="00B078A1">
            <w:pPr>
              <w:jc w:val="center"/>
              <w:rPr>
                <w:rFonts w:ascii="Times New Roman" w:eastAsia="Times New Roman" w:hAnsi="Times New Roman" w:cs="Times New Roman"/>
                <w:b/>
                <w:bCs/>
                <w:color w:val="000000"/>
                <w:sz w:val="24"/>
                <w:szCs w:val="24"/>
              </w:rPr>
            </w:pPr>
            <w:r w:rsidRPr="00205B7A">
              <w:rPr>
                <w:rFonts w:ascii="Times New Roman" w:eastAsia="Times New Roman" w:hAnsi="Times New Roman" w:cs="Times New Roman"/>
                <w:b/>
                <w:bCs/>
                <w:color w:val="000000"/>
                <w:sz w:val="24"/>
                <w:szCs w:val="24"/>
              </w:rPr>
              <w:t>Statement of Retained Earnings</w:t>
            </w:r>
          </w:p>
        </w:tc>
      </w:tr>
      <w:tr w:rsidR="00B078A1" w:rsidRPr="00B078A1" w14:paraId="0333B9D7" w14:textId="77777777" w:rsidTr="00B078A1">
        <w:trPr>
          <w:trHeight w:val="312"/>
        </w:trPr>
        <w:tc>
          <w:tcPr>
            <w:tcW w:w="5000" w:type="pct"/>
            <w:gridSpan w:val="2"/>
            <w:noWrap/>
            <w:hideMark/>
          </w:tcPr>
          <w:p w14:paraId="2AF48F8C" w14:textId="77777777" w:rsidR="00B078A1" w:rsidRPr="00205B7A" w:rsidRDefault="00B078A1" w:rsidP="00B078A1">
            <w:pPr>
              <w:jc w:val="center"/>
              <w:rPr>
                <w:rFonts w:ascii="Times New Roman" w:eastAsia="Times New Roman" w:hAnsi="Times New Roman" w:cs="Times New Roman"/>
                <w:b/>
                <w:bCs/>
                <w:color w:val="000000"/>
                <w:sz w:val="24"/>
                <w:szCs w:val="24"/>
              </w:rPr>
            </w:pPr>
            <w:r w:rsidRPr="00205B7A">
              <w:rPr>
                <w:rFonts w:ascii="Times New Roman" w:eastAsia="Times New Roman" w:hAnsi="Times New Roman" w:cs="Times New Roman"/>
                <w:b/>
                <w:bCs/>
                <w:color w:val="000000"/>
                <w:sz w:val="24"/>
                <w:szCs w:val="24"/>
              </w:rPr>
              <w:t>For the year ended 31st December 2021</w:t>
            </w:r>
          </w:p>
        </w:tc>
      </w:tr>
      <w:tr w:rsidR="00B078A1" w:rsidRPr="00B078A1" w14:paraId="74971BA9" w14:textId="77777777" w:rsidTr="00B078A1">
        <w:trPr>
          <w:trHeight w:val="312"/>
        </w:trPr>
        <w:tc>
          <w:tcPr>
            <w:tcW w:w="2750" w:type="pct"/>
            <w:noWrap/>
            <w:hideMark/>
          </w:tcPr>
          <w:p w14:paraId="726D279F" w14:textId="4B22ED8E"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Retained profits </w:t>
            </w:r>
            <w:r w:rsidR="00151DE0" w:rsidRPr="00B078A1">
              <w:rPr>
                <w:rFonts w:ascii="Times New Roman" w:eastAsia="Times New Roman" w:hAnsi="Times New Roman" w:cs="Times New Roman"/>
                <w:color w:val="000000"/>
                <w:sz w:val="24"/>
                <w:szCs w:val="24"/>
              </w:rPr>
              <w:t>on</w:t>
            </w:r>
            <w:r w:rsidRPr="00B078A1">
              <w:rPr>
                <w:rFonts w:ascii="Times New Roman" w:eastAsia="Times New Roman" w:hAnsi="Times New Roman" w:cs="Times New Roman"/>
                <w:color w:val="000000"/>
                <w:sz w:val="24"/>
                <w:szCs w:val="24"/>
              </w:rPr>
              <w:t xml:space="preserve"> 1st January 2021</w:t>
            </w:r>
          </w:p>
        </w:tc>
        <w:tc>
          <w:tcPr>
            <w:tcW w:w="2250" w:type="pct"/>
            <w:noWrap/>
            <w:hideMark/>
          </w:tcPr>
          <w:p w14:paraId="6095F9A5"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 £                               132,000.00 </w:t>
            </w:r>
          </w:p>
        </w:tc>
      </w:tr>
      <w:tr w:rsidR="00B078A1" w:rsidRPr="00B078A1" w14:paraId="77F95A57" w14:textId="77777777" w:rsidTr="00B078A1">
        <w:trPr>
          <w:trHeight w:val="312"/>
        </w:trPr>
        <w:tc>
          <w:tcPr>
            <w:tcW w:w="2750" w:type="pct"/>
            <w:noWrap/>
            <w:hideMark/>
          </w:tcPr>
          <w:p w14:paraId="640D11BC"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Add: Net income for the year</w:t>
            </w:r>
          </w:p>
        </w:tc>
        <w:tc>
          <w:tcPr>
            <w:tcW w:w="2250" w:type="pct"/>
            <w:noWrap/>
            <w:hideMark/>
          </w:tcPr>
          <w:p w14:paraId="646E5680" w14:textId="1986EA90"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 £                                 5</w:t>
            </w:r>
            <w:r w:rsidR="007645B2">
              <w:rPr>
                <w:rFonts w:ascii="Times New Roman" w:eastAsia="Times New Roman" w:hAnsi="Times New Roman" w:cs="Times New Roman"/>
                <w:color w:val="000000"/>
                <w:sz w:val="24"/>
                <w:szCs w:val="24"/>
              </w:rPr>
              <w:t>4</w:t>
            </w:r>
            <w:r w:rsidRPr="00B078A1">
              <w:rPr>
                <w:rFonts w:ascii="Times New Roman" w:eastAsia="Times New Roman" w:hAnsi="Times New Roman" w:cs="Times New Roman"/>
                <w:color w:val="000000"/>
                <w:sz w:val="24"/>
                <w:szCs w:val="24"/>
              </w:rPr>
              <w:t xml:space="preserve">,330.00 </w:t>
            </w:r>
          </w:p>
        </w:tc>
      </w:tr>
      <w:tr w:rsidR="00B078A1" w:rsidRPr="00B078A1" w14:paraId="6B4F194E" w14:textId="77777777" w:rsidTr="00B078A1">
        <w:trPr>
          <w:trHeight w:val="312"/>
        </w:trPr>
        <w:tc>
          <w:tcPr>
            <w:tcW w:w="2750" w:type="pct"/>
            <w:noWrap/>
            <w:hideMark/>
          </w:tcPr>
          <w:p w14:paraId="340BC6C0"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Less: Ordinary dividend paid</w:t>
            </w:r>
          </w:p>
        </w:tc>
        <w:tc>
          <w:tcPr>
            <w:tcW w:w="2250" w:type="pct"/>
            <w:noWrap/>
            <w:hideMark/>
          </w:tcPr>
          <w:p w14:paraId="42D47311"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 £                                 20,000.00 </w:t>
            </w:r>
          </w:p>
        </w:tc>
      </w:tr>
      <w:tr w:rsidR="00B078A1" w:rsidRPr="00B078A1" w14:paraId="30CCB739" w14:textId="77777777" w:rsidTr="00B078A1">
        <w:trPr>
          <w:trHeight w:val="312"/>
        </w:trPr>
        <w:tc>
          <w:tcPr>
            <w:tcW w:w="2750" w:type="pct"/>
            <w:noWrap/>
            <w:hideMark/>
          </w:tcPr>
          <w:p w14:paraId="548AC623"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Less: Preference dividend paid</w:t>
            </w:r>
          </w:p>
        </w:tc>
        <w:tc>
          <w:tcPr>
            <w:tcW w:w="2250" w:type="pct"/>
            <w:noWrap/>
            <w:hideMark/>
          </w:tcPr>
          <w:p w14:paraId="6AE00FD8" w14:textId="7777777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 £                                 30,000.00 </w:t>
            </w:r>
          </w:p>
        </w:tc>
      </w:tr>
      <w:tr w:rsidR="00B078A1" w:rsidRPr="00B078A1" w14:paraId="7F11F029" w14:textId="77777777" w:rsidTr="00B078A1">
        <w:trPr>
          <w:trHeight w:val="312"/>
        </w:trPr>
        <w:tc>
          <w:tcPr>
            <w:tcW w:w="2750" w:type="pct"/>
            <w:noWrap/>
            <w:hideMark/>
          </w:tcPr>
          <w:p w14:paraId="389DD2F5" w14:textId="24DEF5F7"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Retained profits </w:t>
            </w:r>
            <w:r w:rsidR="00151DE0" w:rsidRPr="00B078A1">
              <w:rPr>
                <w:rFonts w:ascii="Times New Roman" w:eastAsia="Times New Roman" w:hAnsi="Times New Roman" w:cs="Times New Roman"/>
                <w:color w:val="000000"/>
                <w:sz w:val="24"/>
                <w:szCs w:val="24"/>
              </w:rPr>
              <w:t>on</w:t>
            </w:r>
            <w:r w:rsidRPr="00B078A1">
              <w:rPr>
                <w:rFonts w:ascii="Times New Roman" w:eastAsia="Times New Roman" w:hAnsi="Times New Roman" w:cs="Times New Roman"/>
                <w:color w:val="000000"/>
                <w:sz w:val="24"/>
                <w:szCs w:val="24"/>
              </w:rPr>
              <w:t xml:space="preserve"> 31st December 2022</w:t>
            </w:r>
          </w:p>
        </w:tc>
        <w:tc>
          <w:tcPr>
            <w:tcW w:w="2250" w:type="pct"/>
            <w:noWrap/>
            <w:hideMark/>
          </w:tcPr>
          <w:p w14:paraId="19B2E543" w14:textId="4948B703" w:rsidR="00B078A1" w:rsidRPr="00B078A1" w:rsidRDefault="00B078A1" w:rsidP="00B078A1">
            <w:pPr>
              <w:rPr>
                <w:rFonts w:ascii="Times New Roman" w:eastAsia="Times New Roman" w:hAnsi="Times New Roman" w:cs="Times New Roman"/>
                <w:color w:val="000000"/>
                <w:sz w:val="24"/>
                <w:szCs w:val="24"/>
              </w:rPr>
            </w:pPr>
            <w:r w:rsidRPr="00B078A1">
              <w:rPr>
                <w:rFonts w:ascii="Times New Roman" w:eastAsia="Times New Roman" w:hAnsi="Times New Roman" w:cs="Times New Roman"/>
                <w:color w:val="000000"/>
                <w:sz w:val="24"/>
                <w:szCs w:val="24"/>
              </w:rPr>
              <w:t xml:space="preserve"> £                               </w:t>
            </w:r>
            <w:r w:rsidRPr="00FF2DAB">
              <w:rPr>
                <w:rFonts w:ascii="Times New Roman" w:eastAsia="Times New Roman" w:hAnsi="Times New Roman" w:cs="Times New Roman"/>
                <w:b/>
                <w:bCs/>
                <w:color w:val="000000"/>
                <w:sz w:val="24"/>
                <w:szCs w:val="24"/>
              </w:rPr>
              <w:t>13</w:t>
            </w:r>
            <w:r w:rsidR="007645B2" w:rsidRPr="00FF2DAB">
              <w:rPr>
                <w:rFonts w:ascii="Times New Roman" w:eastAsia="Times New Roman" w:hAnsi="Times New Roman" w:cs="Times New Roman"/>
                <w:b/>
                <w:bCs/>
                <w:color w:val="000000"/>
                <w:sz w:val="24"/>
                <w:szCs w:val="24"/>
              </w:rPr>
              <w:t>6</w:t>
            </w:r>
            <w:r w:rsidRPr="00FF2DAB">
              <w:rPr>
                <w:rFonts w:ascii="Times New Roman" w:eastAsia="Times New Roman" w:hAnsi="Times New Roman" w:cs="Times New Roman"/>
                <w:b/>
                <w:bCs/>
                <w:color w:val="000000"/>
                <w:sz w:val="24"/>
                <w:szCs w:val="24"/>
              </w:rPr>
              <w:t>,330.00</w:t>
            </w:r>
            <w:r w:rsidRPr="00B078A1">
              <w:rPr>
                <w:rFonts w:ascii="Times New Roman" w:eastAsia="Times New Roman" w:hAnsi="Times New Roman" w:cs="Times New Roman"/>
                <w:color w:val="000000"/>
                <w:sz w:val="24"/>
                <w:szCs w:val="24"/>
              </w:rPr>
              <w:t xml:space="preserve"> </w:t>
            </w:r>
          </w:p>
        </w:tc>
      </w:tr>
    </w:tbl>
    <w:p w14:paraId="0339A0BE" w14:textId="78A95C0B" w:rsidR="00B078A1" w:rsidRDefault="00B078A1" w:rsidP="00A508ED">
      <w:pPr>
        <w:spacing w:after="0" w:line="480" w:lineRule="auto"/>
        <w:jc w:val="both"/>
        <w:rPr>
          <w:rFonts w:ascii="Times New Roman" w:hAnsi="Times New Roman" w:cs="Times New Roman"/>
          <w:sz w:val="24"/>
          <w:szCs w:val="24"/>
        </w:rPr>
      </w:pPr>
    </w:p>
    <w:p w14:paraId="65A4B4B0" w14:textId="7E5B18CE" w:rsidR="00507196" w:rsidRPr="00507196" w:rsidRDefault="00507196" w:rsidP="00507196">
      <w:pPr>
        <w:pStyle w:val="Caption"/>
        <w:keepNext/>
        <w:jc w:val="both"/>
        <w:rPr>
          <w:rFonts w:ascii="Times New Roman" w:hAnsi="Times New Roman" w:cs="Times New Roman"/>
          <w:b/>
          <w:bCs/>
          <w:i w:val="0"/>
          <w:iCs w:val="0"/>
          <w:color w:val="auto"/>
          <w:sz w:val="24"/>
          <w:szCs w:val="24"/>
        </w:rPr>
      </w:pPr>
      <w:r w:rsidRPr="00507196">
        <w:rPr>
          <w:rFonts w:ascii="Times New Roman" w:hAnsi="Times New Roman" w:cs="Times New Roman"/>
          <w:b/>
          <w:bCs/>
          <w:i w:val="0"/>
          <w:iCs w:val="0"/>
          <w:color w:val="auto"/>
          <w:sz w:val="24"/>
          <w:szCs w:val="24"/>
        </w:rPr>
        <w:t xml:space="preserve">Table </w:t>
      </w:r>
      <w:r w:rsidRPr="00507196">
        <w:rPr>
          <w:rFonts w:ascii="Times New Roman" w:hAnsi="Times New Roman" w:cs="Times New Roman"/>
          <w:b/>
          <w:bCs/>
          <w:i w:val="0"/>
          <w:iCs w:val="0"/>
          <w:color w:val="auto"/>
          <w:sz w:val="24"/>
          <w:szCs w:val="24"/>
        </w:rPr>
        <w:fldChar w:fldCharType="begin"/>
      </w:r>
      <w:r w:rsidRPr="00507196">
        <w:rPr>
          <w:rFonts w:ascii="Times New Roman" w:hAnsi="Times New Roman" w:cs="Times New Roman"/>
          <w:b/>
          <w:bCs/>
          <w:i w:val="0"/>
          <w:iCs w:val="0"/>
          <w:color w:val="auto"/>
          <w:sz w:val="24"/>
          <w:szCs w:val="24"/>
        </w:rPr>
        <w:instrText xml:space="preserve"> SEQ Table \* ARABIC </w:instrText>
      </w:r>
      <w:r w:rsidRPr="00507196">
        <w:rPr>
          <w:rFonts w:ascii="Times New Roman" w:hAnsi="Times New Roman" w:cs="Times New Roman"/>
          <w:b/>
          <w:bCs/>
          <w:i w:val="0"/>
          <w:iCs w:val="0"/>
          <w:color w:val="auto"/>
          <w:sz w:val="24"/>
          <w:szCs w:val="24"/>
        </w:rPr>
        <w:fldChar w:fldCharType="separate"/>
      </w:r>
      <w:r w:rsidRPr="00507196">
        <w:rPr>
          <w:rFonts w:ascii="Times New Roman" w:hAnsi="Times New Roman" w:cs="Times New Roman"/>
          <w:b/>
          <w:bCs/>
          <w:i w:val="0"/>
          <w:iCs w:val="0"/>
          <w:noProof/>
          <w:color w:val="auto"/>
          <w:sz w:val="24"/>
          <w:szCs w:val="24"/>
        </w:rPr>
        <w:t>3</w:t>
      </w:r>
      <w:r w:rsidRPr="00507196">
        <w:rPr>
          <w:rFonts w:ascii="Times New Roman" w:hAnsi="Times New Roman" w:cs="Times New Roman"/>
          <w:b/>
          <w:bCs/>
          <w:i w:val="0"/>
          <w:iCs w:val="0"/>
          <w:color w:val="auto"/>
          <w:sz w:val="24"/>
          <w:szCs w:val="24"/>
        </w:rPr>
        <w:fldChar w:fldCharType="end"/>
      </w:r>
      <w:r w:rsidRPr="00507196">
        <w:rPr>
          <w:rFonts w:ascii="Times New Roman" w:hAnsi="Times New Roman" w:cs="Times New Roman"/>
          <w:b/>
          <w:bCs/>
          <w:i w:val="0"/>
          <w:iCs w:val="0"/>
          <w:color w:val="auto"/>
          <w:sz w:val="24"/>
          <w:szCs w:val="24"/>
        </w:rPr>
        <w:t xml:space="preserve">: Statement of Financial Position </w:t>
      </w:r>
      <w:r w:rsidR="00151DE0" w:rsidRPr="00507196">
        <w:rPr>
          <w:rFonts w:ascii="Times New Roman" w:hAnsi="Times New Roman" w:cs="Times New Roman"/>
          <w:b/>
          <w:bCs/>
          <w:i w:val="0"/>
          <w:iCs w:val="0"/>
          <w:color w:val="auto"/>
          <w:sz w:val="24"/>
          <w:szCs w:val="24"/>
        </w:rPr>
        <w:t>as</w:t>
      </w:r>
      <w:r w:rsidRPr="00507196">
        <w:rPr>
          <w:rFonts w:ascii="Times New Roman" w:hAnsi="Times New Roman" w:cs="Times New Roman"/>
          <w:b/>
          <w:bCs/>
          <w:i w:val="0"/>
          <w:iCs w:val="0"/>
          <w:color w:val="auto"/>
          <w:sz w:val="24"/>
          <w:szCs w:val="24"/>
        </w:rPr>
        <w:t xml:space="preserve"> </w:t>
      </w:r>
      <w:r w:rsidR="00151DE0" w:rsidRPr="00507196">
        <w:rPr>
          <w:rFonts w:ascii="Times New Roman" w:hAnsi="Times New Roman" w:cs="Times New Roman"/>
          <w:b/>
          <w:bCs/>
          <w:i w:val="0"/>
          <w:iCs w:val="0"/>
          <w:color w:val="auto"/>
          <w:sz w:val="24"/>
          <w:szCs w:val="24"/>
        </w:rPr>
        <w:t>of</w:t>
      </w:r>
      <w:r w:rsidRPr="00507196">
        <w:rPr>
          <w:rFonts w:ascii="Times New Roman" w:hAnsi="Times New Roman" w:cs="Times New Roman"/>
          <w:b/>
          <w:bCs/>
          <w:i w:val="0"/>
          <w:iCs w:val="0"/>
          <w:color w:val="auto"/>
          <w:sz w:val="24"/>
          <w:szCs w:val="24"/>
        </w:rPr>
        <w:t xml:space="preserve"> 31st </w:t>
      </w:r>
      <w:r w:rsidR="00151DE0" w:rsidRPr="00507196">
        <w:rPr>
          <w:rFonts w:ascii="Times New Roman" w:hAnsi="Times New Roman" w:cs="Times New Roman"/>
          <w:b/>
          <w:bCs/>
          <w:i w:val="0"/>
          <w:iCs w:val="0"/>
          <w:color w:val="auto"/>
          <w:sz w:val="24"/>
          <w:szCs w:val="24"/>
        </w:rPr>
        <w:t>December</w:t>
      </w:r>
      <w:r w:rsidRPr="00507196">
        <w:rPr>
          <w:rFonts w:ascii="Times New Roman" w:hAnsi="Times New Roman" w:cs="Times New Roman"/>
          <w:b/>
          <w:bCs/>
          <w:i w:val="0"/>
          <w:iCs w:val="0"/>
          <w:color w:val="auto"/>
          <w:sz w:val="24"/>
          <w:szCs w:val="24"/>
        </w:rPr>
        <w:t xml:space="preserve"> 2021</w:t>
      </w:r>
    </w:p>
    <w:tbl>
      <w:tblPr>
        <w:tblStyle w:val="TableGrid"/>
        <w:tblW w:w="5000" w:type="pct"/>
        <w:tblLook w:val="04A0" w:firstRow="1" w:lastRow="0" w:firstColumn="1" w:lastColumn="0" w:noHBand="0" w:noVBand="1"/>
      </w:tblPr>
      <w:tblGrid>
        <w:gridCol w:w="2814"/>
        <w:gridCol w:w="4181"/>
        <w:gridCol w:w="2355"/>
      </w:tblGrid>
      <w:tr w:rsidR="007645B2" w:rsidRPr="007645B2" w14:paraId="0B480EE7" w14:textId="77777777" w:rsidTr="007645B2">
        <w:trPr>
          <w:trHeight w:val="300"/>
        </w:trPr>
        <w:tc>
          <w:tcPr>
            <w:tcW w:w="5000" w:type="pct"/>
            <w:gridSpan w:val="3"/>
            <w:noWrap/>
            <w:hideMark/>
          </w:tcPr>
          <w:p w14:paraId="31C26FCE" w14:textId="77777777" w:rsidR="007645B2" w:rsidRPr="007645B2" w:rsidRDefault="007645B2" w:rsidP="007645B2">
            <w:pPr>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Wales Plc.</w:t>
            </w:r>
          </w:p>
        </w:tc>
      </w:tr>
      <w:tr w:rsidR="007645B2" w:rsidRPr="007645B2" w14:paraId="7EEB3A00" w14:textId="77777777" w:rsidTr="007645B2">
        <w:trPr>
          <w:trHeight w:val="300"/>
        </w:trPr>
        <w:tc>
          <w:tcPr>
            <w:tcW w:w="5000" w:type="pct"/>
            <w:gridSpan w:val="3"/>
            <w:noWrap/>
            <w:hideMark/>
          </w:tcPr>
          <w:p w14:paraId="667057F5" w14:textId="77777777" w:rsidR="007645B2" w:rsidRPr="007645B2" w:rsidRDefault="007645B2" w:rsidP="007645B2">
            <w:pPr>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Statement of Financial Position</w:t>
            </w:r>
          </w:p>
        </w:tc>
      </w:tr>
      <w:tr w:rsidR="007645B2" w:rsidRPr="007645B2" w14:paraId="73FC9EE0" w14:textId="77777777" w:rsidTr="007645B2">
        <w:trPr>
          <w:trHeight w:val="300"/>
        </w:trPr>
        <w:tc>
          <w:tcPr>
            <w:tcW w:w="5000" w:type="pct"/>
            <w:gridSpan w:val="3"/>
            <w:noWrap/>
            <w:hideMark/>
          </w:tcPr>
          <w:p w14:paraId="211D16B3" w14:textId="7C7FC388" w:rsidR="007645B2" w:rsidRPr="007645B2" w:rsidRDefault="007645B2" w:rsidP="007645B2">
            <w:pPr>
              <w:jc w:val="cente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b/>
                <w:bCs/>
                <w:color w:val="000000"/>
                <w:sz w:val="24"/>
                <w:szCs w:val="24"/>
              </w:rPr>
              <w:t xml:space="preserve">As Of </w:t>
            </w:r>
            <w:proofErr w:type="gramStart"/>
            <w:r w:rsidRPr="007645B2">
              <w:rPr>
                <w:rFonts w:ascii="Times New Roman" w:eastAsia="Times New Roman" w:hAnsi="Times New Roman" w:cs="Times New Roman"/>
                <w:b/>
                <w:bCs/>
                <w:color w:val="000000"/>
                <w:sz w:val="24"/>
                <w:szCs w:val="24"/>
              </w:rPr>
              <w:t>31st December 2021</w:t>
            </w:r>
            <w:proofErr w:type="gramEnd"/>
          </w:p>
        </w:tc>
      </w:tr>
      <w:tr w:rsidR="007645B2" w:rsidRPr="007645B2" w14:paraId="4D2158AE" w14:textId="77777777" w:rsidTr="007645B2">
        <w:trPr>
          <w:trHeight w:val="320"/>
        </w:trPr>
        <w:tc>
          <w:tcPr>
            <w:tcW w:w="1494" w:type="pct"/>
            <w:noWrap/>
            <w:hideMark/>
          </w:tcPr>
          <w:p w14:paraId="3D67ED03" w14:textId="77777777" w:rsidR="007645B2" w:rsidRPr="007645B2" w:rsidRDefault="007645B2" w:rsidP="007645B2">
            <w:pPr>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t>ASSETS</w:t>
            </w:r>
          </w:p>
        </w:tc>
        <w:tc>
          <w:tcPr>
            <w:tcW w:w="2273" w:type="pct"/>
            <w:noWrap/>
            <w:hideMark/>
          </w:tcPr>
          <w:p w14:paraId="56FC6CD2"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2CE7A13C"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15656AB3" w14:textId="77777777" w:rsidTr="007645B2">
        <w:trPr>
          <w:trHeight w:val="320"/>
        </w:trPr>
        <w:tc>
          <w:tcPr>
            <w:tcW w:w="1494" w:type="pct"/>
            <w:noWrap/>
            <w:hideMark/>
          </w:tcPr>
          <w:p w14:paraId="1353FBE8" w14:textId="6CF74C61" w:rsidR="007645B2" w:rsidRPr="007645B2" w:rsidRDefault="00BA228B" w:rsidP="007645B2">
            <w:pPr>
              <w:rPr>
                <w:rFonts w:ascii="Times New Roman" w:eastAsia="Times New Roman" w:hAnsi="Times New Roman" w:cs="Times New Roman"/>
                <w:b/>
                <w:bCs/>
                <w:color w:val="000000"/>
                <w:sz w:val="24"/>
                <w:szCs w:val="24"/>
                <w:u w:val="single"/>
              </w:rPr>
            </w:pPr>
            <w:proofErr w:type="spellStart"/>
            <w:proofErr w:type="gramStart"/>
            <w:r w:rsidRPr="00BA228B">
              <w:rPr>
                <w:rFonts w:ascii="Times New Roman" w:eastAsia="Times New Roman" w:hAnsi="Times New Roman" w:cs="Times New Roman"/>
                <w:b/>
                <w:bCs/>
                <w:color w:val="000000"/>
                <w:sz w:val="24"/>
                <w:szCs w:val="24"/>
                <w:u w:val="single"/>
              </w:rPr>
              <w:t>Non current</w:t>
            </w:r>
            <w:proofErr w:type="spellEnd"/>
            <w:proofErr w:type="gramEnd"/>
            <w:r w:rsidRPr="00BA228B">
              <w:rPr>
                <w:rFonts w:ascii="Times New Roman" w:eastAsia="Times New Roman" w:hAnsi="Times New Roman" w:cs="Times New Roman"/>
                <w:b/>
                <w:bCs/>
                <w:color w:val="000000"/>
                <w:sz w:val="24"/>
                <w:szCs w:val="24"/>
                <w:u w:val="single"/>
              </w:rPr>
              <w:t xml:space="preserve"> </w:t>
            </w:r>
            <w:r>
              <w:rPr>
                <w:rFonts w:ascii="Times New Roman" w:eastAsia="Times New Roman" w:hAnsi="Times New Roman" w:cs="Times New Roman"/>
                <w:b/>
                <w:bCs/>
                <w:color w:val="000000"/>
                <w:sz w:val="24"/>
                <w:szCs w:val="24"/>
                <w:u w:val="single"/>
              </w:rPr>
              <w:t>A</w:t>
            </w:r>
            <w:r w:rsidRPr="00BA228B">
              <w:rPr>
                <w:rFonts w:ascii="Times New Roman" w:eastAsia="Times New Roman" w:hAnsi="Times New Roman" w:cs="Times New Roman"/>
                <w:b/>
                <w:bCs/>
                <w:color w:val="000000"/>
                <w:sz w:val="24"/>
                <w:szCs w:val="24"/>
                <w:u w:val="single"/>
              </w:rPr>
              <w:t>ssets</w:t>
            </w:r>
          </w:p>
        </w:tc>
        <w:tc>
          <w:tcPr>
            <w:tcW w:w="2273" w:type="pct"/>
            <w:noWrap/>
            <w:hideMark/>
          </w:tcPr>
          <w:p w14:paraId="17F3ADF4"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7A6525BB"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5FFA5038" w14:textId="77777777" w:rsidTr="007645B2">
        <w:trPr>
          <w:trHeight w:val="320"/>
        </w:trPr>
        <w:tc>
          <w:tcPr>
            <w:tcW w:w="1494" w:type="pct"/>
            <w:noWrap/>
            <w:hideMark/>
          </w:tcPr>
          <w:p w14:paraId="6EBB20ED"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Plant and equipment</w:t>
            </w:r>
          </w:p>
        </w:tc>
        <w:tc>
          <w:tcPr>
            <w:tcW w:w="2273" w:type="pct"/>
            <w:noWrap/>
            <w:hideMark/>
          </w:tcPr>
          <w:p w14:paraId="1BEB2461"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1,250,000.00 </w:t>
            </w:r>
          </w:p>
        </w:tc>
        <w:tc>
          <w:tcPr>
            <w:tcW w:w="1233" w:type="pct"/>
            <w:noWrap/>
            <w:hideMark/>
          </w:tcPr>
          <w:p w14:paraId="26DF4F84"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265DE3FF" w14:textId="77777777" w:rsidTr="007645B2">
        <w:trPr>
          <w:trHeight w:val="320"/>
        </w:trPr>
        <w:tc>
          <w:tcPr>
            <w:tcW w:w="1494" w:type="pct"/>
            <w:noWrap/>
            <w:hideMark/>
          </w:tcPr>
          <w:p w14:paraId="20E4694F" w14:textId="652D00AE" w:rsidR="007645B2" w:rsidRPr="00535362" w:rsidRDefault="007645B2" w:rsidP="007645B2">
            <w:pPr>
              <w:rPr>
                <w:rFonts w:ascii="Times New Roman" w:eastAsia="Times New Roman" w:hAnsi="Times New Roman" w:cs="Times New Roman"/>
                <w:b/>
                <w:bCs/>
                <w:color w:val="000000"/>
                <w:sz w:val="24"/>
                <w:szCs w:val="24"/>
              </w:rPr>
            </w:pPr>
            <w:r w:rsidRPr="00535362">
              <w:rPr>
                <w:rFonts w:ascii="Times New Roman" w:eastAsia="Times New Roman" w:hAnsi="Times New Roman" w:cs="Times New Roman"/>
                <w:b/>
                <w:bCs/>
                <w:color w:val="000000"/>
                <w:sz w:val="24"/>
                <w:szCs w:val="24"/>
              </w:rPr>
              <w:t xml:space="preserve">Total </w:t>
            </w:r>
            <w:proofErr w:type="spellStart"/>
            <w:proofErr w:type="gramStart"/>
            <w:r w:rsidR="00BA228B" w:rsidRPr="00535362">
              <w:rPr>
                <w:rFonts w:ascii="Times New Roman" w:eastAsia="Times New Roman" w:hAnsi="Times New Roman" w:cs="Times New Roman"/>
                <w:b/>
                <w:bCs/>
                <w:color w:val="000000"/>
                <w:sz w:val="24"/>
                <w:szCs w:val="24"/>
              </w:rPr>
              <w:t>Non current</w:t>
            </w:r>
            <w:proofErr w:type="spellEnd"/>
            <w:proofErr w:type="gramEnd"/>
            <w:r w:rsidR="00BA228B" w:rsidRPr="00535362">
              <w:rPr>
                <w:rFonts w:ascii="Times New Roman" w:eastAsia="Times New Roman" w:hAnsi="Times New Roman" w:cs="Times New Roman"/>
                <w:b/>
                <w:bCs/>
                <w:color w:val="000000"/>
                <w:sz w:val="24"/>
                <w:szCs w:val="24"/>
              </w:rPr>
              <w:t xml:space="preserve"> </w:t>
            </w:r>
            <w:r w:rsidR="00BA228B" w:rsidRPr="00535362">
              <w:rPr>
                <w:rFonts w:ascii="Times New Roman" w:eastAsia="Times New Roman" w:hAnsi="Times New Roman" w:cs="Times New Roman"/>
                <w:b/>
                <w:bCs/>
                <w:color w:val="000000"/>
                <w:sz w:val="24"/>
                <w:szCs w:val="24"/>
              </w:rPr>
              <w:t>A</w:t>
            </w:r>
            <w:r w:rsidR="00BA228B" w:rsidRPr="00535362">
              <w:rPr>
                <w:rFonts w:ascii="Times New Roman" w:eastAsia="Times New Roman" w:hAnsi="Times New Roman" w:cs="Times New Roman"/>
                <w:b/>
                <w:bCs/>
                <w:color w:val="000000"/>
                <w:sz w:val="24"/>
                <w:szCs w:val="24"/>
              </w:rPr>
              <w:t>ssets</w:t>
            </w:r>
          </w:p>
        </w:tc>
        <w:tc>
          <w:tcPr>
            <w:tcW w:w="2273" w:type="pct"/>
            <w:noWrap/>
            <w:hideMark/>
          </w:tcPr>
          <w:p w14:paraId="75A8C3ED" w14:textId="77777777" w:rsidR="007645B2" w:rsidRPr="007645B2" w:rsidRDefault="007645B2" w:rsidP="007645B2">
            <w:pPr>
              <w:rPr>
                <w:rFonts w:ascii="Times New Roman" w:eastAsia="Times New Roman" w:hAnsi="Times New Roman" w:cs="Times New Roman"/>
                <w:color w:val="000000"/>
                <w:sz w:val="24"/>
                <w:szCs w:val="24"/>
              </w:rPr>
            </w:pPr>
          </w:p>
        </w:tc>
        <w:tc>
          <w:tcPr>
            <w:tcW w:w="1233" w:type="pct"/>
            <w:noWrap/>
            <w:hideMark/>
          </w:tcPr>
          <w:p w14:paraId="66715F32" w14:textId="77777777" w:rsidR="007645B2" w:rsidRPr="00535362" w:rsidRDefault="007645B2" w:rsidP="007645B2">
            <w:pPr>
              <w:rPr>
                <w:rFonts w:ascii="Times New Roman" w:eastAsia="Times New Roman" w:hAnsi="Times New Roman" w:cs="Times New Roman"/>
                <w:b/>
                <w:bCs/>
                <w:color w:val="000000"/>
                <w:sz w:val="24"/>
                <w:szCs w:val="24"/>
              </w:rPr>
            </w:pPr>
            <w:r w:rsidRPr="00535362">
              <w:rPr>
                <w:rFonts w:ascii="Times New Roman" w:eastAsia="Times New Roman" w:hAnsi="Times New Roman" w:cs="Times New Roman"/>
                <w:b/>
                <w:bCs/>
                <w:color w:val="000000"/>
                <w:sz w:val="24"/>
                <w:szCs w:val="24"/>
              </w:rPr>
              <w:t xml:space="preserve"> £                 1,250,000.00 </w:t>
            </w:r>
          </w:p>
        </w:tc>
      </w:tr>
      <w:tr w:rsidR="007645B2" w:rsidRPr="007645B2" w14:paraId="4A1955AA" w14:textId="77777777" w:rsidTr="007645B2">
        <w:trPr>
          <w:trHeight w:val="320"/>
        </w:trPr>
        <w:tc>
          <w:tcPr>
            <w:tcW w:w="1494" w:type="pct"/>
            <w:noWrap/>
            <w:hideMark/>
          </w:tcPr>
          <w:p w14:paraId="7B007783" w14:textId="77777777" w:rsidR="007645B2" w:rsidRPr="007645B2" w:rsidRDefault="007645B2" w:rsidP="007645B2">
            <w:pPr>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lastRenderedPageBreak/>
              <w:t>Current Assets</w:t>
            </w:r>
          </w:p>
        </w:tc>
        <w:tc>
          <w:tcPr>
            <w:tcW w:w="2273" w:type="pct"/>
            <w:noWrap/>
            <w:hideMark/>
          </w:tcPr>
          <w:p w14:paraId="5BF5E08A"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02B3E308"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74964F21" w14:textId="77777777" w:rsidTr="007645B2">
        <w:trPr>
          <w:trHeight w:val="320"/>
        </w:trPr>
        <w:tc>
          <w:tcPr>
            <w:tcW w:w="1494" w:type="pct"/>
            <w:noWrap/>
            <w:hideMark/>
          </w:tcPr>
          <w:p w14:paraId="48F83799"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Stocks on 31st December 2021</w:t>
            </w:r>
          </w:p>
        </w:tc>
        <w:tc>
          <w:tcPr>
            <w:tcW w:w="2273" w:type="pct"/>
            <w:noWrap/>
            <w:hideMark/>
          </w:tcPr>
          <w:p w14:paraId="7579B515"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430,600.00 </w:t>
            </w:r>
          </w:p>
        </w:tc>
        <w:tc>
          <w:tcPr>
            <w:tcW w:w="1233" w:type="pct"/>
            <w:noWrap/>
            <w:hideMark/>
          </w:tcPr>
          <w:p w14:paraId="5924D1ED"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6CE9FD14" w14:textId="77777777" w:rsidTr="007645B2">
        <w:trPr>
          <w:trHeight w:val="320"/>
        </w:trPr>
        <w:tc>
          <w:tcPr>
            <w:tcW w:w="1494" w:type="pct"/>
            <w:noWrap/>
            <w:hideMark/>
          </w:tcPr>
          <w:p w14:paraId="4566A39E"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Trade receivable</w:t>
            </w:r>
          </w:p>
        </w:tc>
        <w:tc>
          <w:tcPr>
            <w:tcW w:w="2273" w:type="pct"/>
            <w:noWrap/>
            <w:hideMark/>
          </w:tcPr>
          <w:p w14:paraId="0D9FBD57" w14:textId="05C72DFC"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17</w:t>
            </w:r>
            <w:r w:rsidR="00684E73">
              <w:rPr>
                <w:rFonts w:ascii="Times New Roman" w:eastAsia="Times New Roman" w:hAnsi="Times New Roman" w:cs="Times New Roman"/>
                <w:color w:val="000000"/>
                <w:sz w:val="24"/>
                <w:szCs w:val="24"/>
              </w:rPr>
              <w:t>1</w:t>
            </w:r>
            <w:r w:rsidRPr="007645B2">
              <w:rPr>
                <w:rFonts w:ascii="Times New Roman" w:eastAsia="Times New Roman" w:hAnsi="Times New Roman" w:cs="Times New Roman"/>
                <w:color w:val="000000"/>
                <w:sz w:val="24"/>
                <w:szCs w:val="24"/>
              </w:rPr>
              <w:t>,1</w:t>
            </w:r>
            <w:r w:rsidR="00684E73">
              <w:rPr>
                <w:rFonts w:ascii="Times New Roman" w:eastAsia="Times New Roman" w:hAnsi="Times New Roman" w:cs="Times New Roman"/>
                <w:color w:val="000000"/>
                <w:sz w:val="24"/>
                <w:szCs w:val="24"/>
              </w:rPr>
              <w:t>0</w:t>
            </w:r>
            <w:r w:rsidRPr="007645B2">
              <w:rPr>
                <w:rFonts w:ascii="Times New Roman" w:eastAsia="Times New Roman" w:hAnsi="Times New Roman" w:cs="Times New Roman"/>
                <w:color w:val="000000"/>
                <w:sz w:val="24"/>
                <w:szCs w:val="24"/>
              </w:rPr>
              <w:t xml:space="preserve">5.00 </w:t>
            </w:r>
          </w:p>
        </w:tc>
        <w:tc>
          <w:tcPr>
            <w:tcW w:w="1233" w:type="pct"/>
            <w:noWrap/>
            <w:hideMark/>
          </w:tcPr>
          <w:p w14:paraId="442F7D62"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77B62A59" w14:textId="77777777" w:rsidTr="007645B2">
        <w:trPr>
          <w:trHeight w:val="320"/>
        </w:trPr>
        <w:tc>
          <w:tcPr>
            <w:tcW w:w="1494" w:type="pct"/>
            <w:noWrap/>
            <w:hideMark/>
          </w:tcPr>
          <w:p w14:paraId="679ED85B"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Cash and bank</w:t>
            </w:r>
          </w:p>
        </w:tc>
        <w:tc>
          <w:tcPr>
            <w:tcW w:w="2273" w:type="pct"/>
            <w:noWrap/>
            <w:hideMark/>
          </w:tcPr>
          <w:p w14:paraId="53DF1112"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176,250.00 </w:t>
            </w:r>
          </w:p>
        </w:tc>
        <w:tc>
          <w:tcPr>
            <w:tcW w:w="1233" w:type="pct"/>
            <w:noWrap/>
            <w:hideMark/>
          </w:tcPr>
          <w:p w14:paraId="2F9EBC9A"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4D8C0CC8" w14:textId="77777777" w:rsidTr="007645B2">
        <w:trPr>
          <w:trHeight w:val="320"/>
        </w:trPr>
        <w:tc>
          <w:tcPr>
            <w:tcW w:w="1494" w:type="pct"/>
            <w:noWrap/>
            <w:hideMark/>
          </w:tcPr>
          <w:p w14:paraId="22838056" w14:textId="77777777" w:rsidR="007645B2" w:rsidRPr="00BA228B" w:rsidRDefault="007645B2" w:rsidP="007645B2">
            <w:pPr>
              <w:rPr>
                <w:rFonts w:ascii="Times New Roman" w:eastAsia="Times New Roman" w:hAnsi="Times New Roman" w:cs="Times New Roman"/>
                <w:b/>
                <w:bCs/>
                <w:color w:val="000000"/>
                <w:sz w:val="24"/>
                <w:szCs w:val="24"/>
              </w:rPr>
            </w:pPr>
            <w:r w:rsidRPr="00BA228B">
              <w:rPr>
                <w:rFonts w:ascii="Times New Roman" w:eastAsia="Times New Roman" w:hAnsi="Times New Roman" w:cs="Times New Roman"/>
                <w:b/>
                <w:bCs/>
                <w:color w:val="000000"/>
                <w:sz w:val="24"/>
                <w:szCs w:val="24"/>
              </w:rPr>
              <w:t>Total Current Assets</w:t>
            </w:r>
          </w:p>
        </w:tc>
        <w:tc>
          <w:tcPr>
            <w:tcW w:w="2273" w:type="pct"/>
            <w:noWrap/>
            <w:hideMark/>
          </w:tcPr>
          <w:p w14:paraId="29DF1B37"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6F23DAC1" w14:textId="60808712" w:rsidR="007645B2" w:rsidRPr="00BA228B" w:rsidRDefault="007645B2" w:rsidP="007645B2">
            <w:pPr>
              <w:rPr>
                <w:rFonts w:ascii="Times New Roman" w:eastAsia="Times New Roman" w:hAnsi="Times New Roman" w:cs="Times New Roman"/>
                <w:b/>
                <w:bCs/>
                <w:color w:val="000000"/>
                <w:sz w:val="24"/>
                <w:szCs w:val="24"/>
              </w:rPr>
            </w:pPr>
            <w:r w:rsidRPr="007645B2">
              <w:rPr>
                <w:rFonts w:ascii="Times New Roman" w:eastAsia="Times New Roman" w:hAnsi="Times New Roman" w:cs="Times New Roman"/>
                <w:color w:val="000000"/>
                <w:sz w:val="24"/>
                <w:szCs w:val="24"/>
              </w:rPr>
              <w:t xml:space="preserve"> </w:t>
            </w:r>
            <w:r w:rsidRPr="00BA228B">
              <w:rPr>
                <w:rFonts w:ascii="Times New Roman" w:eastAsia="Times New Roman" w:hAnsi="Times New Roman" w:cs="Times New Roman"/>
                <w:b/>
                <w:bCs/>
                <w:color w:val="000000"/>
                <w:sz w:val="24"/>
                <w:szCs w:val="24"/>
              </w:rPr>
              <w:t>£                    77</w:t>
            </w:r>
            <w:r w:rsidR="00684E73">
              <w:rPr>
                <w:rFonts w:ascii="Times New Roman" w:eastAsia="Times New Roman" w:hAnsi="Times New Roman" w:cs="Times New Roman"/>
                <w:b/>
                <w:bCs/>
                <w:color w:val="000000"/>
                <w:sz w:val="24"/>
                <w:szCs w:val="24"/>
              </w:rPr>
              <w:t>7</w:t>
            </w:r>
            <w:r w:rsidRPr="00BA228B">
              <w:rPr>
                <w:rFonts w:ascii="Times New Roman" w:eastAsia="Times New Roman" w:hAnsi="Times New Roman" w:cs="Times New Roman"/>
                <w:b/>
                <w:bCs/>
                <w:color w:val="000000"/>
                <w:sz w:val="24"/>
                <w:szCs w:val="24"/>
              </w:rPr>
              <w:t>,9</w:t>
            </w:r>
            <w:r w:rsidR="00684E73">
              <w:rPr>
                <w:rFonts w:ascii="Times New Roman" w:eastAsia="Times New Roman" w:hAnsi="Times New Roman" w:cs="Times New Roman"/>
                <w:b/>
                <w:bCs/>
                <w:color w:val="000000"/>
                <w:sz w:val="24"/>
                <w:szCs w:val="24"/>
              </w:rPr>
              <w:t>5</w:t>
            </w:r>
            <w:r w:rsidRPr="00BA228B">
              <w:rPr>
                <w:rFonts w:ascii="Times New Roman" w:eastAsia="Times New Roman" w:hAnsi="Times New Roman" w:cs="Times New Roman"/>
                <w:b/>
                <w:bCs/>
                <w:color w:val="000000"/>
                <w:sz w:val="24"/>
                <w:szCs w:val="24"/>
              </w:rPr>
              <w:t xml:space="preserve">5.00 </w:t>
            </w:r>
          </w:p>
        </w:tc>
      </w:tr>
      <w:tr w:rsidR="007645B2" w:rsidRPr="007645B2" w14:paraId="4ED319AF" w14:textId="77777777" w:rsidTr="007645B2">
        <w:trPr>
          <w:trHeight w:val="320"/>
        </w:trPr>
        <w:tc>
          <w:tcPr>
            <w:tcW w:w="1494" w:type="pct"/>
            <w:noWrap/>
            <w:hideMark/>
          </w:tcPr>
          <w:p w14:paraId="10D33970" w14:textId="77777777" w:rsidR="007645B2" w:rsidRPr="00BA228B" w:rsidRDefault="007645B2" w:rsidP="007645B2">
            <w:pPr>
              <w:rPr>
                <w:rFonts w:ascii="Times New Roman" w:eastAsia="Times New Roman" w:hAnsi="Times New Roman" w:cs="Times New Roman"/>
                <w:b/>
                <w:bCs/>
                <w:color w:val="000000"/>
                <w:sz w:val="24"/>
                <w:szCs w:val="24"/>
              </w:rPr>
            </w:pPr>
            <w:r w:rsidRPr="00BA228B">
              <w:rPr>
                <w:rFonts w:ascii="Times New Roman" w:eastAsia="Times New Roman" w:hAnsi="Times New Roman" w:cs="Times New Roman"/>
                <w:b/>
                <w:bCs/>
                <w:color w:val="000000"/>
                <w:sz w:val="24"/>
                <w:szCs w:val="24"/>
              </w:rPr>
              <w:t>Total Assets</w:t>
            </w:r>
          </w:p>
        </w:tc>
        <w:tc>
          <w:tcPr>
            <w:tcW w:w="2273" w:type="pct"/>
            <w:noWrap/>
            <w:hideMark/>
          </w:tcPr>
          <w:p w14:paraId="124F3CEE"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04E135A1" w14:textId="6177EB97" w:rsidR="007645B2" w:rsidRPr="00BA228B" w:rsidRDefault="007645B2" w:rsidP="007645B2">
            <w:pPr>
              <w:rPr>
                <w:rFonts w:ascii="Times New Roman" w:eastAsia="Times New Roman" w:hAnsi="Times New Roman" w:cs="Times New Roman"/>
                <w:b/>
                <w:bCs/>
                <w:color w:val="000000"/>
                <w:sz w:val="24"/>
                <w:szCs w:val="24"/>
              </w:rPr>
            </w:pPr>
            <w:r w:rsidRPr="00BA228B">
              <w:rPr>
                <w:rFonts w:ascii="Times New Roman" w:eastAsia="Times New Roman" w:hAnsi="Times New Roman" w:cs="Times New Roman"/>
                <w:b/>
                <w:bCs/>
                <w:color w:val="000000"/>
                <w:sz w:val="24"/>
                <w:szCs w:val="24"/>
              </w:rPr>
              <w:t xml:space="preserve"> £                 2,02</w:t>
            </w:r>
            <w:r w:rsidR="00684E73">
              <w:rPr>
                <w:rFonts w:ascii="Times New Roman" w:eastAsia="Times New Roman" w:hAnsi="Times New Roman" w:cs="Times New Roman"/>
                <w:b/>
                <w:bCs/>
                <w:color w:val="000000"/>
                <w:sz w:val="24"/>
                <w:szCs w:val="24"/>
              </w:rPr>
              <w:t>7</w:t>
            </w:r>
            <w:r w:rsidRPr="00BA228B">
              <w:rPr>
                <w:rFonts w:ascii="Times New Roman" w:eastAsia="Times New Roman" w:hAnsi="Times New Roman" w:cs="Times New Roman"/>
                <w:b/>
                <w:bCs/>
                <w:color w:val="000000"/>
                <w:sz w:val="24"/>
                <w:szCs w:val="24"/>
              </w:rPr>
              <w:t>,9</w:t>
            </w:r>
            <w:r w:rsidR="00684E73">
              <w:rPr>
                <w:rFonts w:ascii="Times New Roman" w:eastAsia="Times New Roman" w:hAnsi="Times New Roman" w:cs="Times New Roman"/>
                <w:b/>
                <w:bCs/>
                <w:color w:val="000000"/>
                <w:sz w:val="24"/>
                <w:szCs w:val="24"/>
              </w:rPr>
              <w:t>5</w:t>
            </w:r>
            <w:r w:rsidRPr="00BA228B">
              <w:rPr>
                <w:rFonts w:ascii="Times New Roman" w:eastAsia="Times New Roman" w:hAnsi="Times New Roman" w:cs="Times New Roman"/>
                <w:b/>
                <w:bCs/>
                <w:color w:val="000000"/>
                <w:sz w:val="24"/>
                <w:szCs w:val="24"/>
              </w:rPr>
              <w:t xml:space="preserve">5.00 </w:t>
            </w:r>
          </w:p>
        </w:tc>
      </w:tr>
      <w:tr w:rsidR="007645B2" w:rsidRPr="007645B2" w14:paraId="4C0CCD99" w14:textId="77777777" w:rsidTr="007645B2">
        <w:trPr>
          <w:trHeight w:val="320"/>
        </w:trPr>
        <w:tc>
          <w:tcPr>
            <w:tcW w:w="1494" w:type="pct"/>
            <w:noWrap/>
            <w:hideMark/>
          </w:tcPr>
          <w:p w14:paraId="138D3142" w14:textId="77777777" w:rsidR="007645B2" w:rsidRPr="007645B2" w:rsidRDefault="007645B2" w:rsidP="007645B2">
            <w:pPr>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t>LIABILITIES</w:t>
            </w:r>
          </w:p>
        </w:tc>
        <w:tc>
          <w:tcPr>
            <w:tcW w:w="2273" w:type="pct"/>
            <w:noWrap/>
            <w:hideMark/>
          </w:tcPr>
          <w:p w14:paraId="2AA76CEC"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740A5932"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52CF896F" w14:textId="77777777" w:rsidTr="007645B2">
        <w:trPr>
          <w:trHeight w:val="320"/>
        </w:trPr>
        <w:tc>
          <w:tcPr>
            <w:tcW w:w="1494" w:type="pct"/>
            <w:noWrap/>
            <w:hideMark/>
          </w:tcPr>
          <w:p w14:paraId="223838EE" w14:textId="38D2522D" w:rsidR="007645B2" w:rsidRPr="007645B2" w:rsidRDefault="00E7687B" w:rsidP="007645B2">
            <w:pPr>
              <w:rPr>
                <w:rFonts w:ascii="Times New Roman" w:eastAsia="Times New Roman" w:hAnsi="Times New Roman" w:cs="Times New Roman"/>
                <w:b/>
                <w:bCs/>
                <w:color w:val="000000"/>
                <w:sz w:val="24"/>
                <w:szCs w:val="24"/>
                <w:u w:val="single"/>
              </w:rPr>
            </w:pPr>
            <w:r w:rsidRPr="00E7687B">
              <w:rPr>
                <w:rFonts w:ascii="Times New Roman" w:eastAsia="Times New Roman" w:hAnsi="Times New Roman" w:cs="Times New Roman"/>
                <w:b/>
                <w:bCs/>
                <w:color w:val="000000"/>
                <w:sz w:val="24"/>
                <w:szCs w:val="24"/>
                <w:u w:val="single"/>
              </w:rPr>
              <w:t xml:space="preserve">Non-current </w:t>
            </w:r>
            <w:r w:rsidR="007645B2" w:rsidRPr="007645B2">
              <w:rPr>
                <w:rFonts w:ascii="Times New Roman" w:eastAsia="Times New Roman" w:hAnsi="Times New Roman" w:cs="Times New Roman"/>
                <w:b/>
                <w:bCs/>
                <w:color w:val="000000"/>
                <w:sz w:val="24"/>
                <w:szCs w:val="24"/>
                <w:u w:val="single"/>
              </w:rPr>
              <w:t>Liabilities</w:t>
            </w:r>
          </w:p>
        </w:tc>
        <w:tc>
          <w:tcPr>
            <w:tcW w:w="2273" w:type="pct"/>
            <w:noWrap/>
            <w:hideMark/>
          </w:tcPr>
          <w:p w14:paraId="61ECCDD6"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54A1809A"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3454FDB2" w14:textId="77777777" w:rsidTr="007645B2">
        <w:trPr>
          <w:trHeight w:val="320"/>
        </w:trPr>
        <w:tc>
          <w:tcPr>
            <w:tcW w:w="1494" w:type="pct"/>
            <w:noWrap/>
            <w:hideMark/>
          </w:tcPr>
          <w:p w14:paraId="7ED839F7"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4% Debentures</w:t>
            </w:r>
          </w:p>
        </w:tc>
        <w:tc>
          <w:tcPr>
            <w:tcW w:w="2273" w:type="pct"/>
            <w:noWrap/>
            <w:hideMark/>
          </w:tcPr>
          <w:p w14:paraId="4834C658"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200,000.00 </w:t>
            </w:r>
          </w:p>
        </w:tc>
        <w:tc>
          <w:tcPr>
            <w:tcW w:w="1233" w:type="pct"/>
            <w:noWrap/>
            <w:hideMark/>
          </w:tcPr>
          <w:p w14:paraId="2BAA0380"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37B5291F" w14:textId="77777777" w:rsidTr="007645B2">
        <w:trPr>
          <w:trHeight w:val="320"/>
        </w:trPr>
        <w:tc>
          <w:tcPr>
            <w:tcW w:w="1494" w:type="pct"/>
            <w:noWrap/>
            <w:hideMark/>
          </w:tcPr>
          <w:p w14:paraId="3B957858" w14:textId="2B50E786"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 xml:space="preserve">Total </w:t>
            </w:r>
            <w:r w:rsidR="00E7687B" w:rsidRPr="00E7687B">
              <w:rPr>
                <w:rFonts w:ascii="Times New Roman" w:eastAsia="Times New Roman" w:hAnsi="Times New Roman" w:cs="Times New Roman"/>
                <w:b/>
                <w:bCs/>
                <w:color w:val="000000"/>
                <w:sz w:val="24"/>
                <w:szCs w:val="24"/>
              </w:rPr>
              <w:t xml:space="preserve">Non-current </w:t>
            </w:r>
            <w:r w:rsidRPr="00E7687B">
              <w:rPr>
                <w:rFonts w:ascii="Times New Roman" w:eastAsia="Times New Roman" w:hAnsi="Times New Roman" w:cs="Times New Roman"/>
                <w:b/>
                <w:bCs/>
                <w:color w:val="000000"/>
                <w:sz w:val="24"/>
                <w:szCs w:val="24"/>
              </w:rPr>
              <w:t>Liabilities</w:t>
            </w:r>
          </w:p>
        </w:tc>
        <w:tc>
          <w:tcPr>
            <w:tcW w:w="2273" w:type="pct"/>
            <w:noWrap/>
            <w:hideMark/>
          </w:tcPr>
          <w:p w14:paraId="7036AA46"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7C2F2541" w14:textId="77777777"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 xml:space="preserve"> £                    200,000.00 </w:t>
            </w:r>
          </w:p>
        </w:tc>
      </w:tr>
      <w:tr w:rsidR="007645B2" w:rsidRPr="007645B2" w14:paraId="6741FE7C" w14:textId="77777777" w:rsidTr="007645B2">
        <w:trPr>
          <w:trHeight w:val="320"/>
        </w:trPr>
        <w:tc>
          <w:tcPr>
            <w:tcW w:w="1494" w:type="pct"/>
            <w:noWrap/>
            <w:hideMark/>
          </w:tcPr>
          <w:p w14:paraId="3BF76380" w14:textId="77777777" w:rsidR="007645B2" w:rsidRPr="007645B2" w:rsidRDefault="007645B2" w:rsidP="007645B2">
            <w:pPr>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t>Current Liabilities</w:t>
            </w:r>
          </w:p>
        </w:tc>
        <w:tc>
          <w:tcPr>
            <w:tcW w:w="2273" w:type="pct"/>
            <w:noWrap/>
            <w:hideMark/>
          </w:tcPr>
          <w:p w14:paraId="1CB10C27"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4F2C0829"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7BA2023A" w14:textId="77777777" w:rsidTr="007645B2">
        <w:trPr>
          <w:trHeight w:val="320"/>
        </w:trPr>
        <w:tc>
          <w:tcPr>
            <w:tcW w:w="1494" w:type="pct"/>
            <w:noWrap/>
            <w:hideMark/>
          </w:tcPr>
          <w:p w14:paraId="69CCC2F8"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Trade payables</w:t>
            </w:r>
          </w:p>
        </w:tc>
        <w:tc>
          <w:tcPr>
            <w:tcW w:w="2273" w:type="pct"/>
            <w:noWrap/>
            <w:hideMark/>
          </w:tcPr>
          <w:p w14:paraId="6F60A1D2"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188,625.00 </w:t>
            </w:r>
          </w:p>
        </w:tc>
        <w:tc>
          <w:tcPr>
            <w:tcW w:w="1233" w:type="pct"/>
            <w:noWrap/>
            <w:hideMark/>
          </w:tcPr>
          <w:p w14:paraId="692CED8C"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2630E5F1" w14:textId="77777777" w:rsidTr="007645B2">
        <w:trPr>
          <w:trHeight w:val="320"/>
        </w:trPr>
        <w:tc>
          <w:tcPr>
            <w:tcW w:w="1494" w:type="pct"/>
            <w:noWrap/>
            <w:hideMark/>
          </w:tcPr>
          <w:p w14:paraId="113C5A44"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Accrued sales commission</w:t>
            </w:r>
          </w:p>
        </w:tc>
        <w:tc>
          <w:tcPr>
            <w:tcW w:w="2273" w:type="pct"/>
            <w:noWrap/>
            <w:hideMark/>
          </w:tcPr>
          <w:p w14:paraId="535FAB75"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3,000.00 </w:t>
            </w:r>
          </w:p>
        </w:tc>
        <w:tc>
          <w:tcPr>
            <w:tcW w:w="1233" w:type="pct"/>
            <w:noWrap/>
            <w:hideMark/>
          </w:tcPr>
          <w:p w14:paraId="18418FA8"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33193E9B" w14:textId="77777777" w:rsidTr="007645B2">
        <w:trPr>
          <w:trHeight w:val="320"/>
        </w:trPr>
        <w:tc>
          <w:tcPr>
            <w:tcW w:w="1494" w:type="pct"/>
            <w:noWrap/>
            <w:hideMark/>
          </w:tcPr>
          <w:p w14:paraId="3CF21416"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Accrued taxes</w:t>
            </w:r>
          </w:p>
        </w:tc>
        <w:tc>
          <w:tcPr>
            <w:tcW w:w="2273" w:type="pct"/>
            <w:noWrap/>
            <w:hideMark/>
          </w:tcPr>
          <w:p w14:paraId="2DF9590C"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100,000.00 </w:t>
            </w:r>
          </w:p>
        </w:tc>
        <w:tc>
          <w:tcPr>
            <w:tcW w:w="1233" w:type="pct"/>
            <w:noWrap/>
            <w:hideMark/>
          </w:tcPr>
          <w:p w14:paraId="51D9FF05"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54AC4B72" w14:textId="77777777" w:rsidTr="007645B2">
        <w:trPr>
          <w:trHeight w:val="320"/>
        </w:trPr>
        <w:tc>
          <w:tcPr>
            <w:tcW w:w="1494" w:type="pct"/>
            <w:noWrap/>
            <w:hideMark/>
          </w:tcPr>
          <w:p w14:paraId="6A838757" w14:textId="77777777"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Total Current Liabilities</w:t>
            </w:r>
          </w:p>
        </w:tc>
        <w:tc>
          <w:tcPr>
            <w:tcW w:w="2273" w:type="pct"/>
            <w:noWrap/>
            <w:hideMark/>
          </w:tcPr>
          <w:p w14:paraId="52EBF5F0"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4146D027" w14:textId="77777777"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 xml:space="preserve"> £                    291,625.00 </w:t>
            </w:r>
          </w:p>
        </w:tc>
      </w:tr>
      <w:tr w:rsidR="007645B2" w:rsidRPr="007645B2" w14:paraId="43F1E0B2" w14:textId="77777777" w:rsidTr="007645B2">
        <w:trPr>
          <w:trHeight w:val="320"/>
        </w:trPr>
        <w:tc>
          <w:tcPr>
            <w:tcW w:w="1494" w:type="pct"/>
            <w:noWrap/>
            <w:hideMark/>
          </w:tcPr>
          <w:p w14:paraId="70D7481A" w14:textId="77777777"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Total Liabilities</w:t>
            </w:r>
          </w:p>
        </w:tc>
        <w:tc>
          <w:tcPr>
            <w:tcW w:w="2273" w:type="pct"/>
            <w:noWrap/>
            <w:hideMark/>
          </w:tcPr>
          <w:p w14:paraId="0DF5F8AC"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30518F44" w14:textId="77777777" w:rsidR="007645B2" w:rsidRPr="00E7687B" w:rsidRDefault="007645B2" w:rsidP="007645B2">
            <w:pPr>
              <w:rPr>
                <w:rFonts w:ascii="Times New Roman" w:eastAsia="Times New Roman" w:hAnsi="Times New Roman" w:cs="Times New Roman"/>
                <w:b/>
                <w:bCs/>
                <w:color w:val="000000"/>
                <w:sz w:val="24"/>
                <w:szCs w:val="24"/>
              </w:rPr>
            </w:pPr>
            <w:r w:rsidRPr="00E7687B">
              <w:rPr>
                <w:rFonts w:ascii="Times New Roman" w:eastAsia="Times New Roman" w:hAnsi="Times New Roman" w:cs="Times New Roman"/>
                <w:b/>
                <w:bCs/>
                <w:color w:val="000000"/>
                <w:sz w:val="24"/>
                <w:szCs w:val="24"/>
              </w:rPr>
              <w:t xml:space="preserve"> £                    491,625.00 </w:t>
            </w:r>
          </w:p>
        </w:tc>
      </w:tr>
      <w:tr w:rsidR="007645B2" w:rsidRPr="007645B2" w14:paraId="7CE3551D" w14:textId="77777777" w:rsidTr="007645B2">
        <w:trPr>
          <w:trHeight w:val="320"/>
        </w:trPr>
        <w:tc>
          <w:tcPr>
            <w:tcW w:w="1494" w:type="pct"/>
            <w:noWrap/>
            <w:hideMark/>
          </w:tcPr>
          <w:p w14:paraId="3145E0F6" w14:textId="77777777" w:rsidR="007645B2" w:rsidRPr="007645B2" w:rsidRDefault="007645B2" w:rsidP="007645B2">
            <w:pPr>
              <w:rPr>
                <w:rFonts w:ascii="Times New Roman" w:eastAsia="Times New Roman" w:hAnsi="Times New Roman" w:cs="Times New Roman"/>
                <w:b/>
                <w:bCs/>
                <w:color w:val="000000"/>
                <w:sz w:val="24"/>
                <w:szCs w:val="24"/>
                <w:u w:val="single"/>
              </w:rPr>
            </w:pPr>
            <w:r w:rsidRPr="007645B2">
              <w:rPr>
                <w:rFonts w:ascii="Times New Roman" w:eastAsia="Times New Roman" w:hAnsi="Times New Roman" w:cs="Times New Roman"/>
                <w:b/>
                <w:bCs/>
                <w:color w:val="000000"/>
                <w:sz w:val="24"/>
                <w:szCs w:val="24"/>
                <w:u w:val="single"/>
              </w:rPr>
              <w:t>EQUITY</w:t>
            </w:r>
          </w:p>
        </w:tc>
        <w:tc>
          <w:tcPr>
            <w:tcW w:w="2273" w:type="pct"/>
            <w:noWrap/>
            <w:hideMark/>
          </w:tcPr>
          <w:p w14:paraId="60D3FE1B"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w:t>
            </w:r>
          </w:p>
        </w:tc>
        <w:tc>
          <w:tcPr>
            <w:tcW w:w="1233" w:type="pct"/>
            <w:noWrap/>
            <w:hideMark/>
          </w:tcPr>
          <w:p w14:paraId="3FC82940"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1C0C5292" w14:textId="77777777" w:rsidTr="007645B2">
        <w:trPr>
          <w:trHeight w:val="320"/>
        </w:trPr>
        <w:tc>
          <w:tcPr>
            <w:tcW w:w="1494" w:type="pct"/>
            <w:noWrap/>
            <w:hideMark/>
          </w:tcPr>
          <w:p w14:paraId="384523B6"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Ordinary shares</w:t>
            </w:r>
          </w:p>
        </w:tc>
        <w:tc>
          <w:tcPr>
            <w:tcW w:w="2273" w:type="pct"/>
            <w:noWrap/>
            <w:hideMark/>
          </w:tcPr>
          <w:p w14:paraId="4F77BF6E"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1,000,000.00 </w:t>
            </w:r>
          </w:p>
        </w:tc>
        <w:tc>
          <w:tcPr>
            <w:tcW w:w="1233" w:type="pct"/>
            <w:noWrap/>
            <w:hideMark/>
          </w:tcPr>
          <w:p w14:paraId="3FF7AF49"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3F0365AC" w14:textId="77777777" w:rsidTr="007645B2">
        <w:trPr>
          <w:trHeight w:val="320"/>
        </w:trPr>
        <w:tc>
          <w:tcPr>
            <w:tcW w:w="1494" w:type="pct"/>
            <w:noWrap/>
            <w:hideMark/>
          </w:tcPr>
          <w:p w14:paraId="1FC876B8"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Preferences shares</w:t>
            </w:r>
          </w:p>
        </w:tc>
        <w:tc>
          <w:tcPr>
            <w:tcW w:w="2273" w:type="pct"/>
            <w:noWrap/>
            <w:hideMark/>
          </w:tcPr>
          <w:p w14:paraId="687F35DA"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400,000.00 </w:t>
            </w:r>
          </w:p>
        </w:tc>
        <w:tc>
          <w:tcPr>
            <w:tcW w:w="1233" w:type="pct"/>
            <w:noWrap/>
            <w:hideMark/>
          </w:tcPr>
          <w:p w14:paraId="7341D132"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689E36F9" w14:textId="77777777" w:rsidTr="007645B2">
        <w:trPr>
          <w:trHeight w:val="320"/>
        </w:trPr>
        <w:tc>
          <w:tcPr>
            <w:tcW w:w="1494" w:type="pct"/>
            <w:noWrap/>
            <w:hideMark/>
          </w:tcPr>
          <w:p w14:paraId="006050BA"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Retained profits</w:t>
            </w:r>
          </w:p>
        </w:tc>
        <w:tc>
          <w:tcPr>
            <w:tcW w:w="2273" w:type="pct"/>
            <w:noWrap/>
            <w:hideMark/>
          </w:tcPr>
          <w:p w14:paraId="0A05AFDD" w14:textId="77777777" w:rsidR="007645B2" w:rsidRPr="007645B2" w:rsidRDefault="007645B2" w:rsidP="007645B2">
            <w:pPr>
              <w:rPr>
                <w:rFonts w:ascii="Times New Roman" w:eastAsia="Times New Roman" w:hAnsi="Times New Roman" w:cs="Times New Roman"/>
                <w:color w:val="000000"/>
                <w:sz w:val="24"/>
                <w:szCs w:val="24"/>
              </w:rPr>
            </w:pPr>
            <w:r w:rsidRPr="007645B2">
              <w:rPr>
                <w:rFonts w:ascii="Times New Roman" w:eastAsia="Times New Roman" w:hAnsi="Times New Roman" w:cs="Times New Roman"/>
                <w:color w:val="000000"/>
                <w:sz w:val="24"/>
                <w:szCs w:val="24"/>
              </w:rPr>
              <w:t xml:space="preserve"> £                                                       136,330.00 </w:t>
            </w:r>
          </w:p>
        </w:tc>
        <w:tc>
          <w:tcPr>
            <w:tcW w:w="1233" w:type="pct"/>
            <w:noWrap/>
            <w:hideMark/>
          </w:tcPr>
          <w:p w14:paraId="17385EEC" w14:textId="77777777" w:rsidR="007645B2" w:rsidRPr="007645B2" w:rsidRDefault="007645B2" w:rsidP="007645B2">
            <w:pPr>
              <w:rPr>
                <w:rFonts w:ascii="Times New Roman" w:eastAsia="Times New Roman" w:hAnsi="Times New Roman" w:cs="Times New Roman"/>
                <w:color w:val="000000"/>
                <w:sz w:val="24"/>
                <w:szCs w:val="24"/>
              </w:rPr>
            </w:pPr>
          </w:p>
        </w:tc>
      </w:tr>
      <w:tr w:rsidR="007645B2" w:rsidRPr="007645B2" w14:paraId="6805CFD5" w14:textId="77777777" w:rsidTr="007645B2">
        <w:trPr>
          <w:trHeight w:val="320"/>
        </w:trPr>
        <w:tc>
          <w:tcPr>
            <w:tcW w:w="1494" w:type="pct"/>
            <w:noWrap/>
            <w:hideMark/>
          </w:tcPr>
          <w:p w14:paraId="18AFE8B5"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Total Equity</w:t>
            </w:r>
          </w:p>
        </w:tc>
        <w:tc>
          <w:tcPr>
            <w:tcW w:w="2273" w:type="pct"/>
            <w:noWrap/>
            <w:hideMark/>
          </w:tcPr>
          <w:p w14:paraId="2F7F1550"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 </w:t>
            </w:r>
          </w:p>
        </w:tc>
        <w:tc>
          <w:tcPr>
            <w:tcW w:w="1233" w:type="pct"/>
            <w:noWrap/>
            <w:hideMark/>
          </w:tcPr>
          <w:p w14:paraId="39616253"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 xml:space="preserve"> £                 1,536,330.00 </w:t>
            </w:r>
          </w:p>
        </w:tc>
      </w:tr>
      <w:tr w:rsidR="007645B2" w:rsidRPr="007645B2" w14:paraId="439C54CE" w14:textId="77777777" w:rsidTr="007645B2">
        <w:trPr>
          <w:trHeight w:val="320"/>
        </w:trPr>
        <w:tc>
          <w:tcPr>
            <w:tcW w:w="1494" w:type="pct"/>
            <w:noWrap/>
            <w:hideMark/>
          </w:tcPr>
          <w:p w14:paraId="42031BBC"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Total Liabilities and Equity</w:t>
            </w:r>
          </w:p>
        </w:tc>
        <w:tc>
          <w:tcPr>
            <w:tcW w:w="2273" w:type="pct"/>
            <w:noWrap/>
            <w:hideMark/>
          </w:tcPr>
          <w:p w14:paraId="0C4BD0B8"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 </w:t>
            </w:r>
          </w:p>
        </w:tc>
        <w:tc>
          <w:tcPr>
            <w:tcW w:w="1233" w:type="pct"/>
            <w:noWrap/>
            <w:hideMark/>
          </w:tcPr>
          <w:p w14:paraId="5392D904" w14:textId="77777777" w:rsidR="007645B2" w:rsidRPr="00225FBB" w:rsidRDefault="007645B2" w:rsidP="007645B2">
            <w:pPr>
              <w:rPr>
                <w:rFonts w:ascii="Times New Roman" w:eastAsia="Times New Roman" w:hAnsi="Times New Roman" w:cs="Times New Roman"/>
                <w:b/>
                <w:bCs/>
                <w:color w:val="000000"/>
                <w:sz w:val="24"/>
                <w:szCs w:val="24"/>
              </w:rPr>
            </w:pPr>
            <w:r w:rsidRPr="00225FBB">
              <w:rPr>
                <w:rFonts w:ascii="Times New Roman" w:eastAsia="Times New Roman" w:hAnsi="Times New Roman" w:cs="Times New Roman"/>
                <w:b/>
                <w:bCs/>
                <w:color w:val="000000"/>
                <w:sz w:val="24"/>
                <w:szCs w:val="24"/>
              </w:rPr>
              <w:t xml:space="preserve"> £                 2,027,955.00 </w:t>
            </w:r>
          </w:p>
        </w:tc>
      </w:tr>
    </w:tbl>
    <w:p w14:paraId="143D13A0" w14:textId="77777777" w:rsidR="00B078A1" w:rsidRDefault="00B078A1" w:rsidP="00A508ED">
      <w:pPr>
        <w:spacing w:after="0" w:line="480" w:lineRule="auto"/>
        <w:jc w:val="both"/>
        <w:rPr>
          <w:rFonts w:ascii="Times New Roman" w:hAnsi="Times New Roman" w:cs="Times New Roman"/>
          <w:sz w:val="24"/>
          <w:szCs w:val="24"/>
        </w:rPr>
      </w:pPr>
    </w:p>
    <w:p w14:paraId="34D1FBF1" w14:textId="77777777" w:rsidR="004B76FD" w:rsidRDefault="004B76FD" w:rsidP="0018043D">
      <w:pPr>
        <w:spacing w:after="0" w:line="480" w:lineRule="auto"/>
        <w:jc w:val="both"/>
        <w:rPr>
          <w:rFonts w:ascii="Times New Roman" w:hAnsi="Times New Roman" w:cs="Times New Roman"/>
          <w:b/>
          <w:bCs/>
          <w:sz w:val="24"/>
          <w:szCs w:val="24"/>
        </w:rPr>
      </w:pPr>
    </w:p>
    <w:p w14:paraId="05C5101B" w14:textId="77777777" w:rsidR="004B76FD" w:rsidRDefault="004B76FD" w:rsidP="0018043D">
      <w:pPr>
        <w:spacing w:after="0" w:line="480" w:lineRule="auto"/>
        <w:jc w:val="both"/>
        <w:rPr>
          <w:rFonts w:ascii="Times New Roman" w:hAnsi="Times New Roman" w:cs="Times New Roman"/>
          <w:b/>
          <w:bCs/>
          <w:sz w:val="24"/>
          <w:szCs w:val="24"/>
        </w:rPr>
      </w:pPr>
    </w:p>
    <w:p w14:paraId="60E9E92A" w14:textId="1FCB6CBD" w:rsidR="0018043D" w:rsidRPr="004B76FD" w:rsidRDefault="00B078A1" w:rsidP="004B76FD">
      <w:pPr>
        <w:pStyle w:val="Heading1"/>
        <w:rPr>
          <w:rFonts w:ascii="Times New Roman" w:hAnsi="Times New Roman" w:cs="Times New Roman"/>
          <w:b/>
          <w:bCs/>
          <w:color w:val="auto"/>
          <w:sz w:val="28"/>
          <w:szCs w:val="28"/>
        </w:rPr>
      </w:pPr>
      <w:bookmarkStart w:id="2" w:name="_Toc124464366"/>
      <w:r w:rsidRPr="004B76FD">
        <w:rPr>
          <w:rFonts w:ascii="Times New Roman" w:hAnsi="Times New Roman" w:cs="Times New Roman"/>
          <w:b/>
          <w:bCs/>
          <w:color w:val="auto"/>
          <w:sz w:val="28"/>
          <w:szCs w:val="28"/>
        </w:rPr>
        <w:lastRenderedPageBreak/>
        <w:t>Part B: Reasons Why the Statement of Financial Position Balances</w:t>
      </w:r>
      <w:bookmarkEnd w:id="2"/>
    </w:p>
    <w:p w14:paraId="5A174C7A" w14:textId="77777777" w:rsidR="004B76FD" w:rsidRPr="004B76FD" w:rsidRDefault="004B76FD" w:rsidP="004B76FD"/>
    <w:p w14:paraId="4F2EA1FC" w14:textId="690FFA7E" w:rsidR="00B078A1" w:rsidRDefault="0018043D" w:rsidP="00507196">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statement of financial position balances due to the accounting equation. According to Fernando (20</w:t>
      </w:r>
      <w:r w:rsidR="004A23EE">
        <w:rPr>
          <w:rFonts w:ascii="Times New Roman" w:hAnsi="Times New Roman" w:cs="Times New Roman"/>
          <w:sz w:val="24"/>
          <w:szCs w:val="24"/>
        </w:rPr>
        <w:t>19</w:t>
      </w:r>
      <w:r>
        <w:rPr>
          <w:rFonts w:ascii="Times New Roman" w:hAnsi="Times New Roman" w:cs="Times New Roman"/>
          <w:sz w:val="24"/>
          <w:szCs w:val="24"/>
        </w:rPr>
        <w:t xml:space="preserve">), the accounting equation is based on the assumption that the assets of an organization are equal to the sum of the equity and the liabilities of that company. This is a straightforward relationship between the assets, </w:t>
      </w:r>
      <w:r w:rsidR="00151DE0">
        <w:rPr>
          <w:rFonts w:ascii="Times New Roman" w:hAnsi="Times New Roman" w:cs="Times New Roman"/>
          <w:sz w:val="24"/>
          <w:szCs w:val="24"/>
        </w:rPr>
        <w:t>equity,</w:t>
      </w:r>
      <w:r>
        <w:rPr>
          <w:rFonts w:ascii="Times New Roman" w:hAnsi="Times New Roman" w:cs="Times New Roman"/>
          <w:sz w:val="24"/>
          <w:szCs w:val="24"/>
        </w:rPr>
        <w:t xml:space="preserve"> and liabilities of an organization and thus, Fernando (20</w:t>
      </w:r>
      <w:r w:rsidR="004A23EE">
        <w:rPr>
          <w:rFonts w:ascii="Times New Roman" w:hAnsi="Times New Roman" w:cs="Times New Roman"/>
          <w:sz w:val="24"/>
          <w:szCs w:val="24"/>
        </w:rPr>
        <w:t>19</w:t>
      </w:r>
      <w:r>
        <w:rPr>
          <w:rFonts w:ascii="Times New Roman" w:hAnsi="Times New Roman" w:cs="Times New Roman"/>
          <w:sz w:val="24"/>
          <w:szCs w:val="24"/>
        </w:rPr>
        <w:t>) considers it as the basis of the double</w:t>
      </w:r>
      <w:r w:rsidR="007723FA">
        <w:rPr>
          <w:rFonts w:ascii="Times New Roman" w:hAnsi="Times New Roman" w:cs="Times New Roman"/>
          <w:sz w:val="24"/>
          <w:szCs w:val="24"/>
        </w:rPr>
        <w:t>-</w:t>
      </w:r>
      <w:r>
        <w:rPr>
          <w:rFonts w:ascii="Times New Roman" w:hAnsi="Times New Roman" w:cs="Times New Roman"/>
          <w:sz w:val="24"/>
          <w:szCs w:val="24"/>
        </w:rPr>
        <w:t>entry accounting system. As per Fernando (20</w:t>
      </w:r>
      <w:r w:rsidR="004A23EE">
        <w:rPr>
          <w:rFonts w:ascii="Times New Roman" w:hAnsi="Times New Roman" w:cs="Times New Roman"/>
          <w:sz w:val="24"/>
          <w:szCs w:val="24"/>
        </w:rPr>
        <w:t>19</w:t>
      </w:r>
      <w:r>
        <w:rPr>
          <w:rFonts w:ascii="Times New Roman" w:hAnsi="Times New Roman" w:cs="Times New Roman"/>
          <w:sz w:val="24"/>
          <w:szCs w:val="24"/>
        </w:rPr>
        <w:t xml:space="preserve">), the accounting equation ensures that the balance sheet remains balanced since each entry made on the debit side must have a corresponding entry on the credit side. </w:t>
      </w:r>
    </w:p>
    <w:p w14:paraId="6A268763" w14:textId="312FE121" w:rsidR="0018043D" w:rsidRDefault="00192313" w:rsidP="00507196">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0007995" wp14:editId="62E2CAFE">
                <wp:simplePos x="0" y="0"/>
                <wp:positionH relativeFrom="column">
                  <wp:posOffset>3943350</wp:posOffset>
                </wp:positionH>
                <wp:positionV relativeFrom="paragraph">
                  <wp:posOffset>2594610</wp:posOffset>
                </wp:positionV>
                <wp:extent cx="76200" cy="285750"/>
                <wp:effectExtent l="0" t="0" r="57150" b="57150"/>
                <wp:wrapNone/>
                <wp:docPr id="5" name="Connector: Elbow 5"/>
                <wp:cNvGraphicFramePr/>
                <a:graphic xmlns:a="http://schemas.openxmlformats.org/drawingml/2006/main">
                  <a:graphicData uri="http://schemas.microsoft.com/office/word/2010/wordprocessingShape">
                    <wps:wsp>
                      <wps:cNvCnPr/>
                      <wps:spPr>
                        <a:xfrm>
                          <a:off x="0" y="0"/>
                          <a:ext cx="76200" cy="285750"/>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0B3487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 o:spid="_x0000_s1026" type="#_x0000_t34" style="position:absolute;margin-left:310.5pt;margin-top:204.3pt;width:6pt;height:2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" strokecolor="black [3200]" strokeweight="1.5pt">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101C852" wp14:editId="544406FE">
                <wp:simplePos x="0" y="0"/>
                <wp:positionH relativeFrom="column">
                  <wp:posOffset>1860550</wp:posOffset>
                </wp:positionH>
                <wp:positionV relativeFrom="paragraph">
                  <wp:posOffset>2556510</wp:posOffset>
                </wp:positionV>
                <wp:extent cx="184150" cy="254000"/>
                <wp:effectExtent l="0" t="76200" r="0" b="31750"/>
                <wp:wrapNone/>
                <wp:docPr id="4" name="Connector: Elbow 4"/>
                <wp:cNvGraphicFramePr/>
                <a:graphic xmlns:a="http://schemas.openxmlformats.org/drawingml/2006/main">
                  <a:graphicData uri="http://schemas.microsoft.com/office/word/2010/wordprocessingShape">
                    <wps:wsp>
                      <wps:cNvCnPr/>
                      <wps:spPr>
                        <a:xfrm flipV="1">
                          <a:off x="0" y="0"/>
                          <a:ext cx="184150" cy="254000"/>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2D0CEAC" id="Connector: Elbow 4" o:spid="_x0000_s1026" type="#_x0000_t34" style="position:absolute;margin-left:146.5pt;margin-top:201.3pt;width:14.5pt;height:20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" strokecolor="black [3200]" strokeweight="1.5pt">
                <v:stroke endarrow="block"/>
              </v:shape>
            </w:pict>
          </mc:Fallback>
        </mc:AlternateContent>
      </w:r>
      <w:proofErr w:type="spellStart"/>
      <w:r>
        <w:rPr>
          <w:rFonts w:ascii="Times New Roman" w:hAnsi="Times New Roman" w:cs="Times New Roman"/>
          <w:sz w:val="24"/>
          <w:szCs w:val="24"/>
        </w:rPr>
        <w:t>Warsono</w:t>
      </w:r>
      <w:proofErr w:type="spellEnd"/>
      <w:r>
        <w:rPr>
          <w:rFonts w:ascii="Times New Roman" w:hAnsi="Times New Roman" w:cs="Times New Roman"/>
          <w:sz w:val="24"/>
          <w:szCs w:val="24"/>
        </w:rPr>
        <w:t xml:space="preserve"> (2017) studied “the accounting equation and the theory of double</w:t>
      </w:r>
      <w:r w:rsidR="007723FA">
        <w:rPr>
          <w:rFonts w:ascii="Times New Roman" w:hAnsi="Times New Roman" w:cs="Times New Roman"/>
          <w:sz w:val="24"/>
          <w:szCs w:val="24"/>
        </w:rPr>
        <w:t>-</w:t>
      </w:r>
      <w:r>
        <w:rPr>
          <w:rFonts w:ascii="Times New Roman" w:hAnsi="Times New Roman" w:cs="Times New Roman"/>
          <w:sz w:val="24"/>
          <w:szCs w:val="24"/>
        </w:rPr>
        <w:t xml:space="preserve">entry bookkeeping”. By studying the law of funds, </w:t>
      </w:r>
      <w:proofErr w:type="spellStart"/>
      <w:r>
        <w:rPr>
          <w:rFonts w:ascii="Times New Roman" w:hAnsi="Times New Roman" w:cs="Times New Roman"/>
          <w:sz w:val="24"/>
          <w:szCs w:val="24"/>
        </w:rPr>
        <w:t>Warsono</w:t>
      </w:r>
      <w:proofErr w:type="spellEnd"/>
      <w:r>
        <w:rPr>
          <w:rFonts w:ascii="Times New Roman" w:hAnsi="Times New Roman" w:cs="Times New Roman"/>
          <w:sz w:val="24"/>
          <w:szCs w:val="24"/>
        </w:rPr>
        <w:t xml:space="preserve"> (2017) was able to determine that the balance sheet balances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accounting equation being intertwined with the double</w:t>
      </w:r>
      <w:r w:rsidR="007723FA">
        <w:rPr>
          <w:rFonts w:ascii="Times New Roman" w:hAnsi="Times New Roman" w:cs="Times New Roman"/>
          <w:sz w:val="24"/>
          <w:szCs w:val="24"/>
        </w:rPr>
        <w:t>-</w:t>
      </w:r>
      <w:r>
        <w:rPr>
          <w:rFonts w:ascii="Times New Roman" w:hAnsi="Times New Roman" w:cs="Times New Roman"/>
          <w:sz w:val="24"/>
          <w:szCs w:val="24"/>
        </w:rPr>
        <w:t xml:space="preserve">entry bookkeeping concept. The law of funds was based on two principles. One </w:t>
      </w:r>
      <w:r w:rsidR="007723FA">
        <w:rPr>
          <w:rFonts w:ascii="Times New Roman" w:hAnsi="Times New Roman" w:cs="Times New Roman"/>
          <w:sz w:val="24"/>
          <w:szCs w:val="24"/>
        </w:rPr>
        <w:t>is</w:t>
      </w:r>
      <w:r>
        <w:rPr>
          <w:rFonts w:ascii="Times New Roman" w:hAnsi="Times New Roman" w:cs="Times New Roman"/>
          <w:sz w:val="24"/>
          <w:szCs w:val="24"/>
        </w:rPr>
        <w:t xml:space="preserve"> the use of funds and the other </w:t>
      </w:r>
      <w:r w:rsidR="007723FA">
        <w:rPr>
          <w:rFonts w:ascii="Times New Roman" w:hAnsi="Times New Roman" w:cs="Times New Roman"/>
          <w:sz w:val="24"/>
          <w:szCs w:val="24"/>
        </w:rPr>
        <w:t>is</w:t>
      </w:r>
      <w:r>
        <w:rPr>
          <w:rFonts w:ascii="Times New Roman" w:hAnsi="Times New Roman" w:cs="Times New Roman"/>
          <w:sz w:val="24"/>
          <w:szCs w:val="24"/>
        </w:rPr>
        <w:t xml:space="preserve"> the source of funds (</w:t>
      </w:r>
      <w:proofErr w:type="spellStart"/>
      <w:r>
        <w:rPr>
          <w:rFonts w:ascii="Times New Roman" w:hAnsi="Times New Roman" w:cs="Times New Roman"/>
          <w:sz w:val="24"/>
          <w:szCs w:val="24"/>
        </w:rPr>
        <w:t>Warsono</w:t>
      </w:r>
      <w:proofErr w:type="spellEnd"/>
      <w:r>
        <w:rPr>
          <w:rFonts w:ascii="Times New Roman" w:hAnsi="Times New Roman" w:cs="Times New Roman"/>
          <w:sz w:val="24"/>
          <w:szCs w:val="24"/>
        </w:rPr>
        <w:t xml:space="preserve">, 2017). According to </w:t>
      </w:r>
      <w:proofErr w:type="spellStart"/>
      <w:r>
        <w:rPr>
          <w:rFonts w:ascii="Times New Roman" w:hAnsi="Times New Roman" w:cs="Times New Roman"/>
          <w:sz w:val="24"/>
          <w:szCs w:val="24"/>
        </w:rPr>
        <w:t>Warsono</w:t>
      </w:r>
      <w:proofErr w:type="spellEnd"/>
      <w:r>
        <w:rPr>
          <w:rFonts w:ascii="Times New Roman" w:hAnsi="Times New Roman" w:cs="Times New Roman"/>
          <w:sz w:val="24"/>
          <w:szCs w:val="24"/>
        </w:rPr>
        <w:t xml:space="preserve"> (2017), the accounting equation involves the use of funds (assets) and the sources of funds (liabilities and equity), as depicted in the equation below.</w:t>
      </w:r>
    </w:p>
    <w:p w14:paraId="1F12EA6D" w14:textId="519DFFC8" w:rsidR="00192313" w:rsidRPr="00192313" w:rsidRDefault="00192313" w:rsidP="00507196">
      <w:pPr>
        <w:spacing w:after="0" w:line="480" w:lineRule="auto"/>
        <w:ind w:firstLine="720"/>
        <w:jc w:val="both"/>
        <w:rPr>
          <w:rFonts w:ascii="Times New Roman" w:eastAsiaTheme="minorEastAsia" w:hAnsi="Times New Roman" w:cs="Times New Roman"/>
          <w:sz w:val="24"/>
          <w:szCs w:val="24"/>
        </w:rPr>
      </w:pPr>
      <m:oMathPara>
        <m:oMath>
          <m:r>
            <w:rPr>
              <w:rFonts w:ascii="Cambria Math" w:hAnsi="Cambria Math" w:cs="Times New Roman"/>
              <w:sz w:val="24"/>
              <w:szCs w:val="24"/>
            </w:rPr>
            <m:t>Assets=Liabilities+Equity</m:t>
          </m:r>
        </m:oMath>
      </m:oMathPara>
    </w:p>
    <w:p w14:paraId="356A89BA" w14:textId="6E517DC1" w:rsidR="00192313" w:rsidRDefault="00192313" w:rsidP="00507196">
      <w:pPr>
        <w:spacing w:after="0" w:line="480" w:lineRule="auto"/>
        <w:ind w:firstLine="720"/>
        <w:jc w:val="both"/>
        <w:rPr>
          <w:rFonts w:ascii="Times New Roman" w:eastAsiaTheme="minorEastAsia"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2DF8E39B" wp14:editId="0E33D772">
                <wp:simplePos x="0" y="0"/>
                <wp:positionH relativeFrom="column">
                  <wp:posOffset>2736850</wp:posOffset>
                </wp:positionH>
                <wp:positionV relativeFrom="paragraph">
                  <wp:posOffset>50800</wp:posOffset>
                </wp:positionV>
                <wp:extent cx="1377950" cy="533400"/>
                <wp:effectExtent l="0" t="0" r="12700" b="19050"/>
                <wp:wrapNone/>
                <wp:docPr id="2" name="Text Box 2"/>
                <wp:cNvGraphicFramePr/>
                <a:graphic xmlns:a="http://schemas.openxmlformats.org/drawingml/2006/main">
                  <a:graphicData uri="http://schemas.microsoft.com/office/word/2010/wordprocessingShape">
                    <wps:wsp>
                      <wps:cNvSpPr txBox="1"/>
                      <wps:spPr>
                        <a:xfrm>
                          <a:off x="0" y="0"/>
                          <a:ext cx="1377950" cy="533400"/>
                        </a:xfrm>
                        <a:prstGeom prst="rect">
                          <a:avLst/>
                        </a:prstGeom>
                        <a:noFill/>
                        <a:ln w="6350">
                          <a:solidFill>
                            <a:prstClr val="black"/>
                          </a:solidFill>
                        </a:ln>
                      </wps:spPr>
                      <wps:txbx>
                        <w:txbxContent>
                          <w:p w14:paraId="16FAA153" w14:textId="030C2747" w:rsidR="00192313" w:rsidRPr="00192313" w:rsidRDefault="00192313">
                            <w:pPr>
                              <w:rPr>
                                <w:rFonts w:ascii="Times New Roman" w:hAnsi="Times New Roman" w:cs="Times New Roman"/>
                                <w:sz w:val="24"/>
                                <w:szCs w:val="24"/>
                              </w:rPr>
                            </w:pPr>
                            <w:r>
                              <w:rPr>
                                <w:rFonts w:ascii="Times New Roman" w:hAnsi="Times New Roman" w:cs="Times New Roman"/>
                                <w:sz w:val="24"/>
                                <w:szCs w:val="24"/>
                              </w:rPr>
                              <w:t>Sources</w:t>
                            </w:r>
                            <w:r w:rsidRPr="00192313">
                              <w:rPr>
                                <w:rFonts w:ascii="Times New Roman" w:hAnsi="Times New Roman" w:cs="Times New Roman"/>
                                <w:sz w:val="24"/>
                                <w:szCs w:val="24"/>
                              </w:rPr>
                              <w:t xml:space="preserve"> of funds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DF8E39B" id="_x0000_t202" coordsize="21600,21600" o:spt="202" path="m,l,21600r21600,l21600,xe">
                <v:stroke joinstyle="miter"/>
                <v:path gradientshapeok="t" o:connecttype="rect"/>
              </v:shapetype>
              <v:shape id="Text Box 2" o:spid="_x0000_s1026" type="#_x0000_t202" style="position:absolute;left:0;text-align:left;margin-left:215.5pt;margin-top:4pt;width:108.5pt;height:4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" filled="f" strokeweight=".5pt">
                <v:textbox>
                  <w:txbxContent>
                    <w:p w14:paraId="16FAA153" w14:textId="030C2747" w:rsidR="00192313" w:rsidRPr="00192313" w:rsidRDefault="00192313">
                      <w:pPr>
                        <w:rPr>
                          <w:rFonts w:ascii="Times New Roman" w:hAnsi="Times New Roman" w:cs="Times New Roman"/>
                          <w:sz w:val="24"/>
                          <w:szCs w:val="24"/>
                        </w:rPr>
                      </w:pPr>
                      <w:r>
                        <w:rPr>
                          <w:rFonts w:ascii="Times New Roman" w:hAnsi="Times New Roman" w:cs="Times New Roman"/>
                          <w:sz w:val="24"/>
                          <w:szCs w:val="24"/>
                        </w:rPr>
                        <w:t>Sources</w:t>
                      </w:r>
                      <w:r w:rsidRPr="00192313">
                        <w:rPr>
                          <w:rFonts w:ascii="Times New Roman" w:hAnsi="Times New Roman" w:cs="Times New Roman"/>
                          <w:sz w:val="24"/>
                          <w:szCs w:val="24"/>
                        </w:rPr>
                        <w:t xml:space="preserve"> of funds</w:t>
                      </w:r>
                    </w:p>
                  </w:txbxContent>
                </v:textbox>
              </v:shape>
            </w:pict>
          </mc:Fallback>
        </mc:AlternateContent>
      </w:r>
      <w:r>
        <w:rPr>
          <w:rFonts w:ascii="Times New Roman" w:eastAsiaTheme="minorEastAsia" w:hAnsi="Times New Roman" w:cs="Times New Roman"/>
          <w:noProof/>
          <w:sz w:val="24"/>
          <w:szCs w:val="24"/>
        </w:rPr>
        <mc:AlternateContent>
          <mc:Choice Requires="wps">
            <w:drawing>
              <wp:anchor distT="0" distB="0" distL="114300" distR="114300" simplePos="0" relativeHeight="251659264" behindDoc="0" locked="0" layoutInCell="1" allowOverlap="1" wp14:anchorId="25E0BFB6" wp14:editId="1CB4AC07">
                <wp:simplePos x="0" y="0"/>
                <wp:positionH relativeFrom="column">
                  <wp:posOffset>1428750</wp:posOffset>
                </wp:positionH>
                <wp:positionV relativeFrom="paragraph">
                  <wp:posOffset>0</wp:posOffset>
                </wp:positionV>
                <wp:extent cx="869950" cy="53340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869950" cy="533400"/>
                        </a:xfrm>
                        <a:prstGeom prst="rect">
                          <a:avLst/>
                        </a:prstGeom>
                        <a:solidFill>
                          <a:schemeClr val="lt1"/>
                        </a:solidFill>
                        <a:ln w="6350">
                          <a:solidFill>
                            <a:prstClr val="black"/>
                          </a:solidFill>
                        </a:ln>
                      </wps:spPr>
                      <wps:txbx>
                        <w:txbxContent>
                          <w:p w14:paraId="5906F3FD" w14:textId="026F9B6C" w:rsidR="00192313" w:rsidRPr="00192313" w:rsidRDefault="00192313">
                            <w:pPr>
                              <w:rPr>
                                <w:rFonts w:ascii="Times New Roman" w:hAnsi="Times New Roman" w:cs="Times New Roman"/>
                                <w:sz w:val="24"/>
                                <w:szCs w:val="24"/>
                              </w:rPr>
                            </w:pPr>
                            <w:r w:rsidRPr="00192313">
                              <w:rPr>
                                <w:rFonts w:ascii="Times New Roman" w:hAnsi="Times New Roman" w:cs="Times New Roman"/>
                                <w:sz w:val="24"/>
                                <w:szCs w:val="24"/>
                              </w:rPr>
                              <w:t>Uses of funds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E0BFB6" id="Text Box 1" o:spid="_x0000_s1027" type="#_x0000_t202" style="position:absolute;left:0;text-align:left;margin-left:112.5pt;margin-top:0;width:68.5pt;height: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" fillcolor="white [3201]" strokeweight=".5pt">
                <v:textbox>
                  <w:txbxContent>
                    <w:p w14:paraId="5906F3FD" w14:textId="026F9B6C" w:rsidR="00192313" w:rsidRPr="00192313" w:rsidRDefault="00192313">
                      <w:pPr>
                        <w:rPr>
                          <w:rFonts w:ascii="Times New Roman" w:hAnsi="Times New Roman" w:cs="Times New Roman"/>
                          <w:sz w:val="24"/>
                          <w:szCs w:val="24"/>
                        </w:rPr>
                      </w:pPr>
                      <w:r w:rsidRPr="00192313">
                        <w:rPr>
                          <w:rFonts w:ascii="Times New Roman" w:hAnsi="Times New Roman" w:cs="Times New Roman"/>
                          <w:sz w:val="24"/>
                          <w:szCs w:val="24"/>
                        </w:rPr>
                        <w:t>Uses of funds</w:t>
                      </w:r>
                    </w:p>
                  </w:txbxContent>
                </v:textbox>
              </v:shape>
            </w:pict>
          </mc:Fallback>
        </mc:AlternateContent>
      </w:r>
    </w:p>
    <w:p w14:paraId="28B53557" w14:textId="4ACC22F2" w:rsidR="00192313" w:rsidRDefault="00192313" w:rsidP="00507196">
      <w:pPr>
        <w:spacing w:after="0" w:line="480" w:lineRule="auto"/>
        <w:ind w:firstLine="720"/>
        <w:jc w:val="both"/>
        <w:rPr>
          <w:rFonts w:ascii="Times New Roman" w:eastAsiaTheme="minorEastAsia" w:hAnsi="Times New Roman" w:cs="Times New Roman"/>
          <w:sz w:val="24"/>
          <w:szCs w:val="24"/>
        </w:rPr>
      </w:pPr>
    </w:p>
    <w:p w14:paraId="1AFD4340" w14:textId="6FF859D6" w:rsidR="0018043D" w:rsidRDefault="00672085" w:rsidP="00672085">
      <w:pPr>
        <w:spacing w:after="0" w:line="480" w:lineRule="auto"/>
        <w:ind w:firstLine="720"/>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algebraic equation above for the law of funds must always hold, which means that the accounting transactions need to maintain a balance. In case of imbalances, it is evident that an error has been made. This is because anything that has a debit must have a credit on the other side of the accounting equation. For example, if an organization purchased furniture on credit, the assets would be debited, which would increase and thus, this would result in an increase in the accounts </w:t>
      </w:r>
      <w:r>
        <w:rPr>
          <w:rFonts w:ascii="Times New Roman" w:eastAsiaTheme="minorEastAsia" w:hAnsi="Times New Roman" w:cs="Times New Roman"/>
          <w:sz w:val="24"/>
          <w:szCs w:val="24"/>
        </w:rPr>
        <w:lastRenderedPageBreak/>
        <w:t>payable (liabilities) of the business. Another example would be whe</w:t>
      </w:r>
      <w:r w:rsidR="007723FA">
        <w:rPr>
          <w:rFonts w:ascii="Times New Roman" w:eastAsiaTheme="minorEastAsia" w:hAnsi="Times New Roman" w:cs="Times New Roman"/>
          <w:sz w:val="24"/>
          <w:szCs w:val="24"/>
        </w:rPr>
        <w:t>n</w:t>
      </w:r>
      <w:r>
        <w:rPr>
          <w:rFonts w:ascii="Times New Roman" w:eastAsiaTheme="minorEastAsia" w:hAnsi="Times New Roman" w:cs="Times New Roman"/>
          <w:sz w:val="24"/>
          <w:szCs w:val="24"/>
        </w:rPr>
        <w:t xml:space="preserve"> the management injected capital into the business. This would </w:t>
      </w:r>
      <w:r w:rsidR="007723FA">
        <w:rPr>
          <w:rFonts w:ascii="Times New Roman" w:eastAsiaTheme="minorEastAsia" w:hAnsi="Times New Roman" w:cs="Times New Roman"/>
          <w:sz w:val="24"/>
          <w:szCs w:val="24"/>
        </w:rPr>
        <w:t>increase</w:t>
      </w:r>
      <w:r>
        <w:rPr>
          <w:rFonts w:ascii="Times New Roman" w:eastAsiaTheme="minorEastAsia" w:hAnsi="Times New Roman" w:cs="Times New Roman"/>
          <w:sz w:val="24"/>
          <w:szCs w:val="24"/>
        </w:rPr>
        <w:t xml:space="preserve"> the equity, which would affect the bank balances and thus, the assets would also increase. </w:t>
      </w:r>
    </w:p>
    <w:p w14:paraId="773382FA" w14:textId="77777777" w:rsidR="004B76FD" w:rsidRPr="00672085" w:rsidRDefault="004B76FD" w:rsidP="004B76FD">
      <w:pPr>
        <w:spacing w:after="0" w:line="480" w:lineRule="auto"/>
        <w:jc w:val="both"/>
        <w:rPr>
          <w:rFonts w:ascii="Times New Roman" w:eastAsiaTheme="minorEastAsia" w:hAnsi="Times New Roman" w:cs="Times New Roman"/>
          <w:sz w:val="24"/>
          <w:szCs w:val="24"/>
        </w:rPr>
      </w:pPr>
    </w:p>
    <w:p w14:paraId="39935F20" w14:textId="60FE8F90" w:rsidR="00B078A1" w:rsidRPr="004B76FD" w:rsidRDefault="00B078A1" w:rsidP="004B76FD">
      <w:pPr>
        <w:pStyle w:val="Heading1"/>
        <w:jc w:val="center"/>
        <w:rPr>
          <w:rFonts w:ascii="Times New Roman" w:hAnsi="Times New Roman" w:cs="Times New Roman"/>
          <w:b/>
          <w:bCs/>
          <w:color w:val="auto"/>
          <w:sz w:val="28"/>
          <w:szCs w:val="28"/>
        </w:rPr>
      </w:pPr>
      <w:bookmarkStart w:id="3" w:name="_Toc124464367"/>
      <w:r w:rsidRPr="004B76FD">
        <w:rPr>
          <w:rFonts w:ascii="Times New Roman" w:hAnsi="Times New Roman" w:cs="Times New Roman"/>
          <w:b/>
          <w:bCs/>
          <w:color w:val="auto"/>
          <w:sz w:val="28"/>
          <w:szCs w:val="28"/>
        </w:rPr>
        <w:t>Question 2</w:t>
      </w:r>
      <w:bookmarkEnd w:id="3"/>
    </w:p>
    <w:p w14:paraId="20D66AAB" w14:textId="5CD89693" w:rsidR="00B078A1" w:rsidRPr="004B76FD" w:rsidRDefault="00B078A1" w:rsidP="004B76FD">
      <w:pPr>
        <w:pStyle w:val="Heading1"/>
        <w:rPr>
          <w:rFonts w:ascii="Times New Roman" w:hAnsi="Times New Roman" w:cs="Times New Roman"/>
          <w:b/>
          <w:bCs/>
          <w:color w:val="auto"/>
          <w:sz w:val="28"/>
          <w:szCs w:val="28"/>
        </w:rPr>
      </w:pPr>
      <w:bookmarkStart w:id="4" w:name="_Toc124464368"/>
      <w:r w:rsidRPr="004B76FD">
        <w:rPr>
          <w:rFonts w:ascii="Times New Roman" w:hAnsi="Times New Roman" w:cs="Times New Roman"/>
          <w:b/>
          <w:bCs/>
          <w:color w:val="auto"/>
          <w:sz w:val="28"/>
          <w:szCs w:val="28"/>
        </w:rPr>
        <w:t>Part A: Financial Ratio Analysis of Sweets Plc. for 2021 and 2020</w:t>
      </w:r>
      <w:bookmarkEnd w:id="4"/>
    </w:p>
    <w:p w14:paraId="7C156FB9" w14:textId="77777777" w:rsidR="004B76FD" w:rsidRPr="004B76FD" w:rsidRDefault="004B76FD" w:rsidP="004B76FD"/>
    <w:p w14:paraId="09F592E2" w14:textId="77AEA38E" w:rsidR="00B078A1" w:rsidRPr="00205B7A" w:rsidRDefault="00B078A1" w:rsidP="00B078A1">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ROCE</w:t>
      </w:r>
    </w:p>
    <w:p w14:paraId="01C574FA" w14:textId="47FB4647" w:rsidR="00B078A1" w:rsidRPr="00205B7A" w:rsidRDefault="00FD188E" w:rsidP="00B078A1">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 xml:space="preserve">Return on Capital Employed </m:t>
          </m:r>
          <m:d>
            <m:dPr>
              <m:ctrlPr>
                <w:rPr>
                  <w:rFonts w:ascii="Cambria Math" w:hAnsi="Cambria Math" w:cs="Times New Roman"/>
                  <w:i/>
                  <w:sz w:val="24"/>
                  <w:szCs w:val="24"/>
                </w:rPr>
              </m:ctrlPr>
            </m:dPr>
            <m:e>
              <m:r>
                <w:rPr>
                  <w:rFonts w:ascii="Cambria Math" w:hAnsi="Cambria Math" w:cs="Times New Roman"/>
                  <w:sz w:val="24"/>
                  <w:szCs w:val="24"/>
                </w:rPr>
                <m:t>ROCE</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Earnings Before Interest and Taxes</m:t>
              </m:r>
            </m:num>
            <m:den>
              <m:r>
                <w:rPr>
                  <w:rFonts w:ascii="Cambria Math" w:hAnsi="Cambria Math" w:cs="Times New Roman"/>
                  <w:sz w:val="24"/>
                  <w:szCs w:val="24"/>
                </w:rPr>
                <m:t>Capital Employed</m:t>
              </m:r>
            </m:den>
          </m:f>
          <m:r>
            <w:rPr>
              <w:rFonts w:ascii="Cambria Math" w:hAnsi="Cambria Math" w:cs="Times New Roman"/>
              <w:sz w:val="24"/>
              <w:szCs w:val="24"/>
            </w:rPr>
            <m:t>×100</m:t>
          </m:r>
        </m:oMath>
      </m:oMathPara>
    </w:p>
    <w:p w14:paraId="456BEA57" w14:textId="63E1E23A" w:rsidR="00FD188E" w:rsidRPr="00205B7A" w:rsidRDefault="00FD188E" w:rsidP="00B078A1">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Capital Employed for 2021=Total Assets for 2021-Current Liabilities for 2021= £9,736-£2,511=£7,225</m:t>
          </m:r>
        </m:oMath>
      </m:oMathPara>
    </w:p>
    <w:p w14:paraId="4C91ABF5" w14:textId="725F2DFF" w:rsidR="00FD188E" w:rsidRPr="00205B7A" w:rsidRDefault="00FD188E" w:rsidP="00B078A1">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Capital Employed for 2020=Total Assets for 2020-Current Liabilities for 2020=£10,087-£3,046=£7,041</m:t>
          </m:r>
        </m:oMath>
      </m:oMathPara>
    </w:p>
    <w:p w14:paraId="7EF7F555" w14:textId="36BE4BEC" w:rsidR="00B81D6B" w:rsidRPr="00205B7A" w:rsidRDefault="00FD188E" w:rsidP="00B078A1">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ROCE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£620</m:t>
              </m:r>
            </m:num>
            <m:den>
              <m:r>
                <w:rPr>
                  <w:rFonts w:ascii="Cambria Math" w:eastAsiaTheme="minorEastAsia" w:hAnsi="Cambria Math" w:cs="Times New Roman"/>
                  <w:sz w:val="24"/>
                  <w:szCs w:val="24"/>
                </w:rPr>
                <m:t>£7,225</m:t>
              </m:r>
            </m:den>
          </m:f>
          <m:r>
            <w:rPr>
              <w:rFonts w:ascii="Cambria Math" w:eastAsiaTheme="minorEastAsia" w:hAnsi="Cambria Math" w:cs="Times New Roman"/>
              <w:sz w:val="24"/>
              <w:szCs w:val="24"/>
            </w:rPr>
            <m:t>×100=</m:t>
          </m:r>
          <m:r>
            <w:rPr>
              <w:rFonts w:ascii="Cambria Math" w:eastAsiaTheme="minorEastAsia" w:hAnsi="Cambria Math" w:cs="Times New Roman"/>
              <w:sz w:val="24"/>
              <w:szCs w:val="24"/>
            </w:rPr>
            <m:t>8</m:t>
          </m:r>
          <m:r>
            <w:rPr>
              <w:rFonts w:ascii="Cambria Math" w:eastAsiaTheme="minorEastAsia" w:hAnsi="Cambria Math" w:cs="Times New Roman"/>
              <w:sz w:val="24"/>
              <w:szCs w:val="24"/>
            </w:rPr>
            <m:t>.</m:t>
          </m:r>
          <m:r>
            <w:rPr>
              <w:rFonts w:ascii="Cambria Math" w:eastAsiaTheme="minorEastAsia" w:hAnsi="Cambria Math" w:cs="Times New Roman"/>
              <w:sz w:val="24"/>
              <w:szCs w:val="24"/>
            </w:rPr>
            <m:t>58</m:t>
          </m:r>
          <m:r>
            <w:rPr>
              <w:rFonts w:ascii="Cambria Math" w:eastAsiaTheme="minorEastAsia" w:hAnsi="Cambria Math" w:cs="Times New Roman"/>
              <w:sz w:val="24"/>
              <w:szCs w:val="24"/>
            </w:rPr>
            <m:t>%</m:t>
          </m:r>
        </m:oMath>
      </m:oMathPara>
    </w:p>
    <w:p w14:paraId="487496BB" w14:textId="25A017BA" w:rsidR="00FD188E" w:rsidRPr="00205B7A" w:rsidRDefault="00B81D6B" w:rsidP="00B078A1">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ROCE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£539</m:t>
              </m:r>
            </m:num>
            <m:den>
              <m:r>
                <w:rPr>
                  <w:rFonts w:ascii="Cambria Math" w:eastAsiaTheme="minorEastAsia" w:hAnsi="Cambria Math" w:cs="Times New Roman"/>
                  <w:sz w:val="24"/>
                  <w:szCs w:val="24"/>
                </w:rPr>
                <m:t>£7,041</m:t>
              </m:r>
            </m:den>
          </m:f>
          <m:r>
            <w:rPr>
              <w:rFonts w:ascii="Cambria Math" w:eastAsiaTheme="minorEastAsia" w:hAnsi="Cambria Math" w:cs="Times New Roman"/>
              <w:sz w:val="24"/>
              <w:szCs w:val="24"/>
            </w:rPr>
            <m:t>×100=</m:t>
          </m:r>
          <m:r>
            <w:rPr>
              <w:rFonts w:ascii="Cambria Math" w:eastAsiaTheme="minorEastAsia" w:hAnsi="Cambria Math" w:cs="Times New Roman"/>
              <w:sz w:val="24"/>
              <w:szCs w:val="24"/>
            </w:rPr>
            <m:t>7</m:t>
          </m:r>
          <m:r>
            <w:rPr>
              <w:rFonts w:ascii="Cambria Math" w:eastAsiaTheme="minorEastAsia" w:hAnsi="Cambria Math" w:cs="Times New Roman"/>
              <w:sz w:val="24"/>
              <w:szCs w:val="24"/>
            </w:rPr>
            <m:t>.</m:t>
          </m:r>
          <m:r>
            <w:rPr>
              <w:rFonts w:ascii="Cambria Math" w:eastAsiaTheme="minorEastAsia" w:hAnsi="Cambria Math" w:cs="Times New Roman"/>
              <w:sz w:val="24"/>
              <w:szCs w:val="24"/>
            </w:rPr>
            <m:t>66</m:t>
          </m:r>
          <m:r>
            <w:rPr>
              <w:rFonts w:ascii="Cambria Math" w:eastAsiaTheme="minorEastAsia" w:hAnsi="Cambria Math" w:cs="Times New Roman"/>
              <w:sz w:val="24"/>
              <w:szCs w:val="24"/>
            </w:rPr>
            <m:t xml:space="preserve">% </m:t>
          </m:r>
        </m:oMath>
      </m:oMathPara>
    </w:p>
    <w:p w14:paraId="7654B648" w14:textId="0DC3DA2D"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ROE</w:t>
      </w:r>
    </w:p>
    <w:p w14:paraId="2D95B5A8" w14:textId="45F9FCC3" w:rsidR="00B81D6B" w:rsidRPr="00205B7A" w:rsidRDefault="00B81D6B" w:rsidP="00B81D6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Return on Equity (ROE)=</m:t>
          </m:r>
          <m:f>
            <m:fPr>
              <m:ctrlPr>
                <w:rPr>
                  <w:rFonts w:ascii="Cambria Math" w:hAnsi="Cambria Math" w:cs="Times New Roman"/>
                  <w:i/>
                  <w:sz w:val="24"/>
                  <w:szCs w:val="24"/>
                </w:rPr>
              </m:ctrlPr>
            </m:fPr>
            <m:num>
              <m:r>
                <w:rPr>
                  <w:rFonts w:ascii="Cambria Math" w:hAnsi="Cambria Math" w:cs="Times New Roman"/>
                  <w:sz w:val="24"/>
                  <w:szCs w:val="24"/>
                </w:rPr>
                <m:t>Net income</m:t>
              </m:r>
            </m:num>
            <m:den>
              <m:r>
                <w:rPr>
                  <w:rFonts w:ascii="Cambria Math" w:hAnsi="Cambria Math" w:cs="Times New Roman"/>
                  <w:sz w:val="24"/>
                  <w:szCs w:val="24"/>
                </w:rPr>
                <m:t>Equity</m:t>
              </m:r>
            </m:den>
          </m:f>
          <m:r>
            <w:rPr>
              <w:rFonts w:ascii="Cambria Math" w:hAnsi="Cambria Math" w:cs="Times New Roman"/>
              <w:sz w:val="24"/>
              <w:szCs w:val="24"/>
            </w:rPr>
            <m:t>×100</m:t>
          </m:r>
        </m:oMath>
      </m:oMathPara>
    </w:p>
    <w:p w14:paraId="2731D964" w14:textId="2DB5B26B" w:rsidR="00B81D6B" w:rsidRPr="00205B7A" w:rsidRDefault="00B81D6B" w:rsidP="00B81D6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ROE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£3,088</m:t>
              </m:r>
            </m:den>
          </m:f>
          <m:r>
            <w:rPr>
              <w:rFonts w:ascii="Cambria Math" w:eastAsiaTheme="minorEastAsia" w:hAnsi="Cambria Math" w:cs="Times New Roman"/>
              <w:sz w:val="24"/>
              <w:szCs w:val="24"/>
            </w:rPr>
            <m:t>×100=13.96%</m:t>
          </m:r>
        </m:oMath>
      </m:oMathPara>
    </w:p>
    <w:p w14:paraId="2E8A85F8" w14:textId="4ADDB88A" w:rsidR="00B81D6B" w:rsidRPr="004B76FD" w:rsidRDefault="00B81D6B" w:rsidP="00B81D6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ROE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£2,912</m:t>
              </m:r>
            </m:den>
          </m:f>
          <m:r>
            <w:rPr>
              <w:rFonts w:ascii="Cambria Math" w:eastAsiaTheme="minorEastAsia" w:hAnsi="Cambria Math" w:cs="Times New Roman"/>
              <w:sz w:val="24"/>
              <w:szCs w:val="24"/>
            </w:rPr>
            <m:t>×100=12.57%</m:t>
          </m:r>
        </m:oMath>
      </m:oMathPara>
    </w:p>
    <w:p w14:paraId="2D8B46EC" w14:textId="77777777" w:rsidR="000B368A" w:rsidRPr="004B76FD" w:rsidRDefault="000B368A" w:rsidP="004B76FD">
      <w:pPr>
        <w:rPr>
          <w:rFonts w:ascii="Times New Roman" w:hAnsi="Times New Roman" w:cs="Times New Roman"/>
          <w:sz w:val="24"/>
          <w:szCs w:val="24"/>
        </w:rPr>
      </w:pPr>
    </w:p>
    <w:p w14:paraId="0F28FF20" w14:textId="51BEEECC"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lastRenderedPageBreak/>
        <w:t>Earnings Per Share (EPS)</w:t>
      </w:r>
    </w:p>
    <w:p w14:paraId="24DBF309" w14:textId="387B3A22" w:rsidR="00B81D6B" w:rsidRPr="00205B7A" w:rsidRDefault="00B81D6B" w:rsidP="00B81D6B">
      <w:pPr>
        <w:spacing w:after="0" w:line="480" w:lineRule="auto"/>
        <w:ind w:left="360"/>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EPS=</m:t>
          </m:r>
          <m:f>
            <m:fPr>
              <m:ctrlPr>
                <w:rPr>
                  <w:rFonts w:ascii="Cambria Math" w:hAnsi="Cambria Math" w:cs="Times New Roman"/>
                  <w:i/>
                  <w:sz w:val="24"/>
                  <w:szCs w:val="24"/>
                </w:rPr>
              </m:ctrlPr>
            </m:fPr>
            <m:num>
              <m:r>
                <w:rPr>
                  <w:rFonts w:ascii="Cambria Math" w:hAnsi="Cambria Math" w:cs="Times New Roman"/>
                  <w:sz w:val="24"/>
                  <w:szCs w:val="24"/>
                </w:rPr>
                <m:t>Net income</m:t>
              </m:r>
            </m:num>
            <m:den>
              <m:r>
                <w:rPr>
                  <w:rFonts w:ascii="Cambria Math" w:hAnsi="Cambria Math" w:cs="Times New Roman"/>
                  <w:sz w:val="24"/>
                  <w:szCs w:val="24"/>
                </w:rPr>
                <m:t>Number of ordinary shares outstanding</m:t>
              </m:r>
            </m:den>
          </m:f>
        </m:oMath>
      </m:oMathPara>
    </w:p>
    <w:p w14:paraId="6A720275" w14:textId="3BFABC54" w:rsidR="00B81D6B" w:rsidRPr="00205B7A" w:rsidRDefault="00B81D6B" w:rsidP="00B81D6B">
      <w:pPr>
        <w:spacing w:after="0" w:line="480" w:lineRule="auto"/>
        <w:ind w:left="360"/>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EPS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m:t>
              </m:r>
              <m:r>
                <w:rPr>
                  <w:rFonts w:ascii="Cambria Math" w:eastAsiaTheme="minorEastAsia" w:hAnsi="Cambria Math" w:cs="Times New Roman"/>
                  <w:sz w:val="24"/>
                  <w:szCs w:val="24"/>
                </w:rPr>
                <m:t>300</m:t>
              </m:r>
            </m:den>
          </m:f>
          <m:r>
            <w:rPr>
              <w:rFonts w:ascii="Cambria Math" w:eastAsiaTheme="minorEastAsia" w:hAnsi="Cambria Math" w:cs="Times New Roman"/>
              <w:sz w:val="24"/>
              <w:szCs w:val="24"/>
            </w:rPr>
            <m:t>=£</m:t>
          </m:r>
          <m:r>
            <w:rPr>
              <w:rFonts w:ascii="Cambria Math" w:eastAsiaTheme="minorEastAsia" w:hAnsi="Cambria Math" w:cs="Times New Roman"/>
              <w:sz w:val="24"/>
              <w:szCs w:val="24"/>
            </w:rPr>
            <m:t>1.44</m:t>
          </m:r>
          <m:r>
            <w:rPr>
              <w:rFonts w:ascii="Cambria Math" w:eastAsiaTheme="minorEastAsia" w:hAnsi="Cambria Math" w:cs="Times New Roman"/>
              <w:sz w:val="24"/>
              <w:szCs w:val="24"/>
            </w:rPr>
            <m:t xml:space="preserve"> per share</m:t>
          </m:r>
        </m:oMath>
      </m:oMathPara>
    </w:p>
    <w:p w14:paraId="466783D9" w14:textId="13D7C8EF" w:rsidR="00315067" w:rsidRPr="00205B7A" w:rsidRDefault="00B81D6B" w:rsidP="00ED64FB">
      <w:pPr>
        <w:spacing w:after="0" w:line="480" w:lineRule="auto"/>
        <w:ind w:left="360"/>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EPS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£3</m:t>
              </m:r>
              <m:r>
                <w:rPr>
                  <w:rFonts w:ascii="Cambria Math" w:eastAsiaTheme="minorEastAsia" w:hAnsi="Cambria Math" w:cs="Times New Roman"/>
                  <w:sz w:val="24"/>
                  <w:szCs w:val="24"/>
                </w:rPr>
                <m:t>00</m:t>
              </m:r>
            </m:den>
          </m:f>
          <m:r>
            <w:rPr>
              <w:rFonts w:ascii="Cambria Math" w:eastAsiaTheme="minorEastAsia" w:hAnsi="Cambria Math" w:cs="Times New Roman"/>
              <w:sz w:val="24"/>
              <w:szCs w:val="24"/>
            </w:rPr>
            <m:t>=£</m:t>
          </m:r>
          <m:r>
            <w:rPr>
              <w:rFonts w:ascii="Cambria Math" w:eastAsiaTheme="minorEastAsia" w:hAnsi="Cambria Math" w:cs="Times New Roman"/>
              <w:sz w:val="24"/>
              <w:szCs w:val="24"/>
            </w:rPr>
            <m:t>1.22</m:t>
          </m:r>
          <m:r>
            <w:rPr>
              <w:rFonts w:ascii="Cambria Math" w:eastAsiaTheme="minorEastAsia" w:hAnsi="Cambria Math" w:cs="Times New Roman"/>
              <w:sz w:val="24"/>
              <w:szCs w:val="24"/>
            </w:rPr>
            <m:t xml:space="preserve"> per share</m:t>
          </m:r>
        </m:oMath>
      </m:oMathPara>
    </w:p>
    <w:p w14:paraId="7334A9EB" w14:textId="2B22D692"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Net profit margin</w:t>
      </w:r>
    </w:p>
    <w:p w14:paraId="728E6A7D" w14:textId="5DEA7D73" w:rsidR="00ED64FB"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Net profit margin=</m:t>
          </m:r>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Sales</m:t>
              </m:r>
            </m:den>
          </m:f>
          <m:r>
            <w:rPr>
              <w:rFonts w:ascii="Cambria Math" w:hAnsi="Cambria Math" w:cs="Times New Roman"/>
              <w:sz w:val="24"/>
              <w:szCs w:val="24"/>
            </w:rPr>
            <m:t>×100</m:t>
          </m:r>
        </m:oMath>
      </m:oMathPara>
    </w:p>
    <w:p w14:paraId="07DB9FE3" w14:textId="5459CB96" w:rsidR="00ED64FB"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Net profit margin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£6,738</m:t>
              </m:r>
            </m:den>
          </m:f>
          <m:r>
            <w:rPr>
              <w:rFonts w:ascii="Cambria Math" w:eastAsiaTheme="minorEastAsia" w:hAnsi="Cambria Math" w:cs="Times New Roman"/>
              <w:sz w:val="24"/>
              <w:szCs w:val="24"/>
            </w:rPr>
            <m:t>×100=6.</m:t>
          </m:r>
          <m:r>
            <w:rPr>
              <w:rFonts w:ascii="Cambria Math" w:eastAsiaTheme="minorEastAsia" w:hAnsi="Cambria Math" w:cs="Times New Roman"/>
              <w:sz w:val="24"/>
              <w:szCs w:val="24"/>
            </w:rPr>
            <m:t>40</m:t>
          </m:r>
          <m:r>
            <w:rPr>
              <w:rFonts w:ascii="Cambria Math" w:eastAsiaTheme="minorEastAsia" w:hAnsi="Cambria Math" w:cs="Times New Roman"/>
              <w:sz w:val="24"/>
              <w:szCs w:val="24"/>
            </w:rPr>
            <m:t>%</m:t>
          </m:r>
        </m:oMath>
      </m:oMathPara>
    </w:p>
    <w:p w14:paraId="65145899" w14:textId="786B9301" w:rsidR="00315067"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Net profit margin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£6,441</m:t>
              </m:r>
            </m:den>
          </m:f>
          <m:r>
            <w:rPr>
              <w:rFonts w:ascii="Cambria Math" w:eastAsiaTheme="minorEastAsia" w:hAnsi="Cambria Math" w:cs="Times New Roman"/>
              <w:sz w:val="24"/>
              <w:szCs w:val="24"/>
            </w:rPr>
            <m:t>×100=5.68%</m:t>
          </m:r>
        </m:oMath>
      </m:oMathPara>
    </w:p>
    <w:p w14:paraId="1B7EA889" w14:textId="51F38D6A"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Asset turnover</w:t>
      </w:r>
    </w:p>
    <w:p w14:paraId="078505AF" w14:textId="296ED722" w:rsidR="00ED64FB"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Asset turnover=</m:t>
          </m:r>
          <m:f>
            <m:fPr>
              <m:ctrlPr>
                <w:rPr>
                  <w:rFonts w:ascii="Cambria Math" w:hAnsi="Cambria Math" w:cs="Times New Roman"/>
                  <w:i/>
                  <w:sz w:val="24"/>
                  <w:szCs w:val="24"/>
                </w:rPr>
              </m:ctrlPr>
            </m:fPr>
            <m:num>
              <m:r>
                <w:rPr>
                  <w:rFonts w:ascii="Cambria Math" w:hAnsi="Cambria Math" w:cs="Times New Roman"/>
                  <w:sz w:val="24"/>
                  <w:szCs w:val="24"/>
                </w:rPr>
                <m:t>Sales</m:t>
              </m:r>
            </m:num>
            <m:den>
              <m:r>
                <w:rPr>
                  <w:rFonts w:ascii="Cambria Math" w:hAnsi="Cambria Math" w:cs="Times New Roman"/>
                  <w:sz w:val="24"/>
                  <w:szCs w:val="24"/>
                </w:rPr>
                <m:t>Total Assets</m:t>
              </m:r>
            </m:den>
          </m:f>
        </m:oMath>
      </m:oMathPara>
    </w:p>
    <w:p w14:paraId="1C3FF404" w14:textId="7CCB44AC" w:rsidR="00ED64FB"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Asset turnover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£6,738</m:t>
              </m:r>
            </m:num>
            <m:den>
              <m:r>
                <w:rPr>
                  <w:rFonts w:ascii="Cambria Math" w:eastAsiaTheme="minorEastAsia" w:hAnsi="Cambria Math" w:cs="Times New Roman"/>
                  <w:sz w:val="24"/>
                  <w:szCs w:val="24"/>
                </w:rPr>
                <m:t>£9,736</m:t>
              </m:r>
            </m:den>
          </m:f>
          <m:r>
            <w:rPr>
              <w:rFonts w:ascii="Cambria Math" w:eastAsiaTheme="minorEastAsia" w:hAnsi="Cambria Math" w:cs="Times New Roman"/>
              <w:sz w:val="24"/>
              <w:szCs w:val="24"/>
            </w:rPr>
            <m:t>=0.69 times</m:t>
          </m:r>
        </m:oMath>
      </m:oMathPara>
    </w:p>
    <w:p w14:paraId="16339798" w14:textId="2D3997D0" w:rsidR="00315067" w:rsidRPr="00205B7A" w:rsidRDefault="00ED64FB" w:rsidP="00ED64FB">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Asset turnover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£6,441</m:t>
              </m:r>
            </m:num>
            <m:den>
              <m:r>
                <w:rPr>
                  <w:rFonts w:ascii="Cambria Math" w:eastAsiaTheme="minorEastAsia" w:hAnsi="Cambria Math" w:cs="Times New Roman"/>
                  <w:sz w:val="24"/>
                  <w:szCs w:val="24"/>
                </w:rPr>
                <m:t>£10,087</m:t>
              </m:r>
            </m:den>
          </m:f>
          <m:r>
            <w:rPr>
              <w:rFonts w:ascii="Cambria Math" w:eastAsiaTheme="minorEastAsia" w:hAnsi="Cambria Math" w:cs="Times New Roman"/>
              <w:sz w:val="24"/>
              <w:szCs w:val="24"/>
            </w:rPr>
            <m:t>=0.64 times</m:t>
          </m:r>
        </m:oMath>
      </m:oMathPara>
    </w:p>
    <w:p w14:paraId="2DAB0D8D" w14:textId="4DC42593"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Stock holding days</w:t>
      </w:r>
    </w:p>
    <w:p w14:paraId="1DB9235A" w14:textId="6FFC37A1" w:rsidR="00315067" w:rsidRPr="00205B7A" w:rsidRDefault="00ED64FB" w:rsidP="00ED64FB">
      <w:pPr>
        <w:ind w:left="360"/>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Stock holding days=365×</m:t>
          </m:r>
          <m:f>
            <m:fPr>
              <m:ctrlPr>
                <w:rPr>
                  <w:rFonts w:ascii="Cambria Math" w:hAnsi="Cambria Math" w:cs="Times New Roman"/>
                  <w:i/>
                  <w:sz w:val="24"/>
                  <w:szCs w:val="24"/>
                </w:rPr>
              </m:ctrlPr>
            </m:fPr>
            <m:num>
              <m:r>
                <w:rPr>
                  <w:rFonts w:ascii="Cambria Math" w:hAnsi="Cambria Math" w:cs="Times New Roman"/>
                  <w:sz w:val="24"/>
                  <w:szCs w:val="24"/>
                </w:rPr>
                <m:t>Closing stock</m:t>
              </m:r>
            </m:num>
            <m:den>
              <m:r>
                <w:rPr>
                  <w:rFonts w:ascii="Cambria Math" w:hAnsi="Cambria Math" w:cs="Times New Roman"/>
                  <w:sz w:val="24"/>
                  <w:szCs w:val="24"/>
                </w:rPr>
                <m:t>Cost of goods sold</m:t>
              </m:r>
            </m:den>
          </m:f>
        </m:oMath>
      </m:oMathPara>
    </w:p>
    <w:p w14:paraId="048EC253" w14:textId="6610254E" w:rsidR="00ED64FB" w:rsidRPr="00205B7A" w:rsidRDefault="00ED64FB" w:rsidP="00ED64FB">
      <w:pPr>
        <w:ind w:left="360"/>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Stock holding days for 2021=365×</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£708</m:t>
              </m:r>
            </m:num>
            <m:den>
              <m:r>
                <w:rPr>
                  <w:rFonts w:ascii="Cambria Math" w:eastAsiaTheme="minorEastAsia" w:hAnsi="Cambria Math" w:cs="Times New Roman"/>
                  <w:sz w:val="24"/>
                  <w:szCs w:val="24"/>
                </w:rPr>
                <m:t>£3,235</m:t>
              </m:r>
            </m:den>
          </m:f>
          <m:r>
            <w:rPr>
              <w:rFonts w:ascii="Cambria Math" w:eastAsiaTheme="minorEastAsia" w:hAnsi="Cambria Math" w:cs="Times New Roman"/>
              <w:sz w:val="24"/>
              <w:szCs w:val="24"/>
            </w:rPr>
            <m:t>=79.88 days</m:t>
          </m:r>
        </m:oMath>
      </m:oMathPara>
    </w:p>
    <w:p w14:paraId="0630F09B" w14:textId="1E53E446" w:rsidR="00ED64FB" w:rsidRPr="004B76FD" w:rsidRDefault="00ED64FB" w:rsidP="00ED64FB">
      <w:pPr>
        <w:ind w:left="360"/>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Stock holding days for 2020=365×</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£659</m:t>
              </m:r>
            </m:num>
            <m:den>
              <m:r>
                <w:rPr>
                  <w:rFonts w:ascii="Cambria Math" w:eastAsiaTheme="minorEastAsia" w:hAnsi="Cambria Math" w:cs="Times New Roman"/>
                  <w:sz w:val="24"/>
                  <w:szCs w:val="24"/>
                </w:rPr>
                <m:t>£3,096</m:t>
              </m:r>
            </m:den>
          </m:f>
          <m:r>
            <w:rPr>
              <w:rFonts w:ascii="Cambria Math" w:eastAsiaTheme="minorEastAsia" w:hAnsi="Cambria Math" w:cs="Times New Roman"/>
              <w:sz w:val="24"/>
              <w:szCs w:val="24"/>
            </w:rPr>
            <m:t>=77.69 days</m:t>
          </m:r>
        </m:oMath>
      </m:oMathPara>
    </w:p>
    <w:p w14:paraId="13692594" w14:textId="43D35191" w:rsidR="004B76FD" w:rsidRDefault="004B76FD" w:rsidP="00ED64FB">
      <w:pPr>
        <w:ind w:left="360"/>
        <w:rPr>
          <w:rFonts w:ascii="Times New Roman" w:eastAsiaTheme="minorEastAsia" w:hAnsi="Times New Roman" w:cs="Times New Roman"/>
          <w:sz w:val="24"/>
          <w:szCs w:val="24"/>
        </w:rPr>
      </w:pPr>
    </w:p>
    <w:p w14:paraId="1CED075D" w14:textId="77777777" w:rsidR="004B76FD" w:rsidRPr="00205B7A" w:rsidRDefault="004B76FD" w:rsidP="00ED64FB">
      <w:pPr>
        <w:ind w:left="360"/>
        <w:rPr>
          <w:rFonts w:ascii="Times New Roman" w:eastAsiaTheme="minorEastAsia" w:hAnsi="Times New Roman" w:cs="Times New Roman"/>
          <w:sz w:val="24"/>
          <w:szCs w:val="24"/>
        </w:rPr>
      </w:pPr>
    </w:p>
    <w:p w14:paraId="78E253E3" w14:textId="08B04861" w:rsidR="00315067" w:rsidRPr="00205B7A" w:rsidRDefault="008E0A0F"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lastRenderedPageBreak/>
        <w:t>Debtors’</w:t>
      </w:r>
      <w:r w:rsidR="00315067" w:rsidRPr="00205B7A">
        <w:rPr>
          <w:rFonts w:ascii="Times New Roman" w:hAnsi="Times New Roman" w:cs="Times New Roman"/>
          <w:b/>
          <w:bCs/>
          <w:sz w:val="24"/>
          <w:szCs w:val="24"/>
        </w:rPr>
        <w:t xml:space="preserve"> collection period</w:t>
      </w:r>
    </w:p>
    <w:p w14:paraId="5A667663" w14:textId="1A7C4CF1" w:rsidR="00315067" w:rsidRPr="00205B7A" w:rsidRDefault="00ED64FB" w:rsidP="00315067">
      <w:pPr>
        <w:pStyle w:val="ListParagrap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Debto</m:t>
          </m:r>
          <m:sSup>
            <m:sSupPr>
              <m:ctrlPr>
                <w:rPr>
                  <w:rFonts w:ascii="Cambria Math" w:hAnsi="Cambria Math" w:cs="Times New Roman"/>
                  <w:i/>
                  <w:sz w:val="24"/>
                  <w:szCs w:val="24"/>
                </w:rPr>
              </m:ctrlPr>
            </m:sSupPr>
            <m:e>
              <m:r>
                <w:rPr>
                  <w:rFonts w:ascii="Cambria Math" w:hAnsi="Cambria Math" w:cs="Times New Roman"/>
                  <w:sz w:val="24"/>
                  <w:szCs w:val="24"/>
                </w:rPr>
                <m:t>r</m:t>
              </m:r>
            </m:e>
            <m:sup>
              <m:r>
                <w:rPr>
                  <w:rFonts w:ascii="Cambria Math" w:hAnsi="Cambria Math" w:cs="Times New Roman"/>
                  <w:sz w:val="24"/>
                  <w:szCs w:val="24"/>
                </w:rPr>
                <m:t>'</m:t>
              </m:r>
            </m:sup>
          </m:sSup>
          <m:r>
            <w:rPr>
              <w:rFonts w:ascii="Cambria Math" w:hAnsi="Cambria Math" w:cs="Times New Roman"/>
              <w:sz w:val="24"/>
              <w:szCs w:val="24"/>
            </w:rPr>
            <m:t>s collection period=</m:t>
          </m:r>
          <m:f>
            <m:fPr>
              <m:ctrlPr>
                <w:rPr>
                  <w:rFonts w:ascii="Cambria Math" w:hAnsi="Cambria Math" w:cs="Times New Roman"/>
                  <w:i/>
                  <w:sz w:val="24"/>
                  <w:szCs w:val="24"/>
                </w:rPr>
              </m:ctrlPr>
            </m:fPr>
            <m:num>
              <m:r>
                <w:rPr>
                  <w:rFonts w:ascii="Cambria Math" w:hAnsi="Cambria Math" w:cs="Times New Roman"/>
                  <w:sz w:val="24"/>
                  <w:szCs w:val="24"/>
                </w:rPr>
                <m:t>Trade receivables</m:t>
              </m:r>
            </m:num>
            <m:den>
              <m:r>
                <w:rPr>
                  <w:rFonts w:ascii="Cambria Math" w:hAnsi="Cambria Math" w:cs="Times New Roman"/>
                  <w:sz w:val="24"/>
                  <w:szCs w:val="24"/>
                </w:rPr>
                <m:t>Sales</m:t>
              </m:r>
            </m:den>
          </m:f>
          <m:r>
            <w:rPr>
              <w:rFonts w:ascii="Cambria Math" w:hAnsi="Cambria Math" w:cs="Times New Roman"/>
              <w:sz w:val="24"/>
              <w:szCs w:val="24"/>
            </w:rPr>
            <m:t>×365</m:t>
          </m:r>
        </m:oMath>
      </m:oMathPara>
    </w:p>
    <w:p w14:paraId="2DA0774B" w14:textId="391450BB" w:rsidR="00ED64FB" w:rsidRPr="00205B7A" w:rsidRDefault="00ED64FB"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Debto</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r</m:t>
              </m:r>
            </m:e>
            <m:sup>
              <m:r>
                <w:rPr>
                  <w:rFonts w:ascii="Cambria Math" w:eastAsiaTheme="minorEastAsia" w:hAnsi="Cambria Math" w:cs="Times New Roman"/>
                  <w:sz w:val="24"/>
                  <w:szCs w:val="24"/>
                </w:rPr>
                <m:t>'</m:t>
              </m:r>
            </m:sup>
          </m:sSup>
          <m:r>
            <w:rPr>
              <w:rFonts w:ascii="Cambria Math" w:eastAsiaTheme="minorEastAsia" w:hAnsi="Cambria Math" w:cs="Times New Roman"/>
              <w:sz w:val="24"/>
              <w:szCs w:val="24"/>
            </w:rPr>
            <m:t>s collection period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£1,249</m:t>
              </m:r>
            </m:num>
            <m:den>
              <m:r>
                <w:rPr>
                  <w:rFonts w:ascii="Cambria Math" w:eastAsiaTheme="minorEastAsia" w:hAnsi="Cambria Math" w:cs="Times New Roman"/>
                  <w:sz w:val="24"/>
                  <w:szCs w:val="24"/>
                </w:rPr>
                <m:t>£6,738</m:t>
              </m:r>
            </m:den>
          </m:f>
          <m:r>
            <w:rPr>
              <w:rFonts w:ascii="Cambria Math" w:eastAsiaTheme="minorEastAsia" w:hAnsi="Cambria Math" w:cs="Times New Roman"/>
              <w:sz w:val="24"/>
              <w:szCs w:val="24"/>
            </w:rPr>
            <m:t>×365=67.66 days</m:t>
          </m:r>
        </m:oMath>
      </m:oMathPara>
    </w:p>
    <w:p w14:paraId="5B69D9BE" w14:textId="5D644CB7" w:rsidR="000A0EBC" w:rsidRPr="00E205BC"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Debto</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r</m:t>
              </m:r>
            </m:e>
            <m:sup>
              <m:r>
                <w:rPr>
                  <w:rFonts w:ascii="Cambria Math" w:eastAsiaTheme="minorEastAsia" w:hAnsi="Cambria Math" w:cs="Times New Roman"/>
                  <w:sz w:val="24"/>
                  <w:szCs w:val="24"/>
                </w:rPr>
                <m:t>'</m:t>
              </m:r>
            </m:sup>
          </m:sSup>
          <m:r>
            <w:rPr>
              <w:rFonts w:ascii="Cambria Math" w:eastAsiaTheme="minorEastAsia" w:hAnsi="Cambria Math" w:cs="Times New Roman"/>
              <w:sz w:val="24"/>
              <w:szCs w:val="24"/>
            </w:rPr>
            <m:t>s collection period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£1,287</m:t>
              </m:r>
            </m:num>
            <m:den>
              <m:r>
                <w:rPr>
                  <w:rFonts w:ascii="Cambria Math" w:eastAsiaTheme="minorEastAsia" w:hAnsi="Cambria Math" w:cs="Times New Roman"/>
                  <w:sz w:val="24"/>
                  <w:szCs w:val="24"/>
                </w:rPr>
                <m:t>£6,441</m:t>
              </m:r>
            </m:den>
          </m:f>
          <m:r>
            <w:rPr>
              <w:rFonts w:ascii="Cambria Math" w:eastAsiaTheme="minorEastAsia" w:hAnsi="Cambria Math" w:cs="Times New Roman"/>
              <w:sz w:val="24"/>
              <w:szCs w:val="24"/>
            </w:rPr>
            <m:t>×365=72.93 days</m:t>
          </m:r>
        </m:oMath>
      </m:oMathPara>
    </w:p>
    <w:p w14:paraId="6FE5CAB5" w14:textId="77777777" w:rsidR="00FD28AA" w:rsidRPr="00205B7A" w:rsidRDefault="00FD28AA" w:rsidP="00315067">
      <w:pPr>
        <w:pStyle w:val="ListParagraph"/>
        <w:rPr>
          <w:rFonts w:ascii="Times New Roman" w:eastAsiaTheme="minorEastAsia" w:hAnsi="Times New Roman" w:cs="Times New Roman"/>
          <w:sz w:val="24"/>
          <w:szCs w:val="24"/>
        </w:rPr>
      </w:pPr>
    </w:p>
    <w:p w14:paraId="0FB97FBF" w14:textId="36EE10A0"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Current ratio</w:t>
      </w:r>
    </w:p>
    <w:p w14:paraId="41D889D1" w14:textId="0D6C0001" w:rsidR="00315067" w:rsidRPr="00205B7A"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Current ratio=</m:t>
          </m:r>
          <m:f>
            <m:fPr>
              <m:ctrlPr>
                <w:rPr>
                  <w:rFonts w:ascii="Cambria Math" w:hAnsi="Cambria Math" w:cs="Times New Roman"/>
                  <w:i/>
                  <w:sz w:val="24"/>
                  <w:szCs w:val="24"/>
                </w:rPr>
              </m:ctrlPr>
            </m:fPr>
            <m:num>
              <m:r>
                <w:rPr>
                  <w:rFonts w:ascii="Cambria Math" w:hAnsi="Cambria Math" w:cs="Times New Roman"/>
                  <w:sz w:val="24"/>
                  <w:szCs w:val="24"/>
                </w:rPr>
                <m:t>Current assets</m:t>
              </m:r>
            </m:num>
            <m:den>
              <m:r>
                <w:rPr>
                  <w:rFonts w:ascii="Cambria Math" w:hAnsi="Cambria Math" w:cs="Times New Roman"/>
                  <w:sz w:val="24"/>
                  <w:szCs w:val="24"/>
                </w:rPr>
                <m:t>Current liabilities</m:t>
              </m:r>
            </m:den>
          </m:f>
        </m:oMath>
      </m:oMathPara>
    </w:p>
    <w:p w14:paraId="0348D439" w14:textId="39C0ACBC" w:rsidR="000A0EBC" w:rsidRPr="00205B7A"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Current ratio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£2,303</m:t>
              </m:r>
            </m:num>
            <m:den>
              <m:r>
                <w:rPr>
                  <w:rFonts w:ascii="Cambria Math" w:eastAsiaTheme="minorEastAsia" w:hAnsi="Cambria Math" w:cs="Times New Roman"/>
                  <w:sz w:val="24"/>
                  <w:szCs w:val="24"/>
                </w:rPr>
                <m:t>£2,511</m:t>
              </m:r>
            </m:den>
          </m:f>
          <m:r>
            <w:rPr>
              <w:rFonts w:ascii="Cambria Math" w:eastAsiaTheme="minorEastAsia" w:hAnsi="Cambria Math" w:cs="Times New Roman"/>
              <w:sz w:val="24"/>
              <w:szCs w:val="24"/>
            </w:rPr>
            <m:t>=0.92 times</m:t>
          </m:r>
        </m:oMath>
      </m:oMathPara>
    </w:p>
    <w:p w14:paraId="2FAF6E95" w14:textId="4C402C8A" w:rsidR="000A0EBC" w:rsidRPr="004B76FD"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Currenr ratio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£2,355</m:t>
              </m:r>
            </m:num>
            <m:den>
              <m:r>
                <w:rPr>
                  <w:rFonts w:ascii="Cambria Math" w:eastAsiaTheme="minorEastAsia" w:hAnsi="Cambria Math" w:cs="Times New Roman"/>
                  <w:sz w:val="24"/>
                  <w:szCs w:val="24"/>
                </w:rPr>
                <m:t>£3,046</m:t>
              </m:r>
            </m:den>
          </m:f>
          <m:r>
            <w:rPr>
              <w:rFonts w:ascii="Cambria Math" w:eastAsiaTheme="minorEastAsia" w:hAnsi="Cambria Math" w:cs="Times New Roman"/>
              <w:sz w:val="24"/>
              <w:szCs w:val="24"/>
            </w:rPr>
            <m:t>=0.77 times</m:t>
          </m:r>
        </m:oMath>
      </m:oMathPara>
    </w:p>
    <w:p w14:paraId="54F974FC" w14:textId="77777777" w:rsidR="004B76FD" w:rsidRPr="00205B7A" w:rsidRDefault="004B76FD" w:rsidP="00315067">
      <w:pPr>
        <w:pStyle w:val="ListParagraph"/>
        <w:rPr>
          <w:rFonts w:ascii="Times New Roman" w:eastAsiaTheme="minorEastAsia" w:hAnsi="Times New Roman" w:cs="Times New Roman"/>
          <w:sz w:val="24"/>
          <w:szCs w:val="24"/>
        </w:rPr>
      </w:pPr>
    </w:p>
    <w:p w14:paraId="6600A576" w14:textId="6365F1EF"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Gearing ratio</w:t>
      </w:r>
    </w:p>
    <w:p w14:paraId="537735E0" w14:textId="4BD715DA" w:rsidR="00315067" w:rsidRPr="00205B7A"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Gearing ratio=</m:t>
          </m:r>
          <m:f>
            <m:fPr>
              <m:ctrlPr>
                <w:rPr>
                  <w:rFonts w:ascii="Cambria Math" w:hAnsi="Cambria Math" w:cs="Times New Roman"/>
                  <w:i/>
                  <w:sz w:val="24"/>
                  <w:szCs w:val="24"/>
                </w:rPr>
              </m:ctrlPr>
            </m:fPr>
            <m:num>
              <m:r>
                <w:rPr>
                  <w:rFonts w:ascii="Cambria Math" w:hAnsi="Cambria Math" w:cs="Times New Roman"/>
                  <w:sz w:val="24"/>
                  <w:szCs w:val="24"/>
                </w:rPr>
                <m:t>Total debt</m:t>
              </m:r>
            </m:num>
            <m:den>
              <m:r>
                <w:rPr>
                  <w:rFonts w:ascii="Cambria Math" w:hAnsi="Cambria Math" w:cs="Times New Roman"/>
                  <w:sz w:val="24"/>
                  <w:szCs w:val="24"/>
                </w:rPr>
                <m:t>Total equity</m:t>
              </m:r>
            </m:den>
          </m:f>
          <m:r>
            <w:rPr>
              <w:rFonts w:ascii="Cambria Math" w:hAnsi="Cambria Math" w:cs="Times New Roman"/>
              <w:sz w:val="24"/>
              <w:szCs w:val="24"/>
            </w:rPr>
            <m:t>×100</m:t>
          </m:r>
        </m:oMath>
      </m:oMathPara>
    </w:p>
    <w:p w14:paraId="7C8A3FDD" w14:textId="42F00638" w:rsidR="000A0EBC" w:rsidRPr="00205B7A"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Gearing ratio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£4,137</m:t>
              </m:r>
            </m:num>
            <m:den>
              <m:r>
                <w:rPr>
                  <w:rFonts w:ascii="Cambria Math" w:eastAsiaTheme="minorEastAsia" w:hAnsi="Cambria Math" w:cs="Times New Roman"/>
                  <w:sz w:val="24"/>
                  <w:szCs w:val="24"/>
                </w:rPr>
                <m:t>£3,088</m:t>
              </m:r>
            </m:den>
          </m:f>
          <m:r>
            <w:rPr>
              <w:rFonts w:ascii="Cambria Math" w:eastAsiaTheme="minorEastAsia" w:hAnsi="Cambria Math" w:cs="Times New Roman"/>
              <w:sz w:val="24"/>
              <w:szCs w:val="24"/>
            </w:rPr>
            <m:t>×100=133.97%</m:t>
          </m:r>
        </m:oMath>
      </m:oMathPara>
    </w:p>
    <w:p w14:paraId="0D2B6DC2" w14:textId="0109D300" w:rsidR="000A0EBC" w:rsidRPr="004B76FD" w:rsidRDefault="000A0EBC" w:rsidP="00315067">
      <w:pPr>
        <w:pStyle w:val="ListParagrap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Gearing ratio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£4,129</m:t>
              </m:r>
            </m:num>
            <m:den>
              <m:r>
                <w:rPr>
                  <w:rFonts w:ascii="Cambria Math" w:eastAsiaTheme="minorEastAsia" w:hAnsi="Cambria Math" w:cs="Times New Roman"/>
                  <w:sz w:val="24"/>
                  <w:szCs w:val="24"/>
                </w:rPr>
                <m:t>£2,912</m:t>
              </m:r>
            </m:den>
          </m:f>
          <m:r>
            <w:rPr>
              <w:rFonts w:ascii="Cambria Math" w:eastAsiaTheme="minorEastAsia" w:hAnsi="Cambria Math" w:cs="Times New Roman"/>
              <w:sz w:val="24"/>
              <w:szCs w:val="24"/>
            </w:rPr>
            <m:t>×100=141.79%</m:t>
          </m:r>
        </m:oMath>
      </m:oMathPara>
    </w:p>
    <w:p w14:paraId="70F0463E" w14:textId="77777777" w:rsidR="004B76FD" w:rsidRPr="00205B7A" w:rsidRDefault="004B76FD" w:rsidP="00315067">
      <w:pPr>
        <w:pStyle w:val="ListParagraph"/>
        <w:rPr>
          <w:rFonts w:ascii="Times New Roman" w:eastAsiaTheme="minorEastAsia" w:hAnsi="Times New Roman" w:cs="Times New Roman"/>
          <w:sz w:val="24"/>
          <w:szCs w:val="24"/>
        </w:rPr>
      </w:pPr>
    </w:p>
    <w:p w14:paraId="58FF4141" w14:textId="4F3795C8" w:rsidR="00315067" w:rsidRPr="00205B7A" w:rsidRDefault="00315067" w:rsidP="00315067">
      <w:pPr>
        <w:pStyle w:val="ListParagraph"/>
        <w:numPr>
          <w:ilvl w:val="0"/>
          <w:numId w:val="1"/>
        </w:numPr>
        <w:spacing w:after="0" w:line="480" w:lineRule="auto"/>
        <w:jc w:val="both"/>
        <w:rPr>
          <w:rFonts w:ascii="Times New Roman" w:hAnsi="Times New Roman" w:cs="Times New Roman"/>
          <w:b/>
          <w:bCs/>
          <w:sz w:val="24"/>
          <w:szCs w:val="24"/>
        </w:rPr>
      </w:pPr>
      <w:r w:rsidRPr="00205B7A">
        <w:rPr>
          <w:rFonts w:ascii="Times New Roman" w:hAnsi="Times New Roman" w:cs="Times New Roman"/>
          <w:b/>
          <w:bCs/>
          <w:sz w:val="24"/>
          <w:szCs w:val="24"/>
        </w:rPr>
        <w:t>Interest cover</w:t>
      </w:r>
    </w:p>
    <w:p w14:paraId="2279E8DC" w14:textId="7EA11359" w:rsidR="000A0EBC" w:rsidRPr="00205B7A" w:rsidRDefault="000A0EBC" w:rsidP="000A0EBC">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m:t>Interest cover=</m:t>
          </m:r>
          <m:f>
            <m:fPr>
              <m:ctrlPr>
                <w:rPr>
                  <w:rFonts w:ascii="Cambria Math" w:hAnsi="Cambria Math" w:cs="Times New Roman"/>
                  <w:i/>
                  <w:sz w:val="24"/>
                  <w:szCs w:val="24"/>
                </w:rPr>
              </m:ctrlPr>
            </m:fPr>
            <m:num>
              <m:r>
                <w:rPr>
                  <w:rFonts w:ascii="Cambria Math" w:hAnsi="Cambria Math" w:cs="Times New Roman"/>
                  <w:sz w:val="24"/>
                  <w:szCs w:val="24"/>
                </w:rPr>
                <m:t>EBIT</m:t>
              </m:r>
            </m:num>
            <m:den>
              <m:r>
                <w:rPr>
                  <w:rFonts w:ascii="Cambria Math" w:hAnsi="Cambria Math" w:cs="Times New Roman"/>
                  <w:sz w:val="24"/>
                  <w:szCs w:val="24"/>
                </w:rPr>
                <m:t>Interest expenses</m:t>
              </m:r>
            </m:den>
          </m:f>
        </m:oMath>
      </m:oMathPara>
    </w:p>
    <w:p w14:paraId="3575F569" w14:textId="109D8CCB" w:rsidR="000A0EBC" w:rsidRPr="00205B7A" w:rsidRDefault="000A0EBC" w:rsidP="000A0EBC">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Interest cover for 2021=</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£620</m:t>
              </m:r>
            </m:num>
            <m:den>
              <m:r>
                <w:rPr>
                  <w:rFonts w:ascii="Cambria Math" w:eastAsiaTheme="minorEastAsia" w:hAnsi="Cambria Math" w:cs="Times New Roman"/>
                  <w:sz w:val="24"/>
                  <w:szCs w:val="24"/>
                </w:rPr>
                <m:t>£226</m:t>
              </m:r>
            </m:den>
          </m:f>
          <m:r>
            <w:rPr>
              <w:rFonts w:ascii="Cambria Math" w:eastAsiaTheme="minorEastAsia" w:hAnsi="Cambria Math" w:cs="Times New Roman"/>
              <w:sz w:val="24"/>
              <w:szCs w:val="24"/>
            </w:rPr>
            <m:t>=</m:t>
          </m:r>
          <m:r>
            <w:rPr>
              <w:rFonts w:ascii="Cambria Math" w:eastAsiaTheme="minorEastAsia" w:hAnsi="Cambria Math" w:cs="Times New Roman"/>
              <w:sz w:val="24"/>
              <w:szCs w:val="24"/>
            </w:rPr>
            <m:t>2.74</m:t>
          </m:r>
          <m:r>
            <w:rPr>
              <w:rFonts w:ascii="Cambria Math" w:eastAsiaTheme="minorEastAsia" w:hAnsi="Cambria Math" w:cs="Times New Roman"/>
              <w:sz w:val="24"/>
              <w:szCs w:val="24"/>
            </w:rPr>
            <m:t xml:space="preserve"> times</m:t>
          </m:r>
        </m:oMath>
      </m:oMathPara>
    </w:p>
    <w:p w14:paraId="7EED1DFA" w14:textId="23EB857A" w:rsidR="00315067" w:rsidRPr="00650F25" w:rsidRDefault="000A0EBC" w:rsidP="000A0EBC">
      <w:pPr>
        <w:spacing w:after="0" w:line="480" w:lineRule="auto"/>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Interest cover for 2020=</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m:t>
              </m:r>
              <m:r>
                <w:rPr>
                  <w:rFonts w:ascii="Cambria Math" w:eastAsiaTheme="minorEastAsia" w:hAnsi="Cambria Math" w:cs="Times New Roman"/>
                  <w:sz w:val="24"/>
                  <w:szCs w:val="24"/>
                </w:rPr>
                <m:t>539</m:t>
              </m:r>
            </m:num>
            <m:den>
              <m:r>
                <w:rPr>
                  <w:rFonts w:ascii="Cambria Math" w:eastAsiaTheme="minorEastAsia" w:hAnsi="Cambria Math" w:cs="Times New Roman"/>
                  <w:sz w:val="24"/>
                  <w:szCs w:val="24"/>
                </w:rPr>
                <m:t>£181</m:t>
              </m:r>
            </m:den>
          </m:f>
          <m:r>
            <w:rPr>
              <w:rFonts w:ascii="Cambria Math" w:eastAsiaTheme="minorEastAsia" w:hAnsi="Cambria Math" w:cs="Times New Roman"/>
              <w:sz w:val="24"/>
              <w:szCs w:val="24"/>
            </w:rPr>
            <m:t>=</m:t>
          </m:r>
          <m:r>
            <w:rPr>
              <w:rFonts w:ascii="Cambria Math" w:eastAsiaTheme="minorEastAsia" w:hAnsi="Cambria Math" w:cs="Times New Roman"/>
              <w:sz w:val="24"/>
              <w:szCs w:val="24"/>
            </w:rPr>
            <m:t>2.98</m:t>
          </m:r>
          <m:r>
            <w:rPr>
              <w:rFonts w:ascii="Cambria Math" w:eastAsiaTheme="minorEastAsia" w:hAnsi="Cambria Math" w:cs="Times New Roman"/>
              <w:sz w:val="24"/>
              <w:szCs w:val="24"/>
            </w:rPr>
            <m:t xml:space="preserve"> times</m:t>
          </m:r>
        </m:oMath>
      </m:oMathPara>
    </w:p>
    <w:p w14:paraId="1D6C6813" w14:textId="62E150B4" w:rsidR="00650F25" w:rsidRDefault="00650F25" w:rsidP="000A0EBC">
      <w:pPr>
        <w:spacing w:after="0" w:line="480" w:lineRule="auto"/>
        <w:jc w:val="both"/>
        <w:rPr>
          <w:rFonts w:ascii="Times New Roman" w:eastAsiaTheme="minorEastAsia" w:hAnsi="Times New Roman" w:cs="Times New Roman"/>
          <w:sz w:val="24"/>
          <w:szCs w:val="24"/>
        </w:rPr>
      </w:pPr>
    </w:p>
    <w:p w14:paraId="58AE2877" w14:textId="119800D5" w:rsidR="00650F25" w:rsidRDefault="00650F25" w:rsidP="000A0EBC">
      <w:pPr>
        <w:spacing w:after="0" w:line="480" w:lineRule="auto"/>
        <w:jc w:val="both"/>
        <w:rPr>
          <w:rFonts w:ascii="Times New Roman" w:eastAsiaTheme="minorEastAsia" w:hAnsi="Times New Roman" w:cs="Times New Roman"/>
          <w:sz w:val="24"/>
          <w:szCs w:val="24"/>
        </w:rPr>
      </w:pPr>
    </w:p>
    <w:p w14:paraId="0F64A839" w14:textId="77777777" w:rsidR="00C60387" w:rsidRPr="00205B7A" w:rsidRDefault="00C60387" w:rsidP="000A0EBC">
      <w:pPr>
        <w:spacing w:after="0" w:line="480" w:lineRule="auto"/>
        <w:jc w:val="both"/>
        <w:rPr>
          <w:rFonts w:ascii="Times New Roman" w:eastAsiaTheme="minorEastAsia" w:hAnsi="Times New Roman" w:cs="Times New Roman"/>
          <w:sz w:val="24"/>
          <w:szCs w:val="24"/>
        </w:rPr>
      </w:pPr>
    </w:p>
    <w:p w14:paraId="6E604968" w14:textId="186A129A" w:rsidR="00315067" w:rsidRPr="004B76FD" w:rsidRDefault="00315067" w:rsidP="004B76FD">
      <w:pPr>
        <w:pStyle w:val="Heading1"/>
        <w:rPr>
          <w:rFonts w:ascii="Times New Roman" w:hAnsi="Times New Roman" w:cs="Times New Roman"/>
          <w:b/>
          <w:bCs/>
          <w:color w:val="auto"/>
          <w:sz w:val="28"/>
          <w:szCs w:val="28"/>
        </w:rPr>
      </w:pPr>
      <w:bookmarkStart w:id="5" w:name="_Toc124464369"/>
      <w:r w:rsidRPr="004B76FD">
        <w:rPr>
          <w:rFonts w:ascii="Times New Roman" w:hAnsi="Times New Roman" w:cs="Times New Roman"/>
          <w:b/>
          <w:bCs/>
          <w:color w:val="auto"/>
          <w:sz w:val="28"/>
          <w:szCs w:val="28"/>
        </w:rPr>
        <w:lastRenderedPageBreak/>
        <w:t>Part B: Comment on the Financial Performance and Position of Sweets Plc.</w:t>
      </w:r>
      <w:bookmarkEnd w:id="5"/>
    </w:p>
    <w:p w14:paraId="38586487" w14:textId="77777777" w:rsidR="004B76FD" w:rsidRPr="004B76FD" w:rsidRDefault="004B76FD" w:rsidP="004B76FD"/>
    <w:p w14:paraId="260B79E8" w14:textId="2D6B5E70" w:rsidR="007510F8" w:rsidRPr="00205B7A" w:rsidRDefault="007510F8" w:rsidP="00315067">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Profitability Ratios</w:t>
      </w:r>
    </w:p>
    <w:p w14:paraId="0642F060" w14:textId="598E6C9F" w:rsidR="00205B7A" w:rsidRDefault="007510F8"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Profitability ratios evaluate how profitable a business is. </w:t>
      </w:r>
      <w:r w:rsidR="000A0EBC">
        <w:rPr>
          <w:rFonts w:ascii="Times New Roman" w:hAnsi="Times New Roman" w:cs="Times New Roman"/>
          <w:sz w:val="24"/>
          <w:szCs w:val="24"/>
        </w:rPr>
        <w:t xml:space="preserve">Different </w:t>
      </w:r>
      <w:r>
        <w:rPr>
          <w:rFonts w:ascii="Times New Roman" w:hAnsi="Times New Roman" w:cs="Times New Roman"/>
          <w:sz w:val="24"/>
          <w:szCs w:val="24"/>
        </w:rPr>
        <w:t>profitability</w:t>
      </w:r>
      <w:r w:rsidR="000A0EBC">
        <w:rPr>
          <w:rFonts w:ascii="Times New Roman" w:hAnsi="Times New Roman" w:cs="Times New Roman"/>
          <w:sz w:val="24"/>
          <w:szCs w:val="24"/>
        </w:rPr>
        <w:t xml:space="preserve"> ratios for Sweets Plc. were computed for 2020 and 2021 to evaluate its financial performance and position</w:t>
      </w:r>
      <w:r w:rsidR="004A23EE">
        <w:rPr>
          <w:rFonts w:ascii="Times New Roman" w:hAnsi="Times New Roman" w:cs="Times New Roman"/>
          <w:sz w:val="24"/>
          <w:szCs w:val="24"/>
        </w:rPr>
        <w:t xml:space="preserve"> </w:t>
      </w:r>
      <w:r w:rsidR="004A23EE" w:rsidRPr="004A23EE">
        <w:rPr>
          <w:rFonts w:ascii="Times New Roman" w:hAnsi="Times New Roman" w:cs="Times New Roman"/>
          <w:sz w:val="24"/>
          <w:szCs w:val="24"/>
        </w:rPr>
        <w:t xml:space="preserve">(Thomas &amp; </w:t>
      </w:r>
      <w:proofErr w:type="spellStart"/>
      <w:r w:rsidR="004A23EE" w:rsidRPr="004A23EE">
        <w:rPr>
          <w:rFonts w:ascii="Times New Roman" w:hAnsi="Times New Roman" w:cs="Times New Roman"/>
          <w:sz w:val="24"/>
          <w:szCs w:val="24"/>
        </w:rPr>
        <w:t>Rabiyathulbasariya</w:t>
      </w:r>
      <w:proofErr w:type="spellEnd"/>
      <w:r w:rsidR="004A23EE" w:rsidRPr="004A23EE">
        <w:rPr>
          <w:rFonts w:ascii="Times New Roman" w:hAnsi="Times New Roman" w:cs="Times New Roman"/>
          <w:sz w:val="24"/>
          <w:szCs w:val="24"/>
        </w:rPr>
        <w:t>, 2017)</w:t>
      </w:r>
      <w:r w:rsidR="000A0EBC">
        <w:rPr>
          <w:rFonts w:ascii="Times New Roman" w:hAnsi="Times New Roman" w:cs="Times New Roman"/>
          <w:sz w:val="24"/>
          <w:szCs w:val="24"/>
        </w:rPr>
        <w:t xml:space="preserve">. </w:t>
      </w:r>
      <w:r>
        <w:rPr>
          <w:rFonts w:ascii="Times New Roman" w:hAnsi="Times New Roman" w:cs="Times New Roman"/>
          <w:sz w:val="24"/>
          <w:szCs w:val="24"/>
        </w:rPr>
        <w:t xml:space="preserve">These include the Return on Capital Employed (ROCE), the Return on Equity (ROE), and the net profit margin. </w:t>
      </w:r>
      <w:r w:rsidR="000A0EBC">
        <w:rPr>
          <w:rFonts w:ascii="Times New Roman" w:hAnsi="Times New Roman" w:cs="Times New Roman"/>
          <w:sz w:val="24"/>
          <w:szCs w:val="24"/>
        </w:rPr>
        <w:t xml:space="preserve">Firstly, </w:t>
      </w:r>
      <w:r w:rsidR="00D867F4">
        <w:rPr>
          <w:rFonts w:ascii="Times New Roman" w:hAnsi="Times New Roman" w:cs="Times New Roman"/>
          <w:sz w:val="24"/>
          <w:szCs w:val="24"/>
        </w:rPr>
        <w:t xml:space="preserve">the </w:t>
      </w:r>
      <w:r>
        <w:rPr>
          <w:rFonts w:ascii="Times New Roman" w:hAnsi="Times New Roman" w:cs="Times New Roman"/>
          <w:sz w:val="24"/>
          <w:szCs w:val="24"/>
        </w:rPr>
        <w:t>ROCE</w:t>
      </w:r>
      <w:r w:rsidR="00D867F4">
        <w:rPr>
          <w:rFonts w:ascii="Times New Roman" w:hAnsi="Times New Roman" w:cs="Times New Roman"/>
          <w:sz w:val="24"/>
          <w:szCs w:val="24"/>
        </w:rPr>
        <w:t xml:space="preserve"> was calculated by dividing the earnings before interest and taxes by the capital employed. Sweets Plc. had a ROCE of </w:t>
      </w:r>
      <w:r w:rsidR="006E6C99">
        <w:rPr>
          <w:rFonts w:ascii="Times New Roman" w:hAnsi="Times New Roman" w:cs="Times New Roman"/>
          <w:sz w:val="24"/>
          <w:szCs w:val="24"/>
        </w:rPr>
        <w:t>7.66</w:t>
      </w:r>
      <w:r w:rsidR="00D867F4">
        <w:rPr>
          <w:rFonts w:ascii="Times New Roman" w:hAnsi="Times New Roman" w:cs="Times New Roman"/>
          <w:sz w:val="24"/>
          <w:szCs w:val="24"/>
        </w:rPr>
        <w:t xml:space="preserve">% in 2020, which rose to </w:t>
      </w:r>
      <w:r w:rsidR="006E6C99">
        <w:rPr>
          <w:rFonts w:ascii="Times New Roman" w:hAnsi="Times New Roman" w:cs="Times New Roman"/>
          <w:sz w:val="24"/>
          <w:szCs w:val="24"/>
        </w:rPr>
        <w:t>8.58</w:t>
      </w:r>
      <w:r w:rsidR="00D867F4">
        <w:rPr>
          <w:rFonts w:ascii="Times New Roman" w:hAnsi="Times New Roman" w:cs="Times New Roman"/>
          <w:sz w:val="24"/>
          <w:szCs w:val="24"/>
        </w:rPr>
        <w:t xml:space="preserve">% in 2021. </w:t>
      </w:r>
      <w:r w:rsidR="00B47BD4">
        <w:rPr>
          <w:rFonts w:ascii="Times New Roman" w:hAnsi="Times New Roman" w:cs="Times New Roman"/>
          <w:sz w:val="24"/>
          <w:szCs w:val="24"/>
        </w:rPr>
        <w:t>This was attributed to an increase in the earnings before interest and taxes as the capital employed of Sweets Plc. dropped in 2021 as compared to 2020. Since the ROCE is positive and it increased, the profitability of Sweets Plc. would be said to be increasing.</w:t>
      </w:r>
    </w:p>
    <w:p w14:paraId="5D3070AB" w14:textId="259B6CF1" w:rsidR="00205B7A" w:rsidRDefault="00D867F4"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Secondly, the </w:t>
      </w:r>
      <w:r w:rsidR="007510F8">
        <w:rPr>
          <w:rFonts w:ascii="Times New Roman" w:hAnsi="Times New Roman" w:cs="Times New Roman"/>
          <w:sz w:val="24"/>
          <w:szCs w:val="24"/>
        </w:rPr>
        <w:t xml:space="preserve">ROE </w:t>
      </w:r>
      <w:r w:rsidR="00FF70C8">
        <w:rPr>
          <w:rFonts w:ascii="Times New Roman" w:hAnsi="Times New Roman" w:cs="Times New Roman"/>
          <w:sz w:val="24"/>
          <w:szCs w:val="24"/>
        </w:rPr>
        <w:t>of Sweets Plc. was computed by dividing the net income of the company by its shareholder’s equity in any given year</w:t>
      </w:r>
      <w:r w:rsidR="004A23EE">
        <w:rPr>
          <w:rFonts w:ascii="Times New Roman" w:hAnsi="Times New Roman" w:cs="Times New Roman"/>
          <w:sz w:val="24"/>
          <w:szCs w:val="24"/>
        </w:rPr>
        <w:t xml:space="preserve"> </w:t>
      </w:r>
      <w:r w:rsidR="004A23EE" w:rsidRPr="004A23EE">
        <w:rPr>
          <w:rFonts w:ascii="Times New Roman" w:hAnsi="Times New Roman" w:cs="Times New Roman"/>
          <w:sz w:val="24"/>
          <w:szCs w:val="24"/>
        </w:rPr>
        <w:t xml:space="preserve">(Thomas &amp; </w:t>
      </w:r>
      <w:proofErr w:type="spellStart"/>
      <w:r w:rsidR="004A23EE" w:rsidRPr="004A23EE">
        <w:rPr>
          <w:rFonts w:ascii="Times New Roman" w:hAnsi="Times New Roman" w:cs="Times New Roman"/>
          <w:sz w:val="24"/>
          <w:szCs w:val="24"/>
        </w:rPr>
        <w:t>Rabiyathulbasariya</w:t>
      </w:r>
      <w:proofErr w:type="spellEnd"/>
      <w:r w:rsidR="004A23EE" w:rsidRPr="004A23EE">
        <w:rPr>
          <w:rFonts w:ascii="Times New Roman" w:hAnsi="Times New Roman" w:cs="Times New Roman"/>
          <w:sz w:val="24"/>
          <w:szCs w:val="24"/>
        </w:rPr>
        <w:t>, 2017)</w:t>
      </w:r>
      <w:r w:rsidR="00FF70C8">
        <w:rPr>
          <w:rFonts w:ascii="Times New Roman" w:hAnsi="Times New Roman" w:cs="Times New Roman"/>
          <w:sz w:val="24"/>
          <w:szCs w:val="24"/>
        </w:rPr>
        <w:t>. From the calculations, Sweets Plc. had a</w:t>
      </w:r>
      <w:r w:rsidR="007723FA">
        <w:rPr>
          <w:rFonts w:ascii="Times New Roman" w:hAnsi="Times New Roman" w:cs="Times New Roman"/>
          <w:sz w:val="24"/>
          <w:szCs w:val="24"/>
        </w:rPr>
        <w:t>n</w:t>
      </w:r>
      <w:r w:rsidR="00FF70C8">
        <w:rPr>
          <w:rFonts w:ascii="Times New Roman" w:hAnsi="Times New Roman" w:cs="Times New Roman"/>
          <w:sz w:val="24"/>
          <w:szCs w:val="24"/>
        </w:rPr>
        <w:t xml:space="preserve"> ROE of 12.57% in 2020, which increased to 13.96% in 2021. </w:t>
      </w:r>
      <w:r w:rsidR="00B47BD4">
        <w:rPr>
          <w:rFonts w:ascii="Times New Roman" w:hAnsi="Times New Roman" w:cs="Times New Roman"/>
          <w:sz w:val="24"/>
          <w:szCs w:val="24"/>
        </w:rPr>
        <w:t xml:space="preserve">This was due to an increase in both the net income and shareholder’s equity of the business. Ideally, it is expected that since the company was performing well, it attracted a lot of investors and thus, an increase in the shareholder’s equity could be seen. Since the ROE of Sweets Plc. is positive in both years under consideration and it increased from 2020 to 2021, the profitability of Sweets Plc. would be said to be increasing. </w:t>
      </w:r>
    </w:p>
    <w:p w14:paraId="1BF428DA" w14:textId="2F454C2E" w:rsidR="007510F8" w:rsidRDefault="007510F8" w:rsidP="007510F8">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Lastly, the net profit margin of Sweets Plc. was computed by dividing the net profit of the company by its sales</w:t>
      </w:r>
      <w:r w:rsidR="004A23EE">
        <w:rPr>
          <w:rFonts w:ascii="Times New Roman" w:hAnsi="Times New Roman" w:cs="Times New Roman"/>
          <w:sz w:val="24"/>
          <w:szCs w:val="24"/>
        </w:rPr>
        <w:t xml:space="preserve"> </w:t>
      </w:r>
      <w:r w:rsidR="004A23EE" w:rsidRPr="004A23EE">
        <w:rPr>
          <w:rFonts w:ascii="Times New Roman" w:hAnsi="Times New Roman" w:cs="Times New Roman"/>
          <w:sz w:val="24"/>
          <w:szCs w:val="24"/>
        </w:rPr>
        <w:t xml:space="preserve">(Thomas &amp; </w:t>
      </w:r>
      <w:proofErr w:type="spellStart"/>
      <w:r w:rsidR="004A23EE" w:rsidRPr="004A23EE">
        <w:rPr>
          <w:rFonts w:ascii="Times New Roman" w:hAnsi="Times New Roman" w:cs="Times New Roman"/>
          <w:sz w:val="24"/>
          <w:szCs w:val="24"/>
        </w:rPr>
        <w:t>Rabiyathulbasariya</w:t>
      </w:r>
      <w:proofErr w:type="spellEnd"/>
      <w:r w:rsidR="004A23EE" w:rsidRPr="004A23EE">
        <w:rPr>
          <w:rFonts w:ascii="Times New Roman" w:hAnsi="Times New Roman" w:cs="Times New Roman"/>
          <w:sz w:val="24"/>
          <w:szCs w:val="24"/>
        </w:rPr>
        <w:t>, 2017)</w:t>
      </w:r>
      <w:r>
        <w:rPr>
          <w:rFonts w:ascii="Times New Roman" w:hAnsi="Times New Roman" w:cs="Times New Roman"/>
          <w:sz w:val="24"/>
          <w:szCs w:val="24"/>
        </w:rPr>
        <w:t>. From the calculations, Sweets Plc. had a net profit margin of 5.68</w:t>
      </w:r>
      <w:r w:rsidR="00345719">
        <w:rPr>
          <w:rFonts w:ascii="Times New Roman" w:hAnsi="Times New Roman" w:cs="Times New Roman"/>
          <w:sz w:val="24"/>
          <w:szCs w:val="24"/>
        </w:rPr>
        <w:t>%</w:t>
      </w:r>
      <w:r>
        <w:rPr>
          <w:rFonts w:ascii="Times New Roman" w:hAnsi="Times New Roman" w:cs="Times New Roman"/>
          <w:sz w:val="24"/>
          <w:szCs w:val="24"/>
        </w:rPr>
        <w:t xml:space="preserve"> in 2020, which rose to 6.</w:t>
      </w:r>
      <w:r w:rsidR="00345719">
        <w:rPr>
          <w:rFonts w:ascii="Times New Roman" w:hAnsi="Times New Roman" w:cs="Times New Roman"/>
          <w:sz w:val="24"/>
          <w:szCs w:val="24"/>
        </w:rPr>
        <w:t>40</w:t>
      </w:r>
      <w:r>
        <w:rPr>
          <w:rFonts w:ascii="Times New Roman" w:hAnsi="Times New Roman" w:cs="Times New Roman"/>
          <w:sz w:val="24"/>
          <w:szCs w:val="24"/>
        </w:rPr>
        <w:t xml:space="preserve">% in 2021. This was due to an increase in the net income of the business as the company’s sales also inclined. Since the net profit margin </w:t>
      </w:r>
      <w:r>
        <w:rPr>
          <w:rFonts w:ascii="Times New Roman" w:hAnsi="Times New Roman" w:cs="Times New Roman"/>
          <w:sz w:val="24"/>
          <w:szCs w:val="24"/>
        </w:rPr>
        <w:lastRenderedPageBreak/>
        <w:t>of Sweets Plc. was positive and it increased from 2020 to 2021, the company would be considered profitable.</w:t>
      </w:r>
    </w:p>
    <w:p w14:paraId="21E2FC42" w14:textId="3958C8B9" w:rsidR="007510F8" w:rsidRPr="007510F8" w:rsidRDefault="007510F8" w:rsidP="007510F8">
      <w:pPr>
        <w:spacing w:after="0" w:line="480" w:lineRule="auto"/>
        <w:jc w:val="both"/>
        <w:rPr>
          <w:rFonts w:ascii="Times New Roman" w:hAnsi="Times New Roman" w:cs="Times New Roman"/>
          <w:b/>
          <w:bCs/>
          <w:sz w:val="24"/>
          <w:szCs w:val="24"/>
        </w:rPr>
      </w:pPr>
      <w:r w:rsidRPr="007510F8">
        <w:rPr>
          <w:rFonts w:ascii="Times New Roman" w:hAnsi="Times New Roman" w:cs="Times New Roman"/>
          <w:b/>
          <w:bCs/>
          <w:sz w:val="24"/>
          <w:szCs w:val="24"/>
        </w:rPr>
        <w:t>Market Ratios</w:t>
      </w:r>
    </w:p>
    <w:p w14:paraId="49831F87" w14:textId="34339ECA" w:rsidR="00B47BD4" w:rsidRDefault="007510F8"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Market ratios evaluate </w:t>
      </w:r>
      <w:r w:rsidR="00B17F26">
        <w:rPr>
          <w:rFonts w:ascii="Times New Roman" w:hAnsi="Times New Roman" w:cs="Times New Roman"/>
          <w:sz w:val="24"/>
          <w:szCs w:val="24"/>
        </w:rPr>
        <w:t>how a company is performing from the perspective of the shareholders</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sidR="00B17F26">
        <w:rPr>
          <w:rFonts w:ascii="Times New Roman" w:hAnsi="Times New Roman" w:cs="Times New Roman"/>
          <w:sz w:val="24"/>
          <w:szCs w:val="24"/>
        </w:rPr>
        <w:t xml:space="preserve">. </w:t>
      </w:r>
      <w:r>
        <w:rPr>
          <w:rFonts w:ascii="Times New Roman" w:hAnsi="Times New Roman" w:cs="Times New Roman"/>
          <w:sz w:val="24"/>
          <w:szCs w:val="24"/>
        </w:rPr>
        <w:t>In terms of the market ratios, only the Earnings Per Share (EPS) of Sweets Plc. was computed. The</w:t>
      </w:r>
      <w:r w:rsidR="00FF70C8">
        <w:rPr>
          <w:rFonts w:ascii="Times New Roman" w:hAnsi="Times New Roman" w:cs="Times New Roman"/>
          <w:sz w:val="24"/>
          <w:szCs w:val="24"/>
        </w:rPr>
        <w:t xml:space="preserve"> EPS of Sweets Plc. was calculated by dividing the net income of the organization by the number of ordinary shares outstanding. In this case, the number of ordinary shares outstanding was computed by dividing the total ordinary share capital by the price per ordinary share. From the calculations, Sweets Plc. had an EPS of £</w:t>
      </w:r>
      <w:r w:rsidR="005328FA">
        <w:rPr>
          <w:rFonts w:ascii="Times New Roman" w:hAnsi="Times New Roman" w:cs="Times New Roman"/>
          <w:sz w:val="24"/>
          <w:szCs w:val="24"/>
        </w:rPr>
        <w:t>1.22</w:t>
      </w:r>
      <w:r w:rsidR="00FF70C8">
        <w:rPr>
          <w:rFonts w:ascii="Times New Roman" w:hAnsi="Times New Roman" w:cs="Times New Roman"/>
          <w:sz w:val="24"/>
          <w:szCs w:val="24"/>
        </w:rPr>
        <w:t xml:space="preserve"> per share in 2020, which inclined to £</w:t>
      </w:r>
      <w:r w:rsidR="005328FA">
        <w:rPr>
          <w:rFonts w:ascii="Times New Roman" w:hAnsi="Times New Roman" w:cs="Times New Roman"/>
          <w:sz w:val="24"/>
          <w:szCs w:val="24"/>
        </w:rPr>
        <w:t>1.44</w:t>
      </w:r>
      <w:r w:rsidR="00FF70C8">
        <w:rPr>
          <w:rFonts w:ascii="Times New Roman" w:hAnsi="Times New Roman" w:cs="Times New Roman"/>
          <w:sz w:val="24"/>
          <w:szCs w:val="24"/>
        </w:rPr>
        <w:t xml:space="preserve"> per share in 2021. </w:t>
      </w:r>
      <w:r w:rsidR="00B47BD4">
        <w:rPr>
          <w:rFonts w:ascii="Times New Roman" w:hAnsi="Times New Roman" w:cs="Times New Roman"/>
          <w:sz w:val="24"/>
          <w:szCs w:val="24"/>
        </w:rPr>
        <w:t xml:space="preserve">This was attributed to an increase in the net income of the business. A rise in the earnings per share means that the company is generating higher earnings for its shareholders. Since the EPS of Sweets Plc. inclined from 2020 to 2021, the company would be said to be profitable. </w:t>
      </w:r>
    </w:p>
    <w:p w14:paraId="3C8115FE" w14:textId="335E1949" w:rsidR="00B17F26" w:rsidRPr="00B17F26" w:rsidRDefault="00B17F26" w:rsidP="00B17F26">
      <w:pPr>
        <w:spacing w:after="0" w:line="480" w:lineRule="auto"/>
        <w:jc w:val="both"/>
        <w:rPr>
          <w:rFonts w:ascii="Times New Roman" w:hAnsi="Times New Roman" w:cs="Times New Roman"/>
          <w:b/>
          <w:bCs/>
          <w:sz w:val="24"/>
          <w:szCs w:val="24"/>
        </w:rPr>
      </w:pPr>
      <w:r w:rsidRPr="00B17F26">
        <w:rPr>
          <w:rFonts w:ascii="Times New Roman" w:hAnsi="Times New Roman" w:cs="Times New Roman"/>
          <w:b/>
          <w:bCs/>
          <w:sz w:val="24"/>
          <w:szCs w:val="24"/>
        </w:rPr>
        <w:t>Efficiency Ratios</w:t>
      </w:r>
    </w:p>
    <w:p w14:paraId="588FE519" w14:textId="0C242CFC" w:rsidR="00B47BD4"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Efficiency ratios look at whether a firm is efficiently converting its assets into cash or sales</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Pr>
          <w:rFonts w:ascii="Times New Roman" w:hAnsi="Times New Roman" w:cs="Times New Roman"/>
          <w:sz w:val="24"/>
          <w:szCs w:val="24"/>
        </w:rPr>
        <w:t>. For Sweets Plc., the asset turnover, stock holding days and debtor’s collection period were computed. Firstly</w:t>
      </w:r>
      <w:r w:rsidR="00FF70C8">
        <w:rPr>
          <w:rFonts w:ascii="Times New Roman" w:hAnsi="Times New Roman" w:cs="Times New Roman"/>
          <w:sz w:val="24"/>
          <w:szCs w:val="24"/>
        </w:rPr>
        <w:t xml:space="preserve">, the asset turnover was calculated by dividing the sales of the company by its total assets. </w:t>
      </w:r>
      <w:r w:rsidR="002C5933">
        <w:rPr>
          <w:rFonts w:ascii="Times New Roman" w:hAnsi="Times New Roman" w:cs="Times New Roman"/>
          <w:sz w:val="24"/>
          <w:szCs w:val="24"/>
        </w:rPr>
        <w:t xml:space="preserve">The higher the assets turnover, the better as it would mean that the organization is efficiently converting its assets into sales. </w:t>
      </w:r>
      <w:r w:rsidR="00FF70C8">
        <w:rPr>
          <w:rFonts w:ascii="Times New Roman" w:hAnsi="Times New Roman" w:cs="Times New Roman"/>
          <w:sz w:val="24"/>
          <w:szCs w:val="24"/>
        </w:rPr>
        <w:t xml:space="preserve">As per the computations, Sweets Plc. had an assets turnover of </w:t>
      </w:r>
      <w:r w:rsidR="00987EAC">
        <w:rPr>
          <w:rFonts w:ascii="Times New Roman" w:hAnsi="Times New Roman" w:cs="Times New Roman"/>
          <w:sz w:val="24"/>
          <w:szCs w:val="24"/>
        </w:rPr>
        <w:t>0.64</w:t>
      </w:r>
      <w:r w:rsidR="00FF70C8">
        <w:rPr>
          <w:rFonts w:ascii="Times New Roman" w:hAnsi="Times New Roman" w:cs="Times New Roman"/>
          <w:sz w:val="24"/>
          <w:szCs w:val="24"/>
        </w:rPr>
        <w:t xml:space="preserve"> times in 2020, which increased to 0.69 times in 2021. </w:t>
      </w:r>
      <w:r w:rsidR="00B47BD4">
        <w:rPr>
          <w:rFonts w:ascii="Times New Roman" w:hAnsi="Times New Roman" w:cs="Times New Roman"/>
          <w:sz w:val="24"/>
          <w:szCs w:val="24"/>
        </w:rPr>
        <w:t xml:space="preserve">This was attributed to </w:t>
      </w:r>
      <w:r w:rsidR="002C5933">
        <w:rPr>
          <w:rFonts w:ascii="Times New Roman" w:hAnsi="Times New Roman" w:cs="Times New Roman"/>
          <w:sz w:val="24"/>
          <w:szCs w:val="24"/>
        </w:rPr>
        <w:t xml:space="preserve">an increase in the sales of the business as the total assets dropped. Since the asset turnover of Sweets Plc. increased from 2020 to 2021, Sweets Plc. would be said to be </w:t>
      </w:r>
      <w:r w:rsidR="002C5933">
        <w:rPr>
          <w:rFonts w:ascii="Times New Roman" w:hAnsi="Times New Roman" w:cs="Times New Roman"/>
          <w:sz w:val="24"/>
          <w:szCs w:val="24"/>
        </w:rPr>
        <w:lastRenderedPageBreak/>
        <w:t>efficiently converting its total assets into sales despite the sales revenue dropping from 2020 to 2021.</w:t>
      </w:r>
    </w:p>
    <w:p w14:paraId="0696D720" w14:textId="776E55FD" w:rsidR="00B47BD4"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Secondly</w:t>
      </w:r>
      <w:r w:rsidR="00FF70C8">
        <w:rPr>
          <w:rFonts w:ascii="Times New Roman" w:hAnsi="Times New Roman" w:cs="Times New Roman"/>
          <w:sz w:val="24"/>
          <w:szCs w:val="24"/>
        </w:rPr>
        <w:t>, the stock holding days of Sweets Plc. w</w:t>
      </w:r>
      <w:r w:rsidR="007723FA">
        <w:rPr>
          <w:rFonts w:ascii="Times New Roman" w:hAnsi="Times New Roman" w:cs="Times New Roman"/>
          <w:sz w:val="24"/>
          <w:szCs w:val="24"/>
        </w:rPr>
        <w:t>ere</w:t>
      </w:r>
      <w:r w:rsidR="00FF70C8">
        <w:rPr>
          <w:rFonts w:ascii="Times New Roman" w:hAnsi="Times New Roman" w:cs="Times New Roman"/>
          <w:sz w:val="24"/>
          <w:szCs w:val="24"/>
        </w:rPr>
        <w:t xml:space="preserve"> calculated by multiplying the inventory turnover by 365 days</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sidR="00FF70C8">
        <w:rPr>
          <w:rFonts w:ascii="Times New Roman" w:hAnsi="Times New Roman" w:cs="Times New Roman"/>
          <w:sz w:val="24"/>
          <w:szCs w:val="24"/>
        </w:rPr>
        <w:t xml:space="preserve">. In this case, the inventory turnover of Sweets Plc. was gotten by dividing the closing stock of the firm by its cost of goods sold. </w:t>
      </w:r>
      <w:r w:rsidR="002C5933">
        <w:rPr>
          <w:rFonts w:ascii="Times New Roman" w:hAnsi="Times New Roman" w:cs="Times New Roman"/>
          <w:sz w:val="24"/>
          <w:szCs w:val="24"/>
        </w:rPr>
        <w:t>The lower the stock holding days, the better since this would allow the business to turn</w:t>
      </w:r>
      <w:r w:rsidR="007723FA">
        <w:rPr>
          <w:rFonts w:ascii="Times New Roman" w:hAnsi="Times New Roman" w:cs="Times New Roman"/>
          <w:sz w:val="24"/>
          <w:szCs w:val="24"/>
        </w:rPr>
        <w:t xml:space="preserve"> </w:t>
      </w:r>
      <w:r w:rsidR="002C5933">
        <w:rPr>
          <w:rFonts w:ascii="Times New Roman" w:hAnsi="Times New Roman" w:cs="Times New Roman"/>
          <w:sz w:val="24"/>
          <w:szCs w:val="24"/>
        </w:rPr>
        <w:t xml:space="preserve">around cash faster. </w:t>
      </w:r>
      <w:r w:rsidR="00FF70C8">
        <w:rPr>
          <w:rFonts w:ascii="Times New Roman" w:hAnsi="Times New Roman" w:cs="Times New Roman"/>
          <w:sz w:val="24"/>
          <w:szCs w:val="24"/>
        </w:rPr>
        <w:t xml:space="preserve">Sweets Plc. had 77.69 stock holding days in 2020, which inclined to 79.88 stock holding days in 2021, as evidenced in the computations. </w:t>
      </w:r>
      <w:r w:rsidR="002C5933">
        <w:rPr>
          <w:rFonts w:ascii="Times New Roman" w:hAnsi="Times New Roman" w:cs="Times New Roman"/>
          <w:sz w:val="24"/>
          <w:szCs w:val="24"/>
        </w:rPr>
        <w:t>As a result of the increase in the stock holding days of Sweets Plc. from 2020 to 2021, the company would be said to be less efficient in converting its inventory into sales or cash.</w:t>
      </w:r>
    </w:p>
    <w:p w14:paraId="7CD6F8F3" w14:textId="1566D209" w:rsidR="00B47BD4"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Lastly</w:t>
      </w:r>
      <w:r w:rsidR="00FF70C8">
        <w:rPr>
          <w:rFonts w:ascii="Times New Roman" w:hAnsi="Times New Roman" w:cs="Times New Roman"/>
          <w:sz w:val="24"/>
          <w:szCs w:val="24"/>
        </w:rPr>
        <w:t>, the debtor’s collection period was calculated by dividing the trade receivables of the company by its sales and multiplying by 365 days</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sidR="00FF70C8">
        <w:rPr>
          <w:rFonts w:ascii="Times New Roman" w:hAnsi="Times New Roman" w:cs="Times New Roman"/>
          <w:sz w:val="24"/>
          <w:szCs w:val="24"/>
        </w:rPr>
        <w:t xml:space="preserve">. </w:t>
      </w:r>
      <w:r w:rsidR="002C5933">
        <w:rPr>
          <w:rFonts w:ascii="Times New Roman" w:hAnsi="Times New Roman" w:cs="Times New Roman"/>
          <w:sz w:val="24"/>
          <w:szCs w:val="24"/>
        </w:rPr>
        <w:t xml:space="preserve">A lower debtor’s collection period would be considered better since this would mean that the corporation is realizing cash faster from its debtors. </w:t>
      </w:r>
      <w:r w:rsidR="00FF70C8">
        <w:rPr>
          <w:rFonts w:ascii="Times New Roman" w:hAnsi="Times New Roman" w:cs="Times New Roman"/>
          <w:sz w:val="24"/>
          <w:szCs w:val="24"/>
        </w:rPr>
        <w:t xml:space="preserve">From the analysis, Sweets Plc. had a debtor’s collection period of 72.93 days in 2020, which dropped to 67.66 days in 2021. </w:t>
      </w:r>
      <w:r w:rsidR="002C5933">
        <w:rPr>
          <w:rFonts w:ascii="Times New Roman" w:hAnsi="Times New Roman" w:cs="Times New Roman"/>
          <w:sz w:val="24"/>
          <w:szCs w:val="24"/>
        </w:rPr>
        <w:t>Since the debtor’s collection period of Sweets Plc. declined from 2020 to 2021, the corporation would be said to be less efficient in converting its trade receivables into sales or cash.</w:t>
      </w:r>
    </w:p>
    <w:p w14:paraId="2146D7EF" w14:textId="7B0B3DF8" w:rsidR="00B17F26" w:rsidRPr="00B17F26" w:rsidRDefault="00B17F26" w:rsidP="00B17F26">
      <w:pPr>
        <w:spacing w:after="0" w:line="480" w:lineRule="auto"/>
        <w:jc w:val="both"/>
        <w:rPr>
          <w:rFonts w:ascii="Times New Roman" w:hAnsi="Times New Roman" w:cs="Times New Roman"/>
          <w:b/>
          <w:bCs/>
          <w:sz w:val="24"/>
          <w:szCs w:val="24"/>
        </w:rPr>
      </w:pPr>
      <w:r w:rsidRPr="00B17F26">
        <w:rPr>
          <w:rFonts w:ascii="Times New Roman" w:hAnsi="Times New Roman" w:cs="Times New Roman"/>
          <w:b/>
          <w:bCs/>
          <w:sz w:val="24"/>
          <w:szCs w:val="24"/>
        </w:rPr>
        <w:t>Liquidity Ratios</w:t>
      </w:r>
    </w:p>
    <w:p w14:paraId="1128B79B" w14:textId="245E64E0" w:rsidR="00B47BD4"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Liquidity ratios determine whether an enterprise has enough liquid assets to pay its short-term obligations when they become due</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Pr>
          <w:rFonts w:ascii="Times New Roman" w:hAnsi="Times New Roman" w:cs="Times New Roman"/>
          <w:sz w:val="24"/>
          <w:szCs w:val="24"/>
        </w:rPr>
        <w:t>. For Sweets Plc.’s analysis, only the current ratio was calculated. The</w:t>
      </w:r>
      <w:r w:rsidR="00FF70C8">
        <w:rPr>
          <w:rFonts w:ascii="Times New Roman" w:hAnsi="Times New Roman" w:cs="Times New Roman"/>
          <w:sz w:val="24"/>
          <w:szCs w:val="24"/>
        </w:rPr>
        <w:t xml:space="preserve"> current ratio of Sweets Plc. was computed by </w:t>
      </w:r>
      <w:r w:rsidR="00205B7A">
        <w:rPr>
          <w:rFonts w:ascii="Times New Roman" w:hAnsi="Times New Roman" w:cs="Times New Roman"/>
          <w:sz w:val="24"/>
          <w:szCs w:val="24"/>
        </w:rPr>
        <w:t xml:space="preserve">dividing the current assets of the enterprise by its current liabilities. </w:t>
      </w:r>
      <w:r w:rsidR="002C5933">
        <w:rPr>
          <w:rFonts w:ascii="Times New Roman" w:hAnsi="Times New Roman" w:cs="Times New Roman"/>
          <w:sz w:val="24"/>
          <w:szCs w:val="24"/>
        </w:rPr>
        <w:t xml:space="preserve">The current ratio is used to measure liquidity and thus, a higher current ratio would be preferred since it would mean that the </w:t>
      </w:r>
      <w:r w:rsidR="002C5933">
        <w:rPr>
          <w:rFonts w:ascii="Times New Roman" w:hAnsi="Times New Roman" w:cs="Times New Roman"/>
          <w:sz w:val="24"/>
          <w:szCs w:val="24"/>
        </w:rPr>
        <w:lastRenderedPageBreak/>
        <w:t xml:space="preserve">organization </w:t>
      </w:r>
      <w:r w:rsidR="007723FA">
        <w:rPr>
          <w:rFonts w:ascii="Times New Roman" w:hAnsi="Times New Roman" w:cs="Times New Roman"/>
          <w:sz w:val="24"/>
          <w:szCs w:val="24"/>
        </w:rPr>
        <w:t>can</w:t>
      </w:r>
      <w:r w:rsidR="002C5933">
        <w:rPr>
          <w:rFonts w:ascii="Times New Roman" w:hAnsi="Times New Roman" w:cs="Times New Roman"/>
          <w:sz w:val="24"/>
          <w:szCs w:val="24"/>
        </w:rPr>
        <w:t xml:space="preserve"> pay its short-term obligations more when they become due. </w:t>
      </w:r>
      <w:r w:rsidR="00205B7A">
        <w:rPr>
          <w:rFonts w:ascii="Times New Roman" w:hAnsi="Times New Roman" w:cs="Times New Roman"/>
          <w:sz w:val="24"/>
          <w:szCs w:val="24"/>
        </w:rPr>
        <w:t xml:space="preserve">Sweets Plc. had a current ratio of 0.77 times in 2020, which rose to 0.92 times in 2021, as evidenced by the calculations. </w:t>
      </w:r>
      <w:r w:rsidR="007510F8">
        <w:rPr>
          <w:rFonts w:ascii="Times New Roman" w:hAnsi="Times New Roman" w:cs="Times New Roman"/>
          <w:sz w:val="24"/>
          <w:szCs w:val="24"/>
        </w:rPr>
        <w:t xml:space="preserve">Since the current ratio of Sweets Plc. increased from 2020 to 2021, the company would be said to be liquid and therefore, it </w:t>
      </w:r>
      <w:r w:rsidR="007723FA">
        <w:rPr>
          <w:rFonts w:ascii="Times New Roman" w:hAnsi="Times New Roman" w:cs="Times New Roman"/>
          <w:sz w:val="24"/>
          <w:szCs w:val="24"/>
        </w:rPr>
        <w:t>can</w:t>
      </w:r>
      <w:r w:rsidR="007510F8">
        <w:rPr>
          <w:rFonts w:ascii="Times New Roman" w:hAnsi="Times New Roman" w:cs="Times New Roman"/>
          <w:sz w:val="24"/>
          <w:szCs w:val="24"/>
        </w:rPr>
        <w:t xml:space="preserve"> </w:t>
      </w:r>
      <w:r w:rsidR="007723FA">
        <w:rPr>
          <w:rFonts w:ascii="Times New Roman" w:hAnsi="Times New Roman" w:cs="Times New Roman"/>
          <w:sz w:val="24"/>
          <w:szCs w:val="24"/>
        </w:rPr>
        <w:t xml:space="preserve">have </w:t>
      </w:r>
      <w:r w:rsidR="007510F8">
        <w:rPr>
          <w:rFonts w:ascii="Times New Roman" w:hAnsi="Times New Roman" w:cs="Times New Roman"/>
          <w:sz w:val="24"/>
          <w:szCs w:val="24"/>
        </w:rPr>
        <w:t>higher short-term obligations when they become due more in 2021 than in 2020.</w:t>
      </w:r>
    </w:p>
    <w:p w14:paraId="3340D28E" w14:textId="0BDDB7E4" w:rsidR="00B17F26" w:rsidRPr="00B17F26" w:rsidRDefault="00B17F26" w:rsidP="00B17F26">
      <w:pPr>
        <w:spacing w:after="0" w:line="480" w:lineRule="auto"/>
        <w:jc w:val="both"/>
        <w:rPr>
          <w:rFonts w:ascii="Times New Roman" w:hAnsi="Times New Roman" w:cs="Times New Roman"/>
          <w:b/>
          <w:bCs/>
          <w:sz w:val="24"/>
          <w:szCs w:val="24"/>
        </w:rPr>
      </w:pPr>
      <w:r w:rsidRPr="00B17F26">
        <w:rPr>
          <w:rFonts w:ascii="Times New Roman" w:hAnsi="Times New Roman" w:cs="Times New Roman"/>
          <w:b/>
          <w:bCs/>
          <w:sz w:val="24"/>
          <w:szCs w:val="24"/>
        </w:rPr>
        <w:t xml:space="preserve">Solvency Ratios </w:t>
      </w:r>
    </w:p>
    <w:p w14:paraId="60783629" w14:textId="5CB2C241" w:rsidR="00B47BD4"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Solvency ratios determine the sources of financing of </w:t>
      </w:r>
      <w:r w:rsidR="007723FA">
        <w:rPr>
          <w:rFonts w:ascii="Times New Roman" w:hAnsi="Times New Roman" w:cs="Times New Roman"/>
          <w:sz w:val="24"/>
          <w:szCs w:val="24"/>
        </w:rPr>
        <w:t xml:space="preserve">a </w:t>
      </w:r>
      <w:r>
        <w:rPr>
          <w:rFonts w:ascii="Times New Roman" w:hAnsi="Times New Roman" w:cs="Times New Roman"/>
          <w:sz w:val="24"/>
          <w:szCs w:val="24"/>
        </w:rPr>
        <w:t>business, that is, whether debt or equity</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Pr>
          <w:rFonts w:ascii="Times New Roman" w:hAnsi="Times New Roman" w:cs="Times New Roman"/>
          <w:sz w:val="24"/>
          <w:szCs w:val="24"/>
        </w:rPr>
        <w:t>. In addition to this, they evaluate the ability of an enterprise to pay back its long-term obligations when they become due. For Sweets Plc., the gearing ratio and the interest cover were computed. The</w:t>
      </w:r>
      <w:r w:rsidR="00205B7A">
        <w:rPr>
          <w:rFonts w:ascii="Times New Roman" w:hAnsi="Times New Roman" w:cs="Times New Roman"/>
          <w:sz w:val="24"/>
          <w:szCs w:val="24"/>
        </w:rPr>
        <w:t xml:space="preserve"> gearing ratio was calculated by dividing the total debt of the company (short-term and long-term) by its total shareholder’s equity. </w:t>
      </w:r>
      <w:r w:rsidR="007510F8">
        <w:rPr>
          <w:rFonts w:ascii="Times New Roman" w:hAnsi="Times New Roman" w:cs="Times New Roman"/>
          <w:sz w:val="24"/>
          <w:szCs w:val="24"/>
        </w:rPr>
        <w:t xml:space="preserve">A gearing ratio that is lower than 100% would be preferred since it would mean that an organization is financed </w:t>
      </w:r>
      <w:r w:rsidR="007723FA">
        <w:rPr>
          <w:rFonts w:ascii="Times New Roman" w:hAnsi="Times New Roman" w:cs="Times New Roman"/>
          <w:sz w:val="24"/>
          <w:szCs w:val="24"/>
        </w:rPr>
        <w:t xml:space="preserve">with </w:t>
      </w:r>
      <w:r w:rsidR="007510F8">
        <w:rPr>
          <w:rFonts w:ascii="Times New Roman" w:hAnsi="Times New Roman" w:cs="Times New Roman"/>
          <w:sz w:val="24"/>
          <w:szCs w:val="24"/>
        </w:rPr>
        <w:t xml:space="preserve">a lower debt level as compared to equity and thus, this would attract investors to invest their funds in the company. The main reason why investors would be attracted to invest in the company </w:t>
      </w:r>
      <w:r w:rsidR="007723FA">
        <w:rPr>
          <w:rFonts w:ascii="Times New Roman" w:hAnsi="Times New Roman" w:cs="Times New Roman"/>
          <w:sz w:val="24"/>
          <w:szCs w:val="24"/>
        </w:rPr>
        <w:t xml:space="preserve">is </w:t>
      </w:r>
      <w:r w:rsidR="007510F8">
        <w:rPr>
          <w:rFonts w:ascii="Times New Roman" w:hAnsi="Times New Roman" w:cs="Times New Roman"/>
          <w:sz w:val="24"/>
          <w:szCs w:val="24"/>
        </w:rPr>
        <w:t xml:space="preserve">due to </w:t>
      </w:r>
      <w:r w:rsidR="007723FA">
        <w:rPr>
          <w:rFonts w:ascii="Times New Roman" w:hAnsi="Times New Roman" w:cs="Times New Roman"/>
          <w:sz w:val="24"/>
          <w:szCs w:val="24"/>
        </w:rPr>
        <w:t xml:space="preserve">the </w:t>
      </w:r>
      <w:r w:rsidR="007510F8">
        <w:rPr>
          <w:rFonts w:ascii="Times New Roman" w:hAnsi="Times New Roman" w:cs="Times New Roman"/>
          <w:sz w:val="24"/>
          <w:szCs w:val="24"/>
        </w:rPr>
        <w:t xml:space="preserve">greater returns that it would provide them. </w:t>
      </w:r>
      <w:r w:rsidR="00205B7A">
        <w:rPr>
          <w:rFonts w:ascii="Times New Roman" w:hAnsi="Times New Roman" w:cs="Times New Roman"/>
          <w:sz w:val="24"/>
          <w:szCs w:val="24"/>
        </w:rPr>
        <w:t xml:space="preserve">The computations reveal that Sweets Plc. had a gearing ratio of 141.79% in 2020, which decreased to 133.97% in 2021. </w:t>
      </w:r>
      <w:r w:rsidR="007510F8">
        <w:rPr>
          <w:rFonts w:ascii="Times New Roman" w:hAnsi="Times New Roman" w:cs="Times New Roman"/>
          <w:sz w:val="24"/>
          <w:szCs w:val="24"/>
        </w:rPr>
        <w:t>A drop in the gearing ratio of Sweets Plc. is good as this means that the level of debt funding of the organization decreased. However, the company’s gearing ratio was still higher than 100%, which indicates that Sweets Plc. was financed by a greater debt level as opposed to shareholder’s equity.</w:t>
      </w:r>
    </w:p>
    <w:p w14:paraId="278C20F6" w14:textId="23965911" w:rsidR="00FF70C8"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Consequently</w:t>
      </w:r>
      <w:r w:rsidR="00205B7A">
        <w:rPr>
          <w:rFonts w:ascii="Times New Roman" w:hAnsi="Times New Roman" w:cs="Times New Roman"/>
          <w:sz w:val="24"/>
          <w:szCs w:val="24"/>
        </w:rPr>
        <w:t>, the interest cover ratio was calculated by dividing the earnings before interest and taxes (EBIT) of the firm by its interest expenses in a particular period</w:t>
      </w:r>
      <w:r w:rsidR="00151DE0">
        <w:rPr>
          <w:rFonts w:ascii="Times New Roman" w:hAnsi="Times New Roman" w:cs="Times New Roman"/>
          <w:sz w:val="24"/>
          <w:szCs w:val="24"/>
        </w:rPr>
        <w:t xml:space="preserve"> </w:t>
      </w:r>
      <w:r w:rsidR="00151DE0" w:rsidRPr="00151DE0">
        <w:rPr>
          <w:rFonts w:ascii="Times New Roman" w:hAnsi="Times New Roman" w:cs="Times New Roman"/>
          <w:sz w:val="24"/>
          <w:szCs w:val="24"/>
        </w:rPr>
        <w:t xml:space="preserve">(Thomas &amp; </w:t>
      </w:r>
      <w:proofErr w:type="spellStart"/>
      <w:r w:rsidR="00151DE0" w:rsidRPr="00151DE0">
        <w:rPr>
          <w:rFonts w:ascii="Times New Roman" w:hAnsi="Times New Roman" w:cs="Times New Roman"/>
          <w:sz w:val="24"/>
          <w:szCs w:val="24"/>
        </w:rPr>
        <w:t>Rabiyathulbasariya</w:t>
      </w:r>
      <w:proofErr w:type="spellEnd"/>
      <w:r w:rsidR="00151DE0" w:rsidRPr="00151DE0">
        <w:rPr>
          <w:rFonts w:ascii="Times New Roman" w:hAnsi="Times New Roman" w:cs="Times New Roman"/>
          <w:sz w:val="24"/>
          <w:szCs w:val="24"/>
        </w:rPr>
        <w:t>, 2017)</w:t>
      </w:r>
      <w:r w:rsidR="00205B7A">
        <w:rPr>
          <w:rFonts w:ascii="Times New Roman" w:hAnsi="Times New Roman" w:cs="Times New Roman"/>
          <w:sz w:val="24"/>
          <w:szCs w:val="24"/>
        </w:rPr>
        <w:t xml:space="preserve">. </w:t>
      </w:r>
      <w:r w:rsidR="007510F8">
        <w:rPr>
          <w:rFonts w:ascii="Times New Roman" w:hAnsi="Times New Roman" w:cs="Times New Roman"/>
          <w:sz w:val="24"/>
          <w:szCs w:val="24"/>
        </w:rPr>
        <w:t>A high</w:t>
      </w:r>
      <w:r w:rsidR="007723FA">
        <w:rPr>
          <w:rFonts w:ascii="Times New Roman" w:hAnsi="Times New Roman" w:cs="Times New Roman"/>
          <w:sz w:val="24"/>
          <w:szCs w:val="24"/>
        </w:rPr>
        <w:t>-</w:t>
      </w:r>
      <w:r w:rsidR="007510F8">
        <w:rPr>
          <w:rFonts w:ascii="Times New Roman" w:hAnsi="Times New Roman" w:cs="Times New Roman"/>
          <w:sz w:val="24"/>
          <w:szCs w:val="24"/>
        </w:rPr>
        <w:t xml:space="preserve">interest cover ratio would be preferred since it means that the organization can pay higher interest obligations in any given financial year. </w:t>
      </w:r>
      <w:r w:rsidR="00205B7A">
        <w:rPr>
          <w:rFonts w:ascii="Times New Roman" w:hAnsi="Times New Roman" w:cs="Times New Roman"/>
          <w:sz w:val="24"/>
          <w:szCs w:val="24"/>
        </w:rPr>
        <w:t xml:space="preserve">Based on the </w:t>
      </w:r>
      <w:r w:rsidR="00205B7A">
        <w:rPr>
          <w:rFonts w:ascii="Times New Roman" w:hAnsi="Times New Roman" w:cs="Times New Roman"/>
          <w:sz w:val="24"/>
          <w:szCs w:val="24"/>
        </w:rPr>
        <w:lastRenderedPageBreak/>
        <w:t xml:space="preserve">computations, Sweets Plc. had an interest cover ratio of </w:t>
      </w:r>
      <w:r w:rsidR="00842B68">
        <w:rPr>
          <w:rFonts w:ascii="Times New Roman" w:hAnsi="Times New Roman" w:cs="Times New Roman"/>
          <w:sz w:val="24"/>
          <w:szCs w:val="24"/>
        </w:rPr>
        <w:t>2.98</w:t>
      </w:r>
      <w:r w:rsidR="00205B7A">
        <w:rPr>
          <w:rFonts w:ascii="Times New Roman" w:hAnsi="Times New Roman" w:cs="Times New Roman"/>
          <w:sz w:val="24"/>
          <w:szCs w:val="24"/>
        </w:rPr>
        <w:t xml:space="preserve"> times in 2020, which dropped to </w:t>
      </w:r>
      <w:r w:rsidR="00842B68">
        <w:rPr>
          <w:rFonts w:ascii="Times New Roman" w:hAnsi="Times New Roman" w:cs="Times New Roman"/>
          <w:sz w:val="24"/>
          <w:szCs w:val="24"/>
        </w:rPr>
        <w:t>2.74</w:t>
      </w:r>
      <w:r w:rsidR="00205B7A">
        <w:rPr>
          <w:rFonts w:ascii="Times New Roman" w:hAnsi="Times New Roman" w:cs="Times New Roman"/>
          <w:sz w:val="24"/>
          <w:szCs w:val="24"/>
        </w:rPr>
        <w:t xml:space="preserve"> times in 2021.</w:t>
      </w:r>
      <w:r w:rsidR="007510F8">
        <w:rPr>
          <w:rFonts w:ascii="Times New Roman" w:hAnsi="Times New Roman" w:cs="Times New Roman"/>
          <w:sz w:val="24"/>
          <w:szCs w:val="24"/>
        </w:rPr>
        <w:t xml:space="preserve"> Since the interest cover of Sweets Plc. declined from 2020 to 2021, </w:t>
      </w:r>
      <w:r w:rsidR="007723FA">
        <w:rPr>
          <w:rFonts w:ascii="Times New Roman" w:hAnsi="Times New Roman" w:cs="Times New Roman"/>
          <w:sz w:val="24"/>
          <w:szCs w:val="24"/>
        </w:rPr>
        <w:t>which</w:t>
      </w:r>
      <w:r w:rsidR="007510F8">
        <w:rPr>
          <w:rFonts w:ascii="Times New Roman" w:hAnsi="Times New Roman" w:cs="Times New Roman"/>
          <w:sz w:val="24"/>
          <w:szCs w:val="24"/>
        </w:rPr>
        <w:t xml:space="preserve"> means that the ability of the organization to pay interest obligations declined. </w:t>
      </w:r>
    </w:p>
    <w:p w14:paraId="59E3AA28" w14:textId="77777777" w:rsidR="00C60387" w:rsidRDefault="00C60387" w:rsidP="00205B7A">
      <w:pPr>
        <w:spacing w:after="0" w:line="480" w:lineRule="auto"/>
        <w:ind w:firstLine="720"/>
        <w:jc w:val="both"/>
        <w:rPr>
          <w:rFonts w:ascii="Times New Roman" w:hAnsi="Times New Roman" w:cs="Times New Roman"/>
          <w:sz w:val="24"/>
          <w:szCs w:val="24"/>
        </w:rPr>
      </w:pPr>
    </w:p>
    <w:p w14:paraId="1B37A298" w14:textId="406569F9" w:rsidR="009B3B5F" w:rsidRPr="00B17F26" w:rsidRDefault="00B17F26" w:rsidP="009B3B5F">
      <w:pPr>
        <w:spacing w:after="0" w:line="480" w:lineRule="auto"/>
        <w:jc w:val="center"/>
        <w:rPr>
          <w:rFonts w:ascii="Times New Roman" w:hAnsi="Times New Roman" w:cs="Times New Roman"/>
          <w:b/>
          <w:bCs/>
          <w:sz w:val="24"/>
          <w:szCs w:val="24"/>
        </w:rPr>
      </w:pPr>
      <w:r w:rsidRPr="00B17F26">
        <w:rPr>
          <w:rFonts w:ascii="Times New Roman" w:hAnsi="Times New Roman" w:cs="Times New Roman"/>
          <w:b/>
          <w:bCs/>
          <w:sz w:val="24"/>
          <w:szCs w:val="24"/>
        </w:rPr>
        <w:t>Recommendation</w:t>
      </w:r>
    </w:p>
    <w:p w14:paraId="510DFCDF" w14:textId="65D83998" w:rsidR="00B17F26" w:rsidRDefault="00B17F26" w:rsidP="00205B7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Firstly, the profitability of Sweets Plc. was evaluated through the computation of the ROCE, </w:t>
      </w:r>
      <w:r w:rsidR="00151DE0">
        <w:rPr>
          <w:rFonts w:ascii="Times New Roman" w:hAnsi="Times New Roman" w:cs="Times New Roman"/>
          <w:sz w:val="24"/>
          <w:szCs w:val="24"/>
        </w:rPr>
        <w:t>ROE,</w:t>
      </w:r>
      <w:r>
        <w:rPr>
          <w:rFonts w:ascii="Times New Roman" w:hAnsi="Times New Roman" w:cs="Times New Roman"/>
          <w:sz w:val="24"/>
          <w:szCs w:val="24"/>
        </w:rPr>
        <w:t xml:space="preserve"> and net profit margin. All these profitability ratios increased and thus, Sweets Plc. would be considered to be a profitable company. Secondly, the market ratios were evaluated through the calculation of the EPS. The EPS of Sweets Plc. increased and thus, the organization would be said to be performing well from an investor’s viewpoint. Thirdly, the efficiency of Sweets Plc. was evaluated through the calculation of the asset turnover, stock holding days and debtor’s collection period were computed. The analysis revealed that Sweets Plc. was efficient in terms of its assets and less efficient in terms of its debtors and stock. Fourthly, the liquidity of Sweets Plc. was analyzed through the calculation of the current ratio. Since it increased, Sweets Plc. would be considered a liquid company. Finally, the solvency of Sweets Plc. was analyzed through the calculation of the gearing ratio and the interest cover. Since the gearing ratio of Sweets Plc. was higher than 100% and its interest cover declined, the company would be said to be insolvent. </w:t>
      </w:r>
    </w:p>
    <w:p w14:paraId="7EC3290B" w14:textId="200A9371" w:rsidR="00151DE0" w:rsidRDefault="00151DE0">
      <w:pPr>
        <w:rPr>
          <w:rFonts w:ascii="Times New Roman" w:hAnsi="Times New Roman" w:cs="Times New Roman"/>
          <w:sz w:val="24"/>
          <w:szCs w:val="24"/>
        </w:rPr>
      </w:pPr>
      <w:r>
        <w:rPr>
          <w:rFonts w:ascii="Times New Roman" w:hAnsi="Times New Roman" w:cs="Times New Roman"/>
          <w:sz w:val="24"/>
          <w:szCs w:val="24"/>
        </w:rPr>
        <w:br w:type="page"/>
      </w:r>
    </w:p>
    <w:p w14:paraId="103F431F" w14:textId="2F27DECC" w:rsidR="00151DE0" w:rsidRPr="004B76FD" w:rsidRDefault="00151DE0" w:rsidP="004B76FD">
      <w:pPr>
        <w:pStyle w:val="Heading1"/>
        <w:jc w:val="center"/>
        <w:rPr>
          <w:rFonts w:ascii="Times New Roman" w:hAnsi="Times New Roman" w:cs="Times New Roman"/>
          <w:b/>
          <w:bCs/>
          <w:color w:val="auto"/>
          <w:sz w:val="28"/>
          <w:szCs w:val="28"/>
        </w:rPr>
      </w:pPr>
      <w:bookmarkStart w:id="6" w:name="_Toc124464370"/>
      <w:r w:rsidRPr="004B76FD">
        <w:rPr>
          <w:rFonts w:ascii="Times New Roman" w:hAnsi="Times New Roman" w:cs="Times New Roman"/>
          <w:b/>
          <w:bCs/>
          <w:color w:val="auto"/>
          <w:sz w:val="28"/>
          <w:szCs w:val="28"/>
        </w:rPr>
        <w:lastRenderedPageBreak/>
        <w:t>References</w:t>
      </w:r>
      <w:bookmarkEnd w:id="6"/>
    </w:p>
    <w:p w14:paraId="279AF5C7" w14:textId="77777777" w:rsidR="004B76FD" w:rsidRPr="004B76FD" w:rsidRDefault="004B76FD" w:rsidP="004B76FD"/>
    <w:p w14:paraId="65FEB9C7" w14:textId="45F8EE3A" w:rsidR="00151DE0" w:rsidRPr="00743CAB" w:rsidRDefault="00151DE0" w:rsidP="00743CAB">
      <w:pPr>
        <w:spacing w:line="480" w:lineRule="auto"/>
        <w:jc w:val="both"/>
        <w:rPr>
          <w:rFonts w:ascii="Times New Roman" w:hAnsi="Times New Roman" w:cs="Times New Roman"/>
          <w:sz w:val="24"/>
          <w:szCs w:val="24"/>
        </w:rPr>
      </w:pPr>
      <w:r w:rsidRPr="00743CAB">
        <w:rPr>
          <w:rFonts w:ascii="Times New Roman" w:hAnsi="Times New Roman" w:cs="Times New Roman"/>
          <w:sz w:val="24"/>
          <w:szCs w:val="24"/>
        </w:rPr>
        <w:t>CFI Team</w:t>
      </w:r>
      <w:r w:rsidR="00311D84">
        <w:rPr>
          <w:rFonts w:ascii="Times New Roman" w:hAnsi="Times New Roman" w:cs="Times New Roman"/>
          <w:sz w:val="24"/>
          <w:szCs w:val="24"/>
        </w:rPr>
        <w:t>,</w:t>
      </w:r>
      <w:r w:rsidRPr="00743CAB">
        <w:rPr>
          <w:rFonts w:ascii="Times New Roman" w:hAnsi="Times New Roman" w:cs="Times New Roman"/>
          <w:sz w:val="24"/>
          <w:szCs w:val="24"/>
        </w:rPr>
        <w:t xml:space="preserve"> (2022)</w:t>
      </w:r>
      <w:r w:rsidR="00311D84">
        <w:rPr>
          <w:rFonts w:ascii="Times New Roman" w:hAnsi="Times New Roman" w:cs="Times New Roman"/>
          <w:sz w:val="24"/>
          <w:szCs w:val="24"/>
        </w:rPr>
        <w:t>,</w:t>
      </w:r>
      <w:r w:rsidRPr="00743CAB">
        <w:rPr>
          <w:rFonts w:ascii="Times New Roman" w:hAnsi="Times New Roman" w:cs="Times New Roman"/>
          <w:sz w:val="24"/>
          <w:szCs w:val="24"/>
        </w:rPr>
        <w:t xml:space="preserve"> </w:t>
      </w:r>
      <w:r w:rsidRPr="00743CAB">
        <w:rPr>
          <w:rFonts w:ascii="Times New Roman" w:hAnsi="Times New Roman" w:cs="Times New Roman"/>
          <w:i/>
          <w:iCs/>
          <w:sz w:val="24"/>
          <w:szCs w:val="24"/>
        </w:rPr>
        <w:t>Statement of Retained Earnings</w:t>
      </w:r>
      <w:r w:rsidR="00311D84">
        <w:rPr>
          <w:rFonts w:ascii="Times New Roman" w:hAnsi="Times New Roman" w:cs="Times New Roman"/>
          <w:sz w:val="24"/>
          <w:szCs w:val="24"/>
        </w:rPr>
        <w:t>,</w:t>
      </w:r>
      <w:r w:rsidRPr="00743CAB">
        <w:rPr>
          <w:rFonts w:ascii="Times New Roman" w:hAnsi="Times New Roman" w:cs="Times New Roman"/>
          <w:sz w:val="24"/>
          <w:szCs w:val="24"/>
        </w:rPr>
        <w:t xml:space="preserve"> Corporate Finance Institute. </w:t>
      </w:r>
      <w:r w:rsidR="00743CAB" w:rsidRPr="00743CAB">
        <w:rPr>
          <w:rFonts w:ascii="Times New Roman" w:hAnsi="Times New Roman" w:cs="Times New Roman"/>
          <w:sz w:val="24"/>
          <w:szCs w:val="24"/>
          <w:shd w:val="clear" w:color="auto" w:fill="FFFFFF"/>
        </w:rPr>
        <w:t xml:space="preserve">Available at: </w:t>
      </w:r>
      <w:hyperlink r:id="rId9" w:history="1">
        <w:r w:rsidR="00743CAB" w:rsidRPr="00743CAB">
          <w:rPr>
            <w:rStyle w:val="Hyperlink"/>
            <w:rFonts w:ascii="Times New Roman" w:hAnsi="Times New Roman" w:cs="Times New Roman"/>
            <w:sz w:val="24"/>
            <w:szCs w:val="24"/>
          </w:rPr>
          <w:t>https://corporatefinanceinstitute.com/resources/accounting/statement-of-retained-earnings/</w:t>
        </w:r>
      </w:hyperlink>
      <w:r w:rsidR="00743CAB">
        <w:t xml:space="preserve">  </w:t>
      </w:r>
      <w:r w:rsidR="00743CAB">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w:t>
      </w:r>
      <w:r w:rsidR="00743CAB">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10</w:t>
      </w:r>
      <w:r w:rsidR="00743CAB" w:rsidRPr="0009532F">
        <w:rPr>
          <w:rFonts w:ascii="Times New Roman" w:hAnsi="Times New Roman" w:cs="Times New Roman"/>
          <w:sz w:val="24"/>
          <w:szCs w:val="24"/>
          <w:shd w:val="clear" w:color="auto" w:fill="FFFFFF"/>
          <w:vertAlign w:val="superscript"/>
        </w:rPr>
        <w:t>th</w:t>
      </w:r>
      <w:r w:rsidR="00743CAB">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Decembe</w:t>
      </w:r>
      <w:r w:rsidR="00743CAB">
        <w:rPr>
          <w:rFonts w:ascii="Times New Roman" w:hAnsi="Times New Roman" w:cs="Times New Roman"/>
          <w:sz w:val="24"/>
          <w:szCs w:val="24"/>
          <w:shd w:val="clear" w:color="auto" w:fill="FFFFFF"/>
        </w:rPr>
        <w:t>r 2022).</w:t>
      </w:r>
    </w:p>
    <w:p w14:paraId="3E282C16" w14:textId="77777777" w:rsidR="00311D84" w:rsidRDefault="00151DE0" w:rsidP="00151DE0">
      <w:pPr>
        <w:pStyle w:val="NormalWeb"/>
        <w:spacing w:before="0" w:beforeAutospacing="0" w:after="0" w:afterAutospacing="0" w:line="480" w:lineRule="auto"/>
        <w:ind w:left="720" w:hanging="720"/>
        <w:jc w:val="both"/>
      </w:pPr>
      <w:r>
        <w:t>Fernando, J. (2019)</w:t>
      </w:r>
      <w:r w:rsidR="00311D84">
        <w:t>,</w:t>
      </w:r>
      <w:r>
        <w:t xml:space="preserve"> </w:t>
      </w:r>
      <w:r>
        <w:rPr>
          <w:i/>
          <w:iCs/>
        </w:rPr>
        <w:t>What Accounting Equations Show Us</w:t>
      </w:r>
      <w:r w:rsidR="00311D84">
        <w:t>,</w:t>
      </w:r>
      <w:r>
        <w:t xml:space="preserve"> Investopedia. </w:t>
      </w:r>
    </w:p>
    <w:p w14:paraId="7829E600" w14:textId="518A3536" w:rsidR="00151DE0" w:rsidRDefault="00743CAB" w:rsidP="00151DE0">
      <w:pPr>
        <w:pStyle w:val="NormalWeb"/>
        <w:spacing w:before="0" w:beforeAutospacing="0" w:after="0" w:afterAutospacing="0" w:line="480" w:lineRule="auto"/>
        <w:ind w:left="720" w:hanging="720"/>
        <w:jc w:val="both"/>
      </w:pPr>
      <w:r>
        <w:rPr>
          <w:shd w:val="clear" w:color="auto" w:fill="FFFFFF"/>
        </w:rPr>
        <w:t xml:space="preserve">Available at: </w:t>
      </w:r>
      <w:hyperlink r:id="rId10" w:history="1">
        <w:r w:rsidR="00311D84" w:rsidRPr="00673905">
          <w:rPr>
            <w:rStyle w:val="Hyperlink"/>
          </w:rPr>
          <w:t>https://www.investopedia.com/terms/a/accounting-equation.asp</w:t>
        </w:r>
      </w:hyperlink>
    </w:p>
    <w:p w14:paraId="506DDCC2" w14:textId="49550B02"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w:t>
      </w:r>
      <w:r>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15</w:t>
      </w:r>
      <w:r>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Dec</w:t>
      </w:r>
      <w:r>
        <w:rPr>
          <w:rFonts w:ascii="Times New Roman" w:hAnsi="Times New Roman" w:cs="Times New Roman"/>
          <w:sz w:val="24"/>
          <w:szCs w:val="24"/>
          <w:shd w:val="clear" w:color="auto" w:fill="FFFFFF"/>
        </w:rPr>
        <w:t>ember 2022).</w:t>
      </w:r>
    </w:p>
    <w:p w14:paraId="03ED66AE" w14:textId="77777777" w:rsidR="00311D84" w:rsidRDefault="00151DE0" w:rsidP="00743CAB">
      <w:pPr>
        <w:pStyle w:val="NormalWeb"/>
        <w:spacing w:before="0" w:beforeAutospacing="0" w:after="0" w:afterAutospacing="0" w:line="480" w:lineRule="auto"/>
        <w:jc w:val="both"/>
      </w:pPr>
      <w:r>
        <w:t>Ferranti, K. (2013)</w:t>
      </w:r>
      <w:r w:rsidR="00311D84">
        <w:t>,</w:t>
      </w:r>
      <w:r>
        <w:t xml:space="preserve"> Digging deep into derivatives: balance sheet management – making strategic decision‐making better</w:t>
      </w:r>
      <w:r w:rsidR="00311D84">
        <w:t>,</w:t>
      </w:r>
      <w:r>
        <w:t xml:space="preserve"> </w:t>
      </w:r>
      <w:r>
        <w:rPr>
          <w:i/>
          <w:iCs/>
        </w:rPr>
        <w:t>Balance Sheet</w:t>
      </w:r>
      <w:r>
        <w:t xml:space="preserve">, </w:t>
      </w:r>
      <w:r>
        <w:rPr>
          <w:i/>
          <w:iCs/>
        </w:rPr>
        <w:t>11</w:t>
      </w:r>
      <w:r>
        <w:t xml:space="preserve">(3), 20–22. </w:t>
      </w:r>
    </w:p>
    <w:p w14:paraId="7A697E9D" w14:textId="39E43C63" w:rsidR="00151DE0" w:rsidRDefault="00743CAB" w:rsidP="00743CAB">
      <w:pPr>
        <w:pStyle w:val="NormalWeb"/>
        <w:spacing w:before="0" w:beforeAutospacing="0" w:after="0" w:afterAutospacing="0" w:line="480" w:lineRule="auto"/>
        <w:jc w:val="both"/>
      </w:pPr>
      <w:r>
        <w:rPr>
          <w:shd w:val="clear" w:color="auto" w:fill="FFFFFF"/>
        </w:rPr>
        <w:t xml:space="preserve">Available at: </w:t>
      </w:r>
      <w:hyperlink r:id="rId11" w:history="1">
        <w:r w:rsidRPr="00673905">
          <w:rPr>
            <w:rStyle w:val="Hyperlink"/>
          </w:rPr>
          <w:t>https://doi.org/10.1108/09657960310491154</w:t>
        </w:r>
      </w:hyperlink>
    </w:p>
    <w:p w14:paraId="52FB1FB1" w14:textId="2D93F431"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w:t>
      </w:r>
      <w:r>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10</w:t>
      </w:r>
      <w:r w:rsidRPr="0009532F">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Dece</w:t>
      </w:r>
      <w:r>
        <w:rPr>
          <w:rFonts w:ascii="Times New Roman" w:hAnsi="Times New Roman" w:cs="Times New Roman"/>
          <w:sz w:val="24"/>
          <w:szCs w:val="24"/>
          <w:shd w:val="clear" w:color="auto" w:fill="FFFFFF"/>
        </w:rPr>
        <w:t>mber 2022).</w:t>
      </w:r>
    </w:p>
    <w:p w14:paraId="1DCB76A2" w14:textId="70245E4F" w:rsidR="00743CAB" w:rsidRDefault="00151DE0" w:rsidP="00743CAB">
      <w:pPr>
        <w:pStyle w:val="NormalWeb"/>
        <w:spacing w:before="0" w:beforeAutospacing="0" w:after="0" w:afterAutospacing="0" w:line="480" w:lineRule="auto"/>
        <w:jc w:val="both"/>
      </w:pPr>
      <w:r>
        <w:t>Lau, Y. W., &amp; Fredriksson, A. (2013)</w:t>
      </w:r>
      <w:r w:rsidR="00311D84">
        <w:t>.</w:t>
      </w:r>
      <w:r>
        <w:t xml:space="preserve"> Income Statement Model of Financial Reporting and Knowledge Structure</w:t>
      </w:r>
      <w:r w:rsidR="00311D84">
        <w:t xml:space="preserve">, </w:t>
      </w:r>
      <w:r>
        <w:rPr>
          <w:i/>
          <w:iCs/>
        </w:rPr>
        <w:t>SSRN Electronic Journal</w:t>
      </w:r>
      <w:r>
        <w:t>.</w:t>
      </w:r>
    </w:p>
    <w:p w14:paraId="3C2B4D8A" w14:textId="3892A49C" w:rsidR="00151DE0" w:rsidRDefault="00743CAB" w:rsidP="00743CAB">
      <w:pPr>
        <w:pStyle w:val="NormalWeb"/>
        <w:spacing w:before="0" w:beforeAutospacing="0" w:after="0" w:afterAutospacing="0" w:line="480" w:lineRule="auto"/>
        <w:jc w:val="both"/>
      </w:pPr>
      <w:r>
        <w:rPr>
          <w:shd w:val="clear" w:color="auto" w:fill="FFFFFF"/>
        </w:rPr>
        <w:t xml:space="preserve">Available at: </w:t>
      </w:r>
      <w:r w:rsidR="00151DE0">
        <w:t xml:space="preserve"> </w:t>
      </w:r>
      <w:hyperlink r:id="rId12" w:history="1">
        <w:r w:rsidRPr="00673905">
          <w:rPr>
            <w:rStyle w:val="Hyperlink"/>
          </w:rPr>
          <w:t>https://doi.org/10.2139/ssrn.2200901</w:t>
        </w:r>
      </w:hyperlink>
    </w:p>
    <w:p w14:paraId="5F9E25F8" w14:textId="6BA89FFC"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 10</w:t>
      </w:r>
      <w:r>
        <w:rPr>
          <w:rFonts w:ascii="Times New Roman" w:hAnsi="Times New Roman" w:cs="Times New Roman"/>
          <w:sz w:val="24"/>
          <w:szCs w:val="24"/>
          <w:shd w:val="clear" w:color="auto" w:fill="FFFFFF"/>
        </w:rPr>
        <w:t xml:space="preserve"> </w:t>
      </w:r>
      <w:r w:rsidR="00311D84">
        <w:rPr>
          <w:rFonts w:ascii="Times New Roman" w:hAnsi="Times New Roman" w:cs="Times New Roman"/>
          <w:sz w:val="24"/>
          <w:szCs w:val="24"/>
          <w:shd w:val="clear" w:color="auto" w:fill="FFFFFF"/>
        </w:rPr>
        <w:t>Dec</w:t>
      </w:r>
      <w:r>
        <w:rPr>
          <w:rFonts w:ascii="Times New Roman" w:hAnsi="Times New Roman" w:cs="Times New Roman"/>
          <w:sz w:val="24"/>
          <w:szCs w:val="24"/>
          <w:shd w:val="clear" w:color="auto" w:fill="FFFFFF"/>
        </w:rPr>
        <w:t>ember 2022).</w:t>
      </w:r>
    </w:p>
    <w:p w14:paraId="3D23623A" w14:textId="77777777" w:rsidR="00311D84" w:rsidRDefault="00151DE0" w:rsidP="00743CAB">
      <w:pPr>
        <w:pStyle w:val="NormalWeb"/>
        <w:spacing w:before="0" w:beforeAutospacing="0" w:after="0" w:afterAutospacing="0" w:line="480" w:lineRule="auto"/>
        <w:jc w:val="both"/>
      </w:pPr>
      <w:r>
        <w:t>Lin, S., Martinez, D., Wang, C., &amp; Yang, Y. (2016)</w:t>
      </w:r>
      <w:r w:rsidR="00311D84">
        <w:t>,</w:t>
      </w:r>
      <w:r>
        <w:t xml:space="preserve"> Is Other Comprehensive Income Reported in the Income Statement More Value Relevant? The Role of Financial Statement Presentation</w:t>
      </w:r>
      <w:r w:rsidR="00311D84">
        <w:t xml:space="preserve">, </w:t>
      </w:r>
      <w:r>
        <w:rPr>
          <w:i/>
          <w:iCs/>
        </w:rPr>
        <w:t>Journal of Accounting, Auditing &amp; Finance</w:t>
      </w:r>
      <w:r>
        <w:t xml:space="preserve">, </w:t>
      </w:r>
      <w:r>
        <w:rPr>
          <w:i/>
          <w:iCs/>
        </w:rPr>
        <w:t>33</w:t>
      </w:r>
      <w:r>
        <w:t xml:space="preserve">(4), 624–646. </w:t>
      </w:r>
    </w:p>
    <w:p w14:paraId="644A6E63" w14:textId="2471CF1D" w:rsidR="00151DE0" w:rsidRDefault="00743CAB" w:rsidP="00743CAB">
      <w:pPr>
        <w:pStyle w:val="NormalWeb"/>
        <w:spacing w:before="0" w:beforeAutospacing="0" w:after="0" w:afterAutospacing="0" w:line="480" w:lineRule="auto"/>
        <w:jc w:val="both"/>
      </w:pPr>
      <w:r>
        <w:rPr>
          <w:shd w:val="clear" w:color="auto" w:fill="FFFFFF"/>
        </w:rPr>
        <w:t xml:space="preserve">Available at: </w:t>
      </w:r>
      <w:hyperlink r:id="rId13" w:history="1">
        <w:r w:rsidRPr="00673905">
          <w:rPr>
            <w:rStyle w:val="Hyperlink"/>
          </w:rPr>
          <w:t>https://doi.org/10.1177/0148558x16670779</w:t>
        </w:r>
      </w:hyperlink>
    </w:p>
    <w:p w14:paraId="03E304B9" w14:textId="4C9E7CB5"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 14 Dec</w:t>
      </w:r>
      <w:r>
        <w:rPr>
          <w:rFonts w:ascii="Times New Roman" w:hAnsi="Times New Roman" w:cs="Times New Roman"/>
          <w:sz w:val="24"/>
          <w:szCs w:val="24"/>
          <w:shd w:val="clear" w:color="auto" w:fill="FFFFFF"/>
        </w:rPr>
        <w:t>ember 2022).</w:t>
      </w:r>
    </w:p>
    <w:p w14:paraId="08FCD10E" w14:textId="77777777" w:rsidR="00311D84" w:rsidRDefault="00311D84" w:rsidP="00311D84">
      <w:pPr>
        <w:pStyle w:val="NormalWeb"/>
        <w:spacing w:before="0" w:beforeAutospacing="0" w:after="0" w:afterAutospacing="0" w:line="480" w:lineRule="auto"/>
        <w:jc w:val="both"/>
      </w:pPr>
    </w:p>
    <w:p w14:paraId="44AED3D6" w14:textId="77777777" w:rsidR="00311D84" w:rsidRDefault="00311D84" w:rsidP="00311D84">
      <w:pPr>
        <w:pStyle w:val="NormalWeb"/>
        <w:spacing w:before="0" w:beforeAutospacing="0" w:after="0" w:afterAutospacing="0" w:line="480" w:lineRule="auto"/>
        <w:jc w:val="both"/>
      </w:pPr>
    </w:p>
    <w:p w14:paraId="4EC219B8" w14:textId="65ECB37E" w:rsidR="00311D84" w:rsidRDefault="00151DE0" w:rsidP="00311D84">
      <w:pPr>
        <w:pStyle w:val="NormalWeb"/>
        <w:spacing w:before="0" w:beforeAutospacing="0" w:after="0" w:afterAutospacing="0" w:line="480" w:lineRule="auto"/>
        <w:jc w:val="both"/>
      </w:pPr>
      <w:r>
        <w:lastRenderedPageBreak/>
        <w:t xml:space="preserve">Thomas, J., &amp; </w:t>
      </w:r>
      <w:proofErr w:type="spellStart"/>
      <w:r>
        <w:t>Rabiyathulbasariya</w:t>
      </w:r>
      <w:proofErr w:type="spellEnd"/>
      <w:r>
        <w:t>, S. (2017)</w:t>
      </w:r>
      <w:r w:rsidR="00311D84">
        <w:t>,</w:t>
      </w:r>
      <w:r>
        <w:t xml:space="preserve"> Measuring Financial Performance through Ratio</w:t>
      </w:r>
    </w:p>
    <w:p w14:paraId="1F214881" w14:textId="43A5BED7" w:rsidR="00311D84" w:rsidRDefault="00151DE0" w:rsidP="00311D84">
      <w:pPr>
        <w:pStyle w:val="NormalWeb"/>
        <w:spacing w:before="0" w:beforeAutospacing="0" w:after="0" w:afterAutospacing="0" w:line="480" w:lineRule="auto"/>
        <w:ind w:left="720" w:hanging="720"/>
        <w:jc w:val="both"/>
      </w:pPr>
      <w:r>
        <w:t>Analysis</w:t>
      </w:r>
      <w:r w:rsidR="00311D84">
        <w:t xml:space="preserve"> </w:t>
      </w:r>
      <w:r>
        <w:t>“A General Study on The Ratio Analysis Tool to Trigger out Financial Performance</w:t>
      </w:r>
      <w:r w:rsidR="00800447">
        <w:t>”,</w:t>
      </w:r>
    </w:p>
    <w:p w14:paraId="3D365980" w14:textId="3190E801" w:rsidR="00743CAB" w:rsidRDefault="00151DE0" w:rsidP="00311D84">
      <w:pPr>
        <w:pStyle w:val="NormalWeb"/>
        <w:spacing w:before="0" w:beforeAutospacing="0" w:after="0" w:afterAutospacing="0" w:line="480" w:lineRule="auto"/>
        <w:ind w:left="720" w:hanging="720"/>
        <w:jc w:val="both"/>
      </w:pPr>
      <w:r>
        <w:rPr>
          <w:i/>
          <w:iCs/>
        </w:rPr>
        <w:t>International Journal of Accounting and Financial Management Research</w:t>
      </w:r>
      <w:r>
        <w:t xml:space="preserve">, </w:t>
      </w:r>
      <w:r>
        <w:rPr>
          <w:i/>
          <w:iCs/>
        </w:rPr>
        <w:t>7</w:t>
      </w:r>
      <w:r>
        <w:t>(6), 37–44.</w:t>
      </w:r>
    </w:p>
    <w:p w14:paraId="1679C234" w14:textId="78F1F67A" w:rsidR="00151DE0" w:rsidRDefault="00743CAB" w:rsidP="00151DE0">
      <w:pPr>
        <w:pStyle w:val="NormalWeb"/>
        <w:spacing w:before="0" w:beforeAutospacing="0" w:after="0" w:afterAutospacing="0" w:line="480" w:lineRule="auto"/>
        <w:ind w:left="720" w:hanging="720"/>
        <w:jc w:val="both"/>
      </w:pPr>
      <w:r>
        <w:rPr>
          <w:shd w:val="clear" w:color="auto" w:fill="FFFFFF"/>
        </w:rPr>
        <w:t xml:space="preserve">Available at: </w:t>
      </w:r>
      <w:hyperlink r:id="rId14" w:history="1">
        <w:r w:rsidRPr="00673905">
          <w:rPr>
            <w:rStyle w:val="Hyperlink"/>
          </w:rPr>
          <w:t>https://doi.org/10.24247/ijafmrdec20174</w:t>
        </w:r>
      </w:hyperlink>
    </w:p>
    <w:p w14:paraId="3CF15290" w14:textId="4C70F47A"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 15 Dec</w:t>
      </w:r>
      <w:r>
        <w:rPr>
          <w:rFonts w:ascii="Times New Roman" w:hAnsi="Times New Roman" w:cs="Times New Roman"/>
          <w:sz w:val="24"/>
          <w:szCs w:val="24"/>
          <w:shd w:val="clear" w:color="auto" w:fill="FFFFFF"/>
        </w:rPr>
        <w:t>ember 2022).</w:t>
      </w:r>
    </w:p>
    <w:p w14:paraId="4AA4781F" w14:textId="77777777" w:rsidR="00311D84" w:rsidRDefault="00151DE0" w:rsidP="00743CAB">
      <w:pPr>
        <w:pStyle w:val="NormalWeb"/>
        <w:spacing w:before="0" w:beforeAutospacing="0" w:after="0" w:afterAutospacing="0" w:line="480" w:lineRule="auto"/>
        <w:jc w:val="both"/>
      </w:pPr>
      <w:proofErr w:type="spellStart"/>
      <w:r>
        <w:t>Tuovila</w:t>
      </w:r>
      <w:proofErr w:type="spellEnd"/>
      <w:r>
        <w:t>, A. (2020</w:t>
      </w:r>
      <w:r w:rsidR="00311D84">
        <w:t>)</w:t>
      </w:r>
      <w:r>
        <w:t xml:space="preserve">, </w:t>
      </w:r>
      <w:r>
        <w:rPr>
          <w:i/>
          <w:iCs/>
        </w:rPr>
        <w:t>Statement of Retained Earnings Definition</w:t>
      </w:r>
      <w:r w:rsidR="00311D84">
        <w:t>,</w:t>
      </w:r>
      <w:r>
        <w:t xml:space="preserve"> Investopedia. </w:t>
      </w:r>
    </w:p>
    <w:p w14:paraId="581C107E" w14:textId="0F3DA30A" w:rsidR="00151DE0" w:rsidRDefault="00743CAB" w:rsidP="00743CAB">
      <w:pPr>
        <w:pStyle w:val="NormalWeb"/>
        <w:spacing w:before="0" w:beforeAutospacing="0" w:after="0" w:afterAutospacing="0" w:line="480" w:lineRule="auto"/>
        <w:jc w:val="both"/>
      </w:pPr>
      <w:r>
        <w:rPr>
          <w:shd w:val="clear" w:color="auto" w:fill="FFFFFF"/>
        </w:rPr>
        <w:t xml:space="preserve">Available at: </w:t>
      </w:r>
      <w:hyperlink r:id="rId15" w:history="1">
        <w:r w:rsidRPr="00673905">
          <w:rPr>
            <w:rStyle w:val="Hyperlink"/>
          </w:rPr>
          <w:t>https://www.investopedia.com/terms/s/statement-of-retained-earnings.asp</w:t>
        </w:r>
      </w:hyperlink>
    </w:p>
    <w:p w14:paraId="58639E40" w14:textId="58606422"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 15 Dec</w:t>
      </w:r>
      <w:r>
        <w:rPr>
          <w:rFonts w:ascii="Times New Roman" w:hAnsi="Times New Roman" w:cs="Times New Roman"/>
          <w:sz w:val="24"/>
          <w:szCs w:val="24"/>
          <w:shd w:val="clear" w:color="auto" w:fill="FFFFFF"/>
        </w:rPr>
        <w:t>ember 2022).</w:t>
      </w:r>
    </w:p>
    <w:p w14:paraId="3EDB029E" w14:textId="739FE6FA" w:rsidR="00311D84" w:rsidRDefault="00151DE0" w:rsidP="00743CAB">
      <w:pPr>
        <w:pStyle w:val="NormalWeb"/>
        <w:spacing w:before="0" w:beforeAutospacing="0" w:after="0" w:afterAutospacing="0" w:line="480" w:lineRule="auto"/>
        <w:jc w:val="both"/>
      </w:pPr>
      <w:proofErr w:type="spellStart"/>
      <w:r>
        <w:t>Warsono</w:t>
      </w:r>
      <w:proofErr w:type="spellEnd"/>
      <w:r>
        <w:t>, S. (2017)</w:t>
      </w:r>
      <w:r w:rsidR="00311D84">
        <w:t xml:space="preserve">, </w:t>
      </w:r>
      <w:r>
        <w:t xml:space="preserve">The Accounting Equation and Revisiting the Theory of Double-Entry </w:t>
      </w:r>
      <w:r w:rsidR="00311D84">
        <w:t>Bookkeeping,</w:t>
      </w:r>
      <w:r w:rsidR="00311D84">
        <w:rPr>
          <w:i/>
          <w:iCs/>
        </w:rPr>
        <w:t xml:space="preserve"> Research</w:t>
      </w:r>
      <w:r>
        <w:rPr>
          <w:i/>
          <w:iCs/>
        </w:rPr>
        <w:t xml:space="preserve"> Gate</w:t>
      </w:r>
      <w:r>
        <w:t>.</w:t>
      </w:r>
    </w:p>
    <w:p w14:paraId="2AD3C123" w14:textId="73C15815" w:rsidR="00A94839" w:rsidRDefault="00743CAB" w:rsidP="00311D84">
      <w:pPr>
        <w:pStyle w:val="NormalWeb"/>
        <w:spacing w:before="0" w:beforeAutospacing="0" w:after="0" w:afterAutospacing="0" w:line="480" w:lineRule="auto"/>
      </w:pPr>
      <w:r>
        <w:rPr>
          <w:shd w:val="clear" w:color="auto" w:fill="FFFFFF"/>
        </w:rPr>
        <w:t>Available</w:t>
      </w:r>
      <w:r w:rsidR="00311D84">
        <w:rPr>
          <w:shd w:val="clear" w:color="auto" w:fill="FFFFFF"/>
        </w:rPr>
        <w:t xml:space="preserve"> </w:t>
      </w:r>
      <w:r>
        <w:rPr>
          <w:shd w:val="clear" w:color="auto" w:fill="FFFFFF"/>
        </w:rPr>
        <w:t xml:space="preserve">at: </w:t>
      </w:r>
      <w:hyperlink r:id="rId16" w:history="1">
        <w:r w:rsidR="00A94839" w:rsidRPr="00673905">
          <w:rPr>
            <w:rStyle w:val="Hyperlink"/>
          </w:rPr>
          <w:t>https://doi.org/https://www.researchgate.net/publication/320912369_The_Accounting_Equation_and_Revisiting_the_Theory_of_Double-Entry_Bookkeeping</w:t>
        </w:r>
      </w:hyperlink>
    </w:p>
    <w:p w14:paraId="6607AD82" w14:textId="3ED0EBF0" w:rsidR="00743CAB" w:rsidRPr="00F62E59" w:rsidRDefault="00743CAB" w:rsidP="00743CAB">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(Accessed</w:t>
      </w:r>
      <w:r w:rsidR="00311D84">
        <w:rPr>
          <w:rFonts w:ascii="Times New Roman" w:hAnsi="Times New Roman" w:cs="Times New Roman"/>
          <w:sz w:val="24"/>
          <w:szCs w:val="24"/>
          <w:shd w:val="clear" w:color="auto" w:fill="FFFFFF"/>
        </w:rPr>
        <w:t xml:space="preserve"> on 15 Dec</w:t>
      </w:r>
      <w:r>
        <w:rPr>
          <w:rFonts w:ascii="Times New Roman" w:hAnsi="Times New Roman" w:cs="Times New Roman"/>
          <w:sz w:val="24"/>
          <w:szCs w:val="24"/>
          <w:shd w:val="clear" w:color="auto" w:fill="FFFFFF"/>
        </w:rPr>
        <w:t>ember 2022).</w:t>
      </w:r>
    </w:p>
    <w:p w14:paraId="78C62F0B" w14:textId="77777777" w:rsidR="00743CAB" w:rsidRDefault="00743CAB" w:rsidP="00743CAB">
      <w:pPr>
        <w:pStyle w:val="NormalWeb"/>
        <w:spacing w:before="0" w:beforeAutospacing="0" w:after="0" w:afterAutospacing="0" w:line="480" w:lineRule="auto"/>
        <w:jc w:val="both"/>
      </w:pPr>
    </w:p>
    <w:p w14:paraId="77907202" w14:textId="77777777" w:rsidR="00743CAB" w:rsidRDefault="00743CAB" w:rsidP="00151DE0">
      <w:pPr>
        <w:pStyle w:val="NormalWeb"/>
        <w:spacing w:before="0" w:beforeAutospacing="0" w:after="0" w:afterAutospacing="0" w:line="480" w:lineRule="auto"/>
        <w:ind w:left="720" w:hanging="720"/>
        <w:jc w:val="both"/>
      </w:pPr>
    </w:p>
    <w:p w14:paraId="0B945787" w14:textId="77777777" w:rsidR="00151DE0" w:rsidRPr="00315067" w:rsidRDefault="00151DE0" w:rsidP="00151DE0">
      <w:pPr>
        <w:spacing w:after="0" w:line="480" w:lineRule="auto"/>
        <w:jc w:val="both"/>
        <w:rPr>
          <w:rFonts w:ascii="Times New Roman" w:hAnsi="Times New Roman" w:cs="Times New Roman"/>
          <w:sz w:val="24"/>
          <w:szCs w:val="24"/>
        </w:rPr>
      </w:pPr>
    </w:p>
    <w:p w14:paraId="0233C50C" w14:textId="77777777" w:rsidR="00B078A1" w:rsidRPr="00A508ED" w:rsidRDefault="00B078A1" w:rsidP="00A508ED">
      <w:pPr>
        <w:spacing w:after="0" w:line="480" w:lineRule="auto"/>
        <w:jc w:val="both"/>
        <w:rPr>
          <w:rFonts w:ascii="Times New Roman" w:hAnsi="Times New Roman" w:cs="Times New Roman"/>
          <w:sz w:val="24"/>
          <w:szCs w:val="24"/>
        </w:rPr>
      </w:pPr>
    </w:p>
    <w:sectPr w:rsidR="00B078A1" w:rsidRPr="00A508ED">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8BE61" w14:textId="77777777" w:rsidR="00A66977" w:rsidRDefault="00A66977" w:rsidP="00205B7A">
      <w:pPr>
        <w:spacing w:after="0" w:line="240" w:lineRule="auto"/>
      </w:pPr>
      <w:r>
        <w:separator/>
      </w:r>
    </w:p>
  </w:endnote>
  <w:endnote w:type="continuationSeparator" w:id="0">
    <w:p w14:paraId="6DDB9ECD" w14:textId="77777777" w:rsidR="00A66977" w:rsidRDefault="00A66977" w:rsidP="00205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71508" w14:textId="77777777" w:rsidR="00A66977" w:rsidRDefault="00A66977" w:rsidP="00205B7A">
      <w:pPr>
        <w:spacing w:after="0" w:line="240" w:lineRule="auto"/>
      </w:pPr>
      <w:r>
        <w:separator/>
      </w:r>
    </w:p>
  </w:footnote>
  <w:footnote w:type="continuationSeparator" w:id="0">
    <w:p w14:paraId="325C5A9D" w14:textId="77777777" w:rsidR="00A66977" w:rsidRDefault="00A66977" w:rsidP="00205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22735946"/>
      <w:docPartObj>
        <w:docPartGallery w:val="Page Numbers (Top of Page)"/>
        <w:docPartUnique/>
      </w:docPartObj>
    </w:sdtPr>
    <w:sdtEndPr>
      <w:rPr>
        <w:noProof/>
      </w:rPr>
    </w:sdtEndPr>
    <w:sdtContent>
      <w:p w14:paraId="7FF83F4A" w14:textId="4B6CDFC1" w:rsidR="00205B7A" w:rsidRPr="00205B7A" w:rsidRDefault="00205B7A">
        <w:pPr>
          <w:pStyle w:val="Header"/>
          <w:jc w:val="right"/>
          <w:rPr>
            <w:rFonts w:ascii="Times New Roman" w:hAnsi="Times New Roman" w:cs="Times New Roman"/>
            <w:sz w:val="24"/>
            <w:szCs w:val="24"/>
          </w:rPr>
        </w:pPr>
        <w:r w:rsidRPr="00205B7A">
          <w:rPr>
            <w:rFonts w:ascii="Times New Roman" w:hAnsi="Times New Roman" w:cs="Times New Roman"/>
            <w:sz w:val="24"/>
            <w:szCs w:val="24"/>
          </w:rPr>
          <w:fldChar w:fldCharType="begin"/>
        </w:r>
        <w:r w:rsidRPr="00205B7A">
          <w:rPr>
            <w:rFonts w:ascii="Times New Roman" w:hAnsi="Times New Roman" w:cs="Times New Roman"/>
            <w:sz w:val="24"/>
            <w:szCs w:val="24"/>
          </w:rPr>
          <w:instrText xml:space="preserve"> PAGE   \* MERGEFORMAT </w:instrText>
        </w:r>
        <w:r w:rsidRPr="00205B7A">
          <w:rPr>
            <w:rFonts w:ascii="Times New Roman" w:hAnsi="Times New Roman" w:cs="Times New Roman"/>
            <w:sz w:val="24"/>
            <w:szCs w:val="24"/>
          </w:rPr>
          <w:fldChar w:fldCharType="separate"/>
        </w:r>
        <w:r w:rsidRPr="00205B7A">
          <w:rPr>
            <w:rFonts w:ascii="Times New Roman" w:hAnsi="Times New Roman" w:cs="Times New Roman"/>
            <w:noProof/>
            <w:sz w:val="24"/>
            <w:szCs w:val="24"/>
          </w:rPr>
          <w:t>2</w:t>
        </w:r>
        <w:r w:rsidRPr="00205B7A">
          <w:rPr>
            <w:rFonts w:ascii="Times New Roman" w:hAnsi="Times New Roman" w:cs="Times New Roman"/>
            <w:noProof/>
            <w:sz w:val="24"/>
            <w:szCs w:val="24"/>
          </w:rPr>
          <w:fldChar w:fldCharType="end"/>
        </w:r>
      </w:p>
    </w:sdtContent>
  </w:sdt>
  <w:p w14:paraId="1D2508B9" w14:textId="77777777" w:rsidR="00205B7A" w:rsidRDefault="00205B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C25F6"/>
    <w:multiLevelType w:val="hybridMultilevel"/>
    <w:tmpl w:val="70F85F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155571"/>
    <w:multiLevelType w:val="hybridMultilevel"/>
    <w:tmpl w:val="70F85F9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62640648">
    <w:abstractNumId w:val="0"/>
  </w:num>
  <w:num w:numId="2" w16cid:durableId="330910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wNjE1MDOxMDIwMzJR0lEKTi0uzszPAykwrAUAzgX4pCwAAAA="/>
  </w:docVars>
  <w:rsids>
    <w:rsidRoot w:val="00A508ED"/>
    <w:rsid w:val="00047D33"/>
    <w:rsid w:val="00051CAE"/>
    <w:rsid w:val="000610E4"/>
    <w:rsid w:val="00084D0E"/>
    <w:rsid w:val="000A0EBC"/>
    <w:rsid w:val="000B368A"/>
    <w:rsid w:val="00151DE0"/>
    <w:rsid w:val="0018043D"/>
    <w:rsid w:val="00192313"/>
    <w:rsid w:val="00205B7A"/>
    <w:rsid w:val="00225FBB"/>
    <w:rsid w:val="002A239F"/>
    <w:rsid w:val="002B781E"/>
    <w:rsid w:val="002C1D3E"/>
    <w:rsid w:val="002C2046"/>
    <w:rsid w:val="002C5933"/>
    <w:rsid w:val="002F2AFF"/>
    <w:rsid w:val="00311D84"/>
    <w:rsid w:val="00315067"/>
    <w:rsid w:val="00323A3E"/>
    <w:rsid w:val="00345719"/>
    <w:rsid w:val="00347D53"/>
    <w:rsid w:val="00367FFE"/>
    <w:rsid w:val="00376CF2"/>
    <w:rsid w:val="00381763"/>
    <w:rsid w:val="003F2729"/>
    <w:rsid w:val="004A23EE"/>
    <w:rsid w:val="004B76FD"/>
    <w:rsid w:val="00507196"/>
    <w:rsid w:val="005328FA"/>
    <w:rsid w:val="00535362"/>
    <w:rsid w:val="0055239F"/>
    <w:rsid w:val="00593067"/>
    <w:rsid w:val="005E2E5E"/>
    <w:rsid w:val="00614F62"/>
    <w:rsid w:val="0064361B"/>
    <w:rsid w:val="00650F25"/>
    <w:rsid w:val="00672085"/>
    <w:rsid w:val="00684E73"/>
    <w:rsid w:val="006E6C99"/>
    <w:rsid w:val="00743CAB"/>
    <w:rsid w:val="007510F8"/>
    <w:rsid w:val="007603FF"/>
    <w:rsid w:val="007645B2"/>
    <w:rsid w:val="007723FA"/>
    <w:rsid w:val="00772C30"/>
    <w:rsid w:val="007C5D62"/>
    <w:rsid w:val="007D7631"/>
    <w:rsid w:val="007F3EBF"/>
    <w:rsid w:val="00800447"/>
    <w:rsid w:val="00842B68"/>
    <w:rsid w:val="00873988"/>
    <w:rsid w:val="008E0A0F"/>
    <w:rsid w:val="00987EAC"/>
    <w:rsid w:val="009A3283"/>
    <w:rsid w:val="009B3B5F"/>
    <w:rsid w:val="009B7085"/>
    <w:rsid w:val="00A01663"/>
    <w:rsid w:val="00A508ED"/>
    <w:rsid w:val="00A5606E"/>
    <w:rsid w:val="00A66977"/>
    <w:rsid w:val="00A94839"/>
    <w:rsid w:val="00AE16A8"/>
    <w:rsid w:val="00B078A1"/>
    <w:rsid w:val="00B17F26"/>
    <w:rsid w:val="00B47BD4"/>
    <w:rsid w:val="00B81D6B"/>
    <w:rsid w:val="00BA228B"/>
    <w:rsid w:val="00BE1E6E"/>
    <w:rsid w:val="00C36372"/>
    <w:rsid w:val="00C4510E"/>
    <w:rsid w:val="00C60387"/>
    <w:rsid w:val="00C71809"/>
    <w:rsid w:val="00C75B56"/>
    <w:rsid w:val="00C843D1"/>
    <w:rsid w:val="00CA35C6"/>
    <w:rsid w:val="00D867F4"/>
    <w:rsid w:val="00DF6570"/>
    <w:rsid w:val="00E02DE2"/>
    <w:rsid w:val="00E205BC"/>
    <w:rsid w:val="00E55115"/>
    <w:rsid w:val="00E562A9"/>
    <w:rsid w:val="00E6516F"/>
    <w:rsid w:val="00E7687B"/>
    <w:rsid w:val="00EA0F2F"/>
    <w:rsid w:val="00ED64FB"/>
    <w:rsid w:val="00F51B6E"/>
    <w:rsid w:val="00F77B85"/>
    <w:rsid w:val="00F80F82"/>
    <w:rsid w:val="00FD188E"/>
    <w:rsid w:val="00FD28AA"/>
    <w:rsid w:val="00FF2DAB"/>
    <w:rsid w:val="00FF7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0495"/>
  <w15:chartTrackingRefBased/>
  <w15:docId w15:val="{FEF22A59-2C5B-49C1-A8DD-B2551F294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0C8"/>
  </w:style>
  <w:style w:type="paragraph" w:styleId="Heading1">
    <w:name w:val="heading 1"/>
    <w:basedOn w:val="Normal"/>
    <w:next w:val="Normal"/>
    <w:link w:val="Heading1Char"/>
    <w:uiPriority w:val="9"/>
    <w:qFormat/>
    <w:rsid w:val="004B76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78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078A1"/>
    <w:pPr>
      <w:ind w:left="720"/>
      <w:contextualSpacing/>
    </w:pPr>
  </w:style>
  <w:style w:type="character" w:styleId="PlaceholderText">
    <w:name w:val="Placeholder Text"/>
    <w:basedOn w:val="DefaultParagraphFont"/>
    <w:uiPriority w:val="99"/>
    <w:semiHidden/>
    <w:rsid w:val="00FD188E"/>
    <w:rPr>
      <w:color w:val="808080"/>
    </w:rPr>
  </w:style>
  <w:style w:type="paragraph" w:styleId="Header">
    <w:name w:val="header"/>
    <w:basedOn w:val="Normal"/>
    <w:link w:val="HeaderChar"/>
    <w:uiPriority w:val="99"/>
    <w:unhideWhenUsed/>
    <w:rsid w:val="00205B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B7A"/>
  </w:style>
  <w:style w:type="paragraph" w:styleId="Footer">
    <w:name w:val="footer"/>
    <w:basedOn w:val="Normal"/>
    <w:link w:val="FooterChar"/>
    <w:uiPriority w:val="99"/>
    <w:unhideWhenUsed/>
    <w:rsid w:val="00205B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B7A"/>
  </w:style>
  <w:style w:type="paragraph" w:styleId="Caption">
    <w:name w:val="caption"/>
    <w:basedOn w:val="Normal"/>
    <w:next w:val="Normal"/>
    <w:uiPriority w:val="35"/>
    <w:unhideWhenUsed/>
    <w:qFormat/>
    <w:rsid w:val="00507196"/>
    <w:pPr>
      <w:spacing w:after="200" w:line="240" w:lineRule="auto"/>
    </w:pPr>
    <w:rPr>
      <w:i/>
      <w:iCs/>
      <w:color w:val="44546A" w:themeColor="text2"/>
      <w:sz w:val="18"/>
      <w:szCs w:val="18"/>
    </w:rPr>
  </w:style>
  <w:style w:type="paragraph" w:styleId="NormalWeb">
    <w:name w:val="Normal (Web)"/>
    <w:basedOn w:val="Normal"/>
    <w:uiPriority w:val="99"/>
    <w:semiHidden/>
    <w:unhideWhenUsed/>
    <w:rsid w:val="00151D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B76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AFF"/>
    <w:pPr>
      <w:outlineLvl w:val="9"/>
    </w:pPr>
  </w:style>
  <w:style w:type="paragraph" w:styleId="TOC1">
    <w:name w:val="toc 1"/>
    <w:basedOn w:val="Normal"/>
    <w:next w:val="Normal"/>
    <w:autoRedefine/>
    <w:uiPriority w:val="39"/>
    <w:unhideWhenUsed/>
    <w:rsid w:val="002F2AFF"/>
    <w:pPr>
      <w:spacing w:after="100"/>
    </w:pPr>
  </w:style>
  <w:style w:type="character" w:styleId="Hyperlink">
    <w:name w:val="Hyperlink"/>
    <w:basedOn w:val="DefaultParagraphFont"/>
    <w:uiPriority w:val="99"/>
    <w:unhideWhenUsed/>
    <w:rsid w:val="002F2AFF"/>
    <w:rPr>
      <w:color w:val="0563C1" w:themeColor="hyperlink"/>
      <w:u w:val="single"/>
    </w:rPr>
  </w:style>
  <w:style w:type="character" w:styleId="UnresolvedMention">
    <w:name w:val="Unresolved Mention"/>
    <w:basedOn w:val="DefaultParagraphFont"/>
    <w:uiPriority w:val="99"/>
    <w:semiHidden/>
    <w:unhideWhenUsed/>
    <w:rsid w:val="00743CAB"/>
    <w:rPr>
      <w:color w:val="605E5C"/>
      <w:shd w:val="clear" w:color="auto" w:fill="E1DFDD"/>
    </w:rPr>
  </w:style>
  <w:style w:type="character" w:styleId="FollowedHyperlink">
    <w:name w:val="FollowedHyperlink"/>
    <w:basedOn w:val="DefaultParagraphFont"/>
    <w:uiPriority w:val="99"/>
    <w:semiHidden/>
    <w:unhideWhenUsed/>
    <w:rsid w:val="00A948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351566">
      <w:bodyDiv w:val="1"/>
      <w:marLeft w:val="0"/>
      <w:marRight w:val="0"/>
      <w:marTop w:val="0"/>
      <w:marBottom w:val="0"/>
      <w:divBdr>
        <w:top w:val="none" w:sz="0" w:space="0" w:color="auto"/>
        <w:left w:val="none" w:sz="0" w:space="0" w:color="auto"/>
        <w:bottom w:val="none" w:sz="0" w:space="0" w:color="auto"/>
        <w:right w:val="none" w:sz="0" w:space="0" w:color="auto"/>
      </w:divBdr>
    </w:div>
    <w:div w:id="526720955">
      <w:bodyDiv w:val="1"/>
      <w:marLeft w:val="0"/>
      <w:marRight w:val="0"/>
      <w:marTop w:val="0"/>
      <w:marBottom w:val="0"/>
      <w:divBdr>
        <w:top w:val="none" w:sz="0" w:space="0" w:color="auto"/>
        <w:left w:val="none" w:sz="0" w:space="0" w:color="auto"/>
        <w:bottom w:val="none" w:sz="0" w:space="0" w:color="auto"/>
        <w:right w:val="none" w:sz="0" w:space="0" w:color="auto"/>
      </w:divBdr>
    </w:div>
    <w:div w:id="549995617">
      <w:bodyDiv w:val="1"/>
      <w:marLeft w:val="0"/>
      <w:marRight w:val="0"/>
      <w:marTop w:val="0"/>
      <w:marBottom w:val="0"/>
      <w:divBdr>
        <w:top w:val="none" w:sz="0" w:space="0" w:color="auto"/>
        <w:left w:val="none" w:sz="0" w:space="0" w:color="auto"/>
        <w:bottom w:val="none" w:sz="0" w:space="0" w:color="auto"/>
        <w:right w:val="none" w:sz="0" w:space="0" w:color="auto"/>
      </w:divBdr>
    </w:div>
    <w:div w:id="950747072">
      <w:bodyDiv w:val="1"/>
      <w:marLeft w:val="0"/>
      <w:marRight w:val="0"/>
      <w:marTop w:val="0"/>
      <w:marBottom w:val="0"/>
      <w:divBdr>
        <w:top w:val="none" w:sz="0" w:space="0" w:color="auto"/>
        <w:left w:val="none" w:sz="0" w:space="0" w:color="auto"/>
        <w:bottom w:val="none" w:sz="0" w:space="0" w:color="auto"/>
        <w:right w:val="none" w:sz="0" w:space="0" w:color="auto"/>
      </w:divBdr>
    </w:div>
    <w:div w:id="1888057582">
      <w:bodyDiv w:val="1"/>
      <w:marLeft w:val="0"/>
      <w:marRight w:val="0"/>
      <w:marTop w:val="0"/>
      <w:marBottom w:val="0"/>
      <w:divBdr>
        <w:top w:val="none" w:sz="0" w:space="0" w:color="auto"/>
        <w:left w:val="none" w:sz="0" w:space="0" w:color="auto"/>
        <w:bottom w:val="none" w:sz="0" w:space="0" w:color="auto"/>
        <w:right w:val="none" w:sz="0" w:space="0" w:color="auto"/>
      </w:divBdr>
    </w:div>
    <w:div w:id="2040079207">
      <w:bodyDiv w:val="1"/>
      <w:marLeft w:val="0"/>
      <w:marRight w:val="0"/>
      <w:marTop w:val="0"/>
      <w:marBottom w:val="0"/>
      <w:divBdr>
        <w:top w:val="none" w:sz="0" w:space="0" w:color="auto"/>
        <w:left w:val="none" w:sz="0" w:space="0" w:color="auto"/>
        <w:bottom w:val="none" w:sz="0" w:space="0" w:color="auto"/>
        <w:right w:val="none" w:sz="0" w:space="0" w:color="auto"/>
      </w:divBdr>
      <w:divsChild>
        <w:div w:id="638533176">
          <w:marLeft w:val="0"/>
          <w:marRight w:val="0"/>
          <w:marTop w:val="0"/>
          <w:marBottom w:val="0"/>
          <w:divBdr>
            <w:top w:val="none" w:sz="0" w:space="0" w:color="auto"/>
            <w:left w:val="none" w:sz="0" w:space="0" w:color="auto"/>
            <w:bottom w:val="none" w:sz="0" w:space="0" w:color="auto"/>
            <w:right w:val="none" w:sz="0" w:space="0" w:color="auto"/>
          </w:divBdr>
        </w:div>
      </w:divsChild>
    </w:div>
    <w:div w:id="206644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148558x1667077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139/ssrn.220090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https://www.researchgate.net/publication/320912369_The_Accounting_Equation_and_Revisiting_the_Theory_of_Double-Entry_Bookkeep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9657960310491154" TargetMode="External"/><Relationship Id="rId5" Type="http://schemas.openxmlformats.org/officeDocument/2006/relationships/webSettings" Target="webSettings.xml"/><Relationship Id="rId15" Type="http://schemas.openxmlformats.org/officeDocument/2006/relationships/hyperlink" Target="https://www.investopedia.com/terms/s/statement-of-retained-earnings.asp" TargetMode="External"/><Relationship Id="rId10" Type="http://schemas.openxmlformats.org/officeDocument/2006/relationships/hyperlink" Target="https://www.investopedia.com/terms/a/accounting-equation.as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financeinstitute.com/resources/accounting/statement-of-retained-earnings/" TargetMode="External"/><Relationship Id="rId14" Type="http://schemas.openxmlformats.org/officeDocument/2006/relationships/hyperlink" Target="https://doi.org/10.24247/ijafmrdec201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0885D-F90B-4762-82BB-1BC15C6C9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3420</Words>
  <Characters>19495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cristina balaban</cp:lastModifiedBy>
  <cp:revision>2</cp:revision>
  <dcterms:created xsi:type="dcterms:W3CDTF">2023-01-13T01:38:00Z</dcterms:created>
  <dcterms:modified xsi:type="dcterms:W3CDTF">2023-01-13T01:38:00Z</dcterms:modified>
</cp:coreProperties>
</file>