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46EB8" w14:textId="6B70C94F" w:rsidR="00AD7817" w:rsidRPr="00AD7817" w:rsidRDefault="00AD7817" w:rsidP="00AD7817">
      <w:pPr>
        <w:spacing w:after="0" w:line="240" w:lineRule="auto"/>
        <w:jc w:val="center"/>
        <w:rPr>
          <w:rFonts w:eastAsia="Times New Roman"/>
          <w:lang w:val="en-BD" w:eastAsia="en-GB" w:bidi="bn-IN"/>
        </w:rPr>
      </w:pPr>
      <w:r w:rsidRPr="00AD7817">
        <w:rPr>
          <w:rFonts w:eastAsia="Times New Roman"/>
          <w:lang w:val="en-BD" w:eastAsia="en-GB" w:bidi="bn-IN"/>
        </w:rPr>
        <w:fldChar w:fldCharType="begin"/>
      </w:r>
      <w:r w:rsidRPr="00AD7817">
        <w:rPr>
          <w:rFonts w:eastAsia="Times New Roman"/>
          <w:lang w:val="en-BD" w:eastAsia="en-GB" w:bidi="bn-IN"/>
        </w:rPr>
        <w:instrText xml:space="preserve"> INCLUDEPICTURE "https://www.ncub.co.uk/wp-content/uploads/2014/01/UWTSD-Logo-fi.jpg" \* MERGEFORMATINET </w:instrText>
      </w:r>
      <w:r w:rsidRPr="00AD7817">
        <w:rPr>
          <w:rFonts w:eastAsia="Times New Roman"/>
          <w:lang w:val="en-BD" w:eastAsia="en-GB" w:bidi="bn-IN"/>
        </w:rPr>
        <w:fldChar w:fldCharType="separate"/>
      </w:r>
      <w:r w:rsidRPr="00420761">
        <w:rPr>
          <w:rFonts w:eastAsia="Times New Roman"/>
          <w:noProof/>
          <w:lang w:val="en-BD" w:eastAsia="en-GB" w:bidi="bn-IN"/>
        </w:rPr>
        <w:drawing>
          <wp:inline distT="0" distB="0" distL="0" distR="0" wp14:anchorId="4E80E4C0" wp14:editId="46FBAD92">
            <wp:extent cx="4171651" cy="1670324"/>
            <wp:effectExtent l="0" t="0" r="0" b="6350"/>
            <wp:docPr id="5" name="Picture 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3800" cy="1691204"/>
                    </a:xfrm>
                    <a:prstGeom prst="rect">
                      <a:avLst/>
                    </a:prstGeom>
                    <a:noFill/>
                    <a:ln>
                      <a:noFill/>
                    </a:ln>
                  </pic:spPr>
                </pic:pic>
              </a:graphicData>
            </a:graphic>
          </wp:inline>
        </w:drawing>
      </w:r>
      <w:r w:rsidRPr="00AD7817">
        <w:rPr>
          <w:rFonts w:eastAsia="Times New Roman"/>
          <w:lang w:val="en-BD" w:eastAsia="en-GB" w:bidi="bn-IN"/>
        </w:rPr>
        <w:fldChar w:fldCharType="end"/>
      </w:r>
    </w:p>
    <w:p w14:paraId="0607E8A1" w14:textId="761151FA" w:rsidR="00CF6C2D" w:rsidRPr="00420761" w:rsidRDefault="00CF6C2D">
      <w:pPr>
        <w:spacing w:before="240" w:after="240" w:line="240" w:lineRule="auto"/>
        <w:jc w:val="center"/>
      </w:pPr>
    </w:p>
    <w:p w14:paraId="78741511" w14:textId="77777777" w:rsidR="00CF6C2D" w:rsidRPr="00420761" w:rsidRDefault="00CF6C2D">
      <w:pPr>
        <w:spacing w:before="120" w:line="240" w:lineRule="auto"/>
        <w:jc w:val="center"/>
      </w:pPr>
    </w:p>
    <w:p w14:paraId="1859304E" w14:textId="77777777" w:rsidR="00CF6C2D" w:rsidRPr="00420761" w:rsidRDefault="00000000">
      <w:pPr>
        <w:spacing w:after="200" w:line="276" w:lineRule="auto"/>
        <w:jc w:val="center"/>
      </w:pPr>
      <w:r w:rsidRPr="00420761">
        <w:rPr>
          <w:b/>
          <w:bCs/>
          <w:sz w:val="40"/>
          <w:szCs w:val="40"/>
        </w:rPr>
        <w:t>Adidas International Market Entry and Marketing Mix: A Comparative Analysis of Germany and China</w:t>
      </w:r>
    </w:p>
    <w:p w14:paraId="309ECF04" w14:textId="77777777" w:rsidR="00CF6C2D" w:rsidRPr="00420761" w:rsidRDefault="00000000">
      <w:pPr>
        <w:spacing w:after="360" w:line="276" w:lineRule="auto"/>
        <w:jc w:val="center"/>
      </w:pPr>
      <w:r w:rsidRPr="00420761">
        <w:rPr>
          <w:i/>
          <w:iCs/>
          <w:color w:val="595959"/>
          <w:sz w:val="28"/>
          <w:szCs w:val="28"/>
        </w:rPr>
        <w:t>Individual report</w:t>
      </w:r>
    </w:p>
    <w:p w14:paraId="5778AC83" w14:textId="77777777" w:rsidR="00CF6C2D" w:rsidRPr="00420761" w:rsidRDefault="00000000">
      <w:pPr>
        <w:spacing w:after="80" w:line="276" w:lineRule="auto"/>
        <w:jc w:val="center"/>
      </w:pPr>
      <w:r w:rsidRPr="00420761">
        <w:rPr>
          <w:b/>
          <w:bCs/>
        </w:rPr>
        <w:t xml:space="preserve">University: </w:t>
      </w:r>
      <w:r w:rsidRPr="00420761">
        <w:t>University of Wales Trinity Saint David</w:t>
      </w:r>
    </w:p>
    <w:p w14:paraId="4B7EF22F" w14:textId="5D05B04C" w:rsidR="00CF6C2D" w:rsidRPr="00420761" w:rsidRDefault="00000000">
      <w:pPr>
        <w:spacing w:after="80" w:line="276" w:lineRule="auto"/>
        <w:jc w:val="center"/>
      </w:pPr>
      <w:proofErr w:type="spellStart"/>
      <w:r w:rsidRPr="00420761">
        <w:rPr>
          <w:b/>
          <w:bCs/>
        </w:rPr>
        <w:t>Programme</w:t>
      </w:r>
      <w:proofErr w:type="spellEnd"/>
      <w:r w:rsidRPr="00420761">
        <w:rPr>
          <w:b/>
          <w:bCs/>
        </w:rPr>
        <w:t xml:space="preserve">: </w:t>
      </w:r>
      <w:r w:rsidRPr="00420761">
        <w:t>Master of Business Administration</w:t>
      </w:r>
    </w:p>
    <w:p w14:paraId="3E492A9A" w14:textId="77777777" w:rsidR="00AD7817" w:rsidRPr="00420761" w:rsidRDefault="00AD7817">
      <w:pPr>
        <w:spacing w:after="80" w:line="276" w:lineRule="auto"/>
        <w:jc w:val="center"/>
      </w:pPr>
    </w:p>
    <w:p w14:paraId="601DD1AF" w14:textId="77777777" w:rsidR="00CF6C2D" w:rsidRPr="00420761" w:rsidRDefault="00000000">
      <w:pPr>
        <w:spacing w:after="80" w:line="276" w:lineRule="auto"/>
        <w:jc w:val="center"/>
      </w:pPr>
      <w:r w:rsidRPr="00420761">
        <w:rPr>
          <w:b/>
          <w:bCs/>
        </w:rPr>
        <w:t xml:space="preserve">Module: </w:t>
      </w:r>
      <w:r w:rsidRPr="00420761">
        <w:t>LCMB7026 International Marketing: Principles and Practices</w:t>
      </w:r>
    </w:p>
    <w:p w14:paraId="730213E4" w14:textId="403E9B72" w:rsidR="00CF6C2D" w:rsidRPr="00420761" w:rsidRDefault="00000000">
      <w:pPr>
        <w:spacing w:after="80" w:line="276" w:lineRule="auto"/>
        <w:jc w:val="center"/>
      </w:pPr>
      <w:r w:rsidRPr="00420761">
        <w:rPr>
          <w:b/>
          <w:bCs/>
        </w:rPr>
        <w:t xml:space="preserve">Brand and markets: </w:t>
      </w:r>
      <w:r w:rsidRPr="00420761">
        <w:t>Adidas - Germany (home) and China (host)</w:t>
      </w:r>
    </w:p>
    <w:p w14:paraId="3CDE4359" w14:textId="6558F515" w:rsidR="00AD7817" w:rsidRPr="00420761" w:rsidRDefault="00AD7817">
      <w:pPr>
        <w:spacing w:after="80" w:line="276" w:lineRule="auto"/>
        <w:jc w:val="center"/>
      </w:pPr>
      <w:r w:rsidRPr="00420761">
        <w:rPr>
          <w:b/>
          <w:bCs/>
        </w:rPr>
        <w:t>Lecturer:</w:t>
      </w:r>
      <w:r w:rsidRPr="00420761">
        <w:t xml:space="preserve"> Amir </w:t>
      </w:r>
      <w:proofErr w:type="spellStart"/>
      <w:r w:rsidRPr="00420761">
        <w:t>Homayounfard</w:t>
      </w:r>
      <w:proofErr w:type="spellEnd"/>
    </w:p>
    <w:p w14:paraId="20BF1141" w14:textId="77777777" w:rsidR="00AD7817" w:rsidRPr="00420761" w:rsidRDefault="00AD7817">
      <w:pPr>
        <w:spacing w:after="80" w:line="276" w:lineRule="auto"/>
        <w:jc w:val="center"/>
      </w:pPr>
    </w:p>
    <w:p w14:paraId="31C2128E" w14:textId="77777777" w:rsidR="00CF6C2D" w:rsidRPr="00420761" w:rsidRDefault="00000000">
      <w:pPr>
        <w:spacing w:after="80" w:line="276" w:lineRule="auto"/>
        <w:jc w:val="center"/>
      </w:pPr>
      <w:r w:rsidRPr="00420761">
        <w:rPr>
          <w:b/>
          <w:bCs/>
        </w:rPr>
        <w:t xml:space="preserve">Student name: </w:t>
      </w:r>
      <w:r w:rsidRPr="00420761">
        <w:t>Md Rakibul Islam Raj</w:t>
      </w:r>
    </w:p>
    <w:p w14:paraId="7D4EADD2" w14:textId="77777777" w:rsidR="00CF6C2D" w:rsidRPr="00420761" w:rsidRDefault="00000000">
      <w:pPr>
        <w:spacing w:after="80" w:line="276" w:lineRule="auto"/>
        <w:jc w:val="center"/>
      </w:pPr>
      <w:r w:rsidRPr="00420761">
        <w:rPr>
          <w:b/>
          <w:bCs/>
        </w:rPr>
        <w:t xml:space="preserve">Student ID: </w:t>
      </w:r>
      <w:r w:rsidRPr="00420761">
        <w:t>2527048</w:t>
      </w:r>
    </w:p>
    <w:p w14:paraId="4E6F4221" w14:textId="17F42B5E" w:rsidR="00CF6C2D" w:rsidRPr="00420761" w:rsidRDefault="00000000">
      <w:pPr>
        <w:spacing w:after="80" w:line="276" w:lineRule="auto"/>
        <w:jc w:val="center"/>
      </w:pPr>
      <w:r w:rsidRPr="00420761">
        <w:rPr>
          <w:b/>
          <w:bCs/>
        </w:rPr>
        <w:t xml:space="preserve">Submission date: </w:t>
      </w:r>
      <w:r w:rsidRPr="00420761">
        <w:t>13 August 2026</w:t>
      </w:r>
    </w:p>
    <w:p w14:paraId="0D306B53" w14:textId="409A4B00" w:rsidR="00AD7817" w:rsidRPr="00420761" w:rsidRDefault="00AD7817">
      <w:pPr>
        <w:spacing w:after="80" w:line="276" w:lineRule="auto"/>
        <w:jc w:val="center"/>
        <w:rPr>
          <w:b/>
          <w:bCs/>
        </w:rPr>
      </w:pPr>
      <w:r w:rsidRPr="00420761">
        <w:rPr>
          <w:b/>
          <w:bCs/>
        </w:rPr>
        <w:t xml:space="preserve">Word count: </w:t>
      </w:r>
      <w:r w:rsidR="00346AD1" w:rsidRPr="00420761">
        <w:t>5280</w:t>
      </w:r>
    </w:p>
    <w:p w14:paraId="1D48DB1C" w14:textId="77777777" w:rsidR="00CF6C2D" w:rsidRPr="00420761" w:rsidRDefault="00000000">
      <w:r w:rsidRPr="00420761">
        <w:br w:type="page"/>
      </w:r>
    </w:p>
    <w:p w14:paraId="0F0A82F6" w14:textId="77777777" w:rsidR="00CF6C2D" w:rsidRPr="00420761" w:rsidRDefault="00000000">
      <w:pPr>
        <w:rPr>
          <w:b/>
          <w:bCs/>
          <w:sz w:val="32"/>
          <w:szCs w:val="32"/>
        </w:rPr>
      </w:pPr>
      <w:r w:rsidRPr="00420761">
        <w:rPr>
          <w:b/>
          <w:bCs/>
          <w:sz w:val="32"/>
          <w:szCs w:val="32"/>
        </w:rPr>
        <w:lastRenderedPageBreak/>
        <w:t>AI Use Acknowledgement</w:t>
      </w:r>
    </w:p>
    <w:p w14:paraId="214EDD47" w14:textId="77777777" w:rsidR="00CF6C2D" w:rsidRPr="00420761" w:rsidRDefault="00000000">
      <w:r w:rsidRPr="00420761">
        <w:t xml:space="preserve">I acknowledge the use of ChatGPT (OpenAI) during the preparation of this assignment to support research, source discovery and language review. I used ChatGPT to help identify relevant academic, official and company sources related to Adidas, Germany and China, and to check the grammar, clarity and academic tone of my writing. Some examples of the prompts used were: “Identify credible academic and official sources relevant to Adidas in Germany and China” and “Review this paragraph for grammar, clarity and academic tone while keeping my original meaning.” I checked the information and compared relevant claims with the sources used in the report. I made my own decisions when </w:t>
      </w:r>
      <w:proofErr w:type="spellStart"/>
      <w:r w:rsidRPr="00420761">
        <w:t>analysing</w:t>
      </w:r>
      <w:proofErr w:type="spellEnd"/>
      <w:r w:rsidRPr="00420761">
        <w:t xml:space="preserve"> the evidence and applying the PESTEL, Hofstede, STP and 7Ps frameworks, as well as the market-entry strategy and recommendations. I also reviewed the final document to make sure that the content is accurate, properly referenced and follows the university requirements.</w:t>
      </w:r>
      <w:r w:rsidRPr="00420761">
        <w:br w:type="page"/>
      </w:r>
    </w:p>
    <w:p w14:paraId="698BB253" w14:textId="77777777" w:rsidR="00CF6C2D" w:rsidRPr="00420761" w:rsidRDefault="00CF6C2D"/>
    <w:p w14:paraId="2F450992" w14:textId="77777777" w:rsidR="00CF6C2D" w:rsidRPr="00420761" w:rsidRDefault="00000000">
      <w:pPr>
        <w:spacing w:after="240" w:line="276" w:lineRule="auto"/>
        <w:jc w:val="left"/>
      </w:pPr>
      <w:r w:rsidRPr="00420761">
        <w:rPr>
          <w:b/>
          <w:bCs/>
          <w:sz w:val="32"/>
          <w:szCs w:val="32"/>
        </w:rPr>
        <w:t>Table of Contents</w:t>
      </w:r>
    </w:p>
    <w:sdt>
      <w:sdtPr>
        <w:id w:val="925692603"/>
        <w:docPartObj>
          <w:docPartGallery w:val="Table of Contents"/>
          <w:docPartUnique/>
        </w:docPartObj>
      </w:sdtPr>
      <w:sdtContent>
        <w:p w14:paraId="068D03B4" w14:textId="77777777" w:rsidR="00CF6C2D" w:rsidRPr="00420761" w:rsidRDefault="00000000">
          <w:pPr>
            <w:pBdr>
              <w:top w:val="nil"/>
              <w:left w:val="nil"/>
              <w:bottom w:val="nil"/>
              <w:right w:val="nil"/>
              <w:between w:val="nil"/>
            </w:pBdr>
            <w:tabs>
              <w:tab w:val="right" w:pos="9016"/>
            </w:tabs>
            <w:spacing w:after="100"/>
            <w:rPr>
              <w:color w:val="000000"/>
            </w:rPr>
          </w:pPr>
          <w:r w:rsidRPr="00420761">
            <w:fldChar w:fldCharType="begin"/>
          </w:r>
          <w:r w:rsidRPr="00420761">
            <w:instrText xml:space="preserve"> TOC \h \u \z \t "Heading 1,1,Heading 2,2,Heading 3,3,"</w:instrText>
          </w:r>
          <w:r w:rsidRPr="00420761">
            <w:fldChar w:fldCharType="separate"/>
          </w:r>
          <w:hyperlink w:anchor="_9pow775t7l5z">
            <w:r w:rsidRPr="00420761">
              <w:rPr>
                <w:color w:val="000000"/>
              </w:rPr>
              <w:t>Section 1 - Comparative international marketing report</w:t>
            </w:r>
            <w:r w:rsidRPr="00420761">
              <w:rPr>
                <w:color w:val="000000"/>
              </w:rPr>
              <w:tab/>
              <w:t>4</w:t>
            </w:r>
          </w:hyperlink>
        </w:p>
        <w:p w14:paraId="6AD3C5D0"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t7a7qglkj14e">
            <w:r w:rsidRPr="00420761">
              <w:rPr>
                <w:color w:val="000000"/>
              </w:rPr>
              <w:t>1. Introduction and Adidas context</w:t>
            </w:r>
            <w:r w:rsidRPr="00420761">
              <w:rPr>
                <w:color w:val="000000"/>
              </w:rPr>
              <w:tab/>
              <w:t>4</w:t>
            </w:r>
          </w:hyperlink>
        </w:p>
        <w:p w14:paraId="5958A9F5"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41qbn9f2wsvh">
            <w:r w:rsidRPr="00420761">
              <w:rPr>
                <w:color w:val="000000"/>
              </w:rPr>
              <w:t>2. Comparative market analysis: PESTEL and culture</w:t>
            </w:r>
            <w:r w:rsidRPr="00420761">
              <w:rPr>
                <w:color w:val="000000"/>
              </w:rPr>
              <w:tab/>
              <w:t>5</w:t>
            </w:r>
          </w:hyperlink>
        </w:p>
        <w:p w14:paraId="397CFD56"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ogam0i3qpgea">
            <w:r w:rsidRPr="00420761">
              <w:rPr>
                <w:color w:val="000000"/>
              </w:rPr>
              <w:t>2.1 PESTEL comparison</w:t>
            </w:r>
            <w:r w:rsidRPr="00420761">
              <w:rPr>
                <w:color w:val="000000"/>
              </w:rPr>
              <w:tab/>
              <w:t>5</w:t>
            </w:r>
          </w:hyperlink>
        </w:p>
        <w:p w14:paraId="0B0FA436"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w97x0x835bjm">
            <w:r w:rsidRPr="00420761">
              <w:rPr>
                <w:color w:val="000000"/>
              </w:rPr>
              <w:t>2.2 Cultural analysis using Hofstede critically</w:t>
            </w:r>
            <w:r w:rsidRPr="00420761">
              <w:rPr>
                <w:color w:val="000000"/>
              </w:rPr>
              <w:tab/>
              <w:t>7</w:t>
            </w:r>
          </w:hyperlink>
        </w:p>
        <w:p w14:paraId="721B6888"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z0pj4yr2kvw1">
            <w:r w:rsidRPr="00420761">
              <w:rPr>
                <w:color w:val="000000"/>
              </w:rPr>
              <w:t>3. Comparative STP strategy</w:t>
            </w:r>
            <w:r w:rsidRPr="00420761">
              <w:rPr>
                <w:color w:val="000000"/>
              </w:rPr>
              <w:tab/>
              <w:t>8</w:t>
            </w:r>
          </w:hyperlink>
        </w:p>
        <w:p w14:paraId="20861D19"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d7tjl05uafiw">
            <w:r w:rsidRPr="00420761">
              <w:rPr>
                <w:color w:val="000000"/>
              </w:rPr>
              <w:t>4. Comparative international marketing mix: 7Ps</w:t>
            </w:r>
            <w:r w:rsidRPr="00420761">
              <w:rPr>
                <w:color w:val="000000"/>
              </w:rPr>
              <w:tab/>
              <w:t>10</w:t>
            </w:r>
          </w:hyperlink>
        </w:p>
        <w:p w14:paraId="54170CF1"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gan78xm5uzil">
            <w:r w:rsidRPr="00420761">
              <w:rPr>
                <w:color w:val="000000"/>
              </w:rPr>
              <w:t>4.1 Product</w:t>
            </w:r>
            <w:r w:rsidRPr="00420761">
              <w:rPr>
                <w:color w:val="000000"/>
              </w:rPr>
              <w:tab/>
              <w:t>10</w:t>
            </w:r>
          </w:hyperlink>
        </w:p>
        <w:p w14:paraId="1358509F"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lkbt2n8ldnjh">
            <w:r w:rsidRPr="00420761">
              <w:rPr>
                <w:color w:val="000000"/>
              </w:rPr>
              <w:t>4.2 Price</w:t>
            </w:r>
            <w:r w:rsidRPr="00420761">
              <w:rPr>
                <w:color w:val="000000"/>
              </w:rPr>
              <w:tab/>
              <w:t>10</w:t>
            </w:r>
          </w:hyperlink>
        </w:p>
        <w:p w14:paraId="3E1999C9"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5qkov78e35y">
            <w:r w:rsidRPr="00420761">
              <w:rPr>
                <w:color w:val="000000"/>
              </w:rPr>
              <w:t>4.3 Place</w:t>
            </w:r>
            <w:r w:rsidRPr="00420761">
              <w:rPr>
                <w:color w:val="000000"/>
              </w:rPr>
              <w:tab/>
              <w:t>11</w:t>
            </w:r>
          </w:hyperlink>
        </w:p>
        <w:p w14:paraId="772D8C6F"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qj37bo21yewm">
            <w:r w:rsidRPr="00420761">
              <w:rPr>
                <w:color w:val="000000"/>
              </w:rPr>
              <w:t>4.4 Promotion</w:t>
            </w:r>
            <w:r w:rsidRPr="00420761">
              <w:rPr>
                <w:color w:val="000000"/>
              </w:rPr>
              <w:tab/>
              <w:t>11</w:t>
            </w:r>
          </w:hyperlink>
        </w:p>
        <w:p w14:paraId="2971650D"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lfv4qc6zsfs0">
            <w:r w:rsidRPr="00420761">
              <w:rPr>
                <w:color w:val="000000"/>
              </w:rPr>
              <w:t>4.5 People</w:t>
            </w:r>
            <w:r w:rsidRPr="00420761">
              <w:rPr>
                <w:color w:val="000000"/>
              </w:rPr>
              <w:tab/>
              <w:t>12</w:t>
            </w:r>
          </w:hyperlink>
        </w:p>
        <w:p w14:paraId="7E3E7EC2"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e0019a1omkqm">
            <w:r w:rsidRPr="00420761">
              <w:rPr>
                <w:color w:val="000000"/>
              </w:rPr>
              <w:t>4.6 Process</w:t>
            </w:r>
            <w:r w:rsidRPr="00420761">
              <w:rPr>
                <w:color w:val="000000"/>
              </w:rPr>
              <w:tab/>
              <w:t>12</w:t>
            </w:r>
          </w:hyperlink>
        </w:p>
        <w:p w14:paraId="3E91CCEA"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rsa1ya1vekim">
            <w:r w:rsidRPr="00420761">
              <w:rPr>
                <w:color w:val="000000"/>
              </w:rPr>
              <w:t>4.7 Physical evidence</w:t>
            </w:r>
            <w:r w:rsidRPr="00420761">
              <w:rPr>
                <w:color w:val="000000"/>
              </w:rPr>
              <w:tab/>
              <w:t>12</w:t>
            </w:r>
          </w:hyperlink>
        </w:p>
        <w:p w14:paraId="7A6F1155"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v8fybvqaqud3">
            <w:r w:rsidRPr="00420761">
              <w:rPr>
                <w:color w:val="000000"/>
              </w:rPr>
              <w:t>4.8 7Ps synthesis</w:t>
            </w:r>
            <w:r w:rsidRPr="00420761">
              <w:rPr>
                <w:color w:val="000000"/>
              </w:rPr>
              <w:tab/>
              <w:t>13</w:t>
            </w:r>
          </w:hyperlink>
        </w:p>
        <w:p w14:paraId="11F8F267"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fuaq8utvmfy2">
            <w:r w:rsidRPr="00420761">
              <w:rPr>
                <w:color w:val="000000"/>
              </w:rPr>
              <w:t>5. Adidas China market-entry strategy</w:t>
            </w:r>
            <w:r w:rsidRPr="00420761">
              <w:rPr>
                <w:color w:val="000000"/>
              </w:rPr>
              <w:tab/>
              <w:t>14</w:t>
            </w:r>
          </w:hyperlink>
        </w:p>
        <w:p w14:paraId="16780B19"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kjrq7hmkyucu">
            <w:r w:rsidRPr="00420761">
              <w:rPr>
                <w:color w:val="000000"/>
              </w:rPr>
              <w:t>6. Ethical evaluation in China</w:t>
            </w:r>
            <w:r w:rsidRPr="00420761">
              <w:rPr>
                <w:color w:val="000000"/>
              </w:rPr>
              <w:tab/>
              <w:t>15</w:t>
            </w:r>
          </w:hyperlink>
        </w:p>
        <w:p w14:paraId="164E81F8"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v8y3hh72ynh6">
            <w:r w:rsidRPr="00420761">
              <w:rPr>
                <w:color w:val="000000"/>
              </w:rPr>
              <w:t>7. Recommendations for Germany and China</w:t>
            </w:r>
            <w:r w:rsidRPr="00420761">
              <w:rPr>
                <w:color w:val="000000"/>
              </w:rPr>
              <w:tab/>
              <w:t>16</w:t>
            </w:r>
          </w:hyperlink>
        </w:p>
        <w:p w14:paraId="5CDCD04C"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r5wvmze4tyva">
            <w:r w:rsidRPr="00420761">
              <w:rPr>
                <w:color w:val="000000"/>
              </w:rPr>
              <w:t>8. Conclusion</w:t>
            </w:r>
            <w:r w:rsidRPr="00420761">
              <w:rPr>
                <w:color w:val="000000"/>
              </w:rPr>
              <w:tab/>
              <w:t>18</w:t>
            </w:r>
          </w:hyperlink>
        </w:p>
        <w:p w14:paraId="1E2FDF35" w14:textId="77777777" w:rsidR="00CF6C2D" w:rsidRPr="00420761" w:rsidRDefault="00000000">
          <w:pPr>
            <w:pBdr>
              <w:top w:val="nil"/>
              <w:left w:val="nil"/>
              <w:bottom w:val="nil"/>
              <w:right w:val="nil"/>
              <w:between w:val="nil"/>
            </w:pBdr>
            <w:tabs>
              <w:tab w:val="right" w:pos="9016"/>
            </w:tabs>
            <w:spacing w:after="100"/>
            <w:rPr>
              <w:color w:val="000000"/>
            </w:rPr>
          </w:pPr>
          <w:hyperlink w:anchor="_oz6hgoquxyc7">
            <w:r w:rsidRPr="00420761">
              <w:rPr>
                <w:color w:val="000000"/>
              </w:rPr>
              <w:t>Section 2 - Reflective account</w:t>
            </w:r>
            <w:r w:rsidRPr="00420761">
              <w:rPr>
                <w:color w:val="000000"/>
              </w:rPr>
              <w:tab/>
              <w:t>19</w:t>
            </w:r>
          </w:hyperlink>
        </w:p>
        <w:p w14:paraId="2D92C7CD" w14:textId="77777777" w:rsidR="00CF6C2D" w:rsidRPr="00420761" w:rsidRDefault="00000000">
          <w:pPr>
            <w:pBdr>
              <w:top w:val="nil"/>
              <w:left w:val="nil"/>
              <w:bottom w:val="nil"/>
              <w:right w:val="nil"/>
              <w:between w:val="nil"/>
            </w:pBdr>
            <w:tabs>
              <w:tab w:val="right" w:pos="9016"/>
            </w:tabs>
            <w:spacing w:after="100"/>
            <w:ind w:left="240"/>
            <w:rPr>
              <w:color w:val="000000"/>
            </w:rPr>
          </w:pPr>
          <w:hyperlink w:anchor="_ikbq2es81ovd">
            <w:r w:rsidRPr="00420761">
              <w:rPr>
                <w:color w:val="000000"/>
              </w:rPr>
              <w:t>9. Gibbs reflective cycle</w:t>
            </w:r>
            <w:r w:rsidRPr="00420761">
              <w:rPr>
                <w:color w:val="000000"/>
              </w:rPr>
              <w:tab/>
              <w:t>19</w:t>
            </w:r>
          </w:hyperlink>
        </w:p>
        <w:p w14:paraId="7307CB40"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tu01lvtm5vsv">
            <w:r w:rsidRPr="00420761">
              <w:rPr>
                <w:color w:val="000000"/>
              </w:rPr>
              <w:t>Description</w:t>
            </w:r>
            <w:r w:rsidRPr="00420761">
              <w:rPr>
                <w:color w:val="000000"/>
              </w:rPr>
              <w:tab/>
              <w:t>19</w:t>
            </w:r>
          </w:hyperlink>
        </w:p>
        <w:p w14:paraId="0D0D56E8"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uq3rbnjssf7c">
            <w:r w:rsidRPr="00420761">
              <w:rPr>
                <w:color w:val="000000"/>
              </w:rPr>
              <w:t>Feelings</w:t>
            </w:r>
            <w:r w:rsidRPr="00420761">
              <w:rPr>
                <w:color w:val="000000"/>
              </w:rPr>
              <w:tab/>
              <w:t>20</w:t>
            </w:r>
          </w:hyperlink>
        </w:p>
        <w:p w14:paraId="53CBB11C"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mi4dtqp1kri">
            <w:r w:rsidRPr="00420761">
              <w:rPr>
                <w:color w:val="000000"/>
              </w:rPr>
              <w:t>Evaluation</w:t>
            </w:r>
            <w:r w:rsidRPr="00420761">
              <w:rPr>
                <w:color w:val="000000"/>
              </w:rPr>
              <w:tab/>
              <w:t>20</w:t>
            </w:r>
          </w:hyperlink>
        </w:p>
        <w:p w14:paraId="48566D2B"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syi9amu0bfsb">
            <w:r w:rsidRPr="00420761">
              <w:rPr>
                <w:color w:val="000000"/>
              </w:rPr>
              <w:t>Analysis</w:t>
            </w:r>
            <w:r w:rsidRPr="00420761">
              <w:rPr>
                <w:color w:val="000000"/>
              </w:rPr>
              <w:tab/>
              <w:t>21</w:t>
            </w:r>
          </w:hyperlink>
        </w:p>
        <w:p w14:paraId="36A6D6F9"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1mav8hi69qmn">
            <w:r w:rsidRPr="00420761">
              <w:rPr>
                <w:color w:val="000000"/>
              </w:rPr>
              <w:t>Conclusion</w:t>
            </w:r>
            <w:r w:rsidRPr="00420761">
              <w:rPr>
                <w:color w:val="000000"/>
              </w:rPr>
              <w:tab/>
              <w:t>21</w:t>
            </w:r>
          </w:hyperlink>
        </w:p>
        <w:p w14:paraId="3991EBD2" w14:textId="77777777" w:rsidR="00CF6C2D" w:rsidRPr="00420761" w:rsidRDefault="00000000">
          <w:pPr>
            <w:pBdr>
              <w:top w:val="nil"/>
              <w:left w:val="nil"/>
              <w:bottom w:val="nil"/>
              <w:right w:val="nil"/>
              <w:between w:val="nil"/>
            </w:pBdr>
            <w:tabs>
              <w:tab w:val="right" w:pos="9016"/>
            </w:tabs>
            <w:spacing w:after="100"/>
            <w:ind w:left="480"/>
            <w:rPr>
              <w:color w:val="000000"/>
            </w:rPr>
          </w:pPr>
          <w:hyperlink w:anchor="_hznac8ablma5">
            <w:r w:rsidRPr="00420761">
              <w:rPr>
                <w:color w:val="000000"/>
              </w:rPr>
              <w:t>Action plan</w:t>
            </w:r>
            <w:r w:rsidRPr="00420761">
              <w:rPr>
                <w:color w:val="000000"/>
              </w:rPr>
              <w:tab/>
              <w:t>22</w:t>
            </w:r>
          </w:hyperlink>
        </w:p>
        <w:p w14:paraId="2E109734" w14:textId="77777777" w:rsidR="00CF6C2D" w:rsidRPr="00420761" w:rsidRDefault="00000000">
          <w:pPr>
            <w:pBdr>
              <w:top w:val="nil"/>
              <w:left w:val="nil"/>
              <w:bottom w:val="nil"/>
              <w:right w:val="nil"/>
              <w:between w:val="nil"/>
            </w:pBdr>
            <w:tabs>
              <w:tab w:val="right" w:pos="9016"/>
            </w:tabs>
            <w:spacing w:after="100"/>
            <w:rPr>
              <w:color w:val="000000"/>
            </w:rPr>
          </w:pPr>
          <w:hyperlink w:anchor="_u1466txxpkkz">
            <w:r w:rsidRPr="00420761">
              <w:rPr>
                <w:color w:val="000000"/>
              </w:rPr>
              <w:t>References</w:t>
            </w:r>
            <w:r w:rsidRPr="00420761">
              <w:rPr>
                <w:color w:val="000000"/>
              </w:rPr>
              <w:tab/>
              <w:t>23</w:t>
            </w:r>
          </w:hyperlink>
        </w:p>
        <w:p w14:paraId="4D857D68" w14:textId="77777777" w:rsidR="00CF6C2D" w:rsidRPr="00420761" w:rsidRDefault="00000000">
          <w:pPr>
            <w:tabs>
              <w:tab w:val="right" w:pos="8712"/>
            </w:tabs>
            <w:spacing w:after="0" w:line="276" w:lineRule="auto"/>
            <w:jc w:val="left"/>
          </w:pPr>
          <w:r w:rsidRPr="00420761">
            <w:fldChar w:fldCharType="end"/>
          </w:r>
        </w:p>
      </w:sdtContent>
    </w:sdt>
    <w:p w14:paraId="1528DE9E" w14:textId="77777777" w:rsidR="00CF6C2D" w:rsidRPr="00420761" w:rsidRDefault="00000000">
      <w:r w:rsidRPr="00420761">
        <w:br w:type="page"/>
      </w:r>
    </w:p>
    <w:p w14:paraId="5BF11316" w14:textId="77777777" w:rsidR="00CF6C2D" w:rsidRPr="00420761" w:rsidRDefault="00000000">
      <w:pPr>
        <w:pStyle w:val="Heading1"/>
        <w:rPr>
          <w:rFonts w:ascii="Arial" w:eastAsia="Arial" w:hAnsi="Arial" w:cs="Arial"/>
        </w:rPr>
      </w:pPr>
      <w:bookmarkStart w:id="0" w:name="_9pow775t7l5z" w:colFirst="0" w:colLast="0"/>
      <w:bookmarkEnd w:id="0"/>
      <w:r w:rsidRPr="00420761">
        <w:rPr>
          <w:rFonts w:ascii="Arial" w:eastAsia="Arial" w:hAnsi="Arial" w:cs="Arial"/>
        </w:rPr>
        <w:lastRenderedPageBreak/>
        <w:t>Section 1 - Comparative international marketing report</w:t>
      </w:r>
    </w:p>
    <w:p w14:paraId="4A761BF7" w14:textId="77777777" w:rsidR="00CF6C2D" w:rsidRPr="00420761" w:rsidRDefault="00000000">
      <w:pPr>
        <w:pStyle w:val="Heading2"/>
        <w:rPr>
          <w:rFonts w:ascii="Arial" w:eastAsia="Arial" w:hAnsi="Arial" w:cs="Arial"/>
        </w:rPr>
      </w:pPr>
      <w:bookmarkStart w:id="1" w:name="_t7a7qglkj14e" w:colFirst="0" w:colLast="0"/>
      <w:bookmarkEnd w:id="1"/>
      <w:r w:rsidRPr="00420761">
        <w:rPr>
          <w:rFonts w:ascii="Arial" w:eastAsia="Arial" w:hAnsi="Arial" w:cs="Arial"/>
        </w:rPr>
        <w:t>1. Introduction and Adidas context</w:t>
      </w:r>
    </w:p>
    <w:p w14:paraId="301BBEEE" w14:textId="77777777" w:rsidR="00CF6C2D" w:rsidRPr="00420761" w:rsidRDefault="00000000">
      <w:r w:rsidRPr="00420761">
        <w:t xml:space="preserve">International marketing is the process of creating a value proposition that is translatable across borders and that is still meaningful, legal and economical in a specific market. The </w:t>
      </w:r>
      <w:proofErr w:type="spellStart"/>
      <w:r w:rsidRPr="00420761">
        <w:t>standardisation</w:t>
      </w:r>
      <w:proofErr w:type="spellEnd"/>
      <w:r w:rsidRPr="00420761">
        <w:t xml:space="preserve">/adaptation debate is one between efficiency in common assets and difference in need for local judgement. The evidence provided by the international-marketing literature is inconclusive rather than conclusive: </w:t>
      </w:r>
      <w:proofErr w:type="spellStart"/>
      <w:r w:rsidRPr="00420761">
        <w:t>Theodosiou</w:t>
      </w:r>
      <w:proofErr w:type="spellEnd"/>
      <w:r w:rsidRPr="00420761">
        <w:t xml:space="preserve"> and </w:t>
      </w:r>
      <w:proofErr w:type="spellStart"/>
      <w:r w:rsidRPr="00420761">
        <w:t>Leonidou</w:t>
      </w:r>
      <w:proofErr w:type="spellEnd"/>
      <w:r w:rsidRPr="00420761">
        <w:t xml:space="preserve"> (2003) found inconsistent findings in 36 empirical studies, and Szymanski, Bharadwaj and Varadarajan (1993) demonstrated the reasons for this.</w:t>
      </w:r>
    </w:p>
    <w:p w14:paraId="33786F07" w14:textId="77777777" w:rsidR="00CF6C2D" w:rsidRPr="00420761" w:rsidRDefault="00000000">
      <w:r w:rsidRPr="00420761">
        <w:t>Adidas is a sportswear manufacturer based in Germany whose brand is defined by sport and lifestyle self-expression coupled with technical sporting performance. It currently reports Greater China as a significant operating segment, and explains about local activity (in addition to global management) as adidas AG (2025a; 2025b) does. Germany is a helpful benchmark for the domestic market, but is not an ideal template: legal environments, retail environments, and brand familiarity influence what can be exported. The baseline is from OECD (2025) and compliance and consumer-trend exposure is according to the information given by adidas AG (2024). China presents opportunities for scale and digitalization, but also platform, data, regulatory and trust complexity (World Bank, 2025; National Bureau of Statistics of China, 2026a).</w:t>
      </w:r>
    </w:p>
    <w:p w14:paraId="2E482CB8" w14:textId="77777777" w:rsidR="00CF6C2D" w:rsidRPr="00420761" w:rsidRDefault="00000000">
      <w:r w:rsidRPr="00420761">
        <w:t xml:space="preserve">The analysis is based on secondary documentary research, comprising of corporate reports, academic studies, official statistics, legal material and independent news, which has been triangulated, but no primary consumer </w:t>
      </w:r>
      <w:proofErr w:type="spellStart"/>
      <w:r w:rsidRPr="00420761">
        <w:t>behaviour</w:t>
      </w:r>
      <w:proofErr w:type="spellEnd"/>
      <w:r w:rsidRPr="00420761">
        <w:t xml:space="preserve"> or campaign effect is claimed. Adidas needs to work on selective adaptation. It ought to streamline and unify the global performance promise, essential identity, claim leadership and moral standards, adjust market access, digital execution, assortment, value proposition, service processes and accountability to local markets in China. This judgement is represented in PESTEL, a critical use of Hofstede, STP, 7Ps, China entry strategy and ethics test before measurable recommendations are made.</w:t>
      </w:r>
    </w:p>
    <w:p w14:paraId="21E86C22" w14:textId="77777777" w:rsidR="00CF6C2D" w:rsidRPr="00420761" w:rsidRDefault="00000000">
      <w:pPr>
        <w:pStyle w:val="Heading2"/>
        <w:rPr>
          <w:rFonts w:ascii="Arial" w:eastAsia="Arial" w:hAnsi="Arial" w:cs="Arial"/>
        </w:rPr>
      </w:pPr>
      <w:bookmarkStart w:id="2" w:name="_41qbn9f2wsvh" w:colFirst="0" w:colLast="0"/>
      <w:bookmarkEnd w:id="2"/>
      <w:r w:rsidRPr="00420761">
        <w:rPr>
          <w:rFonts w:ascii="Arial" w:eastAsia="Arial" w:hAnsi="Arial" w:cs="Arial"/>
        </w:rPr>
        <w:lastRenderedPageBreak/>
        <w:t>2. Comparative market analysis: PESTEL and culture</w:t>
      </w:r>
    </w:p>
    <w:p w14:paraId="6C890D4B" w14:textId="77777777" w:rsidR="00CF6C2D" w:rsidRPr="00420761" w:rsidRDefault="00000000">
      <w:pPr>
        <w:keepNext/>
        <w:spacing w:before="160" w:after="60" w:line="240" w:lineRule="auto"/>
        <w:jc w:val="center"/>
      </w:pPr>
      <w:r w:rsidRPr="00420761">
        <w:rPr>
          <w:noProof/>
        </w:rPr>
        <w:drawing>
          <wp:inline distT="0" distB="0" distL="0" distR="0" wp14:anchorId="6D4C429E" wp14:editId="21A4A727">
            <wp:extent cx="5577840" cy="2298013"/>
            <wp:effectExtent l="0" t="0" r="0" b="0"/>
            <wp:docPr id="3" name="image4.png" descr="Mermaid flowchart showing Adidas's global core feeding common brand standards into Germany and selectively adapted market access, digital execution, assortment, value architecture and accountability in China."/>
            <wp:cNvGraphicFramePr/>
            <a:graphic xmlns:a="http://schemas.openxmlformats.org/drawingml/2006/main">
              <a:graphicData uri="http://schemas.openxmlformats.org/drawingml/2006/picture">
                <pic:pic xmlns:pic="http://schemas.openxmlformats.org/drawingml/2006/picture">
                  <pic:nvPicPr>
                    <pic:cNvPr id="0" name="image4.png" descr="Mermaid flowchart showing Adidas's global core feeding common brand standards into Germany and selectively adapted market access, digital execution, assortment, value architecture and accountability in China."/>
                    <pic:cNvPicPr preferRelativeResize="0"/>
                  </pic:nvPicPr>
                  <pic:blipFill>
                    <a:blip r:embed="rId8"/>
                    <a:srcRect/>
                    <a:stretch>
                      <a:fillRect/>
                    </a:stretch>
                  </pic:blipFill>
                  <pic:spPr>
                    <a:xfrm>
                      <a:off x="0" y="0"/>
                      <a:ext cx="5577840" cy="2298013"/>
                    </a:xfrm>
                    <a:prstGeom prst="rect">
                      <a:avLst/>
                    </a:prstGeom>
                    <a:ln/>
                  </pic:spPr>
                </pic:pic>
              </a:graphicData>
            </a:graphic>
          </wp:inline>
        </w:drawing>
      </w:r>
    </w:p>
    <w:p w14:paraId="60CFF83F" w14:textId="77777777" w:rsidR="00CF6C2D" w:rsidRPr="00420761" w:rsidRDefault="00000000">
      <w:pPr>
        <w:keepNext/>
        <w:spacing w:before="160" w:after="60" w:line="276" w:lineRule="auto"/>
        <w:jc w:val="left"/>
      </w:pPr>
      <w:r w:rsidRPr="00420761">
        <w:rPr>
          <w:b/>
          <w:bCs/>
          <w:sz w:val="22"/>
          <w:szCs w:val="22"/>
        </w:rPr>
        <w:t>Figure 1: Selective adaptation architecture</w:t>
      </w:r>
    </w:p>
    <w:p w14:paraId="2573686C" w14:textId="77777777" w:rsidR="00CF6C2D" w:rsidRPr="00420761" w:rsidRDefault="00000000">
      <w:pPr>
        <w:spacing w:before="60" w:line="276" w:lineRule="auto"/>
        <w:jc w:val="left"/>
      </w:pPr>
      <w:r w:rsidRPr="00420761">
        <w:rPr>
          <w:i/>
          <w:iCs/>
          <w:color w:val="595959"/>
          <w:sz w:val="20"/>
          <w:szCs w:val="20"/>
        </w:rPr>
        <w:t>Source: Author's Mermaid chart; synthesis of the comparative analysis in Sections 1-7.</w:t>
      </w:r>
    </w:p>
    <w:p w14:paraId="5779C16A" w14:textId="34F7AE85" w:rsidR="00CF6C2D" w:rsidRPr="00420761" w:rsidRDefault="00000000">
      <w:r w:rsidRPr="00420761">
        <w:t>Germany and China are not just different promotional opportunities but present different marketing problems. Adidas has a relatively well</w:t>
      </w:r>
      <w:r w:rsidR="00420761">
        <w:t>-</w:t>
      </w:r>
      <w:r w:rsidRPr="00420761">
        <w:t>established institutional home base in Germany and a more well-developed home market context, while China has market size and quick digitalization, but has complexity with respect to its regulatory, platform and reputational landscape. The differences that affect marketing decisions and the ones that need operating controls are the ones that make the difference in the test. That distinction matters. A regulatory difference might affect ownership and approval; a demand difference might affect assortment or price; a platform difference might affect capability and partnership. If everything is treated as culture, then all of these mechanisms will be masked. The question in the comparison is whether the offer, the operating system or both should be adapted by Adidas.</w:t>
      </w:r>
    </w:p>
    <w:p w14:paraId="74FDD29A" w14:textId="77777777" w:rsidR="00CF6C2D" w:rsidRPr="00420761" w:rsidRDefault="00000000">
      <w:pPr>
        <w:pStyle w:val="Heading3"/>
        <w:rPr>
          <w:rFonts w:ascii="Arial" w:eastAsia="Arial" w:hAnsi="Arial" w:cs="Arial"/>
        </w:rPr>
      </w:pPr>
      <w:r w:rsidRPr="00420761">
        <w:rPr>
          <w:rFonts w:ascii="Arial" w:eastAsia="Arial" w:hAnsi="Arial" w:cs="Arial"/>
        </w:rPr>
        <w:t>2.1 PESTEL comparison</w:t>
      </w:r>
    </w:p>
    <w:p w14:paraId="488548A5" w14:textId="77777777" w:rsidR="00CF6C2D" w:rsidRPr="00420761" w:rsidRDefault="00000000">
      <w:r w:rsidRPr="00420761">
        <w:t xml:space="preserve">The rules of European platforms and data influence politically and legally the German situation. The Digital Services Act outlined by the European Commission (2024) is a regulation for the accountability of online services, which impacts on the marketplace relationship, content governance and consumer protection. China’s Personal Information Protection Law creates a separate basis for collection, use and control of personal information (National People’s Congress of the People’s Republic of China, 2021). Global brand standards need to be adhered to, but customer data flow, membership design, influencer controls and complaint mechanism need to be </w:t>
      </w:r>
      <w:r w:rsidRPr="00420761">
        <w:lastRenderedPageBreak/>
        <w:t>adjusted on the local level. The allegations of embezzlement and bribery (Associated Press, 2024) was a risk signal, not a finding, and is reported in AP News.</w:t>
      </w:r>
    </w:p>
    <w:p w14:paraId="3C40AE98" w14:textId="44C72EE5" w:rsidR="00CF6C2D" w:rsidRPr="00420761" w:rsidRDefault="00000000">
      <w:r w:rsidRPr="00420761">
        <w:t xml:space="preserve">The stability of the home market is not a synonym for infinite demand for premiums in Germany. OECD (2025) reports on structural pressures, </w:t>
      </w:r>
      <w:proofErr w:type="spellStart"/>
      <w:r w:rsidRPr="00420761">
        <w:t>Destatis</w:t>
      </w:r>
      <w:proofErr w:type="spellEnd"/>
      <w:r w:rsidRPr="00420761">
        <w:t xml:space="preserve"> (2025) offers a context for retail prices.</w:t>
      </w:r>
      <w:r w:rsidR="00EE18AB" w:rsidRPr="00420761">
        <w:t xml:space="preserve"> China remains commercially attractive, although the World Bank (2025) highlights continuing uncertainty around economic growth and domestic demand</w:t>
      </w:r>
      <w:r w:rsidRPr="00420761">
        <w:t xml:space="preserve">. National averages mask differences across cities and data on household expenditure can provide some insight into affordability (National Bureau of Statistics of China, 2026c). Adidas must have a price ladder in both markets: Germany must </w:t>
      </w:r>
      <w:proofErr w:type="spellStart"/>
      <w:r w:rsidRPr="00420761">
        <w:t>favour</w:t>
      </w:r>
      <w:proofErr w:type="spellEnd"/>
      <w:r w:rsidRPr="00420761">
        <w:t xml:space="preserve"> the high-end performance and sustainability, whilst China must rely on value-bundles and member benefits on a regional basis without having to make ongoing pricing reduction a defining feature.</w:t>
      </w:r>
    </w:p>
    <w:p w14:paraId="1876D018" w14:textId="4A9994EE" w:rsidR="00CF6C2D" w:rsidRPr="00420761" w:rsidRDefault="00000000">
      <w:r w:rsidRPr="00420761">
        <w:t xml:space="preserve">The contrast to be made socially is not between the German and the Chinese stereotype, but between sport, lifestyle, income, age, tier of the city, community and platform </w:t>
      </w:r>
      <w:proofErr w:type="spellStart"/>
      <w:r w:rsidRPr="00420761">
        <w:t>behaviour</w:t>
      </w:r>
      <w:proofErr w:type="spellEnd"/>
      <w:r w:rsidRPr="00420761">
        <w:t>. According to official release from China (National Bureau of Statistics of China, 2026b).</w:t>
      </w:r>
      <w:r w:rsidR="00EE18AB" w:rsidRPr="00420761">
        <w:t xml:space="preserve"> The official statistics report growth in sports and recreational articles, but they do not measure Adidas preference or customer loyalty. German consumers’ familiarity with Adidas may reduce purchase uncertainty, whereas Chinese consumers may experience the brand through platforms, communities, stores and livestreams</w:t>
      </w:r>
      <w:r w:rsidRPr="00420761">
        <w:t xml:space="preserve">. The idea is not a nation-specific </w:t>
      </w:r>
      <w:proofErr w:type="spellStart"/>
      <w:r w:rsidRPr="00420761">
        <w:t>behaviour</w:t>
      </w:r>
      <w:proofErr w:type="spellEnd"/>
      <w:r w:rsidRPr="00420761">
        <w:t xml:space="preserve"> but differentiated segmentation.</w:t>
      </w:r>
    </w:p>
    <w:p w14:paraId="2119D827" w14:textId="318C2C30" w:rsidR="00CF6C2D" w:rsidRPr="00420761" w:rsidRDefault="00000000">
      <w:r w:rsidRPr="00420761">
        <w:t>China's internet development and platform commerce can, in terms of technologies, be seen as a strategic capability far more than a media add-on. CNNIC (2025) is a national evidence of internet development while Ye, Batool and Huang (2023) relate the internet's development with loyalty through engagement and value co-creation in Chinese sample. The DSA also establishes a new governance landscape in Germany, but with a different type of omnichannel competence</w:t>
      </w:r>
      <w:r w:rsidR="00EE18AB" w:rsidRPr="00420761">
        <w:t xml:space="preserve"> </w:t>
      </w:r>
      <w:r w:rsidRPr="00420761">
        <w:t>(European Commission, 2024)</w:t>
      </w:r>
      <w:r w:rsidR="00EE18AB" w:rsidRPr="00420761">
        <w:t>. Platform content, service and data execution therefore require locally accountable Chinese capability, while brand identity and claims remain globally governed</w:t>
      </w:r>
      <w:r w:rsidRPr="00420761">
        <w:t>.</w:t>
      </w:r>
    </w:p>
    <w:p w14:paraId="778602D1" w14:textId="77777777" w:rsidR="00CF6C2D" w:rsidRPr="00420761" w:rsidRDefault="00000000">
      <w:r w:rsidRPr="00420761">
        <w:t xml:space="preserve">Adidas has a double challenge when it comes to the environment. While it is a positive step that its sourcing and sustainability disclosures represent human rights and environmental due diligence, this gives rise to legal and trust risks around the green </w:t>
      </w:r>
      <w:r w:rsidRPr="00420761">
        <w:lastRenderedPageBreak/>
        <w:t>claims. (adidas AG, 2025d; 2025e) Earlier evidence shows why certainty in promotion has to rely on evidence (</w:t>
      </w:r>
      <w:proofErr w:type="spellStart"/>
      <w:r w:rsidRPr="00420761">
        <w:t>Bayerisches</w:t>
      </w:r>
      <w:proofErr w:type="spellEnd"/>
      <w:r w:rsidRPr="00420761">
        <w:t xml:space="preserve"> </w:t>
      </w:r>
      <w:proofErr w:type="spellStart"/>
      <w:r w:rsidRPr="00420761">
        <w:t>Staatsministerium</w:t>
      </w:r>
      <w:proofErr w:type="spellEnd"/>
      <w:r w:rsidRPr="00420761">
        <w:t xml:space="preserve"> der </w:t>
      </w:r>
      <w:proofErr w:type="spellStart"/>
      <w:r w:rsidRPr="00420761">
        <w:t>Justiz</w:t>
      </w:r>
      <w:proofErr w:type="spellEnd"/>
      <w:r w:rsidRPr="00420761">
        <w:t xml:space="preserve"> / </w:t>
      </w:r>
      <w:proofErr w:type="spellStart"/>
      <w:r w:rsidRPr="00420761">
        <w:t>Oberlandesgericht</w:t>
      </w:r>
      <w:proofErr w:type="spellEnd"/>
      <w:r w:rsidRPr="00420761">
        <w:t xml:space="preserve"> Nürnberg, 2025). </w:t>
      </w:r>
      <w:proofErr w:type="spellStart"/>
      <w:r w:rsidRPr="00420761">
        <w:t>Organisational</w:t>
      </w:r>
      <w:proofErr w:type="spellEnd"/>
      <w:r w:rsidRPr="00420761">
        <w:t xml:space="preserve"> and market pressures can lead to greenwashing, as explained by Delmas and Burbano (2011), and reactions are influenced by the connection between green advertising and perceived performance, as revealed by </w:t>
      </w:r>
      <w:proofErr w:type="spellStart"/>
      <w:r w:rsidRPr="00420761">
        <w:t>Nyilasy</w:t>
      </w:r>
      <w:proofErr w:type="spellEnd"/>
      <w:r w:rsidRPr="00420761">
        <w:t xml:space="preserve">, </w:t>
      </w:r>
      <w:proofErr w:type="spellStart"/>
      <w:r w:rsidRPr="00420761">
        <w:t>Gangadharbatla</w:t>
      </w:r>
      <w:proofErr w:type="spellEnd"/>
      <w:r w:rsidRPr="00420761">
        <w:t xml:space="preserve"> and Paladino (2014). Explain and format proof but </w:t>
      </w:r>
      <w:proofErr w:type="spellStart"/>
      <w:r w:rsidRPr="00420761">
        <w:t>standardise</w:t>
      </w:r>
      <w:proofErr w:type="spellEnd"/>
      <w:r w:rsidRPr="00420761">
        <w:t xml:space="preserve"> substantiation and adapt stakeholder engagement.</w:t>
      </w:r>
    </w:p>
    <w:p w14:paraId="6B270409" w14:textId="77777777" w:rsidR="00CF6C2D" w:rsidRPr="00420761" w:rsidRDefault="00000000">
      <w:pPr>
        <w:keepNext/>
        <w:spacing w:before="160" w:after="60" w:line="276" w:lineRule="auto"/>
        <w:jc w:val="left"/>
      </w:pPr>
      <w:r w:rsidRPr="00420761">
        <w:rPr>
          <w:b/>
          <w:bCs/>
          <w:sz w:val="22"/>
          <w:szCs w:val="22"/>
        </w:rPr>
        <w:t>Table 1: PESTEL comparison and marketing implication for Adidas</w:t>
      </w:r>
    </w:p>
    <w:p w14:paraId="07F4BA4F" w14:textId="5977453E" w:rsidR="00AD7817" w:rsidRPr="00420761" w:rsidRDefault="00AD7817">
      <w:pPr>
        <w:spacing w:before="60" w:line="276" w:lineRule="auto"/>
        <w:jc w:val="left"/>
        <w:rPr>
          <w:i/>
          <w:iCs/>
          <w:color w:val="595959"/>
          <w:sz w:val="20"/>
          <w:szCs w:val="20"/>
        </w:rPr>
      </w:pPr>
      <w:r w:rsidRPr="00420761">
        <w:rPr>
          <w:i/>
          <w:iCs/>
          <w:noProof/>
          <w:color w:val="595959"/>
          <w:sz w:val="20"/>
          <w:szCs w:val="20"/>
        </w:rPr>
        <w:drawing>
          <wp:inline distT="0" distB="0" distL="0" distR="0" wp14:anchorId="4FA84B9E" wp14:editId="18DA2738">
            <wp:extent cx="5731510" cy="4090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90670"/>
                    </a:xfrm>
                    <a:prstGeom prst="rect">
                      <a:avLst/>
                    </a:prstGeom>
                  </pic:spPr>
                </pic:pic>
              </a:graphicData>
            </a:graphic>
          </wp:inline>
        </w:drawing>
      </w:r>
    </w:p>
    <w:p w14:paraId="73E3DF32" w14:textId="073A1284" w:rsidR="00AD7817" w:rsidRPr="00420761" w:rsidRDefault="00AD7817" w:rsidP="00AD7817">
      <w:pPr>
        <w:spacing w:before="60" w:line="276" w:lineRule="auto"/>
        <w:jc w:val="left"/>
      </w:pPr>
      <w:bookmarkStart w:id="3" w:name="_w97x0x835bjm" w:colFirst="0" w:colLast="0"/>
      <w:bookmarkEnd w:id="3"/>
      <w:r w:rsidRPr="00420761">
        <w:rPr>
          <w:i/>
          <w:iCs/>
          <w:noProof/>
          <w:color w:val="595959"/>
          <w:sz w:val="20"/>
          <w:szCs w:val="20"/>
        </w:rPr>
        <w:drawing>
          <wp:inline distT="0" distB="0" distL="0" distR="0" wp14:anchorId="235F0670" wp14:editId="6AB39A79">
            <wp:extent cx="5731510" cy="967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967740"/>
                    </a:xfrm>
                    <a:prstGeom prst="rect">
                      <a:avLst/>
                    </a:prstGeom>
                  </pic:spPr>
                </pic:pic>
              </a:graphicData>
            </a:graphic>
          </wp:inline>
        </w:drawing>
      </w:r>
    </w:p>
    <w:p w14:paraId="107254A7" w14:textId="3EFFBC34" w:rsidR="00CF6C2D" w:rsidRPr="00420761" w:rsidRDefault="00000000">
      <w:pPr>
        <w:pStyle w:val="Heading3"/>
        <w:rPr>
          <w:rFonts w:ascii="Arial" w:eastAsia="Arial" w:hAnsi="Arial" w:cs="Arial"/>
        </w:rPr>
      </w:pPr>
      <w:r w:rsidRPr="00420761">
        <w:rPr>
          <w:rFonts w:ascii="Arial" w:eastAsia="Arial" w:hAnsi="Arial" w:cs="Arial"/>
        </w:rPr>
        <w:t>2.2 Cultural analysis using Hofstede critically</w:t>
      </w:r>
    </w:p>
    <w:p w14:paraId="0D263F45" w14:textId="289F1248" w:rsidR="00CF6C2D" w:rsidRPr="00420761" w:rsidRDefault="00000000">
      <w:r w:rsidRPr="00420761">
        <w:t xml:space="preserve">The cultural dimensions can inform hypotheses regarding the nature of communication, community, hierarchy, uncertainty, achievement and time orientation, as raised by </w:t>
      </w:r>
      <w:r w:rsidR="00F0477B" w:rsidRPr="00420761">
        <w:t xml:space="preserve">de </w:t>
      </w:r>
      <w:proofErr w:type="spellStart"/>
      <w:r w:rsidR="00F0477B" w:rsidRPr="00420761">
        <w:t>Mooij</w:t>
      </w:r>
      <w:proofErr w:type="spellEnd"/>
      <w:r w:rsidR="00F0477B" w:rsidRPr="00420761">
        <w:t xml:space="preserve"> and Hofstede’s (2010) journal article </w:t>
      </w:r>
      <w:r w:rsidRPr="00420761">
        <w:t xml:space="preserve">on global branding and advertising. With caution, it is a suggestion that Adidas ought not to just translate a </w:t>
      </w:r>
      <w:r w:rsidRPr="00420761">
        <w:lastRenderedPageBreak/>
        <w:t xml:space="preserve">German campaign word for word and take on its meaning. </w:t>
      </w:r>
      <w:r w:rsidR="00EE18AB" w:rsidRPr="00420761">
        <w:t xml:space="preserve">Germany is more individualistic and lower in power distance than China, while China’s stronger long-term orientation makes hierarchy and time useful—but testable—marketing hypotheses </w:t>
      </w:r>
      <w:r w:rsidRPr="00420761">
        <w:t xml:space="preserve">(de </w:t>
      </w:r>
      <w:proofErr w:type="spellStart"/>
      <w:r w:rsidRPr="00420761">
        <w:t>Mooij</w:t>
      </w:r>
      <w:proofErr w:type="spellEnd"/>
      <w:r w:rsidRPr="00420761">
        <w:t xml:space="preserve"> and Hofstede, 2010).</w:t>
      </w:r>
    </w:p>
    <w:p w14:paraId="0F56012D" w14:textId="77777777" w:rsidR="00CF6C2D" w:rsidRPr="00420761" w:rsidRDefault="00000000">
      <w:proofErr w:type="gramStart"/>
      <w:r w:rsidRPr="00420761">
        <w:t>But,</w:t>
      </w:r>
      <w:proofErr w:type="gramEnd"/>
      <w:r w:rsidRPr="00420761">
        <w:t xml:space="preserve"> a country score is not a consumer observation. The sampling and national-level assumptions of the model are questioned by McSweeney (2002), and empirical applications are made under conditions and are method-sensitive according to Kirkman, Lowe and Gibson (2006). Later research is also in need of more robust multi-level reasoning, as suggested by </w:t>
      </w:r>
      <w:proofErr w:type="spellStart"/>
      <w:r w:rsidRPr="00420761">
        <w:t>Beugelsdijk</w:t>
      </w:r>
      <w:proofErr w:type="spellEnd"/>
      <w:r w:rsidRPr="00420761">
        <w:t xml:space="preserve">, </w:t>
      </w:r>
      <w:proofErr w:type="spellStart"/>
      <w:r w:rsidRPr="00420761">
        <w:t>Kostova</w:t>
      </w:r>
      <w:proofErr w:type="spellEnd"/>
      <w:r w:rsidRPr="00420761">
        <w:t xml:space="preserve"> and Roth (2017). </w:t>
      </w:r>
      <w:proofErr w:type="gramStart"/>
      <w:r w:rsidRPr="00420761">
        <w:t>Therefore</w:t>
      </w:r>
      <w:proofErr w:type="gramEnd"/>
      <w:r w:rsidRPr="00420761">
        <w:t xml:space="preserve"> Germany and China should be considered as diverse social entities: Age, income, region, </w:t>
      </w:r>
      <w:proofErr w:type="spellStart"/>
      <w:r w:rsidRPr="00420761">
        <w:t>urbanisation</w:t>
      </w:r>
      <w:proofErr w:type="spellEnd"/>
      <w:r w:rsidRPr="00420761">
        <w:t>, sporting involvement and platform community are as significant as the national average. Assumptions about communication should not be made from the country, rather it should be tested within the proposed segment. The responses of a Shanghai performance athlete, a family who are looking to save money on a lower-tier city shopping trip and a German consumer are likely to differ in response to various proof, service and community cues. Hofstede provides a good checklist for evaluating the assumptions and messages behind the message, but it does not justify stereotyping Chinese customers as collectivist, German customers as individualist. This is a critical qualification that facilitates selection and adaptation of communication, subject to guidelines of local performance evidence, complaints and channel metrics.</w:t>
      </w:r>
    </w:p>
    <w:p w14:paraId="7177DD48" w14:textId="77777777" w:rsidR="00CF6C2D" w:rsidRPr="00420761" w:rsidRDefault="00000000">
      <w:pPr>
        <w:pStyle w:val="Heading2"/>
        <w:rPr>
          <w:rFonts w:ascii="Arial" w:eastAsia="Arial" w:hAnsi="Arial" w:cs="Arial"/>
        </w:rPr>
      </w:pPr>
      <w:r w:rsidRPr="00420761">
        <w:rPr>
          <w:rFonts w:ascii="Arial" w:eastAsia="Arial" w:hAnsi="Arial" w:cs="Arial"/>
        </w:rPr>
        <w:t>3. Comparative STP strategy</w:t>
      </w:r>
    </w:p>
    <w:p w14:paraId="1E710D5E" w14:textId="7453AF60" w:rsidR="00CF6C2D" w:rsidRPr="00420761" w:rsidRDefault="00F0477B">
      <w:r w:rsidRPr="00420761">
        <w:t xml:space="preserve">Adidas can retain a shared global performance-and-lifestyle platform, but its segmentation variables, access routes and positioning cues should differ between Germany and China. </w:t>
      </w:r>
      <w:proofErr w:type="spellStart"/>
      <w:r w:rsidRPr="00420761">
        <w:t>Theodosiou</w:t>
      </w:r>
      <w:proofErr w:type="spellEnd"/>
      <w:r w:rsidRPr="00420761">
        <w:t xml:space="preserve"> and </w:t>
      </w:r>
      <w:proofErr w:type="spellStart"/>
      <w:r w:rsidRPr="00420761">
        <w:t>Leonidou</w:t>
      </w:r>
      <w:proofErr w:type="spellEnd"/>
      <w:r w:rsidRPr="00420761">
        <w:t xml:space="preserve"> (2003) warn against the universal application of “</w:t>
      </w:r>
      <w:proofErr w:type="spellStart"/>
      <w:r w:rsidRPr="00420761">
        <w:t>standardisation</w:t>
      </w:r>
      <w:proofErr w:type="spellEnd"/>
      <w:r w:rsidRPr="00420761">
        <w:t xml:space="preserve">”, and Szymanski, Bharadwaj and Varadarajan (1993) demonstrate that strategy-performance relationships are context dependent. </w:t>
      </w:r>
      <w:proofErr w:type="gramStart"/>
      <w:r w:rsidRPr="00420761">
        <w:t>But,</w:t>
      </w:r>
      <w:proofErr w:type="gramEnd"/>
      <w:r w:rsidRPr="00420761">
        <w:t xml:space="preserve"> the challenge is to make the brand recognizable without making the customer journey the same.</w:t>
      </w:r>
    </w:p>
    <w:p w14:paraId="721A8C83" w14:textId="77777777" w:rsidR="00CF6C2D" w:rsidRPr="00420761" w:rsidRDefault="00000000">
      <w:r w:rsidRPr="00420761">
        <w:t xml:space="preserve">In Germany, segmentation must differentiate performance-oriented athletes, sport-oriented lifestyle consumers and value-oriented customers after which they search for long-lasting products. Considering sustainability interest may be a choice, but not a universal reason. National reach and local sporting communities should be taken into </w:t>
      </w:r>
      <w:r w:rsidRPr="00420761">
        <w:lastRenderedPageBreak/>
        <w:t xml:space="preserve">account and not just major cities. In China, this need-driven approach must be complemented by city tier, platform </w:t>
      </w:r>
      <w:proofErr w:type="spellStart"/>
      <w:r w:rsidRPr="00420761">
        <w:t>behaviour</w:t>
      </w:r>
      <w:proofErr w:type="spellEnd"/>
      <w:r w:rsidRPr="00420761">
        <w:t>, product engagement and community access. Gong and Jiang (2023) explain the importance of involvement in Chinese livestreaming commerce, and CNNIC (2025) urges digital reach to be regarded as a variable of the market structure. These are recommended segments based on secondary evidence, not measured clusters.</w:t>
      </w:r>
    </w:p>
    <w:p w14:paraId="7F8D74B9" w14:textId="77777777" w:rsidR="00CF6C2D" w:rsidRPr="00420761" w:rsidRDefault="00000000">
      <w:r w:rsidRPr="00420761">
        <w:t xml:space="preserve">Selective targeting is to be used. Germany can focus on direct retail, wholesale and membership of its businesses with the focus of performance credibility and profitable repeat relationships. The key populations to cater to in China should be digitally accessible urban communities, performance subcultures, lifestyle subcultures, as well as customers for whom trusted service and local relevance are lessening uncertainty. While engagement and value co-creation are important in Chinese livestreaming, as proposed by Ye, Batool and Huang (2023), their </w:t>
      </w:r>
      <w:proofErr w:type="gramStart"/>
      <w:r w:rsidRPr="00420761">
        <w:t>cross sectional</w:t>
      </w:r>
      <w:proofErr w:type="gramEnd"/>
      <w:r w:rsidRPr="00420761">
        <w:t xml:space="preserve"> sample is not sufficient to prove the effect of the Adidas campaign. The restriction advocates testing instead of automatic transfer of livestreaming techniques.</w:t>
      </w:r>
    </w:p>
    <w:p w14:paraId="70C3D637" w14:textId="3B21890B" w:rsidR="00CF6C2D" w:rsidRPr="00420761" w:rsidRDefault="00000000">
      <w:r w:rsidRPr="00420761">
        <w:t xml:space="preserve">Positioning is a blend of a shared promise (credible sport performance and contemporary design) and contrasting supporting evidence. German positioning can focus on technical reliability, responsible claims and continuity with the home market brand. There is support from Chinese positioning that those assets can be kept with the help of cultural attention to the meaning of advertising, but at the same time there is a warning against deterministic interpretation from McSweeney (2002) and de </w:t>
      </w:r>
      <w:proofErr w:type="spellStart"/>
      <w:r w:rsidRPr="00420761">
        <w:t>Mooij</w:t>
      </w:r>
      <w:proofErr w:type="spellEnd"/>
      <w:r w:rsidRPr="00420761">
        <w:t xml:space="preserve"> and Hofstede (2010). The take-away message is to establish a shared strategic spine and disaggregate execution hypotheses. Germany can test the feasibility of full-price repeat purchase through the technical proof; China can test the feasibility of improving the qualified conversion and repeat purchase through the explanation of the platform, and enhance the confidence of the community and service. These are hypotheses and not segmentation assumptions. For the STP, the recommendation is to select a shared core with market-specific routes to relevance, which are based on sell-through, repeat purchase, complaints, returns and channel quality (not reach).</w:t>
      </w:r>
    </w:p>
    <w:p w14:paraId="10934118" w14:textId="7C34F4E1" w:rsidR="00AD7817" w:rsidRPr="00420761" w:rsidRDefault="00AD7817"/>
    <w:p w14:paraId="16A360AA" w14:textId="77777777" w:rsidR="00AD7817" w:rsidRPr="00420761" w:rsidRDefault="00AD7817"/>
    <w:p w14:paraId="23FDE34F" w14:textId="77777777" w:rsidR="00CF6C2D" w:rsidRPr="00420761" w:rsidRDefault="00000000">
      <w:pPr>
        <w:keepNext/>
        <w:spacing w:before="160" w:after="60" w:line="276" w:lineRule="auto"/>
        <w:jc w:val="left"/>
      </w:pPr>
      <w:r w:rsidRPr="00420761">
        <w:rPr>
          <w:b/>
          <w:bCs/>
          <w:sz w:val="22"/>
          <w:szCs w:val="22"/>
        </w:rPr>
        <w:lastRenderedPageBreak/>
        <w:t>Table 2: Proposed STP comparison</w:t>
      </w:r>
    </w:p>
    <w:p w14:paraId="026A17D9" w14:textId="74967AE9" w:rsidR="00AD7817" w:rsidRPr="00420761" w:rsidRDefault="00AD7817">
      <w:pPr>
        <w:spacing w:before="60" w:line="276" w:lineRule="auto"/>
        <w:jc w:val="left"/>
        <w:rPr>
          <w:i/>
          <w:iCs/>
          <w:color w:val="595959"/>
          <w:sz w:val="20"/>
          <w:szCs w:val="20"/>
        </w:rPr>
      </w:pPr>
      <w:r w:rsidRPr="00420761">
        <w:rPr>
          <w:i/>
          <w:iCs/>
          <w:noProof/>
          <w:color w:val="595959"/>
          <w:sz w:val="20"/>
          <w:szCs w:val="20"/>
        </w:rPr>
        <w:drawing>
          <wp:inline distT="0" distB="0" distL="0" distR="0" wp14:anchorId="4BF62BC3" wp14:editId="3283CAEE">
            <wp:extent cx="5731510" cy="2547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47620"/>
                    </a:xfrm>
                    <a:prstGeom prst="rect">
                      <a:avLst/>
                    </a:prstGeom>
                  </pic:spPr>
                </pic:pic>
              </a:graphicData>
            </a:graphic>
          </wp:inline>
        </w:drawing>
      </w:r>
    </w:p>
    <w:p w14:paraId="57411AD2" w14:textId="30963C97" w:rsidR="00CF6C2D" w:rsidRPr="00420761" w:rsidRDefault="00AD7817" w:rsidP="00AD7817">
      <w:pPr>
        <w:pStyle w:val="Heading2"/>
        <w:rPr>
          <w:rFonts w:ascii="Arial" w:hAnsi="Arial" w:cs="Arial"/>
        </w:rPr>
      </w:pPr>
      <w:r w:rsidRPr="00420761">
        <w:rPr>
          <w:rFonts w:ascii="Arial" w:hAnsi="Arial" w:cs="Arial"/>
          <w:noProof/>
        </w:rPr>
        <w:drawing>
          <wp:inline distT="0" distB="0" distL="0" distR="0" wp14:anchorId="6A47D0E3" wp14:editId="391332F2">
            <wp:extent cx="5731510" cy="8083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08355"/>
                    </a:xfrm>
                    <a:prstGeom prst="rect">
                      <a:avLst/>
                    </a:prstGeom>
                  </pic:spPr>
                </pic:pic>
              </a:graphicData>
            </a:graphic>
          </wp:inline>
        </w:drawing>
      </w:r>
      <w:bookmarkStart w:id="4" w:name="_d7tjl05uafiw" w:colFirst="0" w:colLast="0"/>
      <w:bookmarkEnd w:id="4"/>
      <w:r w:rsidRPr="00420761">
        <w:rPr>
          <w:rFonts w:ascii="Arial" w:hAnsi="Arial" w:cs="Arial"/>
        </w:rPr>
        <w:t>4. Comparative international marketing mix: 7Ps</w:t>
      </w:r>
    </w:p>
    <w:p w14:paraId="77AED968" w14:textId="4E9D2080" w:rsidR="00CF6C2D" w:rsidRPr="00420761" w:rsidRDefault="00000000">
      <w:r w:rsidRPr="00420761">
        <w:t xml:space="preserve">The 7Ps should be considered as a system rather than seven separate decisions. According to </w:t>
      </w:r>
      <w:proofErr w:type="spellStart"/>
      <w:r w:rsidRPr="00420761">
        <w:t>Poulis</w:t>
      </w:r>
      <w:proofErr w:type="spellEnd"/>
      <w:r w:rsidRPr="00420761">
        <w:t xml:space="preserve"> (2024) the </w:t>
      </w:r>
      <w:proofErr w:type="spellStart"/>
      <w:r w:rsidRPr="00420761">
        <w:t>coconstitution</w:t>
      </w:r>
      <w:proofErr w:type="spellEnd"/>
      <w:r w:rsidRPr="00420761">
        <w:t xml:space="preserve"> of </w:t>
      </w:r>
      <w:proofErr w:type="spellStart"/>
      <w:r w:rsidRPr="00420761">
        <w:t>standardisation</w:t>
      </w:r>
      <w:proofErr w:type="spellEnd"/>
      <w:r w:rsidRPr="00420761">
        <w:t xml:space="preserve"> and adaptation takes place in relationships between headquarters, subsidiaries, partners, customers and institutions. </w:t>
      </w:r>
      <w:r w:rsidR="00F0477B" w:rsidRPr="00420761">
        <w:t xml:space="preserve">A globally controlled product claim is experienced through locally managed platforms, employees, stores and return processes. </w:t>
      </w:r>
      <w:r w:rsidRPr="00420761">
        <w:t>The advice is to be selective in adaptation, and identity, performance credibility, claim substantiation and ethical governance are global non-negotiables.</w:t>
      </w:r>
    </w:p>
    <w:p w14:paraId="09D752EF" w14:textId="77777777" w:rsidR="00CF6C2D" w:rsidRPr="00420761" w:rsidRDefault="00000000">
      <w:pPr>
        <w:pStyle w:val="Heading3"/>
        <w:rPr>
          <w:rFonts w:ascii="Arial" w:eastAsia="Arial" w:hAnsi="Arial" w:cs="Arial"/>
        </w:rPr>
      </w:pPr>
      <w:r w:rsidRPr="00420761">
        <w:rPr>
          <w:rFonts w:ascii="Arial" w:eastAsia="Arial" w:hAnsi="Arial" w:cs="Arial"/>
        </w:rPr>
        <w:t>4.1 Product</w:t>
      </w:r>
    </w:p>
    <w:p w14:paraId="249560E2" w14:textId="77777777" w:rsidR="00CF6C2D" w:rsidRPr="00420761" w:rsidRDefault="00000000">
      <w:r w:rsidRPr="00420761">
        <w:t xml:space="preserve">Adidas should </w:t>
      </w:r>
      <w:proofErr w:type="spellStart"/>
      <w:r w:rsidRPr="00420761">
        <w:t>standardise</w:t>
      </w:r>
      <w:proofErr w:type="spellEnd"/>
      <w:r w:rsidRPr="00420761">
        <w:t xml:space="preserve"> the basic technical offer, image and level of quality. This safeguards the scale economies and cumulative brand associations. It publishes annual-report material that is relevant for the world and for local assorted collections (adidas AG, 2025c). Adaptation needs to be done in range depth, on season weighting, size, local partnerships and connecting sustainability evidence. At choice, the information in material, </w:t>
      </w:r>
      <w:proofErr w:type="spellStart"/>
      <w:r w:rsidRPr="00420761">
        <w:t>labour</w:t>
      </w:r>
      <w:proofErr w:type="spellEnd"/>
      <w:r w:rsidRPr="00420761">
        <w:t xml:space="preserve"> and end-of-life should be used, as Crane (2001) describes ethical attributes as part of the product. Local-to-local sourcing can enhance </w:t>
      </w:r>
      <w:r w:rsidRPr="00420761">
        <w:lastRenderedPageBreak/>
        <w:t>responsiveness, but raises the stakes for supplier due diligence (adidas AG, 2025d). Unsupported “local” or “green” claims should not be permitted to be used in adaptation.</w:t>
      </w:r>
    </w:p>
    <w:p w14:paraId="11B29193" w14:textId="77777777" w:rsidR="00CF6C2D" w:rsidRPr="00420761" w:rsidRDefault="00000000">
      <w:pPr>
        <w:pStyle w:val="Heading3"/>
        <w:rPr>
          <w:rFonts w:ascii="Arial" w:eastAsia="Arial" w:hAnsi="Arial" w:cs="Arial"/>
        </w:rPr>
      </w:pPr>
      <w:r w:rsidRPr="00420761">
        <w:rPr>
          <w:rFonts w:ascii="Arial" w:eastAsia="Arial" w:hAnsi="Arial" w:cs="Arial"/>
        </w:rPr>
        <w:t>4.2 Price</w:t>
      </w:r>
    </w:p>
    <w:p w14:paraId="0A877538" w14:textId="3B66964E" w:rsidR="00CF6C2D" w:rsidRPr="00420761" w:rsidRDefault="00000000">
      <w:r w:rsidRPr="00420761">
        <w:t xml:space="preserve">Germany needs a high-to-low ladder between price and performance, durability and responsibility, which guarantees a premium level. While </w:t>
      </w:r>
      <w:proofErr w:type="spellStart"/>
      <w:r w:rsidRPr="00420761">
        <w:t>Destatis</w:t>
      </w:r>
      <w:proofErr w:type="spellEnd"/>
      <w:r w:rsidRPr="00420761">
        <w:t xml:space="preserve"> (2025) provides price context,</w:t>
      </w:r>
      <w:r w:rsidR="00400E2F" w:rsidRPr="00420761">
        <w:t xml:space="preserve"> it does not identify Adidas customers’ willingness to pay; pricing should therefore be tested through sell-through, margin and repeat-purchase data</w:t>
      </w:r>
      <w:r w:rsidRPr="00420761">
        <w:t>. While attention to income and consumption difference is acknowledged in China by the National Bureau of Statistics of China (2026c), the World Bank (2025) qualifies the notion that market size provides the demand. Adidas should not continuously discount its products and services; there is the danger that customers learn to wait and the positioning may be weakened by doing so. There should be no visible channel inconsistency with adaptation to improve access.</w:t>
      </w:r>
    </w:p>
    <w:p w14:paraId="09A89D65" w14:textId="77777777" w:rsidR="00CF6C2D" w:rsidRPr="00420761" w:rsidRDefault="00000000">
      <w:pPr>
        <w:pStyle w:val="Heading3"/>
        <w:rPr>
          <w:rFonts w:ascii="Arial" w:eastAsia="Arial" w:hAnsi="Arial" w:cs="Arial"/>
        </w:rPr>
      </w:pPr>
      <w:r w:rsidRPr="00420761">
        <w:rPr>
          <w:rFonts w:ascii="Arial" w:eastAsia="Arial" w:hAnsi="Arial" w:cs="Arial"/>
        </w:rPr>
        <w:t>4.3 Place</w:t>
      </w:r>
    </w:p>
    <w:p w14:paraId="24AADA13" w14:textId="77777777" w:rsidR="00CF6C2D" w:rsidRPr="00420761" w:rsidRDefault="00000000">
      <w:r w:rsidRPr="00420761">
        <w:t>Adidas must include both touchpoints under its control and those under its governance. Germany can harmonize own retail, wholesale and direct digital channels with consistent stock, membership and returns. In China, platform discovery, livestreaming, local marketplaces, city tiers and stores are all factors that must be taken into account. Digital importance is set by CNNIC (2025) whereas China's retail statistics indicate scale online and by category as well (National Bureau of Statistics of China, 2026b). However, ye, Batool and Huang (2023) suggest that livestreaming can help generate engagement and value co-creation, but warns not to equate all features with loyalty. The solution: controlled omnichannel design – platforms acquire customers, the stores show the product and Adidas maintains the visibility of the service.</w:t>
      </w:r>
    </w:p>
    <w:p w14:paraId="497CCF16" w14:textId="77777777" w:rsidR="00CF6C2D" w:rsidRPr="00420761" w:rsidRDefault="00000000">
      <w:pPr>
        <w:pStyle w:val="Heading3"/>
        <w:rPr>
          <w:rFonts w:ascii="Arial" w:eastAsia="Arial" w:hAnsi="Arial" w:cs="Arial"/>
        </w:rPr>
      </w:pPr>
      <w:r w:rsidRPr="00420761">
        <w:rPr>
          <w:rFonts w:ascii="Arial" w:eastAsia="Arial" w:hAnsi="Arial" w:cs="Arial"/>
        </w:rPr>
        <w:t>4.4 Promotion</w:t>
      </w:r>
    </w:p>
    <w:p w14:paraId="54216412" w14:textId="77777777" w:rsidR="00CF6C2D" w:rsidRPr="00420761" w:rsidRDefault="00000000">
      <w:r w:rsidRPr="00420761">
        <w:t xml:space="preserve">The importance of cultural meaning is supported by de </w:t>
      </w:r>
      <w:proofErr w:type="spellStart"/>
      <w:r w:rsidRPr="00420761">
        <w:t>Mooij</w:t>
      </w:r>
      <w:proofErr w:type="spellEnd"/>
      <w:r w:rsidRPr="00420761">
        <w:t xml:space="preserve"> and Hofstede (2010), and for local teams to test, rather than infer from, a response from national dimensions, by McSweeney (2002). Livestreaming can be used to explain, interact and co-create value in China, whereas involving can influence impulse buying (Gong and Jiang, 2023; Ye, Batool and Huang, 2023). This is about a local capability and not about a </w:t>
      </w:r>
      <w:r w:rsidRPr="00420761">
        <w:lastRenderedPageBreak/>
        <w:t>scarcity or influencer activity. The proposition is to be conveyed in Germany via sport communities and product knowledge and responsibility based on evidence.</w:t>
      </w:r>
    </w:p>
    <w:p w14:paraId="2008E1A7" w14:textId="77777777" w:rsidR="00CF6C2D" w:rsidRPr="00420761" w:rsidRDefault="00000000">
      <w:r w:rsidRPr="00420761">
        <w:t xml:space="preserve">Ethical promotion is a component of the strategy. The pursuit of environmental credibility can create greenwashing, as demonstrated by Delmas and </w:t>
      </w:r>
      <w:proofErr w:type="spellStart"/>
      <w:r w:rsidRPr="00420761">
        <w:t>Burbano</w:t>
      </w:r>
      <w:proofErr w:type="spellEnd"/>
      <w:r w:rsidRPr="00420761">
        <w:t xml:space="preserve"> (2011), and </w:t>
      </w:r>
      <w:proofErr w:type="spellStart"/>
      <w:r w:rsidRPr="00420761">
        <w:t>Nyilasy</w:t>
      </w:r>
      <w:proofErr w:type="spellEnd"/>
      <w:r w:rsidRPr="00420761">
        <w:t xml:space="preserve">, </w:t>
      </w:r>
      <w:proofErr w:type="spellStart"/>
      <w:r w:rsidRPr="00420761">
        <w:t>Gangadharbatla</w:t>
      </w:r>
      <w:proofErr w:type="spellEnd"/>
      <w:r w:rsidRPr="00420761">
        <w:t xml:space="preserve"> and Paladino (2014) connect reaction with the disconnect between green claims and perceived performance. A precedent case, this is essentially the case of a court communication by the German court in connection with a former Adidas climate-neutral declaration (</w:t>
      </w:r>
      <w:proofErr w:type="spellStart"/>
      <w:r w:rsidRPr="00420761">
        <w:t>Bayerisches</w:t>
      </w:r>
      <w:proofErr w:type="spellEnd"/>
      <w:r w:rsidRPr="00420761">
        <w:t xml:space="preserve"> </w:t>
      </w:r>
      <w:proofErr w:type="spellStart"/>
      <w:r w:rsidRPr="00420761">
        <w:t>Staatsministerium</w:t>
      </w:r>
      <w:proofErr w:type="spellEnd"/>
      <w:r w:rsidRPr="00420761">
        <w:t xml:space="preserve"> der </w:t>
      </w:r>
      <w:proofErr w:type="spellStart"/>
      <w:r w:rsidRPr="00420761">
        <w:t>Justiz</w:t>
      </w:r>
      <w:proofErr w:type="spellEnd"/>
      <w:r w:rsidRPr="00420761">
        <w:t xml:space="preserve"> / </w:t>
      </w:r>
      <w:proofErr w:type="spellStart"/>
      <w:r w:rsidRPr="00420761">
        <w:t>Oberlandesgericht</w:t>
      </w:r>
      <w:proofErr w:type="spellEnd"/>
      <w:r w:rsidRPr="00420761">
        <w:t xml:space="preserve"> Nürnberg, 2025). Adidas should have claim files, local-language review, disclosure and escalation pre-release. The purpose of </w:t>
      </w:r>
      <w:proofErr w:type="spellStart"/>
      <w:r w:rsidRPr="00420761">
        <w:t>localisation</w:t>
      </w:r>
      <w:proofErr w:type="spellEnd"/>
      <w:r w:rsidRPr="00420761">
        <w:t xml:space="preserve"> is to explain the proof, not reduce its quality.</w:t>
      </w:r>
    </w:p>
    <w:p w14:paraId="0FC598B7" w14:textId="77777777" w:rsidR="00CF6C2D" w:rsidRPr="00420761" w:rsidRDefault="00000000">
      <w:pPr>
        <w:pStyle w:val="Heading3"/>
        <w:rPr>
          <w:rFonts w:ascii="Arial" w:eastAsia="Arial" w:hAnsi="Arial" w:cs="Arial"/>
        </w:rPr>
      </w:pPr>
      <w:r w:rsidRPr="00420761">
        <w:rPr>
          <w:rFonts w:ascii="Arial" w:eastAsia="Arial" w:hAnsi="Arial" w:cs="Arial"/>
        </w:rPr>
        <w:t>4.5 People</w:t>
      </w:r>
    </w:p>
    <w:p w14:paraId="2A805E2D" w14:textId="77777777" w:rsidR="00CF6C2D" w:rsidRPr="00420761" w:rsidRDefault="00000000">
      <w:r w:rsidRPr="00420761">
        <w:t>It is a promise that people make which is credible at service. It is important for Germany to learn from their home-market knowledge, while at the same time employees should be made well informed about the products and provide clear advice. China needs staff and partners that know how to interact in the platform culture, how to manage relationships with communities and returns and complaints. Adidas's value-chain disclosures enable the linkage of customer trust and supply-chain responsibility (adidas AG, 2025e). Training should not be limited to conversion, but must also include the product evidence, responsible selling and data handling and escalation. Local capability is an investment in adaptation and not an acquiescence of international standards.</w:t>
      </w:r>
    </w:p>
    <w:p w14:paraId="19A9B8F2" w14:textId="77777777" w:rsidR="00CF6C2D" w:rsidRPr="00420761" w:rsidRDefault="00000000">
      <w:pPr>
        <w:pStyle w:val="Heading3"/>
        <w:rPr>
          <w:rFonts w:ascii="Arial" w:eastAsia="Arial" w:hAnsi="Arial" w:cs="Arial"/>
        </w:rPr>
      </w:pPr>
      <w:r w:rsidRPr="00420761">
        <w:rPr>
          <w:rFonts w:ascii="Arial" w:eastAsia="Arial" w:hAnsi="Arial" w:cs="Arial"/>
        </w:rPr>
        <w:t>4.6 Process</w:t>
      </w:r>
    </w:p>
    <w:p w14:paraId="1F28D22A" w14:textId="77777777" w:rsidR="00CF6C2D" w:rsidRPr="00420761" w:rsidRDefault="00000000">
      <w:r w:rsidRPr="00420761">
        <w:t xml:space="preserve">The minimum process promise – secure purchase, accurate information, fair returns, complaint visibility and responsible data use – should be </w:t>
      </w:r>
      <w:proofErr w:type="spellStart"/>
      <w:r w:rsidRPr="00420761">
        <w:t>standardised</w:t>
      </w:r>
      <w:proofErr w:type="spellEnd"/>
      <w:r w:rsidRPr="00420761">
        <w:t xml:space="preserve"> and delivery needs to be adapted at Adidas. The Personal Information Protection Law in China has an impact on membership data, targeting data, consent and customer-service data (National People's Congress of the People's Republic of China, 2021). EU governance of the platform sets up a new framework of accountability in Germany (European Commission, 2024). The response is local process ownership, documented data </w:t>
      </w:r>
      <w:r w:rsidRPr="00420761">
        <w:lastRenderedPageBreak/>
        <w:t>flows, service targets and a cross-market incident register. Adaptation should minimize friction between subjects without being opaque or unequal.</w:t>
      </w:r>
    </w:p>
    <w:p w14:paraId="7C135C36" w14:textId="77777777" w:rsidR="00CF6C2D" w:rsidRPr="00420761" w:rsidRDefault="00000000">
      <w:pPr>
        <w:pStyle w:val="Heading3"/>
        <w:rPr>
          <w:rFonts w:ascii="Arial" w:eastAsia="Arial" w:hAnsi="Arial" w:cs="Arial"/>
        </w:rPr>
      </w:pPr>
      <w:r w:rsidRPr="00420761">
        <w:rPr>
          <w:rFonts w:ascii="Arial" w:eastAsia="Arial" w:hAnsi="Arial" w:cs="Arial"/>
        </w:rPr>
        <w:t>4.7 Physical evidence</w:t>
      </w:r>
    </w:p>
    <w:p w14:paraId="0DC58459" w14:textId="47925CD0" w:rsidR="00CF6C2D" w:rsidRPr="00420761" w:rsidRDefault="00000000">
      <w:r w:rsidRPr="00420761">
        <w:t xml:space="preserve">An intangible promise is made tangible in stores, product pages, packaging, membership interfaces and event spaces. Germany will demonstrate performance and responsibility through evidence that can be traced, and use familiar Adidas codes. China should be creating digital interfaces, livestream studios, stores and community events and make the product story travel across the platform to the real world. The ethical evidence can be considered as part of the offer, as does Crane (2001), and adidas AG (2025d) offers a basis for the evidence of sourcing and due diligence. Physical evidence should eliminate uncertainty, and </w:t>
      </w:r>
      <w:r w:rsidR="00400E2F" w:rsidRPr="00420761">
        <w:t xml:space="preserve">decorative </w:t>
      </w:r>
      <w:proofErr w:type="spellStart"/>
      <w:r w:rsidR="00400E2F" w:rsidRPr="00420761">
        <w:t>localisation</w:t>
      </w:r>
      <w:proofErr w:type="spellEnd"/>
      <w:r w:rsidR="00400E2F" w:rsidRPr="00420761">
        <w:t xml:space="preserve"> without supporting evidence weakens trust.</w:t>
      </w:r>
    </w:p>
    <w:p w14:paraId="6D730034" w14:textId="77777777" w:rsidR="00CF6C2D" w:rsidRPr="00420761" w:rsidRDefault="00000000">
      <w:pPr>
        <w:pStyle w:val="Heading3"/>
        <w:rPr>
          <w:rFonts w:ascii="Arial" w:eastAsia="Arial" w:hAnsi="Arial" w:cs="Arial"/>
        </w:rPr>
      </w:pPr>
      <w:r w:rsidRPr="00420761">
        <w:rPr>
          <w:rFonts w:ascii="Arial" w:eastAsia="Arial" w:hAnsi="Arial" w:cs="Arial"/>
        </w:rPr>
        <w:t>4.8 7Ps synthesis</w:t>
      </w:r>
    </w:p>
    <w:p w14:paraId="6FDBBBBB" w14:textId="77777777" w:rsidR="00CF6C2D" w:rsidRPr="00420761" w:rsidRDefault="00000000">
      <w:r w:rsidRPr="00420761">
        <w:t xml:space="preserve">The blend of components helps to carry out the argument. Price, place, promotion execution, people, process and physical evidence must have various levels of local control, while product and core promotion can be globally coherent. However, both Wan et al. (2023) and </w:t>
      </w:r>
      <w:proofErr w:type="spellStart"/>
      <w:r w:rsidRPr="00420761">
        <w:t>Brouthers</w:t>
      </w:r>
      <w:proofErr w:type="spellEnd"/>
      <w:r w:rsidRPr="00420761">
        <w:t xml:space="preserve"> (2002) suggest that control is not a one-size-fits-all phenomenon, meaning that institutional and capability conditions are also at play. The control should be applied to the source of the risk. Headquarters should safeguard inconsistent assets that are subject to diminishing value, like identity, product standards and claims. For teams from China, the norms, expectations of services and access to the city level should be interpreted. Shared governance is required when a decision has a consequence, such as a consequence regarding the use of data, </w:t>
      </w:r>
      <w:proofErr w:type="spellStart"/>
      <w:r w:rsidRPr="00420761">
        <w:t>behaviour</w:t>
      </w:r>
      <w:proofErr w:type="spellEnd"/>
      <w:r w:rsidRPr="00420761">
        <w:t xml:space="preserve"> of influencers or sustainability communication. The 7Ps connect the dots between environmental analysis and China entry recommendation.</w:t>
      </w:r>
    </w:p>
    <w:p w14:paraId="5BBDE40D" w14:textId="0493CDEA" w:rsidR="00CF6C2D" w:rsidRPr="00420761" w:rsidRDefault="00000000">
      <w:pPr>
        <w:keepNext/>
        <w:spacing w:before="160" w:after="60" w:line="276" w:lineRule="auto"/>
        <w:jc w:val="left"/>
        <w:rPr>
          <w:b/>
          <w:bCs/>
          <w:sz w:val="22"/>
          <w:szCs w:val="22"/>
        </w:rPr>
      </w:pPr>
      <w:r w:rsidRPr="00420761">
        <w:rPr>
          <w:b/>
          <w:bCs/>
          <w:sz w:val="22"/>
          <w:szCs w:val="22"/>
        </w:rPr>
        <w:lastRenderedPageBreak/>
        <w:t>Table 3: 7Ps comparison and control choice</w:t>
      </w:r>
    </w:p>
    <w:p w14:paraId="354F3E3C" w14:textId="528FAEDB" w:rsidR="00AD7817" w:rsidRPr="00420761" w:rsidRDefault="00AD7817">
      <w:pPr>
        <w:keepNext/>
        <w:spacing w:before="160" w:after="60" w:line="276" w:lineRule="auto"/>
        <w:jc w:val="left"/>
      </w:pPr>
      <w:r w:rsidRPr="00420761">
        <w:rPr>
          <w:noProof/>
        </w:rPr>
        <w:drawing>
          <wp:inline distT="0" distB="0" distL="0" distR="0" wp14:anchorId="6D33E36B" wp14:editId="385F5DB2">
            <wp:extent cx="5731510" cy="41516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51630"/>
                    </a:xfrm>
                    <a:prstGeom prst="rect">
                      <a:avLst/>
                    </a:prstGeom>
                  </pic:spPr>
                </pic:pic>
              </a:graphicData>
            </a:graphic>
          </wp:inline>
        </w:drawing>
      </w:r>
    </w:p>
    <w:p w14:paraId="5E4440EA" w14:textId="11FC481C" w:rsidR="00CF6C2D" w:rsidRPr="00420761" w:rsidRDefault="00AD7817">
      <w:pPr>
        <w:spacing w:before="60" w:line="276" w:lineRule="auto"/>
        <w:jc w:val="left"/>
        <w:rPr>
          <w:i/>
          <w:iCs/>
          <w:color w:val="595959"/>
          <w:sz w:val="20"/>
          <w:szCs w:val="20"/>
        </w:rPr>
      </w:pPr>
      <w:r w:rsidRPr="00420761">
        <w:rPr>
          <w:i/>
          <w:iCs/>
          <w:noProof/>
          <w:color w:val="595959"/>
          <w:sz w:val="20"/>
          <w:szCs w:val="20"/>
        </w:rPr>
        <w:drawing>
          <wp:inline distT="0" distB="0" distL="0" distR="0" wp14:anchorId="07355213" wp14:editId="76D98626">
            <wp:extent cx="5731510" cy="9677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67740"/>
                    </a:xfrm>
                    <a:prstGeom prst="rect">
                      <a:avLst/>
                    </a:prstGeom>
                  </pic:spPr>
                </pic:pic>
              </a:graphicData>
            </a:graphic>
          </wp:inline>
        </w:drawing>
      </w:r>
    </w:p>
    <w:p w14:paraId="7B7B3509" w14:textId="77777777" w:rsidR="00CF6C2D" w:rsidRPr="00420761" w:rsidRDefault="00000000">
      <w:pPr>
        <w:pStyle w:val="Heading2"/>
        <w:rPr>
          <w:rFonts w:ascii="Arial" w:eastAsia="Arial" w:hAnsi="Arial" w:cs="Arial"/>
        </w:rPr>
      </w:pPr>
      <w:bookmarkStart w:id="5" w:name="_fuaq8utvmfy2" w:colFirst="0" w:colLast="0"/>
      <w:bookmarkEnd w:id="5"/>
      <w:r w:rsidRPr="00420761">
        <w:rPr>
          <w:rFonts w:ascii="Arial" w:eastAsia="Arial" w:hAnsi="Arial" w:cs="Arial"/>
        </w:rPr>
        <w:t>5. Adidas China market-entry strategy</w:t>
      </w:r>
    </w:p>
    <w:p w14:paraId="40AE86EA" w14:textId="77777777" w:rsidR="00CF6C2D" w:rsidRPr="00420761" w:rsidRDefault="00000000">
      <w:r w:rsidRPr="00420761">
        <w:t xml:space="preserve">Entry mode determines control, commitment, learning and exposure; it is not the same as marketing-mix adaption. Canabal and White (2008) identify several antecedents, while </w:t>
      </w:r>
      <w:proofErr w:type="spellStart"/>
      <w:r w:rsidRPr="00420761">
        <w:t>Brouthers</w:t>
      </w:r>
      <w:proofErr w:type="spellEnd"/>
      <w:r w:rsidRPr="00420761">
        <w:t xml:space="preserve"> (2002) associates institutional, cultural and transaction-cost variables with choice and performance. Wan et al. (2023) reach a similar warning from a meta-analysis of 1,499 effect sizes from 230 studies: results are conflicting and entry method can mediate other factors.</w:t>
      </w:r>
    </w:p>
    <w:p w14:paraId="027AA789" w14:textId="77777777" w:rsidR="00CF6C2D" w:rsidRPr="00420761" w:rsidRDefault="00000000">
      <w:r w:rsidRPr="00420761">
        <w:t xml:space="preserve">The public data does not constitute a whole legal history of Adidas’s entry into China, and the study is restricted to the current working rationale. Adidas’ (2025b; 2025d) report on performance in Greater China and local relevance and local-for-local sourcing. The defensible strategy is controlled </w:t>
      </w:r>
      <w:proofErr w:type="spellStart"/>
      <w:r w:rsidRPr="00420761">
        <w:t>localisation</w:t>
      </w:r>
      <w:proofErr w:type="spellEnd"/>
      <w:r w:rsidRPr="00420761">
        <w:t xml:space="preserve">: keep global ownership of </w:t>
      </w:r>
      <w:r w:rsidRPr="00420761">
        <w:lastRenderedPageBreak/>
        <w:t>brand, technological standards, claim governance and core data principles, but use local people, platform capacity, market expertise and partners to reach customers. This balances control, speed and learning.</w:t>
      </w:r>
    </w:p>
    <w:p w14:paraId="3679F528" w14:textId="2C699B42" w:rsidR="00CF6C2D" w:rsidRPr="00420761" w:rsidRDefault="00400E2F">
      <w:r w:rsidRPr="00420761">
        <w:t>The trade-off is material. Direct control may be used to ensure experience, visibility and consistency of data, but at the cost of capital investment, regulatory risk and local execution. Partners may improve access and cultural fit, but they can reduce Adidas’s visibility over promotion, discounting, data and compliance. Poulis (2024) also explains that Adaption is the result of interaction within the Headquarters, the local units, Platforms and Stakeholders. Adidas needs to have partners that are governed by claim rules, have data responsibility, return standards, audit rights and escalation. Recommendation: Staged hybrid – strengthen locally accountable capability where its strategic, and partner access where its strategic, and re-assess combination based on channel quality, full-price sell-through, repeat purchase, complaint resolution and ethical incidents.</w:t>
      </w:r>
    </w:p>
    <w:p w14:paraId="7FBED6D2" w14:textId="77777777" w:rsidR="00CF6C2D" w:rsidRPr="00420761" w:rsidRDefault="00000000">
      <w:pPr>
        <w:keepNext/>
        <w:spacing w:before="160" w:after="60" w:line="276" w:lineRule="auto"/>
        <w:jc w:val="left"/>
      </w:pPr>
      <w:r w:rsidRPr="00420761">
        <w:rPr>
          <w:b/>
          <w:bCs/>
          <w:sz w:val="22"/>
          <w:szCs w:val="22"/>
        </w:rPr>
        <w:t>Table 4: China entry decision logic</w:t>
      </w:r>
    </w:p>
    <w:p w14:paraId="0F83E28B" w14:textId="629BACC3" w:rsidR="00AD7817" w:rsidRPr="00420761" w:rsidRDefault="00AD7817">
      <w:pPr>
        <w:spacing w:before="60" w:line="276" w:lineRule="auto"/>
        <w:jc w:val="left"/>
        <w:rPr>
          <w:i/>
          <w:iCs/>
          <w:color w:val="595959"/>
          <w:sz w:val="20"/>
          <w:szCs w:val="20"/>
        </w:rPr>
      </w:pPr>
      <w:r w:rsidRPr="00420761">
        <w:rPr>
          <w:i/>
          <w:iCs/>
          <w:noProof/>
          <w:color w:val="595959"/>
          <w:sz w:val="20"/>
          <w:szCs w:val="20"/>
        </w:rPr>
        <w:drawing>
          <wp:inline distT="0" distB="0" distL="0" distR="0" wp14:anchorId="093FADDA" wp14:editId="01C0A621">
            <wp:extent cx="5731510" cy="23514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51405"/>
                    </a:xfrm>
                    <a:prstGeom prst="rect">
                      <a:avLst/>
                    </a:prstGeom>
                  </pic:spPr>
                </pic:pic>
              </a:graphicData>
            </a:graphic>
          </wp:inline>
        </w:drawing>
      </w:r>
    </w:p>
    <w:p w14:paraId="32814A82" w14:textId="3847676B" w:rsidR="00CF6C2D" w:rsidRPr="00420761" w:rsidRDefault="00AD7817" w:rsidP="00AD7817">
      <w:pPr>
        <w:pStyle w:val="Heading2"/>
        <w:rPr>
          <w:rFonts w:ascii="Arial" w:hAnsi="Arial" w:cs="Arial"/>
        </w:rPr>
      </w:pPr>
      <w:r w:rsidRPr="00420761">
        <w:rPr>
          <w:rFonts w:ascii="Arial" w:hAnsi="Arial" w:cs="Arial"/>
          <w:noProof/>
        </w:rPr>
        <w:drawing>
          <wp:inline distT="0" distB="0" distL="0" distR="0" wp14:anchorId="42988BD3" wp14:editId="5E428078">
            <wp:extent cx="5731510" cy="8083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08355"/>
                    </a:xfrm>
                    <a:prstGeom prst="rect">
                      <a:avLst/>
                    </a:prstGeom>
                  </pic:spPr>
                </pic:pic>
              </a:graphicData>
            </a:graphic>
          </wp:inline>
        </w:drawing>
      </w:r>
      <w:bookmarkStart w:id="6" w:name="_kjrq7hmkyucu" w:colFirst="0" w:colLast="0"/>
      <w:bookmarkEnd w:id="6"/>
      <w:r w:rsidRPr="00420761">
        <w:rPr>
          <w:rFonts w:ascii="Arial" w:hAnsi="Arial" w:cs="Arial"/>
        </w:rPr>
        <w:t>6. Ethical evaluation in China</w:t>
      </w:r>
    </w:p>
    <w:p w14:paraId="251427EF" w14:textId="77777777" w:rsidR="00CF6C2D" w:rsidRPr="00420761" w:rsidRDefault="00000000">
      <w:r w:rsidRPr="00420761">
        <w:t xml:space="preserve">International marketing that is ethical is concerned with the following: truthful communication, consumer autonomy, privacy, inclusion, </w:t>
      </w:r>
      <w:proofErr w:type="spellStart"/>
      <w:r w:rsidRPr="00420761">
        <w:t>labour</w:t>
      </w:r>
      <w:proofErr w:type="spellEnd"/>
      <w:r w:rsidRPr="00420761">
        <w:t xml:space="preserve"> conditions, and environmental responsibility. Rather than being confined to cultural appropriateness, </w:t>
      </w:r>
      <w:r w:rsidRPr="00420761">
        <w:lastRenderedPageBreak/>
        <w:t xml:space="preserve">ethics should be assessed in China thru the mix. Crane (2001) considers ethical attributes to be part of the product, whereas Delmas and Burbano (2011) demonstrate that market and </w:t>
      </w:r>
      <w:proofErr w:type="spellStart"/>
      <w:r w:rsidRPr="00420761">
        <w:t>organisational</w:t>
      </w:r>
      <w:proofErr w:type="spellEnd"/>
      <w:r w:rsidRPr="00420761">
        <w:t xml:space="preserve"> pressures can promote greenwashing. There is no justification for adaptation unless the global promise is matched by governance and evidence.</w:t>
      </w:r>
    </w:p>
    <w:p w14:paraId="114CB2FA" w14:textId="77777777" w:rsidR="00CF6C2D" w:rsidRPr="00420761" w:rsidRDefault="00000000">
      <w:r w:rsidRPr="00420761">
        <w:t xml:space="preserve">First and foremost, it is necessary to verify product claims and promotional materials. According to the </w:t>
      </w:r>
      <w:proofErr w:type="spellStart"/>
      <w:r w:rsidRPr="00420761">
        <w:t>Bayerisches</w:t>
      </w:r>
      <w:proofErr w:type="spellEnd"/>
      <w:r w:rsidRPr="00420761">
        <w:t xml:space="preserve"> </w:t>
      </w:r>
      <w:proofErr w:type="spellStart"/>
      <w:r w:rsidRPr="00420761">
        <w:t>Staatsministerium</w:t>
      </w:r>
      <w:proofErr w:type="spellEnd"/>
      <w:r w:rsidRPr="00420761">
        <w:t xml:space="preserve"> der </w:t>
      </w:r>
      <w:proofErr w:type="spellStart"/>
      <w:r w:rsidRPr="00420761">
        <w:t>Justiz</w:t>
      </w:r>
      <w:proofErr w:type="spellEnd"/>
      <w:r w:rsidRPr="00420761">
        <w:t xml:space="preserve"> and the </w:t>
      </w:r>
      <w:proofErr w:type="spellStart"/>
      <w:r w:rsidRPr="00420761">
        <w:t>Oberlandesgericht</w:t>
      </w:r>
      <w:proofErr w:type="spellEnd"/>
      <w:r w:rsidRPr="00420761">
        <w:t xml:space="preserve"> Nürnberg (2025), the reputational consequences of imprecise language are illustrated in the German court communication regarding a former Adidas climate-neutral statement. When audiences perceive a discrepancy between advertising and performance, </w:t>
      </w:r>
      <w:proofErr w:type="spellStart"/>
      <w:r w:rsidRPr="00420761">
        <w:t>Nyilasy</w:t>
      </w:r>
      <w:proofErr w:type="spellEnd"/>
      <w:r w:rsidRPr="00420761">
        <w:t xml:space="preserve">, </w:t>
      </w:r>
      <w:proofErr w:type="spellStart"/>
      <w:r w:rsidRPr="00420761">
        <w:t>Gangadharbatla</w:t>
      </w:r>
      <w:proofErr w:type="spellEnd"/>
      <w:r w:rsidRPr="00420761">
        <w:t>, and Paladino (2014) demonstrate that a green message is unsuccessful. Local-language speed necessitates a claim library, evidence proprietor, approval record, and correction process in China. Verifiable product and supply-chain information should be used to present sustainability, rather than an abstract promise.</w:t>
      </w:r>
    </w:p>
    <w:p w14:paraId="467AC84F" w14:textId="77777777" w:rsidR="00CF6C2D" w:rsidRPr="00420761" w:rsidRDefault="00000000">
      <w:r w:rsidRPr="00420761">
        <w:t xml:space="preserve">The second factor is that privacy and autonomy hazards are generated by place, promotion, and process. The Personal Information Protection Law impacts data acquisition for customer service, livestreaming, </w:t>
      </w:r>
      <w:proofErr w:type="spellStart"/>
      <w:r w:rsidRPr="00420761">
        <w:t>personalisation</w:t>
      </w:r>
      <w:proofErr w:type="spellEnd"/>
      <w:r w:rsidRPr="00420761">
        <w:t xml:space="preserve">, and membership (National People's Congress of the People's Republic of China, 2021). A clear consent, data </w:t>
      </w:r>
      <w:proofErr w:type="spellStart"/>
      <w:r w:rsidRPr="00420761">
        <w:t>minimisation</w:t>
      </w:r>
      <w:proofErr w:type="spellEnd"/>
      <w:r w:rsidRPr="00420761">
        <w:t>, ownership, and an accessible complaint route should be required by Adidas. Despite the fact that livestreaming research establishes a correlation between engagement and value co-creation and loyalty, impulse purchasing and scarcity tactics generate transparency and pressure concerns (Gong and Jiang, 2023; Ye, Batool, and Huang, 2023). Disclose commercial relationships and refrain from conversions that are driven by urgency.</w:t>
      </w:r>
    </w:p>
    <w:p w14:paraId="6F634DF9" w14:textId="77777777" w:rsidR="00CF6C2D" w:rsidRPr="00420761" w:rsidRDefault="00000000">
      <w:r w:rsidRPr="00420761">
        <w:t xml:space="preserve">Third, marketing credibility is linked to the supply chain thru the interplay of people, product, and process. Adidas AG (2025d; 2025e) discloses its environmental and human rights due diligence and worker grievance procedures; however, this documentation does not serve as independent evidence of its influence. In contrast, Locke, </w:t>
      </w:r>
      <w:proofErr w:type="spellStart"/>
      <w:r w:rsidRPr="00420761">
        <w:t>Kochan</w:t>
      </w:r>
      <w:proofErr w:type="spellEnd"/>
      <w:r w:rsidRPr="00420761">
        <w:t xml:space="preserve">, </w:t>
      </w:r>
      <w:proofErr w:type="spellStart"/>
      <w:r w:rsidRPr="00420761">
        <w:t>Romis</w:t>
      </w:r>
      <w:proofErr w:type="spellEnd"/>
      <w:r w:rsidRPr="00420761">
        <w:t xml:space="preserve">, and Qin (2007b) </w:t>
      </w:r>
      <w:proofErr w:type="spellStart"/>
      <w:r w:rsidRPr="00420761">
        <w:t>emphasise</w:t>
      </w:r>
      <w:proofErr w:type="spellEnd"/>
      <w:r w:rsidRPr="00420761">
        <w:t xml:space="preserve"> the importance of work organization and supplier relationships, while Locke, Qin, and Brause (2007a) conclude that monitoring alone did not guarantee improved </w:t>
      </w:r>
      <w:proofErr w:type="spellStart"/>
      <w:r w:rsidRPr="00420761">
        <w:t>labour</w:t>
      </w:r>
      <w:proofErr w:type="spellEnd"/>
      <w:r w:rsidRPr="00420761">
        <w:t xml:space="preserve"> standards at Nike. </w:t>
      </w:r>
      <w:r w:rsidRPr="00420761">
        <w:lastRenderedPageBreak/>
        <w:t>Audits should be implemented in conjunction with remediation, escalation, purchasing review, and worker voice. Allegations and an investigation regarding China were reported by AP News (Associated Press, 2024); the response is contingent upon due process and independent review, rather than guilt or silence. Ethics must be visibly evident in claims, platforms, suppliers, and remedies.</w:t>
      </w:r>
    </w:p>
    <w:p w14:paraId="4FB32A0A" w14:textId="77777777" w:rsidR="00CF6C2D" w:rsidRPr="00420761" w:rsidRDefault="00000000">
      <w:pPr>
        <w:keepNext/>
        <w:spacing w:before="160" w:after="60" w:line="276" w:lineRule="auto"/>
        <w:jc w:val="left"/>
      </w:pPr>
      <w:r w:rsidRPr="00420761">
        <w:rPr>
          <w:b/>
          <w:bCs/>
          <w:sz w:val="22"/>
          <w:szCs w:val="22"/>
        </w:rPr>
        <w:t>Table 5: Ethical issue, mix connection and control</w:t>
      </w:r>
    </w:p>
    <w:p w14:paraId="4A1A9FE1" w14:textId="44458BF3" w:rsidR="00AD7817" w:rsidRPr="00420761" w:rsidRDefault="00AD7817">
      <w:pPr>
        <w:spacing w:before="60" w:line="276" w:lineRule="auto"/>
        <w:jc w:val="left"/>
        <w:rPr>
          <w:i/>
          <w:iCs/>
          <w:color w:val="595959"/>
          <w:sz w:val="20"/>
          <w:szCs w:val="20"/>
        </w:rPr>
      </w:pPr>
      <w:r w:rsidRPr="00420761">
        <w:rPr>
          <w:i/>
          <w:iCs/>
          <w:noProof/>
          <w:color w:val="595959"/>
          <w:sz w:val="20"/>
          <w:szCs w:val="20"/>
        </w:rPr>
        <w:drawing>
          <wp:inline distT="0" distB="0" distL="0" distR="0" wp14:anchorId="3B16CA89" wp14:editId="595DF5B8">
            <wp:extent cx="5731510" cy="28047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04795"/>
                    </a:xfrm>
                    <a:prstGeom prst="rect">
                      <a:avLst/>
                    </a:prstGeom>
                  </pic:spPr>
                </pic:pic>
              </a:graphicData>
            </a:graphic>
          </wp:inline>
        </w:drawing>
      </w:r>
    </w:p>
    <w:p w14:paraId="6A2CA121" w14:textId="26D73DDF" w:rsidR="00CF6C2D" w:rsidRPr="00420761" w:rsidRDefault="00AD7817" w:rsidP="00AD7817">
      <w:pPr>
        <w:pStyle w:val="Heading2"/>
        <w:rPr>
          <w:rFonts w:ascii="Arial" w:hAnsi="Arial" w:cs="Arial"/>
        </w:rPr>
      </w:pPr>
      <w:r w:rsidRPr="00420761">
        <w:rPr>
          <w:rFonts w:ascii="Arial" w:hAnsi="Arial" w:cs="Arial"/>
          <w:noProof/>
        </w:rPr>
        <w:drawing>
          <wp:inline distT="0" distB="0" distL="0" distR="0" wp14:anchorId="0B8CFD41" wp14:editId="6130C3DF">
            <wp:extent cx="5731510" cy="11391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39190"/>
                    </a:xfrm>
                    <a:prstGeom prst="rect">
                      <a:avLst/>
                    </a:prstGeom>
                  </pic:spPr>
                </pic:pic>
              </a:graphicData>
            </a:graphic>
          </wp:inline>
        </w:drawing>
      </w:r>
      <w:bookmarkStart w:id="7" w:name="_v8y3hh72ynh6" w:colFirst="0" w:colLast="0"/>
      <w:bookmarkEnd w:id="7"/>
      <w:r w:rsidRPr="00420761">
        <w:rPr>
          <w:rFonts w:ascii="Arial" w:hAnsi="Arial" w:cs="Arial"/>
        </w:rPr>
        <w:t>7. Recommendations for Germany and China</w:t>
      </w:r>
    </w:p>
    <w:p w14:paraId="4D2E5BA2" w14:textId="77777777" w:rsidR="00CF6C2D" w:rsidRPr="00420761" w:rsidRDefault="00000000">
      <w:r w:rsidRPr="00420761">
        <w:t>This approach to recommendations makes comparison into controlled action. As customers were not measured, each includes a metric rather than a forecast.</w:t>
      </w:r>
    </w:p>
    <w:p w14:paraId="067E3E3B" w14:textId="4FC91A38" w:rsidR="00CF6C2D" w:rsidRPr="00420761" w:rsidRDefault="00000000">
      <w:pPr>
        <w:numPr>
          <w:ilvl w:val="0"/>
          <w:numId w:val="1"/>
        </w:numPr>
        <w:pBdr>
          <w:top w:val="nil"/>
          <w:left w:val="nil"/>
          <w:bottom w:val="nil"/>
          <w:right w:val="nil"/>
          <w:between w:val="nil"/>
        </w:pBdr>
        <w:spacing w:after="0"/>
        <w:rPr>
          <w:color w:val="000000"/>
        </w:rPr>
      </w:pPr>
      <w:proofErr w:type="spellStart"/>
      <w:r w:rsidRPr="00420761">
        <w:rPr>
          <w:b/>
          <w:bCs/>
          <w:color w:val="000000"/>
        </w:rPr>
        <w:t>Standardise</w:t>
      </w:r>
      <w:proofErr w:type="spellEnd"/>
      <w:r w:rsidRPr="00420761">
        <w:rPr>
          <w:b/>
          <w:bCs/>
          <w:color w:val="000000"/>
        </w:rPr>
        <w:t xml:space="preserve"> the non-negotiables.</w:t>
      </w:r>
      <w:r w:rsidRPr="00420761">
        <w:rPr>
          <w:color w:val="000000"/>
        </w:rPr>
        <w:t xml:space="preserve"> All of these elements of the performance proposition, visual identity, minimum quality, sustainability evidence and claim approval are domain of the global </w:t>
      </w:r>
      <w:proofErr w:type="spellStart"/>
      <w:r w:rsidRPr="00420761">
        <w:rPr>
          <w:color w:val="000000"/>
        </w:rPr>
        <w:t>centre</w:t>
      </w:r>
      <w:proofErr w:type="spellEnd"/>
      <w:r w:rsidRPr="00420761">
        <w:rPr>
          <w:color w:val="000000"/>
        </w:rPr>
        <w:t xml:space="preserve"> of Adidas. Germany should leverage this core to strengthen the technical credibility and build trust; </w:t>
      </w:r>
      <w:r w:rsidR="00400E2F" w:rsidRPr="00420761">
        <w:rPr>
          <w:color w:val="000000"/>
        </w:rPr>
        <w:t xml:space="preserve">China should retain this global core while expressing it through locally relevant communication, access and service. </w:t>
      </w:r>
      <w:r w:rsidRPr="00420761">
        <w:rPr>
          <w:color w:val="000000"/>
        </w:rPr>
        <w:t xml:space="preserve">Owning: global brand and sustainability leadership. Time period: short term and ongoing. Risk: Slowed local response. </w:t>
      </w:r>
      <w:r w:rsidRPr="00420761">
        <w:rPr>
          <w:color w:val="000000"/>
        </w:rPr>
        <w:lastRenderedPageBreak/>
        <w:t>Metrics: Claim complaints, returns, brand consistency and substantiation completion.</w:t>
      </w:r>
    </w:p>
    <w:p w14:paraId="342611E2" w14:textId="221EE10E" w:rsidR="00CF6C2D" w:rsidRPr="00420761" w:rsidRDefault="00000000">
      <w:pPr>
        <w:numPr>
          <w:ilvl w:val="0"/>
          <w:numId w:val="1"/>
        </w:numPr>
        <w:pBdr>
          <w:top w:val="nil"/>
          <w:left w:val="nil"/>
          <w:bottom w:val="nil"/>
          <w:right w:val="nil"/>
          <w:between w:val="nil"/>
        </w:pBdr>
        <w:spacing w:after="0"/>
        <w:rPr>
          <w:color w:val="000000"/>
        </w:rPr>
      </w:pPr>
      <w:r w:rsidRPr="00420761">
        <w:rPr>
          <w:b/>
          <w:bCs/>
          <w:color w:val="000000"/>
        </w:rPr>
        <w:t xml:space="preserve">Build controlled China </w:t>
      </w:r>
      <w:proofErr w:type="spellStart"/>
      <w:r w:rsidRPr="00420761">
        <w:rPr>
          <w:b/>
          <w:bCs/>
          <w:color w:val="000000"/>
        </w:rPr>
        <w:t>localisation</w:t>
      </w:r>
      <w:proofErr w:type="spellEnd"/>
      <w:r w:rsidRPr="00420761">
        <w:rPr>
          <w:color w:val="000000"/>
        </w:rPr>
        <w:t>. Platform orchestration, city-tier priorities, local assortment input and service training and partner escalation within global rules should be the responsibility of the Greater China team. The digital capability is supported by the Chinese retail evidence and livestreaming research (CNNIC, 2025)</w:t>
      </w:r>
      <w:r w:rsidR="00400E2F" w:rsidRPr="00420761">
        <w:rPr>
          <w:color w:val="000000"/>
        </w:rPr>
        <w:t xml:space="preserve">. The evidence supports stronger digital capability in China, but it does not justify unlimited dependence on external platforms </w:t>
      </w:r>
      <w:r w:rsidRPr="00420761">
        <w:rPr>
          <w:color w:val="000000"/>
        </w:rPr>
        <w:t>by the research of the National Bureau of Statistics of China (2026b), Gong and Jiang (2023), Ye, Batool, and Huang (2023). Ownership: China general management, legal and data supervision. The time frame for the project is 6 to 12 months. Risk: risk from partner or regulators. Metrics: full price sell-through, repeat purchase, return time and partner incidents.</w:t>
      </w:r>
    </w:p>
    <w:p w14:paraId="3388EAA3" w14:textId="77777777" w:rsidR="00CF6C2D" w:rsidRPr="00420761" w:rsidRDefault="00000000">
      <w:pPr>
        <w:numPr>
          <w:ilvl w:val="0"/>
          <w:numId w:val="1"/>
        </w:numPr>
        <w:pBdr>
          <w:top w:val="nil"/>
          <w:left w:val="nil"/>
          <w:bottom w:val="nil"/>
          <w:right w:val="nil"/>
          <w:between w:val="nil"/>
        </w:pBdr>
        <w:spacing w:after="0"/>
        <w:rPr>
          <w:color w:val="000000"/>
        </w:rPr>
      </w:pPr>
      <w:r w:rsidRPr="00420761">
        <w:rPr>
          <w:b/>
          <w:bCs/>
          <w:color w:val="000000"/>
        </w:rPr>
        <w:t>Use value architecture instead of indiscriminate discounting</w:t>
      </w:r>
      <w:r w:rsidRPr="00420761">
        <w:rPr>
          <w:color w:val="000000"/>
        </w:rPr>
        <w:t>. Adidas must have a transparent pricing structure in both countries. Germany: Maintain high performance and long-lasting value; China: include control packages, benefits and launch processes. Owner: Commercial &amp; Finance teams. Time frame: next plan cycle. Risk: complexity or margin leakage: Metrics: margin, promotion dependency, membership repeat rate and full-price mix.</w:t>
      </w:r>
    </w:p>
    <w:p w14:paraId="269E3965" w14:textId="00037C40" w:rsidR="00CF6C2D" w:rsidRPr="00420761" w:rsidRDefault="00000000">
      <w:pPr>
        <w:numPr>
          <w:ilvl w:val="0"/>
          <w:numId w:val="1"/>
        </w:numPr>
        <w:pBdr>
          <w:top w:val="nil"/>
          <w:left w:val="nil"/>
          <w:bottom w:val="nil"/>
          <w:right w:val="nil"/>
          <w:between w:val="nil"/>
        </w:pBdr>
        <w:spacing w:after="0"/>
        <w:rPr>
          <w:color w:val="000000"/>
        </w:rPr>
      </w:pPr>
      <w:r w:rsidRPr="00420761">
        <w:rPr>
          <w:b/>
          <w:bCs/>
          <w:color w:val="000000"/>
        </w:rPr>
        <w:t>Make local communication accountable</w:t>
      </w:r>
      <w:r w:rsidRPr="00420761">
        <w:rPr>
          <w:color w:val="000000"/>
        </w:rPr>
        <w:t xml:space="preserve">. Community, platform and language execution needs to be tailored locally by creative teams; evidence, disclosure and escalation records are required for every sustainability claim and performance and influencer statement. </w:t>
      </w:r>
      <w:r w:rsidR="00E26759" w:rsidRPr="00420761">
        <w:rPr>
          <w:color w:val="000000"/>
        </w:rPr>
        <w:t xml:space="preserve">China-based processes should comply with the Personal Information Protection Law, while German operations should reflect EU platform-governance responsibilities </w:t>
      </w:r>
      <w:r w:rsidRPr="00420761">
        <w:rPr>
          <w:color w:val="000000"/>
        </w:rPr>
        <w:t>(National People's Congress of the People's Republic of China, 2021; European Commission, 2024). Owned by: marketing, legal and customer experience. Time horizon: immediate. Risk: will not be as fast as a creative. Metrics: Disclosure compliance, complaints, consent withdrawals and correction time.</w:t>
      </w:r>
    </w:p>
    <w:p w14:paraId="1F0CAACA" w14:textId="4ACA871C" w:rsidR="00CF6C2D" w:rsidRPr="00420761" w:rsidRDefault="00000000">
      <w:pPr>
        <w:numPr>
          <w:ilvl w:val="0"/>
          <w:numId w:val="1"/>
        </w:numPr>
        <w:pBdr>
          <w:top w:val="nil"/>
          <w:left w:val="nil"/>
          <w:bottom w:val="nil"/>
          <w:right w:val="nil"/>
          <w:between w:val="nil"/>
        </w:pBdr>
        <w:rPr>
          <w:color w:val="000000"/>
        </w:rPr>
      </w:pPr>
      <w:r w:rsidRPr="00420761">
        <w:rPr>
          <w:b/>
          <w:bCs/>
          <w:color w:val="000000"/>
        </w:rPr>
        <w:t>Manage the strategy through a balanced dashboard</w:t>
      </w:r>
      <w:r w:rsidRPr="00420761">
        <w:rPr>
          <w:color w:val="000000"/>
        </w:rPr>
        <w:t>. Adidas should reflect on brand consistency, conversion, full-price sell through, repeat purchase, margin, returns, complaint resolution, data incidents, claim challenges and progress with supplier-remediation in a collective way.</w:t>
      </w:r>
      <w:r w:rsidR="00E26759" w:rsidRPr="00420761">
        <w:t xml:space="preserve"> </w:t>
      </w:r>
      <w:r w:rsidR="00E26759" w:rsidRPr="00420761">
        <w:rPr>
          <w:color w:val="000000"/>
        </w:rPr>
        <w:t xml:space="preserve">A balanced dashboard can prevent short-term sales growth from concealing deteriorating trust or </w:t>
      </w:r>
      <w:r w:rsidR="00E26759" w:rsidRPr="00420761">
        <w:rPr>
          <w:color w:val="000000"/>
        </w:rPr>
        <w:lastRenderedPageBreak/>
        <w:t>control. The regional executive committee should own and review this dashboard</w:t>
      </w:r>
      <w:r w:rsidRPr="00420761">
        <w:rPr>
          <w:color w:val="000000"/>
        </w:rPr>
        <w:t>. Operating Review: Monthly, Strategic Review: Quarterly. Risk: metric overload. The metric is a decision log with corrective action as soon as any threshold to ethics or service is violated.</w:t>
      </w:r>
    </w:p>
    <w:p w14:paraId="4400CBB8" w14:textId="77777777" w:rsidR="00CF6C2D" w:rsidRPr="00420761" w:rsidRDefault="00000000">
      <w:pPr>
        <w:pStyle w:val="Heading2"/>
        <w:rPr>
          <w:rFonts w:ascii="Arial" w:eastAsia="Arial" w:hAnsi="Arial" w:cs="Arial"/>
        </w:rPr>
      </w:pPr>
      <w:bookmarkStart w:id="8" w:name="_r5wvmze4tyva" w:colFirst="0" w:colLast="0"/>
      <w:bookmarkEnd w:id="8"/>
      <w:r w:rsidRPr="00420761">
        <w:rPr>
          <w:rFonts w:ascii="Arial" w:eastAsia="Arial" w:hAnsi="Arial" w:cs="Arial"/>
        </w:rPr>
        <w:t>8. Conclusion</w:t>
      </w:r>
    </w:p>
    <w:p w14:paraId="6D941E7E" w14:textId="77777777" w:rsidR="00CF6C2D" w:rsidRPr="00420761" w:rsidRDefault="00000000">
      <w:pPr>
        <w:keepNext/>
        <w:spacing w:before="160" w:after="60" w:line="240" w:lineRule="auto"/>
        <w:jc w:val="center"/>
      </w:pPr>
      <w:r w:rsidRPr="00420761">
        <w:rPr>
          <w:noProof/>
        </w:rPr>
        <w:drawing>
          <wp:inline distT="0" distB="0" distL="0" distR="0" wp14:anchorId="44AD5178" wp14:editId="481B3B50">
            <wp:extent cx="5577840" cy="1579439"/>
            <wp:effectExtent l="0" t="0" r="0" b="0"/>
            <wp:docPr id="2" name="image2.png" descr="Mermaid flowchart showing a cycle from claim or activation through evidence and consent, local execution, monitoring, remediation and learning."/>
            <wp:cNvGraphicFramePr/>
            <a:graphic xmlns:a="http://schemas.openxmlformats.org/drawingml/2006/main">
              <a:graphicData uri="http://schemas.openxmlformats.org/drawingml/2006/picture">
                <pic:pic xmlns:pic="http://schemas.openxmlformats.org/drawingml/2006/picture">
                  <pic:nvPicPr>
                    <pic:cNvPr id="0" name="image2.png" descr="Mermaid flowchart showing a cycle from claim or activation through evidence and consent, local execution, monitoring, remediation and learning."/>
                    <pic:cNvPicPr preferRelativeResize="0"/>
                  </pic:nvPicPr>
                  <pic:blipFill>
                    <a:blip r:embed="rId19"/>
                    <a:srcRect/>
                    <a:stretch>
                      <a:fillRect/>
                    </a:stretch>
                  </pic:blipFill>
                  <pic:spPr>
                    <a:xfrm>
                      <a:off x="0" y="0"/>
                      <a:ext cx="5577840" cy="1579439"/>
                    </a:xfrm>
                    <a:prstGeom prst="rect">
                      <a:avLst/>
                    </a:prstGeom>
                    <a:ln/>
                  </pic:spPr>
                </pic:pic>
              </a:graphicData>
            </a:graphic>
          </wp:inline>
        </w:drawing>
      </w:r>
    </w:p>
    <w:p w14:paraId="6662C101" w14:textId="77777777" w:rsidR="00CF6C2D" w:rsidRPr="00420761" w:rsidRDefault="00000000">
      <w:pPr>
        <w:keepNext/>
        <w:spacing w:before="160" w:after="60" w:line="276" w:lineRule="auto"/>
        <w:jc w:val="left"/>
      </w:pPr>
      <w:r w:rsidRPr="00420761">
        <w:rPr>
          <w:b/>
          <w:bCs/>
          <w:sz w:val="22"/>
          <w:szCs w:val="22"/>
        </w:rPr>
        <w:t>Figure 2: Ethics-to-governance feedback loop</w:t>
      </w:r>
    </w:p>
    <w:p w14:paraId="75933FAB" w14:textId="77777777" w:rsidR="00CF6C2D" w:rsidRPr="00420761" w:rsidRDefault="00000000">
      <w:pPr>
        <w:spacing w:before="60" w:line="276" w:lineRule="auto"/>
        <w:jc w:val="left"/>
      </w:pPr>
      <w:r w:rsidRPr="00420761">
        <w:rPr>
          <w:i/>
          <w:iCs/>
          <w:color w:val="595959"/>
          <w:sz w:val="20"/>
          <w:szCs w:val="20"/>
        </w:rPr>
        <w:t>Source: Author's Mermaid chart; synthesis of the ethical controls in Section 6 and the recommendations in Section 7.</w:t>
      </w:r>
    </w:p>
    <w:p w14:paraId="2CFE6A13" w14:textId="50AC4665" w:rsidR="00CF6C2D" w:rsidRPr="00420761" w:rsidRDefault="00E26759">
      <w:r w:rsidRPr="00420761">
        <w:t>Adidas should not export a German template unchanged, but neither should it fragment the global brand. The comparison helps achieve selective adaptation, which includes the preservation of performance credibility and core identity, support for the substantiation of claims, ethical governance, and adaptation of China-facing access, digital execution, assortment, value architecture, services, and local accountability. The operating problem changes due to the changes in the legal, digital and demand conditions (PESTEL). The critical Hofstede use warns against stereotyping national averages. STP and the 7Ps transform those circumstances into paths to relevance and the entry analysis backs a staged hybrid with well-defined control boundaries. Evidence concerning products, promotion and supply-chain governance reinforces the recommendation. The judgment is still based on secondary research—they suggest a testable strategy, not measurable effects. Adaptation should be governed by Adidas based on evidence, local ability and a dashboard that recognizes the importance of profiting on trust and growing.</w:t>
      </w:r>
    </w:p>
    <w:p w14:paraId="3738248F" w14:textId="77777777" w:rsidR="00CF6C2D" w:rsidRPr="00420761" w:rsidRDefault="00000000">
      <w:r w:rsidRPr="00420761">
        <w:br w:type="page"/>
      </w:r>
    </w:p>
    <w:p w14:paraId="7FDF4AA0" w14:textId="77777777" w:rsidR="00CF6C2D" w:rsidRPr="00420761" w:rsidRDefault="00000000">
      <w:pPr>
        <w:pStyle w:val="Heading1"/>
        <w:rPr>
          <w:rFonts w:ascii="Arial" w:eastAsia="Arial" w:hAnsi="Arial" w:cs="Arial"/>
        </w:rPr>
      </w:pPr>
      <w:bookmarkStart w:id="9" w:name="_oz6hgoquxyc7" w:colFirst="0" w:colLast="0"/>
      <w:bookmarkEnd w:id="9"/>
      <w:r w:rsidRPr="00420761">
        <w:rPr>
          <w:rFonts w:ascii="Arial" w:eastAsia="Arial" w:hAnsi="Arial" w:cs="Arial"/>
        </w:rPr>
        <w:lastRenderedPageBreak/>
        <w:t>Section 2 - Reflective account</w:t>
      </w:r>
    </w:p>
    <w:p w14:paraId="343EE3AC" w14:textId="77777777" w:rsidR="00CF6C2D" w:rsidRPr="00420761" w:rsidRDefault="00000000">
      <w:pPr>
        <w:pStyle w:val="Heading2"/>
        <w:rPr>
          <w:rFonts w:ascii="Arial" w:eastAsia="Arial" w:hAnsi="Arial" w:cs="Arial"/>
        </w:rPr>
      </w:pPr>
      <w:bookmarkStart w:id="10" w:name="_ikbq2es81ovd" w:colFirst="0" w:colLast="0"/>
      <w:bookmarkEnd w:id="10"/>
      <w:r w:rsidRPr="00420761">
        <w:rPr>
          <w:rFonts w:ascii="Arial" w:eastAsia="Arial" w:hAnsi="Arial" w:cs="Arial"/>
        </w:rPr>
        <w:t>9. Gibbs reflective cycle</w:t>
      </w:r>
    </w:p>
    <w:p w14:paraId="6BB10796" w14:textId="77777777" w:rsidR="00CF6C2D" w:rsidRPr="00420761" w:rsidRDefault="00000000">
      <w:pPr>
        <w:keepNext/>
        <w:spacing w:before="160" w:after="60" w:line="240" w:lineRule="auto"/>
        <w:jc w:val="center"/>
      </w:pPr>
      <w:r w:rsidRPr="00420761">
        <w:rPr>
          <w:noProof/>
        </w:rPr>
        <w:drawing>
          <wp:inline distT="0" distB="0" distL="0" distR="0" wp14:anchorId="57BF5A48" wp14:editId="62F75D69">
            <wp:extent cx="5577840" cy="2448052"/>
            <wp:effectExtent l="0" t="0" r="0" b="0"/>
            <wp:docPr id="4" name="image3.png" descr="Author-created cycle diagram showing Gibbs's six stages: description, feelings, evaluation, analysis, conclusion and action plan, returning to the next learning cycle."/>
            <wp:cNvGraphicFramePr/>
            <a:graphic xmlns:a="http://schemas.openxmlformats.org/drawingml/2006/main">
              <a:graphicData uri="http://schemas.openxmlformats.org/drawingml/2006/picture">
                <pic:pic xmlns:pic="http://schemas.openxmlformats.org/drawingml/2006/picture">
                  <pic:nvPicPr>
                    <pic:cNvPr id="0" name="image3.png" descr="Author-created cycle diagram showing Gibbs's six stages: description, feelings, evaluation, analysis, conclusion and action plan, returning to the next learning cycle."/>
                    <pic:cNvPicPr preferRelativeResize="0"/>
                  </pic:nvPicPr>
                  <pic:blipFill>
                    <a:blip r:embed="rId20"/>
                    <a:srcRect/>
                    <a:stretch>
                      <a:fillRect/>
                    </a:stretch>
                  </pic:blipFill>
                  <pic:spPr>
                    <a:xfrm>
                      <a:off x="0" y="0"/>
                      <a:ext cx="5577840" cy="2448052"/>
                    </a:xfrm>
                    <a:prstGeom prst="rect">
                      <a:avLst/>
                    </a:prstGeom>
                    <a:ln/>
                  </pic:spPr>
                </pic:pic>
              </a:graphicData>
            </a:graphic>
          </wp:inline>
        </w:drawing>
      </w:r>
    </w:p>
    <w:p w14:paraId="017CF7FD" w14:textId="77777777" w:rsidR="00CF6C2D" w:rsidRPr="00420761" w:rsidRDefault="00000000">
      <w:pPr>
        <w:keepNext/>
        <w:spacing w:before="160" w:after="60" w:line="276" w:lineRule="auto"/>
        <w:jc w:val="left"/>
      </w:pPr>
      <w:r w:rsidRPr="00420761">
        <w:rPr>
          <w:b/>
          <w:bCs/>
          <w:sz w:val="22"/>
          <w:szCs w:val="22"/>
        </w:rPr>
        <w:t>Figure 3: Gibbs reflective cycle</w:t>
      </w:r>
    </w:p>
    <w:p w14:paraId="32424701" w14:textId="77777777" w:rsidR="00CF6C2D" w:rsidRPr="00420761" w:rsidRDefault="00000000">
      <w:pPr>
        <w:spacing w:before="60" w:line="276" w:lineRule="auto"/>
        <w:jc w:val="left"/>
      </w:pPr>
      <w:r w:rsidRPr="00420761">
        <w:rPr>
          <w:i/>
          <w:iCs/>
          <w:color w:val="595959"/>
          <w:sz w:val="20"/>
          <w:szCs w:val="20"/>
        </w:rPr>
        <w:t>Source: adapted from Gibbs (1988).</w:t>
      </w:r>
    </w:p>
    <w:p w14:paraId="33AABDA4" w14:textId="77777777" w:rsidR="00CF6C2D" w:rsidRPr="00420761" w:rsidRDefault="00000000">
      <w:pPr>
        <w:keepLines/>
      </w:pPr>
      <w:r w:rsidRPr="00420761">
        <w:t>Gibbs's (1988) cycle structures this reflection.</w:t>
      </w:r>
    </w:p>
    <w:p w14:paraId="383A1E79" w14:textId="77777777" w:rsidR="00CF6C2D" w:rsidRPr="00420761" w:rsidRDefault="00000000">
      <w:pPr>
        <w:pStyle w:val="Heading3"/>
        <w:rPr>
          <w:rFonts w:ascii="Arial" w:eastAsia="Arial" w:hAnsi="Arial" w:cs="Arial"/>
        </w:rPr>
      </w:pPr>
      <w:bookmarkStart w:id="11" w:name="_tu01lvtm5vsv" w:colFirst="0" w:colLast="0"/>
      <w:bookmarkEnd w:id="11"/>
      <w:r w:rsidRPr="00420761">
        <w:rPr>
          <w:rFonts w:ascii="Arial" w:eastAsia="Arial" w:hAnsi="Arial" w:cs="Arial"/>
        </w:rPr>
        <w:t>Description</w:t>
      </w:r>
    </w:p>
    <w:p w14:paraId="28AFDAA4" w14:textId="77777777" w:rsidR="00CF6C2D" w:rsidRPr="00420761" w:rsidRDefault="00000000">
      <w:pPr>
        <w:keepLines/>
      </w:pPr>
      <w:r w:rsidRPr="00420761">
        <w:t xml:space="preserve">I explored the Adidas Germany-China issue by comparing Adidas's domestic market with another host market. I started off by asking what stays the same in the brand proposition and what needs local judgement. I read academic studies, as well as Adidas disclosures, official statistics, legal sources and independent reporting. I did a comparison of what I think Adidas could do world-wide and what they could do based on local ability. The table made it more real. If a source provided a national average, I took note of this before using it as a segment or forecast. PESTEL identified external pressures, Hofstede helped question assumptions on cultural difference, STP and the 7Ps translated identified external pressures into decisions and entry-mode research was used to assess control and learning. I included ethics in the mix because claims and data, </w:t>
      </w:r>
      <w:proofErr w:type="spellStart"/>
      <w:r w:rsidRPr="00420761">
        <w:t>labour</w:t>
      </w:r>
      <w:proofErr w:type="spellEnd"/>
      <w:r w:rsidRPr="00420761">
        <w:t xml:space="preserve"> promises and environmental promises all impact on credibility. The evidence persuaded me that I was moving away from an either-or approach to </w:t>
      </w:r>
      <w:proofErr w:type="spellStart"/>
      <w:r w:rsidRPr="00420761">
        <w:t>standardisation</w:t>
      </w:r>
      <w:proofErr w:type="spellEnd"/>
      <w:r w:rsidRPr="00420761">
        <w:t xml:space="preserve"> and adaptation, to selective adaptation: maintain global performance promise but make route relevant in China. This provided my recommendations with a more solid foundation than considering them on their own merits.</w:t>
      </w:r>
    </w:p>
    <w:p w14:paraId="7D639D17" w14:textId="77777777" w:rsidR="00CF6C2D" w:rsidRPr="00420761" w:rsidRDefault="00000000">
      <w:pPr>
        <w:pStyle w:val="Heading3"/>
        <w:rPr>
          <w:rFonts w:ascii="Arial" w:eastAsia="Arial" w:hAnsi="Arial" w:cs="Arial"/>
        </w:rPr>
      </w:pPr>
      <w:r w:rsidRPr="00420761">
        <w:rPr>
          <w:rFonts w:ascii="Arial" w:eastAsia="Arial" w:hAnsi="Arial" w:cs="Arial"/>
        </w:rPr>
        <w:lastRenderedPageBreak/>
        <w:t>Feelings</w:t>
      </w:r>
    </w:p>
    <w:p w14:paraId="718E818D" w14:textId="6681CD1B" w:rsidR="00CF6C2D" w:rsidRPr="00420761" w:rsidRDefault="00000000">
      <w:pPr>
        <w:keepLines/>
      </w:pPr>
      <w:r w:rsidRPr="00420761">
        <w:t>I was at first quite unsure if I was able to compare Germany and China without resorting to a shortcut of national difference. With China's size, it was almost a foregone conclusion that opportunity was there, and with the German home market, it was natural that practice was there. I knew that it's easier to explain your intended strategy with company evidence than with customer evidence. I was also attracted to a strong growth story as China looked like a commercial important market.</w:t>
      </w:r>
      <w:r w:rsidR="00E26759" w:rsidRPr="00420761">
        <w:t xml:space="preserve"> This initial attraction made me more cautious about assuming that market size demonstrated strategic fit or that extensive platform access automatically created trust</w:t>
      </w:r>
      <w:r w:rsidRPr="00420761">
        <w:t xml:space="preserve">. It was easier to feel comfortable when there were independent and critical sources that challenged the company story, even if it was a bit uncomfortable to leave behind nice sounding </w:t>
      </w:r>
      <w:proofErr w:type="gramStart"/>
      <w:r w:rsidRPr="00420761">
        <w:t>words</w:t>
      </w:r>
      <w:proofErr w:type="gramEnd"/>
      <w:r w:rsidRPr="00420761">
        <w:t xml:space="preserve"> I didn't have evidence to back up. Then, by the end, it was a strength not a weakness to be qualified.</w:t>
      </w:r>
    </w:p>
    <w:p w14:paraId="030CE45B" w14:textId="77777777" w:rsidR="00CF6C2D" w:rsidRPr="00420761" w:rsidRDefault="00000000">
      <w:pPr>
        <w:pStyle w:val="Heading3"/>
        <w:rPr>
          <w:rFonts w:ascii="Arial" w:eastAsia="Arial" w:hAnsi="Arial" w:cs="Arial"/>
        </w:rPr>
      </w:pPr>
      <w:r w:rsidRPr="00420761">
        <w:rPr>
          <w:rFonts w:ascii="Arial" w:eastAsia="Arial" w:hAnsi="Arial" w:cs="Arial"/>
        </w:rPr>
        <w:t>Evaluation</w:t>
      </w:r>
    </w:p>
    <w:p w14:paraId="20A11A5A" w14:textId="1EDCC1E1" w:rsidR="00CF6C2D" w:rsidRPr="00420761" w:rsidRDefault="00000000">
      <w:pPr>
        <w:keepLines/>
      </w:pPr>
      <w:r w:rsidRPr="00420761">
        <w:t xml:space="preserve">The best decisions were those that challenged assumptions, verified supporting and challenging sources, and included a marketing/gov implication at the end of each comparison. Tables were used which related conditions to decisions, not to leave PESTEL descriptive. The most difficult decisions were making a differentiation between culture and platform </w:t>
      </w:r>
      <w:proofErr w:type="spellStart"/>
      <w:r w:rsidRPr="00420761">
        <w:t>behaviour</w:t>
      </w:r>
      <w:proofErr w:type="spellEnd"/>
      <w:r w:rsidRPr="00420761">
        <w:t>, not using the national averages as segments and not talking about allegations as findings.</w:t>
      </w:r>
      <w:r w:rsidR="00A31094" w:rsidRPr="00420761">
        <w:t xml:space="preserve"> A significant limitation was the unevenness of the available evidence.</w:t>
      </w:r>
      <w:r w:rsidRPr="00420761">
        <w:t xml:space="preserve"> Company sources were more detailed about policy and performance, and the independent sources were more robust in critiquing than in providing specific Adidas results. I had to say "no" to filling that space with assertive words. It also revealed the limitations: if there were no primary consumer evidence, I could make educated guesses about segments and </w:t>
      </w:r>
      <w:proofErr w:type="spellStart"/>
      <w:r w:rsidRPr="00420761">
        <w:t>behaviours</w:t>
      </w:r>
      <w:proofErr w:type="spellEnd"/>
      <w:r w:rsidRPr="00420761">
        <w:t xml:space="preserve"> that I wanted to test but I could never say that they were measured. After rereading, I realized that it was too easy to repeat the same </w:t>
      </w:r>
      <w:proofErr w:type="spellStart"/>
      <w:r w:rsidRPr="00420761">
        <w:t>standardisation</w:t>
      </w:r>
      <w:proofErr w:type="spellEnd"/>
      <w:r w:rsidRPr="00420761">
        <w:t xml:space="preserve"> point, so I changed it to more precise decisions of ownership, metric and risk.</w:t>
      </w:r>
    </w:p>
    <w:p w14:paraId="5F7CB760" w14:textId="77777777" w:rsidR="00CF6C2D" w:rsidRPr="00420761" w:rsidRDefault="00000000">
      <w:pPr>
        <w:pStyle w:val="Heading3"/>
        <w:rPr>
          <w:rFonts w:ascii="Arial" w:eastAsia="Arial" w:hAnsi="Arial" w:cs="Arial"/>
        </w:rPr>
      </w:pPr>
      <w:r w:rsidRPr="00420761">
        <w:rPr>
          <w:rFonts w:ascii="Arial" w:eastAsia="Arial" w:hAnsi="Arial" w:cs="Arial"/>
        </w:rPr>
        <w:lastRenderedPageBreak/>
        <w:t>Analysis</w:t>
      </w:r>
    </w:p>
    <w:p w14:paraId="4E93D60F" w14:textId="0A17C45A" w:rsidR="00CF6C2D" w:rsidRPr="00420761" w:rsidRDefault="00000000">
      <w:pPr>
        <w:keepLines/>
      </w:pPr>
      <w:r w:rsidRPr="00420761">
        <w:t xml:space="preserve">The process of working through the frameworks impacted my thinking about the marketing problem. Initially, I thought of selective adaptation as being positioned in the middle ground but, when I got to thinking about it, I realized that it wasn't a safe middle ground, but a challenging choice that demands boundaries, ownership and evidence. China is not just a place that needs </w:t>
      </w:r>
      <w:proofErr w:type="spellStart"/>
      <w:r w:rsidRPr="00420761">
        <w:t>localisation</w:t>
      </w:r>
      <w:proofErr w:type="spellEnd"/>
      <w:r w:rsidRPr="00420761">
        <w:t xml:space="preserve">, rather, the marketer needs to determine which activities can be local and which cannot be local and the accountability between both sides. PESTEL was helpful to me when each of the forces would impact a choice of price, platform, data, claims or service. However, Hofstede's work helped me to ask more effective communication questions, but it also cautioned me that I can't rely on national scores as predictions as suggested by </w:t>
      </w:r>
      <w:proofErr w:type="spellStart"/>
      <w:r w:rsidRPr="00420761">
        <w:t>Beugelsdijk</w:t>
      </w:r>
      <w:proofErr w:type="spellEnd"/>
      <w:r w:rsidRPr="00420761">
        <w:t xml:space="preserve">, </w:t>
      </w:r>
      <w:proofErr w:type="spellStart"/>
      <w:r w:rsidRPr="00420761">
        <w:t>Kostova</w:t>
      </w:r>
      <w:proofErr w:type="spellEnd"/>
      <w:r w:rsidRPr="00420761">
        <w:t xml:space="preserve"> and Roth (2017) or Kirkman, Lowe and Gibson (2006) and McSweeney (2002). With STP I was compelled to differentiate between proposed segments and measured </w:t>
      </w:r>
      <w:proofErr w:type="spellStart"/>
      <w:r w:rsidRPr="00420761">
        <w:t>behaviour</w:t>
      </w:r>
      <w:proofErr w:type="spellEnd"/>
      <w:r w:rsidRPr="00420761">
        <w:t xml:space="preserve">. The 7Ps indicated to me that there is a relationship between place, promotion and process, in addition to people and data risk. The study also found that institutional conditions and capabilities are inseparable from control and performance in entry mode scholarships, as reported by </w:t>
      </w:r>
      <w:proofErr w:type="spellStart"/>
      <w:r w:rsidRPr="00420761">
        <w:t>Brouthers</w:t>
      </w:r>
      <w:proofErr w:type="spellEnd"/>
      <w:r w:rsidRPr="00420761">
        <w:t xml:space="preserve"> (2002) and Wan et al. (2023). I learnt that culture cannot be used as a replacement for customers' evidence rather it has to be viewed as a question of meaning and service.</w:t>
      </w:r>
      <w:r w:rsidR="00A31094" w:rsidRPr="00420761">
        <w:t xml:space="preserve"> I learned that adding more sources does not automatically improve analysis; stronger analysis compares evidence, </w:t>
      </w:r>
      <w:proofErr w:type="spellStart"/>
      <w:r w:rsidR="00A31094" w:rsidRPr="00420761">
        <w:t>recognises</w:t>
      </w:r>
      <w:proofErr w:type="spellEnd"/>
      <w:r w:rsidR="00A31094" w:rsidRPr="00420761">
        <w:t xml:space="preserve"> limitations and reaches a justified decision</w:t>
      </w:r>
      <w:r w:rsidRPr="00420761">
        <w:t xml:space="preserve">. The ethic discussion further sharpened my judgement: The reporting of due diligence is relevant in the context of Adidas, but what the evidence brings up for Nike is why monitoring is not enough (adidas AG, 2025e; Locke, Qin and </w:t>
      </w:r>
      <w:proofErr w:type="spellStart"/>
      <w:r w:rsidRPr="00420761">
        <w:t>Brause</w:t>
      </w:r>
      <w:proofErr w:type="spellEnd"/>
      <w:r w:rsidRPr="00420761">
        <w:t xml:space="preserve">, 2007a; Locke, </w:t>
      </w:r>
      <w:proofErr w:type="spellStart"/>
      <w:r w:rsidRPr="00420761">
        <w:t>Kochan</w:t>
      </w:r>
      <w:proofErr w:type="spellEnd"/>
      <w:r w:rsidRPr="00420761">
        <w:t xml:space="preserve">, </w:t>
      </w:r>
      <w:proofErr w:type="spellStart"/>
      <w:r w:rsidRPr="00420761">
        <w:t>Romis</w:t>
      </w:r>
      <w:proofErr w:type="spellEnd"/>
      <w:r w:rsidRPr="00420761">
        <w:t xml:space="preserve"> and Qin, 2007b). Ethics became a subject of testing whether the marketing promise could be fulfilled or not. This comparison made it easy for me to justify selective adaptation more than the other two options: unconditional </w:t>
      </w:r>
      <w:proofErr w:type="spellStart"/>
      <w:r w:rsidRPr="00420761">
        <w:t>standardisation</w:t>
      </w:r>
      <w:proofErr w:type="spellEnd"/>
      <w:r w:rsidRPr="00420761">
        <w:t xml:space="preserve"> or automatic </w:t>
      </w:r>
      <w:proofErr w:type="spellStart"/>
      <w:r w:rsidRPr="00420761">
        <w:t>localisation</w:t>
      </w:r>
      <w:proofErr w:type="spellEnd"/>
      <w:r w:rsidRPr="00420761">
        <w:t>.</w:t>
      </w:r>
    </w:p>
    <w:p w14:paraId="1887E4C7" w14:textId="77777777" w:rsidR="00CF6C2D" w:rsidRPr="00420761" w:rsidRDefault="00000000">
      <w:pPr>
        <w:pStyle w:val="Heading3"/>
        <w:rPr>
          <w:rFonts w:ascii="Arial" w:eastAsia="Arial" w:hAnsi="Arial" w:cs="Arial"/>
        </w:rPr>
      </w:pPr>
      <w:r w:rsidRPr="00420761">
        <w:rPr>
          <w:rFonts w:ascii="Arial" w:eastAsia="Arial" w:hAnsi="Arial" w:cs="Arial"/>
        </w:rPr>
        <w:lastRenderedPageBreak/>
        <w:t>Conclusion</w:t>
      </w:r>
    </w:p>
    <w:p w14:paraId="30606C47" w14:textId="77777777" w:rsidR="00CF6C2D" w:rsidRPr="00420761" w:rsidRDefault="00000000">
      <w:pPr>
        <w:keepLines/>
      </w:pPr>
      <w:r w:rsidRPr="00420761">
        <w:t>My primary learning is that there are boundaries to be disciplined with when analyzing international marketing. I arrived at a more robust recommendation by distinguishing between confirmed evidence, company-reported, allegations and strategic inference. I now view selective adaptation as a governance decision of what is common and what needs to be learned locally and not as a "trade off" between slogans. I think I did a better job of articulating what Adidas should do AND what the evidence could not prove.</w:t>
      </w:r>
    </w:p>
    <w:p w14:paraId="7E26AC4B" w14:textId="77777777" w:rsidR="00CF6C2D" w:rsidRPr="00420761" w:rsidRDefault="00000000">
      <w:pPr>
        <w:pStyle w:val="Heading3"/>
        <w:rPr>
          <w:rFonts w:ascii="Arial" w:eastAsia="Arial" w:hAnsi="Arial" w:cs="Arial"/>
        </w:rPr>
      </w:pPr>
      <w:r w:rsidRPr="00420761">
        <w:rPr>
          <w:rFonts w:ascii="Arial" w:eastAsia="Arial" w:hAnsi="Arial" w:cs="Arial"/>
        </w:rPr>
        <w:t>Action plan</w:t>
      </w:r>
    </w:p>
    <w:p w14:paraId="2CACA48B" w14:textId="0E1F3D7E" w:rsidR="00CF6C2D" w:rsidRPr="00420761" w:rsidRDefault="00000000">
      <w:pPr>
        <w:keepLines/>
      </w:pPr>
      <w:r w:rsidRPr="00420761">
        <w:t>In the future, I will make a claim to source map before writing, include a regional and city-level evidence matrix, and have primary research questions planned out before analyzing. I will make notes of dates next to current statistics; test possible ethical claims with legal and community stakeholders in my area before recommending communication.</w:t>
      </w:r>
      <w:r w:rsidR="00A31094" w:rsidRPr="00420761">
        <w:t xml:space="preserve"> I will separate discovery metrics from trust metrics so that strong reach figures do not conceal weak service performance or unresolved complaints</w:t>
      </w:r>
      <w:r w:rsidRPr="00420761">
        <w:t xml:space="preserve">. An owner, evidence source, threshold and corrective action will be assigned to each metric. These will enable my analysis to be more </w:t>
      </w:r>
      <w:proofErr w:type="spellStart"/>
      <w:r w:rsidRPr="00420761">
        <w:t>focussed</w:t>
      </w:r>
      <w:proofErr w:type="spellEnd"/>
      <w:r w:rsidRPr="00420761">
        <w:t xml:space="preserve"> and enable me to </w:t>
      </w:r>
      <w:proofErr w:type="spellStart"/>
      <w:r w:rsidRPr="00420761">
        <w:t>recognise</w:t>
      </w:r>
      <w:proofErr w:type="spellEnd"/>
      <w:r w:rsidRPr="00420761">
        <w:t xml:space="preserve"> uncertainty earlier.</w:t>
      </w:r>
    </w:p>
    <w:p w14:paraId="76314687" w14:textId="77777777" w:rsidR="00CF6C2D" w:rsidRPr="00420761" w:rsidRDefault="00000000">
      <w:r w:rsidRPr="00420761">
        <w:br w:type="page"/>
      </w:r>
    </w:p>
    <w:p w14:paraId="5B6BA7AC" w14:textId="77777777" w:rsidR="00CF6C2D" w:rsidRPr="00420761" w:rsidRDefault="00000000">
      <w:pPr>
        <w:pStyle w:val="Heading1"/>
        <w:rPr>
          <w:rFonts w:ascii="Arial" w:eastAsia="Arial" w:hAnsi="Arial" w:cs="Arial"/>
        </w:rPr>
      </w:pPr>
      <w:bookmarkStart w:id="12" w:name="_u1466txxpkkz" w:colFirst="0" w:colLast="0"/>
      <w:bookmarkEnd w:id="12"/>
      <w:r w:rsidRPr="00420761">
        <w:rPr>
          <w:rFonts w:ascii="Arial" w:eastAsia="Arial" w:hAnsi="Arial" w:cs="Arial"/>
        </w:rPr>
        <w:lastRenderedPageBreak/>
        <w:t>References</w:t>
      </w:r>
    </w:p>
    <w:p w14:paraId="4C0C4A6D" w14:textId="77777777" w:rsidR="00CF6C2D" w:rsidRPr="00420761" w:rsidRDefault="00000000">
      <w:pPr>
        <w:keepLines/>
        <w:ind w:left="720" w:hanging="720"/>
        <w:jc w:val="left"/>
      </w:pPr>
      <w:r w:rsidRPr="00420761">
        <w:t xml:space="preserve">adidas AG (2024) </w:t>
      </w:r>
      <w:r w:rsidRPr="00420761">
        <w:rPr>
          <w:i/>
          <w:iCs/>
        </w:rPr>
        <w:t>Risk and opportunity report</w:t>
      </w:r>
      <w:r w:rsidRPr="00420761">
        <w:t>. adidas Annual Report 2024. Available at: https://report.adidas-group.com/2024/en/group-management-report-financial-review/risk-and-opportunity-report.html (Accessed: 5 August 2026).</w:t>
      </w:r>
    </w:p>
    <w:p w14:paraId="0E900261" w14:textId="77777777" w:rsidR="00CF6C2D" w:rsidRPr="00420761" w:rsidRDefault="00000000">
      <w:pPr>
        <w:keepLines/>
        <w:ind w:left="720" w:hanging="720"/>
        <w:jc w:val="left"/>
      </w:pPr>
      <w:r w:rsidRPr="00420761">
        <w:t xml:space="preserve">adidas AG (2025a) </w:t>
      </w:r>
      <w:r w:rsidRPr="00420761">
        <w:rPr>
          <w:i/>
          <w:iCs/>
        </w:rPr>
        <w:t>About this report</w:t>
      </w:r>
      <w:r w:rsidRPr="00420761">
        <w:t>. adidas Annual Report 2025. Available at: https://report.adidas-group.com/2025/en/at-a-glance/about-this-report.html (Accessed: 5 August 2026).</w:t>
      </w:r>
    </w:p>
    <w:p w14:paraId="45B8015B" w14:textId="77777777" w:rsidR="00CF6C2D" w:rsidRPr="00420761" w:rsidRDefault="00000000">
      <w:pPr>
        <w:keepLines/>
        <w:ind w:left="720" w:hanging="720"/>
        <w:jc w:val="left"/>
      </w:pPr>
      <w:r w:rsidRPr="00420761">
        <w:t xml:space="preserve">adidas AG (2025b) </w:t>
      </w:r>
      <w:r w:rsidRPr="00420761">
        <w:rPr>
          <w:i/>
          <w:iCs/>
        </w:rPr>
        <w:t>Greater China</w:t>
      </w:r>
      <w:r w:rsidRPr="00420761">
        <w:t>. adidas Annual Report 2025. Available at: https://report.adidas-group.com/2025/en/group-management-report-financial-review/business-performance-by-segment/greater-china.html (Accessed: 5 August 2026).</w:t>
      </w:r>
    </w:p>
    <w:p w14:paraId="3F18C9CA" w14:textId="77777777" w:rsidR="00CF6C2D" w:rsidRPr="00420761" w:rsidRDefault="00000000">
      <w:pPr>
        <w:keepLines/>
        <w:ind w:left="720" w:hanging="720"/>
        <w:jc w:val="left"/>
      </w:pPr>
      <w:r w:rsidRPr="00420761">
        <w:t xml:space="preserve">adidas AG (2025c) </w:t>
      </w:r>
      <w:r w:rsidRPr="00420761">
        <w:rPr>
          <w:i/>
          <w:iCs/>
        </w:rPr>
        <w:t>Income statement</w:t>
      </w:r>
      <w:r w:rsidRPr="00420761">
        <w:t>. adidas Annual Report 2025. Available at: https://report.adidas-group.com/2025/en/group-management-report-financial-review/income-statement.html (Accessed: 5 August 2026).</w:t>
      </w:r>
    </w:p>
    <w:p w14:paraId="35021A08" w14:textId="77777777" w:rsidR="00CF6C2D" w:rsidRPr="00420761" w:rsidRDefault="00000000">
      <w:pPr>
        <w:keepLines/>
        <w:ind w:left="720" w:hanging="720"/>
        <w:jc w:val="left"/>
      </w:pPr>
      <w:r w:rsidRPr="00420761">
        <w:t xml:space="preserve">adidas AG (2025d) </w:t>
      </w:r>
      <w:r w:rsidRPr="00420761">
        <w:rPr>
          <w:i/>
          <w:iCs/>
        </w:rPr>
        <w:t>Sourcing and supply chain</w:t>
      </w:r>
      <w:r w:rsidRPr="00420761">
        <w:t>. adidas Annual Report 2025. Available at: https://report.adidas-group.com/2025/en/group-management-report-our-company/description-of-business-model/sourcing-and-supply-chain.html (Accessed: 5 August 2026).</w:t>
      </w:r>
    </w:p>
    <w:p w14:paraId="2CAD81F8" w14:textId="77777777" w:rsidR="00CF6C2D" w:rsidRPr="00420761" w:rsidRDefault="00000000">
      <w:pPr>
        <w:keepLines/>
        <w:ind w:left="720" w:hanging="720"/>
        <w:jc w:val="left"/>
      </w:pPr>
      <w:r w:rsidRPr="00420761">
        <w:t xml:space="preserve">adidas AG (2025e) </w:t>
      </w:r>
      <w:r w:rsidRPr="00420761">
        <w:rPr>
          <w:i/>
          <w:iCs/>
        </w:rPr>
        <w:t>Workers in the value chain: Overview</w:t>
      </w:r>
      <w:r w:rsidRPr="00420761">
        <w:t>. adidas Annual Report 2025 Sustainability Statement. Available at: https://report.adidas-group.com/2025/en/group-management-report-sustainability-statement/esrs-s2-workers-in-the-value-chain/overview.html (Accessed: 5 August 2026).</w:t>
      </w:r>
    </w:p>
    <w:p w14:paraId="175FD180" w14:textId="77777777" w:rsidR="00CF6C2D" w:rsidRPr="00420761" w:rsidRDefault="00000000">
      <w:pPr>
        <w:keepLines/>
        <w:ind w:left="720" w:hanging="720"/>
        <w:jc w:val="left"/>
      </w:pPr>
      <w:r w:rsidRPr="00420761">
        <w:t xml:space="preserve">Associated Press (2024) ‘Adidas is investigating allegations of embezzlement and bribery in China, according to news reports’, </w:t>
      </w:r>
      <w:r w:rsidRPr="00420761">
        <w:rPr>
          <w:i/>
          <w:iCs/>
        </w:rPr>
        <w:t>AP News</w:t>
      </w:r>
      <w:r w:rsidRPr="00420761">
        <w:t>. Available at: https://apnews.com/article/b8daf1e4187f88f27ce8fdbf709ba130 (Accessed: 5 August 2026).</w:t>
      </w:r>
    </w:p>
    <w:p w14:paraId="51F4DD23" w14:textId="77777777" w:rsidR="00CF6C2D" w:rsidRPr="00420761" w:rsidRDefault="00000000">
      <w:pPr>
        <w:keepLines/>
        <w:ind w:left="720" w:hanging="720"/>
        <w:jc w:val="left"/>
      </w:pPr>
      <w:proofErr w:type="spellStart"/>
      <w:r w:rsidRPr="00420761">
        <w:lastRenderedPageBreak/>
        <w:t>Bayerisches</w:t>
      </w:r>
      <w:proofErr w:type="spellEnd"/>
      <w:r w:rsidRPr="00420761">
        <w:t xml:space="preserve"> </w:t>
      </w:r>
      <w:proofErr w:type="spellStart"/>
      <w:r w:rsidRPr="00420761">
        <w:t>Staatsministerium</w:t>
      </w:r>
      <w:proofErr w:type="spellEnd"/>
      <w:r w:rsidRPr="00420761">
        <w:t xml:space="preserve"> der </w:t>
      </w:r>
      <w:proofErr w:type="spellStart"/>
      <w:r w:rsidRPr="00420761">
        <w:t>Justiz</w:t>
      </w:r>
      <w:proofErr w:type="spellEnd"/>
      <w:r w:rsidRPr="00420761">
        <w:t xml:space="preserve"> / </w:t>
      </w:r>
      <w:proofErr w:type="spellStart"/>
      <w:r w:rsidRPr="00420761">
        <w:t>Oberlandesgericht</w:t>
      </w:r>
      <w:proofErr w:type="spellEnd"/>
      <w:r w:rsidRPr="00420761">
        <w:t xml:space="preserve"> Nürnberg (2025) </w:t>
      </w:r>
      <w:proofErr w:type="spellStart"/>
      <w:r w:rsidRPr="00420761">
        <w:rPr>
          <w:i/>
          <w:iCs/>
        </w:rPr>
        <w:t>Klimaneutral</w:t>
      </w:r>
      <w:proofErr w:type="spellEnd"/>
      <w:r w:rsidRPr="00420761">
        <w:rPr>
          <w:i/>
          <w:iCs/>
        </w:rPr>
        <w:t xml:space="preserve"> bis 2050 - </w:t>
      </w:r>
      <w:proofErr w:type="spellStart"/>
      <w:r w:rsidRPr="00420761">
        <w:rPr>
          <w:i/>
          <w:iCs/>
        </w:rPr>
        <w:t>Landgericht</w:t>
      </w:r>
      <w:proofErr w:type="spellEnd"/>
      <w:r w:rsidRPr="00420761">
        <w:rPr>
          <w:i/>
          <w:iCs/>
        </w:rPr>
        <w:t xml:space="preserve"> </w:t>
      </w:r>
      <w:proofErr w:type="spellStart"/>
      <w:r w:rsidRPr="00420761">
        <w:rPr>
          <w:i/>
          <w:iCs/>
        </w:rPr>
        <w:t>beanstandet</w:t>
      </w:r>
      <w:proofErr w:type="spellEnd"/>
      <w:r w:rsidRPr="00420761">
        <w:rPr>
          <w:i/>
          <w:iCs/>
        </w:rPr>
        <w:t xml:space="preserve"> </w:t>
      </w:r>
      <w:proofErr w:type="spellStart"/>
      <w:r w:rsidRPr="00420761">
        <w:rPr>
          <w:i/>
          <w:iCs/>
        </w:rPr>
        <w:t>frühere</w:t>
      </w:r>
      <w:proofErr w:type="spellEnd"/>
      <w:r w:rsidRPr="00420761">
        <w:rPr>
          <w:i/>
          <w:iCs/>
        </w:rPr>
        <w:t xml:space="preserve"> </w:t>
      </w:r>
      <w:proofErr w:type="spellStart"/>
      <w:r w:rsidRPr="00420761">
        <w:rPr>
          <w:i/>
          <w:iCs/>
        </w:rPr>
        <w:t>Werbeaussage</w:t>
      </w:r>
      <w:proofErr w:type="spellEnd"/>
      <w:r w:rsidRPr="00420761">
        <w:rPr>
          <w:i/>
          <w:iCs/>
        </w:rPr>
        <w:t xml:space="preserve"> des </w:t>
      </w:r>
      <w:proofErr w:type="spellStart"/>
      <w:r w:rsidRPr="00420761">
        <w:rPr>
          <w:i/>
          <w:iCs/>
        </w:rPr>
        <w:t>Sportartikelherstellers</w:t>
      </w:r>
      <w:proofErr w:type="spellEnd"/>
      <w:r w:rsidRPr="00420761">
        <w:rPr>
          <w:i/>
          <w:iCs/>
        </w:rPr>
        <w:t xml:space="preserve"> Adidas</w:t>
      </w:r>
      <w:r w:rsidRPr="00420761">
        <w:t>. Available at: https://www.justiz.bayern.de/gerichte-und-behoerden/oberlandesgerichte/nuernberg/presse/2025/14.php (Accessed: 5 August 2026).</w:t>
      </w:r>
    </w:p>
    <w:p w14:paraId="39D4660D" w14:textId="77777777" w:rsidR="00CF6C2D" w:rsidRPr="00420761" w:rsidRDefault="00000000">
      <w:pPr>
        <w:keepLines/>
        <w:ind w:left="720" w:hanging="720"/>
        <w:jc w:val="left"/>
      </w:pPr>
      <w:proofErr w:type="spellStart"/>
      <w:r w:rsidRPr="00420761">
        <w:t>Beugelsdijk</w:t>
      </w:r>
      <w:proofErr w:type="spellEnd"/>
      <w:r w:rsidRPr="00420761">
        <w:t xml:space="preserve">, S., Kostova, T. and Roth, K. (2017) ‘An overview of Hofstede-inspired country-level culture research in international business since 2006’, </w:t>
      </w:r>
      <w:r w:rsidRPr="00420761">
        <w:rPr>
          <w:i/>
          <w:iCs/>
        </w:rPr>
        <w:t>Journal of International Business Studies</w:t>
      </w:r>
      <w:r w:rsidRPr="00420761">
        <w:t>, 48(1), pp. 30-47. doi:10.1057/s41267-016-0038-8.</w:t>
      </w:r>
    </w:p>
    <w:p w14:paraId="245BCE80" w14:textId="77777777" w:rsidR="00CF6C2D" w:rsidRPr="00420761" w:rsidRDefault="00000000">
      <w:pPr>
        <w:keepLines/>
        <w:ind w:left="720" w:hanging="720"/>
        <w:jc w:val="left"/>
      </w:pPr>
      <w:proofErr w:type="spellStart"/>
      <w:r w:rsidRPr="00420761">
        <w:t>Brouthers</w:t>
      </w:r>
      <w:proofErr w:type="spellEnd"/>
      <w:r w:rsidRPr="00420761">
        <w:t xml:space="preserve">, K. D. (2002) ‘Institutional, cultural and transaction cost influences on entry mode choice and performance’, </w:t>
      </w:r>
      <w:r w:rsidRPr="00420761">
        <w:rPr>
          <w:i/>
          <w:iCs/>
        </w:rPr>
        <w:t>Journal of International Business Studies</w:t>
      </w:r>
      <w:r w:rsidRPr="00420761">
        <w:t xml:space="preserve">, 33(2), pp. 203-221. </w:t>
      </w:r>
      <w:proofErr w:type="gramStart"/>
      <w:r w:rsidRPr="00420761">
        <w:t>doi:10.1057/palgrave.jibs</w:t>
      </w:r>
      <w:proofErr w:type="gramEnd"/>
      <w:r w:rsidRPr="00420761">
        <w:t>.8491013.</w:t>
      </w:r>
    </w:p>
    <w:p w14:paraId="710DCCCE" w14:textId="77777777" w:rsidR="00CF6C2D" w:rsidRPr="00420761" w:rsidRDefault="00000000">
      <w:pPr>
        <w:keepLines/>
        <w:ind w:left="720" w:hanging="720"/>
        <w:jc w:val="left"/>
      </w:pPr>
      <w:r w:rsidRPr="00420761">
        <w:t xml:space="preserve">Canabal, A. and White, G. O. (2008) ‘Entry mode research: Past and future’, </w:t>
      </w:r>
      <w:r w:rsidRPr="00420761">
        <w:rPr>
          <w:i/>
          <w:iCs/>
        </w:rPr>
        <w:t>International Business Review</w:t>
      </w:r>
      <w:r w:rsidRPr="00420761">
        <w:t xml:space="preserve">, 17(3), pp. 267-284. </w:t>
      </w:r>
      <w:proofErr w:type="gramStart"/>
      <w:r w:rsidRPr="00420761">
        <w:t>doi:10.1016/j.ibusrev</w:t>
      </w:r>
      <w:proofErr w:type="gramEnd"/>
      <w:r w:rsidRPr="00420761">
        <w:t>.2008.01.003.</w:t>
      </w:r>
    </w:p>
    <w:p w14:paraId="3976DF8A" w14:textId="77777777" w:rsidR="00CF6C2D" w:rsidRPr="00420761" w:rsidRDefault="00000000">
      <w:pPr>
        <w:keepLines/>
        <w:ind w:left="720" w:hanging="720"/>
        <w:jc w:val="left"/>
      </w:pPr>
      <w:r w:rsidRPr="00420761">
        <w:t xml:space="preserve">China Internet Network Information Center (CNNIC) (2025) </w:t>
      </w:r>
      <w:r w:rsidRPr="00420761">
        <w:rPr>
          <w:i/>
          <w:iCs/>
        </w:rPr>
        <w:t>The 55th Statistical Report on China's Internet Development</w:t>
      </w:r>
      <w:r w:rsidRPr="00420761">
        <w:t>. Available at: https://www.cnnic.com.cn/IDR/ReportDownloads/202505/P020250514564119130448.pdf (Accessed: 5 August 2026).</w:t>
      </w:r>
    </w:p>
    <w:p w14:paraId="206A8FC5" w14:textId="77777777" w:rsidR="00CF6C2D" w:rsidRPr="00420761" w:rsidRDefault="00000000">
      <w:pPr>
        <w:keepLines/>
        <w:ind w:left="720" w:hanging="720"/>
        <w:jc w:val="left"/>
      </w:pPr>
      <w:r w:rsidRPr="00420761">
        <w:t xml:space="preserve">Crane, A. (2001) ‘Unpacking the ethical product’, </w:t>
      </w:r>
      <w:r w:rsidRPr="00420761">
        <w:rPr>
          <w:i/>
          <w:iCs/>
        </w:rPr>
        <w:t>Journal of Business Ethics</w:t>
      </w:r>
      <w:r w:rsidRPr="00420761">
        <w:t>, 30(4), pp. 361-373. doi:10.1023/A:1010793013027.</w:t>
      </w:r>
    </w:p>
    <w:p w14:paraId="331A3BDA" w14:textId="77777777" w:rsidR="00CF6C2D" w:rsidRPr="00420761" w:rsidRDefault="00000000">
      <w:pPr>
        <w:keepLines/>
        <w:ind w:left="720" w:hanging="720"/>
        <w:jc w:val="left"/>
      </w:pPr>
      <w:r w:rsidRPr="00420761">
        <w:t xml:space="preserve">Delmas, M. A. and Burbano, V. C. (2011) ‘The drivers of greenwashing’, </w:t>
      </w:r>
      <w:r w:rsidRPr="00420761">
        <w:rPr>
          <w:i/>
          <w:iCs/>
        </w:rPr>
        <w:t>California Management Review</w:t>
      </w:r>
      <w:r w:rsidRPr="00420761">
        <w:t>, 54(1), pp. 64-87. doi:10.1525/cmr.2011.54.1.64.</w:t>
      </w:r>
    </w:p>
    <w:p w14:paraId="1076F862" w14:textId="77777777" w:rsidR="00CF6C2D" w:rsidRPr="00420761" w:rsidRDefault="00000000">
      <w:pPr>
        <w:keepLines/>
        <w:ind w:left="720" w:hanging="720"/>
        <w:jc w:val="left"/>
      </w:pPr>
      <w:r w:rsidRPr="00420761">
        <w:t xml:space="preserve">de </w:t>
      </w:r>
      <w:proofErr w:type="spellStart"/>
      <w:r w:rsidRPr="00420761">
        <w:t>Mooij</w:t>
      </w:r>
      <w:proofErr w:type="spellEnd"/>
      <w:r w:rsidRPr="00420761">
        <w:t xml:space="preserve">, M. and Hofstede, G. (2010) ‘The Hofstede model: Applications to global branding and advertising strategy and research’, </w:t>
      </w:r>
      <w:r w:rsidRPr="00420761">
        <w:rPr>
          <w:i/>
          <w:iCs/>
        </w:rPr>
        <w:t>International Journal of Advertising</w:t>
      </w:r>
      <w:r w:rsidRPr="00420761">
        <w:t>, 29(1), pp. 85-110. doi:10.2501/S026504870920104X.</w:t>
      </w:r>
    </w:p>
    <w:p w14:paraId="3F238771" w14:textId="77777777" w:rsidR="00CF6C2D" w:rsidRPr="00420761" w:rsidRDefault="00000000">
      <w:pPr>
        <w:keepLines/>
        <w:ind w:left="720" w:hanging="720"/>
        <w:jc w:val="left"/>
      </w:pPr>
      <w:proofErr w:type="spellStart"/>
      <w:r w:rsidRPr="00420761">
        <w:t>Destatis</w:t>
      </w:r>
      <w:proofErr w:type="spellEnd"/>
      <w:r w:rsidRPr="00420761">
        <w:t xml:space="preserve"> (2025) </w:t>
      </w:r>
      <w:r w:rsidRPr="00420761">
        <w:rPr>
          <w:i/>
          <w:iCs/>
        </w:rPr>
        <w:t>Retail price index</w:t>
      </w:r>
      <w:r w:rsidRPr="00420761">
        <w:t>. German Federal Statistical Office. Available at: https://www.destatis.de/EN/Themes/Economy/Prices/Consumer-Price-Index/Tables/Retail-prices.html (Accessed: 5 August 2026).</w:t>
      </w:r>
    </w:p>
    <w:p w14:paraId="510FCA99" w14:textId="77777777" w:rsidR="00CF6C2D" w:rsidRPr="00420761" w:rsidRDefault="00000000">
      <w:pPr>
        <w:keepLines/>
        <w:ind w:left="720" w:hanging="720"/>
        <w:jc w:val="left"/>
      </w:pPr>
      <w:r w:rsidRPr="00420761">
        <w:lastRenderedPageBreak/>
        <w:t xml:space="preserve">European Commission (2024) </w:t>
      </w:r>
      <w:r w:rsidRPr="00420761">
        <w:rPr>
          <w:i/>
          <w:iCs/>
        </w:rPr>
        <w:t>The Digital Services Act</w:t>
      </w:r>
      <w:r w:rsidRPr="00420761">
        <w:t>. Available at: https://digital-strategy.ec.europa.eu/en/policies/digital-services-act (Accessed: 5 August 2026).</w:t>
      </w:r>
    </w:p>
    <w:p w14:paraId="65DC3389" w14:textId="77777777" w:rsidR="00CF6C2D" w:rsidRPr="00420761" w:rsidRDefault="00000000">
      <w:pPr>
        <w:keepLines/>
        <w:ind w:left="720" w:hanging="720"/>
        <w:jc w:val="left"/>
      </w:pPr>
      <w:r w:rsidRPr="00420761">
        <w:t xml:space="preserve">Gibbs, G. (1988) </w:t>
      </w:r>
      <w:r w:rsidRPr="00420761">
        <w:rPr>
          <w:i/>
          <w:iCs/>
        </w:rPr>
        <w:t>Learning by Doing: A Guide to Teaching and Learning Methods</w:t>
      </w:r>
      <w:r w:rsidRPr="00420761">
        <w:t>. Oxford: Further Education Unit, Oxford Polytechnic.</w:t>
      </w:r>
    </w:p>
    <w:p w14:paraId="4BB1F472" w14:textId="77777777" w:rsidR="00CF6C2D" w:rsidRPr="00420761" w:rsidRDefault="00000000">
      <w:pPr>
        <w:keepLines/>
        <w:ind w:left="720" w:hanging="720"/>
        <w:jc w:val="left"/>
      </w:pPr>
      <w:r w:rsidRPr="00420761">
        <w:t xml:space="preserve">Gong, X. and Jiang, X. (2023) ‘Understanding consumer impulse buying in livestreaming commerce: The product involvement perspective’, </w:t>
      </w:r>
      <w:r w:rsidRPr="00420761">
        <w:rPr>
          <w:i/>
          <w:iCs/>
        </w:rPr>
        <w:t>Frontiers in Psychology</w:t>
      </w:r>
      <w:r w:rsidRPr="00420761">
        <w:t>, 14, 1104349. doi:10.3389/fpsyg.2023.1104349.</w:t>
      </w:r>
    </w:p>
    <w:p w14:paraId="04FBA5EA" w14:textId="77777777" w:rsidR="00CF6C2D" w:rsidRPr="00420761" w:rsidRDefault="00000000">
      <w:pPr>
        <w:keepLines/>
        <w:ind w:left="720" w:hanging="720"/>
        <w:jc w:val="left"/>
      </w:pPr>
      <w:r w:rsidRPr="00420761">
        <w:t xml:space="preserve">Kirkman, B. L., Lowe, K. B. and Gibson, C. B. (2006) ‘A quarter century of Culture's Consequences: A review of empirical research incorporating Hofstede's cultural values framework’, </w:t>
      </w:r>
      <w:r w:rsidRPr="00420761">
        <w:rPr>
          <w:i/>
          <w:iCs/>
        </w:rPr>
        <w:t>Journal of International Business Studies</w:t>
      </w:r>
      <w:r w:rsidRPr="00420761">
        <w:t xml:space="preserve">, 37, pp. 285-320. </w:t>
      </w:r>
      <w:proofErr w:type="gramStart"/>
      <w:r w:rsidRPr="00420761">
        <w:t>doi:10.1057/palgrave.jibs</w:t>
      </w:r>
      <w:proofErr w:type="gramEnd"/>
      <w:r w:rsidRPr="00420761">
        <w:t>.8400202.</w:t>
      </w:r>
    </w:p>
    <w:p w14:paraId="4518B615" w14:textId="77777777" w:rsidR="00CF6C2D" w:rsidRPr="00420761" w:rsidRDefault="00000000">
      <w:pPr>
        <w:keepLines/>
        <w:ind w:left="720" w:hanging="720"/>
        <w:jc w:val="left"/>
      </w:pPr>
      <w:r w:rsidRPr="00420761">
        <w:t xml:space="preserve">Locke, R. M., Qin, F. and Brause, A. (2007a) ‘Does monitoring improve labor standards? Lessons from Nike’, </w:t>
      </w:r>
      <w:r w:rsidRPr="00420761">
        <w:rPr>
          <w:i/>
          <w:iCs/>
        </w:rPr>
        <w:t>ILR Review</w:t>
      </w:r>
      <w:r w:rsidRPr="00420761">
        <w:t>, 61(1), pp. 3-31. doi:10.1177/001979390706100101.</w:t>
      </w:r>
    </w:p>
    <w:p w14:paraId="600E26AF" w14:textId="77777777" w:rsidR="00CF6C2D" w:rsidRPr="00420761" w:rsidRDefault="00000000">
      <w:pPr>
        <w:keepLines/>
        <w:ind w:left="720" w:hanging="720"/>
        <w:jc w:val="left"/>
      </w:pPr>
      <w:r w:rsidRPr="00420761">
        <w:t xml:space="preserve">Locke, R. M., Kochan, T., </w:t>
      </w:r>
      <w:proofErr w:type="spellStart"/>
      <w:r w:rsidRPr="00420761">
        <w:t>Romis</w:t>
      </w:r>
      <w:proofErr w:type="spellEnd"/>
      <w:r w:rsidRPr="00420761">
        <w:t xml:space="preserve">, M. and Qin, F. (2007b) ‘Beyond corporate codes of conduct: Work organization and </w:t>
      </w:r>
      <w:proofErr w:type="spellStart"/>
      <w:r w:rsidRPr="00420761">
        <w:t>labour</w:t>
      </w:r>
      <w:proofErr w:type="spellEnd"/>
      <w:r w:rsidRPr="00420761">
        <w:t xml:space="preserve"> standards at Nike's suppliers’, </w:t>
      </w:r>
      <w:r w:rsidRPr="00420761">
        <w:rPr>
          <w:i/>
          <w:iCs/>
        </w:rPr>
        <w:t xml:space="preserve">International </w:t>
      </w:r>
      <w:proofErr w:type="spellStart"/>
      <w:r w:rsidRPr="00420761">
        <w:rPr>
          <w:i/>
          <w:iCs/>
        </w:rPr>
        <w:t>Labour</w:t>
      </w:r>
      <w:proofErr w:type="spellEnd"/>
      <w:r w:rsidRPr="00420761">
        <w:rPr>
          <w:i/>
          <w:iCs/>
        </w:rPr>
        <w:t xml:space="preserve"> Review</w:t>
      </w:r>
      <w:r w:rsidRPr="00420761">
        <w:t>, 146, pp. 21-40. doi:10.1111/j.1564-913X.2007.</w:t>
      </w:r>
      <w:proofErr w:type="gramStart"/>
      <w:r w:rsidRPr="00420761">
        <w:t>00003.x.</w:t>
      </w:r>
      <w:proofErr w:type="gramEnd"/>
    </w:p>
    <w:p w14:paraId="19EEE65C" w14:textId="77777777" w:rsidR="00CF6C2D" w:rsidRPr="00420761" w:rsidRDefault="00000000">
      <w:pPr>
        <w:keepLines/>
        <w:ind w:left="720" w:hanging="720"/>
        <w:jc w:val="left"/>
      </w:pPr>
      <w:r w:rsidRPr="00420761">
        <w:t xml:space="preserve">McSweeney, B. (2002) ‘Hofstede's model of national cultural differences and their consequences: A triumph of faith - a failure of analysis’, </w:t>
      </w:r>
      <w:r w:rsidRPr="00420761">
        <w:rPr>
          <w:i/>
          <w:iCs/>
        </w:rPr>
        <w:t>Human Relations</w:t>
      </w:r>
      <w:r w:rsidRPr="00420761">
        <w:t>, 55(1), pp. 89-118. doi:10.1177/0018726702551004.</w:t>
      </w:r>
    </w:p>
    <w:p w14:paraId="7D0828A4" w14:textId="77777777" w:rsidR="00CF6C2D" w:rsidRPr="00420761" w:rsidRDefault="00000000">
      <w:pPr>
        <w:keepLines/>
        <w:ind w:left="720" w:hanging="720"/>
        <w:jc w:val="left"/>
      </w:pPr>
      <w:r w:rsidRPr="00420761">
        <w:t xml:space="preserve">National Bureau of Statistics of China (2026a) </w:t>
      </w:r>
      <w:r w:rsidRPr="00420761">
        <w:rPr>
          <w:i/>
          <w:iCs/>
        </w:rPr>
        <w:t>Statistical Communiqué of the People's Republic of China on the 2025 National Economic and Social Development</w:t>
      </w:r>
      <w:r w:rsidRPr="00420761">
        <w:t>. Available at: https://www.stats.gov.cn/english/PressRelease/202602/t20260228_1962661.html (Accessed: 5 August 2026).</w:t>
      </w:r>
    </w:p>
    <w:p w14:paraId="3D0C17E2" w14:textId="77777777" w:rsidR="00CF6C2D" w:rsidRPr="00420761" w:rsidRDefault="00000000">
      <w:pPr>
        <w:keepLines/>
        <w:ind w:left="720" w:hanging="720"/>
        <w:jc w:val="left"/>
      </w:pPr>
      <w:r w:rsidRPr="00420761">
        <w:lastRenderedPageBreak/>
        <w:t xml:space="preserve">National Bureau of Statistics of China (2026b) </w:t>
      </w:r>
      <w:r w:rsidRPr="00420761">
        <w:rPr>
          <w:i/>
          <w:iCs/>
        </w:rPr>
        <w:t>Total Retail Sales of Consumer Goods in December 2025</w:t>
      </w:r>
      <w:r w:rsidRPr="00420761">
        <w:t>. Available at: https://www.stats.gov.cn/english/PressRelease/202601/t20260120_1962354.html (Accessed: 5 August 2026).</w:t>
      </w:r>
    </w:p>
    <w:p w14:paraId="13FD2022" w14:textId="77777777" w:rsidR="00CF6C2D" w:rsidRPr="00420761" w:rsidRDefault="00000000">
      <w:pPr>
        <w:keepLines/>
        <w:ind w:left="720" w:hanging="720"/>
        <w:jc w:val="left"/>
      </w:pPr>
      <w:r w:rsidRPr="00420761">
        <w:t xml:space="preserve">National Bureau of Statistics of China (2026c) </w:t>
      </w:r>
      <w:r w:rsidRPr="00420761">
        <w:rPr>
          <w:i/>
          <w:iCs/>
        </w:rPr>
        <w:t>Households' Income and Consumption Expenditure in 2025</w:t>
      </w:r>
      <w:r w:rsidRPr="00420761">
        <w:t>. Available at: https://www.stats.gov.cn/english/PressRelease/202601/t20260120_1962356.html (Accessed: 5 August 2026).</w:t>
      </w:r>
    </w:p>
    <w:p w14:paraId="70C66275" w14:textId="77777777" w:rsidR="00CF6C2D" w:rsidRPr="00420761" w:rsidRDefault="00000000">
      <w:pPr>
        <w:keepLines/>
        <w:ind w:left="720" w:hanging="720"/>
        <w:jc w:val="left"/>
      </w:pPr>
      <w:r w:rsidRPr="00420761">
        <w:t xml:space="preserve">National People's Congress of the People's Republic of China (2021) </w:t>
      </w:r>
      <w:r w:rsidRPr="00420761">
        <w:rPr>
          <w:i/>
          <w:iCs/>
        </w:rPr>
        <w:t>Personal Information Protection Law of the People's Republic of China</w:t>
      </w:r>
      <w:r w:rsidRPr="00420761">
        <w:t>. Available at: https://en.npc.gov.cn.cdurl.cn/2021-12/29/c_694559.htm (Accessed: 5 August 2026).</w:t>
      </w:r>
    </w:p>
    <w:p w14:paraId="05BC25DB" w14:textId="77777777" w:rsidR="00CF6C2D" w:rsidRPr="00420761" w:rsidRDefault="00000000">
      <w:pPr>
        <w:keepLines/>
        <w:ind w:left="720" w:hanging="720"/>
        <w:jc w:val="left"/>
      </w:pPr>
      <w:r w:rsidRPr="00420761">
        <w:t xml:space="preserve">Nyilasy, G., </w:t>
      </w:r>
      <w:proofErr w:type="spellStart"/>
      <w:r w:rsidRPr="00420761">
        <w:t>Gangadharbatla</w:t>
      </w:r>
      <w:proofErr w:type="spellEnd"/>
      <w:r w:rsidRPr="00420761">
        <w:t xml:space="preserve">, H. and Paladino, A. (2014) ‘Perceived greenwashing: The interactive effects of green advertising and corporate environmental performance on consumer reactions’, </w:t>
      </w:r>
      <w:r w:rsidRPr="00420761">
        <w:rPr>
          <w:i/>
          <w:iCs/>
        </w:rPr>
        <w:t>Journal of Business Ethics</w:t>
      </w:r>
      <w:r w:rsidRPr="00420761">
        <w:t>, 125(4), pp. 693-707. doi:10.1007/s10551-013-1944-3.</w:t>
      </w:r>
    </w:p>
    <w:p w14:paraId="1E050612" w14:textId="77777777" w:rsidR="00CF6C2D" w:rsidRPr="00420761" w:rsidRDefault="00000000">
      <w:pPr>
        <w:keepLines/>
        <w:ind w:left="720" w:hanging="720"/>
        <w:jc w:val="left"/>
      </w:pPr>
      <w:r w:rsidRPr="00420761">
        <w:t xml:space="preserve">OECD (2025) </w:t>
      </w:r>
      <w:r w:rsidRPr="00420761">
        <w:rPr>
          <w:i/>
          <w:iCs/>
        </w:rPr>
        <w:t>OECD Economic Surveys: Germany 2025</w:t>
      </w:r>
      <w:r w:rsidRPr="00420761">
        <w:t>. Available at: https://www.oecd.org/en/publications/2025/06/oecd-economic-surveys-germany-2025_b395dc9b.html (Accessed: 5 August 2026).</w:t>
      </w:r>
    </w:p>
    <w:p w14:paraId="41C6AD44" w14:textId="77777777" w:rsidR="00CF6C2D" w:rsidRPr="00420761" w:rsidRDefault="00000000">
      <w:pPr>
        <w:keepLines/>
        <w:ind w:left="720" w:hanging="720"/>
        <w:jc w:val="left"/>
      </w:pPr>
      <w:r w:rsidRPr="00420761">
        <w:t xml:space="preserve">Poulis, K. (2024) ‘Standardization and adaptation as a </w:t>
      </w:r>
      <w:proofErr w:type="spellStart"/>
      <w:r w:rsidRPr="00420761">
        <w:t>coconstituted</w:t>
      </w:r>
      <w:proofErr w:type="spellEnd"/>
      <w:r w:rsidRPr="00420761">
        <w:t xml:space="preserve"> process: The pursuit of relational fit in international markets’, </w:t>
      </w:r>
      <w:r w:rsidRPr="00420761">
        <w:rPr>
          <w:i/>
          <w:iCs/>
        </w:rPr>
        <w:t>Journal of International Marketing</w:t>
      </w:r>
      <w:r w:rsidRPr="00420761">
        <w:t>, 32(2), pp. 12-32. doi:10.1177/1069031X231212414.</w:t>
      </w:r>
    </w:p>
    <w:p w14:paraId="7DF1E38A" w14:textId="77777777" w:rsidR="00CF6C2D" w:rsidRPr="00420761" w:rsidRDefault="00000000">
      <w:pPr>
        <w:keepLines/>
        <w:ind w:left="720" w:hanging="720"/>
        <w:jc w:val="left"/>
      </w:pPr>
      <w:r w:rsidRPr="00420761">
        <w:t xml:space="preserve">Szymanski, D. M., Bharadwaj, S. G. and Varadarajan, P. R. (1993) ‘Standardization versus adaptation of international marketing strategy: An empirical investigation’, </w:t>
      </w:r>
      <w:r w:rsidRPr="00420761">
        <w:rPr>
          <w:i/>
          <w:iCs/>
        </w:rPr>
        <w:t>Journal of Marketing</w:t>
      </w:r>
      <w:r w:rsidRPr="00420761">
        <w:t>, 57(4), pp. 1-17. doi:10.1177/002224299305700401.</w:t>
      </w:r>
    </w:p>
    <w:p w14:paraId="43B31D2B" w14:textId="77777777" w:rsidR="00CF6C2D" w:rsidRPr="00420761" w:rsidRDefault="00000000">
      <w:pPr>
        <w:keepLines/>
        <w:ind w:left="720" w:hanging="720"/>
        <w:jc w:val="left"/>
      </w:pPr>
      <w:r w:rsidRPr="00420761">
        <w:t xml:space="preserve">Theodosiou, M. and </w:t>
      </w:r>
      <w:proofErr w:type="spellStart"/>
      <w:r w:rsidRPr="00420761">
        <w:t>Leonidou</w:t>
      </w:r>
      <w:proofErr w:type="spellEnd"/>
      <w:r w:rsidRPr="00420761">
        <w:t xml:space="preserve">, L. C. (2003) ‘Standardization versus adaptation of international marketing strategy: An integrative assessment of the empirical research’, </w:t>
      </w:r>
      <w:r w:rsidRPr="00420761">
        <w:rPr>
          <w:i/>
          <w:iCs/>
        </w:rPr>
        <w:t>International Business Review</w:t>
      </w:r>
      <w:r w:rsidRPr="00420761">
        <w:t>, 12(2), pp. 141-171. doi:10.1016/S0969-5931(02)00094-X.</w:t>
      </w:r>
    </w:p>
    <w:p w14:paraId="4972D429" w14:textId="77777777" w:rsidR="00CF6C2D" w:rsidRPr="00420761" w:rsidRDefault="00000000">
      <w:pPr>
        <w:keepLines/>
        <w:ind w:left="720" w:hanging="720"/>
        <w:jc w:val="left"/>
      </w:pPr>
      <w:r w:rsidRPr="00420761">
        <w:lastRenderedPageBreak/>
        <w:t xml:space="preserve">Wan, C., Sousa, C. M. P., </w:t>
      </w:r>
      <w:proofErr w:type="spellStart"/>
      <w:r w:rsidRPr="00420761">
        <w:t>Lengler</w:t>
      </w:r>
      <w:proofErr w:type="spellEnd"/>
      <w:r w:rsidRPr="00420761">
        <w:t xml:space="preserve">, J. and Tan, Q. (2023) ‘Entry mode choice: A meta-analysis of antecedents and outcomes’, </w:t>
      </w:r>
      <w:r w:rsidRPr="00420761">
        <w:rPr>
          <w:i/>
          <w:iCs/>
        </w:rPr>
        <w:t>Management International Review</w:t>
      </w:r>
      <w:r w:rsidRPr="00420761">
        <w:t>, 63, pp. 193-246. doi:10.1007/s11575-022-00499-6.</w:t>
      </w:r>
    </w:p>
    <w:p w14:paraId="5542050E" w14:textId="77777777" w:rsidR="00CF6C2D" w:rsidRPr="00420761" w:rsidRDefault="00000000">
      <w:pPr>
        <w:keepLines/>
        <w:ind w:left="720" w:hanging="720"/>
        <w:jc w:val="left"/>
      </w:pPr>
      <w:r w:rsidRPr="00420761">
        <w:t xml:space="preserve">World Bank (2025) </w:t>
      </w:r>
      <w:r w:rsidRPr="00420761">
        <w:rPr>
          <w:i/>
          <w:iCs/>
        </w:rPr>
        <w:t>China Economic Update, June 2025: Addressing Uncertainty</w:t>
      </w:r>
      <w:r w:rsidRPr="00420761">
        <w:t>. Available at: https://openknowledge.worldbank.org/bitstreams/3d5a468b-3e39-4add-9a14-80dc4ecb6bf2/download (Accessed: 5 August 2026).</w:t>
      </w:r>
    </w:p>
    <w:p w14:paraId="60C8D3F5" w14:textId="77777777" w:rsidR="00CF6C2D" w:rsidRPr="00420761" w:rsidRDefault="00000000">
      <w:pPr>
        <w:keepLines/>
        <w:ind w:left="720" w:hanging="720"/>
        <w:jc w:val="left"/>
      </w:pPr>
      <w:r w:rsidRPr="00420761">
        <w:t xml:space="preserve">Ye, X., Batool, H. and Huang, S.-Z. (2023) ‘The effect of e-commerce livestreaming services on customer loyalty: A test of the chain mediation model’, </w:t>
      </w:r>
      <w:r w:rsidRPr="00420761">
        <w:rPr>
          <w:i/>
          <w:iCs/>
        </w:rPr>
        <w:t>Journal of Innovation and Entrepreneurship</w:t>
      </w:r>
      <w:r w:rsidRPr="00420761">
        <w:t>, 12, Article 41. doi:10.1186/s13731-023-00310-2.</w:t>
      </w:r>
    </w:p>
    <w:sectPr w:rsidR="00CF6C2D" w:rsidRPr="00420761">
      <w:foot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BDDD1" w14:textId="77777777" w:rsidR="0039313B" w:rsidRDefault="0039313B">
      <w:pPr>
        <w:spacing w:after="0" w:line="240" w:lineRule="auto"/>
      </w:pPr>
      <w:r>
        <w:separator/>
      </w:r>
    </w:p>
  </w:endnote>
  <w:endnote w:type="continuationSeparator" w:id="0">
    <w:p w14:paraId="38DE68B4" w14:textId="77777777" w:rsidR="0039313B" w:rsidRDefault="00393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embedRegular r:id="rId1" w:fontKey="{AF3E5130-AB70-CE46-83F5-DA14F49C4F7B}"/>
    <w:embedBold r:id="rId2" w:fontKey="{E12E37C5-2614-3849-AF79-3E03BDAFD235}"/>
    <w:embedItalic r:id="rId3" w:fontKey="{9A47B0D8-FFE4-9B44-BD30-B2481D8EE313}"/>
  </w:font>
  <w:font w:name="Calibri">
    <w:panose1 w:val="020F0502020204030204"/>
    <w:charset w:val="00"/>
    <w:family w:val="swiss"/>
    <w:pitch w:val="variable"/>
    <w:sig w:usb0="E0002AFF" w:usb1="C000247B" w:usb2="00000009" w:usb3="00000000" w:csb0="000001FF" w:csb1="00000000"/>
    <w:embedRegular r:id="rId4" w:fontKey="{C9BC549C-6ED1-D44B-BFA8-48E247262BD6}"/>
    <w:embedBold r:id="rId5" w:fontKey="{595EFFA9-DEFF-8E45-9405-B44034BFE14B}"/>
    <w:embedItalic r:id="rId6" w:fontKey="{D99D7A16-E6E9-8B4B-9CCC-250EC9385919}"/>
    <w:embedBoldItalic r:id="rId7" w:fontKey="{FEE14B0F-347C-D945-9690-AC22BCE7183A}"/>
  </w:font>
  <w:font w:name="Times New Roman">
    <w:panose1 w:val="02020603050405020304"/>
    <w:charset w:val="00"/>
    <w:family w:val="roman"/>
    <w:pitch w:val="variable"/>
    <w:sig w:usb0="E0002EFF" w:usb1="C000785B" w:usb2="00000009" w:usb3="00000000" w:csb0="000001FF" w:csb1="00000000"/>
    <w:embedRegular r:id="rId8" w:fontKey="{42E5834B-198F-8644-936C-E8C147955D99}"/>
  </w:font>
  <w:font w:name="Vrinda">
    <w:panose1 w:val="020B0604020202020204"/>
    <w:charset w:val="00"/>
    <w:family w:val="swiss"/>
    <w:pitch w:val="variable"/>
    <w:sig w:usb0="00010003" w:usb1="00000000" w:usb2="00000000" w:usb3="00000000" w:csb0="00000001" w:csb1="00000000"/>
    <w:embedRegular r:id="rId9" w:fontKey="{ECF05A02-069A-D84B-A934-43DBA11D4A25}"/>
  </w:font>
  <w:font w:name="Cambria">
    <w:panose1 w:val="02040503050406030204"/>
    <w:charset w:val="00"/>
    <w:family w:val="roman"/>
    <w:pitch w:val="variable"/>
    <w:sig w:usb0="E00002FF" w:usb1="400004FF" w:usb2="00000000" w:usb3="00000000" w:csb0="0000019F" w:csb1="00000000"/>
    <w:embedRegular r:id="rId10" w:fontKey="{ED7DAC40-DC6A-9B4F-91A5-DA31AE9668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EC931" w14:textId="77777777" w:rsidR="00CF6C2D"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595959"/>
        <w:sz w:val="20"/>
        <w:szCs w:val="20"/>
      </w:rPr>
      <w:t xml:space="preserve">Page </w:t>
    </w:r>
    <w:r>
      <w:rPr>
        <w:color w:val="595959"/>
        <w:sz w:val="20"/>
        <w:szCs w:val="20"/>
      </w:rPr>
      <w:fldChar w:fldCharType="begin"/>
    </w:r>
    <w:r>
      <w:rPr>
        <w:color w:val="595959"/>
        <w:sz w:val="20"/>
        <w:szCs w:val="20"/>
      </w:rPr>
      <w:instrText>PAGE</w:instrText>
    </w:r>
    <w:r>
      <w:rPr>
        <w:color w:val="595959"/>
        <w:sz w:val="20"/>
        <w:szCs w:val="20"/>
      </w:rPr>
      <w:fldChar w:fldCharType="separate"/>
    </w:r>
    <w:r w:rsidR="00EE18AB">
      <w:rPr>
        <w:noProof/>
        <w:color w:val="595959"/>
        <w:sz w:val="20"/>
        <w:szCs w:val="20"/>
      </w:rPr>
      <w:t>1</w:t>
    </w:r>
    <w:r>
      <w:rPr>
        <w:color w:val="595959"/>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9049C" w14:textId="77777777" w:rsidR="0039313B" w:rsidRDefault="0039313B">
      <w:pPr>
        <w:spacing w:after="0" w:line="240" w:lineRule="auto"/>
      </w:pPr>
      <w:r>
        <w:separator/>
      </w:r>
    </w:p>
  </w:footnote>
  <w:footnote w:type="continuationSeparator" w:id="0">
    <w:p w14:paraId="27C08D89" w14:textId="77777777" w:rsidR="0039313B" w:rsidRDefault="00393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2B23"/>
    <w:multiLevelType w:val="multilevel"/>
    <w:tmpl w:val="75F00A4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41488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C2D"/>
    <w:rsid w:val="00346AD1"/>
    <w:rsid w:val="0039313B"/>
    <w:rsid w:val="00400E2F"/>
    <w:rsid w:val="00420761"/>
    <w:rsid w:val="00575490"/>
    <w:rsid w:val="00576DCF"/>
    <w:rsid w:val="00794CC8"/>
    <w:rsid w:val="00A31094"/>
    <w:rsid w:val="00AA11C4"/>
    <w:rsid w:val="00AD7817"/>
    <w:rsid w:val="00CF6C2D"/>
    <w:rsid w:val="00E26759"/>
    <w:rsid w:val="00EE18AB"/>
    <w:rsid w:val="00F0477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C914"/>
  <w15:docId w15:val="{90E5A740-6FEF-4D16-9350-7D67115C8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200"/>
      <w:outlineLvl w:val="0"/>
    </w:pPr>
    <w:rPr>
      <w:rFonts w:ascii="Calibri" w:eastAsia="Calibri" w:hAnsi="Calibri" w:cs="Calibri"/>
      <w:b/>
      <w:bCs/>
      <w:sz w:val="32"/>
      <w:szCs w:val="32"/>
    </w:rPr>
  </w:style>
  <w:style w:type="paragraph" w:styleId="Heading2">
    <w:name w:val="heading 2"/>
    <w:basedOn w:val="Normal"/>
    <w:next w:val="Normal"/>
    <w:uiPriority w:val="9"/>
    <w:unhideWhenUsed/>
    <w:qFormat/>
    <w:pPr>
      <w:keepNext/>
      <w:keepLines/>
      <w:spacing w:before="280"/>
      <w:outlineLvl w:val="1"/>
    </w:pPr>
    <w:rPr>
      <w:rFonts w:ascii="Calibri" w:eastAsia="Calibri" w:hAnsi="Calibri" w:cs="Calibri"/>
      <w:b/>
      <w:bCs/>
      <w:sz w:val="28"/>
      <w:szCs w:val="28"/>
    </w:rPr>
  </w:style>
  <w:style w:type="paragraph" w:styleId="Heading3">
    <w:name w:val="heading 3"/>
    <w:basedOn w:val="Normal"/>
    <w:next w:val="Normal"/>
    <w:uiPriority w:val="9"/>
    <w:unhideWhenUsed/>
    <w:qFormat/>
    <w:pPr>
      <w:keepNext/>
      <w:keepLines/>
      <w:spacing w:before="240" w:after="120"/>
      <w:outlineLvl w:val="2"/>
    </w:pPr>
    <w:rPr>
      <w:rFonts w:ascii="Calibri" w:eastAsia="Calibri" w:hAnsi="Calibri" w:cs="Calibri"/>
      <w:b/>
      <w:bCs/>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647098">
      <w:bodyDiv w:val="1"/>
      <w:marLeft w:val="0"/>
      <w:marRight w:val="0"/>
      <w:marTop w:val="0"/>
      <w:marBottom w:val="0"/>
      <w:divBdr>
        <w:top w:val="none" w:sz="0" w:space="0" w:color="auto"/>
        <w:left w:val="none" w:sz="0" w:space="0" w:color="auto"/>
        <w:bottom w:val="none" w:sz="0" w:space="0" w:color="auto"/>
        <w:right w:val="none" w:sz="0" w:space="0" w:color="auto"/>
      </w:divBdr>
      <w:divsChild>
        <w:div w:id="1536892071">
          <w:marLeft w:val="0"/>
          <w:marRight w:val="0"/>
          <w:marTop w:val="0"/>
          <w:marBottom w:val="0"/>
          <w:divBdr>
            <w:top w:val="none" w:sz="0" w:space="0" w:color="auto"/>
            <w:left w:val="none" w:sz="0" w:space="0" w:color="auto"/>
            <w:bottom w:val="none" w:sz="0" w:space="0" w:color="auto"/>
            <w:right w:val="none" w:sz="0" w:space="0" w:color="auto"/>
          </w:divBdr>
          <w:divsChild>
            <w:div w:id="1728723144">
              <w:marLeft w:val="0"/>
              <w:marRight w:val="0"/>
              <w:marTop w:val="0"/>
              <w:marBottom w:val="0"/>
              <w:divBdr>
                <w:top w:val="none" w:sz="0" w:space="0" w:color="auto"/>
                <w:left w:val="none" w:sz="0" w:space="0" w:color="auto"/>
                <w:bottom w:val="none" w:sz="0" w:space="0" w:color="auto"/>
                <w:right w:val="none" w:sz="0" w:space="0" w:color="auto"/>
              </w:divBdr>
              <w:divsChild>
                <w:div w:id="2032797028">
                  <w:marLeft w:val="0"/>
                  <w:marRight w:val="0"/>
                  <w:marTop w:val="0"/>
                  <w:marBottom w:val="0"/>
                  <w:divBdr>
                    <w:top w:val="none" w:sz="0" w:space="0" w:color="auto"/>
                    <w:left w:val="none" w:sz="0" w:space="0" w:color="auto"/>
                    <w:bottom w:val="none" w:sz="0" w:space="0" w:color="auto"/>
                    <w:right w:val="none" w:sz="0" w:space="0" w:color="auto"/>
                  </w:divBdr>
                  <w:divsChild>
                    <w:div w:id="166081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6881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20</Pages>
  <Words>6429</Words>
  <Characters>40075</Characters>
  <Application>Microsoft Office Word</Application>
  <DocSecurity>0</DocSecurity>
  <Lines>695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Microsoft Office User</cp:lastModifiedBy>
  <cp:revision>7</cp:revision>
  <dcterms:created xsi:type="dcterms:W3CDTF">2026-08-11T09:45:00Z</dcterms:created>
  <dcterms:modified xsi:type="dcterms:W3CDTF">2026-08-11T17:26:00Z</dcterms:modified>
</cp:coreProperties>
</file>