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7BE2E" w14:textId="55F95CC7" w:rsidR="00351C23" w:rsidRDefault="00351C23" w:rsidP="00351C23">
      <w:pPr>
        <w:jc w:val="both"/>
      </w:pPr>
      <w:r w:rsidRPr="007F4526">
        <w:t>International Business Communication is the addition of two main things: communication and international business. Communication is interacting with s</w:t>
      </w:r>
      <w:r>
        <w:t>omeone else through speech, look or gesture. International Business</w:t>
      </w:r>
      <w:r w:rsidRPr="007F4526">
        <w:t xml:space="preserve"> represents negotiations, transactions around the world, regardless of national borders.</w:t>
      </w:r>
      <w:r>
        <w:t xml:space="preserve"> </w:t>
      </w:r>
      <w:r w:rsidRPr="007F4526">
        <w:t>The addition of both gives us International Business Communication. Communication makes it possible to simply interact with another person for any subject or purpose, and in different ways: speech, listening, f</w:t>
      </w:r>
      <w:r>
        <w:t>eelings, looks</w:t>
      </w:r>
      <w:r w:rsidRPr="007F4526">
        <w:t>.</w:t>
      </w:r>
      <w:r>
        <w:t xml:space="preserve"> </w:t>
      </w:r>
      <w:r w:rsidRPr="007F4526">
        <w:t>When we go abroad to communicate, it becomes totally different because each country and region of the world does not have the same way of interacting with each other, the same culture. Culture is divided into three points: beliefs, values and customs.</w:t>
      </w:r>
      <w:r>
        <w:t xml:space="preserve"> </w:t>
      </w:r>
      <w:r w:rsidRPr="007F4526">
        <w:t>International Business Communication therefore depends on these three points. To communicate, we must interact and build relationships, which can seem very complex given the cultural differences around the world.</w:t>
      </w:r>
      <w:r>
        <w:t xml:space="preserve"> </w:t>
      </w:r>
      <w:r w:rsidRPr="007F4526">
        <w:t>But the concept of relationship building is probably the most important in International Business Communication because it is that which will allow the progress of the negotiations and to make contact with the person with whom one communicates.</w:t>
      </w:r>
      <w:r>
        <w:t xml:space="preserve"> </w:t>
      </w:r>
      <w:r w:rsidRPr="007F4526">
        <w:t>We will, through theories and foundations show the different skills needed for international business communication and show how relationships buildings are the main skills to have.</w:t>
      </w:r>
    </w:p>
    <w:p w14:paraId="12D79DF7" w14:textId="77777777" w:rsidR="00203B4E" w:rsidRDefault="00203B4E"/>
    <w:p w14:paraId="74D3C97F" w14:textId="77777777" w:rsidR="00351C23" w:rsidRDefault="00351C23"/>
    <w:p w14:paraId="7BE5F2E3" w14:textId="77777777" w:rsidR="00351C23" w:rsidRDefault="00351C23" w:rsidP="00351C23">
      <w:pPr>
        <w:jc w:val="both"/>
      </w:pPr>
      <w:r w:rsidRPr="00351C23">
        <w:t>International Business Communication therefore corresponds to the international expansion of traditional communication for business and negotiations. However, there is a great deal of disagreement about the means of negotiation according to where one is in the world. It was therefore necessary to measure these differences and theories emerged, three of which were</w:t>
      </w:r>
      <w:r>
        <w:t xml:space="preserve"> </w:t>
      </w:r>
      <w:r w:rsidRPr="00351C23">
        <w:t>:</w:t>
      </w:r>
    </w:p>
    <w:p w14:paraId="3FA3E214" w14:textId="77777777" w:rsidR="00351C23" w:rsidRDefault="00351C23" w:rsidP="00351C23">
      <w:pPr>
        <w:jc w:val="both"/>
      </w:pPr>
    </w:p>
    <w:p w14:paraId="0D24FD99" w14:textId="4872F6BA" w:rsidR="00351C23" w:rsidRDefault="00351C23" w:rsidP="00351C23">
      <w:pPr>
        <w:pStyle w:val="Paragraphedeliste"/>
        <w:numPr>
          <w:ilvl w:val="0"/>
          <w:numId w:val="1"/>
        </w:numPr>
        <w:jc w:val="both"/>
      </w:pPr>
      <w:r>
        <w:t xml:space="preserve">High and low context communication : </w:t>
      </w:r>
      <w:r w:rsidR="00D930AD" w:rsidRPr="00D930AD">
        <w:t>It is a notion, used for the fi</w:t>
      </w:r>
      <w:r w:rsidR="00D930AD">
        <w:t>rst time by E</w:t>
      </w:r>
      <w:r w:rsidR="006918C8">
        <w:t>dward T</w:t>
      </w:r>
      <w:r w:rsidR="00D930AD">
        <w:t>. Hall in 1976 (cf.</w:t>
      </w:r>
      <w:r w:rsidR="00D930AD" w:rsidRPr="00D930AD">
        <w:t xml:space="preserve"> Beyond Culture) which defines two types of interpretation of a message, one implicit and the other explicit. In a High Level context, the message will be implicit, i.e. the way of speaking will be more important than the message itself. While in a low level context, the message is explicit, clear. These two categories of context communication could be defined by observing different ways of communicating in countries. Some have more than just verbal communication and straight postures corre</w:t>
      </w:r>
      <w:r w:rsidR="00D930AD">
        <w:t>sponding to a low level context</w:t>
      </w:r>
      <w:r w:rsidR="00D930AD" w:rsidRPr="00D930AD">
        <w:t>... while others will have a little less verbal communication, with more body language and contacts that corresp</w:t>
      </w:r>
      <w:r w:rsidR="00D7766D">
        <w:t>ond to a high level context (cf.</w:t>
      </w:r>
      <w:r w:rsidR="00D930AD" w:rsidRPr="00D930AD">
        <w:t xml:space="preserve"> Elizabeth Würtz, 2005).</w:t>
      </w:r>
    </w:p>
    <w:p w14:paraId="5F219260" w14:textId="77777777" w:rsidR="00351C23" w:rsidRDefault="00351C23" w:rsidP="00351C23">
      <w:pPr>
        <w:pStyle w:val="Paragraphedeliste"/>
        <w:jc w:val="both"/>
      </w:pPr>
    </w:p>
    <w:p w14:paraId="25F944C5" w14:textId="3420ADD8" w:rsidR="00351C23" w:rsidRDefault="00351C23" w:rsidP="00351C23">
      <w:pPr>
        <w:pStyle w:val="Paragraphedeliste"/>
        <w:numPr>
          <w:ilvl w:val="0"/>
          <w:numId w:val="1"/>
        </w:numPr>
        <w:jc w:val="both"/>
      </w:pPr>
      <w:r w:rsidRPr="00351C23">
        <w:t>Hofsted</w:t>
      </w:r>
      <w:r w:rsidR="007927CD">
        <w:t>e</w:t>
      </w:r>
      <w:r w:rsidRPr="00351C23">
        <w:t>'s theory</w:t>
      </w:r>
      <w:r w:rsidR="00CE1DF3">
        <w:t xml:space="preserve"> </w:t>
      </w:r>
      <w:r w:rsidRPr="00351C23">
        <w:t xml:space="preserve">: </w:t>
      </w:r>
      <w:r w:rsidR="00D930AD" w:rsidRPr="00D930AD">
        <w:t>Based on a research conducted in the 70s by Geert Hofstede originally on IBM and its employees on 4 cultural dimensions. Today it corresponds to the comparison of the countries of the world according to 6 cultural dimensions for the communication: Power distance, Individualism, Masculinity, Uncertainty avoidance, Long term orientation, Indulgence. This tool makes it possible to determine the cultural differences from one country to another. Kluckhohn in his 1952 text says that there should be only one category of cultures. Except for the majority of researchers at the end of the 20th century, including Hofstede, say that there are many differen</w:t>
      </w:r>
      <w:r w:rsidR="00D930AD">
        <w:t>t cultures around the world (cf.</w:t>
      </w:r>
      <w:r w:rsidR="00D930AD" w:rsidRPr="00D930AD">
        <w:t xml:space="preserve"> Hofstede 2001 and 2009).</w:t>
      </w:r>
    </w:p>
    <w:p w14:paraId="66CFEF83" w14:textId="77777777" w:rsidR="00351C23" w:rsidRDefault="00351C23" w:rsidP="00351C23">
      <w:pPr>
        <w:jc w:val="both"/>
      </w:pPr>
    </w:p>
    <w:p w14:paraId="52246C66" w14:textId="7D702352" w:rsidR="00351C23" w:rsidRDefault="00351C23" w:rsidP="00351C23">
      <w:pPr>
        <w:pStyle w:val="Paragraphedeliste"/>
        <w:numPr>
          <w:ilvl w:val="0"/>
          <w:numId w:val="1"/>
        </w:numPr>
        <w:jc w:val="both"/>
      </w:pPr>
      <w:r w:rsidRPr="00351C23">
        <w:lastRenderedPageBreak/>
        <w:t>Trompenaar's Cultural Dimensions of Culture</w:t>
      </w:r>
      <w:r w:rsidR="00D930AD">
        <w:t xml:space="preserve"> </w:t>
      </w:r>
      <w:r w:rsidRPr="00351C23">
        <w:t xml:space="preserve">: </w:t>
      </w:r>
      <w:r w:rsidR="00D930AD" w:rsidRPr="00D930AD">
        <w:t>Corresponds to a culture analysis that includes 7 different dimensions in order to compare and the differences between different societies around the world. The cultural criteria are: Universalism / Particularism - Individualism-Collectivism - Neutral / Emotional - Specific / Diffuse - Achievement / Ascription - Temporal orientation - Environment. "Culture is simply understood as the way a group of people solves proble</w:t>
      </w:r>
      <w:r w:rsidR="00D930AD">
        <w:t>ms and reconciles dilemmas" (cf.</w:t>
      </w:r>
      <w:r w:rsidR="00D930AD" w:rsidRPr="00D930AD">
        <w:t xml:space="preserve"> Trompenaars and Hampden-Turner, 1997, p.6). The tool put in place by Trompenaars solves cultural problems in big multinational companies. And still according to Trompenaars, these cultural differences are not to be taken lightly because how to deal with these differences can determine the success or otherwise of a multinational company.</w:t>
      </w:r>
    </w:p>
    <w:p w14:paraId="5A5F6FE7" w14:textId="77777777" w:rsidR="00351C23" w:rsidRDefault="00351C23" w:rsidP="00351C23">
      <w:pPr>
        <w:jc w:val="both"/>
      </w:pPr>
    </w:p>
    <w:p w14:paraId="1A54CB82" w14:textId="77777777" w:rsidR="00351C23" w:rsidRDefault="00351C23" w:rsidP="00351C23">
      <w:pPr>
        <w:jc w:val="both"/>
      </w:pPr>
    </w:p>
    <w:p w14:paraId="5735D077" w14:textId="16323802" w:rsidR="00D25A3B" w:rsidRDefault="0040392B" w:rsidP="008F5CC1">
      <w:pPr>
        <w:pStyle w:val="Paragraphedeliste"/>
        <w:ind w:left="0"/>
        <w:jc w:val="both"/>
      </w:pPr>
      <w:r w:rsidRPr="0040392B">
        <w:t xml:space="preserve">These different theories make it possible to understand the cultural differences in each country of the world and thus the </w:t>
      </w:r>
      <w:r>
        <w:t>differences in</w:t>
      </w:r>
      <w:r w:rsidRPr="0040392B">
        <w:t xml:space="preserve"> terms of business communication. International Business Communication is a very complex notion, and business communication must be built, maintained in the function of the beliefs, values and customs of the country in which one finds oneself. That is why </w:t>
      </w:r>
      <w:r>
        <w:t>relationships building  is the main skills</w:t>
      </w:r>
      <w:r w:rsidRPr="0040392B">
        <w:t xml:space="preserve"> for successful International Business Communication.</w:t>
      </w:r>
      <w:r w:rsidR="00DB60BF">
        <w:t xml:space="preserve"> </w:t>
      </w:r>
      <w:r w:rsidR="00DB60BF" w:rsidRPr="00DB60BF">
        <w:t>The concept of relationship building is explained by a voluntary connection between two or more people, and in our case to do business. As the world is globalized today, we are forced to build relationships internationally, taking into account the cultural differences that exist between all.</w:t>
      </w:r>
      <w:r w:rsidR="00FC2124">
        <w:t xml:space="preserve"> Referring to the </w:t>
      </w:r>
      <w:r w:rsidR="00FC2124" w:rsidRPr="00FC2124">
        <w:t>Cornelius Grove</w:t>
      </w:r>
      <w:r w:rsidR="00FC2124">
        <w:t>’s article (</w:t>
      </w:r>
      <w:r w:rsidR="00FC2124" w:rsidRPr="00FC2124">
        <w:t>2001</w:t>
      </w:r>
      <w:r w:rsidR="00FC2124">
        <w:t>)</w:t>
      </w:r>
      <w:r w:rsidR="00FC2124" w:rsidRPr="00FC2124">
        <w:t xml:space="preserve">, when going abroad on business communication, you have to be aware of 3 things of business relationship according to him, necessary for relationship building: Social capital, Emotional competence </w:t>
      </w:r>
      <w:r w:rsidR="00FC2124">
        <w:t>and Intercultural communication</w:t>
      </w:r>
      <w:r w:rsidR="00FC2124" w:rsidRPr="00FC2124">
        <w:t>.</w:t>
      </w:r>
      <w:r w:rsidR="00FC2124">
        <w:t xml:space="preserve"> </w:t>
      </w:r>
      <w:r w:rsidR="00FC2124" w:rsidRPr="00FC2124">
        <w:t>Here social capital defines the cultural and economic aspect of an enterprise whose characteristics are trust, networks and ease of cooperation. The concept of Emotional competence refers to another author, Daniel Goleman and Emotional Intelligence.</w:t>
      </w:r>
      <w:r w:rsidR="00FC2124">
        <w:t xml:space="preserve"> </w:t>
      </w:r>
      <w:r w:rsidR="00FC2124" w:rsidRPr="00FC2124">
        <w:t>It is about controlling our own emotions while dealing with the emotions of others (Daniel Goleman, Emotional Intelligence, 1995). According to the author, Emotional Intelligence is a very important concept but especially in the highest spheres of any organization, and that this competence is more important than the technical skills (animation, repair ...).</w:t>
      </w:r>
      <w:r w:rsidR="00FC2124">
        <w:t xml:space="preserve"> </w:t>
      </w:r>
      <w:r w:rsidR="00FC2124" w:rsidRPr="00165F08">
        <w:t>And finally Intercultural Communication which is simply the study of communication across different cultures and social groups.</w:t>
      </w:r>
      <w:r w:rsidR="00FC2124">
        <w:t xml:space="preserve"> </w:t>
      </w:r>
      <w:r w:rsidR="00FC2124" w:rsidRPr="00FC2124">
        <w:t>The author adds in the text that this notion</w:t>
      </w:r>
      <w:r w:rsidR="00FC2124">
        <w:t>, born in the 1950s with authors</w:t>
      </w:r>
      <w:r w:rsidR="00D7766D">
        <w:t xml:space="preserve"> such as Edward T. Hall (cf.</w:t>
      </w:r>
      <w:r w:rsidR="00FC2124" w:rsidRPr="00FC2124">
        <w:t xml:space="preserve"> The silent language, 1959), stems from two things: a fairly large public domain linked to the hate and violence of WWII, and a more centered professional field bound to the interest of group behavioral differences.</w:t>
      </w:r>
      <w:r w:rsidR="009A0C64">
        <w:t xml:space="preserve"> </w:t>
      </w:r>
      <w:r w:rsidR="009A0C64" w:rsidRPr="009A0C64">
        <w:t xml:space="preserve">And so for Cornelius Grove, to have successful international business communication </w:t>
      </w:r>
      <w:r w:rsidR="009A0C64">
        <w:t>you have to be at the "</w:t>
      </w:r>
      <w:r w:rsidR="009A0C64" w:rsidRPr="009A0C64">
        <w:t>intersection" of these three notions, which are very important to positively maintain business communication.</w:t>
      </w:r>
      <w:r w:rsidR="009A0C64">
        <w:t xml:space="preserve"> </w:t>
      </w:r>
      <w:r w:rsidR="00D177C4" w:rsidRPr="00D177C4">
        <w:t>But relationship building goes by things that are also simpler, like honesty and transparency. Do not hide anything from the person you are doing business with.</w:t>
      </w:r>
      <w:r w:rsidR="00D177C4">
        <w:t xml:space="preserve"> </w:t>
      </w:r>
      <w:r w:rsidR="00D177C4" w:rsidRPr="00D177C4">
        <w:t>We must also be careful to target the expectations of international customers or people with whom we have worked, and learn to listen and understand them.</w:t>
      </w:r>
      <w:r w:rsidR="00D177C4">
        <w:t xml:space="preserve"> </w:t>
      </w:r>
      <w:r w:rsidR="00D177C4" w:rsidRPr="00D177C4">
        <w:t>Sharing the knowledge that we have also allows us to build a good relationship over the long term, and thanks to that will come a confidence from the business partner to see long-term relationships.</w:t>
      </w:r>
      <w:r w:rsidR="00D177C4">
        <w:t xml:space="preserve"> </w:t>
      </w:r>
      <w:r w:rsidR="00DD1B60" w:rsidRPr="00DD1B60">
        <w:t>By putting these things in place, this makes it possible to build strong business relationships over the long term. But a part that is not to be neglected in international business relations</w:t>
      </w:r>
      <w:r w:rsidR="00DD1B60">
        <w:t>hips</w:t>
      </w:r>
      <w:r w:rsidR="00DD1B60" w:rsidRPr="00DD1B60">
        <w:t xml:space="preserve"> is the maintenance of these relationships.</w:t>
      </w:r>
      <w:r w:rsidR="007A688B">
        <w:t xml:space="preserve"> </w:t>
      </w:r>
      <w:r w:rsidR="001A3F94" w:rsidRPr="001A3F94">
        <w:t>One of the most used ways to maintai</w:t>
      </w:r>
      <w:r w:rsidR="001A3F94">
        <w:t>n good business relations is</w:t>
      </w:r>
      <w:r w:rsidR="001A3F94" w:rsidRPr="001A3F94">
        <w:t xml:space="preserve"> gift giving. One can even speak of a key element in relationship building because it allows to build and maintain good relations in business and to show respect and affection towards the business partner.</w:t>
      </w:r>
      <w:r w:rsidR="001A3F94">
        <w:t xml:space="preserve"> </w:t>
      </w:r>
      <w:r w:rsidR="001A3F94" w:rsidRPr="001A3F94">
        <w:t xml:space="preserve">However, we must pay attention to the gift we make, we must not offend the person, we need a gift easy to carry, which have a relationship with the culture </w:t>
      </w:r>
      <w:r w:rsidR="001A3F94">
        <w:t>of one of the business partners</w:t>
      </w:r>
      <w:r w:rsidR="001A3F94" w:rsidRPr="001A3F94">
        <w:t>... All these little things are very important for the good offered, received with gratitude.</w:t>
      </w:r>
      <w:r w:rsidR="001A3F94">
        <w:t xml:space="preserve"> </w:t>
      </w:r>
    </w:p>
    <w:p w14:paraId="3CF4BC85" w14:textId="77777777" w:rsidR="00272536" w:rsidRDefault="00272536" w:rsidP="008F5CC1">
      <w:pPr>
        <w:pStyle w:val="Paragraphedeliste"/>
        <w:ind w:left="0"/>
        <w:jc w:val="both"/>
      </w:pPr>
      <w:bookmarkStart w:id="0" w:name="_GoBack"/>
      <w:bookmarkEnd w:id="0"/>
    </w:p>
    <w:p w14:paraId="13F11C40" w14:textId="77777777" w:rsidR="00272536" w:rsidRDefault="00272536" w:rsidP="008F5CC1">
      <w:pPr>
        <w:pStyle w:val="Paragraphedeliste"/>
        <w:ind w:left="0"/>
        <w:jc w:val="both"/>
      </w:pPr>
    </w:p>
    <w:p w14:paraId="23D5863D" w14:textId="44AD3802" w:rsidR="00272536" w:rsidRDefault="00272536" w:rsidP="008F5CC1">
      <w:pPr>
        <w:pStyle w:val="Paragraphedeliste"/>
        <w:ind w:left="0"/>
        <w:jc w:val="both"/>
      </w:pPr>
      <w:r>
        <w:t>Fig. : Gift Giving process</w:t>
      </w:r>
    </w:p>
    <w:p w14:paraId="686996EA" w14:textId="65494F5F" w:rsidR="00D25A3B" w:rsidRDefault="00D25A3B" w:rsidP="008F5CC1">
      <w:pPr>
        <w:pStyle w:val="Paragraphedeliste"/>
        <w:ind w:left="0"/>
        <w:jc w:val="both"/>
      </w:pPr>
    </w:p>
    <w:p w14:paraId="35CF7A3B" w14:textId="3621D968" w:rsidR="00D25A3B" w:rsidRDefault="00D25A3B" w:rsidP="008F5CC1">
      <w:pPr>
        <w:pStyle w:val="Paragraphedeliste"/>
        <w:ind w:left="0"/>
        <w:jc w:val="both"/>
      </w:pPr>
      <w:r>
        <w:rPr>
          <w:noProof/>
        </w:rPr>
        <mc:AlternateContent>
          <mc:Choice Requires="wps">
            <w:drawing>
              <wp:anchor distT="0" distB="0" distL="114300" distR="114300" simplePos="0" relativeHeight="251661312" behindDoc="0" locked="0" layoutInCell="1" allowOverlap="1" wp14:anchorId="6B4DA049" wp14:editId="5517D8FE">
                <wp:simplePos x="0" y="0"/>
                <wp:positionH relativeFrom="column">
                  <wp:posOffset>4457700</wp:posOffset>
                </wp:positionH>
                <wp:positionV relativeFrom="paragraph">
                  <wp:posOffset>170815</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3" name="Rectangle 3"/>
                <wp:cNvGraphicFramePr/>
                <a:graphic xmlns:a="http://schemas.openxmlformats.org/drawingml/2006/main">
                  <a:graphicData uri="http://schemas.microsoft.com/office/word/2010/wordprocessingShape">
                    <wps:wsp>
                      <wps:cNvSpPr/>
                      <wps:spPr>
                        <a:xfrm>
                          <a:off x="0" y="0"/>
                          <a:ext cx="2057400" cy="1371600"/>
                        </a:xfrm>
                        <a:prstGeom prst="rect">
                          <a:avLst/>
                        </a:prstGeom>
                        <a:solidFill>
                          <a:schemeClr val="tx2">
                            <a:lumMod val="75000"/>
                          </a:schemeClr>
                        </a:solidFill>
                      </wps:spPr>
                      <wps:style>
                        <a:lnRef idx="1">
                          <a:schemeClr val="accent1"/>
                        </a:lnRef>
                        <a:fillRef idx="3">
                          <a:schemeClr val="accent1"/>
                        </a:fillRef>
                        <a:effectRef idx="2">
                          <a:schemeClr val="accent1"/>
                        </a:effectRef>
                        <a:fontRef idx="minor">
                          <a:schemeClr val="lt1"/>
                        </a:fontRef>
                      </wps:style>
                      <wps:txbx>
                        <w:txbxContent>
                          <w:p w14:paraId="32310956" w14:textId="3C911A41" w:rsidR="00D55B91" w:rsidRPr="00A307D8" w:rsidRDefault="00D55B91" w:rsidP="00D25A3B">
                            <w:pPr>
                              <w:jc w:val="center"/>
                              <w:rPr>
                                <w:color w:val="8DB3E2" w:themeColor="text2" w:themeTint="66"/>
                                <w:sz w:val="28"/>
                                <w:szCs w:val="28"/>
                              </w:rPr>
                            </w:pPr>
                            <w:r w:rsidRPr="00A307D8">
                              <w:rPr>
                                <w:color w:val="8DB3E2" w:themeColor="text2" w:themeTint="66"/>
                                <w:sz w:val="28"/>
                                <w:szCs w:val="28"/>
                              </w:rPr>
                              <w:t>Reformulation stage</w:t>
                            </w:r>
                          </w:p>
                          <w:p w14:paraId="189F912D" w14:textId="5F2D4C36" w:rsidR="00D55B91" w:rsidRDefault="00D55B91" w:rsidP="00D25A3B">
                            <w:pPr>
                              <w:jc w:val="center"/>
                            </w:pPr>
                            <w:r>
                              <w:t>Relationship bounding</w:t>
                            </w:r>
                          </w:p>
                          <w:p w14:paraId="25A8FE37" w14:textId="67D1915A" w:rsidR="00D55B91" w:rsidRDefault="00D55B91" w:rsidP="00D25A3B">
                            <w:pPr>
                              <w:jc w:val="center"/>
                            </w:pPr>
                            <w:r>
                              <w:t>Reciprocation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351pt;margin-top:13.45pt;width:162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fJAIcCAAB5BQAADgAAAGRycy9lMm9Eb2MueG1srFTda9swEH8f7H8Qel9tJ2nThTglpHQMura0&#10;HX1WZCkxSDpNUmJnf/1OsuOGrmww9mLf6b5/9zG/arUie+F8DaakxVlOiTAcqtpsSvr9+ebTJSU+&#10;MFMxBUaU9CA8vVp8/DBv7EyMYAuqEo6gE+NnjS3pNgQ7yzLPt0IzfwZWGBRKcJoFZN0mqxxr0LtW&#10;2SjPL7IGXGUdcOE9vl53QrpI/qUUPNxL6UUgqqSYW0hfl77r+M0WczbbOGa3Ne/TYP+QhWa1waCD&#10;q2sWGNm5+jdXuuYOPMhwxkFnIGXNRaoBqynyN9U8bZkVqRYEx9sBJv//3PK7/YMjdVXSMSWGaWzR&#10;I4LGzEYJMo7wNNbPUOvJPrie80jGWlvpdPxjFaRNkB4GSEUbCMfHUX4+neSIPEdZMZ4WF8ign+zV&#10;3DofvgjQJBIldRg+Qcn2tz50qkeVGM2DqqubWqnExDkRK+XInmGHQztKpmqnv0HVvU3P8yFkGquo&#10;nhI48ZTFKru6EhUOSkT/yjwKifBgJUXyPHjonDPOhQlFX1HSjmYS0xsMx3837PWjqUhDOxh39fwx&#10;6mCRIoMJg7GuDbj3oqshZdnpIx4ndUcytOu27/caqgMOiYNue7zlNzW26pb58MAcrgu2F09AuMeP&#10;VNCUFHqKki24n++9R32cYpRS0uD6ldT/2DEnKFFfDc7352IyifuamMn5dISMO5WsTyVmp1eA/S/w&#10;2FieyKgf1JGUDvQLXopljIoiZjjGLikP7sisQncW8NZwsVwmNdxRy8KtebL8OABxFJ/bF+ZsP68B&#10;R/0OjqvKZm/GttONrTGw3AWQdZrpCHGHaw897ncayv4WxQNyyiet14u5+AUAAP//AwBQSwMEFAAG&#10;AAgAAAAhADjSzkPfAAAACwEAAA8AAABkcnMvZG93bnJldi54bWxMj81OwzAQhO9IvIO1SNyoXYNC&#10;msapENATSIiARI/bxPkR8TqK3Ta8PdsTHHd2NPNNvpndII52Cr0nA8uFAmGp8nVPrYHPj+1NCiJE&#10;pBoHT9bAjw2wKS4vcsxqf6J3eyxjKziEQoYGuhjHTMpQddZhWPjREv8aPzmMfE6trCc8cbgbpFYq&#10;kQ574oYOR/vY2eq7PDgDc9kQfu2Wb9s0fU5enprX9FYFY66v5oc1iGjn+GeGMz6jQ8FMe3+gOojB&#10;wL3SvCUa0MkKxNmgdMLKnpU7vQJZ5PL/huIXAAD//wMAUEsBAi0AFAAGAAgAAAAhAOSZw8D7AAAA&#10;4QEAABMAAAAAAAAAAAAAAAAAAAAAAFtDb250ZW50X1R5cGVzXS54bWxQSwECLQAUAAYACAAAACEA&#10;I7Jq4dcAAACUAQAACwAAAAAAAAAAAAAAAAAsAQAAX3JlbHMvLnJlbHNQSwECLQAUAAYACAAAACEA&#10;rRfJAIcCAAB5BQAADgAAAAAAAAAAAAAAAAAsAgAAZHJzL2Uyb0RvYy54bWxQSwECLQAUAAYACAAA&#10;ACEAONLOQ98AAAALAQAADwAAAAAAAAAAAAAAAADfBAAAZHJzL2Rvd25yZXYueG1sUEsFBgAAAAAE&#10;AAQA8wAAAOsFAAAAAA==&#10;" fillcolor="#17365d [2415]" strokecolor="#4579b8 [3044]">
                <v:shadow on="t" opacity="22937f" mv:blur="40000f" origin=",.5" offset="0,23000emu"/>
                <v:textbox>
                  <w:txbxContent>
                    <w:p w14:paraId="32310956" w14:textId="3C911A41" w:rsidR="00D55B91" w:rsidRPr="00A307D8" w:rsidRDefault="00D55B91" w:rsidP="00D25A3B">
                      <w:pPr>
                        <w:jc w:val="center"/>
                        <w:rPr>
                          <w:color w:val="8DB3E2" w:themeColor="text2" w:themeTint="66"/>
                          <w:sz w:val="28"/>
                          <w:szCs w:val="28"/>
                        </w:rPr>
                      </w:pPr>
                      <w:r w:rsidRPr="00A307D8">
                        <w:rPr>
                          <w:color w:val="8DB3E2" w:themeColor="text2" w:themeTint="66"/>
                          <w:sz w:val="28"/>
                          <w:szCs w:val="28"/>
                        </w:rPr>
                        <w:t>Reformulation stage</w:t>
                      </w:r>
                    </w:p>
                    <w:p w14:paraId="189F912D" w14:textId="5F2D4C36" w:rsidR="00D55B91" w:rsidRDefault="00D55B91" w:rsidP="00D25A3B">
                      <w:pPr>
                        <w:jc w:val="center"/>
                      </w:pPr>
                      <w:r>
                        <w:t>Relationship bounding</w:t>
                      </w:r>
                    </w:p>
                    <w:p w14:paraId="25A8FE37" w14:textId="67D1915A" w:rsidR="00D55B91" w:rsidRDefault="00D55B91" w:rsidP="00D25A3B">
                      <w:pPr>
                        <w:jc w:val="center"/>
                      </w:pPr>
                      <w:r>
                        <w:t>Reciprocation</w:t>
                      </w:r>
                    </w:p>
                  </w:txbxContent>
                </v:textbox>
                <w10:wrap type="through"/>
              </v:rect>
            </w:pict>
          </mc:Fallback>
        </mc:AlternateContent>
      </w:r>
    </w:p>
    <w:p w14:paraId="7391007F" w14:textId="6A0CCC19" w:rsidR="00D25A3B" w:rsidRDefault="00272536" w:rsidP="008F5CC1">
      <w:pPr>
        <w:pStyle w:val="Paragraphedeliste"/>
        <w:ind w:left="0"/>
        <w:jc w:val="both"/>
      </w:pPr>
      <w:r>
        <w:rPr>
          <w:noProof/>
        </w:rPr>
        <mc:AlternateContent>
          <mc:Choice Requires="wps">
            <w:drawing>
              <wp:anchor distT="0" distB="0" distL="114300" distR="114300" simplePos="0" relativeHeight="251660288" behindDoc="0" locked="0" layoutInCell="1" allowOverlap="1" wp14:anchorId="12EA12E1" wp14:editId="092F52C4">
                <wp:simplePos x="0" y="0"/>
                <wp:positionH relativeFrom="column">
                  <wp:posOffset>1828800</wp:posOffset>
                </wp:positionH>
                <wp:positionV relativeFrom="paragraph">
                  <wp:posOffset>-7620</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2" name="Rectangle 2"/>
                <wp:cNvGraphicFramePr/>
                <a:graphic xmlns:a="http://schemas.openxmlformats.org/drawingml/2006/main">
                  <a:graphicData uri="http://schemas.microsoft.com/office/word/2010/wordprocessingShape">
                    <wps:wsp>
                      <wps:cNvSpPr/>
                      <wps:spPr>
                        <a:xfrm>
                          <a:off x="0" y="0"/>
                          <a:ext cx="2057400" cy="1371600"/>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txbx>
                        <w:txbxContent>
                          <w:p w14:paraId="4E9D76E2" w14:textId="32CC181B" w:rsidR="00D55B91" w:rsidRPr="00A307D8" w:rsidRDefault="00D55B91" w:rsidP="00D25A3B">
                            <w:pPr>
                              <w:jc w:val="center"/>
                              <w:rPr>
                                <w:color w:val="17365D" w:themeColor="text2" w:themeShade="BF"/>
                                <w:sz w:val="28"/>
                                <w:szCs w:val="28"/>
                              </w:rPr>
                            </w:pPr>
                            <w:r w:rsidRPr="00A307D8">
                              <w:rPr>
                                <w:color w:val="17365D" w:themeColor="text2" w:themeShade="BF"/>
                                <w:sz w:val="28"/>
                                <w:szCs w:val="28"/>
                              </w:rPr>
                              <w:t>Presentation stage</w:t>
                            </w:r>
                          </w:p>
                          <w:p w14:paraId="70F2EF1D" w14:textId="6B62EDC8" w:rsidR="00D55B91" w:rsidRDefault="00D55B91" w:rsidP="00D25A3B">
                            <w:pPr>
                              <w:jc w:val="center"/>
                            </w:pPr>
                            <w:r>
                              <w:t>Ceremony</w:t>
                            </w:r>
                          </w:p>
                          <w:p w14:paraId="5AC5A54A" w14:textId="4D49130F" w:rsidR="00D55B91" w:rsidRDefault="00D55B91" w:rsidP="00D25A3B">
                            <w:pPr>
                              <w:jc w:val="center"/>
                            </w:pPr>
                            <w:r>
                              <w:t>Timming and surprise elements</w:t>
                            </w:r>
                          </w:p>
                          <w:p w14:paraId="076CF49A" w14:textId="19EDE209" w:rsidR="00D55B91" w:rsidRDefault="00D55B91" w:rsidP="00D25A3B">
                            <w:pPr>
                              <w:jc w:val="center"/>
                            </w:pPr>
                            <w:r>
                              <w:t>Attention to the recipient</w:t>
                            </w:r>
                          </w:p>
                          <w:p w14:paraId="5AFCC6BA" w14:textId="79427C93" w:rsidR="00D55B91" w:rsidRDefault="00D55B91" w:rsidP="00D25A3B">
                            <w:pPr>
                              <w:jc w:val="center"/>
                            </w:pPr>
                            <w:r>
                              <w:t>Recipient’s reaction</w:t>
                            </w:r>
                          </w:p>
                          <w:p w14:paraId="79F07CBA" w14:textId="77777777" w:rsidR="00D55B91" w:rsidRDefault="00D55B91" w:rsidP="00D25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7" style="position:absolute;left:0;text-align:left;margin-left:2in;margin-top:-.55pt;width:162pt;height:1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qN8JECAACXBQAADgAAAGRycy9lMm9Eb2MueG1srFRba9swFH4f7D8Iva+O3fQyE6eElI5B15a2&#10;o8+KLCUGSUeTlNjZr9+R7LihKxuMvdjnftN3zuyq04rshPMNmIrmJxNKhOFQN2Zd0e/PN58uKfGB&#10;mZopMKKie+Hp1fzjh1lrS1HABlQtHMEgxpetregmBFtmmecboZk/ASsMKiU4zQKybp3VjrUYXaus&#10;mEzOsxZcbR1w4T1Kr3slnaf4Ugoe7qX0IhBVUawtpK9L31X8ZvMZK9eO2U3DhzLYP1ShWWMw6Rjq&#10;mgVGtq75LZRuuAMPMpxw0BlI2XCResBu8smbbp42zIrUCw7H23FM/v+F5Xe7B0eauqIFJYZpfKJH&#10;HBozayVIEcfTWl+i1ZN9cAPnkYy9dtLp+McuSJdGuh9HKrpAOAqLydnFdIKT56jLTy/yc2QwTvbq&#10;bp0PXwRoEomKOkyfRsl2tz70pgeTmM2DauqbRqnERJyIpXJkx/CFQ1ckV7XV36DuZZiwT8lKFCMa&#10;ejEWNVaS0BajpLqOEmSx+b7dRIW9EjGtMo9C4tSwwTwlHCP0wRnnwoR8aDRZRzeJVY+Op393HOyj&#10;q0hYHp37Nv+YdfRImcGE0Vk3Btx72dVYsuztcR5HfUcydKsuwSU1FyUrqPcIIQf9bnnLbxp8yFvm&#10;wwNzuEz4+Hggwj1+pIK2ojBQlGzA/XxPHu0R46ilpMXlrKj/sWVOUKK+GkT/53w6jducmOnZRYGM&#10;O9asjjVmq5eA6MjxFFmeyGgf1IGUDvQL3pFFzIoqZjjmrigP7sAsQ3808BJxsVgkM9xgy8KtebL8&#10;gIMI1OfuhTk7oDngItzBYZFZ+QbUvW18IQOLbQDZJMS/znV4Adz+hM3hUsXzcswnq9d7Ov8FAAD/&#10;/wMAUEsDBBQABgAIAAAAIQCEPPQI3wAAAAoBAAAPAAAAZHJzL2Rvd25yZXYueG1sTI/BTsMwEETv&#10;SPyDtUjcWscBRSHEqWgRXIADDRJXJ16SqPE6it02/D3LCY47M5p9U24WN4oTzmHwpEGtExBIrbcD&#10;dRo+6qdVDiJEQ9aMnlDDNwbYVJcXpSmsP9M7nvaxE1xCoTAa+hinQsrQ9uhMWPsJib0vPzsT+Zw7&#10;aWdz5nI3yjRJMunMQPyhNxPuemwP+6PTYLO3+Pw4HD7r7U2zfRldaOvdq9bXV8vDPYiIS/wLwy8+&#10;o0PFTI0/kg1i1JDmOW+JGlZKgeBAplIWGnbU7R3IqpT/J1Q/AAAA//8DAFBLAQItABQABgAIAAAA&#10;IQDkmcPA+wAAAOEBAAATAAAAAAAAAAAAAAAAAAAAAABbQ29udGVudF9UeXBlc10ueG1sUEsBAi0A&#10;FAAGAAgAAAAhACOyauHXAAAAlAEAAAsAAAAAAAAAAAAAAAAALAEAAF9yZWxzLy5yZWxzUEsBAi0A&#10;FAAGAAgAAAAhACpKjfCRAgAAlwUAAA4AAAAAAAAAAAAAAAAALAIAAGRycy9lMm9Eb2MueG1sUEsB&#10;Ai0AFAAGAAgAAAAhAIQ89AjfAAAACgEAAA8AAAAAAAAAAAAAAAAA6QQAAGRycy9kb3ducmV2Lnht&#10;bFBLBQYAAAAABAAEAPMAAAD1BQAAAAA=&#10;" fillcolor="#548dd4 [1951]" strokecolor="#4579b8 [3044]">
                <v:shadow on="t" opacity="22937f" mv:blur="40000f" origin=",.5" offset="0,23000emu"/>
                <v:textbox>
                  <w:txbxContent>
                    <w:p w14:paraId="4E9D76E2" w14:textId="32CC181B" w:rsidR="00D55B91" w:rsidRPr="00A307D8" w:rsidRDefault="00D55B91" w:rsidP="00D25A3B">
                      <w:pPr>
                        <w:jc w:val="center"/>
                        <w:rPr>
                          <w:color w:val="17365D" w:themeColor="text2" w:themeShade="BF"/>
                          <w:sz w:val="28"/>
                          <w:szCs w:val="28"/>
                        </w:rPr>
                      </w:pPr>
                      <w:r w:rsidRPr="00A307D8">
                        <w:rPr>
                          <w:color w:val="17365D" w:themeColor="text2" w:themeShade="BF"/>
                          <w:sz w:val="28"/>
                          <w:szCs w:val="28"/>
                        </w:rPr>
                        <w:t>Presentation stage</w:t>
                      </w:r>
                    </w:p>
                    <w:p w14:paraId="70F2EF1D" w14:textId="6B62EDC8" w:rsidR="00D55B91" w:rsidRDefault="00D55B91" w:rsidP="00D25A3B">
                      <w:pPr>
                        <w:jc w:val="center"/>
                      </w:pPr>
                      <w:r>
                        <w:t>Ceremony</w:t>
                      </w:r>
                    </w:p>
                    <w:p w14:paraId="5AC5A54A" w14:textId="4D49130F" w:rsidR="00D55B91" w:rsidRDefault="00D55B91" w:rsidP="00D25A3B">
                      <w:pPr>
                        <w:jc w:val="center"/>
                      </w:pPr>
                      <w:r>
                        <w:t>Timming and surprise elements</w:t>
                      </w:r>
                    </w:p>
                    <w:p w14:paraId="076CF49A" w14:textId="19EDE209" w:rsidR="00D55B91" w:rsidRDefault="00D55B91" w:rsidP="00D25A3B">
                      <w:pPr>
                        <w:jc w:val="center"/>
                      </w:pPr>
                      <w:r>
                        <w:t>Attention to the recipient</w:t>
                      </w:r>
                    </w:p>
                    <w:p w14:paraId="5AFCC6BA" w14:textId="79427C93" w:rsidR="00D55B91" w:rsidRDefault="00D55B91" w:rsidP="00D25A3B">
                      <w:pPr>
                        <w:jc w:val="center"/>
                      </w:pPr>
                      <w:r>
                        <w:t>Recipient’s reaction</w:t>
                      </w:r>
                    </w:p>
                    <w:p w14:paraId="79F07CBA" w14:textId="77777777" w:rsidR="00D55B91" w:rsidRDefault="00D55B91" w:rsidP="00D25A3B">
                      <w:pPr>
                        <w:jc w:val="center"/>
                      </w:pPr>
                    </w:p>
                  </w:txbxContent>
                </v:textbox>
                <w10:wrap type="through"/>
              </v:rect>
            </w:pict>
          </mc:Fallback>
        </mc:AlternateContent>
      </w:r>
      <w:r>
        <w:rPr>
          <w:noProof/>
        </w:rPr>
        <mc:AlternateContent>
          <mc:Choice Requires="wps">
            <w:drawing>
              <wp:anchor distT="0" distB="0" distL="114300" distR="114300" simplePos="0" relativeHeight="251659264" behindDoc="0" locked="0" layoutInCell="1" allowOverlap="1" wp14:anchorId="029A5C1C" wp14:editId="398046F7">
                <wp:simplePos x="0" y="0"/>
                <wp:positionH relativeFrom="column">
                  <wp:posOffset>-800100</wp:posOffset>
                </wp:positionH>
                <wp:positionV relativeFrom="paragraph">
                  <wp:posOffset>-7620</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1" name="Rectangle 1"/>
                <wp:cNvGraphicFramePr/>
                <a:graphic xmlns:a="http://schemas.openxmlformats.org/drawingml/2006/main">
                  <a:graphicData uri="http://schemas.microsoft.com/office/word/2010/wordprocessingShape">
                    <wps:wsp>
                      <wps:cNvSpPr/>
                      <wps:spPr>
                        <a:xfrm>
                          <a:off x="0" y="0"/>
                          <a:ext cx="2057400" cy="1371600"/>
                        </a:xfrm>
                        <a:prstGeom prst="rect">
                          <a:avLst/>
                        </a:prstGeom>
                        <a:solidFill>
                          <a:schemeClr val="tx2">
                            <a:lumMod val="40000"/>
                            <a:lumOff val="60000"/>
                          </a:schemeClr>
                        </a:solidFill>
                      </wps:spPr>
                      <wps:style>
                        <a:lnRef idx="1">
                          <a:schemeClr val="accent1"/>
                        </a:lnRef>
                        <a:fillRef idx="3">
                          <a:schemeClr val="accent1"/>
                        </a:fillRef>
                        <a:effectRef idx="2">
                          <a:schemeClr val="accent1"/>
                        </a:effectRef>
                        <a:fontRef idx="minor">
                          <a:schemeClr val="lt1"/>
                        </a:fontRef>
                      </wps:style>
                      <wps:txbx>
                        <w:txbxContent>
                          <w:p w14:paraId="4D01B4FB" w14:textId="0332CE75" w:rsidR="00D55B91" w:rsidRPr="00A307D8" w:rsidRDefault="00D55B91" w:rsidP="00D25A3B">
                            <w:pPr>
                              <w:jc w:val="center"/>
                              <w:rPr>
                                <w:color w:val="548DD4" w:themeColor="text2" w:themeTint="99"/>
                                <w:sz w:val="28"/>
                                <w:szCs w:val="28"/>
                              </w:rPr>
                            </w:pPr>
                            <w:r w:rsidRPr="00A307D8">
                              <w:rPr>
                                <w:color w:val="548DD4" w:themeColor="text2" w:themeTint="99"/>
                                <w:sz w:val="28"/>
                                <w:szCs w:val="28"/>
                              </w:rPr>
                              <w:t>Gestation stage</w:t>
                            </w:r>
                          </w:p>
                          <w:p w14:paraId="00F647F2" w14:textId="2917A549" w:rsidR="00D55B91" w:rsidRDefault="00D55B91" w:rsidP="00D25A3B">
                            <w:pPr>
                              <w:jc w:val="center"/>
                            </w:pPr>
                            <w:proofErr w:type="gramStart"/>
                            <w:r>
                              <w:t>Motives</w:t>
                            </w:r>
                            <w:proofErr w:type="gramEnd"/>
                          </w:p>
                          <w:p w14:paraId="4F27132E" w14:textId="5957BF28" w:rsidR="00D55B91" w:rsidRDefault="00D55B91" w:rsidP="00D25A3B">
                            <w:pPr>
                              <w:jc w:val="center"/>
                            </w:pPr>
                            <w:r>
                              <w:t>Nature of the gift</w:t>
                            </w:r>
                          </w:p>
                          <w:p w14:paraId="4E6A269A" w14:textId="2BB1FFC6" w:rsidR="00D55B91" w:rsidRDefault="00D55B91" w:rsidP="00D25A3B">
                            <w:pPr>
                              <w:jc w:val="center"/>
                            </w:pPr>
                            <w:r>
                              <w:t>Value</w:t>
                            </w:r>
                          </w:p>
                          <w:p w14:paraId="164D39E0" w14:textId="66AE07A6" w:rsidR="00D55B91" w:rsidRDefault="00D55B91" w:rsidP="00D25A3B">
                            <w:pPr>
                              <w:jc w:val="center"/>
                            </w:pPr>
                            <w:r>
                              <w:t>Search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8" style="position:absolute;left:0;text-align:left;margin-left:-62.95pt;margin-top:-.55pt;width:162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jnRZQCAACXBQAADgAAAGRycy9lMm9Eb2MueG1srFTda9swEH8f7H8Qel8dp+nHTJ0SWjoGXVva&#10;jj4rspQYJJ0mKbGzv34nyXFDVzYYe7HvdN93v7uLy14rshXOt2BqWh5NKBGGQ9OaVU2/P998OqfE&#10;B2YapsCImu6Ep5fzjx8uOluJKaxBNcIRdGJ81dmarkOwVVF4vhaa+SOwwqBQgtMsIOtWReNYh961&#10;KqaTyWnRgWusAy68x9frLKTz5F9KwcO9lF4EomqKuYX0dem7jN9ifsGqlWN23fIhDfYPWWjWGgw6&#10;urpmgZGNa39zpVvuwIMMRxx0AVK2XKQasJpy8qaapzWzItWCzfF2bJP/f2753fbBkbbB2VFimMYR&#10;PWLTmFkpQcrYns76CrWe7IMbOI9krLWXTsc/VkH61NLd2FLRB8LxcTo5OZtNsPMcZeXxWXmKDPop&#10;Xs2t8+GLAE0iUVOH4VMr2fbWh6y6V4nRPKi2uWmVSkzEibhSjmwZTjj002SqNvobNPkNo+eQrMJn&#10;REN+xjzGTBLaopeU10GAIhafy01U2CkRwyrzKCR2DQssU8DRQ3bOOBcmpPZhoUk7mknMejQ8/rvh&#10;oB9NRcLyaJzL/GPU0SJFBhNGY90acO9FV2PKMutjPw7qjmTol32Cy3SPjSU0O4SQg7xb3vKbFgd5&#10;y3x4YA6XCYePByLc40cq6GoKA0XJGtzP996jPmIcpZR0uJw19T82zAlK1FeD6P9czmZxmxMzOzmb&#10;IuMOJctDidnoK0B0IMIxu0RG/aD2pHSgX/COLGJUFDHDMXZNeXB75irko4GXiIvFIqnhBlsWbs2T&#10;5XscRKA+9y/M2QHNARfhDvaLzKo3oM66cUIGFpsAsk2Ij53OfR0mgNufsDlcqnheDvmk9XpP578A&#10;AAD//wMAUEsDBBQABgAIAAAAIQABxAVa3gAAAAsBAAAPAAAAZHJzL2Rvd25yZXYueG1sTI9BboMw&#10;EEX3lXoHayp1UyUG1FaBYqKkUg4AzSJLx56AVTxG2Emgp69Ztbs/mqc/b8rtZHt2w9EbRwLSdQIM&#10;STltqBVw/DqsNsB8kKRl7wgFzOhhWz0+lLLQ7k413prQslhCvpACuhCGgnOvOrTSr92AFHcXN1oZ&#10;4ji2XI/yHsttz7MkeedWGooXOjngZ4fqu7laAbt6f7jUp1m1L0fjm6Dmn31vhHh+mnYfwAJO4Q+G&#10;RT+qQxWdzu5K2rNewCrN3vLILikFthD5JoazgCx9zYFXJf//Q/ULAAD//wMAUEsBAi0AFAAGAAgA&#10;AAAhAOSZw8D7AAAA4QEAABMAAAAAAAAAAAAAAAAAAAAAAFtDb250ZW50X1R5cGVzXS54bWxQSwEC&#10;LQAUAAYACAAAACEAI7Jq4dcAAACUAQAACwAAAAAAAAAAAAAAAAAsAQAAX3JlbHMvLnJlbHNQSwEC&#10;LQAUAAYACAAAACEAJGjnRZQCAACXBQAADgAAAAAAAAAAAAAAAAAsAgAAZHJzL2Uyb0RvYy54bWxQ&#10;SwECLQAUAAYACAAAACEAAcQFWt4AAAALAQAADwAAAAAAAAAAAAAAAADsBAAAZHJzL2Rvd25yZXYu&#10;eG1sUEsFBgAAAAAEAAQA8wAAAPcFAAAAAA==&#10;" fillcolor="#8db3e2 [1311]" strokecolor="#4579b8 [3044]">
                <v:shadow on="t" opacity="22937f" mv:blur="40000f" origin=",.5" offset="0,23000emu"/>
                <v:textbox>
                  <w:txbxContent>
                    <w:p w14:paraId="4D01B4FB" w14:textId="0332CE75" w:rsidR="00D55B91" w:rsidRPr="00A307D8" w:rsidRDefault="00D55B91" w:rsidP="00D25A3B">
                      <w:pPr>
                        <w:jc w:val="center"/>
                        <w:rPr>
                          <w:color w:val="548DD4" w:themeColor="text2" w:themeTint="99"/>
                          <w:sz w:val="28"/>
                          <w:szCs w:val="28"/>
                        </w:rPr>
                      </w:pPr>
                      <w:r w:rsidRPr="00A307D8">
                        <w:rPr>
                          <w:color w:val="548DD4" w:themeColor="text2" w:themeTint="99"/>
                          <w:sz w:val="28"/>
                          <w:szCs w:val="28"/>
                        </w:rPr>
                        <w:t>Gestation stage</w:t>
                      </w:r>
                    </w:p>
                    <w:p w14:paraId="00F647F2" w14:textId="2917A549" w:rsidR="00D55B91" w:rsidRDefault="00D55B91" w:rsidP="00D25A3B">
                      <w:pPr>
                        <w:jc w:val="center"/>
                      </w:pPr>
                      <w:proofErr w:type="gramStart"/>
                      <w:r>
                        <w:t>Motives</w:t>
                      </w:r>
                      <w:proofErr w:type="gramEnd"/>
                    </w:p>
                    <w:p w14:paraId="4F27132E" w14:textId="5957BF28" w:rsidR="00D55B91" w:rsidRDefault="00D55B91" w:rsidP="00D25A3B">
                      <w:pPr>
                        <w:jc w:val="center"/>
                      </w:pPr>
                      <w:r>
                        <w:t>Nature of the gift</w:t>
                      </w:r>
                    </w:p>
                    <w:p w14:paraId="4E6A269A" w14:textId="2BB1FFC6" w:rsidR="00D55B91" w:rsidRDefault="00D55B91" w:rsidP="00D25A3B">
                      <w:pPr>
                        <w:jc w:val="center"/>
                      </w:pPr>
                      <w:r>
                        <w:t>Value</w:t>
                      </w:r>
                    </w:p>
                    <w:p w14:paraId="164D39E0" w14:textId="66AE07A6" w:rsidR="00D55B91" w:rsidRDefault="00D55B91" w:rsidP="00D25A3B">
                      <w:pPr>
                        <w:jc w:val="center"/>
                      </w:pPr>
                      <w:r>
                        <w:t>Search Time</w:t>
                      </w:r>
                    </w:p>
                  </w:txbxContent>
                </v:textbox>
                <w10:wrap type="through"/>
              </v:rect>
            </w:pict>
          </mc:Fallback>
        </mc:AlternateContent>
      </w:r>
    </w:p>
    <w:p w14:paraId="1CCD0AE4" w14:textId="40ADBDD4" w:rsidR="00D25A3B" w:rsidRDefault="00D25A3B" w:rsidP="008F5CC1">
      <w:pPr>
        <w:pStyle w:val="Paragraphedeliste"/>
        <w:ind w:left="0"/>
        <w:jc w:val="both"/>
      </w:pPr>
    </w:p>
    <w:p w14:paraId="01277EF6" w14:textId="14E0D759" w:rsidR="00D25A3B" w:rsidRDefault="00D25A3B" w:rsidP="008F5CC1">
      <w:pPr>
        <w:pStyle w:val="Paragraphedeliste"/>
        <w:ind w:left="0"/>
        <w:jc w:val="both"/>
      </w:pPr>
    </w:p>
    <w:p w14:paraId="633E4455" w14:textId="77777777" w:rsidR="00D25A3B" w:rsidRDefault="00D25A3B" w:rsidP="008F5CC1">
      <w:pPr>
        <w:pStyle w:val="Paragraphedeliste"/>
        <w:ind w:left="0"/>
        <w:jc w:val="both"/>
      </w:pPr>
    </w:p>
    <w:p w14:paraId="66D06E15" w14:textId="2FF5A505" w:rsidR="00D25A3B" w:rsidRDefault="00272536" w:rsidP="008F5CC1">
      <w:pPr>
        <w:pStyle w:val="Paragraphedeliste"/>
        <w:ind w:left="0"/>
        <w:jc w:val="both"/>
      </w:pPr>
      <w:r>
        <w:rPr>
          <w:noProof/>
        </w:rPr>
        <mc:AlternateContent>
          <mc:Choice Requires="wps">
            <w:drawing>
              <wp:anchor distT="0" distB="0" distL="114300" distR="114300" simplePos="0" relativeHeight="251663360" behindDoc="0" locked="0" layoutInCell="1" allowOverlap="1" wp14:anchorId="7DC87586" wp14:editId="1CA9DBCD">
                <wp:simplePos x="0" y="0"/>
                <wp:positionH relativeFrom="column">
                  <wp:posOffset>2464435</wp:posOffset>
                </wp:positionH>
                <wp:positionV relativeFrom="paragraph">
                  <wp:posOffset>-1270</wp:posOffset>
                </wp:positionV>
                <wp:extent cx="571500" cy="0"/>
                <wp:effectExtent l="0" t="101600" r="38100" b="177800"/>
                <wp:wrapNone/>
                <wp:docPr id="5" name="Connecteur droit avec flèche 5"/>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5" o:spid="_x0000_s1026" type="#_x0000_t32" style="position:absolute;margin-left:194.05pt;margin-top:-.05pt;width:4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Wq1t4BAAABBAAADgAAAGRycy9lMm9Eb2MueG1srFPBjtMwEL0j8Q+W7zRppQKqmu6hC1wQrID9&#10;AK8zbizZHmvsbdo/4j/4McZOm0WAQEJcJrHHb+a95/H25uSdOAIli6GTy0UrBQSNvQ2HTt5/efvi&#10;tRQpq9ArhwE6eYYkb3bPn23HuIEVDuh6IMFFQtqMsZNDznHTNEkP4FVaYITASYPkVeYlHZqe1MjV&#10;vWtWbfuyGZH6SKghJd69nZJyV+sbAzp/NCZBFq6TzC3XSDU+lNjstmpzIBUHqy801D+w8MoGbjqX&#10;ulVZiUeyv5TyVhMmNHmh0TdojNVQNbCaZfuTms+DilC1sDkpzjal/1dWfzjekbB9J9dSBOX5ivYY&#10;AvsGjyR6QpuFOoIWxn37ypci1sWyMaYNI/fhji6rFO+o6D8Z8uXLysSp2nyebYZTFpo316+W65Yv&#10;Q19TzRMuUsrvAL0oP51MmZQ9DPnCCWlZXVbH9ylzZwZeAaWpCyVmZd2b0It8jqxGEeFYOPPZkm8K&#10;94lt/ctnBxP2Exg2gvmtao86grB3JI6Kh0dpDSEv50p8usCMdW4Gtn8HXs4XKNTxnMGTsj92nRG1&#10;M4Y8g70NSL/rnk9XymY6f3Vg0l0seMD+XO+xWsNzVr26vIkyyD+uK/zp5e6+AwAA//8DAFBLAwQU&#10;AAYACAAAACEAhnWGTdsAAAAHAQAADwAAAGRycy9kb3ducmV2LnhtbEyOy07DMBBF90j8gzVIbFDr&#10;hEeJQpwKVbABddHAguUkHpKIeFzFThv+nikbWI2O7tWdU6xnN6gDjaH3bCBdJqCIG297bg28vz0v&#10;MlAhIlscPJOBbwqwLs/PCsytP/KODlVslYxwyNFAF+M+1zo0HTkMS78nluzTjw6j4NhqO+JRxt2g&#10;r5NkpR32LB863NOmo+armpyBpr7C8DRttmmVvd59tDt8sbgy5vJifnwAFWmOf2U46Ys6lOJU+4lt&#10;UIOBmyxLpWpgIUfy2/sT17+sy0L/9y9/AAAA//8DAFBLAQItABQABgAIAAAAIQDkmcPA+wAAAOEB&#10;AAATAAAAAAAAAAAAAAAAAAAAAABbQ29udGVudF9UeXBlc10ueG1sUEsBAi0AFAAGAAgAAAAhACOy&#10;auHXAAAAlAEAAAsAAAAAAAAAAAAAAAAALAEAAF9yZWxzLy5yZWxzUEsBAi0AFAAGAAgAAAAhAHZl&#10;qtbeAQAAAQQAAA4AAAAAAAAAAAAAAAAALAIAAGRycy9lMm9Eb2MueG1sUEsBAi0AFAAGAAgAAAAh&#10;AIZ1hk3bAAAABwEAAA8AAAAAAAAAAAAAAAAANgQAAGRycy9kb3ducmV2LnhtbFBLBQYAAAAABAAE&#10;APMAAAA+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2336" behindDoc="0" locked="0" layoutInCell="1" allowOverlap="1" wp14:anchorId="060F73F4" wp14:editId="394557D5">
                <wp:simplePos x="0" y="0"/>
                <wp:positionH relativeFrom="column">
                  <wp:posOffset>-164465</wp:posOffset>
                </wp:positionH>
                <wp:positionV relativeFrom="paragraph">
                  <wp:posOffset>-1270</wp:posOffset>
                </wp:positionV>
                <wp:extent cx="571500" cy="0"/>
                <wp:effectExtent l="0" t="101600" r="38100" b="177800"/>
                <wp:wrapNone/>
                <wp:docPr id="4" name="Connecteur droit avec flèche 4"/>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4" o:spid="_x0000_s1026" type="#_x0000_t32" style="position:absolute;margin-left:-12.9pt;margin-top:-.05pt;width:4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B3ct8BAAABBAAADgAAAGRycy9lMm9Eb2MueG1srFPBjtMwEL0j8Q+W7zRptQuoarqHLnBBsILl&#10;A7zOuLFke6yxt2n/iP/gxxg7bRYBAglxmcQev5n3nsebm6N34gCULIZOLhetFBA09jbsO/nl/u2L&#10;11KkrEKvHAbo5AmSvNk+f7YZ4xpWOKDrgQQXCWk9xk4OOcd10yQ9gFdpgRECJw2SV5mXtG96UiNX&#10;965Zte3LZkTqI6GGlHj3dkrKba1vDOj80ZgEWbhOMrdcI9X4UGKz3aj1nlQcrD7TUP/AwisbuOlc&#10;6lZlJR7J/lLKW02Y0OSFRt+gMVZD1cBqlu1Paj4PKkLVwuakONuU/l9Z/eFwR8L2nbySIijPV7TD&#10;ENg3eCTRE9os1AG0MO7bV74UcVUsG2NaM3IX7ui8SvGOiv6jIV++rEwcq82n2WY4ZqF58/rV8rrl&#10;y9CXVPOEi5TyO0Avyk8nUyZl90M+c0JaVpfV4X3K3JmBF0Bp6kKJWVn3JvQinyKrUUQ4Fs58tuSb&#10;wn1iW//yycGE/QSGjWB+q9qjjiDsHImD4uFRWkPIy7kSny4wY52bge3fgefzBQp1PGfwpOyPXWdE&#10;7Ywhz2BvA9LvuufjhbKZzl8cmHQXCx6wP9V7rNbwnFWvzm+iDPKP6wp/ernb7wAAAP//AwBQSwME&#10;FAAGAAgAAAAhAEMhd07aAAAABgEAAA8AAABkcnMvZG93bnJldi54bWxMjkFPg0AUhO8m/ofNM/Fi&#10;2oXGkgZZGtPoReOh6MHjg30CkX1L2KXFf+/Ti95mMpOZr9gvblAnmkLv2UC6TkARN9723Bp4e31c&#10;7UCFiGxx8EwGvijAvry8KDC3/sxHOlWxVTLCIUcDXYxjrnVoOnIY1n4kluzDTw6j2KnVdsKzjLtB&#10;b5Ik0w57locORzp01HxWszPQ1DcYHubDS1rtnrfv7RGfLGbGXF8t93egIi3xrww/+IIOpTDVfmYb&#10;1GBgtdkKehSRgpI8u92Aqn+tLgv9H7/8BgAA//8DAFBLAQItABQABgAIAAAAIQDkmcPA+wAAAOEB&#10;AAATAAAAAAAAAAAAAAAAAAAAAABbQ29udGVudF9UeXBlc10ueG1sUEsBAi0AFAAGAAgAAAAhACOy&#10;auHXAAAAlAEAAAsAAAAAAAAAAAAAAAAALAEAAF9yZWxzLy5yZWxzUEsBAi0AFAAGAAgAAAAhAFzw&#10;d3LfAQAAAQQAAA4AAAAAAAAAAAAAAAAALAIAAGRycy9lMm9Eb2MueG1sUEsBAi0AFAAGAAgAAAAh&#10;AEMhd07aAAAABgEAAA8AAAAAAAAAAAAAAAAANwQAAGRycy9kb3ducmV2LnhtbFBLBQYAAAAABAAE&#10;APMAAAA+BQAAAAA=&#10;" strokecolor="#4f81bd [3204]" strokeweight="2pt">
                <v:stroke endarrow="open"/>
                <v:shadow on="t" opacity="24903f" mv:blur="40000f" origin=",.5" offset="0,20000emu"/>
              </v:shape>
            </w:pict>
          </mc:Fallback>
        </mc:AlternateContent>
      </w:r>
    </w:p>
    <w:p w14:paraId="651C14F0" w14:textId="77777777" w:rsidR="00D25A3B" w:rsidRDefault="00D25A3B" w:rsidP="008F5CC1">
      <w:pPr>
        <w:pStyle w:val="Paragraphedeliste"/>
        <w:ind w:left="0"/>
        <w:jc w:val="both"/>
      </w:pPr>
    </w:p>
    <w:p w14:paraId="42970A7E" w14:textId="77777777" w:rsidR="00D25A3B" w:rsidRDefault="00D25A3B" w:rsidP="008F5CC1">
      <w:pPr>
        <w:pStyle w:val="Paragraphedeliste"/>
        <w:ind w:left="0"/>
        <w:jc w:val="both"/>
      </w:pPr>
    </w:p>
    <w:p w14:paraId="377A6C26" w14:textId="77777777" w:rsidR="00D25A3B" w:rsidRDefault="00D25A3B" w:rsidP="008F5CC1">
      <w:pPr>
        <w:pStyle w:val="Paragraphedeliste"/>
        <w:ind w:left="0"/>
        <w:jc w:val="both"/>
      </w:pPr>
    </w:p>
    <w:p w14:paraId="6E93C89E" w14:textId="77777777" w:rsidR="00D25A3B" w:rsidRDefault="00D25A3B" w:rsidP="008F5CC1">
      <w:pPr>
        <w:pStyle w:val="Paragraphedeliste"/>
        <w:ind w:left="0"/>
        <w:jc w:val="both"/>
      </w:pPr>
    </w:p>
    <w:p w14:paraId="368434EF" w14:textId="77777777" w:rsidR="00D25A3B" w:rsidRDefault="00D25A3B" w:rsidP="008F5CC1">
      <w:pPr>
        <w:pStyle w:val="Paragraphedeliste"/>
        <w:ind w:left="0"/>
        <w:jc w:val="both"/>
      </w:pPr>
    </w:p>
    <w:p w14:paraId="01F58882" w14:textId="77777777" w:rsidR="00D25A3B" w:rsidRDefault="00D25A3B" w:rsidP="008F5CC1">
      <w:pPr>
        <w:pStyle w:val="Paragraphedeliste"/>
        <w:ind w:left="0"/>
        <w:jc w:val="both"/>
      </w:pPr>
    </w:p>
    <w:p w14:paraId="03F278DA" w14:textId="12890E09" w:rsidR="00351C23" w:rsidRDefault="001A3F94" w:rsidP="008F5CC1">
      <w:pPr>
        <w:pStyle w:val="Paragraphedeliste"/>
        <w:ind w:left="0"/>
        <w:jc w:val="both"/>
      </w:pPr>
      <w:r w:rsidRPr="001A3F94">
        <w:t>If we refer to the article by Manfred Bruhn (1996) dealing with the business gift giving in German companies, it is argued that gift giving is a form of non-verbal communication, and corresponds to a symbolic act.</w:t>
      </w:r>
      <w:r>
        <w:t xml:space="preserve"> </w:t>
      </w:r>
      <w:r w:rsidR="00272536">
        <w:t xml:space="preserve"> </w:t>
      </w:r>
      <w:r w:rsidR="004E7478" w:rsidRPr="004E7478">
        <w:t>Unlike China, where it is a widely used practice, as P. Stedlmeier (1999) says in his article on the subject. In the articl</w:t>
      </w:r>
      <w:r w:rsidR="004E7478">
        <w:t xml:space="preserve">e, the author tells us that </w:t>
      </w:r>
      <w:r w:rsidR="004E7478" w:rsidRPr="004E7478">
        <w:t>gift giving in China is very widespread but that it is also a custom rather difficult to define because the border between gift giving a</w:t>
      </w:r>
      <w:r w:rsidR="004E7478">
        <w:t>nd corruption is relatively delicate</w:t>
      </w:r>
      <w:r w:rsidR="004E7478" w:rsidRPr="004E7478">
        <w:t>.</w:t>
      </w:r>
      <w:r w:rsidR="004E7478">
        <w:t xml:space="preserve"> </w:t>
      </w:r>
      <w:r w:rsidR="004E7478" w:rsidRPr="004E7478">
        <w:t>And in some countries we do not hesitate to use corruption for relationship buildings. There is talk of corruption when the gift becomes a bribe. Bribe can be defined as</w:t>
      </w:r>
      <w:r w:rsidR="004E7478">
        <w:t xml:space="preserve"> “Money given or promised in order to influence the judgment or conduct of a </w:t>
      </w:r>
      <w:r w:rsidR="00FE5AE7">
        <w:t xml:space="preserve">person in a position of trust“. </w:t>
      </w:r>
      <w:r w:rsidR="00FE5AE7" w:rsidRPr="00FE5AE7">
        <w:t>And corruption is often the cause of a weak presence of the state, and the consequences can be numerous as the destabilization of the public authorities, to widen even more the inequalities and also degrade certain business relationships with other partners.</w:t>
      </w:r>
      <w:r w:rsidR="00FE5AE7">
        <w:t xml:space="preserve"> </w:t>
      </w:r>
    </w:p>
    <w:p w14:paraId="10266C57" w14:textId="77777777" w:rsidR="00FE5AE7" w:rsidRDefault="00FE5AE7" w:rsidP="008F5CC1">
      <w:pPr>
        <w:pStyle w:val="Paragraphedeliste"/>
        <w:ind w:left="0"/>
        <w:jc w:val="both"/>
      </w:pPr>
    </w:p>
    <w:p w14:paraId="2D16EF91" w14:textId="77777777" w:rsidR="00FE5AE7" w:rsidRDefault="00FE5AE7" w:rsidP="008F5CC1">
      <w:pPr>
        <w:pStyle w:val="Paragraphedeliste"/>
        <w:ind w:left="0"/>
        <w:jc w:val="both"/>
      </w:pPr>
    </w:p>
    <w:p w14:paraId="63F15CB9" w14:textId="03B4AA11" w:rsidR="00FE5AE7" w:rsidRDefault="00C43ED0" w:rsidP="008F5CC1">
      <w:pPr>
        <w:pStyle w:val="Paragraphedeliste"/>
        <w:ind w:left="0"/>
        <w:jc w:val="both"/>
      </w:pPr>
      <w:r w:rsidRPr="00C43ED0">
        <w:t>International Business Communication defines the fact of communicating internationally for business. To do this, we must take care of the different cultures found throughout the world and put into practice different skills. And the most important skill, w</w:t>
      </w:r>
      <w:r>
        <w:t>e ha</w:t>
      </w:r>
      <w:r w:rsidRPr="00C43ED0">
        <w:t>ve seen it is the relationship buildings because they allow to get in touch with people from all over the world to do business but they are also important for the image that we give of us , the company or part that we represent.</w:t>
      </w:r>
      <w:r>
        <w:t xml:space="preserve"> </w:t>
      </w:r>
      <w:r w:rsidRPr="00C43ED0">
        <w:t>A business relationship necessarily involves first contact, discussions and interviews to build and maintain a good relationship, and that is why relationship</w:t>
      </w:r>
      <w:r>
        <w:t xml:space="preserve"> building is the main skills</w:t>
      </w:r>
      <w:r w:rsidRPr="00C43ED0">
        <w:t xml:space="preserve"> for good International Business Communication.</w:t>
      </w:r>
    </w:p>
    <w:p w14:paraId="24EFAC98" w14:textId="77777777" w:rsidR="004479A9" w:rsidRDefault="004479A9" w:rsidP="008F5CC1">
      <w:pPr>
        <w:pStyle w:val="Paragraphedeliste"/>
        <w:ind w:left="0"/>
        <w:jc w:val="both"/>
      </w:pPr>
    </w:p>
    <w:p w14:paraId="78440B7F" w14:textId="77777777" w:rsidR="004479A9" w:rsidRDefault="004479A9" w:rsidP="008F5CC1">
      <w:pPr>
        <w:pStyle w:val="Paragraphedeliste"/>
        <w:ind w:left="0"/>
        <w:jc w:val="both"/>
      </w:pPr>
    </w:p>
    <w:p w14:paraId="6579F090" w14:textId="56CD44B7" w:rsidR="004479A9" w:rsidRDefault="004479A9" w:rsidP="008F5CC1">
      <w:pPr>
        <w:pStyle w:val="Paragraphedeliste"/>
        <w:ind w:left="0"/>
        <w:jc w:val="both"/>
        <w:rPr>
          <w:sz w:val="36"/>
          <w:szCs w:val="36"/>
        </w:rPr>
      </w:pPr>
      <w:r>
        <w:rPr>
          <w:sz w:val="36"/>
          <w:szCs w:val="36"/>
        </w:rPr>
        <w:t>References</w:t>
      </w:r>
    </w:p>
    <w:p w14:paraId="120EA499" w14:textId="77777777" w:rsidR="004479A9" w:rsidRDefault="004479A9" w:rsidP="008F5CC1">
      <w:pPr>
        <w:pStyle w:val="Paragraphedeliste"/>
        <w:ind w:left="0"/>
        <w:jc w:val="both"/>
        <w:rPr>
          <w:sz w:val="36"/>
          <w:szCs w:val="36"/>
        </w:rPr>
      </w:pPr>
    </w:p>
    <w:p w14:paraId="2C85F0C7" w14:textId="5E6E68B6" w:rsidR="00424E95" w:rsidRDefault="00424E95" w:rsidP="00424E95">
      <w:pPr>
        <w:pStyle w:val="Paragraphedeliste"/>
        <w:ind w:left="0"/>
        <w:jc w:val="both"/>
      </w:pPr>
      <w:r>
        <w:t>L. Ali. (2015), “5 Considerations for building strong international business relationships“.</w:t>
      </w:r>
    </w:p>
    <w:p w14:paraId="326EC453" w14:textId="77777777" w:rsidR="00424E95" w:rsidRDefault="00424E95" w:rsidP="008F5CC1">
      <w:pPr>
        <w:pStyle w:val="Paragraphedeliste"/>
        <w:ind w:left="0"/>
        <w:jc w:val="both"/>
      </w:pPr>
    </w:p>
    <w:p w14:paraId="1BD21718" w14:textId="4A1BB4BE" w:rsidR="004479A9" w:rsidRDefault="00385715" w:rsidP="008F5CC1">
      <w:pPr>
        <w:pStyle w:val="Paragraphedeliste"/>
        <w:ind w:left="0"/>
        <w:jc w:val="both"/>
      </w:pPr>
      <w:r>
        <w:t>Balan, S. and Vreja, L.O. (2013), “The Trompenaars</w:t>
      </w:r>
      <w:r w:rsidRPr="00385715">
        <w:t xml:space="preserve">’ </w:t>
      </w:r>
      <w:r>
        <w:t>seven-dimension cultural model  and cultural orientations of Romanian students in management“.</w:t>
      </w:r>
      <w:r w:rsidR="00186A93">
        <w:t xml:space="preserve"> New Management for the New Economy, November 7</w:t>
      </w:r>
      <w:r w:rsidR="00186A93" w:rsidRPr="00186A93">
        <w:rPr>
          <w:vertAlign w:val="superscript"/>
        </w:rPr>
        <w:t>th</w:t>
      </w:r>
      <w:r w:rsidR="00186A93">
        <w:t xml:space="preserve"> – 8</w:t>
      </w:r>
      <w:r w:rsidR="00186A93" w:rsidRPr="00186A93">
        <w:rPr>
          <w:vertAlign w:val="superscript"/>
        </w:rPr>
        <w:t>th</w:t>
      </w:r>
      <w:r w:rsidR="00186A93">
        <w:t xml:space="preserve">, 2013, Bucharest, Romania. </w:t>
      </w:r>
    </w:p>
    <w:p w14:paraId="23F1C254" w14:textId="77777777" w:rsidR="00186A93" w:rsidRDefault="00186A93" w:rsidP="008F5CC1">
      <w:pPr>
        <w:pStyle w:val="Paragraphedeliste"/>
        <w:ind w:left="0"/>
        <w:jc w:val="both"/>
      </w:pPr>
    </w:p>
    <w:p w14:paraId="317E3B95" w14:textId="0A92CD21" w:rsidR="00966D84" w:rsidRDefault="00966D84" w:rsidP="008F5CC1">
      <w:pPr>
        <w:pStyle w:val="Paragraphedeliste"/>
        <w:ind w:left="0"/>
        <w:jc w:val="both"/>
      </w:pPr>
      <w:r>
        <w:t xml:space="preserve">M. Bruhn. (1996), “Business Gifts : A form of non-verbal and symbolic communication“, </w:t>
      </w:r>
      <w:r w:rsidRPr="00966D84">
        <w:t>European</w:t>
      </w:r>
      <w:r>
        <w:t xml:space="preserve"> </w:t>
      </w:r>
      <w:r w:rsidRPr="00966D84">
        <w:t>Management</w:t>
      </w:r>
      <w:r>
        <w:t xml:space="preserve"> </w:t>
      </w:r>
      <w:r w:rsidRPr="00966D84">
        <w:t>Journal</w:t>
      </w:r>
      <w:r>
        <w:t xml:space="preserve"> Vol. 14, No. 1, pp. 61 – </w:t>
      </w:r>
      <w:r w:rsidRPr="00966D84">
        <w:t>68</w:t>
      </w:r>
      <w:r>
        <w:t>.</w:t>
      </w:r>
    </w:p>
    <w:p w14:paraId="3CD43252" w14:textId="77777777" w:rsidR="00966D84" w:rsidRDefault="00966D84" w:rsidP="008F5CC1">
      <w:pPr>
        <w:pStyle w:val="Paragraphedeliste"/>
        <w:ind w:left="0"/>
        <w:jc w:val="both"/>
      </w:pPr>
    </w:p>
    <w:p w14:paraId="339B4AA2" w14:textId="1CA544C9" w:rsidR="00966D84" w:rsidRDefault="00966D84" w:rsidP="008F5CC1">
      <w:pPr>
        <w:pStyle w:val="Paragraphedeliste"/>
        <w:ind w:left="0"/>
        <w:jc w:val="both"/>
      </w:pPr>
      <w:r>
        <w:t>A. Gamsriegler (2005), “High-context and low-context communication styles“</w:t>
      </w:r>
      <w:r w:rsidR="00D55B91">
        <w:t>.</w:t>
      </w:r>
    </w:p>
    <w:p w14:paraId="126DC828" w14:textId="77777777" w:rsidR="00D55B91" w:rsidRDefault="00D55B91" w:rsidP="008F5CC1">
      <w:pPr>
        <w:pStyle w:val="Paragraphedeliste"/>
        <w:ind w:left="0"/>
        <w:jc w:val="both"/>
      </w:pPr>
    </w:p>
    <w:p w14:paraId="65580493" w14:textId="4E41B07E" w:rsidR="00D55B91" w:rsidRDefault="00D55B91" w:rsidP="008F5CC1">
      <w:pPr>
        <w:pStyle w:val="Paragraphedeliste"/>
        <w:ind w:left="0"/>
        <w:jc w:val="both"/>
      </w:pPr>
      <w:r>
        <w:t>C. Grove (2001), “Building global business relationships : the role of social capital, emotional competence and intercultural skill“.</w:t>
      </w:r>
    </w:p>
    <w:p w14:paraId="156B3E4C" w14:textId="77777777" w:rsidR="00D55B91" w:rsidRDefault="00D55B91" w:rsidP="008F5CC1">
      <w:pPr>
        <w:pStyle w:val="Paragraphedeliste"/>
        <w:ind w:left="0"/>
        <w:jc w:val="both"/>
      </w:pPr>
    </w:p>
    <w:p w14:paraId="491CA52B" w14:textId="2E7632EC" w:rsidR="00D55B91" w:rsidRDefault="00D55B91" w:rsidP="008F5CC1">
      <w:pPr>
        <w:pStyle w:val="Paragraphedeliste"/>
        <w:ind w:left="0"/>
        <w:jc w:val="both"/>
      </w:pPr>
      <w:r>
        <w:t>Hofstede, G. (2009, June), “</w:t>
      </w:r>
      <w:r w:rsidRPr="00D55B91">
        <w:t>Dimensionalizing Cultures: The Hofstede Model in Context</w:t>
      </w:r>
      <w:r>
        <w:t>“</w:t>
      </w:r>
      <w:r w:rsidRPr="00D55B91">
        <w:t xml:space="preserve">. Online Readings in Psychology and Culture (Unit 17, Chapter 14). ©International Association for Cross-Cultural Psychology.  </w:t>
      </w:r>
    </w:p>
    <w:p w14:paraId="078C4388" w14:textId="77777777" w:rsidR="00D55B91" w:rsidRDefault="00D55B91" w:rsidP="008F5CC1">
      <w:pPr>
        <w:pStyle w:val="Paragraphedeliste"/>
        <w:ind w:left="0"/>
        <w:jc w:val="both"/>
      </w:pPr>
    </w:p>
    <w:p w14:paraId="2B0769EF" w14:textId="6E47D03C" w:rsidR="00D55B91" w:rsidRDefault="00D55B91" w:rsidP="008F5CC1">
      <w:pPr>
        <w:pStyle w:val="Paragraphedeliste"/>
        <w:ind w:left="0"/>
        <w:jc w:val="both"/>
      </w:pPr>
      <w:r>
        <w:t>R.M. Richardson, S.</w:t>
      </w:r>
      <w:r w:rsidR="00424E95">
        <w:t xml:space="preserve">W. Smith. </w:t>
      </w:r>
      <w:r>
        <w:t>(2006), “</w:t>
      </w:r>
      <w:r w:rsidRPr="00D55B91">
        <w:t>The influence of high/low-context culture and power distance on choice of communication media: Students’ media choice to communicate with Professors in Japan and America</w:t>
      </w:r>
      <w:r>
        <w:t xml:space="preserve">“, </w:t>
      </w:r>
      <w:r w:rsidRPr="00D55B91">
        <w:t>573 Communication Arts and Science Building, Michigan State University, East Lansing, MI 48824, USA</w:t>
      </w:r>
      <w:r>
        <w:t>.</w:t>
      </w:r>
    </w:p>
    <w:p w14:paraId="47330F46" w14:textId="77777777" w:rsidR="00D55B91" w:rsidRDefault="00D55B91" w:rsidP="008F5CC1">
      <w:pPr>
        <w:pStyle w:val="Paragraphedeliste"/>
        <w:ind w:left="0"/>
        <w:jc w:val="both"/>
      </w:pPr>
    </w:p>
    <w:p w14:paraId="0CB8DA2C" w14:textId="38BE399C" w:rsidR="00186A93" w:rsidRDefault="00424E95" w:rsidP="008F5CC1">
      <w:pPr>
        <w:pStyle w:val="Paragraphedeliste"/>
        <w:ind w:left="0"/>
        <w:jc w:val="both"/>
      </w:pPr>
      <w:r>
        <w:t xml:space="preserve">P. Steidlmeier. </w:t>
      </w:r>
      <w:r w:rsidR="00D55B91">
        <w:t>(1999), “</w:t>
      </w:r>
      <w:r w:rsidR="00D55B91" w:rsidRPr="00D55B91">
        <w:t>Gift Giving, Bribery and Corruption: Ethical Management of Business Relationships in China</w:t>
      </w:r>
      <w:r w:rsidR="00D55B91">
        <w:t>“</w:t>
      </w:r>
    </w:p>
    <w:p w14:paraId="72E69306" w14:textId="77777777" w:rsidR="00424E95" w:rsidRDefault="00424E95" w:rsidP="008F5CC1">
      <w:pPr>
        <w:pStyle w:val="Paragraphedeliste"/>
        <w:ind w:left="0"/>
        <w:jc w:val="both"/>
      </w:pPr>
    </w:p>
    <w:p w14:paraId="12A3528E" w14:textId="59A3654C" w:rsidR="00424E95" w:rsidRDefault="00424E95" w:rsidP="008F5CC1">
      <w:pPr>
        <w:pStyle w:val="Paragraphedeliste"/>
        <w:ind w:left="0"/>
        <w:jc w:val="both"/>
      </w:pPr>
      <w:r>
        <w:t>E. Würtz. (2005), “</w:t>
      </w:r>
      <w:r w:rsidRPr="00424E95">
        <w:t>Intercultural Communication on Web sites: A Cross-Cultural Analysis of Web sites from High-Context Cultures and Low-Context Cultures</w:t>
      </w:r>
      <w:r>
        <w:t xml:space="preserve">“, </w:t>
      </w:r>
      <w:r w:rsidRPr="00424E95">
        <w:t>Department of Design, Communication and Media IT University Copenhagen</w:t>
      </w:r>
      <w:r>
        <w:t>.</w:t>
      </w:r>
    </w:p>
    <w:p w14:paraId="34817B7B" w14:textId="77777777" w:rsidR="00424E95" w:rsidRDefault="00424E95" w:rsidP="008F5CC1">
      <w:pPr>
        <w:pStyle w:val="Paragraphedeliste"/>
        <w:ind w:left="0"/>
        <w:jc w:val="both"/>
      </w:pPr>
    </w:p>
    <w:p w14:paraId="666AFE90" w14:textId="77777777" w:rsidR="00424E95" w:rsidRDefault="00424E95" w:rsidP="008F5CC1">
      <w:pPr>
        <w:pStyle w:val="Paragraphedeliste"/>
        <w:ind w:left="0"/>
        <w:jc w:val="both"/>
      </w:pPr>
    </w:p>
    <w:p w14:paraId="4C4E882C" w14:textId="77777777" w:rsidR="00424E95" w:rsidRDefault="00424E95" w:rsidP="008F5CC1">
      <w:pPr>
        <w:pStyle w:val="Paragraphedeliste"/>
        <w:ind w:left="0"/>
        <w:jc w:val="both"/>
      </w:pPr>
    </w:p>
    <w:p w14:paraId="2FB46998" w14:textId="77777777" w:rsidR="00424E95" w:rsidRPr="00186A93" w:rsidRDefault="00424E95" w:rsidP="008F5CC1">
      <w:pPr>
        <w:pStyle w:val="Paragraphedeliste"/>
        <w:ind w:left="0"/>
        <w:jc w:val="both"/>
      </w:pPr>
    </w:p>
    <w:sectPr w:rsidR="00424E95" w:rsidRPr="00186A93" w:rsidSect="00312EE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E33A14"/>
    <w:multiLevelType w:val="hybridMultilevel"/>
    <w:tmpl w:val="6BAE5212"/>
    <w:lvl w:ilvl="0" w:tplc="273A61EE">
      <w:start w:val="75"/>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23"/>
    <w:rsid w:val="00186A93"/>
    <w:rsid w:val="001A3F94"/>
    <w:rsid w:val="001D5259"/>
    <w:rsid w:val="00203B4E"/>
    <w:rsid w:val="00272536"/>
    <w:rsid w:val="00312EE7"/>
    <w:rsid w:val="00351C23"/>
    <w:rsid w:val="00385715"/>
    <w:rsid w:val="0040392B"/>
    <w:rsid w:val="00424E95"/>
    <w:rsid w:val="004479A9"/>
    <w:rsid w:val="004B608F"/>
    <w:rsid w:val="004E7478"/>
    <w:rsid w:val="00670375"/>
    <w:rsid w:val="006918C8"/>
    <w:rsid w:val="007658BE"/>
    <w:rsid w:val="007927CD"/>
    <w:rsid w:val="007A688B"/>
    <w:rsid w:val="008153AE"/>
    <w:rsid w:val="008F5CC1"/>
    <w:rsid w:val="00966D84"/>
    <w:rsid w:val="009A0C64"/>
    <w:rsid w:val="00A307D8"/>
    <w:rsid w:val="00C43ED0"/>
    <w:rsid w:val="00C47190"/>
    <w:rsid w:val="00CE1DF3"/>
    <w:rsid w:val="00D177C4"/>
    <w:rsid w:val="00D25A3B"/>
    <w:rsid w:val="00D55B91"/>
    <w:rsid w:val="00D7766D"/>
    <w:rsid w:val="00D930AD"/>
    <w:rsid w:val="00DB60BF"/>
    <w:rsid w:val="00DD1B60"/>
    <w:rsid w:val="00FC2124"/>
    <w:rsid w:val="00FE5AE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C1DF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C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51C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C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51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069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1727</Words>
  <Characters>9502</Characters>
  <Application>Microsoft Macintosh Word</Application>
  <DocSecurity>0</DocSecurity>
  <Lines>79</Lines>
  <Paragraphs>22</Paragraphs>
  <ScaleCrop>false</ScaleCrop>
  <Company>Lycée</Company>
  <LinksUpToDate>false</LinksUpToDate>
  <CharactersWithSpaces>11207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Losq</dc:creator>
  <cp:keywords/>
  <dc:description/>
  <cp:lastModifiedBy>Thomas Losq</cp:lastModifiedBy>
  <cp:revision>13</cp:revision>
  <dcterms:created xsi:type="dcterms:W3CDTF">2017-11-30T16:36:00Z</dcterms:created>
  <dcterms:modified xsi:type="dcterms:W3CDTF">2017-12-07T16:58:00Z</dcterms:modified>
</cp:coreProperties>
</file>