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0EC1F23" w:rsidR="7908378C" w:rsidRDefault="7908378C" w:rsidP="33572C6E">
            <w:pPr>
              <w:ind w:right="237"/>
              <w:rPr>
                <w:b/>
                <w:bCs/>
                <w:color w:val="auto"/>
                <w:sz w:val="32"/>
                <w:szCs w:val="32"/>
              </w:rPr>
            </w:pPr>
            <w:r w:rsidRPr="33572C6E">
              <w:rPr>
                <w:b/>
                <w:bCs/>
                <w:color w:val="auto"/>
                <w:sz w:val="32"/>
                <w:szCs w:val="32"/>
              </w:rPr>
              <w:t xml:space="preserve">Learner name: </w:t>
            </w:r>
            <w:r w:rsidR="002A5445">
              <w:rPr>
                <w:b/>
                <w:bCs/>
                <w:color w:val="auto"/>
                <w:sz w:val="32"/>
                <w:szCs w:val="32"/>
              </w:rPr>
              <w:t>Samuel Barnard</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74860931" w:rsidR="33572C6E" w:rsidRDefault="0019285E" w:rsidP="33572C6E">
            <w:pPr>
              <w:ind w:right="237"/>
              <w:rPr>
                <w:b/>
                <w:bCs/>
                <w:color w:val="auto"/>
                <w:sz w:val="32"/>
                <w:szCs w:val="32"/>
              </w:rPr>
            </w:pPr>
            <w:r>
              <w:rPr>
                <w:b/>
                <w:color w:val="auto"/>
                <w:sz w:val="32"/>
              </w:rPr>
              <w:t>2236200</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7A322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29534620"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 xml:space="preserve">In the following task, I will describe an incident I attended involving three 13-year-old schoolboys, (to avoid confusion, I will refer to the aggrieved as ‘aggrieved’ and both antagonists as ‘boy 1’ and ‘boy 2’) whereby two boys had been threatening to cut another with a knife. Throughout the task I will critically evaluate my approach to the incident, and how the implementation of a multi-disciplinary approach by the police to both safeguard the aggrieved and rehabilitate boy 1 and boy 2 was effective in tackling repeat victimisation and repeat offending. When reflecting on my actions during the incident, I will use the Gibbs (1988) reflective model, providing insight on my feelings, evaluations and my analysis of the incident. </w:t>
      </w:r>
    </w:p>
    <w:p w14:paraId="7AB609A5" w14:textId="77777777" w:rsidR="006C3D5C" w:rsidRPr="009565F5" w:rsidRDefault="006C3D5C" w:rsidP="006C3D5C">
      <w:pPr>
        <w:jc w:val="both"/>
        <w:rPr>
          <w:rFonts w:ascii="Calibri" w:hAnsi="Calibri" w:cs="Calibri"/>
          <w:sz w:val="22"/>
          <w:szCs w:val="22"/>
        </w:rPr>
      </w:pPr>
    </w:p>
    <w:p w14:paraId="349CFED8"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The term ‘knife crime’ is commonly used by the media (Eades et al., 2007), and it refers to any crime involving knives or bladed or sharply pointed articles (College of policing, 2021). According to Eades et al., (2007) ‘knife crime’ refers to several offences with the most common knife-related offence being knife carrying itself, whereby no person is harmed. In a study conducted by Allen et al., (2023) there were approximately 50,500 offences involving sharp instruments in England and Wales in the year ending in March 2023, which was 4.7% higher than the previous year. There are several pieces of legislation criminalising the possession of knives, including the Prevention of Crime Act 1953, Offensive Weapons Act 1996, and the Knives Act 1997.</w:t>
      </w:r>
    </w:p>
    <w:p w14:paraId="05E980B6" w14:textId="77777777" w:rsidR="006C3D5C" w:rsidRPr="009565F5" w:rsidRDefault="006C3D5C" w:rsidP="006C3D5C">
      <w:pPr>
        <w:jc w:val="both"/>
        <w:rPr>
          <w:rFonts w:ascii="Calibri" w:hAnsi="Calibri" w:cs="Calibri"/>
          <w:sz w:val="22"/>
          <w:szCs w:val="22"/>
        </w:rPr>
      </w:pPr>
    </w:p>
    <w:p w14:paraId="69FB6A3B"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 xml:space="preserve">I will begin by describing the incident and ensuring that specifics have been left vague to comply with data protection. It had been reported by the aggrieved’ mother that her son had been threatened to be stabbed by two boys from his school, boy 1 and boy 2, after a verbal altercation. One day whilst the aggrieved was walking home from school, boy 1 and boy 2 had approached him on the streets and continued to make threats to hurt and ‘cut’ him, making multiple stabbing gestures with the intention of frightening the aggrieved. In relation to the threats made to the aggrieved, he reported they were verbal threats, and no knives or other weapons had been seen by him, but that he had heard rumours </w:t>
      </w:r>
      <w:r w:rsidRPr="009565F5">
        <w:rPr>
          <w:rFonts w:ascii="Calibri" w:hAnsi="Calibri" w:cs="Calibri"/>
          <w:sz w:val="22"/>
          <w:szCs w:val="22"/>
        </w:rPr>
        <w:lastRenderedPageBreak/>
        <w:t xml:space="preserve">that boy 1 and boy 2 had been in possession of knives in the past and were associated to a gang. This information was very upsetting to both the aggrieved and his parents who were understandably very concerned for his safety. Both the aggrieved and his mother wanted both boy 1 and boy 2 spoken to in relation to the incident and did not wish to pursue the matter any further should both parties listen and stop making threats to the aggrieved. </w:t>
      </w:r>
    </w:p>
    <w:p w14:paraId="6D274866" w14:textId="77777777" w:rsidR="006C3D5C" w:rsidRPr="009565F5" w:rsidRDefault="006C3D5C" w:rsidP="006C3D5C">
      <w:pPr>
        <w:jc w:val="both"/>
        <w:rPr>
          <w:rFonts w:ascii="Calibri" w:hAnsi="Calibri" w:cs="Calibri"/>
          <w:sz w:val="22"/>
          <w:szCs w:val="22"/>
        </w:rPr>
      </w:pPr>
    </w:p>
    <w:p w14:paraId="171171A2"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 xml:space="preserve">The nature of the incident was very concerning, and I wanted to ensure that I did all I could to deal with the matter and support the aggrieved. I was apprehensive in my approach to this incident due to the nature of it, and the importance of immediate action to safeguard the aggrieved. It was clear that this wouldn’t be dealt with overnight, however I immediately contacted the school’s headmaster regarding the incident and the boys involved, to establish what they knew and what their intentions were with boy 1 and boy 2. I then contacted the School Liaison Officer (SLO) at the school, making him aware of the incident, and to discuss what they could do to help moving forward. I also liaised with the local Police Community Support Officer (PCSO) after learning that they had dealt with the families of boy 1 and boy 2 in the past and had built a rapport with them. Initiating this progress with third parties ensured everyone was fully aware, providing a multidisciplinary approach to the safeguarding of the aggrieved and progression of this incident. </w:t>
      </w:r>
    </w:p>
    <w:p w14:paraId="13412201" w14:textId="77777777" w:rsidR="006C3D5C" w:rsidRPr="009565F5" w:rsidRDefault="006C3D5C" w:rsidP="006C3D5C">
      <w:pPr>
        <w:jc w:val="both"/>
        <w:rPr>
          <w:rFonts w:ascii="Calibri" w:hAnsi="Calibri" w:cs="Calibri"/>
          <w:sz w:val="22"/>
          <w:szCs w:val="22"/>
        </w:rPr>
      </w:pPr>
    </w:p>
    <w:p w14:paraId="44C24526"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PCSO’s were introduced under the Police Reform Act of 2002 to bridge the gap between the communities and policing (Quinton &amp; Morris, 2008). In the UK, PCSO’s have restricted powers when dealing with crime, with their primary role being restricted to deal with minor offences, providing crime prevention advice and early intervention to discourage criminality and poor behaviour (Trotman &amp; Thomas, 2016).</w:t>
      </w:r>
    </w:p>
    <w:p w14:paraId="6BE392E7" w14:textId="77777777" w:rsidR="006C3D5C" w:rsidRPr="009565F5" w:rsidRDefault="006C3D5C" w:rsidP="006C3D5C">
      <w:pPr>
        <w:jc w:val="both"/>
        <w:rPr>
          <w:rFonts w:ascii="Calibri" w:hAnsi="Calibri" w:cs="Calibri"/>
          <w:sz w:val="22"/>
          <w:szCs w:val="22"/>
        </w:rPr>
      </w:pPr>
    </w:p>
    <w:p w14:paraId="1487886E"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Having an SLO attending schools on a regular basis allows for a rapport and trust to be built between the officer and the students. SLO’s enables the early identification of situations of risk while enabling school personnel to engage in meaningful inter-professional dialogue that supports and promotes well-informed decisions and actions on matters of concern, protection and the law (Trotman &amp; Thomas, 2016). Differently to a SLO, PCSO’s offer community engagement beyond the confines of school, addressing young people in the community (Trotman &amp; Thomas, 2016).</w:t>
      </w:r>
    </w:p>
    <w:p w14:paraId="2E8995A4" w14:textId="77777777" w:rsidR="006C3D5C" w:rsidRPr="009565F5" w:rsidRDefault="006C3D5C" w:rsidP="006C3D5C">
      <w:pPr>
        <w:jc w:val="both"/>
        <w:rPr>
          <w:rFonts w:ascii="Calibri" w:hAnsi="Calibri" w:cs="Calibri"/>
          <w:sz w:val="22"/>
          <w:szCs w:val="22"/>
        </w:rPr>
      </w:pPr>
    </w:p>
    <w:p w14:paraId="6F3E7876"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 xml:space="preserve">I liaised with the local PCSO and SLO to discuss a plan of action for the persons involved. The SLO delivered assemblies in the school addressing the dangers and severity of knife crime, and offered to conduct one-to-one sessions with the individuals should they return to the school. It was established that the PCSO and I would conduct ‘home visits’ to the home addresses of boy 1 and boy 2 and speak to them in the company of their respective guardians. When attending the addresses, the PCSO conducted one-to-one knife crime interventions with the individuals, initiating open dialogue regarding the incident and their opinions on knife crime, and educate them on the life changing effects that knife crime could have on both a victim and a perpetrator. </w:t>
      </w:r>
    </w:p>
    <w:p w14:paraId="4AA0366F" w14:textId="77777777" w:rsidR="006C3D5C" w:rsidRPr="009565F5" w:rsidRDefault="006C3D5C" w:rsidP="006C3D5C">
      <w:pPr>
        <w:jc w:val="both"/>
        <w:rPr>
          <w:rFonts w:ascii="Calibri" w:hAnsi="Calibri" w:cs="Calibri"/>
          <w:sz w:val="22"/>
          <w:szCs w:val="22"/>
        </w:rPr>
      </w:pPr>
    </w:p>
    <w:p w14:paraId="7F552BFE"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It was decided that boy 1 would be referred to ‘Early Help’, so that he and his family would receive support from social services to assist in managing his behaviour. Boy 1 and his family were open and accepting of the referral and any additional support they could receive. Boy 2 was not welcome of police attendance or any intervention. His family showed concern for him and his well-being, reporting that he has been socialising with certain individuals which has influenced him in an adverse way, causing his behaviour to worsen significantly. His mother reported that she ‘can’t control him’ and doesn’t know how to help him. I submitted an ‘Early Help’ referral for Boy 2, whilst also referring him to Swansea Youth Justice Service (SYJS).</w:t>
      </w:r>
    </w:p>
    <w:p w14:paraId="0185B027" w14:textId="77777777" w:rsidR="006C3D5C" w:rsidRPr="009565F5" w:rsidRDefault="006C3D5C" w:rsidP="006C3D5C">
      <w:pPr>
        <w:jc w:val="both"/>
        <w:rPr>
          <w:rFonts w:ascii="Calibri" w:hAnsi="Calibri" w:cs="Calibri"/>
          <w:sz w:val="22"/>
          <w:szCs w:val="22"/>
        </w:rPr>
      </w:pPr>
    </w:p>
    <w:p w14:paraId="00C38BD5"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 xml:space="preserve">An ‘Early Help referral’ is South Wales Police approach to early intervention and prevention when it comes to youth offending. The purpose of the Early Help pathway is to ensure that children, young </w:t>
      </w:r>
      <w:r w:rsidRPr="009565F5">
        <w:rPr>
          <w:rFonts w:ascii="Calibri" w:hAnsi="Calibri" w:cs="Calibri"/>
          <w:sz w:val="22"/>
          <w:szCs w:val="22"/>
        </w:rPr>
        <w:lastRenderedPageBreak/>
        <w:t>persons, adults, and families ‘in need’ get the right help and support as early as possible through the means of social care support. When the referral is submitted it is then shared with the local authorities and partner agencies, including both educational and medical services.</w:t>
      </w:r>
    </w:p>
    <w:p w14:paraId="68D81EAE" w14:textId="77777777" w:rsidR="006C3D5C" w:rsidRPr="009565F5" w:rsidRDefault="006C3D5C" w:rsidP="006C3D5C">
      <w:pPr>
        <w:jc w:val="both"/>
        <w:rPr>
          <w:rFonts w:ascii="Calibri" w:hAnsi="Calibri" w:cs="Calibri"/>
          <w:sz w:val="22"/>
          <w:szCs w:val="22"/>
        </w:rPr>
      </w:pPr>
    </w:p>
    <w:p w14:paraId="461DD64F"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SYJS is a partnership of several organisations working in synchrony to provide support and intervention for young people and their families. The partnership includes the police, education, health, social services, probation service, substance misuse and housing options. The purpose of SYJS is to prevent offending and re-offending by young people, whilst offering support to the victims of anti-social behaviour and youth crime (</w:t>
      </w:r>
      <w:r w:rsidRPr="009565F5">
        <w:rPr>
          <w:rFonts w:ascii="Calibri" w:hAnsi="Calibri" w:cs="Calibri"/>
          <w:i/>
          <w:iCs/>
          <w:sz w:val="22"/>
          <w:szCs w:val="22"/>
        </w:rPr>
        <w:t>Youth Justice &amp; Early Intervention Service Swansea</w:t>
      </w:r>
      <w:r w:rsidRPr="009565F5">
        <w:rPr>
          <w:rFonts w:ascii="Calibri" w:hAnsi="Calibri" w:cs="Calibri"/>
          <w:sz w:val="22"/>
          <w:szCs w:val="22"/>
        </w:rPr>
        <w:t>).</w:t>
      </w:r>
    </w:p>
    <w:p w14:paraId="01B35ECF" w14:textId="77777777" w:rsidR="006C3D5C" w:rsidRPr="009565F5" w:rsidRDefault="006C3D5C" w:rsidP="006C3D5C">
      <w:pPr>
        <w:jc w:val="both"/>
        <w:rPr>
          <w:rFonts w:ascii="Calibri" w:hAnsi="Calibri" w:cs="Calibri"/>
          <w:sz w:val="22"/>
          <w:szCs w:val="22"/>
        </w:rPr>
      </w:pPr>
    </w:p>
    <w:p w14:paraId="5948D0F6"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Compared to other age groups, young people have a higher likelihood of encountering the police. This is mostly due to their frequent use of public spaces and the risk-taking behaviours that often accompany the transition to adulthood, such as substance abuse and related criminal activity (Longstaff et al., 2015).</w:t>
      </w:r>
      <w:r w:rsidRPr="009565F5">
        <w:rPr>
          <w:rFonts w:ascii="Calibri" w:hAnsi="Calibri" w:cs="Calibri"/>
          <w:b/>
          <w:bCs/>
          <w:color w:val="4472C4"/>
          <w:sz w:val="22"/>
          <w:szCs w:val="22"/>
        </w:rPr>
        <w:t xml:space="preserve"> </w:t>
      </w:r>
      <w:r w:rsidRPr="009565F5">
        <w:rPr>
          <w:rFonts w:ascii="Calibri" w:hAnsi="Calibri" w:cs="Calibri"/>
          <w:sz w:val="22"/>
          <w:szCs w:val="22"/>
        </w:rPr>
        <w:t xml:space="preserve">Research conducted by Graham and Karn (2013) discussed how many young people have unfavourable opinions of the police, as they are often seen as suspects to be subdued rather than as possible victims in need of support or safeguarding. PCSO’s are uniquely placed to engage with the youth they regularly encounter in the community, with the intention of building rapport. This however can be quickly ruined by response officers who often have little connection with the community, whose primary role is to react to an immediate incident (Longstaff et al., 2015). </w:t>
      </w:r>
    </w:p>
    <w:p w14:paraId="59855C30" w14:textId="77777777" w:rsidR="006C3D5C" w:rsidRPr="009565F5" w:rsidRDefault="006C3D5C" w:rsidP="006C3D5C">
      <w:pPr>
        <w:jc w:val="both"/>
        <w:rPr>
          <w:rFonts w:ascii="Calibri" w:hAnsi="Calibri" w:cs="Calibri"/>
          <w:sz w:val="22"/>
          <w:szCs w:val="22"/>
        </w:rPr>
      </w:pPr>
    </w:p>
    <w:p w14:paraId="6C2E80B7"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I believed it would be the best course of action to attend the addresses of boy 1 and boy 2 with a PCSO who already has prior knowledge of the individuals and has a relationship with the families. Alternatively, I, an unfamiliar face, could have attended the address to provide him with stern words of advice which may have ‘gone in one ear and out the other’, compared to a more placid but stern approach from a ‘friendly face’. I believe this made our attendance a more fluid and all parties seemingly found it easier in discussion. Boy 1 and his family’s cooperation and willingness to be referred for ‘Early Help’ was certainly beneficial, with social care being quick to act on the referral and contacting the family to discuss support and how to assist in managing his behaviour. This delivery gave me confidence in dealing with this situation, as it wasn’t one, I was overly familiar with. I learnt a lot from the PCSO who does this type of meaningful interaction with members of the public on a regular basis.</w:t>
      </w:r>
    </w:p>
    <w:p w14:paraId="4F0CE02B" w14:textId="77777777" w:rsidR="006C3D5C" w:rsidRPr="009565F5" w:rsidRDefault="006C3D5C" w:rsidP="006C3D5C">
      <w:pPr>
        <w:jc w:val="both"/>
        <w:rPr>
          <w:rFonts w:ascii="Calibri" w:hAnsi="Calibri" w:cs="Calibri"/>
          <w:sz w:val="22"/>
          <w:szCs w:val="22"/>
        </w:rPr>
      </w:pPr>
    </w:p>
    <w:p w14:paraId="3C00BCD8"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 xml:space="preserve">The situation involving Boy 2 was more complex. Despite his mother being insistent on receiving support to manage her son’s behaviour, boy 2 showed no interest in cooperation. Thus, why it was decided for both an ‘Early Help’ and SYJS referrals to be submitted. Boy 2’s mother has been in close communications with SYJS, with him having been assigned a social worker, and his behaviour reportedly having improved somewhat. Longstaff et al., (2019) states that where there is strain between young people and the police, it is often better to introduce intermediaries such as youth workers of social workers to build relations and assist. </w:t>
      </w:r>
    </w:p>
    <w:p w14:paraId="0359818A"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As a result of the incident, I submitted intelligence reports on both boy 1 and boy 2 to state that they are alleged to carry bladed and sharply pointed articles. I also submitted ‘knife markers’ on both individuals so that should any officer come across them in a professional capacity again, it would flag on our system that they are associated with carrying knives.</w:t>
      </w:r>
    </w:p>
    <w:p w14:paraId="1BCB4129" w14:textId="77777777" w:rsidR="006C3D5C" w:rsidRPr="009565F5" w:rsidRDefault="006C3D5C" w:rsidP="006C3D5C">
      <w:pPr>
        <w:rPr>
          <w:rFonts w:ascii="Calibri" w:hAnsi="Calibri" w:cs="Calibri"/>
          <w:b/>
          <w:bCs/>
          <w:sz w:val="22"/>
          <w:szCs w:val="22"/>
        </w:rPr>
      </w:pPr>
    </w:p>
    <w:p w14:paraId="5F8F73F2"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 xml:space="preserve">Alternatively, instead of attempting to reduce </w:t>
      </w:r>
      <w:proofErr w:type="spellStart"/>
      <w:r w:rsidRPr="009565F5">
        <w:rPr>
          <w:rFonts w:ascii="Calibri" w:hAnsi="Calibri" w:cs="Calibri"/>
          <w:sz w:val="22"/>
          <w:szCs w:val="22"/>
        </w:rPr>
        <w:t>revictimisation</w:t>
      </w:r>
      <w:proofErr w:type="spellEnd"/>
      <w:r w:rsidRPr="009565F5">
        <w:rPr>
          <w:rFonts w:ascii="Calibri" w:hAnsi="Calibri" w:cs="Calibri"/>
          <w:sz w:val="22"/>
          <w:szCs w:val="22"/>
        </w:rPr>
        <w:t xml:space="preserve">, why don’t the police aim to prevent crime in the first place? There are several reasons discussed by Peace and Laycock (1999) in their piece discussing </w:t>
      </w:r>
      <w:proofErr w:type="spellStart"/>
      <w:r w:rsidRPr="009565F5">
        <w:rPr>
          <w:rFonts w:ascii="Calibri" w:hAnsi="Calibri" w:cs="Calibri"/>
          <w:sz w:val="22"/>
          <w:szCs w:val="22"/>
        </w:rPr>
        <w:t>revictimasation</w:t>
      </w:r>
      <w:proofErr w:type="spellEnd"/>
      <w:r w:rsidRPr="009565F5">
        <w:rPr>
          <w:rFonts w:ascii="Calibri" w:hAnsi="Calibri" w:cs="Calibri"/>
          <w:sz w:val="22"/>
          <w:szCs w:val="22"/>
        </w:rPr>
        <w:t xml:space="preserve">, including the difficulty of implementing crime prevention due to crime rates intermittently rising and falling, and the sheer demand for response officers daily. Grove and Farrell (2012) described repeat victimisation as the “repeated criminal victimisation of a person, household, business, place, vehicle or other target”, perhaps because they have established how to successfully victimise a person and believe that they may be able to repeat the incident in future. </w:t>
      </w:r>
    </w:p>
    <w:p w14:paraId="1D5FF1A5" w14:textId="77777777" w:rsidR="006C3D5C" w:rsidRPr="009565F5" w:rsidRDefault="006C3D5C" w:rsidP="006C3D5C">
      <w:pPr>
        <w:jc w:val="both"/>
        <w:rPr>
          <w:rFonts w:ascii="Calibri" w:hAnsi="Calibri" w:cs="Calibri"/>
          <w:sz w:val="22"/>
          <w:szCs w:val="22"/>
        </w:rPr>
      </w:pPr>
    </w:p>
    <w:p w14:paraId="04C5FB8C"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 xml:space="preserve">In a review conducted by Browne et al., (2022), they discussed knife crime offender’s characteristics and the use of various types of knife interventions. Some of the interventions implemented in the papers review included media campaigns, increased stop searches, increased CCTV surveillance and metal detectors in public places, increased police presence in public places and schools, lectures on the dangers of knife carrying and explicit images of injuries caused by knives, and increased data sharing with accident and emergency departments (A&amp;E) (Browne et al., 2022). Overall, the interventions did not prove have a significant impact on reducing the number of offenders. Browne et al (2022) believes that an offender would benefit from a custom needs-based approach to tackling knife offending, as it personalised to the individual and their unique situation. This may show that a blanket ‘one fit fits all’ intervention approach would prove unsuccessful in offenders carrying and reoffending. Williams et al., (2014) research discovered that increasing an offender’s access to support in relations to employment, housing and education had a positive reduction in knife carrying. Providing offenders or possible offenders with the means to support may give them alternative lifestyle choices and in turn opportunities, resulting in them not choosing criminality. </w:t>
      </w:r>
    </w:p>
    <w:p w14:paraId="3A4FCA9B" w14:textId="77777777" w:rsidR="006C3D5C" w:rsidRPr="009565F5" w:rsidRDefault="006C3D5C" w:rsidP="006C3D5C">
      <w:pPr>
        <w:rPr>
          <w:rFonts w:ascii="Calibri" w:hAnsi="Calibri" w:cs="Calibri"/>
          <w:b/>
          <w:bCs/>
          <w:sz w:val="22"/>
          <w:szCs w:val="22"/>
        </w:rPr>
      </w:pPr>
    </w:p>
    <w:p w14:paraId="221C5E3F"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 xml:space="preserve">When evaluating my role to this incident, I was very pleased with how swiftly I initiated a multidisciplinary approach, contacting the schools’ teachers and SLO, and the local PCSO’s. This was not only important for our safeguarding of the aggrieved, but also in making the aggrieved and his family feel safe and that they’re being taken seriously. I was able to build an instant rapport with the family, and they were appreciative of the police’ assistance. When being self-critical, I wish I wouldn’t be so reliant on the guidance from SLO’s, PCSO’s and my supervisor in relation to how to approach the incident. I do believe that this is due to a lack of experience and am certain that with time and exposure it will become second nature to me. When analysing my own contribution to this incident, I believe that I provided a lot of support to the aggrieved and his family, which was necessary given his age and subsequent vulnerabilities, and the seriousness of the threats made towards him. </w:t>
      </w:r>
    </w:p>
    <w:p w14:paraId="35586ABC" w14:textId="77777777" w:rsidR="006C3D5C" w:rsidRPr="009565F5" w:rsidRDefault="006C3D5C" w:rsidP="006C3D5C">
      <w:pPr>
        <w:jc w:val="both"/>
        <w:rPr>
          <w:rFonts w:ascii="Calibri" w:hAnsi="Calibri" w:cs="Calibri"/>
          <w:sz w:val="22"/>
          <w:szCs w:val="22"/>
        </w:rPr>
      </w:pPr>
    </w:p>
    <w:p w14:paraId="1C036B97"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To conclude, I believe my approach to the incident benefitted the aggrieved and provided them with ample reassurance. The aggrieved received safeguarding and relevant support, and subsequently ‘boy 1’ and ‘boy 2’ had the necessary referrals submitted on their behalf. Ultimately, the approach to the incident would have been different had the aggrieved wanted to make a formal complaint against ‘boy 1’ and ‘boy 2’, however they were adamant that they only wanted them spoken to in relation to the matter. I am fortunate in that I am part of a very experienced team and can ask them questions and ask for advice. I will need to make time to conduct some personal learning, reading around the topics during this incident that gave me trouble. In future, I will certainly look to other more experienced individuals that may be able to assist, whereby it be my immediate colleagues, SLO’s or PCSO’s.</w:t>
      </w:r>
    </w:p>
    <w:p w14:paraId="4A4349A9" w14:textId="77777777" w:rsidR="006C3D5C" w:rsidRPr="009565F5" w:rsidRDefault="006C3D5C" w:rsidP="006C3D5C">
      <w:pPr>
        <w:pStyle w:val="NormalWeb"/>
        <w:rPr>
          <w:rFonts w:ascii="Calibri" w:hAnsi="Calibri" w:cs="Calibri"/>
          <w:sz w:val="22"/>
          <w:szCs w:val="22"/>
        </w:rPr>
      </w:pPr>
    </w:p>
    <w:p w14:paraId="126DAF04" w14:textId="77777777" w:rsidR="006C3D5C" w:rsidRPr="009565F5" w:rsidRDefault="006C3D5C" w:rsidP="006C3D5C">
      <w:pPr>
        <w:pStyle w:val="NormalWeb"/>
        <w:rPr>
          <w:rFonts w:ascii="Calibri" w:hAnsi="Calibri" w:cs="Calibri"/>
          <w:sz w:val="22"/>
          <w:szCs w:val="22"/>
        </w:rPr>
      </w:pPr>
      <w:r w:rsidRPr="009565F5">
        <w:rPr>
          <w:rFonts w:ascii="Calibri" w:hAnsi="Calibri" w:cs="Calibri"/>
          <w:sz w:val="22"/>
          <w:szCs w:val="22"/>
        </w:rPr>
        <w:t>WORD COUNT – 2297.</w:t>
      </w:r>
    </w:p>
    <w:p w14:paraId="1E96D16A" w14:textId="302F013D" w:rsidR="5B843AF0" w:rsidRPr="00E676F7" w:rsidRDefault="5B843AF0" w:rsidP="006C3D5C">
      <w:pPr>
        <w:ind w:right="237"/>
        <w:rPr>
          <w:b/>
          <w:bCs/>
          <w:sz w:val="24"/>
          <w:szCs w:val="24"/>
        </w:rPr>
      </w:pPr>
    </w:p>
    <w:p w14:paraId="5A14BEB8" w14:textId="69952D76" w:rsidR="5B843AF0" w:rsidRPr="00E676F7" w:rsidRDefault="5B843AF0" w:rsidP="5B843AF0">
      <w:pPr>
        <w:ind w:right="237"/>
        <w:jc w:val="center"/>
        <w:rPr>
          <w:b/>
          <w:bCs/>
          <w:sz w:val="24"/>
          <w:szCs w:val="24"/>
        </w:rPr>
      </w:pPr>
    </w:p>
    <w:p w14:paraId="2598748B" w14:textId="37D349FA" w:rsidR="69F7424F" w:rsidRPr="006C3D5C" w:rsidRDefault="00E676F7" w:rsidP="006C3D5C">
      <w:pPr>
        <w:overflowPunct/>
        <w:autoSpaceDE/>
        <w:autoSpaceDN/>
        <w:adjustRightInd/>
        <w:textAlignment w:val="auto"/>
        <w:rPr>
          <w:b/>
          <w:bCs/>
          <w:sz w:val="24"/>
          <w:szCs w:val="24"/>
        </w:rPr>
      </w:pPr>
      <w:r w:rsidRPr="5CE196A1">
        <w:rPr>
          <w:b/>
          <w:bCs/>
          <w:sz w:val="24"/>
          <w:szCs w:val="24"/>
        </w:rPr>
        <w:br w:type="page"/>
      </w: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509F3466" w14:textId="77777777" w:rsidR="006C3D5C" w:rsidRPr="00773091" w:rsidRDefault="006C3D5C" w:rsidP="006C3D5C">
      <w:pPr>
        <w:pStyle w:val="NormalWeb"/>
        <w:jc w:val="both"/>
        <w:rPr>
          <w:rFonts w:ascii="Calibri" w:hAnsi="Calibri" w:cs="Calibri"/>
          <w:sz w:val="22"/>
          <w:szCs w:val="22"/>
        </w:rPr>
      </w:pPr>
      <w:r w:rsidRPr="00773091">
        <w:rPr>
          <w:rFonts w:ascii="Calibri" w:hAnsi="Calibri" w:cs="Calibri"/>
          <w:sz w:val="22"/>
          <w:szCs w:val="22"/>
        </w:rPr>
        <w:lastRenderedPageBreak/>
        <w:t>In the second task of this workbook, I will discuss a complex domestic abuse incident I attended whilst working as a uniformed response police officer. I will critically assess my performance and my use of communication skills, and the strategies utilised during challenging situations, using the acronym L.E.A.P.S (Listen, Empathy, Ask, Paraphrase and Summarise) endorsed by the College of Policing (2020). Reflecting after this incident will benefit me in identifying personal and professional strengths and areas for improvement moving forward. During this task, I have used Driscoll’s (2000) reflective model to reflect on my actions.</w:t>
      </w:r>
    </w:p>
    <w:p w14:paraId="06AA12BC" w14:textId="77777777" w:rsidR="006C3D5C" w:rsidRPr="00773091" w:rsidRDefault="006C3D5C" w:rsidP="006C3D5C">
      <w:pPr>
        <w:pStyle w:val="NormalWeb"/>
        <w:jc w:val="both"/>
        <w:rPr>
          <w:rFonts w:ascii="Calibri" w:hAnsi="Calibri" w:cs="Calibri"/>
          <w:sz w:val="22"/>
          <w:szCs w:val="22"/>
        </w:rPr>
      </w:pPr>
      <w:r w:rsidRPr="00773091">
        <w:rPr>
          <w:rFonts w:ascii="Calibri" w:hAnsi="Calibri" w:cs="Calibri"/>
          <w:sz w:val="22"/>
          <w:szCs w:val="22"/>
        </w:rPr>
        <w:t xml:space="preserve">Domestic abuse can be caused by partners, ex-partners or a family member, with the ‘abuse’ including physical abuse such as assaults, sexual abuse such as sexual assaults and rape, and mental and emotional abuse such as making threats and controlling behaviour (Goel &amp; </w:t>
      </w:r>
      <w:proofErr w:type="spellStart"/>
      <w:r w:rsidRPr="00773091">
        <w:rPr>
          <w:rFonts w:ascii="Calibri" w:hAnsi="Calibri" w:cs="Calibri"/>
          <w:sz w:val="22"/>
          <w:szCs w:val="22"/>
        </w:rPr>
        <w:t>Goodmark</w:t>
      </w:r>
      <w:proofErr w:type="spellEnd"/>
      <w:r w:rsidRPr="00773091">
        <w:rPr>
          <w:rFonts w:ascii="Calibri" w:hAnsi="Calibri" w:cs="Calibri"/>
          <w:sz w:val="22"/>
          <w:szCs w:val="22"/>
        </w:rPr>
        <w:t>, 2015). According to Cleaver et al., (2019) domestic abuse is a major social, health, and economic issue worldwide. While both men and women experience domestic abuse on a regular basis, women are more likely to either survive or become victims of domestic abuse than men. It is estimated that 35% of women globally have suffered either non-partner sexual assault or intimate partner abuse, either physically or sexually (Cleaver et al., 2019).</w:t>
      </w:r>
    </w:p>
    <w:p w14:paraId="45BB6266" w14:textId="77777777" w:rsidR="006C3D5C" w:rsidRPr="009565F5" w:rsidRDefault="006C3D5C" w:rsidP="006C3D5C">
      <w:pPr>
        <w:pStyle w:val="NormalWeb"/>
        <w:jc w:val="both"/>
        <w:rPr>
          <w:rFonts w:ascii="Calibri" w:hAnsi="Calibri" w:cs="Calibri"/>
          <w:sz w:val="22"/>
          <w:szCs w:val="22"/>
        </w:rPr>
      </w:pPr>
      <w:r w:rsidRPr="009565F5">
        <w:rPr>
          <w:rFonts w:ascii="Calibri" w:hAnsi="Calibri" w:cs="Calibri"/>
          <w:sz w:val="22"/>
          <w:szCs w:val="22"/>
        </w:rPr>
        <w:t>I will begin by describing the incident and ensuring that specifics have been left vague to comply with data protection. I was made aware of a grade 2 response call, whereby the police had been informed of a Multi-Agency Risk Assessment Conferences (MARACs) referral, submitted by a health care professional (HCP) in the local hospital. MARACs are an essential part of UK multi-agency practice to address high-risk cases of domestic abuse. A multi-agency meeting is held where statutory and voluntary agency representatives exchange information about high-risk victims of domestic violence to create a coordinated action plan to increase their safety (Steel et al., 2011). The agencies that attend the MARAC can differ, however they usually include police, Independent Domestic Violence Advisers (IDVAs), health, local authority, housing, and women’s safety (McLaughlin et al., 2018). The primary purpose of a MARAC referral is to safeguard the victim (Steel et al., 2011).</w:t>
      </w:r>
    </w:p>
    <w:p w14:paraId="40BAC61C" w14:textId="089FFCD5" w:rsidR="006C3D5C" w:rsidRPr="009565F5" w:rsidRDefault="006C3D5C" w:rsidP="006C3D5C">
      <w:pPr>
        <w:pStyle w:val="NormalWeb"/>
        <w:jc w:val="both"/>
        <w:rPr>
          <w:rFonts w:ascii="Calibri" w:hAnsi="Calibri" w:cs="Calibri"/>
          <w:sz w:val="22"/>
          <w:szCs w:val="22"/>
        </w:rPr>
      </w:pPr>
      <w:r w:rsidRPr="009565F5">
        <w:rPr>
          <w:rFonts w:ascii="Calibri" w:hAnsi="Calibri" w:cs="Calibri"/>
          <w:sz w:val="22"/>
          <w:szCs w:val="22"/>
        </w:rPr>
        <w:t>In the context of the call, the HCP showed concern for the welfare of a female patient who had unusual injuries when attending a routine check-up. She later disclosed to the HCP that she was in an abusive relationship, and that she had recently been assaulted by her husband, however she had no intention of reporting it to the police. The HCP explained to the patient that they had a duty of care to report the matter to the police regardless of her intentions, as it was in her best interest. The HCP explained that the police would likely be in contact with her in relation to the matter, with the patient requesting phone contact during daytime hours, sometime between Monday and Friday because her husband works away during the week.</w:t>
      </w:r>
    </w:p>
    <w:p w14:paraId="584EFEF4" w14:textId="265606BF" w:rsidR="006C3D5C" w:rsidRPr="009565F5" w:rsidRDefault="006C3D5C" w:rsidP="006C3D5C">
      <w:pPr>
        <w:pStyle w:val="NormalWeb"/>
        <w:jc w:val="both"/>
        <w:rPr>
          <w:rFonts w:ascii="Calibri" w:hAnsi="Calibri" w:cs="Calibri"/>
          <w:sz w:val="22"/>
          <w:szCs w:val="22"/>
        </w:rPr>
      </w:pPr>
      <w:r w:rsidRPr="009565F5">
        <w:rPr>
          <w:rFonts w:ascii="Calibri" w:hAnsi="Calibri" w:cs="Calibri"/>
          <w:sz w:val="22"/>
          <w:szCs w:val="22"/>
        </w:rPr>
        <w:t>The aggrieved appeared very apprehensive and unwilling to discuss the matter with myself. In order to establish the full circumstances of the third-party report and for the aggrieved to feel comfortable talking to police about the matter, I asked whether she would prefer to speak to a female officer, to which she agreed. The aggrieved was happy for me to be present and ask questions relating to the alleged offence</w:t>
      </w:r>
      <w:r w:rsidR="00E90450">
        <w:rPr>
          <w:rFonts w:ascii="Calibri" w:hAnsi="Calibri" w:cs="Calibri"/>
          <w:sz w:val="22"/>
          <w:szCs w:val="22"/>
        </w:rPr>
        <w:t>.</w:t>
      </w:r>
    </w:p>
    <w:p w14:paraId="6997CE39" w14:textId="77777777" w:rsidR="006C3D5C" w:rsidRPr="009565F5" w:rsidRDefault="006C3D5C" w:rsidP="006C3D5C">
      <w:pPr>
        <w:pStyle w:val="NormalWeb"/>
        <w:jc w:val="both"/>
        <w:rPr>
          <w:rFonts w:ascii="Calibri" w:hAnsi="Calibri" w:cs="Calibri"/>
          <w:sz w:val="22"/>
          <w:szCs w:val="22"/>
        </w:rPr>
      </w:pPr>
      <w:r w:rsidRPr="009565F5">
        <w:rPr>
          <w:rFonts w:ascii="Calibri" w:hAnsi="Calibri" w:cs="Calibri"/>
          <w:sz w:val="22"/>
          <w:szCs w:val="22"/>
        </w:rPr>
        <w:t xml:space="preserve">The aggrieved was visibly frightened and emotional when explaining the nature of her disclosure. She went to explain that she had been with her husband for 15 years, married for 10 years, and that they have three young children. Since the birth of their second child, the aggrieved has been a stay-at-home mother, caring for them full time whilst her husband was the sole financial provider. This was discussed between them and both parties agreed to the idea at the time. The aggrieved reported that they were in a happy relationship for approximately 10 years before her husband’s behaviour changed towards her, with his behaviour becoming incrementally worse over the last five years. After a prolonged conversation with the aggrieved and both myself and my colleague, it was established that throughout the relationship the aggrieved had been assaulted several times and had been coercively controlled by her husband. </w:t>
      </w:r>
    </w:p>
    <w:p w14:paraId="7FCF5D02" w14:textId="77777777" w:rsidR="006C3D5C" w:rsidRPr="009565F5" w:rsidRDefault="006C3D5C" w:rsidP="006C3D5C">
      <w:pPr>
        <w:pStyle w:val="NormalWeb"/>
        <w:jc w:val="both"/>
        <w:rPr>
          <w:rFonts w:ascii="Calibri" w:hAnsi="Calibri" w:cs="Calibri"/>
          <w:sz w:val="22"/>
          <w:szCs w:val="22"/>
        </w:rPr>
      </w:pPr>
    </w:p>
    <w:p w14:paraId="5130230A" w14:textId="77777777" w:rsidR="006C3D5C" w:rsidRPr="009565F5" w:rsidRDefault="006C3D5C" w:rsidP="006C3D5C">
      <w:pPr>
        <w:shd w:val="clear" w:color="auto" w:fill="FFFFFF"/>
        <w:spacing w:after="120" w:line="288" w:lineRule="atLeast"/>
        <w:outlineLvl w:val="3"/>
        <w:rPr>
          <w:rFonts w:ascii="Calibri" w:hAnsi="Calibri" w:cs="Calibri"/>
          <w:sz w:val="22"/>
          <w:szCs w:val="22"/>
        </w:rPr>
      </w:pPr>
      <w:r w:rsidRPr="009565F5">
        <w:rPr>
          <w:rFonts w:ascii="Calibri" w:hAnsi="Calibri" w:cs="Calibri"/>
          <w:sz w:val="22"/>
          <w:szCs w:val="22"/>
        </w:rPr>
        <w:t>Coercive control is an offence under section 76 of the Serious Crime Act (2015), and can be defined as;</w:t>
      </w:r>
    </w:p>
    <w:p w14:paraId="3EBD26A7" w14:textId="77777777" w:rsidR="006C3D5C" w:rsidRPr="009565F5" w:rsidRDefault="006C3D5C" w:rsidP="006C3D5C">
      <w:pPr>
        <w:shd w:val="clear" w:color="auto" w:fill="FFFFFF"/>
        <w:spacing w:after="120" w:line="360" w:lineRule="atLeast"/>
        <w:jc w:val="center"/>
        <w:rPr>
          <w:rFonts w:ascii="Calibri" w:hAnsi="Calibri" w:cs="Calibri"/>
          <w:i/>
          <w:iCs/>
          <w:color w:val="1E1E1E"/>
          <w:sz w:val="22"/>
          <w:szCs w:val="22"/>
        </w:rPr>
      </w:pPr>
      <w:r w:rsidRPr="009565F5">
        <w:rPr>
          <w:rFonts w:ascii="Calibri" w:hAnsi="Calibri" w:cs="Calibri"/>
          <w:i/>
          <w:iCs/>
          <w:color w:val="1E1E1E"/>
          <w:sz w:val="22"/>
          <w:szCs w:val="22"/>
        </w:rPr>
        <w:t>Person (A) commits an offence if—</w:t>
      </w:r>
    </w:p>
    <w:p w14:paraId="79809D58" w14:textId="77777777" w:rsidR="006C3D5C" w:rsidRPr="009565F5" w:rsidRDefault="006C3D5C" w:rsidP="006C3D5C">
      <w:pPr>
        <w:shd w:val="clear" w:color="auto" w:fill="FFFFFF"/>
        <w:spacing w:after="120" w:line="360" w:lineRule="atLeast"/>
        <w:jc w:val="center"/>
        <w:rPr>
          <w:rFonts w:ascii="Calibri" w:hAnsi="Calibri" w:cs="Calibri"/>
          <w:i/>
          <w:iCs/>
          <w:color w:val="1E1E1E"/>
          <w:sz w:val="22"/>
          <w:szCs w:val="22"/>
        </w:rPr>
      </w:pPr>
      <w:r w:rsidRPr="009565F5">
        <w:rPr>
          <w:rFonts w:ascii="Calibri" w:hAnsi="Calibri" w:cs="Calibri"/>
          <w:i/>
          <w:iCs/>
          <w:color w:val="1E1E1E"/>
          <w:sz w:val="22"/>
          <w:szCs w:val="22"/>
        </w:rPr>
        <w:t>Person (A) repeatedly or continuously engages in behaviour towards another person (B) that is controlling or coercive. At the time of the behaviour, persons (A) and (B) are personally connected. The behaviour has a serious effect on (B), and person (A) knows or ought to know that the behaviour will have a serious effect on person (B).</w:t>
      </w:r>
    </w:p>
    <w:p w14:paraId="56214083" w14:textId="77777777" w:rsidR="006C3D5C" w:rsidRPr="009565F5" w:rsidRDefault="006C3D5C" w:rsidP="006C3D5C">
      <w:pPr>
        <w:pStyle w:val="NormalWeb"/>
        <w:jc w:val="both"/>
        <w:rPr>
          <w:rFonts w:ascii="Calibri" w:hAnsi="Calibri" w:cs="Calibri"/>
          <w:sz w:val="22"/>
          <w:szCs w:val="22"/>
        </w:rPr>
      </w:pPr>
    </w:p>
    <w:p w14:paraId="54B4D20E" w14:textId="77777777" w:rsidR="006C3D5C" w:rsidRPr="009565F5" w:rsidRDefault="006C3D5C" w:rsidP="006C3D5C">
      <w:pPr>
        <w:pStyle w:val="NormalWeb"/>
        <w:jc w:val="both"/>
        <w:rPr>
          <w:rFonts w:ascii="Calibri" w:hAnsi="Calibri" w:cs="Calibri"/>
          <w:sz w:val="22"/>
          <w:szCs w:val="22"/>
        </w:rPr>
      </w:pPr>
      <w:r w:rsidRPr="009565F5">
        <w:rPr>
          <w:rFonts w:ascii="Calibri" w:hAnsi="Calibri" w:cs="Calibri"/>
          <w:sz w:val="22"/>
          <w:szCs w:val="22"/>
        </w:rPr>
        <w:t>Hamberger et al., (2017) states that the types of behaviour that facilitate and support the offence of coercive control include intimidation, threats and physical or sexual violence. Numerous experts concur that coercive control affects almost every aspect of the target's life, including daily activities, connections with family and friends, the use of economic resources, chances for education and employment, sexuality, and general life activities (Hamberger et al., 2017). Coercive control weakens the target's sense of strength and self-worth, limiting their ability to make decisions, and limits their independence (</w:t>
      </w:r>
      <w:proofErr w:type="spellStart"/>
      <w:r w:rsidRPr="009565F5">
        <w:rPr>
          <w:rFonts w:ascii="Calibri" w:hAnsi="Calibri" w:cs="Calibri"/>
          <w:sz w:val="22"/>
          <w:szCs w:val="22"/>
        </w:rPr>
        <w:t>Ehrensaft</w:t>
      </w:r>
      <w:proofErr w:type="spellEnd"/>
      <w:r w:rsidRPr="009565F5">
        <w:rPr>
          <w:rFonts w:ascii="Calibri" w:hAnsi="Calibri" w:cs="Calibri"/>
          <w:sz w:val="22"/>
          <w:szCs w:val="22"/>
        </w:rPr>
        <w:t xml:space="preserve"> et al., 1999; Robertson &amp; </w:t>
      </w:r>
      <w:proofErr w:type="spellStart"/>
      <w:r w:rsidRPr="009565F5">
        <w:rPr>
          <w:rFonts w:ascii="Calibri" w:hAnsi="Calibri" w:cs="Calibri"/>
          <w:sz w:val="22"/>
          <w:szCs w:val="22"/>
        </w:rPr>
        <w:t>Murachver</w:t>
      </w:r>
      <w:proofErr w:type="spellEnd"/>
      <w:r w:rsidRPr="009565F5">
        <w:rPr>
          <w:rFonts w:ascii="Calibri" w:hAnsi="Calibri" w:cs="Calibri"/>
          <w:sz w:val="22"/>
          <w:szCs w:val="22"/>
        </w:rPr>
        <w:t>, 2011).</w:t>
      </w:r>
    </w:p>
    <w:p w14:paraId="37EB5594"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 xml:space="preserve">Due to our initial conversation with the aggrieved, the injuries she had sustained during her relationship aligned with that of the offence of Grievous Bodily Harm (GBH). Therefore, the male had committed an offence under Section 20 of the Offences Against the Persons Act 1861, </w:t>
      </w:r>
      <w:r w:rsidRPr="009565F5">
        <w:rPr>
          <w:rStyle w:val="legds"/>
          <w:rFonts w:ascii="Calibri" w:hAnsi="Calibri" w:cs="Calibri"/>
          <w:sz w:val="22"/>
          <w:szCs w:val="22"/>
        </w:rPr>
        <w:t xml:space="preserve">Inflicting bodily injury with or without a weapon, with its definition as follows; </w:t>
      </w:r>
    </w:p>
    <w:p w14:paraId="5A3ED738" w14:textId="77777777" w:rsidR="006C3D5C" w:rsidRPr="009565F5" w:rsidRDefault="006C3D5C" w:rsidP="006C3D5C">
      <w:pPr>
        <w:rPr>
          <w:rFonts w:ascii="Calibri" w:hAnsi="Calibri" w:cs="Calibri"/>
          <w:sz w:val="22"/>
          <w:szCs w:val="22"/>
        </w:rPr>
      </w:pPr>
    </w:p>
    <w:p w14:paraId="37D371FC" w14:textId="77777777" w:rsidR="006C3D5C" w:rsidRPr="009565F5" w:rsidRDefault="006C3D5C" w:rsidP="006C3D5C">
      <w:pPr>
        <w:pStyle w:val="legrhs"/>
        <w:shd w:val="clear" w:color="auto" w:fill="FFFFFF"/>
        <w:spacing w:before="0" w:after="120" w:line="360" w:lineRule="atLeast"/>
        <w:jc w:val="center"/>
        <w:rPr>
          <w:rFonts w:ascii="Calibri" w:hAnsi="Calibri" w:cs="Calibri"/>
          <w:sz w:val="22"/>
          <w:szCs w:val="22"/>
        </w:rPr>
      </w:pPr>
      <w:r w:rsidRPr="009565F5">
        <w:rPr>
          <w:rFonts w:ascii="Calibri" w:hAnsi="Calibri" w:cs="Calibri"/>
          <w:i/>
          <w:iCs/>
          <w:color w:val="1E1E1E"/>
          <w:sz w:val="22"/>
          <w:szCs w:val="22"/>
        </w:rPr>
        <w:t>Whosoever shall unlawfully and maliciously wound or inflict any grievous bodily harm upon any other person, either with or without any weapon or instrument, </w:t>
      </w:r>
      <w:r w:rsidRPr="009565F5">
        <w:rPr>
          <w:rStyle w:val="legsubstitution"/>
          <w:rFonts w:ascii="Calibri" w:hAnsi="Calibri" w:cs="Calibri"/>
          <w:i/>
          <w:iCs/>
          <w:color w:val="1E1E1E"/>
          <w:sz w:val="22"/>
          <w:szCs w:val="22"/>
        </w:rPr>
        <w:t>shall be guilty of an offence.</w:t>
      </w:r>
    </w:p>
    <w:p w14:paraId="45C8A6F0" w14:textId="77777777" w:rsidR="006C3D5C" w:rsidRPr="009565F5" w:rsidRDefault="006C3D5C" w:rsidP="006C3D5C">
      <w:pPr>
        <w:jc w:val="both"/>
        <w:rPr>
          <w:rFonts w:ascii="Calibri" w:hAnsi="Calibri" w:cs="Calibri"/>
          <w:sz w:val="22"/>
          <w:szCs w:val="22"/>
        </w:rPr>
      </w:pPr>
    </w:p>
    <w:p w14:paraId="3DB92F96" w14:textId="77777777" w:rsidR="006C3D5C" w:rsidRPr="009565F5" w:rsidRDefault="006C3D5C" w:rsidP="006C3D5C">
      <w:pPr>
        <w:jc w:val="both"/>
        <w:rPr>
          <w:rFonts w:ascii="Calibri" w:hAnsi="Calibri" w:cs="Calibri"/>
          <w:sz w:val="22"/>
          <w:szCs w:val="22"/>
        </w:rPr>
      </w:pPr>
      <w:r w:rsidRPr="009565F5">
        <w:rPr>
          <w:rFonts w:ascii="Calibri" w:hAnsi="Calibri" w:cs="Calibri"/>
          <w:sz w:val="22"/>
          <w:szCs w:val="22"/>
        </w:rPr>
        <w:t>The aggrieved had sustained a fractured cheek bone and broken ribs at various states throughout the relationship, as well as extensive bruising from minor assaults. The aggrieved received medical attention for the above injuries, however had never admitted to their cause.</w:t>
      </w:r>
    </w:p>
    <w:p w14:paraId="6AAE8B8C" w14:textId="77777777" w:rsidR="006C3D5C" w:rsidRPr="009565F5" w:rsidRDefault="006C3D5C" w:rsidP="006C3D5C">
      <w:pPr>
        <w:pStyle w:val="NormalWeb"/>
        <w:jc w:val="both"/>
        <w:rPr>
          <w:rFonts w:ascii="Calibri" w:hAnsi="Calibri" w:cs="Calibri"/>
          <w:sz w:val="22"/>
          <w:szCs w:val="22"/>
        </w:rPr>
      </w:pPr>
      <w:r w:rsidRPr="009565F5">
        <w:rPr>
          <w:rFonts w:ascii="Calibri" w:hAnsi="Calibri" w:cs="Calibri"/>
          <w:sz w:val="22"/>
          <w:szCs w:val="22"/>
        </w:rPr>
        <w:t xml:space="preserve">Domestic abuse incidents are some of the more challenging calls that response police officers will attend. It is crucially important that domestic incidents are dealt with fully and professionally, ensuring that positive action is taken is taken to avoid any immediate escalation and to safeguard those involved. Women who have suffered physical domestic abuse experience higher levels of psychological distress, a prevalence to Post traumatic stress disorder (PTSD), and greater levels of depression and low self-esteem than those who have not suffered physical abuse (Levendosky &amp; Graham-Bermann, 2001). Levendosky and Graham-Bermann (2001) state that such incidents can have a devastating effect on other members of the household, namely the children, with children who witness such physical abuse exhibiting problems in their social and emotional adjustments. </w:t>
      </w:r>
    </w:p>
    <w:p w14:paraId="452C6109" w14:textId="77777777" w:rsidR="006C3D5C" w:rsidRPr="009565F5" w:rsidRDefault="006C3D5C" w:rsidP="006C3D5C">
      <w:pPr>
        <w:pStyle w:val="NormalWeb"/>
        <w:jc w:val="both"/>
        <w:rPr>
          <w:rFonts w:ascii="Calibri" w:hAnsi="Calibri" w:cs="Calibri"/>
          <w:sz w:val="22"/>
          <w:szCs w:val="22"/>
        </w:rPr>
      </w:pPr>
      <w:r w:rsidRPr="009565F5">
        <w:rPr>
          <w:rFonts w:ascii="Calibri" w:hAnsi="Calibri" w:cs="Calibri"/>
          <w:sz w:val="22"/>
          <w:szCs w:val="22"/>
        </w:rPr>
        <w:t xml:space="preserve">Research conducted by Huth-Bocks </w:t>
      </w:r>
      <w:r w:rsidRPr="009565F5">
        <w:rPr>
          <w:rFonts w:ascii="Calibri" w:hAnsi="Calibri" w:cs="Calibri"/>
          <w:i/>
          <w:iCs/>
          <w:sz w:val="22"/>
          <w:szCs w:val="22"/>
        </w:rPr>
        <w:t>et al.,</w:t>
      </w:r>
      <w:r w:rsidRPr="009565F5">
        <w:rPr>
          <w:rFonts w:ascii="Calibri" w:hAnsi="Calibri" w:cs="Calibri"/>
          <w:sz w:val="22"/>
          <w:szCs w:val="22"/>
        </w:rPr>
        <w:t xml:space="preserve"> (2001) suggested that children who had witnessed domestic violence had poorer verbal abilities than children who had non-witnessed episodes of domestic violence. This finding is consistent with alternative research which has shown negative effects of abuse on children’s intellectual functioning, as well as the domestic violence research showing negative effects on children’s social and emotional adjustment (Huth-Bocks et al., 2001). Kitzmann et al., (2003) concluded that a variety of psychological, emotional, behavioural, social, and academic issues are linked to children who witness marital violence, therefore disrupting a child’s psychological functioning. </w:t>
      </w:r>
    </w:p>
    <w:p w14:paraId="22A72AE2" w14:textId="22E47219" w:rsidR="006C3D5C" w:rsidRPr="009565F5" w:rsidRDefault="006C3D5C" w:rsidP="007A3223">
      <w:pPr>
        <w:pStyle w:val="NormalWeb"/>
        <w:jc w:val="both"/>
        <w:rPr>
          <w:rFonts w:ascii="Calibri" w:hAnsi="Calibri" w:cs="Calibri"/>
          <w:sz w:val="22"/>
          <w:szCs w:val="22"/>
        </w:rPr>
      </w:pPr>
      <w:r w:rsidRPr="009565F5">
        <w:rPr>
          <w:rFonts w:ascii="Calibri" w:hAnsi="Calibri" w:cs="Calibri"/>
          <w:sz w:val="22"/>
          <w:szCs w:val="22"/>
        </w:rPr>
        <w:lastRenderedPageBreak/>
        <w:t>When speaking to the victim, it was important for myself and my colleague to obtain as much information as possible from her, without bombarding her. My colleague and I would take it in turns to ask the victim questions, showing her compassion and patience. When speaking to her, I ensured I communicated with her in accordance with the College of Policing’s LEAPS model from their personal safety manual, a useful and practical tool used to communicate with people in any scenario (College of Policing, 2020). Communication can be defined as the process of passing information and it’s common understanding between people (Jurczyk, 2022). I began by asking the victim about their history together, wanting to obtain the background to the relationship, working our way forward chronologically, listening carefully and asking further questions for clarity when necessary. I wanted to allow to her speak freely, because if I kept interrupting her, then we may lose momentum with the victim then residing to speaking less and be guided by us. It can often be difficult to obtain information in these circumstances, however the victim felt comfortable enough to open us and speak to officers, despite it being such a harrowing conversation. It is crucially important for police officers to show empathy when speaking to victims, particularly of domestic violence because they are often sharing such personal and intimate experiences. Occasionally the victim would skim over instances that required greater explanation, such as the controlling behaviour she endured, and it would be our responsibility to ask the difficult questions and address these offences. Paraphrasing a person’s account back to them is a useful habit because it shows them that you are listening and understanding what is being said, but similarly if you have misunderstood something then they can correct you to ensure you’re on the same page (College of Policing, 2020)</w:t>
      </w:r>
      <w:r w:rsidR="007A3223">
        <w:rPr>
          <w:rFonts w:ascii="Calibri" w:hAnsi="Calibri" w:cs="Calibri"/>
          <w:sz w:val="22"/>
          <w:szCs w:val="22"/>
        </w:rPr>
        <w:t>.</w:t>
      </w:r>
    </w:p>
    <w:p w14:paraId="0224F3E0" w14:textId="77777777" w:rsidR="006C3D5C" w:rsidRPr="009565F5" w:rsidRDefault="006C3D5C" w:rsidP="007A3223">
      <w:pPr>
        <w:pStyle w:val="NormalWeb"/>
        <w:jc w:val="both"/>
        <w:rPr>
          <w:rFonts w:ascii="Calibri" w:hAnsi="Calibri" w:cs="Calibri"/>
          <w:sz w:val="22"/>
          <w:szCs w:val="22"/>
        </w:rPr>
      </w:pPr>
      <w:r w:rsidRPr="009565F5">
        <w:rPr>
          <w:rFonts w:ascii="Calibri" w:hAnsi="Calibri" w:cs="Calibri"/>
          <w:sz w:val="22"/>
          <w:szCs w:val="22"/>
        </w:rPr>
        <w:t xml:space="preserve">Driscoll’s reflective practice consists of three questions; ‘What?’, ‘So what?’ and ‘Now what?’, which allow the individual reflecting on their performance to provide a structured answer. Norman and Nixon (2013) have a series of additional questions to aid in a well thought out reflection of an individual’s performance. </w:t>
      </w:r>
    </w:p>
    <w:p w14:paraId="1CEB36F5" w14:textId="7D101AD4" w:rsidR="006C3D5C" w:rsidRPr="009565F5" w:rsidRDefault="006C3D5C" w:rsidP="002A5445">
      <w:pPr>
        <w:pStyle w:val="NormalWeb"/>
        <w:ind w:left="567" w:hanging="567"/>
        <w:jc w:val="center"/>
        <w:rPr>
          <w:rFonts w:ascii="Calibri" w:hAnsi="Calibri" w:cs="Calibri"/>
          <w:sz w:val="22"/>
          <w:szCs w:val="22"/>
        </w:rPr>
      </w:pPr>
      <w:r>
        <w:rPr>
          <w:rFonts w:ascii="Calibri" w:hAnsi="Calibri" w:cs="Calibri"/>
          <w:noProof/>
          <w:sz w:val="22"/>
          <w:szCs w:val="22"/>
        </w:rPr>
        <w:drawing>
          <wp:inline distT="0" distB="0" distL="0" distR="0" wp14:anchorId="54F2F857" wp14:editId="74C732F6">
            <wp:extent cx="3132691" cy="2117148"/>
            <wp:effectExtent l="0" t="0" r="0" b="0"/>
            <wp:docPr id="443369167" name="Picture 1" descr="A diagram of a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369167" name="Picture 1" descr="A diagram of a puzzl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46860" cy="2126724"/>
                    </a:xfrm>
                    <a:prstGeom prst="rect">
                      <a:avLst/>
                    </a:prstGeom>
                    <a:noFill/>
                  </pic:spPr>
                </pic:pic>
              </a:graphicData>
            </a:graphic>
          </wp:inline>
        </w:drawing>
      </w:r>
    </w:p>
    <w:p w14:paraId="6A082621" w14:textId="77D656A7" w:rsidR="006C3D5C" w:rsidRPr="009565F5" w:rsidRDefault="006C3D5C" w:rsidP="007A3223">
      <w:pPr>
        <w:pStyle w:val="NormalWeb"/>
        <w:jc w:val="both"/>
        <w:rPr>
          <w:rFonts w:ascii="Calibri" w:hAnsi="Calibri" w:cs="Calibri"/>
          <w:sz w:val="22"/>
          <w:szCs w:val="22"/>
        </w:rPr>
      </w:pPr>
      <w:r w:rsidRPr="009565F5">
        <w:rPr>
          <w:rFonts w:ascii="Calibri" w:hAnsi="Calibri" w:cs="Calibri"/>
          <w:sz w:val="22"/>
          <w:szCs w:val="22"/>
        </w:rPr>
        <w:t xml:space="preserve">The ‘What?’ in accordance with Driscoll’s reflective model refers to what has happened, and what were my actions during this initial stage. </w:t>
      </w:r>
      <w:r w:rsidR="002A5445" w:rsidRPr="009565F5">
        <w:rPr>
          <w:rFonts w:ascii="Calibri" w:hAnsi="Calibri" w:cs="Calibri"/>
          <w:sz w:val="22"/>
          <w:szCs w:val="22"/>
        </w:rPr>
        <w:t>Usually,</w:t>
      </w:r>
      <w:r w:rsidRPr="009565F5">
        <w:rPr>
          <w:rFonts w:ascii="Calibri" w:hAnsi="Calibri" w:cs="Calibri"/>
          <w:sz w:val="22"/>
          <w:szCs w:val="22"/>
        </w:rPr>
        <w:t xml:space="preserve"> officers would avoid phone contact</w:t>
      </w:r>
      <w:r w:rsidR="002A5445">
        <w:rPr>
          <w:rFonts w:ascii="Calibri" w:hAnsi="Calibri" w:cs="Calibri"/>
          <w:sz w:val="22"/>
          <w:szCs w:val="22"/>
        </w:rPr>
        <w:t xml:space="preserve"> in these circumstances</w:t>
      </w:r>
      <w:r w:rsidRPr="009565F5">
        <w:rPr>
          <w:rFonts w:ascii="Calibri" w:hAnsi="Calibri" w:cs="Calibri"/>
          <w:sz w:val="22"/>
          <w:szCs w:val="22"/>
        </w:rPr>
        <w:t xml:space="preserve">, however due to the aggrieved requesting </w:t>
      </w:r>
      <w:r>
        <w:rPr>
          <w:rFonts w:ascii="Calibri" w:hAnsi="Calibri" w:cs="Calibri"/>
          <w:sz w:val="22"/>
          <w:szCs w:val="22"/>
        </w:rPr>
        <w:t>it</w:t>
      </w:r>
      <w:r w:rsidRPr="009565F5">
        <w:rPr>
          <w:rFonts w:ascii="Calibri" w:hAnsi="Calibri" w:cs="Calibri"/>
          <w:sz w:val="22"/>
          <w:szCs w:val="22"/>
        </w:rPr>
        <w:t xml:space="preserve">, </w:t>
      </w:r>
      <w:r>
        <w:rPr>
          <w:rFonts w:ascii="Calibri" w:hAnsi="Calibri" w:cs="Calibri"/>
          <w:sz w:val="22"/>
          <w:szCs w:val="22"/>
        </w:rPr>
        <w:t>we obliged</w:t>
      </w:r>
      <w:r w:rsidRPr="009565F5">
        <w:rPr>
          <w:rFonts w:ascii="Calibri" w:hAnsi="Calibri" w:cs="Calibri"/>
          <w:sz w:val="22"/>
          <w:szCs w:val="22"/>
        </w:rPr>
        <w:t xml:space="preserve">. The concerns with phone contact is that there is no certain way of knowing if the perpetrator is present with the aggrieved, whether they are listening and are then made aware of the police’ involvement. However, due to her request and the aggrieved passing information via the HCP that the perpetrator works away during the week, officers contacted her by phone, and arranged for her to attend the police station, which would be a safe place for her. I was saddened and frustrated to learn about the aggrieved’ history of domestic abuse by the perpetrator. Despite this, it is crucially important for officers to obtain as much information as possible from an aggrieved in any incident, whilst also showing them the empathy and respect they deserve. Once we had established the circumstances with the aggrieved and obtained a statement of complaint, we were then able to form an action plan whereby we safeguarded the aggrieved and </w:t>
      </w:r>
      <w:r>
        <w:rPr>
          <w:rFonts w:ascii="Calibri" w:hAnsi="Calibri" w:cs="Calibri"/>
          <w:sz w:val="22"/>
          <w:szCs w:val="22"/>
        </w:rPr>
        <w:t>commence</w:t>
      </w:r>
      <w:r w:rsidRPr="009565F5">
        <w:rPr>
          <w:rFonts w:ascii="Calibri" w:hAnsi="Calibri" w:cs="Calibri"/>
          <w:sz w:val="22"/>
          <w:szCs w:val="22"/>
        </w:rPr>
        <w:t xml:space="preserve"> our arrest enquiries for the perpetrator. </w:t>
      </w:r>
      <w:r w:rsidR="002A5445">
        <w:rPr>
          <w:rFonts w:ascii="Calibri" w:hAnsi="Calibri" w:cs="Calibri"/>
          <w:sz w:val="22"/>
          <w:szCs w:val="22"/>
        </w:rPr>
        <w:t xml:space="preserve">I am glad that I was in a position </w:t>
      </w:r>
      <w:r w:rsidR="002A5445">
        <w:rPr>
          <w:rFonts w:ascii="Calibri" w:hAnsi="Calibri" w:cs="Calibri"/>
          <w:sz w:val="22"/>
          <w:szCs w:val="22"/>
        </w:rPr>
        <w:lastRenderedPageBreak/>
        <w:t>whereby I could offer the aggrieved that a female colleague of mine be present whilst speaking to her, in order to comfort her. Along with this, I believe my patience and empathic nature allowed for her to feel more at ease.</w:t>
      </w:r>
    </w:p>
    <w:p w14:paraId="55ABA285" w14:textId="3DF654EC" w:rsidR="006C3D5C" w:rsidRPr="009565F5" w:rsidRDefault="006C3D5C" w:rsidP="007A3223">
      <w:pPr>
        <w:pStyle w:val="NormalWeb"/>
        <w:jc w:val="both"/>
        <w:rPr>
          <w:rFonts w:ascii="Calibri" w:hAnsi="Calibri" w:cs="Calibri"/>
          <w:sz w:val="22"/>
          <w:szCs w:val="22"/>
        </w:rPr>
      </w:pPr>
      <w:r w:rsidRPr="009565F5">
        <w:rPr>
          <w:rFonts w:ascii="Calibri" w:hAnsi="Calibri" w:cs="Calibri"/>
          <w:sz w:val="22"/>
          <w:szCs w:val="22"/>
        </w:rPr>
        <w:t xml:space="preserve">The ‘So what?’ of Driscoll’s reflective model refers to the understanding of the context obtained from the aggrieved. Norman and Nixon’s (2013) additional questions prompt answers to questions such as “what were you feeling at the time?” and “what good emerged?”. In truth, once the circumstances had been established and were able to safeguard the aggrieved from the perpetrator, I felt confident and assured that we had obtained the relevant information. I felt a great deal of sympathy for a woman that had suffered so much </w:t>
      </w:r>
      <w:r>
        <w:rPr>
          <w:rFonts w:ascii="Calibri" w:hAnsi="Calibri" w:cs="Calibri"/>
          <w:sz w:val="22"/>
          <w:szCs w:val="22"/>
        </w:rPr>
        <w:t xml:space="preserve">in her relationship, </w:t>
      </w:r>
      <w:r w:rsidRPr="009565F5">
        <w:rPr>
          <w:rFonts w:ascii="Calibri" w:hAnsi="Calibri" w:cs="Calibri"/>
          <w:sz w:val="22"/>
          <w:szCs w:val="22"/>
        </w:rPr>
        <w:t xml:space="preserve">whilst also caring for her young children, </w:t>
      </w:r>
      <w:r w:rsidR="002A5445">
        <w:rPr>
          <w:rFonts w:ascii="Calibri" w:hAnsi="Calibri" w:cs="Calibri"/>
          <w:sz w:val="22"/>
          <w:szCs w:val="22"/>
        </w:rPr>
        <w:t>however I felt positive in that now that we were aware, we</w:t>
      </w:r>
      <w:r w:rsidRPr="009565F5">
        <w:rPr>
          <w:rFonts w:ascii="Calibri" w:hAnsi="Calibri" w:cs="Calibri"/>
          <w:sz w:val="22"/>
          <w:szCs w:val="22"/>
        </w:rPr>
        <w:t xml:space="preserve"> </w:t>
      </w:r>
      <w:r w:rsidR="002A5445">
        <w:rPr>
          <w:rFonts w:ascii="Calibri" w:hAnsi="Calibri" w:cs="Calibri"/>
          <w:sz w:val="22"/>
          <w:szCs w:val="22"/>
        </w:rPr>
        <w:t xml:space="preserve">could now act. </w:t>
      </w:r>
      <w:r>
        <w:rPr>
          <w:rFonts w:ascii="Calibri" w:hAnsi="Calibri" w:cs="Calibri"/>
          <w:sz w:val="22"/>
          <w:szCs w:val="22"/>
        </w:rPr>
        <w:t xml:space="preserve">Obtaining a statement of complaint and having the aggrieved support a prosecution was </w:t>
      </w:r>
      <w:r w:rsidR="00352AD5">
        <w:rPr>
          <w:rFonts w:ascii="Calibri" w:hAnsi="Calibri" w:cs="Calibri"/>
          <w:sz w:val="22"/>
          <w:szCs w:val="22"/>
        </w:rPr>
        <w:t xml:space="preserve">a </w:t>
      </w:r>
      <w:r>
        <w:rPr>
          <w:rFonts w:ascii="Calibri" w:hAnsi="Calibri" w:cs="Calibri"/>
          <w:sz w:val="22"/>
          <w:szCs w:val="22"/>
        </w:rPr>
        <w:t>significant</w:t>
      </w:r>
      <w:r w:rsidR="00352AD5">
        <w:rPr>
          <w:rFonts w:ascii="Calibri" w:hAnsi="Calibri" w:cs="Calibri"/>
          <w:sz w:val="22"/>
          <w:szCs w:val="22"/>
        </w:rPr>
        <w:t xml:space="preserve"> event during the incident</w:t>
      </w:r>
      <w:r>
        <w:rPr>
          <w:rFonts w:ascii="Calibri" w:hAnsi="Calibri" w:cs="Calibri"/>
          <w:sz w:val="22"/>
          <w:szCs w:val="22"/>
        </w:rPr>
        <w:t xml:space="preserve">. </w:t>
      </w:r>
      <w:r w:rsidRPr="009565F5">
        <w:rPr>
          <w:rFonts w:ascii="Calibri" w:hAnsi="Calibri" w:cs="Calibri"/>
          <w:sz w:val="22"/>
          <w:szCs w:val="22"/>
        </w:rPr>
        <w:t>As a result of her difficult disclosure</w:t>
      </w:r>
      <w:r>
        <w:rPr>
          <w:rFonts w:ascii="Calibri" w:hAnsi="Calibri" w:cs="Calibri"/>
          <w:sz w:val="22"/>
          <w:szCs w:val="22"/>
        </w:rPr>
        <w:t>s</w:t>
      </w:r>
      <w:r w:rsidRPr="009565F5">
        <w:rPr>
          <w:rFonts w:ascii="Calibri" w:hAnsi="Calibri" w:cs="Calibri"/>
          <w:sz w:val="22"/>
          <w:szCs w:val="22"/>
        </w:rPr>
        <w:t xml:space="preserve"> to officers, </w:t>
      </w:r>
      <w:r>
        <w:rPr>
          <w:rFonts w:ascii="Calibri" w:hAnsi="Calibri" w:cs="Calibri"/>
          <w:sz w:val="22"/>
          <w:szCs w:val="22"/>
        </w:rPr>
        <w:t>the aggrieved</w:t>
      </w:r>
      <w:r w:rsidRPr="009565F5">
        <w:rPr>
          <w:rFonts w:ascii="Calibri" w:hAnsi="Calibri" w:cs="Calibri"/>
          <w:sz w:val="22"/>
          <w:szCs w:val="22"/>
        </w:rPr>
        <w:t xml:space="preserve"> consented to referrals that would </w:t>
      </w:r>
      <w:r>
        <w:rPr>
          <w:rFonts w:ascii="Calibri" w:hAnsi="Calibri" w:cs="Calibri"/>
          <w:sz w:val="22"/>
          <w:szCs w:val="22"/>
        </w:rPr>
        <w:t>benefit and support her through this difficult time.</w:t>
      </w:r>
    </w:p>
    <w:p w14:paraId="25E58581" w14:textId="0D9483CB" w:rsidR="007D3830" w:rsidRDefault="007D3830" w:rsidP="007A3223">
      <w:pPr>
        <w:pStyle w:val="NormalWeb"/>
        <w:jc w:val="both"/>
        <w:rPr>
          <w:rFonts w:ascii="Calibri" w:hAnsi="Calibri" w:cs="Calibri"/>
          <w:sz w:val="22"/>
          <w:szCs w:val="22"/>
        </w:rPr>
      </w:pPr>
      <w:r>
        <w:rPr>
          <w:rFonts w:ascii="Calibri" w:hAnsi="Calibri" w:cs="Calibri"/>
          <w:sz w:val="22"/>
          <w:szCs w:val="22"/>
        </w:rPr>
        <w:t>In the final piece of Driscoll’s reflective model, the ‘Now what?” relates to ones learning from the experience, and how that experience can be utilised to inform practice in the future.</w:t>
      </w:r>
      <w:r w:rsidR="0019285E">
        <w:rPr>
          <w:rFonts w:ascii="Calibri" w:hAnsi="Calibri" w:cs="Calibri"/>
          <w:sz w:val="22"/>
          <w:szCs w:val="22"/>
        </w:rPr>
        <w:t xml:space="preserve"> </w:t>
      </w:r>
      <w:r>
        <w:rPr>
          <w:rFonts w:ascii="Calibri" w:hAnsi="Calibri" w:cs="Calibri"/>
          <w:sz w:val="22"/>
          <w:szCs w:val="22"/>
        </w:rPr>
        <w:t xml:space="preserve">Whilst dealing with this incident I learnt that no two instances are the same, particularly when it comes to domestic violence. I have attended many domestic related calls, however the combination of the injuries she experienced, the abuse she suffered, her fear, her initial resistance to speaking to the police and the inclusion of their young children, this was a complex case. Safeguarding is a crucial component to any incident, however no more so than an incident such as this which I came to learn. In future, after establishing the circumstances and before any action is taken, I will prioritise safeguarding. Safeguarding will be unique to each and every aggrieved given the circumstances. I have learnt that being patient and transparent with people will </w:t>
      </w:r>
      <w:r w:rsidR="0019285E">
        <w:rPr>
          <w:rFonts w:ascii="Calibri" w:hAnsi="Calibri" w:cs="Calibri"/>
          <w:sz w:val="22"/>
          <w:szCs w:val="22"/>
        </w:rPr>
        <w:t>occasionally present the best results, with this incident being a good example.</w:t>
      </w:r>
    </w:p>
    <w:p w14:paraId="47E6D973" w14:textId="339CF470" w:rsidR="00723582" w:rsidRPr="00E90450" w:rsidRDefault="006C3D5C" w:rsidP="00E90450">
      <w:pPr>
        <w:pStyle w:val="NormalWeb"/>
        <w:jc w:val="both"/>
        <w:rPr>
          <w:rFonts w:ascii="Calibri" w:hAnsi="Calibri" w:cs="Calibri"/>
          <w:sz w:val="22"/>
          <w:szCs w:val="22"/>
        </w:rPr>
      </w:pPr>
      <w:r w:rsidRPr="00E90450">
        <w:rPr>
          <w:rFonts w:ascii="Calibri" w:hAnsi="Calibri" w:cs="Calibri"/>
          <w:sz w:val="22"/>
          <w:szCs w:val="22"/>
        </w:rPr>
        <w:t xml:space="preserve">In conclusion, </w:t>
      </w:r>
      <w:r w:rsidR="00D15C49" w:rsidRPr="00E90450">
        <w:rPr>
          <w:rFonts w:ascii="Calibri" w:hAnsi="Calibri" w:cs="Calibri"/>
          <w:sz w:val="22"/>
          <w:szCs w:val="22"/>
        </w:rPr>
        <w:t xml:space="preserve">when </w:t>
      </w:r>
      <w:r w:rsidR="007E09D9" w:rsidRPr="00E90450">
        <w:rPr>
          <w:rFonts w:ascii="Calibri" w:hAnsi="Calibri" w:cs="Calibri"/>
          <w:sz w:val="22"/>
          <w:szCs w:val="22"/>
        </w:rPr>
        <w:t xml:space="preserve">attending and dealing with any incident, particularly such complex domestic ones, I will show the aggrieved my utmost respect by being patient and empathic, in the hope that it will provide them with comfort and their willingness to share information. During task 2 of this </w:t>
      </w:r>
      <w:r w:rsidR="00723582" w:rsidRPr="00E90450">
        <w:rPr>
          <w:rFonts w:ascii="Calibri" w:hAnsi="Calibri" w:cs="Calibri"/>
          <w:sz w:val="22"/>
          <w:szCs w:val="22"/>
        </w:rPr>
        <w:t>workbook,</w:t>
      </w:r>
      <w:r w:rsidR="007E09D9" w:rsidRPr="00E90450">
        <w:rPr>
          <w:rFonts w:ascii="Calibri" w:hAnsi="Calibri" w:cs="Calibri"/>
          <w:sz w:val="22"/>
          <w:szCs w:val="22"/>
        </w:rPr>
        <w:t xml:space="preserve"> I have critically assessed the challenges and associated complexities that partner a domestic abuse incident, and discussed the </w:t>
      </w:r>
      <w:r w:rsidR="007E09D9" w:rsidRPr="00E90450">
        <w:rPr>
          <w:rFonts w:ascii="Calibri" w:hAnsi="Calibri" w:cs="Calibri"/>
          <w:sz w:val="22"/>
          <w:szCs w:val="22"/>
        </w:rPr>
        <w:t>strategies</w:t>
      </w:r>
      <w:r w:rsidR="007E09D9" w:rsidRPr="00E90450">
        <w:rPr>
          <w:rFonts w:ascii="Calibri" w:hAnsi="Calibri" w:cs="Calibri"/>
          <w:sz w:val="22"/>
          <w:szCs w:val="22"/>
        </w:rPr>
        <w:t xml:space="preserve"> I</w:t>
      </w:r>
      <w:r w:rsidR="007E09D9" w:rsidRPr="00E90450">
        <w:rPr>
          <w:rFonts w:ascii="Calibri" w:hAnsi="Calibri" w:cs="Calibri"/>
          <w:sz w:val="22"/>
          <w:szCs w:val="22"/>
        </w:rPr>
        <w:t xml:space="preserve"> utilised </w:t>
      </w:r>
      <w:r w:rsidR="007E09D9" w:rsidRPr="00E90450">
        <w:rPr>
          <w:rFonts w:ascii="Calibri" w:hAnsi="Calibri" w:cs="Calibri"/>
          <w:sz w:val="22"/>
          <w:szCs w:val="22"/>
        </w:rPr>
        <w:t>throughout</w:t>
      </w:r>
      <w:r w:rsidR="007E09D9" w:rsidRPr="00E90450">
        <w:rPr>
          <w:rFonts w:ascii="Calibri" w:hAnsi="Calibri" w:cs="Calibri"/>
          <w:sz w:val="22"/>
          <w:szCs w:val="22"/>
        </w:rPr>
        <w:t xml:space="preserve">, </w:t>
      </w:r>
      <w:r w:rsidR="007E09D9" w:rsidRPr="00E90450">
        <w:rPr>
          <w:rFonts w:ascii="Calibri" w:hAnsi="Calibri" w:cs="Calibri"/>
          <w:sz w:val="22"/>
          <w:szCs w:val="22"/>
        </w:rPr>
        <w:t>with the use of</w:t>
      </w:r>
      <w:r w:rsidR="007E09D9" w:rsidRPr="00E90450">
        <w:rPr>
          <w:rFonts w:ascii="Calibri" w:hAnsi="Calibri" w:cs="Calibri"/>
          <w:sz w:val="22"/>
          <w:szCs w:val="22"/>
        </w:rPr>
        <w:t xml:space="preserve"> L.E.A.P.S</w:t>
      </w:r>
      <w:r w:rsidR="007E09D9" w:rsidRPr="00E90450">
        <w:rPr>
          <w:rFonts w:ascii="Calibri" w:hAnsi="Calibri" w:cs="Calibri"/>
          <w:sz w:val="22"/>
          <w:szCs w:val="22"/>
        </w:rPr>
        <w:t xml:space="preserve">. </w:t>
      </w:r>
      <w:r w:rsidR="00723582" w:rsidRPr="00E90450">
        <w:rPr>
          <w:rFonts w:ascii="Calibri" w:hAnsi="Calibri" w:cs="Calibri"/>
          <w:sz w:val="22"/>
          <w:szCs w:val="22"/>
        </w:rPr>
        <w:t xml:space="preserve">I have finished this task by reflecting on my personal performance throughout the incident, through the use of Driscoll’s ‘WHAT? SO WHAT? NOW WHAT?’ reflective model. </w:t>
      </w:r>
      <w:r w:rsidR="00E90450" w:rsidRPr="00E90450">
        <w:rPr>
          <w:rFonts w:ascii="Calibri" w:hAnsi="Calibri" w:cs="Calibri"/>
          <w:sz w:val="22"/>
          <w:szCs w:val="22"/>
        </w:rPr>
        <w:t xml:space="preserve">This reflection has allowed me to assess my strengths and weaknesses, solidifying the areas for improvement I have. </w:t>
      </w:r>
      <w:r w:rsidR="00E90450" w:rsidRPr="00E90450">
        <w:rPr>
          <w:rFonts w:ascii="Calibri" w:hAnsi="Calibri" w:cs="Calibri"/>
        </w:rPr>
        <w:t xml:space="preserve">Whilst I am becoming a more confident and competent officer, </w:t>
      </w:r>
      <w:r w:rsidR="00E90450" w:rsidRPr="00E90450">
        <w:rPr>
          <w:rFonts w:ascii="Calibri" w:hAnsi="Calibri" w:cs="Calibri"/>
        </w:rPr>
        <w:t xml:space="preserve">I am fortunate </w:t>
      </w:r>
      <w:r w:rsidR="00E90450" w:rsidRPr="00E90450">
        <w:rPr>
          <w:rFonts w:ascii="Calibri" w:hAnsi="Calibri" w:cs="Calibri"/>
        </w:rPr>
        <w:t xml:space="preserve">to have such </w:t>
      </w:r>
      <w:proofErr w:type="spellStart"/>
      <w:r w:rsidR="00E90450" w:rsidRPr="00E90450">
        <w:rPr>
          <w:rFonts w:ascii="Calibri" w:hAnsi="Calibri" w:cs="Calibri"/>
        </w:rPr>
        <w:t>a</w:t>
      </w:r>
      <w:proofErr w:type="spellEnd"/>
      <w:r w:rsidR="00E90450" w:rsidRPr="00E90450">
        <w:rPr>
          <w:rFonts w:ascii="Calibri" w:hAnsi="Calibri" w:cs="Calibri"/>
        </w:rPr>
        <w:t xml:space="preserve"> supportive and</w:t>
      </w:r>
      <w:r w:rsidR="00E90450" w:rsidRPr="00E90450">
        <w:rPr>
          <w:rFonts w:ascii="Calibri" w:hAnsi="Calibri" w:cs="Calibri"/>
        </w:rPr>
        <w:t xml:space="preserve"> experienced team </w:t>
      </w:r>
      <w:r w:rsidR="00E90450" w:rsidRPr="00E90450">
        <w:rPr>
          <w:rFonts w:ascii="Calibri" w:hAnsi="Calibri" w:cs="Calibri"/>
        </w:rPr>
        <w:t>around me should I ever require advice.</w:t>
      </w:r>
    </w:p>
    <w:p w14:paraId="1E7582D1" w14:textId="77777777" w:rsidR="00E90450" w:rsidRPr="00E90450" w:rsidRDefault="00E90450" w:rsidP="006C3D5C">
      <w:pPr>
        <w:pStyle w:val="NormalWeb"/>
        <w:ind w:left="567" w:hanging="567"/>
        <w:jc w:val="both"/>
        <w:rPr>
          <w:rFonts w:ascii="Calibri" w:hAnsi="Calibri" w:cs="Calibri"/>
          <w:sz w:val="22"/>
          <w:szCs w:val="22"/>
        </w:rPr>
      </w:pPr>
    </w:p>
    <w:p w14:paraId="498D834D" w14:textId="03EEB75B" w:rsidR="006C3D5C" w:rsidRPr="009565F5" w:rsidRDefault="006C3D5C" w:rsidP="006C3D5C">
      <w:pPr>
        <w:pStyle w:val="NormalWeb"/>
        <w:ind w:left="567" w:hanging="567"/>
        <w:jc w:val="both"/>
        <w:rPr>
          <w:rFonts w:ascii="Calibri" w:hAnsi="Calibri" w:cs="Calibri"/>
          <w:sz w:val="22"/>
          <w:szCs w:val="22"/>
        </w:rPr>
      </w:pPr>
      <w:r w:rsidRPr="00E90450">
        <w:rPr>
          <w:rFonts w:ascii="Calibri" w:hAnsi="Calibri" w:cs="Calibri"/>
          <w:sz w:val="22"/>
          <w:szCs w:val="22"/>
        </w:rPr>
        <w:t xml:space="preserve">WORD COUNT </w:t>
      </w:r>
      <w:r w:rsidR="007A3223">
        <w:rPr>
          <w:rFonts w:ascii="Calibri" w:hAnsi="Calibri" w:cs="Calibri"/>
          <w:sz w:val="22"/>
          <w:szCs w:val="22"/>
        </w:rPr>
        <w:t>– 2314.</w:t>
      </w: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01D4CA9" w:rsidR="0FF883D4" w:rsidRDefault="5CE196A1" w:rsidP="5CE196A1">
      <w:r w:rsidRPr="5CE196A1">
        <w:rPr>
          <w:rFonts w:eastAsia="Arial"/>
          <w:b/>
          <w:bCs/>
          <w:color w:val="000000" w:themeColor="text1"/>
          <w:sz w:val="24"/>
          <w:szCs w:val="24"/>
        </w:rPr>
        <w:t xml:space="preserve">Signed: </w:t>
      </w:r>
      <w:r w:rsidR="00D15C49" w:rsidRPr="00D15C49">
        <w:rPr>
          <w:rFonts w:ascii="Mistral" w:eastAsia="Arial" w:hAnsi="Mistral"/>
          <w:color w:val="000000" w:themeColor="text1"/>
          <w:sz w:val="56"/>
          <w:szCs w:val="56"/>
        </w:rPr>
        <w:t>Samuel Barnard</w:t>
      </w:r>
      <w:r w:rsidR="00D15C49" w:rsidRPr="00D15C49">
        <w:rPr>
          <w:rFonts w:eastAsia="Arial"/>
          <w:b/>
          <w:bCs/>
          <w:color w:val="000000" w:themeColor="text1"/>
          <w:sz w:val="56"/>
          <w:szCs w:val="56"/>
        </w:rPr>
        <w:t xml:space="preserve">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67E58E3C" w:rsidR="0FF883D4" w:rsidRDefault="5CE196A1" w:rsidP="5CE196A1">
      <w:r w:rsidRPr="5CE196A1">
        <w:rPr>
          <w:rFonts w:eastAsia="Arial"/>
          <w:b/>
          <w:bCs/>
          <w:color w:val="000000" w:themeColor="text1"/>
          <w:sz w:val="24"/>
          <w:szCs w:val="24"/>
        </w:rPr>
        <w:t>Date:</w:t>
      </w:r>
      <w:r w:rsidR="00D15C49">
        <w:rPr>
          <w:rFonts w:eastAsia="Arial"/>
          <w:b/>
          <w:bCs/>
          <w:color w:val="000000" w:themeColor="text1"/>
          <w:sz w:val="24"/>
          <w:szCs w:val="24"/>
        </w:rPr>
        <w:t xml:space="preserve"> 05/08/2024</w:t>
      </w:r>
    </w:p>
    <w:p w14:paraId="5302B035" w14:textId="77777777" w:rsidR="0FF883D4" w:rsidRDefault="0FF883D4" w:rsidP="5CE196A1">
      <w:pPr>
        <w:ind w:left="2880" w:right="225" w:firstLine="720"/>
        <w:rPr>
          <w:b/>
          <w:bCs/>
          <w:sz w:val="24"/>
          <w:szCs w:val="24"/>
          <w:lang w:eastAsia="zh-TW"/>
        </w:rPr>
      </w:pPr>
    </w:p>
    <w:p w14:paraId="482B2B3A" w14:textId="430321EC" w:rsidR="00643530" w:rsidRDefault="00643530" w:rsidP="5CE196A1">
      <w:pPr>
        <w:ind w:left="2880" w:right="225" w:firstLine="720"/>
        <w:rPr>
          <w:b/>
          <w:bCs/>
          <w:sz w:val="24"/>
          <w:szCs w:val="24"/>
          <w:lang w:eastAsia="zh-TW"/>
        </w:rPr>
        <w:sectPr w:rsidR="00643530" w:rsidSect="0022001B">
          <w:footerReference w:type="default" r:id="rId16"/>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D2AF88A" w14:textId="77777777" w:rsidR="00643530" w:rsidRDefault="00643530" w:rsidP="00EA28F1">
      <w:pPr>
        <w:keepNext/>
        <w:spacing w:before="240" w:after="60"/>
        <w:ind w:right="237"/>
        <w:jc w:val="both"/>
        <w:rPr>
          <w:sz w:val="24"/>
          <w:szCs w:val="24"/>
        </w:rPr>
      </w:pPr>
    </w:p>
    <w:p w14:paraId="0BAFD09F" w14:textId="77777777" w:rsidR="00643530" w:rsidRPr="009565F5" w:rsidRDefault="00643530" w:rsidP="00D057A4">
      <w:pPr>
        <w:pStyle w:val="NormalWeb"/>
        <w:numPr>
          <w:ilvl w:val="0"/>
          <w:numId w:val="50"/>
        </w:numPr>
        <w:rPr>
          <w:rFonts w:ascii="Calibri" w:hAnsi="Calibri" w:cs="Calibri"/>
          <w:sz w:val="22"/>
          <w:szCs w:val="22"/>
        </w:rPr>
      </w:pPr>
      <w:r w:rsidRPr="009565F5">
        <w:rPr>
          <w:rFonts w:ascii="Calibri" w:hAnsi="Calibri" w:cs="Calibri"/>
          <w:sz w:val="22"/>
          <w:szCs w:val="22"/>
        </w:rPr>
        <w:t xml:space="preserve">Allen, G., Carthew, H. and Zayed, Y. (2023) </w:t>
      </w:r>
      <w:r w:rsidRPr="009565F5">
        <w:rPr>
          <w:rFonts w:ascii="Calibri" w:hAnsi="Calibri" w:cs="Calibri"/>
          <w:i/>
          <w:iCs/>
          <w:sz w:val="22"/>
          <w:szCs w:val="22"/>
        </w:rPr>
        <w:t>Knife Crime Statistics - House of Commons Library</w:t>
      </w:r>
      <w:r w:rsidRPr="009565F5">
        <w:rPr>
          <w:rFonts w:ascii="Calibri" w:hAnsi="Calibri" w:cs="Calibri"/>
          <w:sz w:val="22"/>
          <w:szCs w:val="22"/>
        </w:rPr>
        <w:t xml:space="preserve">, </w:t>
      </w:r>
      <w:r w:rsidRPr="009565F5">
        <w:rPr>
          <w:rFonts w:ascii="Calibri" w:hAnsi="Calibri" w:cs="Calibri"/>
          <w:i/>
          <w:iCs/>
          <w:sz w:val="22"/>
          <w:szCs w:val="22"/>
        </w:rPr>
        <w:t>Knife crime statistics: England and Wales</w:t>
      </w:r>
      <w:r w:rsidRPr="009565F5">
        <w:rPr>
          <w:rFonts w:ascii="Calibri" w:hAnsi="Calibri" w:cs="Calibri"/>
          <w:sz w:val="22"/>
          <w:szCs w:val="22"/>
        </w:rPr>
        <w:t xml:space="preserve">. Available at: https://commonslibrary.parliament.uk/research-briefings/sn04304/ (Accessed: 04 March 2024). </w:t>
      </w:r>
    </w:p>
    <w:p w14:paraId="72E30819" w14:textId="7A6C320C" w:rsidR="00643530" w:rsidRPr="0078793F" w:rsidRDefault="0078793F" w:rsidP="00D057A4">
      <w:pPr>
        <w:pStyle w:val="ListParagraph"/>
        <w:numPr>
          <w:ilvl w:val="0"/>
          <w:numId w:val="50"/>
        </w:numPr>
        <w:overflowPunct/>
        <w:autoSpaceDE/>
        <w:adjustRightInd/>
        <w:spacing w:before="100" w:after="100"/>
        <w:textAlignment w:val="auto"/>
        <w:rPr>
          <w:rFonts w:ascii="Calibri" w:hAnsi="Calibri" w:cs="Calibri"/>
          <w:sz w:val="22"/>
          <w:szCs w:val="22"/>
        </w:rPr>
      </w:pPr>
      <w:r>
        <w:rPr>
          <w:rFonts w:ascii="Calibri" w:hAnsi="Calibri" w:cs="Calibri"/>
          <w:sz w:val="22"/>
          <w:szCs w:val="22"/>
        </w:rPr>
        <w:t xml:space="preserve">Browne, K. D., Green, K., </w:t>
      </w:r>
      <w:proofErr w:type="spellStart"/>
      <w:r>
        <w:rPr>
          <w:rFonts w:ascii="Calibri" w:hAnsi="Calibri" w:cs="Calibri"/>
          <w:sz w:val="22"/>
          <w:szCs w:val="22"/>
        </w:rPr>
        <w:t>Jareno</w:t>
      </w:r>
      <w:proofErr w:type="spellEnd"/>
      <w:r>
        <w:rPr>
          <w:rFonts w:ascii="Calibri" w:hAnsi="Calibri" w:cs="Calibri"/>
          <w:sz w:val="22"/>
          <w:szCs w:val="22"/>
        </w:rPr>
        <w:t xml:space="preserve">-Ripoll and Paddock, E. (2022) Knife crime offender characteristics and interventions – A systematic review, </w:t>
      </w:r>
      <w:r>
        <w:rPr>
          <w:rFonts w:ascii="Calibri" w:hAnsi="Calibri" w:cs="Calibri"/>
          <w:i/>
          <w:iCs/>
          <w:sz w:val="22"/>
          <w:szCs w:val="22"/>
        </w:rPr>
        <w:t xml:space="preserve">Aggression and Violent Behaviour, </w:t>
      </w:r>
      <w:r w:rsidRPr="0078793F">
        <w:rPr>
          <w:rFonts w:ascii="Calibri" w:hAnsi="Calibri" w:cs="Calibri"/>
          <w:sz w:val="22"/>
          <w:szCs w:val="22"/>
        </w:rPr>
        <w:t>pp.</w:t>
      </w:r>
      <w:r>
        <w:rPr>
          <w:rFonts w:ascii="Calibri" w:hAnsi="Calibri" w:cs="Calibri"/>
          <w:i/>
          <w:iCs/>
          <w:sz w:val="22"/>
          <w:szCs w:val="22"/>
        </w:rPr>
        <w:t xml:space="preserve"> </w:t>
      </w:r>
      <w:r>
        <w:rPr>
          <w:rFonts w:ascii="Calibri" w:hAnsi="Calibri" w:cs="Calibri"/>
          <w:sz w:val="22"/>
          <w:szCs w:val="22"/>
        </w:rPr>
        <w:t>1-14.</w:t>
      </w:r>
      <w:r w:rsidR="00643530" w:rsidRPr="0078793F">
        <w:rPr>
          <w:rFonts w:ascii="Calibri" w:hAnsi="Calibri" w:cs="Calibri"/>
          <w:sz w:val="22"/>
          <w:szCs w:val="22"/>
        </w:rPr>
        <w:t xml:space="preserve"> (Accessed: 29 April 2024). </w:t>
      </w:r>
    </w:p>
    <w:p w14:paraId="0ABAAAF6" w14:textId="77777777" w:rsidR="00643530" w:rsidRPr="009565F5" w:rsidRDefault="00643530" w:rsidP="00D057A4">
      <w:pPr>
        <w:pStyle w:val="ListParagraph"/>
        <w:numPr>
          <w:ilvl w:val="0"/>
          <w:numId w:val="50"/>
        </w:numPr>
        <w:suppressAutoHyphens/>
        <w:overflowPunct/>
        <w:autoSpaceDE/>
        <w:adjustRightInd/>
        <w:spacing w:before="100" w:after="100"/>
        <w:textAlignment w:val="auto"/>
        <w:rPr>
          <w:rFonts w:ascii="Calibri" w:hAnsi="Calibri" w:cs="Calibri"/>
          <w:sz w:val="22"/>
          <w:szCs w:val="22"/>
        </w:rPr>
      </w:pPr>
      <w:r w:rsidRPr="009565F5">
        <w:rPr>
          <w:rFonts w:ascii="Calibri" w:hAnsi="Calibri" w:cs="Calibri"/>
          <w:sz w:val="22"/>
          <w:szCs w:val="22"/>
        </w:rPr>
        <w:t xml:space="preserve">Cleaver, K. </w:t>
      </w:r>
      <w:r w:rsidRPr="009565F5">
        <w:rPr>
          <w:rFonts w:ascii="Calibri" w:hAnsi="Calibri" w:cs="Calibri"/>
          <w:i/>
          <w:iCs/>
          <w:sz w:val="22"/>
          <w:szCs w:val="22"/>
        </w:rPr>
        <w:t>et al.</w:t>
      </w:r>
      <w:r w:rsidRPr="009565F5">
        <w:rPr>
          <w:rFonts w:ascii="Calibri" w:hAnsi="Calibri" w:cs="Calibri"/>
          <w:sz w:val="22"/>
          <w:szCs w:val="22"/>
        </w:rPr>
        <w:t xml:space="preserve"> (2019) </w:t>
      </w:r>
      <w:r w:rsidRPr="009565F5">
        <w:rPr>
          <w:rFonts w:ascii="Calibri" w:hAnsi="Calibri" w:cs="Calibri"/>
          <w:i/>
          <w:iCs/>
          <w:sz w:val="22"/>
          <w:szCs w:val="22"/>
        </w:rPr>
        <w:t>A review of UK based multi-agency approaches to early intervention in domestic abuse: Lessons to be learnt from existing evaluation studies</w:t>
      </w:r>
      <w:r w:rsidRPr="009565F5">
        <w:rPr>
          <w:rFonts w:ascii="Calibri" w:hAnsi="Calibri" w:cs="Calibri"/>
          <w:sz w:val="22"/>
          <w:szCs w:val="22"/>
        </w:rPr>
        <w:t xml:space="preserve">, </w:t>
      </w:r>
      <w:r w:rsidRPr="009565F5">
        <w:rPr>
          <w:rFonts w:ascii="Calibri" w:hAnsi="Calibri" w:cs="Calibri"/>
          <w:i/>
          <w:iCs/>
          <w:sz w:val="22"/>
          <w:szCs w:val="22"/>
        </w:rPr>
        <w:t xml:space="preserve">Aggression and Violent </w:t>
      </w:r>
      <w:proofErr w:type="spellStart"/>
      <w:r w:rsidRPr="009565F5">
        <w:rPr>
          <w:rFonts w:ascii="Calibri" w:hAnsi="Calibri" w:cs="Calibri"/>
          <w:i/>
          <w:iCs/>
          <w:sz w:val="22"/>
          <w:szCs w:val="22"/>
        </w:rPr>
        <w:t>Behavior</w:t>
      </w:r>
      <w:proofErr w:type="spellEnd"/>
      <w:r w:rsidRPr="009565F5">
        <w:rPr>
          <w:rFonts w:ascii="Calibri" w:hAnsi="Calibri" w:cs="Calibri"/>
          <w:sz w:val="22"/>
          <w:szCs w:val="22"/>
        </w:rPr>
        <w:t xml:space="preserve">. Available at: https://www.sciencedirect.com/science/article/abs/pii/S1359178917303373 (Accessed: 20 June 2024). </w:t>
      </w:r>
    </w:p>
    <w:p w14:paraId="363D46DB" w14:textId="77777777" w:rsidR="00643530" w:rsidRPr="009565F5" w:rsidRDefault="00643530" w:rsidP="00D057A4">
      <w:pPr>
        <w:pStyle w:val="ListParagraph"/>
        <w:numPr>
          <w:ilvl w:val="0"/>
          <w:numId w:val="50"/>
        </w:numPr>
        <w:overflowPunct/>
        <w:autoSpaceDE/>
        <w:adjustRightInd/>
        <w:spacing w:before="100" w:after="100"/>
        <w:textAlignment w:val="auto"/>
        <w:rPr>
          <w:rFonts w:ascii="Calibri" w:hAnsi="Calibri" w:cs="Calibri"/>
          <w:sz w:val="22"/>
          <w:szCs w:val="22"/>
        </w:rPr>
      </w:pPr>
      <w:r w:rsidRPr="009565F5">
        <w:rPr>
          <w:rFonts w:ascii="Calibri" w:hAnsi="Calibri" w:cs="Calibri"/>
          <w:i/>
          <w:iCs/>
          <w:sz w:val="22"/>
          <w:szCs w:val="22"/>
        </w:rPr>
        <w:t>Conflict management skills</w:t>
      </w:r>
      <w:r w:rsidRPr="009565F5">
        <w:rPr>
          <w:rFonts w:ascii="Calibri" w:hAnsi="Calibri" w:cs="Calibri"/>
          <w:sz w:val="22"/>
          <w:szCs w:val="22"/>
        </w:rPr>
        <w:t xml:space="preserve"> (2020) </w:t>
      </w:r>
      <w:r w:rsidRPr="009565F5">
        <w:rPr>
          <w:rFonts w:ascii="Calibri" w:hAnsi="Calibri" w:cs="Calibri"/>
          <w:i/>
          <w:iCs/>
          <w:sz w:val="22"/>
          <w:szCs w:val="22"/>
        </w:rPr>
        <w:t>College of Policing</w:t>
      </w:r>
      <w:r w:rsidRPr="009565F5">
        <w:rPr>
          <w:rFonts w:ascii="Calibri" w:hAnsi="Calibri" w:cs="Calibri"/>
          <w:sz w:val="22"/>
          <w:szCs w:val="22"/>
        </w:rPr>
        <w:t xml:space="preserve">. Available at: https://www.college.police.uk/guidance/conflict-management/conflict-management-skills (Accessed: 10 July 2024). </w:t>
      </w:r>
    </w:p>
    <w:p w14:paraId="67D40ED5" w14:textId="77777777" w:rsidR="00643530" w:rsidRPr="009565F5" w:rsidRDefault="00643530" w:rsidP="00D057A4">
      <w:pPr>
        <w:pStyle w:val="NormalWeb"/>
        <w:numPr>
          <w:ilvl w:val="0"/>
          <w:numId w:val="50"/>
        </w:numPr>
        <w:rPr>
          <w:rFonts w:ascii="Calibri" w:hAnsi="Calibri" w:cs="Calibri"/>
          <w:sz w:val="22"/>
          <w:szCs w:val="22"/>
        </w:rPr>
      </w:pPr>
      <w:r w:rsidRPr="009565F5">
        <w:rPr>
          <w:rFonts w:ascii="Calibri" w:hAnsi="Calibri" w:cs="Calibri"/>
          <w:i/>
          <w:iCs/>
          <w:sz w:val="22"/>
          <w:szCs w:val="22"/>
        </w:rPr>
        <w:t>Defining knife crime</w:t>
      </w:r>
      <w:r w:rsidRPr="009565F5">
        <w:rPr>
          <w:rFonts w:ascii="Calibri" w:hAnsi="Calibri" w:cs="Calibri"/>
          <w:sz w:val="22"/>
          <w:szCs w:val="22"/>
        </w:rPr>
        <w:t xml:space="preserve"> (2021) </w:t>
      </w:r>
      <w:r w:rsidRPr="009565F5">
        <w:rPr>
          <w:rFonts w:ascii="Calibri" w:hAnsi="Calibri" w:cs="Calibri"/>
          <w:i/>
          <w:iCs/>
          <w:sz w:val="22"/>
          <w:szCs w:val="22"/>
        </w:rPr>
        <w:t>College of Policing</w:t>
      </w:r>
      <w:r w:rsidRPr="009565F5">
        <w:rPr>
          <w:rFonts w:ascii="Calibri" w:hAnsi="Calibri" w:cs="Calibri"/>
          <w:sz w:val="22"/>
          <w:szCs w:val="22"/>
        </w:rPr>
        <w:t xml:space="preserve">. Available at: https://www.college.police.uk/guidance/knife-crime-problem-solving-guide/defining-knife-crime (Accessed: 04 March 2024). </w:t>
      </w:r>
    </w:p>
    <w:p w14:paraId="4D49E1F6" w14:textId="77777777" w:rsidR="00643530" w:rsidRPr="009565F5" w:rsidRDefault="00643530" w:rsidP="00D057A4">
      <w:pPr>
        <w:pStyle w:val="NormalWeb"/>
        <w:numPr>
          <w:ilvl w:val="0"/>
          <w:numId w:val="50"/>
        </w:numPr>
        <w:rPr>
          <w:rFonts w:ascii="Calibri" w:hAnsi="Calibri" w:cs="Calibri"/>
          <w:sz w:val="22"/>
          <w:szCs w:val="22"/>
        </w:rPr>
      </w:pPr>
      <w:r w:rsidRPr="009565F5">
        <w:rPr>
          <w:rFonts w:ascii="Calibri" w:hAnsi="Calibri" w:cs="Calibri"/>
          <w:sz w:val="22"/>
          <w:szCs w:val="22"/>
        </w:rPr>
        <w:t xml:space="preserve">Eades, C. </w:t>
      </w:r>
      <w:r w:rsidRPr="009565F5">
        <w:rPr>
          <w:rFonts w:ascii="Calibri" w:hAnsi="Calibri" w:cs="Calibri"/>
          <w:i/>
          <w:iCs/>
          <w:sz w:val="22"/>
          <w:szCs w:val="22"/>
        </w:rPr>
        <w:t>et al.</w:t>
      </w:r>
      <w:r w:rsidRPr="009565F5">
        <w:rPr>
          <w:rFonts w:ascii="Calibri" w:hAnsi="Calibri" w:cs="Calibri"/>
          <w:sz w:val="22"/>
          <w:szCs w:val="22"/>
        </w:rPr>
        <w:t xml:space="preserve"> (2007) </w:t>
      </w:r>
      <w:r w:rsidRPr="009565F5">
        <w:rPr>
          <w:rFonts w:ascii="Calibri" w:hAnsi="Calibri" w:cs="Calibri"/>
          <w:i/>
          <w:iCs/>
          <w:sz w:val="22"/>
          <w:szCs w:val="22"/>
        </w:rPr>
        <w:t>’Knife Crime’ : A review of evidence and policy</w:t>
      </w:r>
      <w:r w:rsidRPr="009565F5">
        <w:rPr>
          <w:rFonts w:ascii="Calibri" w:hAnsi="Calibri" w:cs="Calibri"/>
          <w:sz w:val="22"/>
          <w:szCs w:val="22"/>
        </w:rPr>
        <w:t xml:space="preserve">. Available at: https://www.crimeandjustice.org.uk/sites/crimeandjustice.org.uk/files/ccjs_knife_report%20CE%20et%20al.pdf (Accessed: 04 March 2024). </w:t>
      </w:r>
    </w:p>
    <w:p w14:paraId="266E7961" w14:textId="77777777" w:rsidR="00643530" w:rsidRPr="009565F5" w:rsidRDefault="00643530" w:rsidP="00D057A4">
      <w:pPr>
        <w:pStyle w:val="ListParagraph"/>
        <w:numPr>
          <w:ilvl w:val="0"/>
          <w:numId w:val="50"/>
        </w:numPr>
        <w:suppressAutoHyphens/>
        <w:overflowPunct/>
        <w:autoSpaceDE/>
        <w:adjustRightInd/>
        <w:spacing w:before="100" w:after="100"/>
        <w:textAlignment w:val="auto"/>
        <w:rPr>
          <w:rFonts w:ascii="Calibri" w:hAnsi="Calibri" w:cs="Calibri"/>
          <w:sz w:val="22"/>
          <w:szCs w:val="22"/>
        </w:rPr>
      </w:pPr>
      <w:proofErr w:type="spellStart"/>
      <w:r w:rsidRPr="009565F5">
        <w:rPr>
          <w:rFonts w:ascii="Calibri" w:hAnsi="Calibri" w:cs="Calibri"/>
          <w:sz w:val="22"/>
          <w:szCs w:val="22"/>
        </w:rPr>
        <w:t>Ehrensaft</w:t>
      </w:r>
      <w:proofErr w:type="spellEnd"/>
      <w:r w:rsidRPr="009565F5">
        <w:rPr>
          <w:rFonts w:ascii="Calibri" w:hAnsi="Calibri" w:cs="Calibri"/>
          <w:sz w:val="22"/>
          <w:szCs w:val="22"/>
        </w:rPr>
        <w:t xml:space="preserve">, M.K. </w:t>
      </w:r>
      <w:r w:rsidRPr="009565F5">
        <w:rPr>
          <w:rFonts w:ascii="Calibri" w:hAnsi="Calibri" w:cs="Calibri"/>
          <w:i/>
          <w:iCs/>
          <w:sz w:val="22"/>
          <w:szCs w:val="22"/>
        </w:rPr>
        <w:t>et al.</w:t>
      </w:r>
      <w:r w:rsidRPr="009565F5">
        <w:rPr>
          <w:rFonts w:ascii="Calibri" w:hAnsi="Calibri" w:cs="Calibri"/>
          <w:sz w:val="22"/>
          <w:szCs w:val="22"/>
        </w:rPr>
        <w:t xml:space="preserve"> (1999) ‘Feeling controlled in marriage: A phenomenon specific to physically aggressive couples?’, </w:t>
      </w:r>
      <w:r w:rsidRPr="009565F5">
        <w:rPr>
          <w:rFonts w:ascii="Calibri" w:hAnsi="Calibri" w:cs="Calibri"/>
          <w:i/>
          <w:iCs/>
          <w:sz w:val="22"/>
          <w:szCs w:val="22"/>
        </w:rPr>
        <w:t>Journal of Family Psychology</w:t>
      </w:r>
      <w:r w:rsidRPr="009565F5">
        <w:rPr>
          <w:rFonts w:ascii="Calibri" w:hAnsi="Calibri" w:cs="Calibri"/>
          <w:sz w:val="22"/>
          <w:szCs w:val="22"/>
        </w:rPr>
        <w:t xml:space="preserve">, 13(1), pp. 20–32. doi:10.1037//0893-3200.13.1.20. </w:t>
      </w:r>
    </w:p>
    <w:p w14:paraId="77333E00" w14:textId="77777777" w:rsidR="00643530" w:rsidRPr="009565F5" w:rsidRDefault="00643530" w:rsidP="00D057A4">
      <w:pPr>
        <w:pStyle w:val="ListParagraph"/>
        <w:numPr>
          <w:ilvl w:val="0"/>
          <w:numId w:val="50"/>
        </w:numPr>
        <w:suppressAutoHyphens/>
        <w:overflowPunct/>
        <w:autoSpaceDE/>
        <w:adjustRightInd/>
        <w:spacing w:after="160"/>
        <w:jc w:val="both"/>
        <w:textAlignment w:val="auto"/>
        <w:rPr>
          <w:rFonts w:ascii="Calibri" w:hAnsi="Calibri" w:cs="Calibri"/>
          <w:sz w:val="22"/>
          <w:szCs w:val="22"/>
        </w:rPr>
      </w:pPr>
      <w:r w:rsidRPr="009565F5">
        <w:rPr>
          <w:rFonts w:ascii="Calibri" w:hAnsi="Calibri" w:cs="Calibri"/>
          <w:sz w:val="22"/>
          <w:szCs w:val="22"/>
        </w:rPr>
        <w:t>Gilbert, E. and Sinclair, P. (2019) ‘Devastating After Effects: Anti-Knife Crime Sessions’. Available at: https://theflavasumtrust.org/wp-content/uploads/2019/10/Devastating-After-Effectsimpact-evaluation-2019.pdf (Accessed: 25 April 2024).</w:t>
      </w:r>
    </w:p>
    <w:p w14:paraId="03DE75F2" w14:textId="77777777" w:rsidR="00643530" w:rsidRPr="009565F5" w:rsidRDefault="00643530" w:rsidP="00D057A4">
      <w:pPr>
        <w:pStyle w:val="ListParagraph"/>
        <w:numPr>
          <w:ilvl w:val="0"/>
          <w:numId w:val="50"/>
        </w:numPr>
        <w:suppressAutoHyphens/>
        <w:overflowPunct/>
        <w:autoSpaceDE/>
        <w:adjustRightInd/>
        <w:spacing w:before="100" w:after="100"/>
        <w:textAlignment w:val="auto"/>
        <w:rPr>
          <w:rFonts w:ascii="Calibri" w:hAnsi="Calibri" w:cs="Calibri"/>
          <w:sz w:val="22"/>
          <w:szCs w:val="22"/>
        </w:rPr>
      </w:pPr>
      <w:r w:rsidRPr="009565F5">
        <w:rPr>
          <w:rFonts w:ascii="Calibri" w:hAnsi="Calibri" w:cs="Calibri"/>
          <w:sz w:val="22"/>
          <w:szCs w:val="22"/>
        </w:rPr>
        <w:t xml:space="preserve">Goel, R. and </w:t>
      </w:r>
      <w:proofErr w:type="spellStart"/>
      <w:r w:rsidRPr="009565F5">
        <w:rPr>
          <w:rFonts w:ascii="Calibri" w:hAnsi="Calibri" w:cs="Calibri"/>
          <w:sz w:val="22"/>
          <w:szCs w:val="22"/>
        </w:rPr>
        <w:t>Goodmark</w:t>
      </w:r>
      <w:proofErr w:type="spellEnd"/>
      <w:r w:rsidRPr="009565F5">
        <w:rPr>
          <w:rFonts w:ascii="Calibri" w:hAnsi="Calibri" w:cs="Calibri"/>
          <w:sz w:val="22"/>
          <w:szCs w:val="22"/>
        </w:rPr>
        <w:t xml:space="preserve">, L. (2015) ‘Comparative Perspectives on Gender Violence: Lessons from Efforts Worldwide ’, </w:t>
      </w:r>
      <w:r w:rsidRPr="009565F5">
        <w:rPr>
          <w:rFonts w:ascii="Calibri" w:hAnsi="Calibri" w:cs="Calibri"/>
          <w:i/>
          <w:iCs/>
          <w:sz w:val="22"/>
          <w:szCs w:val="22"/>
        </w:rPr>
        <w:t>Interpersonal Violence</w:t>
      </w:r>
      <w:r w:rsidRPr="009565F5">
        <w:rPr>
          <w:rFonts w:ascii="Calibri" w:hAnsi="Calibri" w:cs="Calibri"/>
          <w:sz w:val="22"/>
          <w:szCs w:val="22"/>
        </w:rPr>
        <w:t xml:space="preserve"> [Preprint]. </w:t>
      </w:r>
    </w:p>
    <w:p w14:paraId="085F86C8" w14:textId="77777777" w:rsidR="00643530" w:rsidRPr="009565F5" w:rsidRDefault="00643530" w:rsidP="00D057A4">
      <w:pPr>
        <w:pStyle w:val="ListParagraph"/>
        <w:numPr>
          <w:ilvl w:val="0"/>
          <w:numId w:val="50"/>
        </w:numPr>
        <w:suppressAutoHyphens/>
        <w:overflowPunct/>
        <w:autoSpaceDE/>
        <w:adjustRightInd/>
        <w:spacing w:after="160"/>
        <w:jc w:val="both"/>
        <w:textAlignment w:val="auto"/>
        <w:rPr>
          <w:rFonts w:ascii="Calibri" w:hAnsi="Calibri" w:cs="Calibri"/>
          <w:sz w:val="22"/>
          <w:szCs w:val="22"/>
        </w:rPr>
      </w:pPr>
      <w:r w:rsidRPr="009565F5">
        <w:rPr>
          <w:rFonts w:ascii="Calibri" w:hAnsi="Calibri" w:cs="Calibri"/>
          <w:sz w:val="22"/>
          <w:szCs w:val="22"/>
        </w:rPr>
        <w:t>Graham, J. and Karn, J. (2013) Policing Young Adults: A scoping study. London: The Police Foundation.</w:t>
      </w:r>
    </w:p>
    <w:p w14:paraId="53C24D2B" w14:textId="77777777" w:rsidR="00643530" w:rsidRPr="009565F5" w:rsidRDefault="00643530" w:rsidP="00D057A4">
      <w:pPr>
        <w:pStyle w:val="ListParagraph"/>
        <w:numPr>
          <w:ilvl w:val="0"/>
          <w:numId w:val="50"/>
        </w:numPr>
        <w:suppressAutoHyphens/>
        <w:overflowPunct/>
        <w:autoSpaceDE/>
        <w:adjustRightInd/>
        <w:spacing w:after="160"/>
        <w:jc w:val="both"/>
        <w:textAlignment w:val="auto"/>
        <w:rPr>
          <w:rFonts w:ascii="Calibri" w:hAnsi="Calibri" w:cs="Calibri"/>
          <w:sz w:val="22"/>
          <w:szCs w:val="22"/>
        </w:rPr>
      </w:pPr>
      <w:r w:rsidRPr="009565F5">
        <w:rPr>
          <w:rFonts w:ascii="Calibri" w:hAnsi="Calibri" w:cs="Calibri"/>
          <w:color w:val="222222"/>
          <w:sz w:val="22"/>
          <w:szCs w:val="22"/>
          <w:shd w:val="clear" w:color="auto" w:fill="FFFFFF"/>
        </w:rPr>
        <w:t>Grove, L. and Farrell, G. (2012) Once bitten, twice shy: Repeat victimization and its prevention. </w:t>
      </w:r>
      <w:r w:rsidRPr="009565F5">
        <w:rPr>
          <w:rFonts w:ascii="Calibri" w:hAnsi="Calibri" w:cs="Calibri"/>
          <w:i/>
          <w:iCs/>
          <w:color w:val="222222"/>
          <w:sz w:val="22"/>
          <w:szCs w:val="22"/>
          <w:shd w:val="clear" w:color="auto" w:fill="FFFFFF"/>
        </w:rPr>
        <w:t>The Oxford handbook of crime prevention</w:t>
      </w:r>
      <w:r w:rsidRPr="009565F5">
        <w:rPr>
          <w:rFonts w:ascii="Calibri" w:hAnsi="Calibri" w:cs="Calibri"/>
          <w:color w:val="222222"/>
          <w:sz w:val="22"/>
          <w:szCs w:val="22"/>
          <w:shd w:val="clear" w:color="auto" w:fill="FFFFFF"/>
        </w:rPr>
        <w:t>, pp.404-419.</w:t>
      </w:r>
      <w:r w:rsidRPr="009565F5">
        <w:rPr>
          <w:rFonts w:ascii="Calibri" w:hAnsi="Calibri" w:cs="Calibri"/>
          <w:sz w:val="22"/>
          <w:szCs w:val="22"/>
        </w:rPr>
        <w:t xml:space="preserve"> (Accessed: 29 April 2024).</w:t>
      </w:r>
    </w:p>
    <w:p w14:paraId="60175265" w14:textId="77777777" w:rsidR="00643530" w:rsidRPr="009565F5" w:rsidRDefault="00643530" w:rsidP="00D057A4">
      <w:pPr>
        <w:pStyle w:val="ListParagraph"/>
        <w:numPr>
          <w:ilvl w:val="0"/>
          <w:numId w:val="50"/>
        </w:numPr>
        <w:suppressAutoHyphens/>
        <w:overflowPunct/>
        <w:autoSpaceDE/>
        <w:adjustRightInd/>
        <w:spacing w:before="100" w:after="100"/>
        <w:textAlignment w:val="auto"/>
        <w:rPr>
          <w:rFonts w:ascii="Calibri" w:hAnsi="Calibri" w:cs="Calibri"/>
          <w:sz w:val="22"/>
          <w:szCs w:val="22"/>
        </w:rPr>
      </w:pPr>
      <w:r w:rsidRPr="009565F5">
        <w:rPr>
          <w:rFonts w:ascii="Calibri" w:hAnsi="Calibri" w:cs="Calibri"/>
          <w:sz w:val="22"/>
          <w:szCs w:val="22"/>
        </w:rPr>
        <w:t xml:space="preserve">Hamberger, L.K., Larsen, S.E. and Lehrner, A. (2017) ‘Coercive control in intimate partner violence’, </w:t>
      </w:r>
      <w:r w:rsidRPr="009565F5">
        <w:rPr>
          <w:rFonts w:ascii="Calibri" w:hAnsi="Calibri" w:cs="Calibri"/>
          <w:i/>
          <w:iCs/>
          <w:sz w:val="22"/>
          <w:szCs w:val="22"/>
        </w:rPr>
        <w:t xml:space="preserve">Aggression and Violent </w:t>
      </w:r>
      <w:proofErr w:type="spellStart"/>
      <w:r w:rsidRPr="009565F5">
        <w:rPr>
          <w:rFonts w:ascii="Calibri" w:hAnsi="Calibri" w:cs="Calibri"/>
          <w:i/>
          <w:iCs/>
          <w:sz w:val="22"/>
          <w:szCs w:val="22"/>
        </w:rPr>
        <w:t>Behavior</w:t>
      </w:r>
      <w:proofErr w:type="spellEnd"/>
      <w:r w:rsidRPr="009565F5">
        <w:rPr>
          <w:rFonts w:ascii="Calibri" w:hAnsi="Calibri" w:cs="Calibri"/>
          <w:sz w:val="22"/>
          <w:szCs w:val="22"/>
        </w:rPr>
        <w:t xml:space="preserve">, 37, pp. 1–11. doi:10.1016/j.avb.2017.08.003. </w:t>
      </w:r>
    </w:p>
    <w:p w14:paraId="79C0DC7B" w14:textId="77777777" w:rsidR="00643530" w:rsidRPr="009565F5" w:rsidRDefault="00643530" w:rsidP="00D057A4">
      <w:pPr>
        <w:pStyle w:val="ListParagraph"/>
        <w:numPr>
          <w:ilvl w:val="0"/>
          <w:numId w:val="50"/>
        </w:numPr>
        <w:suppressAutoHyphens/>
        <w:overflowPunct/>
        <w:autoSpaceDE/>
        <w:adjustRightInd/>
        <w:spacing w:before="100" w:after="100"/>
        <w:textAlignment w:val="auto"/>
        <w:rPr>
          <w:rFonts w:ascii="Calibri" w:hAnsi="Calibri" w:cs="Calibri"/>
          <w:sz w:val="22"/>
          <w:szCs w:val="22"/>
        </w:rPr>
      </w:pPr>
      <w:r w:rsidRPr="009565F5">
        <w:rPr>
          <w:rFonts w:ascii="Calibri" w:hAnsi="Calibri" w:cs="Calibri"/>
          <w:color w:val="222222"/>
          <w:sz w:val="22"/>
          <w:szCs w:val="22"/>
          <w:shd w:val="clear" w:color="auto" w:fill="FFFFFF"/>
        </w:rPr>
        <w:t>Huth-Bocks, A.C., Levendosky, A.A. and Semel, M.A., 2001. The direct and indirect effects of domestic violence on young children's intellectual functioning. </w:t>
      </w:r>
      <w:r w:rsidRPr="009565F5">
        <w:rPr>
          <w:rFonts w:ascii="Calibri" w:hAnsi="Calibri" w:cs="Calibri"/>
          <w:i/>
          <w:iCs/>
          <w:color w:val="222222"/>
          <w:sz w:val="22"/>
          <w:szCs w:val="22"/>
          <w:shd w:val="clear" w:color="auto" w:fill="FFFFFF"/>
        </w:rPr>
        <w:t>Journal of family violence</w:t>
      </w:r>
      <w:r w:rsidRPr="009565F5">
        <w:rPr>
          <w:rFonts w:ascii="Calibri" w:hAnsi="Calibri" w:cs="Calibri"/>
          <w:color w:val="222222"/>
          <w:sz w:val="22"/>
          <w:szCs w:val="22"/>
          <w:shd w:val="clear" w:color="auto" w:fill="FFFFFF"/>
        </w:rPr>
        <w:t>, </w:t>
      </w:r>
      <w:r w:rsidRPr="009565F5">
        <w:rPr>
          <w:rFonts w:ascii="Calibri" w:hAnsi="Calibri" w:cs="Calibri"/>
          <w:i/>
          <w:iCs/>
          <w:color w:val="222222"/>
          <w:sz w:val="22"/>
          <w:szCs w:val="22"/>
          <w:shd w:val="clear" w:color="auto" w:fill="FFFFFF"/>
        </w:rPr>
        <w:t>16</w:t>
      </w:r>
      <w:r w:rsidRPr="009565F5">
        <w:rPr>
          <w:rFonts w:ascii="Calibri" w:hAnsi="Calibri" w:cs="Calibri"/>
          <w:color w:val="222222"/>
          <w:sz w:val="22"/>
          <w:szCs w:val="22"/>
          <w:shd w:val="clear" w:color="auto" w:fill="FFFFFF"/>
        </w:rPr>
        <w:t>, pp.269-290.</w:t>
      </w:r>
    </w:p>
    <w:p w14:paraId="76D75B2F" w14:textId="77777777" w:rsidR="00643530" w:rsidRPr="009565F5" w:rsidRDefault="00643530" w:rsidP="00D057A4">
      <w:pPr>
        <w:pStyle w:val="ListParagraph"/>
        <w:numPr>
          <w:ilvl w:val="0"/>
          <w:numId w:val="50"/>
        </w:numPr>
        <w:overflowPunct/>
        <w:autoSpaceDE/>
        <w:adjustRightInd/>
        <w:spacing w:before="100" w:after="100"/>
        <w:textAlignment w:val="auto"/>
        <w:rPr>
          <w:rFonts w:ascii="Calibri" w:hAnsi="Calibri" w:cs="Calibri"/>
          <w:sz w:val="22"/>
          <w:szCs w:val="22"/>
        </w:rPr>
      </w:pPr>
      <w:r w:rsidRPr="009565F5">
        <w:rPr>
          <w:rFonts w:ascii="Calibri" w:hAnsi="Calibri" w:cs="Calibri"/>
          <w:sz w:val="22"/>
          <w:szCs w:val="22"/>
        </w:rPr>
        <w:lastRenderedPageBreak/>
        <w:t xml:space="preserve">Jurczyk, M. (2022) </w:t>
      </w:r>
      <w:r w:rsidRPr="009565F5">
        <w:rPr>
          <w:rFonts w:ascii="Calibri" w:hAnsi="Calibri" w:cs="Calibri"/>
          <w:i/>
          <w:iCs/>
          <w:sz w:val="22"/>
          <w:szCs w:val="22"/>
        </w:rPr>
        <w:t>Security as a superior value at work with youth offenders: A new ...</w:t>
      </w:r>
      <w:r w:rsidRPr="009565F5">
        <w:rPr>
          <w:rFonts w:ascii="Calibri" w:hAnsi="Calibri" w:cs="Calibri"/>
          <w:sz w:val="22"/>
          <w:szCs w:val="22"/>
        </w:rPr>
        <w:t xml:space="preserve">, </w:t>
      </w:r>
      <w:r w:rsidRPr="009565F5">
        <w:rPr>
          <w:rFonts w:ascii="Calibri" w:hAnsi="Calibri" w:cs="Calibri"/>
          <w:i/>
          <w:iCs/>
          <w:sz w:val="22"/>
          <w:szCs w:val="22"/>
        </w:rPr>
        <w:t>Research Gate</w:t>
      </w:r>
      <w:r w:rsidRPr="009565F5">
        <w:rPr>
          <w:rFonts w:ascii="Calibri" w:hAnsi="Calibri" w:cs="Calibri"/>
          <w:sz w:val="22"/>
          <w:szCs w:val="22"/>
        </w:rPr>
        <w:t xml:space="preserve">. Available at: https://www.researchgate.net/profile/Marcin-Jurczyk/publication/364311611_Security_as_a_superior_value_at_work_with_youth_offenders_a_new_perspective_for_institutional_social_rehabilitation_in_the_context_of_British_practice_approach/links/6345d3509cb4fe44f31d9886/Security-as-a-superior-value-at-work-with-youth-offenders-a-new-perspective-for-institutional-social-rehabilitation-in-the-context-of-British-practice-approach.pdf (Accessed: 10 July 2024). </w:t>
      </w:r>
    </w:p>
    <w:p w14:paraId="3ED207B2" w14:textId="77777777" w:rsidR="00643530" w:rsidRPr="009565F5" w:rsidRDefault="00643530" w:rsidP="00D057A4">
      <w:pPr>
        <w:pStyle w:val="NormalWeb"/>
        <w:numPr>
          <w:ilvl w:val="0"/>
          <w:numId w:val="50"/>
        </w:numPr>
        <w:jc w:val="both"/>
        <w:rPr>
          <w:rFonts w:ascii="Calibri" w:hAnsi="Calibri" w:cs="Calibri"/>
          <w:sz w:val="22"/>
          <w:szCs w:val="22"/>
        </w:rPr>
      </w:pPr>
      <w:r w:rsidRPr="009565F5">
        <w:rPr>
          <w:rFonts w:ascii="Calibri" w:hAnsi="Calibri" w:cs="Calibri"/>
          <w:color w:val="222222"/>
          <w:sz w:val="22"/>
          <w:szCs w:val="22"/>
          <w:shd w:val="clear" w:color="auto" w:fill="FFFFFF"/>
        </w:rPr>
        <w:t>Kitzmann, K.M., Gaylord, N.K., Holt, A.R. and Kenny, E.D., 2003. Child witnesses to domestic violence: a meta-analytic review. </w:t>
      </w:r>
      <w:r w:rsidRPr="009565F5">
        <w:rPr>
          <w:rFonts w:ascii="Calibri" w:hAnsi="Calibri" w:cs="Calibri"/>
          <w:i/>
          <w:iCs/>
          <w:color w:val="222222"/>
          <w:sz w:val="22"/>
          <w:szCs w:val="22"/>
          <w:shd w:val="clear" w:color="auto" w:fill="FFFFFF"/>
        </w:rPr>
        <w:t>Journal of consulting and clinical psychology</w:t>
      </w:r>
      <w:r w:rsidRPr="009565F5">
        <w:rPr>
          <w:rFonts w:ascii="Calibri" w:hAnsi="Calibri" w:cs="Calibri"/>
          <w:color w:val="222222"/>
          <w:sz w:val="22"/>
          <w:szCs w:val="22"/>
          <w:shd w:val="clear" w:color="auto" w:fill="FFFFFF"/>
        </w:rPr>
        <w:t>, </w:t>
      </w:r>
      <w:r w:rsidRPr="009565F5">
        <w:rPr>
          <w:rFonts w:ascii="Calibri" w:hAnsi="Calibri" w:cs="Calibri"/>
          <w:i/>
          <w:iCs/>
          <w:color w:val="222222"/>
          <w:sz w:val="22"/>
          <w:szCs w:val="22"/>
          <w:shd w:val="clear" w:color="auto" w:fill="FFFFFF"/>
        </w:rPr>
        <w:t>71</w:t>
      </w:r>
      <w:r w:rsidRPr="009565F5">
        <w:rPr>
          <w:rFonts w:ascii="Calibri" w:hAnsi="Calibri" w:cs="Calibri"/>
          <w:color w:val="222222"/>
          <w:sz w:val="22"/>
          <w:szCs w:val="22"/>
          <w:shd w:val="clear" w:color="auto" w:fill="FFFFFF"/>
        </w:rPr>
        <w:t>(2), p.339.</w:t>
      </w:r>
    </w:p>
    <w:p w14:paraId="1A7E079D" w14:textId="77777777" w:rsidR="00643530" w:rsidRPr="009565F5" w:rsidRDefault="00643530" w:rsidP="00D057A4">
      <w:pPr>
        <w:pStyle w:val="NormalWeb"/>
        <w:numPr>
          <w:ilvl w:val="0"/>
          <w:numId w:val="50"/>
        </w:numPr>
        <w:rPr>
          <w:rFonts w:ascii="Calibri" w:hAnsi="Calibri" w:cs="Calibri"/>
          <w:sz w:val="22"/>
          <w:szCs w:val="22"/>
        </w:rPr>
      </w:pPr>
      <w:r w:rsidRPr="009565F5">
        <w:rPr>
          <w:rFonts w:ascii="Calibri" w:hAnsi="Calibri" w:cs="Calibri"/>
          <w:color w:val="222222"/>
          <w:sz w:val="22"/>
          <w:szCs w:val="22"/>
          <w:shd w:val="clear" w:color="auto" w:fill="FFFFFF"/>
        </w:rPr>
        <w:t>Levendosky, A.A. and Graham-Bermann, S.A. (2001)  Parenting in battered women: The effects of domestic violence on women and their children. </w:t>
      </w:r>
      <w:r w:rsidRPr="009565F5">
        <w:rPr>
          <w:rFonts w:ascii="Calibri" w:hAnsi="Calibri" w:cs="Calibri"/>
          <w:i/>
          <w:iCs/>
          <w:color w:val="222222"/>
          <w:sz w:val="22"/>
          <w:szCs w:val="22"/>
          <w:shd w:val="clear" w:color="auto" w:fill="FFFFFF"/>
        </w:rPr>
        <w:t>Journal of family violence</w:t>
      </w:r>
      <w:r w:rsidRPr="009565F5">
        <w:rPr>
          <w:rFonts w:ascii="Calibri" w:hAnsi="Calibri" w:cs="Calibri"/>
          <w:color w:val="222222"/>
          <w:sz w:val="22"/>
          <w:szCs w:val="22"/>
          <w:shd w:val="clear" w:color="auto" w:fill="FFFFFF"/>
        </w:rPr>
        <w:t>, </w:t>
      </w:r>
      <w:r w:rsidRPr="009565F5">
        <w:rPr>
          <w:rFonts w:ascii="Calibri" w:hAnsi="Calibri" w:cs="Calibri"/>
          <w:i/>
          <w:iCs/>
          <w:color w:val="222222"/>
          <w:sz w:val="22"/>
          <w:szCs w:val="22"/>
          <w:shd w:val="clear" w:color="auto" w:fill="FFFFFF"/>
        </w:rPr>
        <w:t>16</w:t>
      </w:r>
      <w:r w:rsidRPr="009565F5">
        <w:rPr>
          <w:rFonts w:ascii="Calibri" w:hAnsi="Calibri" w:cs="Calibri"/>
          <w:color w:val="222222"/>
          <w:sz w:val="22"/>
          <w:szCs w:val="22"/>
          <w:shd w:val="clear" w:color="auto" w:fill="FFFFFF"/>
        </w:rPr>
        <w:t>, pp.171-192.</w:t>
      </w:r>
    </w:p>
    <w:p w14:paraId="6FF6E49B" w14:textId="77777777" w:rsidR="00643530" w:rsidRPr="009565F5" w:rsidRDefault="00643530" w:rsidP="00D057A4">
      <w:pPr>
        <w:pStyle w:val="ListParagraph"/>
        <w:numPr>
          <w:ilvl w:val="0"/>
          <w:numId w:val="50"/>
        </w:numPr>
        <w:overflowPunct/>
        <w:autoSpaceDE/>
        <w:adjustRightInd/>
        <w:spacing w:before="100" w:after="100"/>
        <w:textAlignment w:val="auto"/>
        <w:rPr>
          <w:rFonts w:ascii="Calibri" w:hAnsi="Calibri" w:cs="Calibri"/>
          <w:sz w:val="22"/>
          <w:szCs w:val="22"/>
        </w:rPr>
      </w:pPr>
      <w:r w:rsidRPr="009565F5">
        <w:rPr>
          <w:rFonts w:ascii="Calibri" w:hAnsi="Calibri" w:cs="Calibri"/>
          <w:sz w:val="22"/>
          <w:szCs w:val="22"/>
        </w:rPr>
        <w:t xml:space="preserve">Longstaff, A. </w:t>
      </w:r>
      <w:r w:rsidRPr="009565F5">
        <w:rPr>
          <w:rFonts w:ascii="Calibri" w:hAnsi="Calibri" w:cs="Calibri"/>
          <w:i/>
          <w:iCs/>
          <w:sz w:val="22"/>
          <w:szCs w:val="22"/>
        </w:rPr>
        <w:t>et al.</w:t>
      </w:r>
      <w:r w:rsidRPr="009565F5">
        <w:rPr>
          <w:rFonts w:ascii="Calibri" w:hAnsi="Calibri" w:cs="Calibri"/>
          <w:sz w:val="22"/>
          <w:szCs w:val="22"/>
        </w:rPr>
        <w:t xml:space="preserve"> (2015) </w:t>
      </w:r>
      <w:r w:rsidRPr="009565F5">
        <w:rPr>
          <w:rFonts w:ascii="Calibri" w:hAnsi="Calibri" w:cs="Calibri"/>
          <w:i/>
          <w:iCs/>
          <w:sz w:val="22"/>
          <w:szCs w:val="22"/>
        </w:rPr>
        <w:t>Neighbourhood policing: Past, present and future</w:t>
      </w:r>
      <w:r w:rsidRPr="009565F5">
        <w:rPr>
          <w:rFonts w:ascii="Calibri" w:hAnsi="Calibri" w:cs="Calibri"/>
          <w:sz w:val="22"/>
          <w:szCs w:val="22"/>
        </w:rPr>
        <w:t xml:space="preserve">, </w:t>
      </w:r>
      <w:r w:rsidRPr="009565F5">
        <w:rPr>
          <w:rFonts w:ascii="Calibri" w:hAnsi="Calibri" w:cs="Calibri"/>
          <w:i/>
          <w:iCs/>
          <w:sz w:val="22"/>
          <w:szCs w:val="22"/>
        </w:rPr>
        <w:t>The Police Foundation, Improving Policing for the benefit of the public</w:t>
      </w:r>
      <w:r w:rsidRPr="009565F5">
        <w:rPr>
          <w:rFonts w:ascii="Calibri" w:hAnsi="Calibri" w:cs="Calibri"/>
          <w:sz w:val="22"/>
          <w:szCs w:val="22"/>
        </w:rPr>
        <w:t xml:space="preserve">. Available at: https://www.police-foundation.org.uk/wp-content/uploads/2017/06/neighbourhood_policing_past_present_future.pdf (Accessed: 26 April 2024). </w:t>
      </w:r>
    </w:p>
    <w:p w14:paraId="6DACEE97" w14:textId="77777777" w:rsidR="00643530" w:rsidRPr="009565F5" w:rsidRDefault="00643530" w:rsidP="00D057A4">
      <w:pPr>
        <w:pStyle w:val="ListParagraph"/>
        <w:numPr>
          <w:ilvl w:val="0"/>
          <w:numId w:val="50"/>
        </w:numPr>
        <w:overflowPunct/>
        <w:autoSpaceDE/>
        <w:adjustRightInd/>
        <w:spacing w:before="100" w:after="100"/>
        <w:textAlignment w:val="auto"/>
        <w:rPr>
          <w:rFonts w:ascii="Calibri" w:hAnsi="Calibri" w:cs="Calibri"/>
          <w:sz w:val="22"/>
          <w:szCs w:val="22"/>
        </w:rPr>
      </w:pPr>
      <w:r w:rsidRPr="009565F5">
        <w:rPr>
          <w:rFonts w:ascii="Calibri" w:hAnsi="Calibri" w:cs="Calibri"/>
          <w:sz w:val="22"/>
          <w:szCs w:val="22"/>
        </w:rPr>
        <w:t xml:space="preserve">McLaughlin, H </w:t>
      </w:r>
      <w:r w:rsidRPr="009565F5">
        <w:rPr>
          <w:rFonts w:ascii="Calibri" w:hAnsi="Calibri" w:cs="Calibri"/>
          <w:i/>
          <w:iCs/>
          <w:sz w:val="22"/>
          <w:szCs w:val="22"/>
        </w:rPr>
        <w:t xml:space="preserve">et al. </w:t>
      </w:r>
      <w:r w:rsidRPr="009565F5">
        <w:rPr>
          <w:rFonts w:ascii="Calibri" w:hAnsi="Calibri" w:cs="Calibri"/>
          <w:sz w:val="22"/>
          <w:szCs w:val="22"/>
        </w:rPr>
        <w:t xml:space="preserve">(2018) ‘Adult social work and high risk domestic violence cases. </w:t>
      </w:r>
      <w:r w:rsidRPr="009565F5">
        <w:rPr>
          <w:rFonts w:ascii="Calibri" w:hAnsi="Calibri" w:cs="Calibri"/>
          <w:i/>
          <w:iCs/>
          <w:sz w:val="22"/>
          <w:szCs w:val="22"/>
        </w:rPr>
        <w:t>Journal of Social Work.</w:t>
      </w:r>
      <w:r w:rsidRPr="009565F5">
        <w:rPr>
          <w:rFonts w:ascii="Calibri" w:hAnsi="Calibri" w:cs="Calibri"/>
          <w:sz w:val="22"/>
          <w:szCs w:val="22"/>
        </w:rPr>
        <w:t xml:space="preserve"> Available at: </w:t>
      </w:r>
      <w:hyperlink r:id="rId17" w:history="1">
        <w:r w:rsidRPr="009565F5">
          <w:rPr>
            <w:rStyle w:val="Hyperlink"/>
            <w:rFonts w:ascii="Calibri" w:hAnsi="Calibri" w:cs="Calibri"/>
            <w:sz w:val="22"/>
            <w:szCs w:val="22"/>
          </w:rPr>
          <w:t xml:space="preserve">JSW Ad SW </w:t>
        </w:r>
        <w:proofErr w:type="spellStart"/>
        <w:r w:rsidRPr="009565F5">
          <w:rPr>
            <w:rStyle w:val="Hyperlink"/>
            <w:rFonts w:ascii="Calibri" w:hAnsi="Calibri" w:cs="Calibri"/>
            <w:sz w:val="22"/>
            <w:szCs w:val="22"/>
          </w:rPr>
          <w:t>Maracs</w:t>
        </w:r>
        <w:proofErr w:type="spellEnd"/>
        <w:r w:rsidRPr="009565F5">
          <w:rPr>
            <w:rStyle w:val="Hyperlink"/>
            <w:rFonts w:ascii="Calibri" w:hAnsi="Calibri" w:cs="Calibri"/>
            <w:sz w:val="22"/>
            <w:szCs w:val="22"/>
          </w:rPr>
          <w:t xml:space="preserve"> </w:t>
        </w:r>
        <w:proofErr w:type="spellStart"/>
        <w:r w:rsidRPr="009565F5">
          <w:rPr>
            <w:rStyle w:val="Hyperlink"/>
            <w:rFonts w:ascii="Calibri" w:hAnsi="Calibri" w:cs="Calibri"/>
            <w:sz w:val="22"/>
            <w:szCs w:val="22"/>
          </w:rPr>
          <w:t>Dv</w:t>
        </w:r>
        <w:proofErr w:type="spellEnd"/>
        <w:r w:rsidRPr="009565F5">
          <w:rPr>
            <w:rStyle w:val="Hyperlink"/>
            <w:rFonts w:ascii="Calibri" w:hAnsi="Calibri" w:cs="Calibri"/>
            <w:sz w:val="22"/>
            <w:szCs w:val="22"/>
          </w:rPr>
          <w:t xml:space="preserve"> Final April2016.pdf (uclan.ac.uk)</w:t>
        </w:r>
      </w:hyperlink>
      <w:r w:rsidRPr="009565F5">
        <w:rPr>
          <w:rFonts w:ascii="Calibri" w:hAnsi="Calibri" w:cs="Calibri"/>
          <w:sz w:val="22"/>
          <w:szCs w:val="22"/>
        </w:rPr>
        <w:t xml:space="preserve"> (Accessed: 14 May 2024).</w:t>
      </w:r>
    </w:p>
    <w:p w14:paraId="1E4A006F" w14:textId="77777777" w:rsidR="00643530" w:rsidRPr="009565F5" w:rsidRDefault="00643530" w:rsidP="00D057A4">
      <w:pPr>
        <w:pStyle w:val="ListParagraph"/>
        <w:numPr>
          <w:ilvl w:val="0"/>
          <w:numId w:val="50"/>
        </w:numPr>
        <w:overflowPunct/>
        <w:autoSpaceDE/>
        <w:adjustRightInd/>
        <w:spacing w:before="100" w:after="100"/>
        <w:textAlignment w:val="auto"/>
        <w:rPr>
          <w:rFonts w:ascii="Calibri" w:hAnsi="Calibri" w:cs="Calibri"/>
          <w:sz w:val="22"/>
          <w:szCs w:val="22"/>
        </w:rPr>
      </w:pPr>
      <w:r w:rsidRPr="009565F5">
        <w:rPr>
          <w:rFonts w:ascii="Calibri" w:hAnsi="Calibri" w:cs="Calibri"/>
          <w:sz w:val="22"/>
          <w:szCs w:val="22"/>
        </w:rPr>
        <w:t xml:space="preserve">Pease, K. and Laycock, G. (1999) </w:t>
      </w:r>
      <w:proofErr w:type="spellStart"/>
      <w:r w:rsidRPr="009565F5">
        <w:rPr>
          <w:rFonts w:ascii="Calibri" w:hAnsi="Calibri" w:cs="Calibri"/>
          <w:i/>
          <w:iCs/>
          <w:sz w:val="22"/>
          <w:szCs w:val="22"/>
        </w:rPr>
        <w:t>Revictimisation</w:t>
      </w:r>
      <w:proofErr w:type="spellEnd"/>
      <w:r w:rsidRPr="009565F5">
        <w:rPr>
          <w:rFonts w:ascii="Calibri" w:hAnsi="Calibri" w:cs="Calibri"/>
          <w:i/>
          <w:iCs/>
          <w:sz w:val="22"/>
          <w:szCs w:val="22"/>
        </w:rPr>
        <w:t>: Reducing the heat on hot victims | semantic scholar</w:t>
      </w:r>
      <w:r w:rsidRPr="009565F5">
        <w:rPr>
          <w:rFonts w:ascii="Calibri" w:hAnsi="Calibri" w:cs="Calibri"/>
          <w:sz w:val="22"/>
          <w:szCs w:val="22"/>
        </w:rPr>
        <w:t xml:space="preserve">, </w:t>
      </w:r>
      <w:r w:rsidRPr="009565F5">
        <w:rPr>
          <w:rFonts w:ascii="Calibri" w:hAnsi="Calibri" w:cs="Calibri"/>
          <w:i/>
          <w:iCs/>
          <w:sz w:val="22"/>
          <w:szCs w:val="22"/>
        </w:rPr>
        <w:t>Research Gate</w:t>
      </w:r>
      <w:r w:rsidRPr="009565F5">
        <w:rPr>
          <w:rFonts w:ascii="Calibri" w:hAnsi="Calibri" w:cs="Calibri"/>
          <w:sz w:val="22"/>
          <w:szCs w:val="22"/>
        </w:rPr>
        <w:t xml:space="preserve">. Available at: https://www.semanticscholar.org/paper/Revictimisation:-Reducing-the-heat-on-hot-victims-Pease-Laycock/96ef8d144396e922b25d8b93ec569b4eceb8427c (Accessed: 29 April 2024). </w:t>
      </w:r>
    </w:p>
    <w:p w14:paraId="17FF5341" w14:textId="77777777" w:rsidR="00643530" w:rsidRPr="009565F5" w:rsidRDefault="00643530" w:rsidP="00D057A4">
      <w:pPr>
        <w:pStyle w:val="ListParagraph"/>
        <w:numPr>
          <w:ilvl w:val="0"/>
          <w:numId w:val="50"/>
        </w:numPr>
        <w:suppressAutoHyphens/>
        <w:overflowPunct/>
        <w:autoSpaceDE/>
        <w:adjustRightInd/>
        <w:spacing w:after="240"/>
        <w:textAlignment w:val="auto"/>
        <w:rPr>
          <w:rFonts w:ascii="Calibri" w:hAnsi="Calibri" w:cs="Calibri"/>
          <w:sz w:val="22"/>
          <w:szCs w:val="22"/>
        </w:rPr>
      </w:pPr>
      <w:r w:rsidRPr="009565F5">
        <w:rPr>
          <w:rFonts w:ascii="Calibri" w:hAnsi="Calibri" w:cs="Calibri"/>
          <w:sz w:val="22"/>
          <w:szCs w:val="22"/>
        </w:rPr>
        <w:t xml:space="preserve">Norman, K. and Nixon, V. (2013). </w:t>
      </w:r>
      <w:r w:rsidRPr="009565F5">
        <w:rPr>
          <w:rFonts w:ascii="Calibri" w:hAnsi="Calibri" w:cs="Calibri"/>
          <w:i/>
          <w:iCs/>
          <w:sz w:val="22"/>
          <w:szCs w:val="22"/>
        </w:rPr>
        <w:t>Professional Practice in Paramedic, Emergency and Urgent Care Edited by Val Nixon</w:t>
      </w:r>
      <w:r w:rsidRPr="009565F5">
        <w:rPr>
          <w:rFonts w:ascii="Calibri" w:hAnsi="Calibri" w:cs="Calibri"/>
          <w:sz w:val="22"/>
          <w:szCs w:val="22"/>
        </w:rPr>
        <w:t>. [online] pp.121–141. Available at: https://books.tarbaweya.org/static/documents/uploads/pdf/Valerie%20Nixon-Professional%20Practice%20in%20Paramedic%2C%20Emergency%20and%20Urgent%20Care-Wiley-Blackwell%20(2013).pdf#page=121 [Accessed 1 Aug. 2024].</w:t>
      </w:r>
    </w:p>
    <w:p w14:paraId="3929AF8B" w14:textId="77777777" w:rsidR="00643530" w:rsidRPr="009565F5" w:rsidRDefault="00643530" w:rsidP="00D057A4">
      <w:pPr>
        <w:pStyle w:val="ListParagraph"/>
        <w:numPr>
          <w:ilvl w:val="0"/>
          <w:numId w:val="50"/>
        </w:numPr>
        <w:overflowPunct/>
        <w:autoSpaceDE/>
        <w:adjustRightInd/>
        <w:spacing w:before="100" w:after="100"/>
        <w:textAlignment w:val="auto"/>
        <w:rPr>
          <w:rFonts w:ascii="Calibri" w:hAnsi="Calibri" w:cs="Calibri"/>
          <w:sz w:val="22"/>
          <w:szCs w:val="22"/>
        </w:rPr>
      </w:pPr>
      <w:r w:rsidRPr="009565F5">
        <w:rPr>
          <w:rFonts w:ascii="Calibri" w:hAnsi="Calibri" w:cs="Calibri"/>
          <w:sz w:val="22"/>
          <w:szCs w:val="22"/>
        </w:rPr>
        <w:t>Quinton, P. and Morris, J. (2008) ‘</w:t>
      </w:r>
      <w:proofErr w:type="spellStart"/>
      <w:r w:rsidRPr="009565F5">
        <w:rPr>
          <w:rFonts w:ascii="Calibri" w:hAnsi="Calibri" w:cs="Calibri"/>
          <w:sz w:val="22"/>
          <w:szCs w:val="22"/>
        </w:rPr>
        <w:t>Neighborhood</w:t>
      </w:r>
      <w:proofErr w:type="spellEnd"/>
      <w:r w:rsidRPr="009565F5">
        <w:rPr>
          <w:rFonts w:ascii="Calibri" w:hAnsi="Calibri" w:cs="Calibri"/>
          <w:sz w:val="22"/>
          <w:szCs w:val="22"/>
        </w:rPr>
        <w:t xml:space="preserve"> policing: The impact of piloting and early national implementation’, </w:t>
      </w:r>
      <w:proofErr w:type="spellStart"/>
      <w:r w:rsidRPr="009565F5">
        <w:rPr>
          <w:rFonts w:ascii="Calibri" w:hAnsi="Calibri" w:cs="Calibri"/>
          <w:i/>
          <w:iCs/>
          <w:sz w:val="22"/>
          <w:szCs w:val="22"/>
        </w:rPr>
        <w:t>PsycEXTRA</w:t>
      </w:r>
      <w:proofErr w:type="spellEnd"/>
      <w:r w:rsidRPr="009565F5">
        <w:rPr>
          <w:rFonts w:ascii="Calibri" w:hAnsi="Calibri" w:cs="Calibri"/>
          <w:i/>
          <w:iCs/>
          <w:sz w:val="22"/>
          <w:szCs w:val="22"/>
        </w:rPr>
        <w:t xml:space="preserve"> Dataset</w:t>
      </w:r>
      <w:r w:rsidRPr="009565F5">
        <w:rPr>
          <w:rFonts w:ascii="Calibri" w:hAnsi="Calibri" w:cs="Calibri"/>
          <w:sz w:val="22"/>
          <w:szCs w:val="22"/>
        </w:rPr>
        <w:t xml:space="preserve"> [Preprint]. doi:10.1037/e420722008-001. </w:t>
      </w:r>
    </w:p>
    <w:p w14:paraId="0F40338D" w14:textId="77777777" w:rsidR="00643530" w:rsidRPr="009565F5" w:rsidRDefault="00643530" w:rsidP="00D057A4">
      <w:pPr>
        <w:pStyle w:val="ListParagraph"/>
        <w:numPr>
          <w:ilvl w:val="0"/>
          <w:numId w:val="50"/>
        </w:numPr>
        <w:suppressAutoHyphens/>
        <w:overflowPunct/>
        <w:autoSpaceDE/>
        <w:adjustRightInd/>
        <w:spacing w:before="100" w:after="100"/>
        <w:textAlignment w:val="auto"/>
        <w:rPr>
          <w:rFonts w:ascii="Calibri" w:hAnsi="Calibri" w:cs="Calibri"/>
          <w:sz w:val="22"/>
          <w:szCs w:val="22"/>
        </w:rPr>
      </w:pPr>
      <w:r w:rsidRPr="009565F5">
        <w:rPr>
          <w:rFonts w:ascii="Calibri" w:hAnsi="Calibri" w:cs="Calibri"/>
          <w:sz w:val="22"/>
          <w:szCs w:val="22"/>
        </w:rPr>
        <w:t xml:space="preserve">Robertson, K. and </w:t>
      </w:r>
      <w:proofErr w:type="spellStart"/>
      <w:r w:rsidRPr="009565F5">
        <w:rPr>
          <w:rFonts w:ascii="Calibri" w:hAnsi="Calibri" w:cs="Calibri"/>
          <w:sz w:val="22"/>
          <w:szCs w:val="22"/>
        </w:rPr>
        <w:t>Murachver</w:t>
      </w:r>
      <w:proofErr w:type="spellEnd"/>
      <w:r w:rsidRPr="009565F5">
        <w:rPr>
          <w:rFonts w:ascii="Calibri" w:hAnsi="Calibri" w:cs="Calibri"/>
          <w:sz w:val="22"/>
          <w:szCs w:val="22"/>
        </w:rPr>
        <w:t xml:space="preserve">, T. (2011) ‘Women and men’s use of coercive control in intimate partner violence’, </w:t>
      </w:r>
      <w:r w:rsidRPr="009565F5">
        <w:rPr>
          <w:rFonts w:ascii="Calibri" w:hAnsi="Calibri" w:cs="Calibri"/>
          <w:i/>
          <w:iCs/>
          <w:sz w:val="22"/>
          <w:szCs w:val="22"/>
        </w:rPr>
        <w:t>Violence and Victims</w:t>
      </w:r>
      <w:r w:rsidRPr="009565F5">
        <w:rPr>
          <w:rFonts w:ascii="Calibri" w:hAnsi="Calibri" w:cs="Calibri"/>
          <w:sz w:val="22"/>
          <w:szCs w:val="22"/>
        </w:rPr>
        <w:t xml:space="preserve">, 26(2), pp. 208–217. doi:10.1891/0886-6708.26.2.208. </w:t>
      </w:r>
    </w:p>
    <w:p w14:paraId="2D0669B6" w14:textId="77777777" w:rsidR="00643530" w:rsidRPr="009565F5" w:rsidRDefault="00643530" w:rsidP="00D057A4">
      <w:pPr>
        <w:pStyle w:val="ListParagraph"/>
        <w:numPr>
          <w:ilvl w:val="0"/>
          <w:numId w:val="50"/>
        </w:numPr>
        <w:suppressAutoHyphens/>
        <w:overflowPunct/>
        <w:autoSpaceDE/>
        <w:adjustRightInd/>
        <w:spacing w:before="100" w:after="100"/>
        <w:textAlignment w:val="auto"/>
        <w:rPr>
          <w:rFonts w:ascii="Calibri" w:hAnsi="Calibri" w:cs="Calibri"/>
          <w:sz w:val="22"/>
          <w:szCs w:val="22"/>
        </w:rPr>
      </w:pPr>
      <w:r w:rsidRPr="009565F5">
        <w:rPr>
          <w:rFonts w:ascii="Calibri" w:hAnsi="Calibri" w:cs="Calibri"/>
          <w:i/>
          <w:iCs/>
          <w:sz w:val="22"/>
          <w:szCs w:val="22"/>
        </w:rPr>
        <w:t>Serious crime act 2015</w:t>
      </w:r>
      <w:r w:rsidRPr="009565F5">
        <w:rPr>
          <w:rFonts w:ascii="Calibri" w:hAnsi="Calibri" w:cs="Calibri"/>
          <w:sz w:val="22"/>
          <w:szCs w:val="22"/>
        </w:rPr>
        <w:t xml:space="preserve"> (2015) </w:t>
      </w:r>
      <w:r w:rsidRPr="009565F5">
        <w:rPr>
          <w:rFonts w:ascii="Calibri" w:hAnsi="Calibri" w:cs="Calibri"/>
          <w:i/>
          <w:iCs/>
          <w:sz w:val="22"/>
          <w:szCs w:val="22"/>
        </w:rPr>
        <w:t>Legislation.gov.uk</w:t>
      </w:r>
      <w:r w:rsidRPr="009565F5">
        <w:rPr>
          <w:rFonts w:ascii="Calibri" w:hAnsi="Calibri" w:cs="Calibri"/>
          <w:sz w:val="22"/>
          <w:szCs w:val="22"/>
        </w:rPr>
        <w:t xml:space="preserve">. Available at: https://www.legislation.gov.uk/ukpga/2015/9/section/76/enacted (Accessed: 14 May 2024). </w:t>
      </w:r>
    </w:p>
    <w:p w14:paraId="6A123B83" w14:textId="77777777" w:rsidR="00643530" w:rsidRPr="009565F5" w:rsidRDefault="00643530" w:rsidP="00D057A4">
      <w:pPr>
        <w:pStyle w:val="ListParagraph"/>
        <w:numPr>
          <w:ilvl w:val="0"/>
          <w:numId w:val="50"/>
        </w:numPr>
        <w:overflowPunct/>
        <w:autoSpaceDE/>
        <w:adjustRightInd/>
        <w:spacing w:before="100" w:after="100"/>
        <w:textAlignment w:val="auto"/>
        <w:rPr>
          <w:rFonts w:ascii="Calibri" w:hAnsi="Calibri" w:cs="Calibri"/>
          <w:sz w:val="22"/>
          <w:szCs w:val="22"/>
        </w:rPr>
      </w:pPr>
      <w:r w:rsidRPr="009565F5">
        <w:rPr>
          <w:rFonts w:ascii="Calibri" w:hAnsi="Calibri" w:cs="Calibri"/>
          <w:sz w:val="22"/>
          <w:szCs w:val="22"/>
        </w:rPr>
        <w:t xml:space="preserve">Steel, N., Blakeborough, L. and Nicholas, S. (2011) </w:t>
      </w:r>
      <w:r w:rsidRPr="009565F5">
        <w:rPr>
          <w:rFonts w:ascii="Calibri" w:hAnsi="Calibri" w:cs="Calibri"/>
          <w:i/>
          <w:iCs/>
          <w:sz w:val="22"/>
          <w:szCs w:val="22"/>
        </w:rPr>
        <w:t>Supporting high-risk victims of domestic violence - gov.uk</w:t>
      </w:r>
      <w:r w:rsidRPr="009565F5">
        <w:rPr>
          <w:rFonts w:ascii="Calibri" w:hAnsi="Calibri" w:cs="Calibri"/>
          <w:sz w:val="22"/>
          <w:szCs w:val="22"/>
        </w:rPr>
        <w:t xml:space="preserve">, </w:t>
      </w:r>
      <w:r w:rsidRPr="009565F5">
        <w:rPr>
          <w:rFonts w:ascii="Calibri" w:hAnsi="Calibri" w:cs="Calibri"/>
          <w:i/>
          <w:iCs/>
          <w:sz w:val="22"/>
          <w:szCs w:val="22"/>
        </w:rPr>
        <w:t>Supporting high-risk victims of domestic violence: a review of  Multi-Agency Risk Assessment Conferences (MARACs)</w:t>
      </w:r>
      <w:r w:rsidRPr="009565F5">
        <w:rPr>
          <w:rFonts w:ascii="Calibri" w:hAnsi="Calibri" w:cs="Calibri"/>
          <w:sz w:val="22"/>
          <w:szCs w:val="22"/>
        </w:rPr>
        <w:t xml:space="preserve">. Available at: https://assets.publishing.service.gov.uk/government/uploads/system/uploads/attachment_data/file/116537/horr55-report.pdf (Accessed: 14 May 2024). </w:t>
      </w:r>
    </w:p>
    <w:p w14:paraId="58820CF8" w14:textId="77777777" w:rsidR="00643530" w:rsidRPr="009565F5" w:rsidRDefault="00643530" w:rsidP="00D057A4">
      <w:pPr>
        <w:pStyle w:val="ListParagraph"/>
        <w:numPr>
          <w:ilvl w:val="0"/>
          <w:numId w:val="50"/>
        </w:numPr>
        <w:overflowPunct/>
        <w:autoSpaceDE/>
        <w:adjustRightInd/>
        <w:spacing w:before="100" w:after="100"/>
        <w:textAlignment w:val="auto"/>
        <w:rPr>
          <w:rFonts w:ascii="Calibri" w:hAnsi="Calibri" w:cs="Calibri"/>
          <w:sz w:val="22"/>
          <w:szCs w:val="22"/>
        </w:rPr>
      </w:pPr>
      <w:r w:rsidRPr="009565F5">
        <w:rPr>
          <w:rFonts w:ascii="Calibri" w:hAnsi="Calibri" w:cs="Calibri"/>
          <w:sz w:val="22"/>
          <w:szCs w:val="22"/>
        </w:rPr>
        <w:t xml:space="preserve">Swansea Council. (2020) </w:t>
      </w:r>
      <w:r w:rsidRPr="009565F5">
        <w:rPr>
          <w:rFonts w:ascii="Calibri" w:hAnsi="Calibri" w:cs="Calibri"/>
          <w:i/>
          <w:iCs/>
          <w:sz w:val="22"/>
          <w:szCs w:val="22"/>
        </w:rPr>
        <w:t>Swansea Youth  Justice Service (YJS) Service: Delivery Plan During  the COVID-19 Pandemic</w:t>
      </w:r>
      <w:r w:rsidRPr="009565F5">
        <w:rPr>
          <w:rFonts w:ascii="Calibri" w:hAnsi="Calibri" w:cs="Calibri"/>
          <w:sz w:val="22"/>
          <w:szCs w:val="22"/>
        </w:rPr>
        <w:t xml:space="preserve">. Available at: https://democracy.swansea.gov.uk/documents/s68189/10 1 of 2 Covid-19 Planning funding application FINAL report.pdf (Accessed: 26 April 2024). </w:t>
      </w:r>
    </w:p>
    <w:p w14:paraId="10387404" w14:textId="77777777" w:rsidR="00643530" w:rsidRPr="009565F5" w:rsidRDefault="00643530" w:rsidP="00D057A4">
      <w:pPr>
        <w:pStyle w:val="ListParagraph"/>
        <w:numPr>
          <w:ilvl w:val="0"/>
          <w:numId w:val="50"/>
        </w:numPr>
        <w:overflowPunct/>
        <w:autoSpaceDE/>
        <w:adjustRightInd/>
        <w:spacing w:before="100" w:after="100"/>
        <w:textAlignment w:val="auto"/>
        <w:rPr>
          <w:rFonts w:ascii="Calibri" w:hAnsi="Calibri" w:cs="Calibri"/>
          <w:sz w:val="22"/>
          <w:szCs w:val="22"/>
        </w:rPr>
      </w:pPr>
      <w:r w:rsidRPr="009565F5">
        <w:rPr>
          <w:rFonts w:ascii="Calibri" w:hAnsi="Calibri" w:cs="Calibri"/>
          <w:sz w:val="22"/>
          <w:szCs w:val="22"/>
        </w:rPr>
        <w:t xml:space="preserve">Trotman, D. and Thomas, L. (2016) ‘Police Community Support Officers in schools: Findings from an evaluation of a pilot training programme for School Liaison officers’, </w:t>
      </w:r>
      <w:r w:rsidRPr="009565F5">
        <w:rPr>
          <w:rFonts w:ascii="Calibri" w:hAnsi="Calibri" w:cs="Calibri"/>
          <w:i/>
          <w:iCs/>
          <w:sz w:val="22"/>
          <w:szCs w:val="22"/>
        </w:rPr>
        <w:t>Policing</w:t>
      </w:r>
      <w:r w:rsidRPr="009565F5">
        <w:rPr>
          <w:rFonts w:ascii="Calibri" w:hAnsi="Calibri" w:cs="Calibri"/>
          <w:sz w:val="22"/>
          <w:szCs w:val="22"/>
        </w:rPr>
        <w:t xml:space="preserve">, 10(3), pp. 288–299. doi:10.1093/police/paw006. </w:t>
      </w:r>
    </w:p>
    <w:p w14:paraId="60C782D6" w14:textId="77777777" w:rsidR="00643530" w:rsidRPr="009565F5" w:rsidRDefault="00643530" w:rsidP="00D057A4">
      <w:pPr>
        <w:pStyle w:val="ListParagraph"/>
        <w:numPr>
          <w:ilvl w:val="0"/>
          <w:numId w:val="50"/>
        </w:numPr>
        <w:overflowPunct/>
        <w:autoSpaceDE/>
        <w:adjustRightInd/>
        <w:spacing w:before="100" w:after="100"/>
        <w:textAlignment w:val="auto"/>
        <w:rPr>
          <w:rFonts w:ascii="Calibri" w:hAnsi="Calibri" w:cs="Calibri"/>
          <w:sz w:val="22"/>
          <w:szCs w:val="22"/>
        </w:rPr>
      </w:pPr>
      <w:r w:rsidRPr="009565F5">
        <w:rPr>
          <w:rFonts w:ascii="Calibri" w:hAnsi="Calibri" w:cs="Calibri"/>
          <w:sz w:val="22"/>
          <w:szCs w:val="22"/>
        </w:rPr>
        <w:lastRenderedPageBreak/>
        <w:t xml:space="preserve">Williams, D.J. </w:t>
      </w:r>
      <w:r w:rsidRPr="009565F5">
        <w:rPr>
          <w:rFonts w:ascii="Calibri" w:hAnsi="Calibri" w:cs="Calibri"/>
          <w:i/>
          <w:iCs/>
          <w:sz w:val="22"/>
          <w:szCs w:val="22"/>
        </w:rPr>
        <w:t>et al.</w:t>
      </w:r>
      <w:r w:rsidRPr="009565F5">
        <w:rPr>
          <w:rFonts w:ascii="Calibri" w:hAnsi="Calibri" w:cs="Calibri"/>
          <w:sz w:val="22"/>
          <w:szCs w:val="22"/>
        </w:rPr>
        <w:t xml:space="preserve"> (2014) ‘Addressing gang-related violence in Glasgow: A preliminary pragmatic quasi-experimental evaluation of the Community Initiative to Reduce Violence (CIRV)’, </w:t>
      </w:r>
      <w:r w:rsidRPr="009565F5">
        <w:rPr>
          <w:rFonts w:ascii="Calibri" w:hAnsi="Calibri" w:cs="Calibri"/>
          <w:i/>
          <w:iCs/>
          <w:sz w:val="22"/>
          <w:szCs w:val="22"/>
        </w:rPr>
        <w:t xml:space="preserve">Aggression and Violent </w:t>
      </w:r>
      <w:proofErr w:type="spellStart"/>
      <w:r w:rsidRPr="009565F5">
        <w:rPr>
          <w:rFonts w:ascii="Calibri" w:hAnsi="Calibri" w:cs="Calibri"/>
          <w:i/>
          <w:iCs/>
          <w:sz w:val="22"/>
          <w:szCs w:val="22"/>
        </w:rPr>
        <w:t>Behavior</w:t>
      </w:r>
      <w:proofErr w:type="spellEnd"/>
      <w:r w:rsidRPr="009565F5">
        <w:rPr>
          <w:rFonts w:ascii="Calibri" w:hAnsi="Calibri" w:cs="Calibri"/>
          <w:sz w:val="22"/>
          <w:szCs w:val="22"/>
        </w:rPr>
        <w:t xml:space="preserve">, 19(6), pp. 686–691. doi:10.1016/j.avb.2014.09.011. </w:t>
      </w:r>
    </w:p>
    <w:p w14:paraId="60F32D39" w14:textId="77777777" w:rsidR="00643530" w:rsidRPr="009565F5" w:rsidRDefault="00643530" w:rsidP="00D057A4">
      <w:pPr>
        <w:pStyle w:val="ListParagraph"/>
        <w:numPr>
          <w:ilvl w:val="0"/>
          <w:numId w:val="50"/>
        </w:numPr>
        <w:overflowPunct/>
        <w:autoSpaceDE/>
        <w:adjustRightInd/>
        <w:spacing w:before="100" w:after="100"/>
        <w:textAlignment w:val="auto"/>
        <w:rPr>
          <w:rFonts w:ascii="Calibri" w:hAnsi="Calibri" w:cs="Calibri"/>
          <w:sz w:val="22"/>
          <w:szCs w:val="22"/>
        </w:rPr>
      </w:pPr>
      <w:r w:rsidRPr="009565F5">
        <w:rPr>
          <w:rFonts w:ascii="Calibri" w:hAnsi="Calibri" w:cs="Calibri"/>
          <w:sz w:val="22"/>
          <w:szCs w:val="22"/>
        </w:rPr>
        <w:t xml:space="preserve">Wortley, R. and Mazerolle, L. (2011) </w:t>
      </w:r>
      <w:r w:rsidRPr="009565F5">
        <w:rPr>
          <w:rFonts w:ascii="Calibri" w:hAnsi="Calibri" w:cs="Calibri"/>
          <w:i/>
          <w:iCs/>
          <w:sz w:val="22"/>
          <w:szCs w:val="22"/>
        </w:rPr>
        <w:t>Environmental criminology and crime analysis</w:t>
      </w:r>
      <w:r w:rsidRPr="009565F5">
        <w:rPr>
          <w:rFonts w:ascii="Calibri" w:hAnsi="Calibri" w:cs="Calibri"/>
          <w:sz w:val="22"/>
          <w:szCs w:val="22"/>
        </w:rPr>
        <w:t xml:space="preserve">, </w:t>
      </w:r>
      <w:r w:rsidRPr="009565F5">
        <w:rPr>
          <w:rFonts w:ascii="Calibri" w:hAnsi="Calibri" w:cs="Calibri"/>
          <w:i/>
          <w:iCs/>
          <w:sz w:val="22"/>
          <w:szCs w:val="22"/>
        </w:rPr>
        <w:t>Google Books</w:t>
      </w:r>
      <w:r w:rsidRPr="009565F5">
        <w:rPr>
          <w:rFonts w:ascii="Calibri" w:hAnsi="Calibri" w:cs="Calibri"/>
          <w:sz w:val="22"/>
          <w:szCs w:val="22"/>
        </w:rPr>
        <w:t xml:space="preserve">. Available at: https://books.google.co.uk/books?hl=en&amp;lr=&amp;id=8U8ObTP81QsC&amp;oi=fnd&amp;pg=PA117&amp;dq=how%2Bto%2Btackle%2Brepeat%2Bvictimisation&amp;ots=0CUk0wni-j&amp;sig=n50wA81od-S2gqe-Xd-vWpUb2X8#v=onepage&amp;q=how%20to%20tackle%20repeat%20victimisation&amp;f=false (Accessed: 29 April 2024). </w:t>
      </w:r>
    </w:p>
    <w:p w14:paraId="6C1AC99B" w14:textId="77777777" w:rsidR="00643530" w:rsidRPr="009565F5" w:rsidRDefault="00643530" w:rsidP="00D057A4">
      <w:pPr>
        <w:pStyle w:val="ListParagraph"/>
        <w:numPr>
          <w:ilvl w:val="0"/>
          <w:numId w:val="50"/>
        </w:numPr>
        <w:overflowPunct/>
        <w:autoSpaceDE/>
        <w:adjustRightInd/>
        <w:spacing w:before="100" w:after="100"/>
        <w:textAlignment w:val="auto"/>
        <w:rPr>
          <w:rFonts w:ascii="Calibri" w:hAnsi="Calibri" w:cs="Calibri"/>
          <w:sz w:val="22"/>
          <w:szCs w:val="22"/>
        </w:rPr>
      </w:pPr>
      <w:r w:rsidRPr="009565F5">
        <w:rPr>
          <w:rFonts w:ascii="Calibri" w:hAnsi="Calibri" w:cs="Calibri"/>
          <w:i/>
          <w:iCs/>
          <w:sz w:val="22"/>
          <w:szCs w:val="22"/>
        </w:rPr>
        <w:t>Youth Justice &amp; Early Intervention Service Swansea</w:t>
      </w:r>
      <w:r w:rsidRPr="009565F5">
        <w:rPr>
          <w:rFonts w:ascii="Calibri" w:hAnsi="Calibri" w:cs="Calibri"/>
          <w:sz w:val="22"/>
          <w:szCs w:val="22"/>
        </w:rPr>
        <w:t xml:space="preserve"> (no date) </w:t>
      </w:r>
      <w:r w:rsidRPr="009565F5">
        <w:rPr>
          <w:rFonts w:ascii="Calibri" w:hAnsi="Calibri" w:cs="Calibri"/>
          <w:i/>
          <w:iCs/>
          <w:sz w:val="22"/>
          <w:szCs w:val="22"/>
        </w:rPr>
        <w:t>Shelter Cymru</w:t>
      </w:r>
      <w:r w:rsidRPr="009565F5">
        <w:rPr>
          <w:rFonts w:ascii="Calibri" w:hAnsi="Calibri" w:cs="Calibri"/>
          <w:sz w:val="22"/>
          <w:szCs w:val="22"/>
        </w:rPr>
        <w:t xml:space="preserve">. Available at: https://sheltercymru.org.uk/searchtool/?yp_services=youth-justice-early-intervention-service-swansea#:~:text=Swansea%20YOT%20is%20a%20partnership%20between%20Police%2C%20Probation,anti-social%20behaviour%2C%20offending%20and%20re-offending%20by%20young%20people. (Accessed: 26 April 2024). </w:t>
      </w:r>
    </w:p>
    <w:p w14:paraId="5AB540B5" w14:textId="77777777" w:rsidR="00643530" w:rsidRPr="009565F5" w:rsidRDefault="00643530" w:rsidP="00D057A4">
      <w:pPr>
        <w:spacing w:before="100" w:after="100"/>
        <w:ind w:left="567" w:hanging="567"/>
        <w:rPr>
          <w:rFonts w:ascii="Calibri" w:hAnsi="Calibri" w:cs="Calibri"/>
          <w:sz w:val="22"/>
          <w:szCs w:val="22"/>
        </w:rPr>
      </w:pPr>
    </w:p>
    <w:p w14:paraId="76805444" w14:textId="77777777" w:rsidR="00643530" w:rsidRPr="009565F5" w:rsidRDefault="00643530" w:rsidP="00643530">
      <w:pPr>
        <w:jc w:val="both"/>
        <w:rPr>
          <w:rFonts w:ascii="Calibri" w:hAnsi="Calibri" w:cs="Calibri"/>
          <w:sz w:val="22"/>
          <w:szCs w:val="22"/>
        </w:rPr>
      </w:pPr>
    </w:p>
    <w:p w14:paraId="7B807FB2" w14:textId="77777777" w:rsidR="00643530" w:rsidRDefault="00643530" w:rsidP="00EA28F1">
      <w:pPr>
        <w:keepNext/>
        <w:spacing w:before="240" w:after="60"/>
        <w:ind w:right="237"/>
        <w:jc w:val="both"/>
      </w:pPr>
    </w:p>
    <w:sectPr w:rsidR="0064353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Mistral">
    <w:panose1 w:val="03090702030407020403"/>
    <w:charset w:val="00"/>
    <w:family w:val="script"/>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7FA117E3"/>
    <w:multiLevelType w:val="multilevel"/>
    <w:tmpl w:val="20AE2FD6"/>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 w:numId="50" w16cid:durableId="1013410253">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285E"/>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15F8E"/>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445"/>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AD5"/>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2868"/>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3530"/>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3D5C"/>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3582"/>
    <w:rsid w:val="0072678F"/>
    <w:rsid w:val="00727C4C"/>
    <w:rsid w:val="00734809"/>
    <w:rsid w:val="0073644B"/>
    <w:rsid w:val="007406E1"/>
    <w:rsid w:val="00743E40"/>
    <w:rsid w:val="00751263"/>
    <w:rsid w:val="0075704F"/>
    <w:rsid w:val="00763B2D"/>
    <w:rsid w:val="00772924"/>
    <w:rsid w:val="00784EC4"/>
    <w:rsid w:val="007872F2"/>
    <w:rsid w:val="007874BC"/>
    <w:rsid w:val="0078793F"/>
    <w:rsid w:val="007908E0"/>
    <w:rsid w:val="00793EB3"/>
    <w:rsid w:val="00794205"/>
    <w:rsid w:val="00797012"/>
    <w:rsid w:val="007A1F6A"/>
    <w:rsid w:val="007A3223"/>
    <w:rsid w:val="007B0DE3"/>
    <w:rsid w:val="007B491F"/>
    <w:rsid w:val="007B5CB2"/>
    <w:rsid w:val="007B7191"/>
    <w:rsid w:val="007C1634"/>
    <w:rsid w:val="007C1D94"/>
    <w:rsid w:val="007C2879"/>
    <w:rsid w:val="007C6A87"/>
    <w:rsid w:val="007C705D"/>
    <w:rsid w:val="007D0A07"/>
    <w:rsid w:val="007D0C96"/>
    <w:rsid w:val="007D133D"/>
    <w:rsid w:val="007D3830"/>
    <w:rsid w:val="007D3EB4"/>
    <w:rsid w:val="007D3F16"/>
    <w:rsid w:val="007D78CC"/>
    <w:rsid w:val="007E09D9"/>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09C9"/>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57A4"/>
    <w:rsid w:val="00D07026"/>
    <w:rsid w:val="00D07BAB"/>
    <w:rsid w:val="00D11C62"/>
    <w:rsid w:val="00D15C49"/>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13F4"/>
    <w:rsid w:val="00E83D90"/>
    <w:rsid w:val="00E83F28"/>
    <w:rsid w:val="00E83F91"/>
    <w:rsid w:val="00E90450"/>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rsid w:val="006C3D5C"/>
    <w:pPr>
      <w:suppressAutoHyphens/>
      <w:overflowPunct/>
      <w:autoSpaceDE/>
      <w:adjustRightInd/>
      <w:spacing w:before="100" w:after="100"/>
      <w:textAlignment w:val="auto"/>
    </w:pPr>
    <w:rPr>
      <w:rFonts w:ascii="Times New Roman" w:hAnsi="Times New Roman" w:cs="Times New Roman"/>
      <w:color w:val="auto"/>
      <w:sz w:val="24"/>
      <w:szCs w:val="24"/>
    </w:rPr>
  </w:style>
  <w:style w:type="character" w:customStyle="1" w:styleId="legds">
    <w:name w:val="legds"/>
    <w:basedOn w:val="DefaultParagraphFont"/>
    <w:rsid w:val="006C3D5C"/>
  </w:style>
  <w:style w:type="paragraph" w:customStyle="1" w:styleId="legrhs">
    <w:name w:val="legrhs"/>
    <w:basedOn w:val="Normal"/>
    <w:rsid w:val="006C3D5C"/>
    <w:pPr>
      <w:overflowPunct/>
      <w:autoSpaceDE/>
      <w:adjustRightInd/>
      <w:spacing w:before="100" w:after="100"/>
      <w:textAlignment w:val="auto"/>
    </w:pPr>
    <w:rPr>
      <w:rFonts w:ascii="Times New Roman" w:hAnsi="Times New Roman" w:cs="Times New Roman"/>
      <w:color w:val="auto"/>
      <w:sz w:val="24"/>
      <w:szCs w:val="24"/>
    </w:rPr>
  </w:style>
  <w:style w:type="character" w:customStyle="1" w:styleId="legsubstitution">
    <w:name w:val="legsubstitution"/>
    <w:basedOn w:val="DefaultParagraphFont"/>
    <w:rsid w:val="006C3D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8857183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6391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clok.uclan.ac.uk/14719/1/JSW%20Ad%20SW%20Maracs%20Dv%20Final%20April2016.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20</Pages>
  <Words>6571</Words>
  <Characters>38236</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Barnard,Samuel swp8590</cp:lastModifiedBy>
  <cp:revision>10</cp:revision>
  <cp:lastPrinted>2014-08-26T08:55:00Z</cp:lastPrinted>
  <dcterms:created xsi:type="dcterms:W3CDTF">2024-08-03T00:47:00Z</dcterms:created>
  <dcterms:modified xsi:type="dcterms:W3CDTF">2024-08-05T18:29:00Z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2024-08-03T00:47:49Z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c1df6ada-1455-4ece-95e8-2ea6b4e0a48f</vt:lpwstr>
  </property>
  <property fmtid="{D5CDD505-2E9C-101B-9397-08002B2CF9AE}" pid="9" name="MSIP_Label_66cf8fe5-b7b7-4df7-b38d-1c61ac2f6639_ContentBits">
    <vt:lpwstr>0</vt:lpwstr>
  </property>
</Properties>
</file>