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EA2B7B" w14:textId="77777777" w:rsidR="004540C2" w:rsidRPr="00E65DA9" w:rsidRDefault="004540C2" w:rsidP="004540C2">
      <w:pPr>
        <w:jc w:val="right"/>
        <w:rPr>
          <w:rFonts w:ascii="Arial" w:hAnsi="Arial" w:cs="Arial"/>
          <w:color w:val="000000" w:themeColor="text1"/>
        </w:rPr>
      </w:pPr>
      <w:r w:rsidRPr="00A0270A">
        <w:rPr>
          <w:rFonts w:ascii="Arial" w:hAnsi="Arial" w:cs="Arial"/>
          <w:noProof/>
          <w:color w:val="000000" w:themeColor="text1"/>
        </w:rPr>
        <w:drawing>
          <wp:inline distT="0" distB="0" distL="0" distR="0" wp14:anchorId="4111E15F" wp14:editId="117C51EA">
            <wp:extent cx="3156688" cy="1405054"/>
            <wp:effectExtent l="0" t="0" r="0" b="508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35432" cy="1484614"/>
                    </a:xfrm>
                    <a:prstGeom prst="rect">
                      <a:avLst/>
                    </a:prstGeom>
                    <a:noFill/>
                  </pic:spPr>
                </pic:pic>
              </a:graphicData>
            </a:graphic>
          </wp:inline>
        </w:drawing>
      </w:r>
    </w:p>
    <w:p w14:paraId="16DC6DFE" w14:textId="578DAC36" w:rsidR="004540C2" w:rsidRPr="00A6291B" w:rsidRDefault="004540C2" w:rsidP="00A6291B">
      <w:pPr>
        <w:rPr>
          <w:rFonts w:ascii="Arial" w:hAnsi="Arial" w:cs="Arial"/>
          <w:sz w:val="28"/>
          <w:szCs w:val="28"/>
        </w:rPr>
      </w:pPr>
      <w:r w:rsidRPr="00A6291B">
        <w:rPr>
          <w:rFonts w:ascii="Arial" w:hAnsi="Arial" w:cs="Arial"/>
          <w:b/>
          <w:bCs/>
          <w:sz w:val="28"/>
          <w:szCs w:val="28"/>
        </w:rPr>
        <w:t>Name</w:t>
      </w:r>
      <w:r w:rsidRPr="00A6291B">
        <w:rPr>
          <w:rFonts w:ascii="Arial" w:hAnsi="Arial" w:cs="Arial"/>
          <w:sz w:val="28"/>
          <w:szCs w:val="28"/>
        </w:rPr>
        <w:t xml:space="preserve">: </w:t>
      </w:r>
      <w:r w:rsidR="006224CC" w:rsidRPr="00A6291B">
        <w:rPr>
          <w:rFonts w:ascii="Arial" w:hAnsi="Arial" w:cs="Arial"/>
          <w:sz w:val="28"/>
          <w:szCs w:val="28"/>
        </w:rPr>
        <w:t>Ruby Ana Geli</w:t>
      </w:r>
    </w:p>
    <w:p w14:paraId="21747913" w14:textId="60752CDB" w:rsidR="004540C2" w:rsidRPr="00A6291B" w:rsidRDefault="004540C2" w:rsidP="00A6291B">
      <w:pPr>
        <w:rPr>
          <w:rFonts w:ascii="Arial" w:hAnsi="Arial" w:cs="Arial"/>
          <w:sz w:val="28"/>
          <w:szCs w:val="28"/>
        </w:rPr>
      </w:pPr>
      <w:r w:rsidRPr="00A6291B">
        <w:rPr>
          <w:rFonts w:ascii="Arial" w:hAnsi="Arial" w:cs="Arial"/>
          <w:b/>
          <w:bCs/>
          <w:sz w:val="28"/>
          <w:szCs w:val="28"/>
        </w:rPr>
        <w:t>Student ID</w:t>
      </w:r>
      <w:r w:rsidRPr="00A6291B">
        <w:rPr>
          <w:rFonts w:ascii="Arial" w:hAnsi="Arial" w:cs="Arial"/>
          <w:sz w:val="28"/>
          <w:szCs w:val="28"/>
        </w:rPr>
        <w:t xml:space="preserve">: </w:t>
      </w:r>
      <w:r w:rsidR="00634C05" w:rsidRPr="00A6291B">
        <w:rPr>
          <w:rFonts w:ascii="Arial" w:hAnsi="Arial" w:cs="Arial"/>
          <w:sz w:val="28"/>
          <w:szCs w:val="28"/>
        </w:rPr>
        <w:t>2515868</w:t>
      </w:r>
    </w:p>
    <w:p w14:paraId="68769111" w14:textId="77777777" w:rsidR="00A6291B" w:rsidRDefault="00A6291B" w:rsidP="00A6291B">
      <w:pPr>
        <w:rPr>
          <w:rFonts w:ascii="Arial" w:hAnsi="Arial" w:cs="Arial"/>
          <w:b/>
          <w:bCs/>
          <w:sz w:val="28"/>
          <w:szCs w:val="28"/>
        </w:rPr>
      </w:pPr>
    </w:p>
    <w:p w14:paraId="2D3F3BA2" w14:textId="1EE23E23" w:rsidR="00203B22" w:rsidRPr="00A6291B" w:rsidRDefault="004540C2" w:rsidP="00A6291B">
      <w:pPr>
        <w:rPr>
          <w:rFonts w:ascii="Arial" w:eastAsia="Times New Roman" w:hAnsi="Arial" w:cs="Arial"/>
          <w:color w:val="000000"/>
          <w:sz w:val="28"/>
          <w:szCs w:val="28"/>
        </w:rPr>
      </w:pPr>
      <w:r w:rsidRPr="00A6291B">
        <w:rPr>
          <w:rFonts w:ascii="Arial" w:hAnsi="Arial" w:cs="Arial"/>
          <w:b/>
          <w:bCs/>
          <w:sz w:val="28"/>
          <w:szCs w:val="28"/>
        </w:rPr>
        <w:t>Module Code</w:t>
      </w:r>
      <w:r w:rsidRPr="00A6291B">
        <w:rPr>
          <w:rFonts w:ascii="Arial" w:hAnsi="Arial" w:cs="Arial"/>
          <w:sz w:val="28"/>
          <w:szCs w:val="28"/>
        </w:rPr>
        <w:t xml:space="preserve">: </w:t>
      </w:r>
      <w:r w:rsidR="00A6291B" w:rsidRPr="00A6291B">
        <w:rPr>
          <w:rFonts w:ascii="Arial" w:eastAsia="Times New Roman" w:hAnsi="Arial" w:cs="Arial"/>
          <w:color w:val="000000"/>
          <w:sz w:val="28"/>
          <w:szCs w:val="28"/>
        </w:rPr>
        <w:t>LCHS4003 </w:t>
      </w:r>
    </w:p>
    <w:p w14:paraId="32DD9EE4" w14:textId="27A8168A" w:rsidR="00203B22" w:rsidRPr="00A6291B" w:rsidRDefault="004540C2" w:rsidP="00A6291B">
      <w:pPr>
        <w:rPr>
          <w:rFonts w:ascii="Arial" w:eastAsia="Times New Roman" w:hAnsi="Arial" w:cs="Arial"/>
          <w:color w:val="000000"/>
          <w:sz w:val="28"/>
          <w:szCs w:val="28"/>
        </w:rPr>
      </w:pPr>
      <w:r w:rsidRPr="00A6291B">
        <w:rPr>
          <w:rFonts w:ascii="Arial" w:hAnsi="Arial" w:cs="Arial"/>
          <w:b/>
          <w:bCs/>
          <w:sz w:val="28"/>
          <w:szCs w:val="28"/>
        </w:rPr>
        <w:t>Module</w:t>
      </w:r>
      <w:r w:rsidRPr="00A6291B">
        <w:rPr>
          <w:rFonts w:ascii="Arial" w:hAnsi="Arial" w:cs="Arial"/>
          <w:sz w:val="28"/>
          <w:szCs w:val="28"/>
        </w:rPr>
        <w:t xml:space="preserve">: </w:t>
      </w:r>
      <w:r w:rsidR="00A6291B" w:rsidRPr="00A6291B">
        <w:rPr>
          <w:rFonts w:ascii="Arial" w:eastAsia="Times New Roman" w:hAnsi="Arial" w:cs="Arial"/>
          <w:color w:val="000000"/>
          <w:sz w:val="28"/>
          <w:szCs w:val="28"/>
        </w:rPr>
        <w:t>Introduction to Health and Social Care</w:t>
      </w:r>
    </w:p>
    <w:p w14:paraId="2801449B" w14:textId="77777777" w:rsidR="00A6291B" w:rsidRPr="00A6291B" w:rsidRDefault="00A6291B" w:rsidP="00A6291B">
      <w:pPr>
        <w:rPr>
          <w:rFonts w:ascii="Arial" w:eastAsia="Times New Roman" w:hAnsi="Arial" w:cs="Arial"/>
          <w:color w:val="000000"/>
          <w:sz w:val="28"/>
          <w:szCs w:val="28"/>
        </w:rPr>
      </w:pPr>
      <w:r w:rsidRPr="00A6291B">
        <w:rPr>
          <w:rFonts w:ascii="Arial" w:eastAsia="Times New Roman" w:hAnsi="Arial" w:cs="Arial"/>
          <w:b/>
          <w:bCs/>
          <w:color w:val="000000"/>
          <w:sz w:val="28"/>
          <w:szCs w:val="28"/>
        </w:rPr>
        <w:t xml:space="preserve">Module </w:t>
      </w:r>
      <w:r w:rsidRPr="00A6291B">
        <w:rPr>
          <w:rFonts w:ascii="Arial" w:eastAsia="Times New Roman" w:hAnsi="Arial" w:cs="Arial"/>
          <w:b/>
          <w:bCs/>
          <w:color w:val="000000"/>
          <w:sz w:val="28"/>
          <w:szCs w:val="28"/>
        </w:rPr>
        <w:t>Lecturer</w:t>
      </w:r>
      <w:r w:rsidRPr="00A6291B">
        <w:rPr>
          <w:rFonts w:ascii="Arial" w:eastAsia="Times New Roman" w:hAnsi="Arial" w:cs="Arial"/>
          <w:color w:val="000000"/>
          <w:sz w:val="28"/>
          <w:szCs w:val="28"/>
        </w:rPr>
        <w:t xml:space="preserve">: </w:t>
      </w:r>
      <w:r w:rsidRPr="00A6291B">
        <w:rPr>
          <w:rFonts w:ascii="Arial" w:eastAsia="Times New Roman" w:hAnsi="Arial" w:cs="Arial"/>
          <w:color w:val="000000"/>
          <w:sz w:val="28"/>
          <w:szCs w:val="28"/>
        </w:rPr>
        <w:t>Muhammad Aliyu </w:t>
      </w:r>
    </w:p>
    <w:p w14:paraId="217F9D75" w14:textId="77777777" w:rsidR="00A6291B" w:rsidRPr="00A6291B" w:rsidRDefault="00A6291B" w:rsidP="00A6291B">
      <w:pPr>
        <w:rPr>
          <w:rFonts w:ascii="Arial" w:hAnsi="Arial" w:cs="Arial"/>
          <w:sz w:val="28"/>
          <w:szCs w:val="28"/>
        </w:rPr>
      </w:pPr>
    </w:p>
    <w:p w14:paraId="36D777FF" w14:textId="37C85996" w:rsidR="004540C2" w:rsidRPr="00A6291B" w:rsidRDefault="00203B22" w:rsidP="00A6291B">
      <w:pPr>
        <w:rPr>
          <w:rFonts w:ascii="Arial" w:eastAsia="Times New Roman" w:hAnsi="Arial" w:cs="Arial"/>
          <w:color w:val="000000"/>
          <w:sz w:val="28"/>
          <w:szCs w:val="28"/>
        </w:rPr>
      </w:pPr>
      <w:r w:rsidRPr="00A6291B">
        <w:rPr>
          <w:rFonts w:ascii="Arial" w:hAnsi="Arial" w:cs="Arial"/>
          <w:b/>
          <w:bCs/>
          <w:sz w:val="28"/>
          <w:szCs w:val="28"/>
        </w:rPr>
        <w:t>Assignment Title</w:t>
      </w:r>
      <w:r w:rsidR="004540C2" w:rsidRPr="00A6291B">
        <w:rPr>
          <w:rFonts w:ascii="Arial" w:hAnsi="Arial" w:cs="Arial"/>
          <w:sz w:val="28"/>
          <w:szCs w:val="28"/>
        </w:rPr>
        <w:t xml:space="preserve">: </w:t>
      </w:r>
      <w:r w:rsidR="00A6291B" w:rsidRPr="00A6291B">
        <w:rPr>
          <w:rFonts w:ascii="Arial" w:eastAsia="Times New Roman" w:hAnsi="Arial" w:cs="Arial"/>
          <w:color w:val="000000"/>
          <w:sz w:val="28"/>
          <w:szCs w:val="28"/>
        </w:rPr>
        <w:t>Written Assignment </w:t>
      </w:r>
    </w:p>
    <w:p w14:paraId="7C2C9B0E" w14:textId="364B6797" w:rsidR="004540C2" w:rsidRPr="00A6291B" w:rsidRDefault="00203B22" w:rsidP="00A6291B">
      <w:pPr>
        <w:rPr>
          <w:rFonts w:ascii="Arial" w:hAnsi="Arial" w:cs="Arial"/>
          <w:sz w:val="28"/>
          <w:szCs w:val="28"/>
        </w:rPr>
      </w:pPr>
      <w:r w:rsidRPr="00A6291B">
        <w:rPr>
          <w:rFonts w:ascii="Arial" w:hAnsi="Arial" w:cs="Arial"/>
          <w:b/>
          <w:bCs/>
          <w:sz w:val="28"/>
          <w:szCs w:val="28"/>
        </w:rPr>
        <w:t>Word Count</w:t>
      </w:r>
      <w:r w:rsidRPr="00A6291B">
        <w:rPr>
          <w:rFonts w:ascii="Arial" w:hAnsi="Arial" w:cs="Arial"/>
          <w:sz w:val="28"/>
          <w:szCs w:val="28"/>
        </w:rPr>
        <w:t xml:space="preserve">: </w:t>
      </w:r>
      <w:r w:rsidR="0007050C">
        <w:rPr>
          <w:rFonts w:ascii="Arial" w:hAnsi="Arial" w:cs="Arial"/>
          <w:sz w:val="28"/>
          <w:szCs w:val="28"/>
        </w:rPr>
        <w:t>1585</w:t>
      </w:r>
    </w:p>
    <w:p w14:paraId="56457121" w14:textId="546DA3A2" w:rsidR="004540C2" w:rsidRPr="00A6291B" w:rsidRDefault="004540C2" w:rsidP="00A6291B">
      <w:pPr>
        <w:rPr>
          <w:rFonts w:ascii="Arial" w:hAnsi="Arial" w:cs="Arial"/>
          <w:sz w:val="28"/>
          <w:szCs w:val="28"/>
        </w:rPr>
      </w:pPr>
      <w:r w:rsidRPr="00A6291B">
        <w:rPr>
          <w:rFonts w:ascii="Arial" w:hAnsi="Arial" w:cs="Arial"/>
          <w:b/>
          <w:bCs/>
          <w:sz w:val="28"/>
          <w:szCs w:val="28"/>
        </w:rPr>
        <w:t>Submitted on</w:t>
      </w:r>
      <w:r w:rsidRPr="00A6291B">
        <w:rPr>
          <w:rFonts w:ascii="Arial" w:hAnsi="Arial" w:cs="Arial"/>
          <w:sz w:val="28"/>
          <w:szCs w:val="28"/>
        </w:rPr>
        <w:t xml:space="preserve">: </w:t>
      </w:r>
      <w:r w:rsidR="0007050C">
        <w:rPr>
          <w:rFonts w:ascii="Arial" w:hAnsi="Arial" w:cs="Arial"/>
          <w:sz w:val="28"/>
          <w:szCs w:val="28"/>
        </w:rPr>
        <w:t>--</w:t>
      </w:r>
      <w:r w:rsidR="004E442E" w:rsidRPr="00A6291B">
        <w:rPr>
          <w:rFonts w:ascii="Arial" w:hAnsi="Arial" w:cs="Arial"/>
          <w:sz w:val="28"/>
          <w:szCs w:val="28"/>
        </w:rPr>
        <w:t>/04/2026</w:t>
      </w:r>
    </w:p>
    <w:p w14:paraId="7D5EC00D" w14:textId="77777777" w:rsidR="004540C2" w:rsidRPr="00116157" w:rsidRDefault="004540C2">
      <w:pPr>
        <w:rPr>
          <w:rFonts w:ascii="Arial" w:hAnsi="Arial" w:cs="Arial"/>
          <w:b/>
          <w:bCs/>
          <w:kern w:val="0"/>
          <w:sz w:val="26"/>
          <w:szCs w:val="26"/>
        </w:rPr>
      </w:pPr>
    </w:p>
    <w:p w14:paraId="4C8F0A2C" w14:textId="77777777" w:rsidR="004540C2" w:rsidRPr="00116157" w:rsidRDefault="004540C2">
      <w:pPr>
        <w:rPr>
          <w:rFonts w:ascii="Arial" w:hAnsi="Arial" w:cs="Arial"/>
          <w:b/>
          <w:bCs/>
          <w:kern w:val="0"/>
          <w:sz w:val="26"/>
          <w:szCs w:val="26"/>
        </w:rPr>
      </w:pPr>
      <w:r w:rsidRPr="00116157">
        <w:rPr>
          <w:rFonts w:ascii="Arial" w:hAnsi="Arial" w:cs="Arial"/>
          <w:b/>
          <w:bCs/>
          <w:kern w:val="0"/>
          <w:sz w:val="26"/>
          <w:szCs w:val="26"/>
        </w:rPr>
        <w:br w:type="page"/>
      </w:r>
    </w:p>
    <w:p w14:paraId="5C211B35" w14:textId="77777777" w:rsidR="002774B8" w:rsidRPr="002774B8" w:rsidRDefault="002774B8" w:rsidP="00882850">
      <w:pPr>
        <w:spacing w:before="120" w:after="120" w:line="360" w:lineRule="auto"/>
        <w:outlineLvl w:val="0"/>
        <w:rPr>
          <w:rFonts w:ascii="Arial" w:eastAsia="Times New Roman" w:hAnsi="Arial" w:cs="Arial"/>
          <w:b/>
          <w:bCs/>
          <w:color w:val="000000"/>
          <w:kern w:val="36"/>
          <w:sz w:val="22"/>
          <w:szCs w:val="22"/>
          <w:lang w:eastAsia="en-GB"/>
          <w14:ligatures w14:val="none"/>
        </w:rPr>
      </w:pPr>
      <w:r w:rsidRPr="002774B8">
        <w:rPr>
          <w:rFonts w:ascii="Arial" w:eastAsia="Times New Roman" w:hAnsi="Arial" w:cs="Arial"/>
          <w:b/>
          <w:bCs/>
          <w:color w:val="000000"/>
          <w:kern w:val="36"/>
          <w:sz w:val="22"/>
          <w:szCs w:val="22"/>
          <w:lang w:eastAsia="en-GB"/>
          <w14:ligatures w14:val="none"/>
        </w:rPr>
        <w:lastRenderedPageBreak/>
        <w:t>Introduction</w:t>
      </w:r>
    </w:p>
    <w:p w14:paraId="7D1DB510" w14:textId="77777777" w:rsidR="002774B8" w:rsidRPr="002774B8" w:rsidRDefault="002774B8" w:rsidP="00882850">
      <w:pPr>
        <w:spacing w:after="0" w:line="360" w:lineRule="auto"/>
        <w:rPr>
          <w:rFonts w:ascii="Arial" w:eastAsia="Times New Roman" w:hAnsi="Arial" w:cs="Arial"/>
          <w:color w:val="000000"/>
          <w:kern w:val="0"/>
          <w:sz w:val="22"/>
          <w:szCs w:val="22"/>
          <w:lang w:eastAsia="en-GB"/>
          <w14:ligatures w14:val="none"/>
        </w:rPr>
      </w:pPr>
      <w:r w:rsidRPr="002774B8">
        <w:rPr>
          <w:rFonts w:ascii="Arial" w:eastAsia="Times New Roman" w:hAnsi="Arial" w:cs="Arial"/>
          <w:color w:val="000000"/>
          <w:kern w:val="0"/>
          <w:sz w:val="22"/>
          <w:szCs w:val="22"/>
          <w:lang w:eastAsia="en-GB"/>
          <w14:ligatures w14:val="none"/>
        </w:rPr>
        <w:t>Effective care delivery in health and social care relies on clear communication, accurate administrative practice, and strong multidisciplinary collaboration. This report examines Mr Ahmed, a 68-year-old man recovering from a stroke. He needs ongoing support from various health and social care professionals. His situation highlights several important considerations: language barriers, complex care needs, and the coordination of multiple services. It is essential to adapt communication to his needs. This approach promotes understanding, safety, and person-centred care. It aligns with the Equality Act 2010. Robust administrative skills are also crucial. These include accurate record-keeping and compliance with the Data Protection Act 2018. Such skills maintain continuity and accountability in care. Lastly, effective collaboration among professionals such as the GP, district nurse, and speech and language therapist is vital. This teamwork helps achieve positive health outcomes and prevents incidents such as missed care visits.</w:t>
      </w:r>
    </w:p>
    <w:p w14:paraId="6BADD9B8" w14:textId="77777777" w:rsidR="00882850" w:rsidRPr="00882850" w:rsidRDefault="00882850" w:rsidP="00882850">
      <w:pPr>
        <w:spacing w:before="240" w:after="120" w:line="360" w:lineRule="auto"/>
        <w:outlineLvl w:val="0"/>
        <w:rPr>
          <w:rFonts w:ascii="Arial" w:eastAsia="Times New Roman" w:hAnsi="Arial" w:cs="Arial"/>
          <w:b/>
          <w:bCs/>
          <w:color w:val="000000"/>
          <w:kern w:val="36"/>
          <w:sz w:val="22"/>
          <w:szCs w:val="22"/>
          <w:lang w:eastAsia="en-GB"/>
          <w14:ligatures w14:val="none"/>
        </w:rPr>
      </w:pPr>
    </w:p>
    <w:p w14:paraId="77B82DD5" w14:textId="3DBBE0DA" w:rsidR="002774B8" w:rsidRPr="002774B8" w:rsidRDefault="002774B8" w:rsidP="00882850">
      <w:pPr>
        <w:spacing w:before="240" w:after="120" w:line="360" w:lineRule="auto"/>
        <w:outlineLvl w:val="0"/>
        <w:rPr>
          <w:rFonts w:ascii="Arial" w:eastAsia="Times New Roman" w:hAnsi="Arial" w:cs="Arial"/>
          <w:b/>
          <w:bCs/>
          <w:color w:val="000000"/>
          <w:kern w:val="36"/>
          <w:sz w:val="22"/>
          <w:szCs w:val="22"/>
          <w:lang w:eastAsia="en-GB"/>
          <w14:ligatures w14:val="none"/>
        </w:rPr>
      </w:pPr>
      <w:r w:rsidRPr="002774B8">
        <w:rPr>
          <w:rFonts w:ascii="Arial" w:eastAsia="Times New Roman" w:hAnsi="Arial" w:cs="Arial"/>
          <w:b/>
          <w:bCs/>
          <w:color w:val="000000"/>
          <w:kern w:val="36"/>
          <w:sz w:val="22"/>
          <w:szCs w:val="22"/>
          <w:lang w:eastAsia="en-GB"/>
          <w14:ligatures w14:val="none"/>
        </w:rPr>
        <w:t>Importance of Effective Communication</w:t>
      </w:r>
    </w:p>
    <w:p w14:paraId="6FC32A5B" w14:textId="77777777" w:rsidR="002774B8" w:rsidRPr="002774B8" w:rsidRDefault="002774B8" w:rsidP="00882850">
      <w:pPr>
        <w:spacing w:after="0" w:line="360" w:lineRule="auto"/>
        <w:rPr>
          <w:rFonts w:ascii="Arial" w:eastAsia="Times New Roman" w:hAnsi="Arial" w:cs="Arial"/>
          <w:color w:val="000000"/>
          <w:kern w:val="0"/>
          <w:sz w:val="22"/>
          <w:szCs w:val="22"/>
          <w:lang w:eastAsia="en-GB"/>
          <w14:ligatures w14:val="none"/>
        </w:rPr>
      </w:pPr>
      <w:r w:rsidRPr="002774B8">
        <w:rPr>
          <w:rFonts w:ascii="Arial" w:eastAsia="Times New Roman" w:hAnsi="Arial" w:cs="Arial"/>
          <w:color w:val="000000"/>
          <w:kern w:val="0"/>
          <w:sz w:val="22"/>
          <w:szCs w:val="22"/>
          <w:lang w:eastAsia="en-GB"/>
          <w14:ligatures w14:val="none"/>
        </w:rPr>
        <w:t>Effective communication is fundamental in health and social care. It supports safe, person-centred practice and promotes better outcomes. For Mr Ahmed, communication is especially critical. He recently had a stroke and may struggle to express himself or understand information. English is not his first language. Poor communication can cause serious problems. These include misunderstandings about medication, missing new symptoms, or incorrect reporting of needs. The missed domiciliary care visit, leading to delayed medication, shows how communication breakdowns compromise safety and continuity. Inadequate communication can also stop Mr Ahmed from advocating for himself or participating in care decisions. This can cause disempowerment and lower well-being. Using suitable strategies helps reduce these risks. This ensures high-quality, inclusive care for people with complex needs (NHS England, 2019).</w:t>
      </w:r>
    </w:p>
    <w:p w14:paraId="46A39086" w14:textId="77777777" w:rsidR="00882850" w:rsidRPr="00882850" w:rsidRDefault="00882850" w:rsidP="00882850">
      <w:pPr>
        <w:spacing w:after="0" w:line="360" w:lineRule="auto"/>
        <w:rPr>
          <w:rFonts w:ascii="Arial" w:eastAsia="Times New Roman" w:hAnsi="Arial" w:cs="Arial"/>
          <w:color w:val="000000"/>
          <w:kern w:val="0"/>
          <w:sz w:val="22"/>
          <w:szCs w:val="22"/>
          <w:lang w:eastAsia="en-GB"/>
          <w14:ligatures w14:val="none"/>
        </w:rPr>
      </w:pPr>
    </w:p>
    <w:p w14:paraId="037A4B39" w14:textId="3478ED1D" w:rsidR="00882850" w:rsidRPr="00882850" w:rsidRDefault="002774B8" w:rsidP="00882850">
      <w:pPr>
        <w:spacing w:after="0" w:line="360" w:lineRule="auto"/>
        <w:rPr>
          <w:rFonts w:ascii="Arial" w:eastAsia="Times New Roman" w:hAnsi="Arial" w:cs="Arial"/>
          <w:color w:val="000000"/>
          <w:kern w:val="0"/>
          <w:sz w:val="22"/>
          <w:szCs w:val="22"/>
          <w:lang w:eastAsia="en-GB"/>
          <w14:ligatures w14:val="none"/>
        </w:rPr>
      </w:pPr>
      <w:r w:rsidRPr="002774B8">
        <w:rPr>
          <w:rFonts w:ascii="Arial" w:eastAsia="Times New Roman" w:hAnsi="Arial" w:cs="Arial"/>
          <w:color w:val="000000"/>
          <w:kern w:val="0"/>
          <w:sz w:val="22"/>
          <w:szCs w:val="22"/>
          <w:lang w:eastAsia="en-GB"/>
          <w14:ligatures w14:val="none"/>
        </w:rPr>
        <w:t>Key recommendations for communicating with Mr Ahmed include using clear, simple language, speaking slowly, and keeping sentences short. Allow ample time for him to process information, which is essential if he has aphasia. Incorporate nonverbal methods, such as gestures and visual aids, and use trained interpreters to overcome language barriers and ensure understanding.</w:t>
      </w:r>
    </w:p>
    <w:p w14:paraId="0FB08114" w14:textId="0BEC4E08" w:rsidR="002774B8" w:rsidRPr="002774B8" w:rsidRDefault="002774B8" w:rsidP="00882850">
      <w:pPr>
        <w:spacing w:after="0" w:line="360" w:lineRule="auto"/>
        <w:rPr>
          <w:rFonts w:ascii="Arial" w:eastAsia="Times New Roman" w:hAnsi="Arial" w:cs="Arial"/>
          <w:color w:val="000000"/>
          <w:kern w:val="0"/>
          <w:sz w:val="22"/>
          <w:szCs w:val="22"/>
          <w:lang w:eastAsia="en-GB"/>
          <w14:ligatures w14:val="none"/>
        </w:rPr>
      </w:pPr>
      <w:r w:rsidRPr="002774B8">
        <w:rPr>
          <w:rFonts w:ascii="Arial" w:eastAsia="Times New Roman" w:hAnsi="Arial" w:cs="Arial"/>
          <w:color w:val="000000"/>
          <w:kern w:val="0"/>
          <w:sz w:val="22"/>
          <w:szCs w:val="22"/>
          <w:lang w:eastAsia="en-GB"/>
          <w14:ligatures w14:val="none"/>
        </w:rPr>
        <w:lastRenderedPageBreak/>
        <w:t>When professional interpreters are unavailable, use alternative tools and resources. Examples include picture-based communication boards, stroke-specific communication apps, multilingual written materials, and simple yes/no cards. Translation applications like Google Translate may offer temporary support, but they carry risks of inaccuracy in clinical settings. Gesture-based communication and pictorial aids can also help bridge understanding, especially in urgent situations. These tools should be supplemental, not replacements for trained interpreters.</w:t>
      </w:r>
    </w:p>
    <w:p w14:paraId="10F6362C" w14:textId="77777777" w:rsidR="00882850" w:rsidRPr="00882850" w:rsidRDefault="00882850" w:rsidP="00882850">
      <w:pPr>
        <w:spacing w:after="0" w:line="360" w:lineRule="auto"/>
        <w:rPr>
          <w:rFonts w:ascii="Arial" w:eastAsia="Times New Roman" w:hAnsi="Arial" w:cs="Arial"/>
          <w:color w:val="000000"/>
          <w:kern w:val="0"/>
          <w:sz w:val="22"/>
          <w:szCs w:val="22"/>
          <w:lang w:eastAsia="en-GB"/>
          <w14:ligatures w14:val="none"/>
        </w:rPr>
      </w:pPr>
    </w:p>
    <w:p w14:paraId="01549D4F" w14:textId="05A473AC" w:rsidR="002774B8" w:rsidRPr="002774B8" w:rsidRDefault="002774B8" w:rsidP="00882850">
      <w:pPr>
        <w:spacing w:after="0" w:line="360" w:lineRule="auto"/>
        <w:rPr>
          <w:rFonts w:ascii="Arial" w:eastAsia="Times New Roman" w:hAnsi="Arial" w:cs="Arial"/>
          <w:color w:val="000000"/>
          <w:kern w:val="0"/>
          <w:sz w:val="22"/>
          <w:szCs w:val="22"/>
          <w:lang w:eastAsia="en-GB"/>
          <w14:ligatures w14:val="none"/>
        </w:rPr>
      </w:pPr>
      <w:r w:rsidRPr="002774B8">
        <w:rPr>
          <w:rFonts w:ascii="Arial" w:eastAsia="Times New Roman" w:hAnsi="Arial" w:cs="Arial"/>
          <w:color w:val="000000"/>
          <w:kern w:val="0"/>
          <w:sz w:val="22"/>
          <w:szCs w:val="22"/>
          <w:lang w:eastAsia="en-GB"/>
          <w14:ligatures w14:val="none"/>
        </w:rPr>
        <w:t>Involving family, such as his wife, provides emotional support and helps in urgent moments. However, this approach has drawbacks. Family may misinterpret medical information or lack impartiality. They might also feel uncomfortable discussing sensitive issues. These risks can compromise confidentiality and lead to misunderstandings. While his wife can offer support, relying only on family interpreters introduces risks that often outweigh benefits. Professional interpreters best ensure clear and confidential communication (Arnold and Boggs, 2019).</w:t>
      </w:r>
    </w:p>
    <w:p w14:paraId="33119BC5" w14:textId="77777777" w:rsidR="00882850" w:rsidRPr="00882850" w:rsidRDefault="00882850" w:rsidP="00882850">
      <w:pPr>
        <w:spacing w:after="0" w:line="360" w:lineRule="auto"/>
        <w:rPr>
          <w:rFonts w:ascii="Arial" w:eastAsia="Times New Roman" w:hAnsi="Arial" w:cs="Arial"/>
          <w:color w:val="000000"/>
          <w:kern w:val="0"/>
          <w:sz w:val="22"/>
          <w:szCs w:val="22"/>
          <w:lang w:eastAsia="en-GB"/>
          <w14:ligatures w14:val="none"/>
        </w:rPr>
      </w:pPr>
    </w:p>
    <w:p w14:paraId="2623864A" w14:textId="551D3876" w:rsidR="002774B8" w:rsidRPr="002774B8" w:rsidRDefault="002774B8" w:rsidP="00882850">
      <w:pPr>
        <w:spacing w:after="0" w:line="360" w:lineRule="auto"/>
        <w:rPr>
          <w:rFonts w:ascii="Arial" w:eastAsia="Times New Roman" w:hAnsi="Arial" w:cs="Arial"/>
          <w:color w:val="000000"/>
          <w:kern w:val="0"/>
          <w:sz w:val="22"/>
          <w:szCs w:val="22"/>
          <w:lang w:eastAsia="en-GB"/>
          <w14:ligatures w14:val="none"/>
        </w:rPr>
      </w:pPr>
      <w:r w:rsidRPr="002774B8">
        <w:rPr>
          <w:rFonts w:ascii="Arial" w:eastAsia="Times New Roman" w:hAnsi="Arial" w:cs="Arial"/>
          <w:color w:val="000000"/>
          <w:kern w:val="0"/>
          <w:sz w:val="22"/>
          <w:szCs w:val="22"/>
          <w:lang w:eastAsia="en-GB"/>
          <w14:ligatures w14:val="none"/>
        </w:rPr>
        <w:t xml:space="preserve">Communicate respectfully with Mr Ahmed’s </w:t>
      </w:r>
      <w:r w:rsidR="0007050C" w:rsidRPr="002774B8">
        <w:rPr>
          <w:rFonts w:ascii="Arial" w:eastAsia="Times New Roman" w:hAnsi="Arial" w:cs="Arial"/>
          <w:color w:val="000000"/>
          <w:kern w:val="0"/>
          <w:sz w:val="22"/>
          <w:szCs w:val="22"/>
          <w:lang w:eastAsia="en-GB"/>
          <w14:ligatures w14:val="none"/>
        </w:rPr>
        <w:t>wife but</w:t>
      </w:r>
      <w:r w:rsidRPr="002774B8">
        <w:rPr>
          <w:rFonts w:ascii="Arial" w:eastAsia="Times New Roman" w:hAnsi="Arial" w:cs="Arial"/>
          <w:color w:val="000000"/>
          <w:kern w:val="0"/>
          <w:sz w:val="22"/>
          <w:szCs w:val="22"/>
          <w:lang w:eastAsia="en-GB"/>
          <w14:ligatures w14:val="none"/>
        </w:rPr>
        <w:t xml:space="preserve"> always obtain his consent before sharing information. This practice maintains his autonomy and keeps him involved in decisions about his care.</w:t>
      </w:r>
    </w:p>
    <w:p w14:paraId="7CC92C65" w14:textId="77777777" w:rsidR="00882850" w:rsidRPr="00882850" w:rsidRDefault="00882850" w:rsidP="00882850">
      <w:pPr>
        <w:spacing w:after="0" w:line="360" w:lineRule="auto"/>
        <w:rPr>
          <w:rFonts w:ascii="Arial" w:eastAsia="Times New Roman" w:hAnsi="Arial" w:cs="Arial"/>
          <w:color w:val="000000"/>
          <w:kern w:val="0"/>
          <w:sz w:val="22"/>
          <w:szCs w:val="22"/>
          <w:lang w:eastAsia="en-GB"/>
          <w14:ligatures w14:val="none"/>
        </w:rPr>
      </w:pPr>
    </w:p>
    <w:p w14:paraId="3BE38D44" w14:textId="45919335" w:rsidR="002774B8" w:rsidRPr="002774B8" w:rsidRDefault="002774B8" w:rsidP="00882850">
      <w:pPr>
        <w:spacing w:after="0" w:line="360" w:lineRule="auto"/>
        <w:rPr>
          <w:rFonts w:ascii="Arial" w:eastAsia="Times New Roman" w:hAnsi="Arial" w:cs="Arial"/>
          <w:color w:val="000000"/>
          <w:kern w:val="0"/>
          <w:sz w:val="22"/>
          <w:szCs w:val="22"/>
          <w:lang w:eastAsia="en-GB"/>
          <w14:ligatures w14:val="none"/>
        </w:rPr>
      </w:pPr>
      <w:r w:rsidRPr="002774B8">
        <w:rPr>
          <w:rFonts w:ascii="Arial" w:eastAsia="Times New Roman" w:hAnsi="Arial" w:cs="Arial"/>
          <w:color w:val="000000"/>
          <w:kern w:val="0"/>
          <w:sz w:val="22"/>
          <w:szCs w:val="22"/>
          <w:lang w:eastAsia="en-GB"/>
          <w14:ligatures w14:val="none"/>
        </w:rPr>
        <w:t>The Equality Act 2010 provides a legal framework to promote equality, diversity, and inclusion in care. For Mr Ahmed, limited English proficiency may lead to indirect discrimination if no adjustments are made. Not arranging interpreter services can prevent him from understanding care plans or expressing his needs. Providing a trained interpreter and written materials in his language would help him participate in care decisions. This ensures providers comply with the Equality Act 2010. It also reduces barriers and protects Mr Ahmed’s rights. This support helps ensure he receives fair care.</w:t>
      </w:r>
    </w:p>
    <w:p w14:paraId="74C92A06" w14:textId="77777777" w:rsidR="00882850" w:rsidRPr="00882850" w:rsidRDefault="00882850" w:rsidP="00882850">
      <w:pPr>
        <w:spacing w:after="0" w:line="360" w:lineRule="auto"/>
        <w:rPr>
          <w:rFonts w:ascii="Arial" w:eastAsia="Times New Roman" w:hAnsi="Arial" w:cs="Arial"/>
          <w:color w:val="000000"/>
          <w:kern w:val="0"/>
          <w:sz w:val="22"/>
          <w:szCs w:val="22"/>
          <w:lang w:eastAsia="en-GB"/>
          <w14:ligatures w14:val="none"/>
        </w:rPr>
      </w:pPr>
    </w:p>
    <w:p w14:paraId="0AFDEC40" w14:textId="6813B3B0" w:rsidR="00882850" w:rsidRDefault="002774B8" w:rsidP="00882850">
      <w:pPr>
        <w:spacing w:after="0" w:line="360" w:lineRule="auto"/>
        <w:rPr>
          <w:rFonts w:ascii="Arial" w:eastAsia="Times New Roman" w:hAnsi="Arial" w:cs="Arial"/>
          <w:color w:val="000000"/>
          <w:kern w:val="0"/>
          <w:sz w:val="22"/>
          <w:szCs w:val="22"/>
          <w:lang w:eastAsia="en-GB"/>
          <w14:ligatures w14:val="none"/>
        </w:rPr>
      </w:pPr>
      <w:r w:rsidRPr="002774B8">
        <w:rPr>
          <w:rFonts w:ascii="Arial" w:eastAsia="Times New Roman" w:hAnsi="Arial" w:cs="Arial"/>
          <w:color w:val="000000"/>
          <w:kern w:val="0"/>
          <w:sz w:val="22"/>
          <w:szCs w:val="22"/>
          <w:lang w:eastAsia="en-GB"/>
          <w14:ligatures w14:val="none"/>
        </w:rPr>
        <w:t>The Transactional Model of Communication is two-way and dynamic. Context, feedback, and barriers</w:t>
      </w:r>
      <w:r w:rsidR="0007050C">
        <w:rPr>
          <w:rFonts w:ascii="Arial" w:eastAsia="Times New Roman" w:hAnsi="Arial" w:cs="Arial"/>
          <w:color w:val="000000"/>
          <w:kern w:val="0"/>
          <w:sz w:val="22"/>
          <w:szCs w:val="22"/>
          <w:lang w:eastAsia="en-GB"/>
          <w14:ligatures w14:val="none"/>
        </w:rPr>
        <w:t xml:space="preserve"> </w:t>
      </w:r>
      <w:r w:rsidRPr="002774B8">
        <w:rPr>
          <w:rFonts w:ascii="Arial" w:eastAsia="Times New Roman" w:hAnsi="Arial" w:cs="Arial"/>
          <w:color w:val="000000"/>
          <w:kern w:val="0"/>
          <w:sz w:val="22"/>
          <w:szCs w:val="22"/>
          <w:lang w:eastAsia="en-GB"/>
          <w14:ligatures w14:val="none"/>
        </w:rPr>
        <w:t>also called ‘noise’ (Arnold and Boggs, 2019)</w:t>
      </w:r>
      <w:r w:rsidR="0007050C">
        <w:rPr>
          <w:rFonts w:ascii="Arial" w:eastAsia="Times New Roman" w:hAnsi="Arial" w:cs="Arial"/>
          <w:color w:val="000000"/>
          <w:kern w:val="0"/>
          <w:sz w:val="22"/>
          <w:szCs w:val="22"/>
          <w:lang w:eastAsia="en-GB"/>
          <w14:ligatures w14:val="none"/>
        </w:rPr>
        <w:t xml:space="preserve"> </w:t>
      </w:r>
      <w:r w:rsidRPr="002774B8">
        <w:rPr>
          <w:rFonts w:ascii="Arial" w:eastAsia="Times New Roman" w:hAnsi="Arial" w:cs="Arial"/>
          <w:color w:val="000000"/>
          <w:kern w:val="0"/>
          <w:sz w:val="22"/>
          <w:szCs w:val="22"/>
          <w:lang w:eastAsia="en-GB"/>
          <w14:ligatures w14:val="none"/>
        </w:rPr>
        <w:t>shape this process. Language differences and stroke-related cognitive issues may hinder Mr Ahmed’s communication. The environment can also create barriers. Professionals should seek feedback. For example, they could ask Mr Ahmed to repeat information or show understanding to confirm he understands the message.</w:t>
      </w:r>
    </w:p>
    <w:p w14:paraId="2AAE6DEA" w14:textId="77777777" w:rsidR="00882850" w:rsidRPr="00882850" w:rsidRDefault="00882850" w:rsidP="00882850">
      <w:pPr>
        <w:spacing w:after="0" w:line="360" w:lineRule="auto"/>
        <w:rPr>
          <w:rFonts w:ascii="Arial" w:eastAsia="Times New Roman" w:hAnsi="Arial" w:cs="Arial"/>
          <w:color w:val="000000"/>
          <w:kern w:val="0"/>
          <w:sz w:val="22"/>
          <w:szCs w:val="22"/>
          <w:lang w:eastAsia="en-GB"/>
          <w14:ligatures w14:val="none"/>
        </w:rPr>
      </w:pPr>
    </w:p>
    <w:p w14:paraId="14649CCB" w14:textId="645E26A8" w:rsidR="002774B8" w:rsidRPr="002774B8" w:rsidRDefault="002774B8" w:rsidP="00882850">
      <w:pPr>
        <w:spacing w:after="0" w:line="360" w:lineRule="auto"/>
        <w:rPr>
          <w:rFonts w:ascii="Arial" w:eastAsia="Times New Roman" w:hAnsi="Arial" w:cs="Arial"/>
          <w:color w:val="000000"/>
          <w:kern w:val="0"/>
          <w:sz w:val="22"/>
          <w:szCs w:val="22"/>
          <w:lang w:eastAsia="en-GB"/>
          <w14:ligatures w14:val="none"/>
        </w:rPr>
      </w:pPr>
      <w:r w:rsidRPr="002774B8">
        <w:rPr>
          <w:rFonts w:ascii="Arial" w:eastAsia="Times New Roman" w:hAnsi="Arial" w:cs="Arial"/>
          <w:color w:val="000000"/>
          <w:kern w:val="0"/>
          <w:sz w:val="22"/>
          <w:szCs w:val="22"/>
          <w:lang w:eastAsia="en-GB"/>
          <w14:ligatures w14:val="none"/>
        </w:rPr>
        <w:t>Direct, adapted communication keeps Mr Ahmed safe, dignified, and involved. By using effective strategies and complying with the law, professionals deliver high-quality, inclusive care.</w:t>
      </w:r>
    </w:p>
    <w:p w14:paraId="707B60D9" w14:textId="77777777" w:rsidR="00882850" w:rsidRPr="00882850" w:rsidRDefault="00882850" w:rsidP="00882850">
      <w:pPr>
        <w:spacing w:before="240" w:after="120" w:line="360" w:lineRule="auto"/>
        <w:outlineLvl w:val="0"/>
        <w:rPr>
          <w:rFonts w:ascii="Arial" w:eastAsia="Times New Roman" w:hAnsi="Arial" w:cs="Arial"/>
          <w:b/>
          <w:bCs/>
          <w:color w:val="000000"/>
          <w:kern w:val="36"/>
          <w:sz w:val="22"/>
          <w:szCs w:val="22"/>
          <w:lang w:eastAsia="en-GB"/>
          <w14:ligatures w14:val="none"/>
        </w:rPr>
      </w:pPr>
    </w:p>
    <w:p w14:paraId="72DFCC1E" w14:textId="4A5D1855" w:rsidR="002774B8" w:rsidRPr="002774B8" w:rsidRDefault="002774B8" w:rsidP="00882850">
      <w:pPr>
        <w:spacing w:before="240" w:after="120" w:line="360" w:lineRule="auto"/>
        <w:outlineLvl w:val="0"/>
        <w:rPr>
          <w:rFonts w:ascii="Arial" w:eastAsia="Times New Roman" w:hAnsi="Arial" w:cs="Arial"/>
          <w:b/>
          <w:bCs/>
          <w:color w:val="000000"/>
          <w:kern w:val="36"/>
          <w:sz w:val="22"/>
          <w:szCs w:val="22"/>
          <w:lang w:eastAsia="en-GB"/>
          <w14:ligatures w14:val="none"/>
        </w:rPr>
      </w:pPr>
      <w:r w:rsidRPr="002774B8">
        <w:rPr>
          <w:rFonts w:ascii="Arial" w:eastAsia="Times New Roman" w:hAnsi="Arial" w:cs="Arial"/>
          <w:b/>
          <w:bCs/>
          <w:color w:val="000000"/>
          <w:kern w:val="36"/>
          <w:sz w:val="22"/>
          <w:szCs w:val="22"/>
          <w:lang w:eastAsia="en-GB"/>
          <w14:ligatures w14:val="none"/>
        </w:rPr>
        <w:t>Importance of Administrative Skills</w:t>
      </w:r>
    </w:p>
    <w:p w14:paraId="0EA699D5" w14:textId="77777777" w:rsidR="002774B8" w:rsidRPr="002774B8" w:rsidRDefault="002774B8" w:rsidP="00882850">
      <w:pPr>
        <w:spacing w:after="0" w:line="360" w:lineRule="auto"/>
        <w:rPr>
          <w:rFonts w:ascii="Arial" w:eastAsia="Times New Roman" w:hAnsi="Arial" w:cs="Arial"/>
          <w:color w:val="000000"/>
          <w:kern w:val="0"/>
          <w:sz w:val="22"/>
          <w:szCs w:val="22"/>
          <w:lang w:eastAsia="en-GB"/>
          <w14:ligatures w14:val="none"/>
        </w:rPr>
      </w:pPr>
      <w:r w:rsidRPr="002774B8">
        <w:rPr>
          <w:rFonts w:ascii="Arial" w:eastAsia="Times New Roman" w:hAnsi="Arial" w:cs="Arial"/>
          <w:color w:val="000000"/>
          <w:kern w:val="0"/>
          <w:sz w:val="22"/>
          <w:szCs w:val="22"/>
          <w:lang w:eastAsia="en-GB"/>
          <w14:ligatures w14:val="none"/>
        </w:rPr>
        <w:t>Administrative skills form the foundation of safe, effective, and accountable care in health and social care. Strong administrative processes ensure continuity, reduce errors, and maintain high standards for Mr Ahmed. When a recent care visit was missed, his medication was delayed, showing how poor systems can have serious effects. This highlights the need for accurate coordination and documentation.</w:t>
      </w:r>
    </w:p>
    <w:p w14:paraId="419B4CE2" w14:textId="77777777" w:rsidR="00882850" w:rsidRPr="00882850" w:rsidRDefault="00882850" w:rsidP="00882850">
      <w:pPr>
        <w:spacing w:after="0" w:line="360" w:lineRule="auto"/>
        <w:rPr>
          <w:rFonts w:ascii="Arial" w:eastAsia="Times New Roman" w:hAnsi="Arial" w:cs="Arial"/>
          <w:color w:val="000000"/>
          <w:kern w:val="0"/>
          <w:sz w:val="22"/>
          <w:szCs w:val="22"/>
          <w:lang w:eastAsia="en-GB"/>
          <w14:ligatures w14:val="none"/>
        </w:rPr>
      </w:pPr>
    </w:p>
    <w:p w14:paraId="28682851" w14:textId="483F5B38" w:rsidR="002774B8" w:rsidRPr="002774B8" w:rsidRDefault="002774B8" w:rsidP="00882850">
      <w:pPr>
        <w:spacing w:after="0" w:line="360" w:lineRule="auto"/>
        <w:rPr>
          <w:rFonts w:ascii="Arial" w:eastAsia="Times New Roman" w:hAnsi="Arial" w:cs="Arial"/>
          <w:color w:val="000000"/>
          <w:kern w:val="0"/>
          <w:sz w:val="22"/>
          <w:szCs w:val="22"/>
          <w:lang w:eastAsia="en-GB"/>
          <w14:ligatures w14:val="none"/>
        </w:rPr>
      </w:pPr>
      <w:r w:rsidRPr="002774B8">
        <w:rPr>
          <w:rFonts w:ascii="Arial" w:eastAsia="Times New Roman" w:hAnsi="Arial" w:cs="Arial"/>
          <w:color w:val="000000"/>
          <w:kern w:val="0"/>
          <w:sz w:val="22"/>
          <w:szCs w:val="22"/>
          <w:lang w:eastAsia="en-GB"/>
          <w14:ligatures w14:val="none"/>
        </w:rPr>
        <w:t>Good record-keeping is vital and is required by the Data Protection Act 2018. The Act sets rules for creating, storing, and sharing records. Professionals must keep records that are accurate, clear, timely, and relevant. These records include care plans, MAR charts, risk assessments, and incident reports. For Mr Ahmed, clear documentation informs all involved in his care. Accurate records help prevent errors (Nursing and Midwifery Council, 2018; Royal College of Nursing, 2023). Studies show that accurate records boost patient safety and reduce adverse events. This shows the value of robust documentation in health and social care (Wood et al., 2022).</w:t>
      </w:r>
    </w:p>
    <w:p w14:paraId="48B73237" w14:textId="77777777" w:rsidR="00882850" w:rsidRPr="00882850" w:rsidRDefault="00882850" w:rsidP="00882850">
      <w:pPr>
        <w:spacing w:after="0" w:line="360" w:lineRule="auto"/>
        <w:rPr>
          <w:rFonts w:ascii="Arial" w:eastAsia="Times New Roman" w:hAnsi="Arial" w:cs="Arial"/>
          <w:color w:val="000000"/>
          <w:kern w:val="0"/>
          <w:sz w:val="22"/>
          <w:szCs w:val="22"/>
          <w:lang w:eastAsia="en-GB"/>
          <w14:ligatures w14:val="none"/>
        </w:rPr>
      </w:pPr>
    </w:p>
    <w:p w14:paraId="3EDF7E26" w14:textId="7DE15643" w:rsidR="002774B8" w:rsidRPr="002774B8" w:rsidRDefault="002774B8" w:rsidP="00882850">
      <w:pPr>
        <w:spacing w:after="0" w:line="360" w:lineRule="auto"/>
        <w:rPr>
          <w:rFonts w:ascii="Arial" w:eastAsia="Times New Roman" w:hAnsi="Arial" w:cs="Arial"/>
          <w:color w:val="000000"/>
          <w:kern w:val="0"/>
          <w:sz w:val="22"/>
          <w:szCs w:val="22"/>
          <w:lang w:eastAsia="en-GB"/>
          <w14:ligatures w14:val="none"/>
        </w:rPr>
      </w:pPr>
      <w:r w:rsidRPr="002774B8">
        <w:rPr>
          <w:rFonts w:ascii="Arial" w:eastAsia="Times New Roman" w:hAnsi="Arial" w:cs="Arial"/>
          <w:color w:val="000000"/>
          <w:kern w:val="0"/>
          <w:sz w:val="22"/>
          <w:szCs w:val="22"/>
          <w:lang w:eastAsia="en-GB"/>
          <w14:ligatures w14:val="none"/>
        </w:rPr>
        <w:t>Accurate record-keeping ensures accountability and legal protection. When incidents occur, such as a missed visit, records provide evidence of care. They also highlight where processes failed. This approach helps organisations investigate, improve, and prevent recurrence.</w:t>
      </w:r>
    </w:p>
    <w:p w14:paraId="1EF73FAA" w14:textId="77777777" w:rsidR="002774B8" w:rsidRPr="002774B8" w:rsidRDefault="002774B8" w:rsidP="00882850">
      <w:pPr>
        <w:spacing w:after="0" w:line="360" w:lineRule="auto"/>
        <w:rPr>
          <w:rFonts w:ascii="Arial" w:eastAsia="Times New Roman" w:hAnsi="Arial" w:cs="Arial"/>
          <w:color w:val="000000"/>
          <w:kern w:val="0"/>
          <w:sz w:val="22"/>
          <w:szCs w:val="22"/>
          <w:lang w:eastAsia="en-GB"/>
          <w14:ligatures w14:val="none"/>
        </w:rPr>
      </w:pPr>
      <w:r w:rsidRPr="002774B8">
        <w:rPr>
          <w:rFonts w:ascii="Arial" w:eastAsia="Times New Roman" w:hAnsi="Arial" w:cs="Arial"/>
          <w:color w:val="000000"/>
          <w:kern w:val="0"/>
          <w:sz w:val="22"/>
          <w:szCs w:val="22"/>
          <w:lang w:eastAsia="en-GB"/>
          <w14:ligatures w14:val="none"/>
        </w:rPr>
        <w:t>To improve administrative processes, students and junior staff should accurately document care, highlight record inconsistencies, promptly escalate concerns about missing or unclear information, and actively participate in audits or quality improvement initiatives under supervision.</w:t>
      </w:r>
    </w:p>
    <w:p w14:paraId="370BBD77" w14:textId="77777777" w:rsidR="00882850" w:rsidRPr="00882850" w:rsidRDefault="00882850" w:rsidP="00882850">
      <w:pPr>
        <w:spacing w:after="0" w:line="360" w:lineRule="auto"/>
        <w:rPr>
          <w:rFonts w:ascii="Arial" w:eastAsia="Times New Roman" w:hAnsi="Arial" w:cs="Arial"/>
          <w:color w:val="000000"/>
          <w:kern w:val="0"/>
          <w:sz w:val="22"/>
          <w:szCs w:val="22"/>
          <w:lang w:eastAsia="en-GB"/>
          <w14:ligatures w14:val="none"/>
        </w:rPr>
      </w:pPr>
    </w:p>
    <w:p w14:paraId="0E5217A8" w14:textId="370E34C8" w:rsidR="002774B8" w:rsidRPr="002774B8" w:rsidRDefault="002774B8" w:rsidP="00882850">
      <w:pPr>
        <w:spacing w:after="0" w:line="360" w:lineRule="auto"/>
        <w:rPr>
          <w:rFonts w:ascii="Arial" w:eastAsia="Times New Roman" w:hAnsi="Arial" w:cs="Arial"/>
          <w:color w:val="000000"/>
          <w:kern w:val="0"/>
          <w:sz w:val="22"/>
          <w:szCs w:val="22"/>
          <w:lang w:eastAsia="en-GB"/>
          <w14:ligatures w14:val="none"/>
        </w:rPr>
      </w:pPr>
      <w:r w:rsidRPr="002774B8">
        <w:rPr>
          <w:rFonts w:ascii="Arial" w:eastAsia="Times New Roman" w:hAnsi="Arial" w:cs="Arial"/>
          <w:color w:val="000000"/>
          <w:kern w:val="0"/>
          <w:sz w:val="22"/>
          <w:szCs w:val="22"/>
          <w:lang w:eastAsia="en-GB"/>
          <w14:ligatures w14:val="none"/>
        </w:rPr>
        <w:t>The Data Protection Act 2018 guides health and social care professionals who handle personal information. The law requires lawful, fair, and transparent data processing. Professionals must keep data secure and share it only when necessary. Mr Ahmed’s health data is sensitive and needs strict confidentiality. Professionals must store records securely and limit access to authorised staff only.</w:t>
      </w:r>
    </w:p>
    <w:p w14:paraId="6718116B" w14:textId="77777777" w:rsidR="00882850" w:rsidRPr="00882850" w:rsidRDefault="00882850" w:rsidP="00882850">
      <w:pPr>
        <w:spacing w:after="0" w:line="360" w:lineRule="auto"/>
        <w:rPr>
          <w:rFonts w:ascii="Arial" w:eastAsia="Times New Roman" w:hAnsi="Arial" w:cs="Arial"/>
          <w:color w:val="000000"/>
          <w:kern w:val="0"/>
          <w:sz w:val="22"/>
          <w:szCs w:val="22"/>
          <w:lang w:eastAsia="en-GB"/>
          <w14:ligatures w14:val="none"/>
        </w:rPr>
      </w:pPr>
    </w:p>
    <w:p w14:paraId="7E6232A9" w14:textId="58704BC8" w:rsidR="002774B8" w:rsidRPr="002774B8" w:rsidRDefault="002774B8" w:rsidP="00882850">
      <w:pPr>
        <w:spacing w:after="0" w:line="360" w:lineRule="auto"/>
        <w:rPr>
          <w:rFonts w:ascii="Arial" w:eastAsia="Times New Roman" w:hAnsi="Arial" w:cs="Arial"/>
          <w:color w:val="000000"/>
          <w:kern w:val="0"/>
          <w:sz w:val="22"/>
          <w:szCs w:val="22"/>
          <w:lang w:eastAsia="en-GB"/>
          <w14:ligatures w14:val="none"/>
        </w:rPr>
      </w:pPr>
      <w:r w:rsidRPr="002774B8">
        <w:rPr>
          <w:rFonts w:ascii="Arial" w:eastAsia="Times New Roman" w:hAnsi="Arial" w:cs="Arial"/>
          <w:color w:val="000000"/>
          <w:kern w:val="0"/>
          <w:sz w:val="22"/>
          <w:szCs w:val="22"/>
          <w:lang w:eastAsia="en-GB"/>
          <w14:ligatures w14:val="none"/>
        </w:rPr>
        <w:t xml:space="preserve">The Caldicott Principles further support appropriate information sharing. They require professionals to justify their use of data and limit it to what is necessary (National Data </w:t>
      </w:r>
      <w:r w:rsidRPr="002774B8">
        <w:rPr>
          <w:rFonts w:ascii="Arial" w:eastAsia="Times New Roman" w:hAnsi="Arial" w:cs="Arial"/>
          <w:color w:val="000000"/>
          <w:kern w:val="0"/>
          <w:sz w:val="22"/>
          <w:szCs w:val="22"/>
          <w:lang w:eastAsia="en-GB"/>
          <w14:ligatures w14:val="none"/>
        </w:rPr>
        <w:lastRenderedPageBreak/>
        <w:t>Guardian, 2020). When applying these principles, staff ensure that they share Mr Ahmed’s information appropriately, while protecting his privacy and dignity. Good administrative skills sustain safe, effective, and person-centred care. Accurate records, legal compliance, and structured documentation improve quality. These practices also reduce incidents in Mr Ahmed’s care.</w:t>
      </w:r>
    </w:p>
    <w:p w14:paraId="271FA2B3" w14:textId="77777777" w:rsidR="00882850" w:rsidRPr="00882850" w:rsidRDefault="00882850" w:rsidP="00882850">
      <w:pPr>
        <w:spacing w:before="240" w:after="120" w:line="360" w:lineRule="auto"/>
        <w:outlineLvl w:val="0"/>
        <w:rPr>
          <w:rFonts w:ascii="Arial" w:eastAsia="Times New Roman" w:hAnsi="Arial" w:cs="Arial"/>
          <w:b/>
          <w:bCs/>
          <w:color w:val="000000"/>
          <w:kern w:val="36"/>
          <w:sz w:val="22"/>
          <w:szCs w:val="22"/>
          <w:lang w:eastAsia="en-GB"/>
          <w14:ligatures w14:val="none"/>
        </w:rPr>
      </w:pPr>
    </w:p>
    <w:p w14:paraId="183E8B29" w14:textId="216126F1" w:rsidR="002774B8" w:rsidRPr="002774B8" w:rsidRDefault="002774B8" w:rsidP="00882850">
      <w:pPr>
        <w:spacing w:before="240" w:after="120" w:line="360" w:lineRule="auto"/>
        <w:outlineLvl w:val="0"/>
        <w:rPr>
          <w:rFonts w:ascii="Arial" w:eastAsia="Times New Roman" w:hAnsi="Arial" w:cs="Arial"/>
          <w:b/>
          <w:bCs/>
          <w:color w:val="000000"/>
          <w:kern w:val="36"/>
          <w:sz w:val="22"/>
          <w:szCs w:val="22"/>
          <w:lang w:eastAsia="en-GB"/>
          <w14:ligatures w14:val="none"/>
        </w:rPr>
      </w:pPr>
      <w:r w:rsidRPr="002774B8">
        <w:rPr>
          <w:rFonts w:ascii="Arial" w:eastAsia="Times New Roman" w:hAnsi="Arial" w:cs="Arial"/>
          <w:b/>
          <w:bCs/>
          <w:color w:val="000000"/>
          <w:kern w:val="36"/>
          <w:sz w:val="22"/>
          <w:szCs w:val="22"/>
          <w:lang w:eastAsia="en-GB"/>
          <w14:ligatures w14:val="none"/>
        </w:rPr>
        <w:t>Importance of Collaborative Working</w:t>
      </w:r>
    </w:p>
    <w:p w14:paraId="326D70D9" w14:textId="77777777" w:rsidR="002774B8" w:rsidRPr="002774B8" w:rsidRDefault="002774B8" w:rsidP="00882850">
      <w:pPr>
        <w:spacing w:after="0" w:line="360" w:lineRule="auto"/>
        <w:rPr>
          <w:rFonts w:ascii="Arial" w:eastAsia="Times New Roman" w:hAnsi="Arial" w:cs="Arial"/>
          <w:color w:val="000000"/>
          <w:kern w:val="0"/>
          <w:sz w:val="22"/>
          <w:szCs w:val="22"/>
          <w:lang w:eastAsia="en-GB"/>
          <w14:ligatures w14:val="none"/>
        </w:rPr>
      </w:pPr>
      <w:r w:rsidRPr="002774B8">
        <w:rPr>
          <w:rFonts w:ascii="Arial" w:eastAsia="Times New Roman" w:hAnsi="Arial" w:cs="Arial"/>
          <w:color w:val="000000"/>
          <w:kern w:val="0"/>
          <w:sz w:val="22"/>
          <w:szCs w:val="22"/>
          <w:lang w:eastAsia="en-GB"/>
          <w14:ligatures w14:val="none"/>
        </w:rPr>
        <w:t>Professionals must collaborate in health and social care, especially for people with complex needs like Mr Ahmed. After his stroke, he needs input from multiple professionals. These include his GP, district nurse, speech and language therapist, and care workers. Each brings specialist skills. Coordinated working ensures holistic care. If professionals do not collaborate, care becomes fragmented and outcomes worsen (Reeves et al., 2017).</w:t>
      </w:r>
    </w:p>
    <w:p w14:paraId="4AC3D903" w14:textId="77777777" w:rsidR="00882850" w:rsidRPr="00882850" w:rsidRDefault="00882850" w:rsidP="00882850">
      <w:pPr>
        <w:spacing w:after="0" w:line="360" w:lineRule="auto"/>
        <w:rPr>
          <w:rFonts w:ascii="Arial" w:eastAsia="Times New Roman" w:hAnsi="Arial" w:cs="Arial"/>
          <w:color w:val="000000"/>
          <w:kern w:val="0"/>
          <w:sz w:val="22"/>
          <w:szCs w:val="22"/>
          <w:lang w:eastAsia="en-GB"/>
          <w14:ligatures w14:val="none"/>
        </w:rPr>
      </w:pPr>
    </w:p>
    <w:p w14:paraId="2B8EFD37" w14:textId="03B17AE2" w:rsidR="002774B8" w:rsidRPr="002774B8" w:rsidRDefault="002774B8" w:rsidP="00882850">
      <w:pPr>
        <w:spacing w:after="0" w:line="360" w:lineRule="auto"/>
        <w:rPr>
          <w:rFonts w:ascii="Arial" w:eastAsia="Times New Roman" w:hAnsi="Arial" w:cs="Arial"/>
          <w:color w:val="000000"/>
          <w:kern w:val="0"/>
          <w:sz w:val="22"/>
          <w:szCs w:val="22"/>
          <w:lang w:eastAsia="en-GB"/>
          <w14:ligatures w14:val="none"/>
        </w:rPr>
      </w:pPr>
      <w:r w:rsidRPr="002774B8">
        <w:rPr>
          <w:rFonts w:ascii="Arial" w:eastAsia="Times New Roman" w:hAnsi="Arial" w:cs="Arial"/>
          <w:color w:val="000000"/>
          <w:kern w:val="0"/>
          <w:sz w:val="22"/>
          <w:szCs w:val="22"/>
          <w:lang w:eastAsia="en-GB"/>
          <w14:ligatures w14:val="none"/>
        </w:rPr>
        <w:t>One key benefit of multidisciplinary team working is that sharing expertise improves decision-making. For example, the speech and language therapist supports communication and swallowing difficulties, and the district nurse manages physical health needs such as wound care and blood pressure monitoring. When professionals share this knowledge, they ensure consistent and safe care delivery.</w:t>
      </w:r>
    </w:p>
    <w:p w14:paraId="1B4A2D7F" w14:textId="77777777" w:rsidR="00882850" w:rsidRPr="00882850" w:rsidRDefault="00882850" w:rsidP="00882850">
      <w:pPr>
        <w:spacing w:after="0" w:line="360" w:lineRule="auto"/>
        <w:rPr>
          <w:rFonts w:ascii="Arial" w:eastAsia="Times New Roman" w:hAnsi="Arial" w:cs="Arial"/>
          <w:color w:val="000000"/>
          <w:kern w:val="0"/>
          <w:sz w:val="22"/>
          <w:szCs w:val="22"/>
          <w:lang w:eastAsia="en-GB"/>
          <w14:ligatures w14:val="none"/>
        </w:rPr>
      </w:pPr>
    </w:p>
    <w:p w14:paraId="2794EC4A" w14:textId="566928AC" w:rsidR="002774B8" w:rsidRPr="002774B8" w:rsidRDefault="002774B8" w:rsidP="00882850">
      <w:pPr>
        <w:spacing w:after="0" w:line="360" w:lineRule="auto"/>
        <w:rPr>
          <w:rFonts w:ascii="Arial" w:eastAsia="Times New Roman" w:hAnsi="Arial" w:cs="Arial"/>
          <w:color w:val="000000"/>
          <w:kern w:val="0"/>
          <w:sz w:val="22"/>
          <w:szCs w:val="22"/>
          <w:lang w:eastAsia="en-GB"/>
          <w14:ligatures w14:val="none"/>
        </w:rPr>
      </w:pPr>
      <w:r w:rsidRPr="002774B8">
        <w:rPr>
          <w:rFonts w:ascii="Arial" w:eastAsia="Times New Roman" w:hAnsi="Arial" w:cs="Arial"/>
          <w:color w:val="000000"/>
          <w:kern w:val="0"/>
          <w:sz w:val="22"/>
          <w:szCs w:val="22"/>
          <w:lang w:eastAsia="en-GB"/>
          <w14:ligatures w14:val="none"/>
        </w:rPr>
        <w:t>Several approaches support effective collaboration. These include regular MDT meetings, shared digital care records, and clear role allocation between professionals. Case coordinators or care navigators can also support communication between services. They help ensure continuity of care.</w:t>
      </w:r>
    </w:p>
    <w:p w14:paraId="2F2BA959" w14:textId="77777777" w:rsidR="00882850" w:rsidRPr="00882850" w:rsidRDefault="00882850" w:rsidP="00882850">
      <w:pPr>
        <w:spacing w:after="0" w:line="360" w:lineRule="auto"/>
        <w:rPr>
          <w:rFonts w:ascii="Arial" w:eastAsia="Times New Roman" w:hAnsi="Arial" w:cs="Arial"/>
          <w:color w:val="000000"/>
          <w:kern w:val="0"/>
          <w:sz w:val="22"/>
          <w:szCs w:val="22"/>
          <w:lang w:eastAsia="en-GB"/>
          <w14:ligatures w14:val="none"/>
        </w:rPr>
      </w:pPr>
    </w:p>
    <w:p w14:paraId="1739AD66" w14:textId="56AC6857" w:rsidR="002774B8" w:rsidRPr="002774B8" w:rsidRDefault="002774B8" w:rsidP="00882850">
      <w:pPr>
        <w:spacing w:after="0" w:line="360" w:lineRule="auto"/>
        <w:rPr>
          <w:rFonts w:ascii="Arial" w:eastAsia="Times New Roman" w:hAnsi="Arial" w:cs="Arial"/>
          <w:color w:val="000000"/>
          <w:kern w:val="0"/>
          <w:sz w:val="22"/>
          <w:szCs w:val="22"/>
          <w:lang w:eastAsia="en-GB"/>
          <w14:ligatures w14:val="none"/>
        </w:rPr>
      </w:pPr>
      <w:r w:rsidRPr="002774B8">
        <w:rPr>
          <w:rFonts w:ascii="Arial" w:eastAsia="Times New Roman" w:hAnsi="Arial" w:cs="Arial"/>
          <w:color w:val="000000"/>
          <w:kern w:val="0"/>
          <w:sz w:val="22"/>
          <w:szCs w:val="22"/>
          <w:lang w:eastAsia="en-GB"/>
          <w14:ligatures w14:val="none"/>
        </w:rPr>
        <w:t>However, systemic barriers often hinder collaboration. Organisational culture, time constraints, staffing shortages, and hierarchical working practices may reduce how professionals communicate and disrupt care coordination.</w:t>
      </w:r>
    </w:p>
    <w:p w14:paraId="310BBE72" w14:textId="77777777" w:rsidR="00882850" w:rsidRPr="00882850" w:rsidRDefault="00882850" w:rsidP="00882850">
      <w:pPr>
        <w:spacing w:after="0" w:line="360" w:lineRule="auto"/>
        <w:rPr>
          <w:rFonts w:ascii="Arial" w:eastAsia="Times New Roman" w:hAnsi="Arial" w:cs="Arial"/>
          <w:color w:val="000000"/>
          <w:kern w:val="0"/>
          <w:sz w:val="22"/>
          <w:szCs w:val="22"/>
          <w:lang w:eastAsia="en-GB"/>
          <w14:ligatures w14:val="none"/>
        </w:rPr>
      </w:pPr>
    </w:p>
    <w:p w14:paraId="1ABDE5B8" w14:textId="390C89B5" w:rsidR="002774B8" w:rsidRPr="002774B8" w:rsidRDefault="002774B8" w:rsidP="00882850">
      <w:pPr>
        <w:spacing w:after="0" w:line="360" w:lineRule="auto"/>
        <w:rPr>
          <w:rFonts w:ascii="Arial" w:eastAsia="Times New Roman" w:hAnsi="Arial" w:cs="Arial"/>
          <w:color w:val="000000"/>
          <w:kern w:val="0"/>
          <w:sz w:val="22"/>
          <w:szCs w:val="22"/>
          <w:lang w:eastAsia="en-GB"/>
          <w14:ligatures w14:val="none"/>
        </w:rPr>
      </w:pPr>
      <w:r w:rsidRPr="002774B8">
        <w:rPr>
          <w:rFonts w:ascii="Arial" w:eastAsia="Times New Roman" w:hAnsi="Arial" w:cs="Arial"/>
          <w:color w:val="000000"/>
          <w:kern w:val="0"/>
          <w:sz w:val="22"/>
          <w:szCs w:val="22"/>
          <w:lang w:eastAsia="en-GB"/>
          <w14:ligatures w14:val="none"/>
        </w:rPr>
        <w:t xml:space="preserve">Strategies to overcome these barriers include embedding protected MDT meeting time into schedules, promoting leadership that values interprofessional collaboration, and implementing integrated electronic health records. These solutions improve real-time information sharing. </w:t>
      </w:r>
      <w:r w:rsidRPr="002774B8">
        <w:rPr>
          <w:rFonts w:ascii="Arial" w:eastAsia="Times New Roman" w:hAnsi="Arial" w:cs="Arial"/>
          <w:color w:val="000000"/>
          <w:kern w:val="0"/>
          <w:sz w:val="22"/>
          <w:szCs w:val="22"/>
          <w:lang w:eastAsia="en-GB"/>
          <w14:ligatures w14:val="none"/>
        </w:rPr>
        <w:lastRenderedPageBreak/>
        <w:t>However, the effectiveness of these strategies depends on adequate resources, organisational commitment, and staff engagement in collaborative practice.</w:t>
      </w:r>
    </w:p>
    <w:p w14:paraId="529E966F" w14:textId="77777777" w:rsidR="00882850" w:rsidRPr="00882850" w:rsidRDefault="00882850" w:rsidP="00882850">
      <w:pPr>
        <w:spacing w:after="0" w:line="360" w:lineRule="auto"/>
        <w:rPr>
          <w:rFonts w:ascii="Arial" w:eastAsia="Times New Roman" w:hAnsi="Arial" w:cs="Arial"/>
          <w:color w:val="000000"/>
          <w:kern w:val="0"/>
          <w:sz w:val="22"/>
          <w:szCs w:val="22"/>
          <w:lang w:eastAsia="en-GB"/>
          <w14:ligatures w14:val="none"/>
        </w:rPr>
      </w:pPr>
    </w:p>
    <w:p w14:paraId="02227826" w14:textId="2A95DF27" w:rsidR="002774B8" w:rsidRPr="002774B8" w:rsidRDefault="002774B8" w:rsidP="00882850">
      <w:pPr>
        <w:spacing w:after="0" w:line="360" w:lineRule="auto"/>
        <w:rPr>
          <w:rFonts w:ascii="Arial" w:eastAsia="Times New Roman" w:hAnsi="Arial" w:cs="Arial"/>
          <w:color w:val="000000"/>
          <w:kern w:val="0"/>
          <w:sz w:val="22"/>
          <w:szCs w:val="22"/>
          <w:lang w:eastAsia="en-GB"/>
          <w14:ligatures w14:val="none"/>
        </w:rPr>
      </w:pPr>
      <w:r w:rsidRPr="002774B8">
        <w:rPr>
          <w:rFonts w:ascii="Arial" w:eastAsia="Times New Roman" w:hAnsi="Arial" w:cs="Arial"/>
          <w:color w:val="000000"/>
          <w:kern w:val="0"/>
          <w:sz w:val="22"/>
          <w:szCs w:val="22"/>
          <w:lang w:eastAsia="en-GB"/>
          <w14:ligatures w14:val="none"/>
        </w:rPr>
        <w:t>Following the missed domiciliary care visit and delayed medication, appropriate follow-up actions would typically include incident reporting, escalation to the care provider, and a formal investigation, such as a root cause analysis. This would determine whether the issue resulted from communication failure, staffing shortages, or scheduling errors. Outcomes should lead to corrective actions such as improved handover procedures, revised care schedules, or increased monitoring of high-risk patients like Mr Ahmed.</w:t>
      </w:r>
    </w:p>
    <w:p w14:paraId="3658620E" w14:textId="77777777" w:rsidR="00882850" w:rsidRPr="00882850" w:rsidRDefault="00882850" w:rsidP="00882850">
      <w:pPr>
        <w:spacing w:after="0" w:line="360" w:lineRule="auto"/>
        <w:rPr>
          <w:rFonts w:ascii="Arial" w:eastAsia="Times New Roman" w:hAnsi="Arial" w:cs="Arial"/>
          <w:color w:val="000000"/>
          <w:kern w:val="0"/>
          <w:sz w:val="22"/>
          <w:szCs w:val="22"/>
          <w:lang w:eastAsia="en-GB"/>
          <w14:ligatures w14:val="none"/>
        </w:rPr>
      </w:pPr>
    </w:p>
    <w:p w14:paraId="7F67F509" w14:textId="28FE142A" w:rsidR="002774B8" w:rsidRPr="002774B8" w:rsidRDefault="002774B8" w:rsidP="00882850">
      <w:pPr>
        <w:spacing w:after="0" w:line="360" w:lineRule="auto"/>
        <w:rPr>
          <w:rFonts w:ascii="Arial" w:eastAsia="Times New Roman" w:hAnsi="Arial" w:cs="Arial"/>
          <w:color w:val="000000"/>
          <w:kern w:val="0"/>
          <w:sz w:val="22"/>
          <w:szCs w:val="22"/>
          <w:lang w:eastAsia="en-GB"/>
          <w14:ligatures w14:val="none"/>
        </w:rPr>
      </w:pPr>
      <w:r w:rsidRPr="002774B8">
        <w:rPr>
          <w:rFonts w:ascii="Arial" w:eastAsia="Times New Roman" w:hAnsi="Arial" w:cs="Arial"/>
          <w:color w:val="000000"/>
          <w:kern w:val="0"/>
          <w:sz w:val="22"/>
          <w:szCs w:val="22"/>
          <w:lang w:eastAsia="en-GB"/>
          <w14:ligatures w14:val="none"/>
        </w:rPr>
        <w:t>Ongoing training in communication and collaboration can be embedded into daily practice through reflective supervision, case discussions, and debriefs following incidents. Simulation training involving interpreter use or stroke communication scenarios can build staff confidence. E-learning modules on equality, data protection, and MDT working also ensure ongoing professional development. Embedding learning into everyday practice strengthens long-term competence and improves care quality.</w:t>
      </w:r>
    </w:p>
    <w:p w14:paraId="2FA2A4C8" w14:textId="77777777" w:rsidR="00882850" w:rsidRPr="00882850" w:rsidRDefault="00882850" w:rsidP="00882850">
      <w:pPr>
        <w:spacing w:after="0" w:line="360" w:lineRule="auto"/>
        <w:rPr>
          <w:rFonts w:ascii="Arial" w:eastAsia="Times New Roman" w:hAnsi="Arial" w:cs="Arial"/>
          <w:color w:val="000000"/>
          <w:kern w:val="0"/>
          <w:sz w:val="22"/>
          <w:szCs w:val="22"/>
          <w:lang w:eastAsia="en-GB"/>
          <w14:ligatures w14:val="none"/>
        </w:rPr>
      </w:pPr>
    </w:p>
    <w:p w14:paraId="5230530E" w14:textId="77B681E8" w:rsidR="002774B8" w:rsidRPr="002774B8" w:rsidRDefault="002774B8" w:rsidP="00882850">
      <w:pPr>
        <w:spacing w:after="0" w:line="360" w:lineRule="auto"/>
        <w:rPr>
          <w:rFonts w:ascii="Arial" w:eastAsia="Times New Roman" w:hAnsi="Arial" w:cs="Arial"/>
          <w:color w:val="000000"/>
          <w:kern w:val="0"/>
          <w:sz w:val="22"/>
          <w:szCs w:val="22"/>
          <w:lang w:eastAsia="en-GB"/>
          <w14:ligatures w14:val="none"/>
        </w:rPr>
      </w:pPr>
      <w:r w:rsidRPr="002774B8">
        <w:rPr>
          <w:rFonts w:ascii="Arial" w:eastAsia="Times New Roman" w:hAnsi="Arial" w:cs="Arial"/>
          <w:color w:val="000000"/>
          <w:kern w:val="0"/>
          <w:sz w:val="22"/>
          <w:szCs w:val="22"/>
          <w:lang w:eastAsia="en-GB"/>
          <w14:ligatures w14:val="none"/>
        </w:rPr>
        <w:t>Overall, collaborative working improves coordination, reduces care duplication, and enhances patient safety when effectively implemented.</w:t>
      </w:r>
    </w:p>
    <w:p w14:paraId="295EF64B" w14:textId="77777777" w:rsidR="00882850" w:rsidRPr="00882850" w:rsidRDefault="00882850" w:rsidP="00882850">
      <w:pPr>
        <w:spacing w:before="240" w:after="120" w:line="360" w:lineRule="auto"/>
        <w:outlineLvl w:val="0"/>
        <w:rPr>
          <w:rFonts w:ascii="Arial" w:eastAsia="Times New Roman" w:hAnsi="Arial" w:cs="Arial"/>
          <w:b/>
          <w:bCs/>
          <w:color w:val="000000"/>
          <w:kern w:val="36"/>
          <w:sz w:val="22"/>
          <w:szCs w:val="22"/>
          <w:lang w:eastAsia="en-GB"/>
          <w14:ligatures w14:val="none"/>
        </w:rPr>
      </w:pPr>
    </w:p>
    <w:p w14:paraId="22EF295D" w14:textId="0D985E1B" w:rsidR="002774B8" w:rsidRPr="002774B8" w:rsidRDefault="002774B8" w:rsidP="00882850">
      <w:pPr>
        <w:spacing w:before="240" w:after="120" w:line="360" w:lineRule="auto"/>
        <w:outlineLvl w:val="0"/>
        <w:rPr>
          <w:rFonts w:ascii="Arial" w:eastAsia="Times New Roman" w:hAnsi="Arial" w:cs="Arial"/>
          <w:b/>
          <w:bCs/>
          <w:color w:val="000000"/>
          <w:kern w:val="36"/>
          <w:sz w:val="22"/>
          <w:szCs w:val="22"/>
          <w:lang w:eastAsia="en-GB"/>
          <w14:ligatures w14:val="none"/>
        </w:rPr>
      </w:pPr>
      <w:r w:rsidRPr="002774B8">
        <w:rPr>
          <w:rFonts w:ascii="Arial" w:eastAsia="Times New Roman" w:hAnsi="Arial" w:cs="Arial"/>
          <w:b/>
          <w:bCs/>
          <w:color w:val="000000"/>
          <w:kern w:val="36"/>
          <w:sz w:val="22"/>
          <w:szCs w:val="22"/>
          <w:lang w:eastAsia="en-GB"/>
          <w14:ligatures w14:val="none"/>
        </w:rPr>
        <w:t>Conclusion</w:t>
      </w:r>
    </w:p>
    <w:p w14:paraId="4C129021" w14:textId="77777777" w:rsidR="002774B8" w:rsidRPr="002774B8" w:rsidRDefault="002774B8" w:rsidP="00882850">
      <w:pPr>
        <w:spacing w:after="0" w:line="360" w:lineRule="auto"/>
        <w:rPr>
          <w:rFonts w:ascii="Arial" w:eastAsia="Times New Roman" w:hAnsi="Arial" w:cs="Arial"/>
          <w:color w:val="000000"/>
          <w:kern w:val="0"/>
          <w:sz w:val="22"/>
          <w:szCs w:val="22"/>
          <w:lang w:eastAsia="en-GB"/>
          <w14:ligatures w14:val="none"/>
        </w:rPr>
      </w:pPr>
      <w:r w:rsidRPr="002774B8">
        <w:rPr>
          <w:rFonts w:ascii="Arial" w:eastAsia="Times New Roman" w:hAnsi="Arial" w:cs="Arial"/>
          <w:color w:val="000000"/>
          <w:kern w:val="0"/>
          <w:sz w:val="22"/>
          <w:szCs w:val="22"/>
          <w:lang w:eastAsia="en-GB"/>
          <w14:ligatures w14:val="none"/>
        </w:rPr>
        <w:t>In conclusion, the case of Mr Ahmed highlights the critical importance of communication, administrative competence, and collaborative working in delivering safe and effective health and social care. Effective communication ensures that Mr Ahmed remains involved in decisions about his care, particularly given his language barriers and post-stroke difficulties. The Equality Act 2010 supports inclusive practice by requiring reasonable adjustments such as interpreter services.</w:t>
      </w:r>
    </w:p>
    <w:p w14:paraId="27845D5F" w14:textId="77777777" w:rsidR="00882850" w:rsidRPr="00882850" w:rsidRDefault="00882850" w:rsidP="00882850">
      <w:pPr>
        <w:spacing w:after="0" w:line="360" w:lineRule="auto"/>
        <w:rPr>
          <w:rFonts w:ascii="Arial" w:eastAsia="Times New Roman" w:hAnsi="Arial" w:cs="Arial"/>
          <w:color w:val="000000"/>
          <w:kern w:val="0"/>
          <w:sz w:val="22"/>
          <w:szCs w:val="22"/>
          <w:lang w:eastAsia="en-GB"/>
          <w14:ligatures w14:val="none"/>
        </w:rPr>
      </w:pPr>
    </w:p>
    <w:p w14:paraId="7F30166E" w14:textId="6BE0D8F0" w:rsidR="002774B8" w:rsidRDefault="002774B8" w:rsidP="00882850">
      <w:pPr>
        <w:spacing w:after="0" w:line="360" w:lineRule="auto"/>
        <w:rPr>
          <w:rFonts w:ascii="Arial" w:eastAsia="Times New Roman" w:hAnsi="Arial" w:cs="Arial"/>
          <w:color w:val="000000"/>
          <w:kern w:val="0"/>
          <w:sz w:val="22"/>
          <w:szCs w:val="22"/>
          <w:lang w:eastAsia="en-GB"/>
          <w14:ligatures w14:val="none"/>
        </w:rPr>
      </w:pPr>
      <w:r w:rsidRPr="002774B8">
        <w:rPr>
          <w:rFonts w:ascii="Arial" w:eastAsia="Times New Roman" w:hAnsi="Arial" w:cs="Arial"/>
          <w:color w:val="000000"/>
          <w:kern w:val="0"/>
          <w:sz w:val="22"/>
          <w:szCs w:val="22"/>
          <w:lang w:eastAsia="en-GB"/>
          <w14:ligatures w14:val="none"/>
        </w:rPr>
        <w:t xml:space="preserve">Strong administrative systems, underpinned by the Data Protection Act 2018, ensure accurate documentation, continuity of care, and confidentiality. However, real-world limitations such as workload pressures and system inefficiencies can still lead to errors, as demonstrated by the missed domiciliary care visit. Similarly, while collaborative working improves care coordination, it </w:t>
      </w:r>
      <w:r w:rsidRPr="002774B8">
        <w:rPr>
          <w:rFonts w:ascii="Arial" w:eastAsia="Times New Roman" w:hAnsi="Arial" w:cs="Arial"/>
          <w:color w:val="000000"/>
          <w:kern w:val="0"/>
          <w:sz w:val="22"/>
          <w:szCs w:val="22"/>
          <w:lang w:eastAsia="en-GB"/>
          <w14:ligatures w14:val="none"/>
        </w:rPr>
        <w:lastRenderedPageBreak/>
        <w:t>is often affected by systemic barriers such as staffing shortages and organisational culture. Addressing these issues requires both structural improvements and sustained professional commitment.</w:t>
      </w:r>
    </w:p>
    <w:p w14:paraId="33E37755" w14:textId="77777777" w:rsidR="00882850" w:rsidRPr="002774B8" w:rsidRDefault="00882850" w:rsidP="00882850">
      <w:pPr>
        <w:spacing w:after="0" w:line="360" w:lineRule="auto"/>
        <w:rPr>
          <w:rFonts w:ascii="Arial" w:eastAsia="Times New Roman" w:hAnsi="Arial" w:cs="Arial"/>
          <w:color w:val="000000"/>
          <w:kern w:val="0"/>
          <w:sz w:val="22"/>
          <w:szCs w:val="22"/>
          <w:lang w:eastAsia="en-GB"/>
          <w14:ligatures w14:val="none"/>
        </w:rPr>
      </w:pPr>
    </w:p>
    <w:p w14:paraId="72D96EFF" w14:textId="7D138D2B" w:rsidR="002774B8" w:rsidRPr="002774B8" w:rsidRDefault="002774B8" w:rsidP="00882850">
      <w:pPr>
        <w:spacing w:after="0" w:line="360" w:lineRule="auto"/>
        <w:rPr>
          <w:rFonts w:ascii="Arial" w:eastAsia="Times New Roman" w:hAnsi="Arial" w:cs="Arial"/>
          <w:color w:val="000000"/>
          <w:kern w:val="0"/>
          <w:sz w:val="22"/>
          <w:szCs w:val="22"/>
          <w:lang w:eastAsia="en-GB"/>
          <w14:ligatures w14:val="none"/>
        </w:rPr>
      </w:pPr>
      <w:r w:rsidRPr="002774B8">
        <w:rPr>
          <w:rFonts w:ascii="Arial" w:eastAsia="Times New Roman" w:hAnsi="Arial" w:cs="Arial"/>
          <w:color w:val="000000"/>
          <w:kern w:val="0"/>
          <w:sz w:val="22"/>
          <w:szCs w:val="22"/>
          <w:lang w:eastAsia="en-GB"/>
          <w14:ligatures w14:val="none"/>
        </w:rPr>
        <w:t>Overall, integrating effective communication, robust administration, and strong multidisciplinary collaboration is essential for delivering high-quality, person-centred care. Continued reflection, training, and system-level improvements are necessary to ensure that services consistently meet the complex and diverse needs of individuals like Mr Ahmed.</w:t>
      </w:r>
    </w:p>
    <w:p w14:paraId="50019A1D" w14:textId="2AC5AEC8" w:rsidR="00882850" w:rsidRPr="00882850" w:rsidRDefault="00882850" w:rsidP="00882850">
      <w:pPr>
        <w:spacing w:line="360" w:lineRule="auto"/>
        <w:rPr>
          <w:rFonts w:ascii="Arial" w:hAnsi="Arial" w:cs="Arial"/>
          <w:sz w:val="22"/>
          <w:szCs w:val="22"/>
        </w:rPr>
      </w:pPr>
      <w:r w:rsidRPr="00882850">
        <w:rPr>
          <w:rFonts w:ascii="Arial" w:hAnsi="Arial" w:cs="Arial"/>
          <w:sz w:val="22"/>
          <w:szCs w:val="22"/>
        </w:rPr>
        <w:br w:type="page"/>
      </w:r>
    </w:p>
    <w:p w14:paraId="4F86DC10" w14:textId="72E27F38" w:rsidR="00882850" w:rsidRPr="00882850" w:rsidRDefault="00882850" w:rsidP="00882850">
      <w:pPr>
        <w:spacing w:before="100" w:beforeAutospacing="1" w:after="100" w:afterAutospacing="1" w:line="360" w:lineRule="auto"/>
        <w:outlineLvl w:val="1"/>
        <w:rPr>
          <w:rFonts w:ascii="Arial" w:eastAsia="Times New Roman" w:hAnsi="Arial" w:cs="Arial"/>
          <w:b/>
          <w:bCs/>
          <w:color w:val="000000"/>
          <w:kern w:val="0"/>
          <w:sz w:val="22"/>
          <w:szCs w:val="22"/>
          <w:lang w:eastAsia="en-GB"/>
          <w14:ligatures w14:val="none"/>
        </w:rPr>
      </w:pPr>
      <w:r w:rsidRPr="00882850">
        <w:rPr>
          <w:rFonts w:ascii="Arial" w:eastAsia="Times New Roman" w:hAnsi="Arial" w:cs="Arial"/>
          <w:b/>
          <w:bCs/>
          <w:color w:val="000000"/>
          <w:kern w:val="0"/>
          <w:sz w:val="22"/>
          <w:szCs w:val="22"/>
          <w:lang w:eastAsia="en-GB"/>
          <w14:ligatures w14:val="none"/>
        </w:rPr>
        <w:lastRenderedPageBreak/>
        <w:t xml:space="preserve">Reference List </w:t>
      </w:r>
    </w:p>
    <w:p w14:paraId="62F28171" w14:textId="0C5CC849" w:rsidR="00DD5D1C" w:rsidRPr="00882850" w:rsidRDefault="00882850" w:rsidP="00882850">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882850">
        <w:rPr>
          <w:rFonts w:ascii="Arial" w:eastAsia="Times New Roman" w:hAnsi="Arial" w:cs="Arial"/>
          <w:color w:val="000000"/>
          <w:kern w:val="0"/>
          <w:sz w:val="22"/>
          <w:szCs w:val="22"/>
          <w:lang w:eastAsia="en-GB"/>
          <w14:ligatures w14:val="none"/>
        </w:rPr>
        <w:t>Arnold, E. and Boggs, K. (2019) </w:t>
      </w:r>
      <w:r w:rsidRPr="00882850">
        <w:rPr>
          <w:rFonts w:ascii="Arial" w:eastAsia="Times New Roman" w:hAnsi="Arial" w:cs="Arial"/>
          <w:i/>
          <w:iCs/>
          <w:color w:val="000000"/>
          <w:kern w:val="0"/>
          <w:sz w:val="22"/>
          <w:szCs w:val="22"/>
          <w:lang w:eastAsia="en-GB"/>
          <w14:ligatures w14:val="none"/>
        </w:rPr>
        <w:t>Interpersonal Relationships: Professional Communication Skills for Nurses</w:t>
      </w:r>
      <w:r w:rsidRPr="00882850">
        <w:rPr>
          <w:rFonts w:ascii="Arial" w:eastAsia="Times New Roman" w:hAnsi="Arial" w:cs="Arial"/>
          <w:color w:val="000000"/>
          <w:kern w:val="0"/>
          <w:sz w:val="22"/>
          <w:szCs w:val="22"/>
          <w:lang w:eastAsia="en-GB"/>
          <w14:ligatures w14:val="none"/>
        </w:rPr>
        <w:t>. 8th edn. St. Louis: Elsevier.</w:t>
      </w:r>
    </w:p>
    <w:p w14:paraId="56E887E4" w14:textId="77777777" w:rsidR="00882850" w:rsidRPr="00882850" w:rsidRDefault="00882850" w:rsidP="00882850">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882850">
        <w:rPr>
          <w:rFonts w:ascii="Arial" w:eastAsia="Times New Roman" w:hAnsi="Arial" w:cs="Arial"/>
          <w:color w:val="000000"/>
          <w:kern w:val="0"/>
          <w:sz w:val="22"/>
          <w:szCs w:val="22"/>
          <w:lang w:eastAsia="en-GB"/>
          <w14:ligatures w14:val="none"/>
        </w:rPr>
        <w:t>Department of Health and Social Care (2021) </w:t>
      </w:r>
      <w:r w:rsidRPr="00882850">
        <w:rPr>
          <w:rFonts w:ascii="Arial" w:eastAsia="Times New Roman" w:hAnsi="Arial" w:cs="Arial"/>
          <w:i/>
          <w:iCs/>
          <w:color w:val="000000"/>
          <w:kern w:val="0"/>
          <w:sz w:val="22"/>
          <w:szCs w:val="22"/>
          <w:lang w:eastAsia="en-GB"/>
          <w14:ligatures w14:val="none"/>
        </w:rPr>
        <w:t>Health and Social Care Integration: Joining up Care for People, Places and Populations</w:t>
      </w:r>
      <w:r w:rsidRPr="00882850">
        <w:rPr>
          <w:rFonts w:ascii="Arial" w:eastAsia="Times New Roman" w:hAnsi="Arial" w:cs="Arial"/>
          <w:color w:val="000000"/>
          <w:kern w:val="0"/>
          <w:sz w:val="22"/>
          <w:szCs w:val="22"/>
          <w:lang w:eastAsia="en-GB"/>
          <w14:ligatures w14:val="none"/>
        </w:rPr>
        <w:t>. London: DHSC.</w:t>
      </w:r>
    </w:p>
    <w:p w14:paraId="31B22BFE" w14:textId="77777777" w:rsidR="00882850" w:rsidRPr="00882850" w:rsidRDefault="00882850" w:rsidP="00882850">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882850">
        <w:rPr>
          <w:rFonts w:ascii="Arial" w:eastAsia="Times New Roman" w:hAnsi="Arial" w:cs="Arial"/>
          <w:color w:val="000000"/>
          <w:kern w:val="0"/>
          <w:sz w:val="22"/>
          <w:szCs w:val="22"/>
          <w:lang w:eastAsia="en-GB"/>
          <w14:ligatures w14:val="none"/>
        </w:rPr>
        <w:t>Equality Act 2010. London: The Stationery Office.</w:t>
      </w:r>
    </w:p>
    <w:p w14:paraId="1B4E73E9" w14:textId="77777777" w:rsidR="00882850" w:rsidRPr="00882850" w:rsidRDefault="00882850" w:rsidP="00882850">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882850">
        <w:rPr>
          <w:rFonts w:ascii="Arial" w:eastAsia="Times New Roman" w:hAnsi="Arial" w:cs="Arial"/>
          <w:color w:val="000000"/>
          <w:kern w:val="0"/>
          <w:sz w:val="22"/>
          <w:szCs w:val="22"/>
          <w:lang w:eastAsia="en-GB"/>
          <w14:ligatures w14:val="none"/>
        </w:rPr>
        <w:t>National Data Guardian (2020) </w:t>
      </w:r>
      <w:r w:rsidRPr="00882850">
        <w:rPr>
          <w:rFonts w:ascii="Arial" w:eastAsia="Times New Roman" w:hAnsi="Arial" w:cs="Arial"/>
          <w:i/>
          <w:iCs/>
          <w:color w:val="000000"/>
          <w:kern w:val="0"/>
          <w:sz w:val="22"/>
          <w:szCs w:val="22"/>
          <w:lang w:eastAsia="en-GB"/>
          <w14:ligatures w14:val="none"/>
        </w:rPr>
        <w:t>The Caldicott Principles: Revised 2020</w:t>
      </w:r>
      <w:r w:rsidRPr="00882850">
        <w:rPr>
          <w:rFonts w:ascii="Arial" w:eastAsia="Times New Roman" w:hAnsi="Arial" w:cs="Arial"/>
          <w:color w:val="000000"/>
          <w:kern w:val="0"/>
          <w:sz w:val="22"/>
          <w:szCs w:val="22"/>
          <w:lang w:eastAsia="en-GB"/>
          <w14:ligatures w14:val="none"/>
        </w:rPr>
        <w:t>. London: NDG.</w:t>
      </w:r>
    </w:p>
    <w:p w14:paraId="2BC173CF" w14:textId="77777777" w:rsidR="00882850" w:rsidRPr="00882850" w:rsidRDefault="00882850" w:rsidP="00882850">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882850">
        <w:rPr>
          <w:rFonts w:ascii="Arial" w:eastAsia="Times New Roman" w:hAnsi="Arial" w:cs="Arial"/>
          <w:color w:val="000000"/>
          <w:kern w:val="0"/>
          <w:sz w:val="22"/>
          <w:szCs w:val="22"/>
          <w:lang w:eastAsia="en-GB"/>
          <w14:ligatures w14:val="none"/>
        </w:rPr>
        <w:t>NHS England (2019) </w:t>
      </w:r>
      <w:r w:rsidRPr="00882850">
        <w:rPr>
          <w:rFonts w:ascii="Arial" w:eastAsia="Times New Roman" w:hAnsi="Arial" w:cs="Arial"/>
          <w:i/>
          <w:iCs/>
          <w:color w:val="000000"/>
          <w:kern w:val="0"/>
          <w:sz w:val="22"/>
          <w:szCs w:val="22"/>
          <w:lang w:eastAsia="en-GB"/>
          <w14:ligatures w14:val="none"/>
        </w:rPr>
        <w:t>The NHS Long Term Plan</w:t>
      </w:r>
      <w:r w:rsidRPr="00882850">
        <w:rPr>
          <w:rFonts w:ascii="Arial" w:eastAsia="Times New Roman" w:hAnsi="Arial" w:cs="Arial"/>
          <w:color w:val="000000"/>
          <w:kern w:val="0"/>
          <w:sz w:val="22"/>
          <w:szCs w:val="22"/>
          <w:lang w:eastAsia="en-GB"/>
          <w14:ligatures w14:val="none"/>
        </w:rPr>
        <w:t>. London: NHS England.</w:t>
      </w:r>
    </w:p>
    <w:p w14:paraId="37848E96" w14:textId="77777777" w:rsidR="00882850" w:rsidRPr="00882850" w:rsidRDefault="00882850" w:rsidP="00882850">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882850">
        <w:rPr>
          <w:rFonts w:ascii="Arial" w:eastAsia="Times New Roman" w:hAnsi="Arial" w:cs="Arial"/>
          <w:color w:val="000000"/>
          <w:kern w:val="0"/>
          <w:sz w:val="22"/>
          <w:szCs w:val="22"/>
          <w:lang w:eastAsia="en-GB"/>
          <w14:ligatures w14:val="none"/>
        </w:rPr>
        <w:t>Nursing and Midwifery Council (2018) </w:t>
      </w:r>
      <w:r w:rsidRPr="00882850">
        <w:rPr>
          <w:rFonts w:ascii="Arial" w:eastAsia="Times New Roman" w:hAnsi="Arial" w:cs="Arial"/>
          <w:i/>
          <w:iCs/>
          <w:color w:val="000000"/>
          <w:kern w:val="0"/>
          <w:sz w:val="22"/>
          <w:szCs w:val="22"/>
          <w:lang w:eastAsia="en-GB"/>
          <w14:ligatures w14:val="none"/>
        </w:rPr>
        <w:t>The Code: Professional Standards of Practice and Behaviour for Nurses, Midwives and Nursing Associates</w:t>
      </w:r>
      <w:r w:rsidRPr="00882850">
        <w:rPr>
          <w:rFonts w:ascii="Arial" w:eastAsia="Times New Roman" w:hAnsi="Arial" w:cs="Arial"/>
          <w:color w:val="000000"/>
          <w:kern w:val="0"/>
          <w:sz w:val="22"/>
          <w:szCs w:val="22"/>
          <w:lang w:eastAsia="en-GB"/>
          <w14:ligatures w14:val="none"/>
        </w:rPr>
        <w:t>. London: NMC.</w:t>
      </w:r>
    </w:p>
    <w:p w14:paraId="735EE7C8" w14:textId="77777777" w:rsidR="00882850" w:rsidRPr="00882850" w:rsidRDefault="00882850" w:rsidP="00882850">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882850">
        <w:rPr>
          <w:rFonts w:ascii="Arial" w:eastAsia="Times New Roman" w:hAnsi="Arial" w:cs="Arial"/>
          <w:color w:val="000000"/>
          <w:kern w:val="0"/>
          <w:sz w:val="22"/>
          <w:szCs w:val="22"/>
          <w:lang w:eastAsia="en-GB"/>
          <w14:ligatures w14:val="none"/>
        </w:rPr>
        <w:t xml:space="preserve">Reeves, S., </w:t>
      </w:r>
      <w:proofErr w:type="spellStart"/>
      <w:r w:rsidRPr="00882850">
        <w:rPr>
          <w:rFonts w:ascii="Arial" w:eastAsia="Times New Roman" w:hAnsi="Arial" w:cs="Arial"/>
          <w:color w:val="000000"/>
          <w:kern w:val="0"/>
          <w:sz w:val="22"/>
          <w:szCs w:val="22"/>
          <w:lang w:eastAsia="en-GB"/>
          <w14:ligatures w14:val="none"/>
        </w:rPr>
        <w:t>Pelone</w:t>
      </w:r>
      <w:proofErr w:type="spellEnd"/>
      <w:r w:rsidRPr="00882850">
        <w:rPr>
          <w:rFonts w:ascii="Arial" w:eastAsia="Times New Roman" w:hAnsi="Arial" w:cs="Arial"/>
          <w:color w:val="000000"/>
          <w:kern w:val="0"/>
          <w:sz w:val="22"/>
          <w:szCs w:val="22"/>
          <w:lang w:eastAsia="en-GB"/>
          <w14:ligatures w14:val="none"/>
        </w:rPr>
        <w:t>, F., Harrison, R., Goldman, J. and Zwarenstein, M. (2017) ‘Interprofessional collaboration to improve professional practice and healthcare outcomes’, </w:t>
      </w:r>
      <w:r w:rsidRPr="00882850">
        <w:rPr>
          <w:rFonts w:ascii="Arial" w:eastAsia="Times New Roman" w:hAnsi="Arial" w:cs="Arial"/>
          <w:i/>
          <w:iCs/>
          <w:color w:val="000000"/>
          <w:kern w:val="0"/>
          <w:sz w:val="22"/>
          <w:szCs w:val="22"/>
          <w:lang w:eastAsia="en-GB"/>
          <w14:ligatures w14:val="none"/>
        </w:rPr>
        <w:t>Cochrane Database of Systematic Reviews</w:t>
      </w:r>
      <w:r w:rsidRPr="00882850">
        <w:rPr>
          <w:rFonts w:ascii="Arial" w:eastAsia="Times New Roman" w:hAnsi="Arial" w:cs="Arial"/>
          <w:color w:val="000000"/>
          <w:kern w:val="0"/>
          <w:sz w:val="22"/>
          <w:szCs w:val="22"/>
          <w:lang w:eastAsia="en-GB"/>
          <w14:ligatures w14:val="none"/>
        </w:rPr>
        <w:t>, 2017(6).</w:t>
      </w:r>
    </w:p>
    <w:p w14:paraId="1AEED4F3" w14:textId="77777777" w:rsidR="00882850" w:rsidRPr="00882850" w:rsidRDefault="00882850" w:rsidP="00882850">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882850">
        <w:rPr>
          <w:rFonts w:ascii="Arial" w:eastAsia="Times New Roman" w:hAnsi="Arial" w:cs="Arial"/>
          <w:color w:val="000000"/>
          <w:kern w:val="0"/>
          <w:sz w:val="22"/>
          <w:szCs w:val="22"/>
          <w:lang w:eastAsia="en-GB"/>
          <w14:ligatures w14:val="none"/>
        </w:rPr>
        <w:t>Data Protection Act 2018. London: The Stationery Office.</w:t>
      </w:r>
    </w:p>
    <w:p w14:paraId="7CCEE86C" w14:textId="77777777" w:rsidR="00043004" w:rsidRPr="00043004" w:rsidRDefault="00043004" w:rsidP="00043004"/>
    <w:sectPr w:rsidR="00043004" w:rsidRPr="00043004" w:rsidSect="004540C2">
      <w:footerReference w:type="even" r:id="rId9"/>
      <w:footerReference w:type="default" r:id="rId10"/>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E6D2A5" w14:textId="77777777" w:rsidR="00092B2E" w:rsidRDefault="00092B2E" w:rsidP="004540C2">
      <w:pPr>
        <w:spacing w:after="0" w:line="240" w:lineRule="auto"/>
      </w:pPr>
      <w:r>
        <w:separator/>
      </w:r>
    </w:p>
  </w:endnote>
  <w:endnote w:type="continuationSeparator" w:id="0">
    <w:p w14:paraId="1CE021C3" w14:textId="77777777" w:rsidR="00092B2E" w:rsidRDefault="00092B2E" w:rsidP="004540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11481550"/>
      <w:docPartObj>
        <w:docPartGallery w:val="Page Numbers (Bottom of Page)"/>
        <w:docPartUnique/>
      </w:docPartObj>
    </w:sdtPr>
    <w:sdtContent>
      <w:p w14:paraId="2EFB527B" w14:textId="33E9746F" w:rsidR="004540C2" w:rsidRDefault="004540C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BA90A42" w14:textId="77777777" w:rsidR="004540C2" w:rsidRDefault="004540C2" w:rsidP="004540C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CE871" w14:textId="77777777" w:rsidR="004540C2" w:rsidRDefault="004540C2" w:rsidP="004540C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48B2BA" w14:textId="77777777" w:rsidR="00092B2E" w:rsidRDefault="00092B2E" w:rsidP="004540C2">
      <w:pPr>
        <w:spacing w:after="0" w:line="240" w:lineRule="auto"/>
      </w:pPr>
      <w:r>
        <w:separator/>
      </w:r>
    </w:p>
  </w:footnote>
  <w:footnote w:type="continuationSeparator" w:id="0">
    <w:p w14:paraId="76A1DBE4" w14:textId="77777777" w:rsidR="00092B2E" w:rsidRDefault="00092B2E" w:rsidP="004540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510229"/>
    <w:multiLevelType w:val="hybridMultilevel"/>
    <w:tmpl w:val="0BB47C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33653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0C2"/>
    <w:rsid w:val="00006B88"/>
    <w:rsid w:val="00043004"/>
    <w:rsid w:val="0007050C"/>
    <w:rsid w:val="00092B2E"/>
    <w:rsid w:val="000E097D"/>
    <w:rsid w:val="000E6280"/>
    <w:rsid w:val="0011510F"/>
    <w:rsid w:val="00116157"/>
    <w:rsid w:val="00142BE9"/>
    <w:rsid w:val="00203B22"/>
    <w:rsid w:val="00261A31"/>
    <w:rsid w:val="002726E2"/>
    <w:rsid w:val="002774B8"/>
    <w:rsid w:val="003520A8"/>
    <w:rsid w:val="00383D4A"/>
    <w:rsid w:val="003A4A66"/>
    <w:rsid w:val="003E73CD"/>
    <w:rsid w:val="004008B3"/>
    <w:rsid w:val="00442DF6"/>
    <w:rsid w:val="004540C2"/>
    <w:rsid w:val="0047065A"/>
    <w:rsid w:val="004C659F"/>
    <w:rsid w:val="004E442E"/>
    <w:rsid w:val="005207A7"/>
    <w:rsid w:val="005207E2"/>
    <w:rsid w:val="00536DBD"/>
    <w:rsid w:val="005A1625"/>
    <w:rsid w:val="005C3E11"/>
    <w:rsid w:val="005D3872"/>
    <w:rsid w:val="006224CC"/>
    <w:rsid w:val="0063391C"/>
    <w:rsid w:val="00634C05"/>
    <w:rsid w:val="00642ED9"/>
    <w:rsid w:val="006630E0"/>
    <w:rsid w:val="006A7611"/>
    <w:rsid w:val="006B2108"/>
    <w:rsid w:val="00757F19"/>
    <w:rsid w:val="007B7143"/>
    <w:rsid w:val="007F384B"/>
    <w:rsid w:val="00882850"/>
    <w:rsid w:val="00886DF5"/>
    <w:rsid w:val="008A173C"/>
    <w:rsid w:val="008F62F8"/>
    <w:rsid w:val="00926CB7"/>
    <w:rsid w:val="00926FD5"/>
    <w:rsid w:val="00956806"/>
    <w:rsid w:val="009744CF"/>
    <w:rsid w:val="009A1BEB"/>
    <w:rsid w:val="009A3605"/>
    <w:rsid w:val="00A26B3B"/>
    <w:rsid w:val="00A6291B"/>
    <w:rsid w:val="00AD7A78"/>
    <w:rsid w:val="00AF3E01"/>
    <w:rsid w:val="00B06EB5"/>
    <w:rsid w:val="00B871B0"/>
    <w:rsid w:val="00BC0CFC"/>
    <w:rsid w:val="00C44216"/>
    <w:rsid w:val="00C77E4A"/>
    <w:rsid w:val="00CA727E"/>
    <w:rsid w:val="00D10EAB"/>
    <w:rsid w:val="00D65782"/>
    <w:rsid w:val="00DA2D56"/>
    <w:rsid w:val="00DC48CE"/>
    <w:rsid w:val="00DD5D1C"/>
    <w:rsid w:val="00E74EB7"/>
    <w:rsid w:val="00E93F78"/>
    <w:rsid w:val="00EE1898"/>
    <w:rsid w:val="00F06921"/>
    <w:rsid w:val="00F31A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79272CD"/>
  <w15:chartTrackingRefBased/>
  <w15:docId w15:val="{76319E8F-5B6C-41FD-AEB5-524F8D68A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40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540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40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40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40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40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40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40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40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40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540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40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40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40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40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40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40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40C2"/>
    <w:rPr>
      <w:rFonts w:eastAsiaTheme="majorEastAsia" w:cstheme="majorBidi"/>
      <w:color w:val="272727" w:themeColor="text1" w:themeTint="D8"/>
    </w:rPr>
  </w:style>
  <w:style w:type="paragraph" w:styleId="Title">
    <w:name w:val="Title"/>
    <w:basedOn w:val="Normal"/>
    <w:next w:val="Normal"/>
    <w:link w:val="TitleChar"/>
    <w:uiPriority w:val="10"/>
    <w:qFormat/>
    <w:rsid w:val="004540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40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40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40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40C2"/>
    <w:pPr>
      <w:spacing w:before="160"/>
      <w:jc w:val="center"/>
    </w:pPr>
    <w:rPr>
      <w:i/>
      <w:iCs/>
      <w:color w:val="404040" w:themeColor="text1" w:themeTint="BF"/>
    </w:rPr>
  </w:style>
  <w:style w:type="character" w:customStyle="1" w:styleId="QuoteChar">
    <w:name w:val="Quote Char"/>
    <w:basedOn w:val="DefaultParagraphFont"/>
    <w:link w:val="Quote"/>
    <w:uiPriority w:val="29"/>
    <w:rsid w:val="004540C2"/>
    <w:rPr>
      <w:i/>
      <w:iCs/>
      <w:color w:val="404040" w:themeColor="text1" w:themeTint="BF"/>
    </w:rPr>
  </w:style>
  <w:style w:type="paragraph" w:styleId="ListParagraph">
    <w:name w:val="List Paragraph"/>
    <w:basedOn w:val="Normal"/>
    <w:uiPriority w:val="34"/>
    <w:qFormat/>
    <w:rsid w:val="004540C2"/>
    <w:pPr>
      <w:ind w:left="720"/>
      <w:contextualSpacing/>
    </w:pPr>
  </w:style>
  <w:style w:type="character" w:styleId="IntenseEmphasis">
    <w:name w:val="Intense Emphasis"/>
    <w:basedOn w:val="DefaultParagraphFont"/>
    <w:uiPriority w:val="21"/>
    <w:qFormat/>
    <w:rsid w:val="004540C2"/>
    <w:rPr>
      <w:i/>
      <w:iCs/>
      <w:color w:val="0F4761" w:themeColor="accent1" w:themeShade="BF"/>
    </w:rPr>
  </w:style>
  <w:style w:type="paragraph" w:styleId="IntenseQuote">
    <w:name w:val="Intense Quote"/>
    <w:basedOn w:val="Normal"/>
    <w:next w:val="Normal"/>
    <w:link w:val="IntenseQuoteChar"/>
    <w:uiPriority w:val="30"/>
    <w:qFormat/>
    <w:rsid w:val="004540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40C2"/>
    <w:rPr>
      <w:i/>
      <w:iCs/>
      <w:color w:val="0F4761" w:themeColor="accent1" w:themeShade="BF"/>
    </w:rPr>
  </w:style>
  <w:style w:type="character" w:styleId="IntenseReference">
    <w:name w:val="Intense Reference"/>
    <w:basedOn w:val="DefaultParagraphFont"/>
    <w:uiPriority w:val="32"/>
    <w:qFormat/>
    <w:rsid w:val="004540C2"/>
    <w:rPr>
      <w:b/>
      <w:bCs/>
      <w:smallCaps/>
      <w:color w:val="0F4761" w:themeColor="accent1" w:themeShade="BF"/>
      <w:spacing w:val="5"/>
    </w:rPr>
  </w:style>
  <w:style w:type="character" w:styleId="Hyperlink">
    <w:name w:val="Hyperlink"/>
    <w:basedOn w:val="DefaultParagraphFont"/>
    <w:uiPriority w:val="99"/>
    <w:unhideWhenUsed/>
    <w:rsid w:val="004540C2"/>
    <w:rPr>
      <w:color w:val="467886" w:themeColor="hyperlink"/>
      <w:u w:val="single"/>
    </w:rPr>
  </w:style>
  <w:style w:type="character" w:styleId="UnresolvedMention">
    <w:name w:val="Unresolved Mention"/>
    <w:basedOn w:val="DefaultParagraphFont"/>
    <w:uiPriority w:val="99"/>
    <w:semiHidden/>
    <w:unhideWhenUsed/>
    <w:rsid w:val="004540C2"/>
    <w:rPr>
      <w:color w:val="605E5C"/>
      <w:shd w:val="clear" w:color="auto" w:fill="E1DFDD"/>
    </w:rPr>
  </w:style>
  <w:style w:type="paragraph" w:styleId="Footer">
    <w:name w:val="footer"/>
    <w:basedOn w:val="Normal"/>
    <w:link w:val="FooterChar"/>
    <w:uiPriority w:val="99"/>
    <w:unhideWhenUsed/>
    <w:rsid w:val="004540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40C2"/>
  </w:style>
  <w:style w:type="character" w:styleId="PageNumber">
    <w:name w:val="page number"/>
    <w:basedOn w:val="DefaultParagraphFont"/>
    <w:uiPriority w:val="99"/>
    <w:semiHidden/>
    <w:unhideWhenUsed/>
    <w:rsid w:val="004540C2"/>
  </w:style>
  <w:style w:type="paragraph" w:styleId="TOCHeading">
    <w:name w:val="TOC Heading"/>
    <w:basedOn w:val="Heading1"/>
    <w:next w:val="Normal"/>
    <w:uiPriority w:val="39"/>
    <w:unhideWhenUsed/>
    <w:qFormat/>
    <w:rsid w:val="004540C2"/>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4540C2"/>
    <w:pPr>
      <w:spacing w:before="120" w:after="120"/>
    </w:pPr>
    <w:rPr>
      <w:b/>
      <w:bCs/>
      <w:caps/>
      <w:sz w:val="20"/>
      <w:szCs w:val="20"/>
    </w:rPr>
  </w:style>
  <w:style w:type="paragraph" w:styleId="TOC2">
    <w:name w:val="toc 2"/>
    <w:basedOn w:val="Normal"/>
    <w:next w:val="Normal"/>
    <w:autoRedefine/>
    <w:uiPriority w:val="39"/>
    <w:semiHidden/>
    <w:unhideWhenUsed/>
    <w:rsid w:val="004540C2"/>
    <w:pPr>
      <w:spacing w:after="0"/>
      <w:ind w:left="240"/>
    </w:pPr>
    <w:rPr>
      <w:smallCaps/>
      <w:sz w:val="20"/>
      <w:szCs w:val="20"/>
    </w:rPr>
  </w:style>
  <w:style w:type="paragraph" w:styleId="TOC3">
    <w:name w:val="toc 3"/>
    <w:basedOn w:val="Normal"/>
    <w:next w:val="Normal"/>
    <w:autoRedefine/>
    <w:uiPriority w:val="39"/>
    <w:semiHidden/>
    <w:unhideWhenUsed/>
    <w:rsid w:val="004540C2"/>
    <w:pPr>
      <w:spacing w:after="0"/>
      <w:ind w:left="480"/>
    </w:pPr>
    <w:rPr>
      <w:i/>
      <w:iCs/>
      <w:sz w:val="20"/>
      <w:szCs w:val="20"/>
    </w:rPr>
  </w:style>
  <w:style w:type="paragraph" w:styleId="TOC4">
    <w:name w:val="toc 4"/>
    <w:basedOn w:val="Normal"/>
    <w:next w:val="Normal"/>
    <w:autoRedefine/>
    <w:uiPriority w:val="39"/>
    <w:semiHidden/>
    <w:unhideWhenUsed/>
    <w:rsid w:val="004540C2"/>
    <w:pPr>
      <w:spacing w:after="0"/>
      <w:ind w:left="720"/>
    </w:pPr>
    <w:rPr>
      <w:sz w:val="18"/>
      <w:szCs w:val="18"/>
    </w:rPr>
  </w:style>
  <w:style w:type="paragraph" w:styleId="TOC5">
    <w:name w:val="toc 5"/>
    <w:basedOn w:val="Normal"/>
    <w:next w:val="Normal"/>
    <w:autoRedefine/>
    <w:uiPriority w:val="39"/>
    <w:semiHidden/>
    <w:unhideWhenUsed/>
    <w:rsid w:val="004540C2"/>
    <w:pPr>
      <w:spacing w:after="0"/>
      <w:ind w:left="960"/>
    </w:pPr>
    <w:rPr>
      <w:sz w:val="18"/>
      <w:szCs w:val="18"/>
    </w:rPr>
  </w:style>
  <w:style w:type="paragraph" w:styleId="TOC6">
    <w:name w:val="toc 6"/>
    <w:basedOn w:val="Normal"/>
    <w:next w:val="Normal"/>
    <w:autoRedefine/>
    <w:uiPriority w:val="39"/>
    <w:semiHidden/>
    <w:unhideWhenUsed/>
    <w:rsid w:val="004540C2"/>
    <w:pPr>
      <w:spacing w:after="0"/>
      <w:ind w:left="1200"/>
    </w:pPr>
    <w:rPr>
      <w:sz w:val="18"/>
      <w:szCs w:val="18"/>
    </w:rPr>
  </w:style>
  <w:style w:type="paragraph" w:styleId="TOC7">
    <w:name w:val="toc 7"/>
    <w:basedOn w:val="Normal"/>
    <w:next w:val="Normal"/>
    <w:autoRedefine/>
    <w:uiPriority w:val="39"/>
    <w:semiHidden/>
    <w:unhideWhenUsed/>
    <w:rsid w:val="004540C2"/>
    <w:pPr>
      <w:spacing w:after="0"/>
      <w:ind w:left="1440"/>
    </w:pPr>
    <w:rPr>
      <w:sz w:val="18"/>
      <w:szCs w:val="18"/>
    </w:rPr>
  </w:style>
  <w:style w:type="paragraph" w:styleId="TOC8">
    <w:name w:val="toc 8"/>
    <w:basedOn w:val="Normal"/>
    <w:next w:val="Normal"/>
    <w:autoRedefine/>
    <w:uiPriority w:val="39"/>
    <w:semiHidden/>
    <w:unhideWhenUsed/>
    <w:rsid w:val="004540C2"/>
    <w:pPr>
      <w:spacing w:after="0"/>
      <w:ind w:left="1680"/>
    </w:pPr>
    <w:rPr>
      <w:sz w:val="18"/>
      <w:szCs w:val="18"/>
    </w:rPr>
  </w:style>
  <w:style w:type="paragraph" w:styleId="TOC9">
    <w:name w:val="toc 9"/>
    <w:basedOn w:val="Normal"/>
    <w:next w:val="Normal"/>
    <w:autoRedefine/>
    <w:uiPriority w:val="39"/>
    <w:semiHidden/>
    <w:unhideWhenUsed/>
    <w:rsid w:val="004540C2"/>
    <w:pPr>
      <w:spacing w:after="0"/>
      <w:ind w:left="1920"/>
    </w:pPr>
    <w:rPr>
      <w:sz w:val="18"/>
      <w:szCs w:val="18"/>
    </w:rPr>
  </w:style>
  <w:style w:type="paragraph" w:styleId="Header">
    <w:name w:val="header"/>
    <w:basedOn w:val="Normal"/>
    <w:link w:val="HeaderChar"/>
    <w:uiPriority w:val="99"/>
    <w:unhideWhenUsed/>
    <w:rsid w:val="004540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40C2"/>
  </w:style>
  <w:style w:type="paragraph" w:customStyle="1" w:styleId="p1">
    <w:name w:val="p1"/>
    <w:basedOn w:val="Normal"/>
    <w:rsid w:val="009A3605"/>
    <w:pPr>
      <w:spacing w:after="0" w:line="240" w:lineRule="auto"/>
    </w:pPr>
    <w:rPr>
      <w:rFonts w:ascii=".AppleSystemUIFont" w:eastAsiaTheme="minorEastAsia" w:hAnsi=".AppleSystemUIFont" w:cs="Times New Roman"/>
      <w:kern w:val="0"/>
      <w:sz w:val="26"/>
      <w:szCs w:val="26"/>
      <w:lang w:eastAsia="en-GB"/>
      <w14:ligatures w14:val="none"/>
    </w:rPr>
  </w:style>
  <w:style w:type="paragraph" w:customStyle="1" w:styleId="p2">
    <w:name w:val="p2"/>
    <w:basedOn w:val="Normal"/>
    <w:rsid w:val="009A3605"/>
    <w:pPr>
      <w:spacing w:after="0" w:line="240" w:lineRule="auto"/>
    </w:pPr>
    <w:rPr>
      <w:rFonts w:ascii=".AppleSystemUIFont" w:eastAsiaTheme="minorEastAsia" w:hAnsi=".AppleSystemUIFont" w:cs="Times New Roman"/>
      <w:kern w:val="0"/>
      <w:sz w:val="26"/>
      <w:szCs w:val="26"/>
      <w:lang w:eastAsia="en-GB"/>
      <w14:ligatures w14:val="none"/>
    </w:rPr>
  </w:style>
  <w:style w:type="character" w:customStyle="1" w:styleId="s1">
    <w:name w:val="s1"/>
    <w:basedOn w:val="DefaultParagraphFont"/>
    <w:rsid w:val="009A3605"/>
    <w:rPr>
      <w:rFonts w:ascii="UICTFontTextStyleEmphasizedBody" w:hAnsi="UICTFontTextStyleEmphasizedBody" w:hint="default"/>
      <w:b/>
      <w:bCs/>
      <w:i w:val="0"/>
      <w:iCs w:val="0"/>
      <w:sz w:val="26"/>
      <w:szCs w:val="26"/>
    </w:rPr>
  </w:style>
  <w:style w:type="character" w:customStyle="1" w:styleId="s2">
    <w:name w:val="s2"/>
    <w:basedOn w:val="DefaultParagraphFont"/>
    <w:rsid w:val="009A3605"/>
    <w:rPr>
      <w:rFonts w:ascii="UICTFontTextStyleBody" w:hAnsi="UICTFontTextStyleBody" w:hint="default"/>
      <w:b w:val="0"/>
      <w:bCs w:val="0"/>
      <w:i w:val="0"/>
      <w:iCs w:val="0"/>
      <w:sz w:val="26"/>
      <w:szCs w:val="26"/>
    </w:rPr>
  </w:style>
  <w:style w:type="character" w:customStyle="1" w:styleId="s3">
    <w:name w:val="s3"/>
    <w:basedOn w:val="DefaultParagraphFont"/>
    <w:rsid w:val="009A3605"/>
    <w:rPr>
      <w:rFonts w:ascii="UICTFontTextStyleItalicBody" w:hAnsi="UICTFontTextStyleItalicBody" w:hint="default"/>
      <w:b w:val="0"/>
      <w:bCs w:val="0"/>
      <w:i/>
      <w:iCs/>
      <w:sz w:val="26"/>
      <w:szCs w:val="26"/>
    </w:rPr>
  </w:style>
  <w:style w:type="character" w:customStyle="1" w:styleId="apple-converted-space">
    <w:name w:val="apple-converted-space"/>
    <w:basedOn w:val="DefaultParagraphFont"/>
    <w:rsid w:val="00C44216"/>
  </w:style>
  <w:style w:type="paragraph" w:customStyle="1" w:styleId="p3">
    <w:name w:val="p3"/>
    <w:basedOn w:val="Normal"/>
    <w:rsid w:val="00E74EB7"/>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styleId="FollowedHyperlink">
    <w:name w:val="FollowedHyperlink"/>
    <w:basedOn w:val="DefaultParagraphFont"/>
    <w:uiPriority w:val="99"/>
    <w:semiHidden/>
    <w:unhideWhenUsed/>
    <w:rsid w:val="005C3E11"/>
    <w:rPr>
      <w:color w:val="96607D" w:themeColor="followedHyperlink"/>
      <w:u w:val="single"/>
    </w:rPr>
  </w:style>
  <w:style w:type="character" w:styleId="Strong">
    <w:name w:val="Strong"/>
    <w:basedOn w:val="DefaultParagraphFont"/>
    <w:uiPriority w:val="22"/>
    <w:qFormat/>
    <w:rsid w:val="00C77E4A"/>
    <w:rPr>
      <w:b/>
      <w:bCs/>
    </w:rPr>
  </w:style>
  <w:style w:type="paragraph" w:styleId="NormalWeb">
    <w:name w:val="Normal (Web)"/>
    <w:basedOn w:val="Normal"/>
    <w:uiPriority w:val="99"/>
    <w:semiHidden/>
    <w:unhideWhenUsed/>
    <w:rsid w:val="00C77E4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6224C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256AFD-CF57-4445-B64F-084033B92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8</Pages>
  <Words>1951</Words>
  <Characters>11127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13052</CharactersWithSpaces>
  <SharedDoc>false</SharedDoc>
  <HLinks>
    <vt:vector size="48" baseType="variant">
      <vt:variant>
        <vt:i4>7929895</vt:i4>
      </vt:variant>
      <vt:variant>
        <vt:i4>21</vt:i4>
      </vt:variant>
      <vt:variant>
        <vt:i4>0</vt:i4>
      </vt:variant>
      <vt:variant>
        <vt:i4>5</vt:i4>
      </vt:variant>
      <vt:variant>
        <vt:lpwstr>https://arxiv.org/</vt:lpwstr>
      </vt:variant>
      <vt:variant>
        <vt:lpwstr/>
      </vt:variant>
      <vt:variant>
        <vt:i4>3211368</vt:i4>
      </vt:variant>
      <vt:variant>
        <vt:i4>18</vt:i4>
      </vt:variant>
      <vt:variant>
        <vt:i4>0</vt:i4>
      </vt:variant>
      <vt:variant>
        <vt:i4>5</vt:i4>
      </vt:variant>
      <vt:variant>
        <vt:lpwstr>https://www.who.int/news-room/fact-sheets/detail/stroke</vt:lpwstr>
      </vt:variant>
      <vt:variant>
        <vt:lpwstr/>
      </vt:variant>
      <vt:variant>
        <vt:i4>6553651</vt:i4>
      </vt:variant>
      <vt:variant>
        <vt:i4>15</vt:i4>
      </vt:variant>
      <vt:variant>
        <vt:i4>0</vt:i4>
      </vt:variant>
      <vt:variant>
        <vt:i4>5</vt:i4>
      </vt:variant>
      <vt:variant>
        <vt:lpwstr>https://www.stroke.org.uk/</vt:lpwstr>
      </vt:variant>
      <vt:variant>
        <vt:lpwstr/>
      </vt:variant>
      <vt:variant>
        <vt:i4>2555951</vt:i4>
      </vt:variant>
      <vt:variant>
        <vt:i4>12</vt:i4>
      </vt:variant>
      <vt:variant>
        <vt:i4>0</vt:i4>
      </vt:variant>
      <vt:variant>
        <vt:i4>5</vt:i4>
      </vt:variant>
      <vt:variant>
        <vt:lpwstr>https://www.england.nhs.uk/</vt:lpwstr>
      </vt:variant>
      <vt:variant>
        <vt:lpwstr/>
      </vt:variant>
      <vt:variant>
        <vt:i4>1441876</vt:i4>
      </vt:variant>
      <vt:variant>
        <vt:i4>9</vt:i4>
      </vt:variant>
      <vt:variant>
        <vt:i4>0</vt:i4>
      </vt:variant>
      <vt:variant>
        <vt:i4>5</vt:i4>
      </vt:variant>
      <vt:variant>
        <vt:lpwstr>https://www.nice.org.uk/</vt:lpwstr>
      </vt:variant>
      <vt:variant>
        <vt:lpwstr/>
      </vt:variant>
      <vt:variant>
        <vt:i4>5701646</vt:i4>
      </vt:variant>
      <vt:variant>
        <vt:i4>6</vt:i4>
      </vt:variant>
      <vt:variant>
        <vt:i4>0</vt:i4>
      </vt:variant>
      <vt:variant>
        <vt:i4>5</vt:i4>
      </vt:variant>
      <vt:variant>
        <vt:lpwstr>https://www.nhs.uk/conditions/stroke</vt:lpwstr>
      </vt:variant>
      <vt:variant>
        <vt:lpwstr/>
      </vt:variant>
      <vt:variant>
        <vt:i4>3932194</vt:i4>
      </vt:variant>
      <vt:variant>
        <vt:i4>3</vt:i4>
      </vt:variant>
      <vt:variant>
        <vt:i4>0</vt:i4>
      </vt:variant>
      <vt:variant>
        <vt:i4>5</vt:i4>
      </vt:variant>
      <vt:variant>
        <vt:lpwstr>https://www.hriuk.org/</vt:lpwstr>
      </vt:variant>
      <vt:variant>
        <vt:lpwstr/>
      </vt:variant>
      <vt:variant>
        <vt:i4>3932193</vt:i4>
      </vt:variant>
      <vt:variant>
        <vt:i4>0</vt:i4>
      </vt:variant>
      <vt:variant>
        <vt:i4>0</vt:i4>
      </vt:variant>
      <vt:variant>
        <vt:i4>5</vt:i4>
      </vt:variant>
      <vt:variant>
        <vt:lpwstr>https://www.brainresearchuk.org.uk/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Ruby Ana Geli (2515868)</dc:creator>
  <cp:keywords/>
  <dc:description/>
  <cp:lastModifiedBy>Ruby Ana Geli (2515868)</cp:lastModifiedBy>
  <cp:revision>4</cp:revision>
  <dcterms:created xsi:type="dcterms:W3CDTF">2026-04-14T12:07:00Z</dcterms:created>
  <dcterms:modified xsi:type="dcterms:W3CDTF">2026-04-14T12:13:00Z</dcterms:modified>
</cp:coreProperties>
</file>