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852C1E" w:rsidRDefault="00B00DE0">
      <w:pPr>
        <w:rPr>
          <w:b/>
          <w:sz w:val="48"/>
          <w:szCs w:val="48"/>
          <w:lang w:val="en-GB"/>
        </w:rPr>
      </w:pPr>
      <w:r>
        <w:rPr>
          <w:lang w:val="en-GB"/>
        </w:rPr>
        <w:t xml:space="preserve">                                                                                                                                                   </w:t>
      </w:r>
      <w:r w:rsidRPr="00B00DE0">
        <w:rPr>
          <w:b/>
          <w:sz w:val="48"/>
          <w:szCs w:val="48"/>
          <w:lang w:val="en-GB"/>
        </w:rPr>
        <w:t>BA BUSINESS MANAGEMENT</w:t>
      </w:r>
      <w:r>
        <w:rPr>
          <w:b/>
          <w:sz w:val="48"/>
          <w:szCs w:val="48"/>
          <w:lang w:val="en-GB"/>
        </w:rPr>
        <w:t xml:space="preserve">  </w:t>
      </w:r>
    </w:p>
    <w:p w:rsidR="00B00DE0" w:rsidRDefault="00B00DE0">
      <w:pPr>
        <w:rPr>
          <w:b/>
          <w:sz w:val="44"/>
          <w:szCs w:val="44"/>
          <w:lang w:val="en-GB"/>
        </w:rPr>
      </w:pPr>
      <w:r>
        <w:rPr>
          <w:b/>
          <w:sz w:val="48"/>
          <w:szCs w:val="48"/>
          <w:lang w:val="en-GB"/>
        </w:rPr>
        <w:t xml:space="preserve">                                                                           </w:t>
      </w:r>
      <w:r w:rsidRPr="00B00DE0">
        <w:rPr>
          <w:b/>
          <w:sz w:val="44"/>
          <w:szCs w:val="44"/>
          <w:lang w:val="en-GB"/>
        </w:rPr>
        <w:t>ASSIGNMENT 1</w:t>
      </w:r>
      <w:r>
        <w:rPr>
          <w:b/>
          <w:sz w:val="44"/>
          <w:szCs w:val="44"/>
          <w:lang w:val="en-GB"/>
        </w:rPr>
        <w:t xml:space="preserve"> </w:t>
      </w:r>
    </w:p>
    <w:p w:rsidR="00B00DE0" w:rsidRDefault="00B00DE0">
      <w:pPr>
        <w:rPr>
          <w:b/>
          <w:sz w:val="44"/>
          <w:szCs w:val="44"/>
          <w:lang w:val="en-GB"/>
        </w:rPr>
      </w:pPr>
      <w:r>
        <w:rPr>
          <w:b/>
          <w:sz w:val="44"/>
          <w:szCs w:val="44"/>
          <w:lang w:val="en-GB"/>
        </w:rPr>
        <w:t xml:space="preserve">                                                                        WRITTEN REPORT</w:t>
      </w:r>
    </w:p>
    <w:p w:rsidR="00B00DE0" w:rsidRDefault="00B00DE0">
      <w:pPr>
        <w:rPr>
          <w:b/>
          <w:sz w:val="44"/>
          <w:szCs w:val="44"/>
          <w:lang w:val="en-GB"/>
        </w:rPr>
      </w:pPr>
    </w:p>
    <w:p w:rsidR="00B00DE0" w:rsidRDefault="00B00DE0">
      <w:pPr>
        <w:rPr>
          <w:b/>
          <w:sz w:val="44"/>
          <w:szCs w:val="44"/>
          <w:lang w:val="en-GB"/>
        </w:rPr>
      </w:pPr>
      <w:r>
        <w:rPr>
          <w:b/>
          <w:sz w:val="44"/>
          <w:szCs w:val="44"/>
          <w:lang w:val="en-GB"/>
        </w:rPr>
        <w:t>MODULE: International Financial Management</w:t>
      </w:r>
    </w:p>
    <w:p w:rsidR="00B00DE0" w:rsidRDefault="00B00DE0">
      <w:pPr>
        <w:rPr>
          <w:b/>
          <w:sz w:val="44"/>
          <w:szCs w:val="44"/>
          <w:lang w:val="en-GB"/>
        </w:rPr>
      </w:pPr>
      <w:r>
        <w:rPr>
          <w:b/>
          <w:sz w:val="44"/>
          <w:szCs w:val="44"/>
          <w:lang w:val="en-GB"/>
        </w:rPr>
        <w:t>CODE: LCBB6002</w:t>
      </w:r>
    </w:p>
    <w:p w:rsidR="00B00DE0" w:rsidRDefault="00B00DE0">
      <w:pPr>
        <w:rPr>
          <w:b/>
          <w:sz w:val="44"/>
          <w:szCs w:val="44"/>
          <w:lang w:val="en-GB"/>
        </w:rPr>
      </w:pPr>
      <w:r>
        <w:rPr>
          <w:b/>
          <w:sz w:val="44"/>
          <w:szCs w:val="44"/>
          <w:lang w:val="en-GB"/>
        </w:rPr>
        <w:t>LECTURER</w:t>
      </w:r>
      <w:r w:rsidR="0045217B">
        <w:rPr>
          <w:b/>
          <w:sz w:val="44"/>
          <w:szCs w:val="44"/>
          <w:lang w:val="en-GB"/>
        </w:rPr>
        <w:t xml:space="preserve"> NAME</w:t>
      </w:r>
      <w:r>
        <w:rPr>
          <w:b/>
          <w:sz w:val="44"/>
          <w:szCs w:val="44"/>
          <w:lang w:val="en-GB"/>
        </w:rPr>
        <w:t xml:space="preserve">: Dr. </w:t>
      </w:r>
      <w:proofErr w:type="spellStart"/>
      <w:r>
        <w:rPr>
          <w:b/>
          <w:sz w:val="44"/>
          <w:szCs w:val="44"/>
          <w:lang w:val="en-GB"/>
        </w:rPr>
        <w:t>Andry</w:t>
      </w:r>
      <w:proofErr w:type="spellEnd"/>
      <w:r>
        <w:rPr>
          <w:b/>
          <w:sz w:val="44"/>
          <w:szCs w:val="44"/>
          <w:lang w:val="en-GB"/>
        </w:rPr>
        <w:t xml:space="preserve"> </w:t>
      </w:r>
      <w:proofErr w:type="spellStart"/>
      <w:r>
        <w:rPr>
          <w:b/>
          <w:sz w:val="44"/>
          <w:szCs w:val="44"/>
          <w:lang w:val="en-GB"/>
        </w:rPr>
        <w:t>Rakotovololona</w:t>
      </w:r>
      <w:proofErr w:type="spellEnd"/>
      <w:r>
        <w:rPr>
          <w:b/>
          <w:sz w:val="44"/>
          <w:szCs w:val="44"/>
          <w:lang w:val="en-GB"/>
        </w:rPr>
        <w:t xml:space="preserve"> </w:t>
      </w:r>
    </w:p>
    <w:p w:rsidR="0045217B" w:rsidRDefault="0045217B">
      <w:pPr>
        <w:rPr>
          <w:b/>
          <w:sz w:val="44"/>
          <w:szCs w:val="44"/>
          <w:lang w:val="en-GB"/>
        </w:rPr>
      </w:pPr>
      <w:r>
        <w:rPr>
          <w:b/>
          <w:sz w:val="44"/>
          <w:szCs w:val="44"/>
          <w:lang w:val="en-GB"/>
        </w:rPr>
        <w:t xml:space="preserve">STUDENT NAME: </w:t>
      </w:r>
      <w:proofErr w:type="spellStart"/>
      <w:r>
        <w:rPr>
          <w:b/>
          <w:sz w:val="44"/>
          <w:szCs w:val="44"/>
          <w:lang w:val="en-GB"/>
        </w:rPr>
        <w:t>Evelina</w:t>
      </w:r>
      <w:proofErr w:type="spellEnd"/>
      <w:r>
        <w:rPr>
          <w:b/>
          <w:sz w:val="44"/>
          <w:szCs w:val="44"/>
          <w:lang w:val="en-GB"/>
        </w:rPr>
        <w:t xml:space="preserve"> </w:t>
      </w:r>
      <w:proofErr w:type="spellStart"/>
      <w:r>
        <w:rPr>
          <w:b/>
          <w:sz w:val="44"/>
          <w:szCs w:val="44"/>
          <w:lang w:val="en-GB"/>
        </w:rPr>
        <w:t>Koleva</w:t>
      </w:r>
      <w:proofErr w:type="spellEnd"/>
      <w:r>
        <w:rPr>
          <w:b/>
          <w:sz w:val="44"/>
          <w:szCs w:val="44"/>
          <w:lang w:val="en-GB"/>
        </w:rPr>
        <w:t xml:space="preserve"> </w:t>
      </w:r>
    </w:p>
    <w:p w:rsidR="0045217B" w:rsidRDefault="0045217B">
      <w:pPr>
        <w:rPr>
          <w:b/>
          <w:sz w:val="44"/>
          <w:szCs w:val="44"/>
          <w:lang w:val="en-GB"/>
        </w:rPr>
      </w:pPr>
      <w:r>
        <w:rPr>
          <w:b/>
          <w:sz w:val="44"/>
          <w:szCs w:val="44"/>
          <w:lang w:val="en-GB"/>
        </w:rPr>
        <w:t>STUDENT ID: 2131127</w:t>
      </w:r>
    </w:p>
    <w:p w:rsidR="0045217B" w:rsidRDefault="0045217B">
      <w:pPr>
        <w:rPr>
          <w:b/>
          <w:sz w:val="44"/>
          <w:szCs w:val="44"/>
          <w:lang w:val="en-GB"/>
        </w:rPr>
      </w:pPr>
    </w:p>
    <w:p w:rsidR="0045217B" w:rsidRDefault="0045217B">
      <w:pPr>
        <w:rPr>
          <w:b/>
          <w:sz w:val="44"/>
          <w:szCs w:val="44"/>
          <w:lang w:val="en-GB"/>
        </w:rPr>
      </w:pPr>
    </w:p>
    <w:p w:rsidR="0045217B" w:rsidRDefault="0045217B">
      <w:pPr>
        <w:rPr>
          <w:b/>
          <w:sz w:val="44"/>
          <w:szCs w:val="44"/>
          <w:lang w:val="en-GB"/>
        </w:rPr>
      </w:pPr>
      <w:r>
        <w:rPr>
          <w:b/>
          <w:sz w:val="44"/>
          <w:szCs w:val="44"/>
          <w:lang w:val="en-GB"/>
        </w:rPr>
        <w:t xml:space="preserve">                                           SUBMITTED ON    </w:t>
      </w:r>
      <w:r w:rsidR="00CB3628">
        <w:rPr>
          <w:b/>
          <w:sz w:val="44"/>
          <w:szCs w:val="44"/>
          <w:lang w:val="en-GB"/>
        </w:rPr>
        <w:t>15</w:t>
      </w:r>
      <w:r w:rsidR="00CB3628" w:rsidRPr="00CB3628">
        <w:rPr>
          <w:b/>
          <w:sz w:val="44"/>
          <w:szCs w:val="44"/>
          <w:vertAlign w:val="superscript"/>
          <w:lang w:val="en-GB"/>
        </w:rPr>
        <w:t>th</w:t>
      </w:r>
      <w:r w:rsidR="00CB3628">
        <w:rPr>
          <w:b/>
          <w:sz w:val="44"/>
          <w:szCs w:val="44"/>
          <w:lang w:val="en-GB"/>
        </w:rPr>
        <w:t xml:space="preserve"> OF AUGUST 2024</w:t>
      </w:r>
    </w:p>
    <w:p w:rsidR="0045217B" w:rsidRDefault="0045217B">
      <w:pPr>
        <w:rPr>
          <w:b/>
          <w:sz w:val="44"/>
          <w:szCs w:val="44"/>
          <w:lang w:val="en-GB"/>
        </w:rPr>
      </w:pPr>
    </w:p>
    <w:p w:rsidR="0045217B" w:rsidRDefault="0045217B">
      <w:pPr>
        <w:rPr>
          <w:b/>
          <w:sz w:val="44"/>
          <w:szCs w:val="44"/>
          <w:lang w:val="en-GB"/>
        </w:rPr>
      </w:pPr>
    </w:p>
    <w:p w:rsidR="0045217B" w:rsidRDefault="0045217B">
      <w:pPr>
        <w:rPr>
          <w:b/>
          <w:sz w:val="44"/>
          <w:szCs w:val="44"/>
          <w:lang w:val="en-GB"/>
        </w:rPr>
      </w:pPr>
    </w:p>
    <w:sdt>
      <w:sdtPr>
        <w:rPr>
          <w:rFonts w:ascii="Times New Roman" w:eastAsiaTheme="minorHAnsi" w:hAnsi="Times New Roman" w:cstheme="minorBidi"/>
          <w:color w:val="auto"/>
          <w:kern w:val="2"/>
          <w:sz w:val="24"/>
          <w:szCs w:val="22"/>
          <w:lang w:val="en-GB"/>
        </w:rPr>
        <w:id w:val="-785814399"/>
        <w:docPartObj>
          <w:docPartGallery w:val="Table of Contents"/>
          <w:docPartUnique/>
        </w:docPartObj>
      </w:sdtPr>
      <w:sdtEndPr>
        <w:rPr>
          <w:rFonts w:asciiTheme="minorHAnsi" w:hAnsiTheme="minorHAnsi"/>
          <w:b/>
          <w:bCs/>
          <w:noProof/>
          <w:kern w:val="0"/>
          <w:sz w:val="22"/>
          <w:lang w:val="bg-BG"/>
        </w:rPr>
      </w:sdtEndPr>
      <w:sdtContent>
        <w:p w:rsidR="003E79AE" w:rsidRPr="00F5094E" w:rsidRDefault="003E79AE" w:rsidP="003E79AE">
          <w:pPr>
            <w:pStyle w:val="TOCHeading"/>
            <w:rPr>
              <w:rFonts w:ascii="Times New Roman" w:hAnsi="Times New Roman" w:cs="Times New Roman"/>
            </w:rPr>
          </w:pPr>
          <w:r w:rsidRPr="00CB3628">
            <w:rPr>
              <w:rFonts w:ascii="Times New Roman" w:hAnsi="Times New Roman" w:cs="Times New Roman"/>
              <w:color w:val="auto"/>
              <w:sz w:val="36"/>
              <w:szCs w:val="36"/>
            </w:rPr>
            <w:t>Contents</w:t>
          </w:r>
        </w:p>
        <w:p w:rsidR="003E79AE" w:rsidRPr="003E79AE" w:rsidRDefault="003E79AE" w:rsidP="003E79AE">
          <w:pPr>
            <w:pStyle w:val="TOC1"/>
            <w:rPr>
              <w:rFonts w:asciiTheme="minorHAnsi" w:eastAsiaTheme="minorEastAsia" w:hAnsiTheme="minorHAnsi"/>
              <w:szCs w:val="30"/>
              <w:lang w:eastAsia="en-GB" w:bidi="bn-BD"/>
            </w:rPr>
          </w:pPr>
          <w:r w:rsidRPr="000C364C">
            <w:rPr>
              <w:noProof w:val="0"/>
            </w:rPr>
            <w:fldChar w:fldCharType="begin"/>
          </w:r>
          <w:r>
            <w:instrText xml:space="preserve"> TOC \o "1-3" \h \z \u </w:instrText>
          </w:r>
          <w:r w:rsidRPr="000C364C">
            <w:rPr>
              <w:noProof w:val="0"/>
            </w:rPr>
            <w:fldChar w:fldCharType="separate"/>
          </w:r>
          <w:hyperlink w:anchor="_Toc172837374" w:history="1">
            <w:r w:rsidRPr="003E79AE">
              <w:rPr>
                <w:rStyle w:val="Hyperlink"/>
                <w:color w:val="auto"/>
              </w:rPr>
              <w:t>Introduction</w:t>
            </w:r>
            <w:r w:rsidRPr="003E79AE">
              <w:rPr>
                <w:webHidden/>
              </w:rPr>
              <w:tab/>
            </w:r>
            <w:r w:rsidRPr="003E79AE">
              <w:rPr>
                <w:webHidden/>
              </w:rPr>
              <w:fldChar w:fldCharType="begin"/>
            </w:r>
            <w:r w:rsidRPr="003E79AE">
              <w:rPr>
                <w:webHidden/>
              </w:rPr>
              <w:instrText xml:space="preserve"> PAGEREF _Toc172837374 \h </w:instrText>
            </w:r>
            <w:r w:rsidRPr="003E79AE">
              <w:rPr>
                <w:webHidden/>
              </w:rPr>
            </w:r>
            <w:r w:rsidRPr="003E79AE">
              <w:rPr>
                <w:webHidden/>
              </w:rPr>
              <w:fldChar w:fldCharType="separate"/>
            </w:r>
            <w:r w:rsidRPr="003E79AE">
              <w:rPr>
                <w:webHidden/>
              </w:rPr>
              <w:t>3</w:t>
            </w:r>
            <w:r w:rsidRPr="003E79AE">
              <w:rPr>
                <w:webHidden/>
              </w:rPr>
              <w:fldChar w:fldCharType="end"/>
            </w:r>
          </w:hyperlink>
        </w:p>
        <w:p w:rsidR="003E79AE" w:rsidRPr="003E79AE" w:rsidRDefault="003E79AE" w:rsidP="003E79AE">
          <w:pPr>
            <w:pStyle w:val="TOC1"/>
            <w:rPr>
              <w:rFonts w:asciiTheme="minorHAnsi" w:eastAsiaTheme="minorEastAsia" w:hAnsiTheme="minorHAnsi"/>
              <w:szCs w:val="30"/>
              <w:lang w:eastAsia="en-GB" w:bidi="bn-BD"/>
            </w:rPr>
          </w:pPr>
          <w:hyperlink w:anchor="_Toc172837375" w:history="1">
            <w:r w:rsidRPr="003E79AE">
              <w:rPr>
                <w:rStyle w:val="Hyperlink"/>
                <w:color w:val="auto"/>
              </w:rPr>
              <w:t>MNCs and Foreign Exchange Risks</w:t>
            </w:r>
            <w:r w:rsidRPr="003E79AE">
              <w:rPr>
                <w:webHidden/>
              </w:rPr>
              <w:tab/>
            </w:r>
            <w:r w:rsidRPr="003E79AE">
              <w:rPr>
                <w:webHidden/>
              </w:rPr>
              <w:fldChar w:fldCharType="begin"/>
            </w:r>
            <w:r w:rsidRPr="003E79AE">
              <w:rPr>
                <w:webHidden/>
              </w:rPr>
              <w:instrText xml:space="preserve"> PAGEREF _Toc172837375 \h </w:instrText>
            </w:r>
            <w:r w:rsidRPr="003E79AE">
              <w:rPr>
                <w:webHidden/>
              </w:rPr>
            </w:r>
            <w:r w:rsidRPr="003E79AE">
              <w:rPr>
                <w:webHidden/>
              </w:rPr>
              <w:fldChar w:fldCharType="separate"/>
            </w:r>
            <w:r w:rsidRPr="003E79AE">
              <w:rPr>
                <w:webHidden/>
              </w:rPr>
              <w:t>3</w:t>
            </w:r>
            <w:r w:rsidRPr="003E79AE">
              <w:rPr>
                <w:webHidden/>
              </w:rPr>
              <w:fldChar w:fldCharType="end"/>
            </w:r>
          </w:hyperlink>
        </w:p>
        <w:p w:rsidR="003E79AE" w:rsidRPr="003E79AE" w:rsidRDefault="003E79AE" w:rsidP="003E79AE">
          <w:pPr>
            <w:pStyle w:val="TOC2"/>
            <w:rPr>
              <w:rFonts w:asciiTheme="minorHAnsi" w:eastAsiaTheme="minorEastAsia" w:hAnsiTheme="minorHAnsi"/>
              <w:szCs w:val="30"/>
              <w:lang w:eastAsia="en-GB" w:bidi="bn-BD"/>
            </w:rPr>
          </w:pPr>
          <w:hyperlink w:anchor="_Toc172837376" w:history="1">
            <w:r w:rsidRPr="003E79AE">
              <w:rPr>
                <w:rStyle w:val="Hyperlink"/>
                <w:color w:val="auto"/>
              </w:rPr>
              <w:t>Transaction Risk</w:t>
            </w:r>
            <w:r w:rsidRPr="003E79AE">
              <w:rPr>
                <w:webHidden/>
              </w:rPr>
              <w:tab/>
            </w:r>
            <w:r w:rsidRPr="003E79AE">
              <w:rPr>
                <w:webHidden/>
              </w:rPr>
              <w:fldChar w:fldCharType="begin"/>
            </w:r>
            <w:r w:rsidRPr="003E79AE">
              <w:rPr>
                <w:webHidden/>
              </w:rPr>
              <w:instrText xml:space="preserve"> PAGEREF _Toc172837376 \h </w:instrText>
            </w:r>
            <w:r w:rsidRPr="003E79AE">
              <w:rPr>
                <w:webHidden/>
              </w:rPr>
            </w:r>
            <w:r w:rsidRPr="003E79AE">
              <w:rPr>
                <w:webHidden/>
              </w:rPr>
              <w:fldChar w:fldCharType="separate"/>
            </w:r>
            <w:r w:rsidRPr="003E79AE">
              <w:rPr>
                <w:webHidden/>
              </w:rPr>
              <w:t>3</w:t>
            </w:r>
            <w:r w:rsidRPr="003E79AE">
              <w:rPr>
                <w:webHidden/>
              </w:rPr>
              <w:fldChar w:fldCharType="end"/>
            </w:r>
          </w:hyperlink>
        </w:p>
        <w:p w:rsidR="003E79AE" w:rsidRPr="003E79AE" w:rsidRDefault="003E79AE" w:rsidP="003E79AE">
          <w:pPr>
            <w:pStyle w:val="TOC2"/>
            <w:rPr>
              <w:rFonts w:asciiTheme="minorHAnsi" w:eastAsiaTheme="minorEastAsia" w:hAnsiTheme="minorHAnsi"/>
              <w:szCs w:val="30"/>
              <w:lang w:eastAsia="en-GB" w:bidi="bn-BD"/>
            </w:rPr>
          </w:pPr>
          <w:hyperlink w:anchor="_Toc172837377" w:history="1">
            <w:r w:rsidRPr="003E79AE">
              <w:rPr>
                <w:rStyle w:val="Hyperlink"/>
                <w:color w:val="auto"/>
              </w:rPr>
              <w:t>Translation Risk</w:t>
            </w:r>
            <w:r w:rsidRPr="003E79AE">
              <w:rPr>
                <w:webHidden/>
              </w:rPr>
              <w:tab/>
            </w:r>
            <w:r w:rsidRPr="003E79AE">
              <w:rPr>
                <w:webHidden/>
              </w:rPr>
              <w:fldChar w:fldCharType="begin"/>
            </w:r>
            <w:r w:rsidRPr="003E79AE">
              <w:rPr>
                <w:webHidden/>
              </w:rPr>
              <w:instrText xml:space="preserve"> PAGEREF _Toc172837377 \h </w:instrText>
            </w:r>
            <w:r w:rsidRPr="003E79AE">
              <w:rPr>
                <w:webHidden/>
              </w:rPr>
            </w:r>
            <w:r w:rsidRPr="003E79AE">
              <w:rPr>
                <w:webHidden/>
              </w:rPr>
              <w:fldChar w:fldCharType="separate"/>
            </w:r>
            <w:r w:rsidRPr="003E79AE">
              <w:rPr>
                <w:webHidden/>
              </w:rPr>
              <w:t>3</w:t>
            </w:r>
            <w:r w:rsidRPr="003E79AE">
              <w:rPr>
                <w:webHidden/>
              </w:rPr>
              <w:fldChar w:fldCharType="end"/>
            </w:r>
          </w:hyperlink>
        </w:p>
        <w:p w:rsidR="003E79AE" w:rsidRPr="003E79AE" w:rsidRDefault="003E79AE" w:rsidP="003E79AE">
          <w:pPr>
            <w:pStyle w:val="TOC2"/>
            <w:rPr>
              <w:rFonts w:asciiTheme="minorHAnsi" w:eastAsiaTheme="minorEastAsia" w:hAnsiTheme="minorHAnsi"/>
              <w:szCs w:val="30"/>
              <w:lang w:eastAsia="en-GB" w:bidi="bn-BD"/>
            </w:rPr>
          </w:pPr>
          <w:hyperlink w:anchor="_Toc172837378" w:history="1">
            <w:r w:rsidRPr="003E79AE">
              <w:rPr>
                <w:rStyle w:val="Hyperlink"/>
                <w:color w:val="auto"/>
              </w:rPr>
              <w:t>Economic Risk</w:t>
            </w:r>
            <w:r w:rsidRPr="003E79AE">
              <w:rPr>
                <w:webHidden/>
              </w:rPr>
              <w:tab/>
            </w:r>
            <w:r w:rsidRPr="003E79AE">
              <w:rPr>
                <w:webHidden/>
              </w:rPr>
              <w:fldChar w:fldCharType="begin"/>
            </w:r>
            <w:r w:rsidRPr="003E79AE">
              <w:rPr>
                <w:webHidden/>
              </w:rPr>
              <w:instrText xml:space="preserve"> PAGEREF _Toc172837378 \h </w:instrText>
            </w:r>
            <w:r w:rsidRPr="003E79AE">
              <w:rPr>
                <w:webHidden/>
              </w:rPr>
            </w:r>
            <w:r w:rsidRPr="003E79AE">
              <w:rPr>
                <w:webHidden/>
              </w:rPr>
              <w:fldChar w:fldCharType="separate"/>
            </w:r>
            <w:r w:rsidRPr="003E79AE">
              <w:rPr>
                <w:webHidden/>
              </w:rPr>
              <w:t>4</w:t>
            </w:r>
            <w:r w:rsidRPr="003E79AE">
              <w:rPr>
                <w:webHidden/>
              </w:rPr>
              <w:fldChar w:fldCharType="end"/>
            </w:r>
          </w:hyperlink>
        </w:p>
        <w:p w:rsidR="003E79AE" w:rsidRPr="003E79AE" w:rsidRDefault="003E79AE" w:rsidP="003E79AE">
          <w:pPr>
            <w:pStyle w:val="TOC1"/>
            <w:rPr>
              <w:rFonts w:asciiTheme="minorHAnsi" w:eastAsiaTheme="minorEastAsia" w:hAnsiTheme="minorHAnsi"/>
              <w:szCs w:val="30"/>
              <w:lang w:eastAsia="en-GB" w:bidi="bn-BD"/>
            </w:rPr>
          </w:pPr>
          <w:hyperlink w:anchor="_Toc172837379" w:history="1">
            <w:r w:rsidRPr="003E79AE">
              <w:rPr>
                <w:rStyle w:val="Hyperlink"/>
                <w:color w:val="auto"/>
              </w:rPr>
              <w:t>International Financial Management Theories and Foreign Exchange Risk Management</w:t>
            </w:r>
            <w:r w:rsidRPr="003E79AE">
              <w:rPr>
                <w:webHidden/>
              </w:rPr>
              <w:tab/>
            </w:r>
            <w:r w:rsidRPr="003E79AE">
              <w:rPr>
                <w:webHidden/>
              </w:rPr>
              <w:fldChar w:fldCharType="begin"/>
            </w:r>
            <w:r w:rsidRPr="003E79AE">
              <w:rPr>
                <w:webHidden/>
              </w:rPr>
              <w:instrText xml:space="preserve"> PAGEREF _Toc172837379 \h </w:instrText>
            </w:r>
            <w:r w:rsidRPr="003E79AE">
              <w:rPr>
                <w:webHidden/>
              </w:rPr>
            </w:r>
            <w:r w:rsidRPr="003E79AE">
              <w:rPr>
                <w:webHidden/>
              </w:rPr>
              <w:fldChar w:fldCharType="separate"/>
            </w:r>
            <w:r w:rsidRPr="003E79AE">
              <w:rPr>
                <w:webHidden/>
              </w:rPr>
              <w:t>4</w:t>
            </w:r>
            <w:r w:rsidRPr="003E79AE">
              <w:rPr>
                <w:webHidden/>
              </w:rPr>
              <w:fldChar w:fldCharType="end"/>
            </w:r>
          </w:hyperlink>
        </w:p>
        <w:p w:rsidR="003E79AE" w:rsidRPr="003E79AE" w:rsidRDefault="003E79AE" w:rsidP="003E79AE">
          <w:pPr>
            <w:pStyle w:val="TOC2"/>
            <w:rPr>
              <w:rFonts w:asciiTheme="minorHAnsi" w:eastAsiaTheme="minorEastAsia" w:hAnsiTheme="minorHAnsi"/>
              <w:szCs w:val="30"/>
              <w:lang w:eastAsia="en-GB" w:bidi="bn-BD"/>
            </w:rPr>
          </w:pPr>
          <w:hyperlink w:anchor="_Toc172837380" w:history="1">
            <w:r w:rsidRPr="003E79AE">
              <w:rPr>
                <w:rStyle w:val="Hyperlink"/>
                <w:color w:val="auto"/>
              </w:rPr>
              <w:t>Fisher Effect</w:t>
            </w:r>
            <w:r w:rsidRPr="003E79AE">
              <w:rPr>
                <w:webHidden/>
              </w:rPr>
              <w:tab/>
            </w:r>
            <w:r w:rsidRPr="003E79AE">
              <w:rPr>
                <w:webHidden/>
              </w:rPr>
              <w:fldChar w:fldCharType="begin"/>
            </w:r>
            <w:r w:rsidRPr="003E79AE">
              <w:rPr>
                <w:webHidden/>
              </w:rPr>
              <w:instrText xml:space="preserve"> PAGEREF _Toc172837380 \h </w:instrText>
            </w:r>
            <w:r w:rsidRPr="003E79AE">
              <w:rPr>
                <w:webHidden/>
              </w:rPr>
            </w:r>
            <w:r w:rsidRPr="003E79AE">
              <w:rPr>
                <w:webHidden/>
              </w:rPr>
              <w:fldChar w:fldCharType="separate"/>
            </w:r>
            <w:r w:rsidRPr="003E79AE">
              <w:rPr>
                <w:webHidden/>
              </w:rPr>
              <w:t>4</w:t>
            </w:r>
            <w:r w:rsidRPr="003E79AE">
              <w:rPr>
                <w:webHidden/>
              </w:rPr>
              <w:fldChar w:fldCharType="end"/>
            </w:r>
          </w:hyperlink>
        </w:p>
        <w:p w:rsidR="003E79AE" w:rsidRPr="003E79AE" w:rsidRDefault="003E79AE" w:rsidP="003E79AE">
          <w:pPr>
            <w:pStyle w:val="TOC2"/>
            <w:rPr>
              <w:rFonts w:asciiTheme="minorHAnsi" w:eastAsiaTheme="minorEastAsia" w:hAnsiTheme="minorHAnsi"/>
              <w:szCs w:val="30"/>
              <w:lang w:eastAsia="en-GB" w:bidi="bn-BD"/>
            </w:rPr>
          </w:pPr>
          <w:hyperlink w:anchor="_Toc172837381" w:history="1">
            <w:r w:rsidRPr="003E79AE">
              <w:rPr>
                <w:rStyle w:val="Hyperlink"/>
                <w:color w:val="auto"/>
              </w:rPr>
              <w:t>Interest Rate Parity (IRP) Theory</w:t>
            </w:r>
            <w:r w:rsidRPr="003E79AE">
              <w:rPr>
                <w:webHidden/>
              </w:rPr>
              <w:tab/>
            </w:r>
            <w:r w:rsidRPr="003E79AE">
              <w:rPr>
                <w:webHidden/>
              </w:rPr>
              <w:fldChar w:fldCharType="begin"/>
            </w:r>
            <w:r w:rsidRPr="003E79AE">
              <w:rPr>
                <w:webHidden/>
              </w:rPr>
              <w:instrText xml:space="preserve"> PAGEREF _Toc172837381 \h </w:instrText>
            </w:r>
            <w:r w:rsidRPr="003E79AE">
              <w:rPr>
                <w:webHidden/>
              </w:rPr>
            </w:r>
            <w:r w:rsidRPr="003E79AE">
              <w:rPr>
                <w:webHidden/>
              </w:rPr>
              <w:fldChar w:fldCharType="separate"/>
            </w:r>
            <w:r w:rsidRPr="003E79AE">
              <w:rPr>
                <w:webHidden/>
              </w:rPr>
              <w:t>5</w:t>
            </w:r>
            <w:r w:rsidRPr="003E79AE">
              <w:rPr>
                <w:webHidden/>
              </w:rPr>
              <w:fldChar w:fldCharType="end"/>
            </w:r>
          </w:hyperlink>
        </w:p>
        <w:p w:rsidR="003E79AE" w:rsidRPr="003E79AE" w:rsidRDefault="003E79AE" w:rsidP="003E79AE">
          <w:pPr>
            <w:pStyle w:val="TOC2"/>
            <w:rPr>
              <w:rFonts w:asciiTheme="minorHAnsi" w:eastAsiaTheme="minorEastAsia" w:hAnsiTheme="minorHAnsi"/>
              <w:szCs w:val="30"/>
              <w:lang w:eastAsia="en-GB" w:bidi="bn-BD"/>
            </w:rPr>
          </w:pPr>
          <w:hyperlink w:anchor="_Toc172837382" w:history="1">
            <w:r w:rsidRPr="003E79AE">
              <w:rPr>
                <w:rStyle w:val="Hyperlink"/>
                <w:color w:val="auto"/>
              </w:rPr>
              <w:t>Purchasing Power Parity (PPP) Theory</w:t>
            </w:r>
            <w:r w:rsidRPr="003E79AE">
              <w:rPr>
                <w:webHidden/>
              </w:rPr>
              <w:tab/>
            </w:r>
            <w:r w:rsidRPr="003E79AE">
              <w:rPr>
                <w:webHidden/>
              </w:rPr>
              <w:fldChar w:fldCharType="begin"/>
            </w:r>
            <w:r w:rsidRPr="003E79AE">
              <w:rPr>
                <w:webHidden/>
              </w:rPr>
              <w:instrText xml:space="preserve"> PAGEREF _Toc172837382 \h </w:instrText>
            </w:r>
            <w:r w:rsidRPr="003E79AE">
              <w:rPr>
                <w:webHidden/>
              </w:rPr>
            </w:r>
            <w:r w:rsidRPr="003E79AE">
              <w:rPr>
                <w:webHidden/>
              </w:rPr>
              <w:fldChar w:fldCharType="separate"/>
            </w:r>
            <w:r w:rsidRPr="003E79AE">
              <w:rPr>
                <w:webHidden/>
              </w:rPr>
              <w:t>5</w:t>
            </w:r>
            <w:r w:rsidRPr="003E79AE">
              <w:rPr>
                <w:webHidden/>
              </w:rPr>
              <w:fldChar w:fldCharType="end"/>
            </w:r>
          </w:hyperlink>
        </w:p>
        <w:p w:rsidR="003E79AE" w:rsidRPr="003E79AE" w:rsidRDefault="003E79AE" w:rsidP="003E79AE">
          <w:pPr>
            <w:pStyle w:val="TOC1"/>
            <w:rPr>
              <w:rFonts w:asciiTheme="minorHAnsi" w:eastAsiaTheme="minorEastAsia" w:hAnsiTheme="minorHAnsi"/>
              <w:szCs w:val="30"/>
              <w:lang w:eastAsia="en-GB" w:bidi="bn-BD"/>
            </w:rPr>
          </w:pPr>
          <w:hyperlink w:anchor="_Toc172837383" w:history="1">
            <w:r w:rsidRPr="003E79AE">
              <w:rPr>
                <w:rStyle w:val="Hyperlink"/>
                <w:color w:val="auto"/>
              </w:rPr>
              <w:t>Foreign Exchange Risk Management Strategies</w:t>
            </w:r>
            <w:r w:rsidRPr="003E79AE">
              <w:rPr>
                <w:webHidden/>
              </w:rPr>
              <w:tab/>
            </w:r>
            <w:r w:rsidRPr="003E79AE">
              <w:rPr>
                <w:webHidden/>
              </w:rPr>
              <w:fldChar w:fldCharType="begin"/>
            </w:r>
            <w:r w:rsidRPr="003E79AE">
              <w:rPr>
                <w:webHidden/>
              </w:rPr>
              <w:instrText xml:space="preserve"> PAGEREF _Toc172837383 \h </w:instrText>
            </w:r>
            <w:r w:rsidRPr="003E79AE">
              <w:rPr>
                <w:webHidden/>
              </w:rPr>
            </w:r>
            <w:r w:rsidRPr="003E79AE">
              <w:rPr>
                <w:webHidden/>
              </w:rPr>
              <w:fldChar w:fldCharType="separate"/>
            </w:r>
            <w:r w:rsidRPr="003E79AE">
              <w:rPr>
                <w:webHidden/>
              </w:rPr>
              <w:t>6</w:t>
            </w:r>
            <w:r w:rsidRPr="003E79AE">
              <w:rPr>
                <w:webHidden/>
              </w:rPr>
              <w:fldChar w:fldCharType="end"/>
            </w:r>
          </w:hyperlink>
        </w:p>
        <w:p w:rsidR="003E79AE" w:rsidRPr="003E79AE" w:rsidRDefault="003E79AE" w:rsidP="003E79AE">
          <w:pPr>
            <w:pStyle w:val="TOC2"/>
            <w:rPr>
              <w:rFonts w:asciiTheme="minorHAnsi" w:eastAsiaTheme="minorEastAsia" w:hAnsiTheme="minorHAnsi"/>
              <w:szCs w:val="30"/>
              <w:lang w:eastAsia="en-GB" w:bidi="bn-BD"/>
            </w:rPr>
          </w:pPr>
          <w:hyperlink w:anchor="_Toc172837384" w:history="1">
            <w:r w:rsidRPr="003E79AE">
              <w:rPr>
                <w:rStyle w:val="Hyperlink"/>
                <w:color w:val="auto"/>
              </w:rPr>
              <w:t>Hedging</w:t>
            </w:r>
            <w:r w:rsidRPr="003E79AE">
              <w:rPr>
                <w:webHidden/>
              </w:rPr>
              <w:tab/>
            </w:r>
            <w:r w:rsidRPr="003E79AE">
              <w:rPr>
                <w:webHidden/>
              </w:rPr>
              <w:fldChar w:fldCharType="begin"/>
            </w:r>
            <w:r w:rsidRPr="003E79AE">
              <w:rPr>
                <w:webHidden/>
              </w:rPr>
              <w:instrText xml:space="preserve"> PAGEREF _Toc172837384 \h </w:instrText>
            </w:r>
            <w:r w:rsidRPr="003E79AE">
              <w:rPr>
                <w:webHidden/>
              </w:rPr>
            </w:r>
            <w:r w:rsidRPr="003E79AE">
              <w:rPr>
                <w:webHidden/>
              </w:rPr>
              <w:fldChar w:fldCharType="separate"/>
            </w:r>
            <w:r w:rsidRPr="003E79AE">
              <w:rPr>
                <w:webHidden/>
              </w:rPr>
              <w:t>6</w:t>
            </w:r>
            <w:r w:rsidRPr="003E79AE">
              <w:rPr>
                <w:webHidden/>
              </w:rPr>
              <w:fldChar w:fldCharType="end"/>
            </w:r>
          </w:hyperlink>
        </w:p>
        <w:p w:rsidR="003E79AE" w:rsidRPr="003E79AE" w:rsidRDefault="003E79AE" w:rsidP="003E79AE">
          <w:pPr>
            <w:pStyle w:val="TOC2"/>
            <w:rPr>
              <w:rFonts w:asciiTheme="minorHAnsi" w:eastAsiaTheme="minorEastAsia" w:hAnsiTheme="minorHAnsi"/>
              <w:szCs w:val="30"/>
              <w:lang w:eastAsia="en-GB" w:bidi="bn-BD"/>
            </w:rPr>
          </w:pPr>
          <w:hyperlink w:anchor="_Toc172837385" w:history="1">
            <w:r w:rsidRPr="003E79AE">
              <w:rPr>
                <w:rStyle w:val="Hyperlink"/>
                <w:color w:val="auto"/>
              </w:rPr>
              <w:t>Currency Portfolio Diversification</w:t>
            </w:r>
            <w:r w:rsidRPr="003E79AE">
              <w:rPr>
                <w:webHidden/>
              </w:rPr>
              <w:tab/>
            </w:r>
            <w:r w:rsidRPr="003E79AE">
              <w:rPr>
                <w:webHidden/>
              </w:rPr>
              <w:fldChar w:fldCharType="begin"/>
            </w:r>
            <w:r w:rsidRPr="003E79AE">
              <w:rPr>
                <w:webHidden/>
              </w:rPr>
              <w:instrText xml:space="preserve"> PAGEREF _Toc172837385 \h </w:instrText>
            </w:r>
            <w:r w:rsidRPr="003E79AE">
              <w:rPr>
                <w:webHidden/>
              </w:rPr>
            </w:r>
            <w:r w:rsidRPr="003E79AE">
              <w:rPr>
                <w:webHidden/>
              </w:rPr>
              <w:fldChar w:fldCharType="separate"/>
            </w:r>
            <w:r w:rsidRPr="003E79AE">
              <w:rPr>
                <w:webHidden/>
              </w:rPr>
              <w:t>7</w:t>
            </w:r>
            <w:r w:rsidRPr="003E79AE">
              <w:rPr>
                <w:webHidden/>
              </w:rPr>
              <w:fldChar w:fldCharType="end"/>
            </w:r>
          </w:hyperlink>
        </w:p>
        <w:p w:rsidR="003E79AE" w:rsidRPr="003E79AE" w:rsidRDefault="003E79AE" w:rsidP="003E79AE">
          <w:pPr>
            <w:pStyle w:val="TOC1"/>
            <w:rPr>
              <w:rFonts w:asciiTheme="minorHAnsi" w:eastAsiaTheme="minorEastAsia" w:hAnsiTheme="minorHAnsi"/>
              <w:szCs w:val="30"/>
              <w:lang w:eastAsia="en-GB" w:bidi="bn-BD"/>
            </w:rPr>
          </w:pPr>
          <w:hyperlink w:anchor="_Toc172837386" w:history="1">
            <w:r w:rsidRPr="003E79AE">
              <w:rPr>
                <w:rStyle w:val="Hyperlink"/>
                <w:color w:val="auto"/>
              </w:rPr>
              <w:t>Conclusion</w:t>
            </w:r>
            <w:r w:rsidRPr="003E79AE">
              <w:rPr>
                <w:webHidden/>
              </w:rPr>
              <w:tab/>
            </w:r>
            <w:r w:rsidRPr="003E79AE">
              <w:rPr>
                <w:webHidden/>
              </w:rPr>
              <w:fldChar w:fldCharType="begin"/>
            </w:r>
            <w:r w:rsidRPr="003E79AE">
              <w:rPr>
                <w:webHidden/>
              </w:rPr>
              <w:instrText xml:space="preserve"> PAGEREF _Toc172837386 \h </w:instrText>
            </w:r>
            <w:r w:rsidRPr="003E79AE">
              <w:rPr>
                <w:webHidden/>
              </w:rPr>
            </w:r>
            <w:r w:rsidRPr="003E79AE">
              <w:rPr>
                <w:webHidden/>
              </w:rPr>
              <w:fldChar w:fldCharType="separate"/>
            </w:r>
            <w:r w:rsidRPr="003E79AE">
              <w:rPr>
                <w:webHidden/>
              </w:rPr>
              <w:t>8</w:t>
            </w:r>
            <w:r w:rsidRPr="003E79AE">
              <w:rPr>
                <w:webHidden/>
              </w:rPr>
              <w:fldChar w:fldCharType="end"/>
            </w:r>
          </w:hyperlink>
        </w:p>
        <w:p w:rsidR="003E79AE" w:rsidRPr="003E79AE" w:rsidRDefault="003E79AE" w:rsidP="003E79AE">
          <w:pPr>
            <w:pStyle w:val="TOC1"/>
            <w:rPr>
              <w:rFonts w:asciiTheme="minorHAnsi" w:eastAsiaTheme="minorEastAsia" w:hAnsiTheme="minorHAnsi"/>
              <w:szCs w:val="30"/>
              <w:lang w:eastAsia="en-GB" w:bidi="bn-BD"/>
            </w:rPr>
          </w:pPr>
          <w:hyperlink w:anchor="_Toc172837387" w:history="1">
            <w:r w:rsidRPr="003E79AE">
              <w:rPr>
                <w:rStyle w:val="Hyperlink"/>
                <w:color w:val="auto"/>
              </w:rPr>
              <w:t>References</w:t>
            </w:r>
            <w:r w:rsidRPr="003E79AE">
              <w:rPr>
                <w:webHidden/>
              </w:rPr>
              <w:tab/>
            </w:r>
            <w:r w:rsidRPr="003E79AE">
              <w:rPr>
                <w:webHidden/>
              </w:rPr>
              <w:fldChar w:fldCharType="begin"/>
            </w:r>
            <w:r w:rsidRPr="003E79AE">
              <w:rPr>
                <w:webHidden/>
              </w:rPr>
              <w:instrText xml:space="preserve"> PAGEREF _Toc172837387 \h </w:instrText>
            </w:r>
            <w:r w:rsidRPr="003E79AE">
              <w:rPr>
                <w:webHidden/>
              </w:rPr>
            </w:r>
            <w:r w:rsidRPr="003E79AE">
              <w:rPr>
                <w:webHidden/>
              </w:rPr>
              <w:fldChar w:fldCharType="separate"/>
            </w:r>
            <w:r w:rsidRPr="003E79AE">
              <w:rPr>
                <w:webHidden/>
              </w:rPr>
              <w:t>9</w:t>
            </w:r>
            <w:r w:rsidRPr="003E79AE">
              <w:rPr>
                <w:webHidden/>
              </w:rPr>
              <w:fldChar w:fldCharType="end"/>
            </w:r>
          </w:hyperlink>
        </w:p>
        <w:p w:rsidR="003E79AE" w:rsidRDefault="003E79AE" w:rsidP="003E79AE">
          <w:pPr>
            <w:spacing w:before="240" w:after="160" w:line="360" w:lineRule="auto"/>
            <w:jc w:val="both"/>
            <w:rPr>
              <w:b/>
              <w:bCs/>
              <w:noProof/>
            </w:rPr>
          </w:pPr>
          <w:r>
            <w:rPr>
              <w:b/>
              <w:bCs/>
              <w:noProof/>
            </w:rPr>
            <w:fldChar w:fldCharType="end"/>
          </w:r>
        </w:p>
      </w:sdtContent>
    </w:sdt>
    <w:p w:rsidR="0045217B" w:rsidRDefault="003E79AE">
      <w:pPr>
        <w:rPr>
          <w:b/>
          <w:sz w:val="44"/>
          <w:szCs w:val="44"/>
          <w:lang w:val="en-GB"/>
        </w:rPr>
      </w:pPr>
      <w:r>
        <w:rPr>
          <w:b/>
          <w:sz w:val="44"/>
          <w:szCs w:val="44"/>
          <w:lang w:val="en-GB"/>
        </w:rPr>
        <w:t xml:space="preserve"> </w:t>
      </w:r>
    </w:p>
    <w:p w:rsidR="003E79AE" w:rsidRDefault="003E79AE">
      <w:pPr>
        <w:rPr>
          <w:b/>
          <w:sz w:val="44"/>
          <w:szCs w:val="44"/>
          <w:lang w:val="en-GB"/>
        </w:rPr>
      </w:pPr>
    </w:p>
    <w:p w:rsidR="003E79AE" w:rsidRDefault="003E79AE" w:rsidP="003E79AE">
      <w:pPr>
        <w:pStyle w:val="Heading1"/>
        <w:rPr>
          <w:color w:val="auto"/>
          <w:sz w:val="36"/>
          <w:szCs w:val="36"/>
          <w:lang w:val="en-GB"/>
        </w:rPr>
      </w:pPr>
      <w:bookmarkStart w:id="0" w:name="_Toc172837374"/>
      <w:bookmarkStart w:id="1" w:name="_Hlk172828644"/>
      <w:r w:rsidRPr="003E79AE">
        <w:rPr>
          <w:color w:val="auto"/>
          <w:sz w:val="36"/>
          <w:szCs w:val="36"/>
        </w:rPr>
        <w:t>Introduction</w:t>
      </w:r>
      <w:bookmarkEnd w:id="0"/>
    </w:p>
    <w:p w:rsidR="003E79AE" w:rsidRPr="003E79AE" w:rsidRDefault="003E79AE" w:rsidP="003E79AE">
      <w:pPr>
        <w:rPr>
          <w:lang w:val="en-GB"/>
        </w:rPr>
      </w:pPr>
    </w:p>
    <w:p w:rsidR="003E79AE" w:rsidRPr="00F300D7" w:rsidRDefault="003E79AE" w:rsidP="003E79AE">
      <w:pPr>
        <w:rPr>
          <w:lang w:val="en-US"/>
        </w:rPr>
      </w:pPr>
      <w:r w:rsidRPr="00F300D7">
        <w:rPr>
          <w:lang w:val="en-US"/>
        </w:rPr>
        <w:t xml:space="preserve">Foreign exchange risk or currency risk refers to the risk that emerges due to the change in the exchange rate between two currencies. This risk is particularly dear for MNCs because of the divergence in operations across numerous nations and the management of varied monetary values. Over management of foreign exchange risk should be closely studied as it directly affects the overall finance and success of every firm. </w:t>
      </w:r>
    </w:p>
    <w:p w:rsidR="003E79AE" w:rsidRDefault="003E79AE" w:rsidP="003E79AE">
      <w:pPr>
        <w:pStyle w:val="Heading1"/>
        <w:rPr>
          <w:color w:val="auto"/>
          <w:lang w:val="en-GB"/>
        </w:rPr>
      </w:pPr>
      <w:bookmarkStart w:id="2" w:name="_Toc172837375"/>
      <w:r w:rsidRPr="003E79AE">
        <w:rPr>
          <w:color w:val="auto"/>
        </w:rPr>
        <w:t>MNCs and Foreign Exchange Risks</w:t>
      </w:r>
      <w:bookmarkEnd w:id="2"/>
    </w:p>
    <w:p w:rsidR="003E79AE" w:rsidRPr="003E79AE" w:rsidRDefault="003E79AE" w:rsidP="003E79AE">
      <w:pPr>
        <w:rPr>
          <w:lang w:val="en-GB"/>
        </w:rPr>
      </w:pPr>
    </w:p>
    <w:p w:rsidR="003E79AE" w:rsidRDefault="003E79AE" w:rsidP="003E79AE">
      <w:pPr>
        <w:rPr>
          <w:b/>
        </w:rPr>
      </w:pPr>
      <w:r w:rsidRPr="00077251">
        <w:t xml:space="preserve">Different international exchange risks are unavoidable in operation for MNCs as an impact of globalisation. The first major category of foreign exchange risks is transaction risks and then </w:t>
      </w:r>
      <w:r>
        <w:t xml:space="preserve">they </w:t>
      </w:r>
      <w:r w:rsidRPr="00077251">
        <w:t>have the translation risks and lastly the economic risks (Madura and Fox, 2011).</w:t>
      </w:r>
    </w:p>
    <w:p w:rsidR="003E79AE" w:rsidRPr="000124E2" w:rsidRDefault="003E79AE" w:rsidP="003E79AE">
      <w:pPr>
        <w:pStyle w:val="Heading2"/>
      </w:pPr>
      <w:bookmarkStart w:id="3" w:name="_Toc172837376"/>
      <w:r w:rsidRPr="000124E2">
        <w:t>Transaction Risk</w:t>
      </w:r>
      <w:bookmarkEnd w:id="3"/>
    </w:p>
    <w:p w:rsidR="003E79AE" w:rsidRPr="003C6D9C" w:rsidRDefault="003E79AE" w:rsidP="003E79AE">
      <w:pPr>
        <w:rPr>
          <w:lang w:val="en-US"/>
        </w:rPr>
      </w:pPr>
      <w:r w:rsidRPr="003C6D9C">
        <w:rPr>
          <w:lang w:val="en-US"/>
        </w:rPr>
        <w:t xml:space="preserve">Transaction Risk deals with the sensitivity of a firm’s financial transactions with fluctuations in exchange rates. This risk happens when a firm is participating in international business. It has receivables or payables in foreign currency. For instance, an America-based </w:t>
      </w:r>
      <w:proofErr w:type="spellStart"/>
      <w:r w:rsidRPr="003C6D9C">
        <w:rPr>
          <w:lang w:val="en-US"/>
        </w:rPr>
        <w:t>organisation</w:t>
      </w:r>
      <w:proofErr w:type="spellEnd"/>
      <w:r w:rsidRPr="003C6D9C">
        <w:rPr>
          <w:lang w:val="en-US"/>
        </w:rPr>
        <w:t xml:space="preserve"> sells its products to a firm in Europe and is paid in </w:t>
      </w:r>
      <w:proofErr w:type="spellStart"/>
      <w:r w:rsidRPr="003C6D9C">
        <w:rPr>
          <w:lang w:val="en-US"/>
        </w:rPr>
        <w:t>euros</w:t>
      </w:r>
      <w:proofErr w:type="spellEnd"/>
      <w:r w:rsidRPr="003C6D9C">
        <w:rPr>
          <w:lang w:val="en-US"/>
        </w:rPr>
        <w:t xml:space="preserve">; as a result of </w:t>
      </w:r>
      <w:proofErr w:type="gramStart"/>
      <w:r w:rsidRPr="003C6D9C">
        <w:rPr>
          <w:lang w:val="en-US"/>
        </w:rPr>
        <w:t>a depreciation</w:t>
      </w:r>
      <w:proofErr w:type="gramEnd"/>
      <w:r w:rsidRPr="003C6D9C">
        <w:rPr>
          <w:lang w:val="en-US"/>
        </w:rPr>
        <w:t xml:space="preserve"> in the value of </w:t>
      </w:r>
      <w:proofErr w:type="spellStart"/>
      <w:r w:rsidRPr="003C6D9C">
        <w:rPr>
          <w:lang w:val="en-US"/>
        </w:rPr>
        <w:t>euros</w:t>
      </w:r>
      <w:proofErr w:type="spellEnd"/>
      <w:r w:rsidRPr="003C6D9C">
        <w:rPr>
          <w:lang w:val="en-US"/>
        </w:rPr>
        <w:t xml:space="preserve"> before the transaction is cleared, the receivables will be less in dollar worth. This risk is frequently addressed by MNCs through the use of hedging instruments such as forward contracts, and options among others (</w:t>
      </w:r>
      <w:proofErr w:type="spellStart"/>
      <w:r w:rsidRPr="003C6D9C">
        <w:rPr>
          <w:lang w:val="en-US"/>
        </w:rPr>
        <w:t>Bekaert</w:t>
      </w:r>
      <w:proofErr w:type="spellEnd"/>
      <w:r w:rsidRPr="003C6D9C">
        <w:rPr>
          <w:lang w:val="en-US"/>
        </w:rPr>
        <w:t xml:space="preserve"> and </w:t>
      </w:r>
      <w:proofErr w:type="spellStart"/>
      <w:r w:rsidRPr="003C6D9C">
        <w:rPr>
          <w:lang w:val="en-US"/>
        </w:rPr>
        <w:t>Hodrick</w:t>
      </w:r>
      <w:proofErr w:type="spellEnd"/>
      <w:r w:rsidRPr="003C6D9C">
        <w:rPr>
          <w:lang w:val="en-US"/>
        </w:rPr>
        <w:t>, 2012).</w:t>
      </w:r>
    </w:p>
    <w:p w:rsidR="003E79AE" w:rsidRPr="00757E21" w:rsidRDefault="003E79AE" w:rsidP="003E79AE">
      <w:pPr>
        <w:pStyle w:val="Heading2"/>
      </w:pPr>
      <w:bookmarkStart w:id="4" w:name="_Toc172837377"/>
      <w:r w:rsidRPr="005840C2">
        <w:t>Translation Risk</w:t>
      </w:r>
      <w:bookmarkEnd w:id="4"/>
    </w:p>
    <w:p w:rsidR="003E79AE" w:rsidRPr="001F43DD" w:rsidRDefault="003E79AE" w:rsidP="003E79AE">
      <w:pPr>
        <w:rPr>
          <w:lang w:val="en-US"/>
        </w:rPr>
      </w:pPr>
      <w:r w:rsidRPr="001F43DD">
        <w:rPr>
          <w:lang w:val="en-US"/>
        </w:rPr>
        <w:t>Translation Risk also known as accounting exposure happens when consolidated financial statements of a foreign subsidiary are prepared alongside those of the parent firm. Fluctuations in exchange rates may have an impact on the value of overseas operations of a firm and also impact on converting amounts into a common foreign currency hence modifying the earnings (Al-</w:t>
      </w:r>
      <w:proofErr w:type="spellStart"/>
      <w:r w:rsidRPr="001F43DD">
        <w:rPr>
          <w:lang w:val="en-US"/>
        </w:rPr>
        <w:t>Zyoud</w:t>
      </w:r>
      <w:proofErr w:type="spellEnd"/>
      <w:r w:rsidRPr="001F43DD">
        <w:rPr>
          <w:lang w:val="en-US"/>
        </w:rPr>
        <w:t xml:space="preserve">, 2015). For instance, if a European subsidiary of an American corporation has an investment in </w:t>
      </w:r>
      <w:proofErr w:type="spellStart"/>
      <w:r w:rsidRPr="001F43DD">
        <w:rPr>
          <w:lang w:val="en-US"/>
        </w:rPr>
        <w:t>euros</w:t>
      </w:r>
      <w:proofErr w:type="spellEnd"/>
      <w:r w:rsidRPr="001F43DD">
        <w:rPr>
          <w:lang w:val="en-US"/>
        </w:rPr>
        <w:t>, then a poor dollar euro ranking directly results in reduced dollar worth of these investments. International translations are controlled through foreign exchange and other methods such as balance sheet hedges (Shapiro, 2010).</w:t>
      </w:r>
    </w:p>
    <w:p w:rsidR="003E79AE" w:rsidRPr="00757E21" w:rsidRDefault="003E79AE" w:rsidP="003E79AE">
      <w:pPr>
        <w:pStyle w:val="Heading2"/>
      </w:pPr>
      <w:bookmarkStart w:id="5" w:name="_Toc172837378"/>
      <w:r w:rsidRPr="005840C2">
        <w:t>Economic Risk</w:t>
      </w:r>
      <w:bookmarkEnd w:id="5"/>
    </w:p>
    <w:p w:rsidR="003E79AE" w:rsidRPr="001F43DD" w:rsidRDefault="003E79AE" w:rsidP="003E79AE">
      <w:pPr>
        <w:rPr>
          <w:lang w:val="en-US"/>
        </w:rPr>
      </w:pPr>
      <w:r w:rsidRPr="001F43DD">
        <w:rPr>
          <w:lang w:val="en-US"/>
        </w:rPr>
        <w:t>Economic risk has to do with the effects on the future cash flows and market value of the firm stemming from the changes in exchange rates. This risk is related to the firm’s competitiveness and its capacity to produce profits in a given number of operations. For instance, if a Japanese vehicle manufacturing firm is selling automobiles in the United States, and its currency has risen against the dollar, Japanese autos are more expensive than domestically produced cars consequently, less sales. Economic risk difficulties of MNCs require diversification of production areas, and some companies, to alleviate this issue, employ elements such as changes in the price of commodities. Therefore, MNCS need to understand and address such risks to ensure firm stability and the attainment of strategic objectives.</w:t>
      </w:r>
    </w:p>
    <w:p w:rsidR="003E79AE" w:rsidRDefault="003E79AE" w:rsidP="003E79AE">
      <w:pPr>
        <w:pStyle w:val="Heading1"/>
        <w:rPr>
          <w:color w:val="auto"/>
          <w:lang w:val="en-GB"/>
        </w:rPr>
      </w:pPr>
      <w:bookmarkStart w:id="6" w:name="_Toc172837379"/>
      <w:r w:rsidRPr="003E79AE">
        <w:rPr>
          <w:color w:val="auto"/>
        </w:rPr>
        <w:t>International Financial Management Theories and Foreign Exchange Risk Management</w:t>
      </w:r>
      <w:bookmarkEnd w:id="6"/>
    </w:p>
    <w:p w:rsidR="003E79AE" w:rsidRPr="003E79AE" w:rsidRDefault="003E79AE" w:rsidP="003E79AE">
      <w:pPr>
        <w:rPr>
          <w:lang w:val="en-GB"/>
        </w:rPr>
      </w:pPr>
    </w:p>
    <w:p w:rsidR="003E79AE" w:rsidRDefault="003E79AE" w:rsidP="003E79AE">
      <w:r w:rsidRPr="00DD1DB4">
        <w:t>MNCs various concepts of international financial management to minimi</w:t>
      </w:r>
      <w:r>
        <w:t>s</w:t>
      </w:r>
      <w:r w:rsidRPr="00DD1DB4">
        <w:t xml:space="preserve">e their vulnerability to foreign exchange risks. Some theories include the Interest Rate Parity (IRP), Purchasing Power Parity (PPP) and </w:t>
      </w:r>
      <w:r>
        <w:t xml:space="preserve">the </w:t>
      </w:r>
      <w:r w:rsidRPr="00DD1DB4">
        <w:t>Fisher effect (Eun, Resnick, and Sabherwal, 2012).</w:t>
      </w:r>
    </w:p>
    <w:p w:rsidR="003E79AE" w:rsidRDefault="003E79AE" w:rsidP="003E79AE">
      <w:pPr>
        <w:pStyle w:val="Heading2"/>
      </w:pPr>
      <w:bookmarkStart w:id="7" w:name="_Toc172837380"/>
      <w:r w:rsidRPr="00C27088">
        <w:t>Fisher Effect</w:t>
      </w:r>
      <w:bookmarkEnd w:id="7"/>
    </w:p>
    <w:p w:rsidR="003E79AE" w:rsidRPr="00923CD4" w:rsidRDefault="003E79AE" w:rsidP="003E79AE">
      <w:pPr>
        <w:rPr>
          <w:lang w:val="en-US"/>
        </w:rPr>
      </w:pPr>
      <w:r w:rsidRPr="00923CD4">
        <w:rPr>
          <w:lang w:val="en-US"/>
        </w:rPr>
        <w:t xml:space="preserve">The idea of the Fisher Effect incorporates nominal interest rates, real interest rates and forecast inflation rates. According to this idea, both nominal and realistic interest rate is </w:t>
      </w:r>
      <w:r w:rsidRPr="00C76AF1">
        <w:rPr>
          <w:lang w:val="en-US"/>
        </w:rPr>
        <w:t xml:space="preserve">defined as </w:t>
      </w:r>
      <w:r>
        <w:rPr>
          <w:lang w:val="en-US"/>
        </w:rPr>
        <w:t>r</w:t>
      </w:r>
      <w:r w:rsidRPr="00C76AF1">
        <w:rPr>
          <w:lang w:val="en-US"/>
        </w:rPr>
        <w:t xml:space="preserve">eal interest </w:t>
      </w:r>
      <w:r>
        <w:rPr>
          <w:lang w:val="en-US"/>
        </w:rPr>
        <w:t>rates</w:t>
      </w:r>
      <w:r w:rsidRPr="00C76AF1">
        <w:rPr>
          <w:lang w:val="en-US"/>
        </w:rPr>
        <w:t xml:space="preserve"> plus </w:t>
      </w:r>
      <w:r>
        <w:rPr>
          <w:lang w:val="en-US"/>
        </w:rPr>
        <w:t xml:space="preserve">the </w:t>
      </w:r>
      <w:r w:rsidRPr="00C76AF1">
        <w:rPr>
          <w:lang w:val="en-US"/>
        </w:rPr>
        <w:t xml:space="preserve">expected rate of inflation in a particular country. For example, when the actual rate of interest is 2% and the anticipated inflation rate </w:t>
      </w:r>
      <w:r>
        <w:rPr>
          <w:lang w:val="en-US"/>
        </w:rPr>
        <w:t xml:space="preserve">is </w:t>
      </w:r>
      <w:r w:rsidRPr="00C76AF1">
        <w:rPr>
          <w:lang w:val="en-US"/>
        </w:rPr>
        <w:t xml:space="preserve">3% then the actual rate of interest is 5% Nominal rate of interest. When it comes to the interface of </w:t>
      </w:r>
      <w:proofErr w:type="spellStart"/>
      <w:r w:rsidRPr="00C76AF1">
        <w:rPr>
          <w:lang w:val="en-US"/>
        </w:rPr>
        <w:t>inflation</w:t>
      </w:r>
      <w:proofErr w:type="gramStart"/>
      <w:r w:rsidRPr="00C76AF1">
        <w:rPr>
          <w:lang w:val="en-US"/>
        </w:rPr>
        <w:t>,interest</w:t>
      </w:r>
      <w:proofErr w:type="spellEnd"/>
      <w:proofErr w:type="gramEnd"/>
      <w:r w:rsidRPr="00C76AF1">
        <w:rPr>
          <w:lang w:val="en-US"/>
        </w:rPr>
        <w:t xml:space="preserve"> rates, and exchange rates, the Fisher Effect is </w:t>
      </w:r>
      <w:r>
        <w:rPr>
          <w:lang w:val="en-US"/>
        </w:rPr>
        <w:t>used</w:t>
      </w:r>
      <w:r w:rsidRPr="00C76AF1">
        <w:rPr>
          <w:lang w:val="en-US"/>
        </w:rPr>
        <w:t xml:space="preserve"> with MNCs to make its </w:t>
      </w:r>
      <w:proofErr w:type="spellStart"/>
      <w:r w:rsidRPr="00C76AF1">
        <w:rPr>
          <w:lang w:val="en-US"/>
        </w:rPr>
        <w:t>calculation.</w:t>
      </w:r>
      <w:r w:rsidRPr="00EE5E4A">
        <w:rPr>
          <w:lang w:val="en-US"/>
        </w:rPr>
        <w:t>Therefore</w:t>
      </w:r>
      <w:proofErr w:type="spellEnd"/>
      <w:r w:rsidRPr="00EE5E4A">
        <w:rPr>
          <w:lang w:val="en-US"/>
        </w:rPr>
        <w:t xml:space="preserve">, understanding this link holds significance in directing </w:t>
      </w:r>
      <w:proofErr w:type="spellStart"/>
      <w:r w:rsidRPr="00EE5E4A">
        <w:rPr>
          <w:lang w:val="en-US"/>
        </w:rPr>
        <w:t>organisations</w:t>
      </w:r>
      <w:proofErr w:type="spellEnd"/>
      <w:r w:rsidRPr="00EE5E4A">
        <w:rPr>
          <w:lang w:val="en-US"/>
        </w:rPr>
        <w:t xml:space="preserve"> on the proper finance and investment decisions notably under conditions of inflation and interest rate increases. This is beneficial in dealing with economic risk since the income gained from offshore investments is shielded from being lost by inflation (</w:t>
      </w:r>
      <w:proofErr w:type="spellStart"/>
      <w:r w:rsidRPr="00EE5E4A">
        <w:rPr>
          <w:lang w:val="en-US"/>
        </w:rPr>
        <w:t>Murad</w:t>
      </w:r>
      <w:proofErr w:type="spellEnd"/>
      <w:r w:rsidRPr="00EE5E4A">
        <w:rPr>
          <w:lang w:val="en-US"/>
        </w:rPr>
        <w:t xml:space="preserve"> and </w:t>
      </w:r>
      <w:proofErr w:type="spellStart"/>
      <w:r w:rsidRPr="00EE5E4A">
        <w:rPr>
          <w:lang w:val="en-US"/>
        </w:rPr>
        <w:t>Hossain</w:t>
      </w:r>
      <w:proofErr w:type="spellEnd"/>
      <w:r w:rsidRPr="00EE5E4A">
        <w:rPr>
          <w:lang w:val="en-US"/>
        </w:rPr>
        <w:t xml:space="preserve">, 2018). </w:t>
      </w:r>
    </w:p>
    <w:p w:rsidR="003E79AE" w:rsidRPr="00CA2501" w:rsidRDefault="003E79AE" w:rsidP="003E79AE">
      <w:pPr>
        <w:rPr>
          <w:lang w:val="en-US"/>
        </w:rPr>
      </w:pPr>
      <w:r w:rsidRPr="00EE5E4A">
        <w:rPr>
          <w:lang w:val="en-US"/>
        </w:rPr>
        <w:t xml:space="preserve">MNCs can </w:t>
      </w:r>
      <w:proofErr w:type="spellStart"/>
      <w:r w:rsidRPr="00EE5E4A">
        <w:rPr>
          <w:lang w:val="en-US"/>
        </w:rPr>
        <w:t>utilise</w:t>
      </w:r>
      <w:proofErr w:type="spellEnd"/>
      <w:r w:rsidRPr="00EE5E4A">
        <w:rPr>
          <w:lang w:val="en-US"/>
        </w:rPr>
        <w:t xml:space="preserve"> approaches like the IRP, PPP, and Fisher Effect to study variations in currency rates and inflation. These theories assist MNCs in designing transaction, translation, and economic risk hedging methods to improve financial resilience and manage for value.</w:t>
      </w:r>
    </w:p>
    <w:p w:rsidR="003E79AE" w:rsidRPr="00C27088" w:rsidRDefault="003E79AE" w:rsidP="003E79AE">
      <w:pPr>
        <w:pStyle w:val="Heading2"/>
      </w:pPr>
      <w:bookmarkStart w:id="8" w:name="_Toc172837381"/>
      <w:r w:rsidRPr="00C27088">
        <w:t>Interest Rate Parity (IRP) Theory</w:t>
      </w:r>
      <w:bookmarkEnd w:id="8"/>
    </w:p>
    <w:p w:rsidR="003E79AE" w:rsidRPr="002858FA" w:rsidRDefault="003E79AE" w:rsidP="003E79AE">
      <w:pPr>
        <w:rPr>
          <w:lang w:val="en-US"/>
        </w:rPr>
      </w:pPr>
      <w:r w:rsidRPr="002858FA">
        <w:rPr>
          <w:lang w:val="en-US"/>
        </w:rPr>
        <w:t xml:space="preserve">Interest Rate Parity (IRP) theory declares that the divergence in the interest rates of two countries corresponds to the differential between the forward exchange rate and the exchange rate at the moment. </w:t>
      </w:r>
      <w:r w:rsidRPr="000E3585">
        <w:rPr>
          <w:lang w:val="en-US"/>
        </w:rPr>
        <w:t xml:space="preserve">This theory predicts that the differences in interest rates between countries would shrink and forward and spot rates will be comparable (Buckley, 2011). For example, if interest rates in the U.S. are higher than those in the </w:t>
      </w:r>
      <w:proofErr w:type="spellStart"/>
      <w:r w:rsidRPr="000E3585">
        <w:rPr>
          <w:lang w:val="en-US"/>
        </w:rPr>
        <w:t>Eurozone</w:t>
      </w:r>
      <w:proofErr w:type="spellEnd"/>
      <w:r w:rsidRPr="000E3585">
        <w:rPr>
          <w:lang w:val="en-US"/>
        </w:rPr>
        <w:t xml:space="preserve">, the forward price of the dollar should be less than that of the euro to discourage arbitrage. It is the fundamental process via which MNCs perform their hedging activities notably in forward hedges whereby the cost of hedging is directly connected to the predicted future exchange rates. </w:t>
      </w:r>
      <w:proofErr w:type="gramStart"/>
      <w:r w:rsidRPr="000E3585">
        <w:rPr>
          <w:lang w:val="en-US"/>
        </w:rPr>
        <w:t>This way corporations</w:t>
      </w:r>
      <w:proofErr w:type="gramEnd"/>
      <w:r w:rsidRPr="000E3585">
        <w:rPr>
          <w:lang w:val="en-US"/>
        </w:rPr>
        <w:t xml:space="preserve"> can acquire future exchange rates that are adjusted for the differential in the interest rates thereby lowering the transaction risk.</w:t>
      </w:r>
    </w:p>
    <w:p w:rsidR="003E79AE" w:rsidRDefault="003E79AE" w:rsidP="003E79AE">
      <w:pPr>
        <w:pStyle w:val="Heading2"/>
      </w:pPr>
      <w:bookmarkStart w:id="9" w:name="_Toc172837382"/>
      <w:r w:rsidRPr="00C27088">
        <w:t>Purchasing Power Parity (PPP) Theory</w:t>
      </w:r>
      <w:bookmarkEnd w:id="9"/>
    </w:p>
    <w:p w:rsidR="003E79AE" w:rsidRPr="002858FA" w:rsidRDefault="003E79AE" w:rsidP="003E79AE">
      <w:pPr>
        <w:rPr>
          <w:rFonts w:eastAsia="Times New Roman" w:cs="Times New Roman"/>
          <w:szCs w:val="24"/>
          <w:lang w:val="en-US"/>
        </w:rPr>
      </w:pPr>
      <w:r w:rsidRPr="002858FA">
        <w:rPr>
          <w:rFonts w:eastAsia="Times New Roman" w:cs="Times New Roman"/>
          <w:szCs w:val="24"/>
          <w:lang w:val="en-US"/>
        </w:rPr>
        <w:t xml:space="preserve">PPP Theory predicts that in the long run, rates of exchange will </w:t>
      </w:r>
      <w:r w:rsidRPr="00111C45">
        <w:rPr>
          <w:lang w:val="en-US"/>
        </w:rPr>
        <w:t>reflect relative pricing levels of equivalent goods and services in two distinct countries. This theory works under the assumption provided in the law of one price that points out that products should cost the same regardless of the currencies used for the pricing (</w:t>
      </w:r>
      <w:proofErr w:type="spellStart"/>
      <w:r w:rsidRPr="00111C45">
        <w:rPr>
          <w:lang w:val="en-US"/>
        </w:rPr>
        <w:t>Stiglitz</w:t>
      </w:r>
      <w:proofErr w:type="spellEnd"/>
      <w:r w:rsidRPr="00111C45">
        <w:rPr>
          <w:lang w:val="en-US"/>
        </w:rPr>
        <w:t>, 2002). For instance, if the inflation rates are larger in America than in Japan then the dollar ought to drop the value of yen to obtain the same purchasing power. By implementing PPP, MNCs may foresee future changes in exchange rates and identify economic risks. Hence, knowledge of the predicted changes in exchange rates due to inflat</w:t>
      </w:r>
      <w:r>
        <w:rPr>
          <w:lang w:val="en-US"/>
        </w:rPr>
        <w:t>ion disparity will allow organiz</w:t>
      </w:r>
      <w:r w:rsidRPr="00111C45">
        <w:rPr>
          <w:lang w:val="en-US"/>
        </w:rPr>
        <w:t>ations to make proper decisions in terms of pricing, buying and investment.</w:t>
      </w:r>
    </w:p>
    <w:p w:rsidR="003E79AE" w:rsidRDefault="003E79AE" w:rsidP="003E79AE">
      <w:pPr>
        <w:pStyle w:val="Heading1"/>
        <w:rPr>
          <w:color w:val="auto"/>
          <w:lang w:val="en-GB"/>
        </w:rPr>
      </w:pPr>
      <w:bookmarkStart w:id="10" w:name="_Toc172837383"/>
      <w:r w:rsidRPr="003E79AE">
        <w:rPr>
          <w:color w:val="auto"/>
        </w:rPr>
        <w:t>Foreign Exchange Risk Management Strategies</w:t>
      </w:r>
      <w:bookmarkEnd w:id="10"/>
    </w:p>
    <w:p w:rsidR="003E79AE" w:rsidRPr="003E79AE" w:rsidRDefault="003E79AE" w:rsidP="003E79AE">
      <w:pPr>
        <w:rPr>
          <w:lang w:val="en-GB"/>
        </w:rPr>
      </w:pPr>
    </w:p>
    <w:p w:rsidR="003E79AE" w:rsidRDefault="003E79AE" w:rsidP="003E79AE">
      <w:pPr>
        <w:rPr>
          <w:b/>
        </w:rPr>
      </w:pPr>
      <w:r w:rsidRPr="0031390A">
        <w:t>Foreign exchange risk is more significant for MNCs as these corporations conduct business in many countries across the globe (Nirmali and Rajapakse, 2016). To counter these risks, they use hedging and currency diversification portfolios. Necessary to note that all these techniques help to preserve cash flow, maintain profit levels, and provide more financial security for a corporation.</w:t>
      </w:r>
    </w:p>
    <w:p w:rsidR="003E79AE" w:rsidRDefault="003E79AE" w:rsidP="003E79AE">
      <w:pPr>
        <w:pStyle w:val="Heading2"/>
      </w:pPr>
      <w:bookmarkStart w:id="11" w:name="_Toc172837384"/>
      <w:r>
        <w:t>Hedging</w:t>
      </w:r>
      <w:bookmarkEnd w:id="11"/>
    </w:p>
    <w:p w:rsidR="003E79AE" w:rsidRDefault="003E79AE" w:rsidP="003E79AE">
      <w:r>
        <w:t xml:space="preserve">Hedging is the use of financial tools and commercial strategies to presumably protect against future losses because of fluctuations in currency. </w:t>
      </w:r>
    </w:p>
    <w:p w:rsidR="003E79AE" w:rsidRDefault="003E79AE" w:rsidP="003E79AE">
      <w:r w:rsidRPr="000C4013">
        <w:rPr>
          <w:b/>
          <w:bCs/>
        </w:rPr>
        <w:t>Forward Contracts:</w:t>
      </w:r>
      <w:r>
        <w:t xml:space="preserve"> They are agreements signed between two parties to buy or sell a given amount of a certain currency for a particular price at some time in the future (Nwiado and LeneeTorbira, 2016). The forward contracts manage exchange risks and these risks pose a certain predictable view of future cash flows which in turn, lessens the repercussions of currency concerns. For example, if a U.S. corporation expects to receive euros in six months then through a forward contract, the firm may lock in the present exchange rate regardless of the likelihood of the euro weakening against the dollar.</w:t>
      </w:r>
    </w:p>
    <w:p w:rsidR="003E79AE" w:rsidRDefault="003E79AE" w:rsidP="003E79AE">
      <w:r w:rsidRPr="000C4013">
        <w:rPr>
          <w:b/>
          <w:bCs/>
        </w:rPr>
        <w:t>Options:</w:t>
      </w:r>
      <w:r>
        <w:t xml:space="preserve"> Currency options are financial products that allow the purchaser to either sell or purchase a particular amount of foreign currency at a predetermined price and at a certain period in the future. They provide leeway for flexibility since firms can benefit from positive variations in currency translations and at the same time they are shielded from negative shocks.</w:t>
      </w:r>
    </w:p>
    <w:p w:rsidR="003E79AE" w:rsidRDefault="003E79AE" w:rsidP="003E79AE">
      <w:r w:rsidRPr="000C4013">
        <w:rPr>
          <w:b/>
          <w:bCs/>
        </w:rPr>
        <w:t>Swaps:</w:t>
      </w:r>
      <w:r>
        <w:t xml:space="preserve"> This deals with the exchange of principal and interest on one currency for that of another currency. Swaps are used to hedge long-term risks, and the swaps themselves can be adjusted based on contract specifications. For example, a firm earning revenue in Euros but owing money in USD can deploy foreign exchange swaps to convert its Euro cash flows to dollar cash flows (Kaushala and Rajapakse, 2017).</w:t>
      </w:r>
    </w:p>
    <w:p w:rsidR="003E79AE" w:rsidRDefault="003E79AE" w:rsidP="003E79AE">
      <w:r w:rsidRPr="000C4013">
        <w:rPr>
          <w:b/>
          <w:bCs/>
        </w:rPr>
        <w:t>Natural Hedging:</w:t>
      </w:r>
      <w:r>
        <w:t xml:space="preserve"> This involves the alignment of the currency cash flows to naturally manage the risks. Natural hedging can also be done by corporations through acquiring raw materials, manufacturing and/or marketing the final products in the same currency. For instance, an American firm that has a European subsidiary might be able to purchase the raw material as well as sell its products within the Eurozone thereby reducing the impact of the exchange rate risk of the dollar against the euro (Oxelheim, Alviniussen, and Jankensgard, 2020).</w:t>
      </w:r>
    </w:p>
    <w:p w:rsidR="003E79AE" w:rsidRDefault="003E79AE" w:rsidP="003E79AE">
      <w:pPr>
        <w:jc w:val="center"/>
        <w:rPr>
          <w:lang w:val="en-US"/>
        </w:rPr>
      </w:pPr>
      <w:r>
        <w:rPr>
          <w:noProof/>
          <w:lang w:eastAsia="bg-BG"/>
        </w:rPr>
        <w:drawing>
          <wp:inline distT="0" distB="0" distL="0" distR="0">
            <wp:extent cx="3981450" cy="2867025"/>
            <wp:effectExtent l="0" t="0" r="0" b="9525"/>
            <wp:docPr id="1" name="Picture 1" descr="EM recovery with FX hedge reduction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M recovery with FX hedge reduction ..."/>
                    <pic:cNvPicPr>
                      <a:picLocks noChangeAspect="1" noChangeArrowheads="1"/>
                    </pic:cNvPicPr>
                  </pic:nvPicPr>
                  <pic:blipFill>
                    <a:blip r:embed="rId4">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3981450" cy="2867025"/>
                    </a:xfrm>
                    <a:prstGeom prst="rect">
                      <a:avLst/>
                    </a:prstGeom>
                    <a:noFill/>
                    <a:ln>
                      <a:noFill/>
                    </a:ln>
                  </pic:spPr>
                </pic:pic>
              </a:graphicData>
            </a:graphic>
          </wp:inline>
        </w:drawing>
      </w:r>
    </w:p>
    <w:p w:rsidR="003E79AE" w:rsidRPr="00C85CC6" w:rsidRDefault="003E79AE" w:rsidP="003E79AE">
      <w:pPr>
        <w:jc w:val="center"/>
        <w:rPr>
          <w:lang w:val="en-US"/>
        </w:rPr>
      </w:pPr>
      <w:r>
        <w:rPr>
          <w:lang w:val="en-US"/>
        </w:rPr>
        <w:t xml:space="preserve">Figure: </w:t>
      </w:r>
      <w:r w:rsidRPr="00DC2FFD">
        <w:t>Unilever foreign exchange hedging and trans</w:t>
      </w:r>
      <w:r>
        <w:t>lation</w:t>
      </w:r>
      <w:r w:rsidRPr="00DC2FFD">
        <w:t xml:space="preserve"> </w:t>
      </w:r>
      <w:proofErr w:type="gramStart"/>
      <w:r w:rsidRPr="00DC2FFD">
        <w:t>losses</w:t>
      </w:r>
      <w:r w:rsidRPr="003C3D97">
        <w:t>(</w:t>
      </w:r>
      <w:proofErr w:type="gramEnd"/>
      <w:r w:rsidRPr="003C3D97">
        <w:t>Al-Zyoud, 2015)</w:t>
      </w:r>
    </w:p>
    <w:p w:rsidR="003E79AE" w:rsidRDefault="003E79AE" w:rsidP="003E79AE">
      <w:pPr>
        <w:pStyle w:val="Heading2"/>
      </w:pPr>
      <w:bookmarkStart w:id="12" w:name="_Toc172837385"/>
      <w:r>
        <w:t>Currency Portfolio Diversification</w:t>
      </w:r>
      <w:bookmarkEnd w:id="12"/>
    </w:p>
    <w:p w:rsidR="003E79AE" w:rsidRPr="008D7E44" w:rsidRDefault="003E79AE" w:rsidP="003E79AE">
      <w:pPr>
        <w:rPr>
          <w:lang w:val="en-US"/>
        </w:rPr>
      </w:pPr>
      <w:r w:rsidRPr="008D7E44">
        <w:rPr>
          <w:lang w:val="en-US"/>
        </w:rPr>
        <w:t xml:space="preserve">Currency positioning is a tactic aimed at diversifying some assets to ensure that no currency is dealt with closely because it means gaining fewer advantages with price movements (Shapiro, 2010). The fact that there is this diversity means that these MNCs employ or hedge on other currencies to prevent scenarios where the specific currency arrives with </w:t>
      </w:r>
      <w:proofErr w:type="spellStart"/>
      <w:r w:rsidRPr="008D7E44">
        <w:rPr>
          <w:lang w:val="en-US"/>
        </w:rPr>
        <w:t>unfavourable</w:t>
      </w:r>
      <w:proofErr w:type="spellEnd"/>
      <w:r w:rsidRPr="008D7E44">
        <w:rPr>
          <w:lang w:val="en-US"/>
        </w:rPr>
        <w:t xml:space="preserve"> volatility. This strategy can be done by geographical diversification which entails having activities in multiple nations consequently functioning in different currencies or through investment diversification which is operating in several currencies. It also allows the </w:t>
      </w:r>
      <w:proofErr w:type="spellStart"/>
      <w:r w:rsidRPr="008D7E44">
        <w:rPr>
          <w:lang w:val="en-US"/>
        </w:rPr>
        <w:t>stabilisation</w:t>
      </w:r>
      <w:proofErr w:type="spellEnd"/>
      <w:r w:rsidRPr="008D7E44">
        <w:rPr>
          <w:lang w:val="en-US"/>
        </w:rPr>
        <w:t xml:space="preserve"> of returns and total currency risk is decreased using this strategy.</w:t>
      </w:r>
    </w:p>
    <w:p w:rsidR="003E79AE" w:rsidRDefault="003E79AE" w:rsidP="003E79AE">
      <w:r>
        <w:br w:type="page"/>
      </w:r>
    </w:p>
    <w:p w:rsidR="003E79AE" w:rsidRDefault="003E79AE" w:rsidP="003E79AE">
      <w:pPr>
        <w:pStyle w:val="Heading1"/>
        <w:rPr>
          <w:color w:val="auto"/>
          <w:sz w:val="36"/>
          <w:szCs w:val="36"/>
          <w:lang w:val="en-GB"/>
        </w:rPr>
      </w:pPr>
      <w:bookmarkStart w:id="13" w:name="_Toc172837386"/>
      <w:r w:rsidRPr="003E79AE">
        <w:rPr>
          <w:color w:val="auto"/>
          <w:sz w:val="36"/>
          <w:szCs w:val="36"/>
        </w:rPr>
        <w:t>Conclusion</w:t>
      </w:r>
      <w:bookmarkEnd w:id="13"/>
    </w:p>
    <w:p w:rsidR="003E79AE" w:rsidRPr="003E79AE" w:rsidRDefault="003E79AE" w:rsidP="003E79AE">
      <w:pPr>
        <w:rPr>
          <w:lang w:val="en-GB"/>
        </w:rPr>
      </w:pPr>
    </w:p>
    <w:p w:rsidR="003E79AE" w:rsidRPr="008D7E44" w:rsidRDefault="003E79AE" w:rsidP="003E79AE">
      <w:pPr>
        <w:rPr>
          <w:lang w:val="en-US"/>
        </w:rPr>
      </w:pPr>
      <w:r w:rsidRPr="008D7E44">
        <w:rPr>
          <w:lang w:val="en-US"/>
        </w:rPr>
        <w:t xml:space="preserve">Fluctuations in the exchange rates of currencies are listed quite high on policy considerations associated with controlling risks in worldwide operations for MNCs. These measures are tied to such varied techniques as deploying derivatives, particularly futures and options, and natural or operational hedges. </w:t>
      </w:r>
      <w:r>
        <w:rPr>
          <w:lang w:val="en-US"/>
        </w:rPr>
        <w:t>Their</w:t>
      </w:r>
      <w:r w:rsidRPr="008D7E44">
        <w:rPr>
          <w:lang w:val="en-US"/>
        </w:rPr>
        <w:t xml:space="preserve"> implementation cannot be a direct result of some </w:t>
      </w:r>
      <w:proofErr w:type="spellStart"/>
      <w:r w:rsidRPr="008D7E44">
        <w:rPr>
          <w:lang w:val="en-US"/>
        </w:rPr>
        <w:t>generalisation</w:t>
      </w:r>
      <w:proofErr w:type="spellEnd"/>
      <w:r w:rsidRPr="008D7E44">
        <w:rPr>
          <w:lang w:val="en-US"/>
        </w:rPr>
        <w:t xml:space="preserve"> about the </w:t>
      </w:r>
      <w:proofErr w:type="spellStart"/>
      <w:r w:rsidRPr="008D7E44">
        <w:rPr>
          <w:lang w:val="en-US"/>
        </w:rPr>
        <w:t>organisational</w:t>
      </w:r>
      <w:proofErr w:type="spellEnd"/>
      <w:r w:rsidRPr="008D7E44">
        <w:rPr>
          <w:lang w:val="en-US"/>
        </w:rPr>
        <w:t xml:space="preserve"> environment since it has to be based on the evaluation of the respective situation in the individual </w:t>
      </w:r>
      <w:proofErr w:type="spellStart"/>
      <w:r w:rsidRPr="008D7E44">
        <w:rPr>
          <w:lang w:val="en-US"/>
        </w:rPr>
        <w:t>organisation</w:t>
      </w:r>
      <w:proofErr w:type="spellEnd"/>
      <w:r w:rsidRPr="008D7E44">
        <w:rPr>
          <w:lang w:val="en-US"/>
        </w:rPr>
        <w:t>. According to the usage of financial hedges, MNCs may be in a better condition to counter the odds and successfully handle contingencies which are predicted to be encountered in operations in the global market.</w:t>
      </w:r>
    </w:p>
    <w:p w:rsidR="003E79AE" w:rsidRDefault="003E79AE" w:rsidP="003E79AE">
      <w:r>
        <w:br w:type="page"/>
      </w:r>
    </w:p>
    <w:p w:rsidR="003E79AE" w:rsidRDefault="003E79AE" w:rsidP="003E79AE">
      <w:pPr>
        <w:pStyle w:val="Heading1"/>
        <w:rPr>
          <w:color w:val="auto"/>
          <w:sz w:val="36"/>
          <w:szCs w:val="36"/>
          <w:lang w:val="en-US"/>
        </w:rPr>
      </w:pPr>
      <w:bookmarkStart w:id="14" w:name="_Toc172837387"/>
      <w:bookmarkEnd w:id="1"/>
      <w:r w:rsidRPr="003E79AE">
        <w:rPr>
          <w:color w:val="auto"/>
          <w:sz w:val="36"/>
          <w:szCs w:val="36"/>
          <w:lang w:val="en-US"/>
        </w:rPr>
        <w:t>References</w:t>
      </w:r>
      <w:bookmarkEnd w:id="14"/>
    </w:p>
    <w:p w:rsidR="003E79AE" w:rsidRPr="003E79AE" w:rsidRDefault="003E79AE" w:rsidP="003E79AE">
      <w:pPr>
        <w:rPr>
          <w:lang w:val="en-US"/>
        </w:rPr>
      </w:pPr>
    </w:p>
    <w:p w:rsidR="003E79AE" w:rsidRPr="00877F98" w:rsidRDefault="003E79AE" w:rsidP="003E79AE">
      <w:pPr>
        <w:rPr>
          <w:lang w:val="en-US"/>
        </w:rPr>
      </w:pPr>
      <w:r w:rsidRPr="00877F98">
        <w:rPr>
          <w:lang w:val="en-US"/>
        </w:rPr>
        <w:t>Al-</w:t>
      </w:r>
      <w:proofErr w:type="spellStart"/>
      <w:r w:rsidRPr="00877F98">
        <w:rPr>
          <w:lang w:val="en-US"/>
        </w:rPr>
        <w:t>Zyoud</w:t>
      </w:r>
      <w:proofErr w:type="spellEnd"/>
      <w:r w:rsidRPr="00877F98">
        <w:rPr>
          <w:lang w:val="en-US"/>
        </w:rPr>
        <w:t xml:space="preserve">, H. (2015). </w:t>
      </w:r>
      <w:proofErr w:type="gramStart"/>
      <w:r w:rsidRPr="00877F98">
        <w:rPr>
          <w:lang w:val="en-US"/>
        </w:rPr>
        <w:t>An empirical test of purchasing power parity theory for Canadian dollar-US dollar exchange rates.</w:t>
      </w:r>
      <w:proofErr w:type="gramEnd"/>
      <w:r w:rsidRPr="00877F98">
        <w:rPr>
          <w:lang w:val="en-US"/>
        </w:rPr>
        <w:t xml:space="preserve"> </w:t>
      </w:r>
      <w:r w:rsidRPr="003C3D97">
        <w:rPr>
          <w:i/>
          <w:iCs/>
          <w:lang w:val="en-US"/>
        </w:rPr>
        <w:t>International Journal of Economics and Finance, 7(3), 233-240.</w:t>
      </w:r>
    </w:p>
    <w:p w:rsidR="003E79AE" w:rsidRPr="003C3D97" w:rsidRDefault="003E79AE" w:rsidP="003E79AE">
      <w:pPr>
        <w:rPr>
          <w:i/>
          <w:iCs/>
          <w:lang w:val="en-US"/>
        </w:rPr>
      </w:pPr>
      <w:proofErr w:type="spellStart"/>
      <w:r w:rsidRPr="004A126A">
        <w:rPr>
          <w:lang w:val="en-US"/>
        </w:rPr>
        <w:t>Bekaert</w:t>
      </w:r>
      <w:proofErr w:type="spellEnd"/>
      <w:r w:rsidRPr="004A126A">
        <w:rPr>
          <w:lang w:val="en-US"/>
        </w:rPr>
        <w:t xml:space="preserve">, G and </w:t>
      </w:r>
      <w:proofErr w:type="spellStart"/>
      <w:r w:rsidRPr="004A126A">
        <w:rPr>
          <w:lang w:val="en-US"/>
        </w:rPr>
        <w:t>Hodrick</w:t>
      </w:r>
      <w:proofErr w:type="spellEnd"/>
      <w:r w:rsidRPr="004A126A">
        <w:rPr>
          <w:lang w:val="en-US"/>
        </w:rPr>
        <w:t xml:space="preserve">, R, </w:t>
      </w:r>
      <w:r>
        <w:rPr>
          <w:lang w:val="en-US"/>
        </w:rPr>
        <w:t>(</w:t>
      </w:r>
      <w:r w:rsidRPr="004A126A">
        <w:rPr>
          <w:lang w:val="en-US"/>
        </w:rPr>
        <w:t>2012</w:t>
      </w:r>
      <w:r>
        <w:rPr>
          <w:lang w:val="en-US"/>
        </w:rPr>
        <w:t>)</w:t>
      </w:r>
      <w:r w:rsidRPr="004A126A">
        <w:rPr>
          <w:lang w:val="en-US"/>
        </w:rPr>
        <w:t xml:space="preserve">, </w:t>
      </w:r>
      <w:r w:rsidRPr="003C3D97">
        <w:rPr>
          <w:i/>
          <w:iCs/>
          <w:lang w:val="en-US"/>
        </w:rPr>
        <w:t xml:space="preserve">2nd Edition, International Financial Management, Pearson Education (A comprehensive, dense and heavily research </w:t>
      </w:r>
      <w:proofErr w:type="spellStart"/>
      <w:r w:rsidRPr="003C3D97">
        <w:rPr>
          <w:i/>
          <w:iCs/>
          <w:lang w:val="en-US"/>
        </w:rPr>
        <w:t>focussed</w:t>
      </w:r>
      <w:proofErr w:type="spellEnd"/>
      <w:r w:rsidRPr="003C3D97">
        <w:rPr>
          <w:i/>
          <w:iCs/>
          <w:lang w:val="en-US"/>
        </w:rPr>
        <w:t xml:space="preserve"> text)</w:t>
      </w:r>
    </w:p>
    <w:p w:rsidR="003E79AE" w:rsidRPr="004A126A" w:rsidRDefault="003E79AE" w:rsidP="003E79AE">
      <w:pPr>
        <w:rPr>
          <w:lang w:val="en-US"/>
        </w:rPr>
      </w:pPr>
      <w:r w:rsidRPr="004A126A">
        <w:rPr>
          <w:lang w:val="en-US"/>
        </w:rPr>
        <w:t>Buckley, A., Financial Crisis: Causes, Context and Consequences, 1st Edition, Pearson Education, 2011</w:t>
      </w:r>
    </w:p>
    <w:p w:rsidR="003E79AE" w:rsidRPr="004A126A" w:rsidRDefault="003E79AE" w:rsidP="003E79AE">
      <w:pPr>
        <w:rPr>
          <w:lang w:val="en-US"/>
        </w:rPr>
      </w:pPr>
      <w:proofErr w:type="spellStart"/>
      <w:r w:rsidRPr="004A126A">
        <w:rPr>
          <w:lang w:val="en-US"/>
        </w:rPr>
        <w:t>Eun</w:t>
      </w:r>
      <w:proofErr w:type="spellEnd"/>
      <w:r w:rsidRPr="004A126A">
        <w:rPr>
          <w:lang w:val="en-US"/>
        </w:rPr>
        <w:t xml:space="preserve">, C. S, </w:t>
      </w:r>
      <w:proofErr w:type="spellStart"/>
      <w:r w:rsidRPr="004A126A">
        <w:rPr>
          <w:lang w:val="en-US"/>
        </w:rPr>
        <w:t>Resnick</w:t>
      </w:r>
      <w:proofErr w:type="spellEnd"/>
      <w:r w:rsidRPr="004A126A">
        <w:rPr>
          <w:lang w:val="en-US"/>
        </w:rPr>
        <w:t xml:space="preserve">, B.G and </w:t>
      </w:r>
      <w:proofErr w:type="spellStart"/>
      <w:r w:rsidRPr="004A126A">
        <w:rPr>
          <w:lang w:val="en-US"/>
        </w:rPr>
        <w:t>Sabherwal</w:t>
      </w:r>
      <w:proofErr w:type="spellEnd"/>
      <w:r w:rsidRPr="004A126A">
        <w:rPr>
          <w:lang w:val="en-US"/>
        </w:rPr>
        <w:t xml:space="preserve"> S, International Finance: Global edition (sixth), McGraw-Hill, 2012.</w:t>
      </w:r>
    </w:p>
    <w:p w:rsidR="003E79AE" w:rsidRPr="003C3D97" w:rsidRDefault="003E79AE" w:rsidP="003E79AE">
      <w:pPr>
        <w:rPr>
          <w:i/>
          <w:iCs/>
          <w:lang w:val="en-US"/>
        </w:rPr>
      </w:pPr>
      <w:proofErr w:type="spellStart"/>
      <w:proofErr w:type="gramStart"/>
      <w:r w:rsidRPr="00877F98">
        <w:rPr>
          <w:lang w:val="en-US"/>
        </w:rPr>
        <w:t>Kaushala</w:t>
      </w:r>
      <w:proofErr w:type="spellEnd"/>
      <w:r w:rsidRPr="00877F98">
        <w:rPr>
          <w:lang w:val="en-US"/>
        </w:rPr>
        <w:t xml:space="preserve">, H., </w:t>
      </w:r>
      <w:r>
        <w:rPr>
          <w:lang w:val="en-US"/>
        </w:rPr>
        <w:t>and</w:t>
      </w:r>
      <w:r w:rsidRPr="00877F98">
        <w:rPr>
          <w:lang w:val="en-US"/>
        </w:rPr>
        <w:t xml:space="preserve"> </w:t>
      </w:r>
      <w:proofErr w:type="spellStart"/>
      <w:r w:rsidRPr="00877F98">
        <w:rPr>
          <w:lang w:val="en-US"/>
        </w:rPr>
        <w:t>Rajapakse</w:t>
      </w:r>
      <w:proofErr w:type="spellEnd"/>
      <w:r w:rsidRPr="00877F98">
        <w:rPr>
          <w:lang w:val="en-US"/>
        </w:rPr>
        <w:t>, R. P. C. R. (2017).</w:t>
      </w:r>
      <w:proofErr w:type="gramEnd"/>
      <w:r w:rsidRPr="00877F98">
        <w:rPr>
          <w:lang w:val="en-US"/>
        </w:rPr>
        <w:t xml:space="preserve"> </w:t>
      </w:r>
      <w:proofErr w:type="gramStart"/>
      <w:r w:rsidRPr="003C3D97">
        <w:rPr>
          <w:i/>
          <w:iCs/>
          <w:lang w:val="en-US"/>
        </w:rPr>
        <w:t>Does the Theory of Uncovered Interest Rate Parity Hold for Sri Lanka.</w:t>
      </w:r>
      <w:proofErr w:type="gramEnd"/>
      <w:r w:rsidRPr="003C3D97">
        <w:rPr>
          <w:i/>
          <w:iCs/>
          <w:lang w:val="en-US"/>
        </w:rPr>
        <w:t xml:space="preserve"> </w:t>
      </w:r>
      <w:proofErr w:type="spellStart"/>
      <w:r w:rsidRPr="003C3D97">
        <w:rPr>
          <w:i/>
          <w:iCs/>
          <w:lang w:val="en-US"/>
        </w:rPr>
        <w:t>Nirmali</w:t>
      </w:r>
      <w:proofErr w:type="spellEnd"/>
      <w:r w:rsidRPr="003C3D97">
        <w:rPr>
          <w:i/>
          <w:iCs/>
          <w:lang w:val="en-US"/>
        </w:rPr>
        <w:t xml:space="preserve">, H. </w:t>
      </w:r>
      <w:proofErr w:type="spellStart"/>
      <w:r w:rsidRPr="003C3D97">
        <w:rPr>
          <w:i/>
          <w:iCs/>
          <w:lang w:val="en-US"/>
        </w:rPr>
        <w:t>Rajapakse</w:t>
      </w:r>
      <w:proofErr w:type="spellEnd"/>
      <w:r w:rsidRPr="003C3D97">
        <w:rPr>
          <w:i/>
          <w:iCs/>
          <w:lang w:val="en-US"/>
        </w:rPr>
        <w:t xml:space="preserve"> RPCR (2017)" Does </w:t>
      </w:r>
      <w:proofErr w:type="gramStart"/>
      <w:r w:rsidRPr="003C3D97">
        <w:rPr>
          <w:i/>
          <w:iCs/>
          <w:lang w:val="en-US"/>
        </w:rPr>
        <w:t>The</w:t>
      </w:r>
      <w:proofErr w:type="gramEnd"/>
      <w:r w:rsidRPr="003C3D97">
        <w:rPr>
          <w:i/>
          <w:iCs/>
          <w:lang w:val="en-US"/>
        </w:rPr>
        <w:t xml:space="preserve"> Theory Of Uncovered Interest Rate Parity Hold For Sri Lanka" EPRA Journal of Research and Development, 2(3), 115-125.</w:t>
      </w:r>
    </w:p>
    <w:p w:rsidR="003E79AE" w:rsidRPr="004A126A" w:rsidRDefault="003E79AE" w:rsidP="003E79AE">
      <w:pPr>
        <w:rPr>
          <w:lang w:val="en-US"/>
        </w:rPr>
      </w:pPr>
      <w:proofErr w:type="gramStart"/>
      <w:r w:rsidRPr="004A126A">
        <w:rPr>
          <w:lang w:val="en-US"/>
        </w:rPr>
        <w:t xml:space="preserve">Madura, Jeff </w:t>
      </w:r>
      <w:r>
        <w:rPr>
          <w:lang w:val="en-US"/>
        </w:rPr>
        <w:t>and</w:t>
      </w:r>
      <w:r w:rsidRPr="004A126A">
        <w:rPr>
          <w:lang w:val="en-US"/>
        </w:rPr>
        <w:t xml:space="preserve"> Fox, Roland, International Financial Management, 2nd edition, </w:t>
      </w:r>
      <w:proofErr w:type="spellStart"/>
      <w:r w:rsidRPr="004A126A">
        <w:rPr>
          <w:lang w:val="en-US"/>
        </w:rPr>
        <w:t>Cengage</w:t>
      </w:r>
      <w:proofErr w:type="spellEnd"/>
      <w:r w:rsidRPr="004A126A">
        <w:rPr>
          <w:lang w:val="en-US"/>
        </w:rPr>
        <w:t xml:space="preserve"> Learning EMEA,</w:t>
      </w:r>
      <w:r>
        <w:rPr>
          <w:lang w:val="en-US"/>
        </w:rPr>
        <w:t xml:space="preserve"> (</w:t>
      </w:r>
      <w:r w:rsidRPr="004A126A">
        <w:rPr>
          <w:lang w:val="en-US"/>
        </w:rPr>
        <w:t>2011</w:t>
      </w:r>
      <w:r>
        <w:rPr>
          <w:lang w:val="en-US"/>
        </w:rPr>
        <w:t>)</w:t>
      </w:r>
      <w:r w:rsidRPr="004A126A">
        <w:rPr>
          <w:lang w:val="en-US"/>
        </w:rPr>
        <w:t>.</w:t>
      </w:r>
      <w:proofErr w:type="gramEnd"/>
      <w:r w:rsidRPr="004A126A">
        <w:rPr>
          <w:lang w:val="en-US"/>
        </w:rPr>
        <w:t xml:space="preserve"> </w:t>
      </w:r>
      <w:r w:rsidRPr="003C3D97">
        <w:rPr>
          <w:i/>
          <w:iCs/>
          <w:lang w:val="en-US"/>
        </w:rPr>
        <w:t>(A more accessible and practical approach)</w:t>
      </w:r>
    </w:p>
    <w:p w:rsidR="003E79AE" w:rsidRPr="00877F98" w:rsidRDefault="003E79AE" w:rsidP="003E79AE">
      <w:pPr>
        <w:rPr>
          <w:lang w:val="en-US"/>
        </w:rPr>
      </w:pPr>
      <w:proofErr w:type="spellStart"/>
      <w:proofErr w:type="gramStart"/>
      <w:r w:rsidRPr="00877F98">
        <w:rPr>
          <w:lang w:val="en-US"/>
        </w:rPr>
        <w:t>Murad</w:t>
      </w:r>
      <w:proofErr w:type="spellEnd"/>
      <w:r w:rsidRPr="00877F98">
        <w:rPr>
          <w:lang w:val="en-US"/>
        </w:rPr>
        <w:t xml:space="preserve">, S. W., </w:t>
      </w:r>
      <w:r>
        <w:rPr>
          <w:lang w:val="en-US"/>
        </w:rPr>
        <w:t>and</w:t>
      </w:r>
      <w:r w:rsidRPr="00877F98">
        <w:rPr>
          <w:lang w:val="en-US"/>
        </w:rPr>
        <w:t xml:space="preserve"> </w:t>
      </w:r>
      <w:proofErr w:type="spellStart"/>
      <w:r w:rsidRPr="00877F98">
        <w:rPr>
          <w:lang w:val="en-US"/>
        </w:rPr>
        <w:t>Hossain</w:t>
      </w:r>
      <w:proofErr w:type="spellEnd"/>
      <w:r w:rsidRPr="00877F98">
        <w:rPr>
          <w:lang w:val="en-US"/>
        </w:rPr>
        <w:t>, M. A. (2018).</w:t>
      </w:r>
      <w:proofErr w:type="gramEnd"/>
      <w:r w:rsidRPr="00877F98">
        <w:rPr>
          <w:lang w:val="en-US"/>
        </w:rPr>
        <w:t xml:space="preserve"> </w:t>
      </w:r>
      <w:proofErr w:type="gramStart"/>
      <w:r w:rsidRPr="003C3D97">
        <w:rPr>
          <w:i/>
          <w:iCs/>
          <w:lang w:val="en-US"/>
        </w:rPr>
        <w:t>The ASEAN experience of the purchasing power parity theory.</w:t>
      </w:r>
      <w:proofErr w:type="gramEnd"/>
      <w:r w:rsidRPr="00877F98">
        <w:rPr>
          <w:lang w:val="en-US"/>
        </w:rPr>
        <w:t xml:space="preserve"> </w:t>
      </w:r>
      <w:proofErr w:type="gramStart"/>
      <w:r w:rsidRPr="00877F98">
        <w:rPr>
          <w:lang w:val="en-US"/>
        </w:rPr>
        <w:t>Financial Innovation, 4(1), 23.</w:t>
      </w:r>
      <w:proofErr w:type="gramEnd"/>
    </w:p>
    <w:p w:rsidR="003E79AE" w:rsidRPr="003C3D97" w:rsidRDefault="003E79AE" w:rsidP="003E79AE">
      <w:pPr>
        <w:rPr>
          <w:i/>
          <w:iCs/>
          <w:lang w:val="en-US"/>
        </w:rPr>
      </w:pPr>
      <w:proofErr w:type="spellStart"/>
      <w:proofErr w:type="gramStart"/>
      <w:r w:rsidRPr="00877F98">
        <w:rPr>
          <w:lang w:val="en-US"/>
        </w:rPr>
        <w:t>Nirmali</w:t>
      </w:r>
      <w:proofErr w:type="spellEnd"/>
      <w:r w:rsidRPr="00877F98">
        <w:rPr>
          <w:lang w:val="en-US"/>
        </w:rPr>
        <w:t xml:space="preserve">, H., </w:t>
      </w:r>
      <w:r>
        <w:rPr>
          <w:lang w:val="en-US"/>
        </w:rPr>
        <w:t>and</w:t>
      </w:r>
      <w:r w:rsidRPr="00877F98">
        <w:rPr>
          <w:lang w:val="en-US"/>
        </w:rPr>
        <w:t xml:space="preserve"> </w:t>
      </w:r>
      <w:proofErr w:type="spellStart"/>
      <w:r w:rsidRPr="00877F98">
        <w:rPr>
          <w:lang w:val="en-US"/>
        </w:rPr>
        <w:t>Rajapakse</w:t>
      </w:r>
      <w:proofErr w:type="spellEnd"/>
      <w:r w:rsidRPr="00877F98">
        <w:rPr>
          <w:lang w:val="en-US"/>
        </w:rPr>
        <w:t>, R. P. C. R. (2016).</w:t>
      </w:r>
      <w:proofErr w:type="gramEnd"/>
      <w:r w:rsidRPr="00877F98">
        <w:rPr>
          <w:lang w:val="en-US"/>
        </w:rPr>
        <w:t xml:space="preserve"> </w:t>
      </w:r>
      <w:r w:rsidRPr="003C3D97">
        <w:rPr>
          <w:i/>
          <w:iCs/>
          <w:lang w:val="en-US"/>
        </w:rPr>
        <w:t>The Uncovered Interest rate Parity-A Literature Review.</w:t>
      </w:r>
    </w:p>
    <w:p w:rsidR="003E79AE" w:rsidRPr="00877F98" w:rsidRDefault="003E79AE" w:rsidP="003E79AE">
      <w:pPr>
        <w:rPr>
          <w:lang w:val="en-US"/>
        </w:rPr>
      </w:pPr>
      <w:proofErr w:type="spellStart"/>
      <w:proofErr w:type="gramStart"/>
      <w:r w:rsidRPr="00877F98">
        <w:rPr>
          <w:lang w:val="en-US"/>
        </w:rPr>
        <w:t>Nwiado</w:t>
      </w:r>
      <w:proofErr w:type="spellEnd"/>
      <w:r w:rsidRPr="00877F98">
        <w:rPr>
          <w:lang w:val="en-US"/>
        </w:rPr>
        <w:t xml:space="preserve">, D., </w:t>
      </w:r>
      <w:r>
        <w:rPr>
          <w:lang w:val="en-US"/>
        </w:rPr>
        <w:t>and</w:t>
      </w:r>
      <w:r w:rsidRPr="00877F98">
        <w:rPr>
          <w:lang w:val="en-US"/>
        </w:rPr>
        <w:t xml:space="preserve"> </w:t>
      </w:r>
      <w:proofErr w:type="spellStart"/>
      <w:r w:rsidRPr="00877F98">
        <w:rPr>
          <w:lang w:val="en-US"/>
        </w:rPr>
        <w:t>LeneeTorbira</w:t>
      </w:r>
      <w:proofErr w:type="spellEnd"/>
      <w:r w:rsidRPr="00877F98">
        <w:rPr>
          <w:lang w:val="en-US"/>
        </w:rPr>
        <w:t>, L. (2016).</w:t>
      </w:r>
      <w:proofErr w:type="gramEnd"/>
      <w:r w:rsidRPr="00877F98">
        <w:rPr>
          <w:lang w:val="en-US"/>
        </w:rPr>
        <w:t xml:space="preserve"> </w:t>
      </w:r>
      <w:proofErr w:type="gramStart"/>
      <w:r w:rsidRPr="003C3D97">
        <w:rPr>
          <w:i/>
          <w:iCs/>
          <w:lang w:val="en-US"/>
        </w:rPr>
        <w:t>A Panel Data Analysis of the Validity of Uncovered Interest Rate Parity (UIRP) in Selected African Countries.</w:t>
      </w:r>
      <w:proofErr w:type="gramEnd"/>
      <w:r w:rsidRPr="00877F98">
        <w:rPr>
          <w:lang w:val="en-US"/>
        </w:rPr>
        <w:t xml:space="preserve"> Research in World Economy, 7(2), 15-25.</w:t>
      </w:r>
    </w:p>
    <w:p w:rsidR="003E79AE" w:rsidRPr="004A126A" w:rsidRDefault="003E79AE" w:rsidP="003E79AE">
      <w:pPr>
        <w:rPr>
          <w:lang w:val="en-US"/>
        </w:rPr>
      </w:pPr>
      <w:proofErr w:type="spellStart"/>
      <w:proofErr w:type="gramStart"/>
      <w:r w:rsidRPr="00877F98">
        <w:rPr>
          <w:lang w:val="en-US"/>
        </w:rPr>
        <w:t>Oxelheim</w:t>
      </w:r>
      <w:proofErr w:type="spellEnd"/>
      <w:r w:rsidRPr="00877F98">
        <w:rPr>
          <w:lang w:val="en-US"/>
        </w:rPr>
        <w:t xml:space="preserve">, L., </w:t>
      </w:r>
      <w:proofErr w:type="spellStart"/>
      <w:r w:rsidRPr="00877F98">
        <w:rPr>
          <w:lang w:val="en-US"/>
        </w:rPr>
        <w:t>Alviniussen</w:t>
      </w:r>
      <w:proofErr w:type="spellEnd"/>
      <w:r w:rsidRPr="00877F98">
        <w:rPr>
          <w:lang w:val="en-US"/>
        </w:rPr>
        <w:t xml:space="preserve">, A., </w:t>
      </w:r>
      <w:r>
        <w:rPr>
          <w:lang w:val="en-US"/>
        </w:rPr>
        <w:t>and</w:t>
      </w:r>
      <w:r w:rsidRPr="00877F98">
        <w:rPr>
          <w:lang w:val="en-US"/>
        </w:rPr>
        <w:t xml:space="preserve"> </w:t>
      </w:r>
      <w:proofErr w:type="spellStart"/>
      <w:r w:rsidRPr="00877F98">
        <w:rPr>
          <w:lang w:val="en-US"/>
        </w:rPr>
        <w:t>Jankensgard</w:t>
      </w:r>
      <w:proofErr w:type="spellEnd"/>
      <w:r w:rsidRPr="00877F98">
        <w:rPr>
          <w:lang w:val="en-US"/>
        </w:rPr>
        <w:t>, H. (2020).</w:t>
      </w:r>
      <w:proofErr w:type="gramEnd"/>
      <w:r w:rsidRPr="00877F98">
        <w:rPr>
          <w:lang w:val="en-US"/>
        </w:rPr>
        <w:t xml:space="preserve"> </w:t>
      </w:r>
      <w:proofErr w:type="gramStart"/>
      <w:r w:rsidRPr="003C3D97">
        <w:rPr>
          <w:i/>
          <w:iCs/>
          <w:lang w:val="en-US"/>
        </w:rPr>
        <w:t>Corporate foreign exchange risk management.</w:t>
      </w:r>
      <w:proofErr w:type="gramEnd"/>
      <w:r w:rsidRPr="00877F98">
        <w:rPr>
          <w:lang w:val="en-US"/>
        </w:rPr>
        <w:t xml:space="preserve"> </w:t>
      </w:r>
      <w:proofErr w:type="gramStart"/>
      <w:r w:rsidRPr="00877F98">
        <w:rPr>
          <w:lang w:val="en-US"/>
        </w:rPr>
        <w:t>John Wiley &amp; Sons.</w:t>
      </w:r>
      <w:proofErr w:type="gramEnd"/>
    </w:p>
    <w:p w:rsidR="003E79AE" w:rsidRPr="004A126A" w:rsidRDefault="003E79AE" w:rsidP="003E79AE">
      <w:pPr>
        <w:rPr>
          <w:lang w:val="en-US"/>
        </w:rPr>
      </w:pPr>
      <w:proofErr w:type="gramStart"/>
      <w:r w:rsidRPr="004A126A">
        <w:rPr>
          <w:lang w:val="en-US"/>
        </w:rPr>
        <w:t xml:space="preserve">Shapiro, Alan C., Multinational Financial Management, 9th Edition (International Student Version), </w:t>
      </w:r>
      <w:proofErr w:type="spellStart"/>
      <w:r w:rsidRPr="004A126A">
        <w:rPr>
          <w:lang w:val="en-US"/>
        </w:rPr>
        <w:t>JohnWiley</w:t>
      </w:r>
      <w:proofErr w:type="spellEnd"/>
      <w:r w:rsidRPr="004A126A">
        <w:rPr>
          <w:lang w:val="en-US"/>
        </w:rPr>
        <w:t xml:space="preserve"> &amp; Sons, 2010.</w:t>
      </w:r>
      <w:proofErr w:type="gramEnd"/>
    </w:p>
    <w:p w:rsidR="003E79AE" w:rsidRDefault="003E79AE" w:rsidP="003E79AE">
      <w:pPr>
        <w:rPr>
          <w:lang w:val="en-US"/>
        </w:rPr>
      </w:pPr>
      <w:proofErr w:type="spellStart"/>
      <w:r w:rsidRPr="004A126A">
        <w:rPr>
          <w:lang w:val="en-US"/>
        </w:rPr>
        <w:t>Stiglitz</w:t>
      </w:r>
      <w:proofErr w:type="spellEnd"/>
      <w:r w:rsidRPr="004A126A">
        <w:rPr>
          <w:lang w:val="en-US"/>
        </w:rPr>
        <w:t xml:space="preserve">, Joseph E., </w:t>
      </w:r>
      <w:r>
        <w:rPr>
          <w:lang w:val="en-US"/>
        </w:rPr>
        <w:t>(</w:t>
      </w:r>
      <w:r w:rsidRPr="004A126A">
        <w:rPr>
          <w:lang w:val="en-US"/>
        </w:rPr>
        <w:t>2002</w:t>
      </w:r>
      <w:r>
        <w:rPr>
          <w:lang w:val="en-US"/>
        </w:rPr>
        <w:t>)</w:t>
      </w:r>
      <w:r w:rsidRPr="004A126A">
        <w:rPr>
          <w:lang w:val="en-US"/>
        </w:rPr>
        <w:t xml:space="preserve">, </w:t>
      </w:r>
      <w:r w:rsidRPr="003C3D97">
        <w:rPr>
          <w:i/>
          <w:iCs/>
          <w:lang w:val="en-US"/>
        </w:rPr>
        <w:t>Globalization and Its Discontents, New York: W.W. Norton and Company Additional sources of information</w:t>
      </w:r>
    </w:p>
    <w:p w:rsidR="003E79AE" w:rsidRPr="003E79AE" w:rsidRDefault="003E79AE">
      <w:pPr>
        <w:rPr>
          <w:b/>
          <w:sz w:val="44"/>
          <w:szCs w:val="44"/>
          <w:lang w:val="en-GB"/>
        </w:rPr>
      </w:pPr>
      <w:r>
        <w:rPr>
          <w:b/>
          <w:sz w:val="44"/>
          <w:szCs w:val="44"/>
          <w:lang w:val="en-GB"/>
        </w:rPr>
        <w:t xml:space="preserve"> </w:t>
      </w:r>
    </w:p>
    <w:p w:rsidR="0045217B" w:rsidRDefault="0045217B">
      <w:pPr>
        <w:rPr>
          <w:b/>
          <w:sz w:val="44"/>
          <w:szCs w:val="44"/>
          <w:lang w:val="en-GB"/>
        </w:rPr>
      </w:pPr>
    </w:p>
    <w:p w:rsidR="0045217B" w:rsidRPr="00B00DE0" w:rsidRDefault="0045217B">
      <w:pPr>
        <w:rPr>
          <w:b/>
          <w:sz w:val="44"/>
          <w:szCs w:val="44"/>
          <w:lang w:val="en-GB"/>
        </w:rPr>
      </w:pPr>
      <w:r>
        <w:rPr>
          <w:b/>
          <w:sz w:val="44"/>
          <w:szCs w:val="44"/>
          <w:lang w:val="en-GB"/>
        </w:rPr>
        <w:t xml:space="preserve">   </w:t>
      </w:r>
    </w:p>
    <w:sectPr w:rsidR="0045217B" w:rsidRPr="00B00DE0" w:rsidSect="00852C1E">
      <w:pgSz w:w="11906" w:h="16838"/>
      <w:pgMar w:top="1417" w:right="1417" w:bottom="1417" w:left="1417"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Cambria">
    <w:panose1 w:val="02040503050406030204"/>
    <w:charset w:val="CC"/>
    <w:family w:val="roman"/>
    <w:pitch w:val="variable"/>
    <w:sig w:usb0="E00006FF" w:usb1="420024FF" w:usb2="02000000" w:usb3="00000000" w:csb0="0000019F" w:csb1="00000000"/>
  </w:font>
  <w:font w:name="Tahoma">
    <w:panose1 w:val="020B0604030504040204"/>
    <w:charset w:val="CC"/>
    <w:family w:val="swiss"/>
    <w:pitch w:val="variable"/>
    <w:sig w:usb0="E1002EFF" w:usb1="C000605B" w:usb2="00000029" w:usb3="00000000" w:csb0="000101F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web"/>
  <w:zoom w:percent="100"/>
  <w:proofState w:spelling="clean" w:grammar="clean"/>
  <w:defaultTabStop w:val="708"/>
  <w:hyphenationZone w:val="425"/>
  <w:characterSpacingControl w:val="doNotCompress"/>
  <w:compat/>
  <w:rsids>
    <w:rsidRoot w:val="00B00DE0"/>
    <w:rsid w:val="003E79AE"/>
    <w:rsid w:val="0045217B"/>
    <w:rsid w:val="00852C1E"/>
    <w:rsid w:val="0096553A"/>
    <w:rsid w:val="00B00DE0"/>
    <w:rsid w:val="00CB3628"/>
  </w:rsids>
  <m:mathPr>
    <m:mathFont m:val="Cambria Math"/>
    <m:brkBin m:val="before"/>
    <m:brkBinSub m:val="--"/>
    <m:smallFrac m:val="off"/>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52C1E"/>
  </w:style>
  <w:style w:type="paragraph" w:styleId="Heading1">
    <w:name w:val="heading 1"/>
    <w:basedOn w:val="Normal"/>
    <w:next w:val="Normal"/>
    <w:link w:val="Heading1Char"/>
    <w:uiPriority w:val="9"/>
    <w:qFormat/>
    <w:rsid w:val="003E79AE"/>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3E79AE"/>
    <w:pPr>
      <w:keepNext/>
      <w:keepLines/>
      <w:spacing w:before="40" w:after="160" w:line="360" w:lineRule="auto"/>
      <w:jc w:val="both"/>
      <w:outlineLvl w:val="1"/>
    </w:pPr>
    <w:rPr>
      <w:rFonts w:ascii="Times New Roman" w:eastAsiaTheme="majorEastAsia" w:hAnsi="Times New Roman" w:cstheme="majorBidi"/>
      <w:b/>
      <w:kern w:val="2"/>
      <w:sz w:val="28"/>
      <w:szCs w:val="28"/>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E79AE"/>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unhideWhenUsed/>
    <w:qFormat/>
    <w:rsid w:val="003E79AE"/>
    <w:pPr>
      <w:spacing w:before="240" w:line="259" w:lineRule="auto"/>
      <w:outlineLvl w:val="9"/>
    </w:pPr>
    <w:rPr>
      <w:b w:val="0"/>
      <w:bCs w:val="0"/>
      <w:sz w:val="32"/>
      <w:szCs w:val="32"/>
      <w:lang w:val="en-US"/>
    </w:rPr>
  </w:style>
  <w:style w:type="paragraph" w:styleId="TOC1">
    <w:name w:val="toc 1"/>
    <w:basedOn w:val="Normal"/>
    <w:next w:val="Normal"/>
    <w:autoRedefine/>
    <w:uiPriority w:val="39"/>
    <w:unhideWhenUsed/>
    <w:rsid w:val="003E79AE"/>
    <w:pPr>
      <w:tabs>
        <w:tab w:val="right" w:leader="dot" w:pos="9350"/>
      </w:tabs>
      <w:spacing w:before="240" w:after="100" w:line="360" w:lineRule="auto"/>
      <w:jc w:val="both"/>
    </w:pPr>
    <w:rPr>
      <w:rFonts w:ascii="Times New Roman" w:hAnsi="Times New Roman"/>
      <w:noProof/>
      <w:kern w:val="2"/>
      <w:sz w:val="24"/>
      <w:lang w:val="en-US"/>
    </w:rPr>
  </w:style>
  <w:style w:type="character" w:styleId="Hyperlink">
    <w:name w:val="Hyperlink"/>
    <w:basedOn w:val="DefaultParagraphFont"/>
    <w:uiPriority w:val="99"/>
    <w:unhideWhenUsed/>
    <w:rsid w:val="003E79AE"/>
    <w:rPr>
      <w:color w:val="0000FF" w:themeColor="hyperlink"/>
      <w:u w:val="single"/>
    </w:rPr>
  </w:style>
  <w:style w:type="paragraph" w:styleId="TOC2">
    <w:name w:val="toc 2"/>
    <w:basedOn w:val="Normal"/>
    <w:next w:val="Normal"/>
    <w:autoRedefine/>
    <w:uiPriority w:val="39"/>
    <w:unhideWhenUsed/>
    <w:rsid w:val="003E79AE"/>
    <w:pPr>
      <w:tabs>
        <w:tab w:val="right" w:leader="dot" w:pos="9350"/>
      </w:tabs>
      <w:spacing w:before="240" w:after="100" w:line="360" w:lineRule="auto"/>
      <w:ind w:left="240"/>
      <w:jc w:val="both"/>
    </w:pPr>
    <w:rPr>
      <w:rFonts w:ascii="Times New Roman" w:hAnsi="Times New Roman"/>
      <w:noProof/>
      <w:kern w:val="2"/>
      <w:sz w:val="24"/>
      <w:lang w:val="en-GB"/>
    </w:rPr>
  </w:style>
  <w:style w:type="paragraph" w:styleId="BalloonText">
    <w:name w:val="Balloon Text"/>
    <w:basedOn w:val="Normal"/>
    <w:link w:val="BalloonTextChar"/>
    <w:uiPriority w:val="99"/>
    <w:semiHidden/>
    <w:unhideWhenUsed/>
    <w:rsid w:val="003E79A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E79AE"/>
    <w:rPr>
      <w:rFonts w:ascii="Tahoma" w:hAnsi="Tahoma" w:cs="Tahoma"/>
      <w:sz w:val="16"/>
      <w:szCs w:val="16"/>
    </w:rPr>
  </w:style>
  <w:style w:type="character" w:customStyle="1" w:styleId="Heading2Char">
    <w:name w:val="Heading 2 Char"/>
    <w:basedOn w:val="DefaultParagraphFont"/>
    <w:link w:val="Heading2"/>
    <w:uiPriority w:val="9"/>
    <w:rsid w:val="003E79AE"/>
    <w:rPr>
      <w:rFonts w:ascii="Times New Roman" w:eastAsiaTheme="majorEastAsia" w:hAnsi="Times New Roman" w:cstheme="majorBidi"/>
      <w:b/>
      <w:kern w:val="2"/>
      <w:sz w:val="28"/>
      <w:szCs w:val="28"/>
      <w:lang w:val="en-U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31</TotalTime>
  <Pages>5</Pages>
  <Words>2096</Words>
  <Characters>11950</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14018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5</cp:revision>
  <dcterms:created xsi:type="dcterms:W3CDTF">2024-08-12T18:56:00Z</dcterms:created>
  <dcterms:modified xsi:type="dcterms:W3CDTF">2024-08-15T12:39:00Z</dcterms:modified>
</cp:coreProperties>
</file>