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A2A2C44" wp14:paraId="758D2529" wp14:textId="2F923948">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009CB67C">
        <w:drawing>
          <wp:inline xmlns:wp14="http://schemas.microsoft.com/office/word/2010/wordprocessingDrawing" wp14:editId="0AC81460" wp14:anchorId="347A05F5">
            <wp:extent cx="2200275" cy="742950"/>
            <wp:effectExtent l="0" t="0" r="0" b="0"/>
            <wp:docPr id="967783708" name="drawing" title="Description: :::::::Desktop:In progress desktop:TRINITY SAINT DAVID:logo:TSD_logo2010.jpg,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7783708" name="Picture 967783708"/>
                    <pic:cNvPicPr/>
                  </pic:nvPicPr>
                  <pic:blipFill>
                    <a:blip xmlns:r="http://schemas.openxmlformats.org/officeDocument/2006/relationships" r:embed="rId631099337">
                      <a:extLst>
                        <a:ext uri="{28A0092B-C50C-407E-A947-70E740481C1C}">
                          <a14:useLocalDpi xmlns:a14="http://schemas.microsoft.com/office/drawing/2010/main"/>
                        </a:ext>
                      </a:extLst>
                    </a:blip>
                    <a:stretch>
                      <a:fillRect/>
                    </a:stretch>
                  </pic:blipFill>
                  <pic:spPr>
                    <a:xfrm>
                      <a:off x="0" y="0"/>
                      <a:ext cx="2200275" cy="742950"/>
                    </a:xfrm>
                    <a:prstGeom prst="rect">
                      <a:avLst/>
                    </a:prstGeom>
                  </pic:spPr>
                </pic:pic>
              </a:graphicData>
            </a:graphic>
          </wp:inline>
        </w:drawing>
      </w:r>
      <w:r w:rsidRPr="4A2A2C44" w:rsidR="009CB6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240"/>
        <w:gridCol w:w="5730"/>
      </w:tblGrid>
      <w:tr w:rsidR="4A2A2C44" w:rsidTr="1BB85550" w14:paraId="430D6589">
        <w:trPr>
          <w:trHeight w:val="285"/>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2A2C44" w:rsidP="4A2A2C44" w:rsidRDefault="4A2A2C44" w14:paraId="4B337AD8" w14:textId="2343D31F">
            <w:pPr>
              <w:spacing w:before="120" w:after="120" w:line="360" w:lineRule="auto"/>
              <w:rPr>
                <w:rFonts w:ascii="Tahoma" w:hAnsi="Tahoma" w:eastAsia="Tahoma" w:cs="Tahoma"/>
                <w:b w:val="0"/>
                <w:bCs w:val="0"/>
                <w:i w:val="0"/>
                <w:iCs w:val="0"/>
                <w:sz w:val="32"/>
                <w:szCs w:val="32"/>
              </w:rPr>
            </w:pPr>
            <w:r w:rsidRPr="4A2A2C44" w:rsidR="4A2A2C44">
              <w:rPr>
                <w:rFonts w:ascii="Tahoma" w:hAnsi="Tahoma" w:eastAsia="Tahoma" w:cs="Tahoma"/>
                <w:b w:val="0"/>
                <w:bCs w:val="0"/>
                <w:i w:val="0"/>
                <w:iCs w:val="0"/>
                <w:sz w:val="32"/>
                <w:szCs w:val="32"/>
                <w:lang w:val="en-GB"/>
              </w:rPr>
              <w:t>Student Name:</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2A2C44" w:rsidP="4A2A2C44" w:rsidRDefault="4A2A2C44" w14:paraId="516FB28B" w14:textId="574E4D39">
            <w:pPr>
              <w:spacing w:before="120" w:after="120" w:line="360" w:lineRule="auto"/>
              <w:rPr>
                <w:rFonts w:ascii="Arial" w:hAnsi="Arial" w:eastAsia="Arial" w:cs="Arial"/>
                <w:b w:val="0"/>
                <w:bCs w:val="0"/>
                <w:i w:val="0"/>
                <w:iCs w:val="0"/>
                <w:sz w:val="32"/>
                <w:szCs w:val="32"/>
              </w:rPr>
            </w:pPr>
            <w:r w:rsidRPr="4A2A2C44" w:rsidR="4A2A2C44">
              <w:rPr>
                <w:rFonts w:ascii="Arial" w:hAnsi="Arial" w:eastAsia="Arial" w:cs="Arial"/>
                <w:b w:val="0"/>
                <w:bCs w:val="0"/>
                <w:i w:val="0"/>
                <w:iCs w:val="0"/>
                <w:sz w:val="32"/>
                <w:szCs w:val="32"/>
                <w:lang w:val="en-GB"/>
              </w:rPr>
              <w:t>Carla Tonkin</w:t>
            </w:r>
          </w:p>
        </w:tc>
      </w:tr>
      <w:tr w:rsidR="4A2A2C44" w:rsidTr="1BB85550" w14:paraId="77C0B69D">
        <w:trPr>
          <w:trHeight w:val="285"/>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2A2C44" w:rsidP="4A2A2C44" w:rsidRDefault="4A2A2C44" w14:paraId="4BD49D7A" w14:textId="37A46519">
            <w:pPr>
              <w:spacing w:before="120" w:after="120" w:line="360" w:lineRule="auto"/>
              <w:rPr>
                <w:rFonts w:ascii="Tahoma" w:hAnsi="Tahoma" w:eastAsia="Tahoma" w:cs="Tahoma"/>
                <w:b w:val="0"/>
                <w:bCs w:val="0"/>
                <w:i w:val="0"/>
                <w:iCs w:val="0"/>
                <w:sz w:val="32"/>
                <w:szCs w:val="32"/>
              </w:rPr>
            </w:pPr>
            <w:r w:rsidRPr="4A2A2C44" w:rsidR="4A2A2C44">
              <w:rPr>
                <w:rFonts w:ascii="Tahoma" w:hAnsi="Tahoma" w:eastAsia="Tahoma" w:cs="Tahoma"/>
                <w:b w:val="0"/>
                <w:bCs w:val="0"/>
                <w:i w:val="0"/>
                <w:iCs w:val="0"/>
                <w:sz w:val="32"/>
                <w:szCs w:val="32"/>
                <w:lang w:val="en-GB"/>
              </w:rPr>
              <w:t>Student Number:</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2A2C44" w:rsidP="4A2A2C44" w:rsidRDefault="4A2A2C44" w14:paraId="7C4213C6" w14:textId="74C5CB63">
            <w:pPr>
              <w:spacing w:before="120" w:after="120" w:line="360" w:lineRule="auto"/>
              <w:rPr>
                <w:rFonts w:ascii="Arial" w:hAnsi="Arial" w:eastAsia="Arial" w:cs="Arial"/>
                <w:b w:val="0"/>
                <w:bCs w:val="0"/>
                <w:i w:val="0"/>
                <w:iCs w:val="0"/>
                <w:sz w:val="32"/>
                <w:szCs w:val="32"/>
              </w:rPr>
            </w:pPr>
            <w:r w:rsidRPr="4A2A2C44" w:rsidR="4A2A2C44">
              <w:rPr>
                <w:rFonts w:ascii="Arial" w:hAnsi="Arial" w:eastAsia="Arial" w:cs="Arial"/>
                <w:b w:val="0"/>
                <w:bCs w:val="0"/>
                <w:i w:val="0"/>
                <w:iCs w:val="0"/>
                <w:sz w:val="32"/>
                <w:szCs w:val="32"/>
                <w:lang w:val="en-GB"/>
              </w:rPr>
              <w:t>2329147</w:t>
            </w:r>
          </w:p>
        </w:tc>
      </w:tr>
      <w:tr w:rsidR="4A2A2C44" w:rsidTr="1BB85550" w14:paraId="70E265D0">
        <w:trPr>
          <w:trHeight w:val="285"/>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2A2C44" w:rsidP="4A2A2C44" w:rsidRDefault="4A2A2C44" w14:paraId="4E1BC4E6" w14:textId="690F433D">
            <w:pPr>
              <w:spacing w:before="120" w:after="120" w:line="360" w:lineRule="auto"/>
              <w:rPr>
                <w:rFonts w:ascii="Tahoma" w:hAnsi="Tahoma" w:eastAsia="Tahoma" w:cs="Tahoma"/>
                <w:b w:val="0"/>
                <w:bCs w:val="0"/>
                <w:i w:val="0"/>
                <w:iCs w:val="0"/>
                <w:sz w:val="32"/>
                <w:szCs w:val="32"/>
              </w:rPr>
            </w:pPr>
            <w:r w:rsidRPr="4A2A2C44" w:rsidR="4A2A2C44">
              <w:rPr>
                <w:rFonts w:ascii="Tahoma" w:hAnsi="Tahoma" w:eastAsia="Tahoma" w:cs="Tahoma"/>
                <w:b w:val="0"/>
                <w:bCs w:val="0"/>
                <w:i w:val="0"/>
                <w:iCs w:val="0"/>
                <w:sz w:val="32"/>
                <w:szCs w:val="32"/>
                <w:lang w:val="en-GB"/>
              </w:rPr>
              <w:t>Module No:</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2A2C44" w:rsidP="1C32B63A" w:rsidRDefault="4A2A2C44" w14:paraId="3EB40EE6" w14:textId="376188C6">
            <w:pPr>
              <w:spacing w:before="120" w:after="120" w:line="360" w:lineRule="auto"/>
              <w:rPr>
                <w:rFonts w:ascii="Tahoma" w:hAnsi="Tahoma" w:eastAsia="Tahoma" w:cs="Tahoma"/>
                <w:b w:val="0"/>
                <w:bCs w:val="0"/>
                <w:i w:val="0"/>
                <w:iCs w:val="0"/>
                <w:color w:val="000000" w:themeColor="text1" w:themeTint="FF" w:themeShade="FF"/>
                <w:sz w:val="32"/>
                <w:szCs w:val="32"/>
                <w:lang w:val="en-GB"/>
              </w:rPr>
            </w:pPr>
            <w:r w:rsidRPr="1C32B63A" w:rsidR="4A2A2C44">
              <w:rPr>
                <w:rFonts w:ascii="Tahoma" w:hAnsi="Tahoma" w:eastAsia="Tahoma" w:cs="Tahoma"/>
                <w:b w:val="0"/>
                <w:bCs w:val="0"/>
                <w:i w:val="0"/>
                <w:iCs w:val="0"/>
                <w:color w:val="000000" w:themeColor="text1" w:themeTint="FF" w:themeShade="FF"/>
                <w:sz w:val="32"/>
                <w:szCs w:val="32"/>
                <w:lang w:val="en-GB"/>
              </w:rPr>
              <w:t>BMSK</w:t>
            </w:r>
            <w:r w:rsidRPr="1C32B63A" w:rsidR="449311F7">
              <w:rPr>
                <w:rFonts w:ascii="Tahoma" w:hAnsi="Tahoma" w:eastAsia="Tahoma" w:cs="Tahoma"/>
                <w:b w:val="0"/>
                <w:bCs w:val="0"/>
                <w:i w:val="0"/>
                <w:iCs w:val="0"/>
                <w:color w:val="000000" w:themeColor="text1" w:themeTint="FF" w:themeShade="FF"/>
                <w:sz w:val="32"/>
                <w:szCs w:val="32"/>
                <w:lang w:val="en-GB"/>
              </w:rPr>
              <w:t>6011</w:t>
            </w:r>
          </w:p>
        </w:tc>
      </w:tr>
      <w:tr w:rsidR="4A2A2C44" w:rsidTr="1BB85550" w14:paraId="0A77F90A">
        <w:trPr>
          <w:trHeight w:val="285"/>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2A2C44" w:rsidP="4A2A2C44" w:rsidRDefault="4A2A2C44" w14:paraId="6F864D28" w14:textId="57A62C04">
            <w:pPr>
              <w:spacing w:before="120" w:after="120" w:line="360" w:lineRule="auto"/>
              <w:rPr>
                <w:rFonts w:ascii="Tahoma" w:hAnsi="Tahoma" w:eastAsia="Tahoma" w:cs="Tahoma"/>
                <w:b w:val="0"/>
                <w:bCs w:val="0"/>
                <w:i w:val="0"/>
                <w:iCs w:val="0"/>
                <w:sz w:val="32"/>
                <w:szCs w:val="32"/>
              </w:rPr>
            </w:pPr>
            <w:r w:rsidRPr="4A2A2C44" w:rsidR="4A2A2C44">
              <w:rPr>
                <w:rFonts w:ascii="Tahoma" w:hAnsi="Tahoma" w:eastAsia="Tahoma" w:cs="Tahoma"/>
                <w:b w:val="0"/>
                <w:bCs w:val="0"/>
                <w:i w:val="0"/>
                <w:iCs w:val="0"/>
                <w:sz w:val="32"/>
                <w:szCs w:val="32"/>
                <w:lang w:val="en-GB"/>
              </w:rPr>
              <w:t>Module Title:</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2A2C44" w:rsidP="1C32B63A" w:rsidRDefault="4A2A2C44" w14:paraId="494B583B" w14:textId="6FEBE7BE">
            <w:pPr>
              <w:pStyle w:val="Title"/>
              <w:keepNext w:val="1"/>
              <w:keepLines w:val="1"/>
              <w:spacing w:before="480" w:after="120" w:line="259" w:lineRule="auto"/>
            </w:pPr>
            <w:r w:rsidRPr="1BB85550" w:rsidR="5580C0B2">
              <w:rPr>
                <w:rFonts w:ascii="Calibri" w:hAnsi="Calibri" w:eastAsia="Calibri" w:cs="Calibri"/>
                <w:b w:val="0"/>
                <w:bCs w:val="0"/>
                <w:i w:val="0"/>
                <w:iCs w:val="0"/>
                <w:color w:val="000000" w:themeColor="text1" w:themeTint="FF" w:themeShade="FF"/>
                <w:sz w:val="44"/>
                <w:szCs w:val="44"/>
                <w:lang w:val="en-GB"/>
              </w:rPr>
              <w:t xml:space="preserve">Leading and implementing workplace change </w:t>
            </w:r>
          </w:p>
        </w:tc>
      </w:tr>
    </w:tbl>
    <w:p xmlns:wp14="http://schemas.microsoft.com/office/word/2010/wordml" w:rsidP="4A2A2C44" wp14:paraId="3CA9375A" wp14:textId="1C0BA8BB">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4A2A2C44" w:rsidR="009CB67C">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4A2A2C44" wp14:paraId="4D07000B" wp14:textId="709F9989">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4A2A2C44" w:rsidR="009CB67C">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1C32B63A" wp14:paraId="1CA7B071" wp14:textId="4D62AD3C">
      <w:pPr>
        <w:spacing w:before="120" w:beforeAutospacing="off" w:after="120" w:afterAutospacing="off" w:line="360" w:lineRule="auto"/>
      </w:pPr>
      <w:r w:rsidRPr="1C32B63A" w:rsidR="009CB67C">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w:t>
      </w:r>
      <w:r w:rsidRPr="1C32B63A" w:rsidR="5E65D279">
        <w:rPr>
          <w:rFonts w:ascii="Tahoma" w:hAnsi="Tahoma" w:eastAsia="Tahoma" w:cs="Tahoma"/>
          <w:b w:val="0"/>
          <w:bCs w:val="0"/>
          <w:i w:val="0"/>
          <w:iCs w:val="0"/>
          <w:caps w:val="0"/>
          <w:smallCaps w:val="0"/>
          <w:noProof w:val="0"/>
          <w:color w:val="000000" w:themeColor="text1" w:themeTint="FF" w:themeShade="FF"/>
          <w:sz w:val="22"/>
          <w:szCs w:val="22"/>
          <w:lang w:val="en-GB"/>
        </w:rPr>
        <w:t>L</w:t>
      </w:r>
    </w:p>
    <w:p xmlns:wp14="http://schemas.microsoft.com/office/word/2010/wordml" w:rsidP="1C32B63A" wp14:paraId="4E94BF2F" wp14:textId="766FDD60">
      <w:pPr>
        <w:bidi w:val="0"/>
        <w:spacing w:before="120" w:beforeAutospacing="off" w:after="120" w:afterAutospacing="off" w:line="360" w:lineRule="auto"/>
        <w:rPr>
          <w:rFonts w:ascii="Aptos" w:hAnsi="Aptos" w:eastAsia="Aptos" w:cs="Aptos"/>
          <w:noProof w:val="0"/>
          <w:sz w:val="24"/>
          <w:szCs w:val="24"/>
          <w:lang w:val="en-GB"/>
        </w:rPr>
      </w:pPr>
    </w:p>
    <w:p xmlns:wp14="http://schemas.microsoft.com/office/word/2010/wordml" w:rsidP="1C32B63A" wp14:paraId="6A16DA9D" wp14:textId="032F4444">
      <w:pPr>
        <w:spacing w:before="240" w:beforeAutospacing="off" w:after="240" w:afterAutospacing="off"/>
        <w:rPr>
          <w:rFonts w:ascii="Aptos" w:hAnsi="Aptos" w:eastAsia="Aptos" w:cs="Aptos"/>
          <w:noProof w:val="0"/>
          <w:sz w:val="24"/>
          <w:szCs w:val="24"/>
          <w:lang w:val="en-GB"/>
        </w:rPr>
      </w:pPr>
    </w:p>
    <w:p xmlns:wp14="http://schemas.microsoft.com/office/word/2010/wordml" w:rsidP="1BB85550" wp14:paraId="0E3F2000" wp14:textId="5BA73F2F">
      <w:pPr>
        <w:pStyle w:val="Normal"/>
        <w:spacing w:before="240" w:beforeAutospacing="off" w:after="240" w:afterAutospacing="off"/>
      </w:pPr>
    </w:p>
    <w:p xmlns:wp14="http://schemas.microsoft.com/office/word/2010/wordml" w:rsidP="1C32B63A" wp14:paraId="47527AF0" wp14:textId="6898D5C9">
      <w:pPr>
        <w:pStyle w:val="Normal"/>
        <w:spacing w:before="299" w:beforeAutospacing="off" w:after="299" w:afterAutospacing="off"/>
        <w:rPr>
          <w:rFonts w:ascii="Aptos" w:hAnsi="Aptos" w:eastAsia="Aptos" w:cs="Aptos"/>
          <w:noProof w:val="0"/>
          <w:sz w:val="24"/>
          <w:szCs w:val="24"/>
          <w:lang w:val="en-GB"/>
        </w:rPr>
      </w:pPr>
    </w:p>
    <w:p xmlns:wp14="http://schemas.microsoft.com/office/word/2010/wordml" w:rsidP="4A2A2C44" wp14:paraId="7D4C81A3" wp14:textId="0EE10F60">
      <w:pPr>
        <w:spacing w:before="240" w:beforeAutospacing="off" w:after="240" w:afterAutospacing="off"/>
      </w:pPr>
      <w:r w:rsidRPr="1C32B63A" w:rsidR="43DEC53E">
        <w:rPr>
          <w:rFonts w:ascii="Aptos" w:hAnsi="Aptos" w:eastAsia="Aptos" w:cs="Aptos"/>
          <w:noProof w:val="0"/>
          <w:sz w:val="24"/>
          <w:szCs w:val="24"/>
          <w:lang w:val="en-GB"/>
        </w:rPr>
        <w:t xml:space="preserve"> </w:t>
      </w:r>
    </w:p>
    <w:p w:rsidR="1C32B63A" w:rsidP="1BB85550" w:rsidRDefault="1C32B63A" w14:paraId="46BE953C" w14:textId="6E23A1F1">
      <w:pPr>
        <w:pStyle w:val="Normal"/>
        <w:spacing w:before="240" w:beforeAutospacing="off" w:after="240" w:afterAutospacing="off"/>
        <w:rPr>
          <w:rFonts w:ascii="Aptos" w:hAnsi="Aptos" w:eastAsia="Aptos" w:cs="Aptos"/>
          <w:noProof w:val="0"/>
          <w:sz w:val="24"/>
          <w:szCs w:val="24"/>
          <w:lang w:val="en-GB"/>
        </w:rPr>
      </w:pPr>
    </w:p>
    <w:sdt>
      <w:sdtPr>
        <w:id w:val="1345426023"/>
        <w:docPartObj>
          <w:docPartGallery w:val="Table of Contents"/>
          <w:docPartUnique/>
        </w:docPartObj>
      </w:sdtPr>
      <w:sdtContent>
        <w:p w:rsidR="1C32B63A" w:rsidP="1BB85550" w:rsidRDefault="1C32B63A" w14:paraId="0DB9A249" w14:textId="424BC025">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"_Toc144927733" </w:instrText>
          </w:r>
          <w:r>
            <w:fldChar w:fldCharType="separate"/>
          </w:r>
          <w:r w:rsidR="1BB85550">
            <w:rPr/>
            <w:t>Leading and Implementing Workplace Change at Lextan</w:t>
          </w:r>
          <w:r>
            <w:tab/>
          </w:r>
          <w:r>
            <w:fldChar w:fldCharType="begin"/>
          </w:r>
          <w:r>
            <w:instrText xml:space="preserve">PAGEREF _Toc144927733 \h</w:instrText>
          </w:r>
          <w:r>
            <w:fldChar w:fldCharType="separate"/>
          </w:r>
          <w:r w:rsidR="1BB85550">
            <w:rPr/>
            <w:t>2</w:t>
          </w:r>
          <w:r>
            <w:fldChar w:fldCharType="end"/>
          </w:r>
          <w:r>
            <w:fldChar w:fldCharType="end"/>
          </w:r>
        </w:p>
        <w:p w:rsidR="1C32B63A" w:rsidP="1BB85550" w:rsidRDefault="1C32B63A" w14:paraId="1EC762C3" w14:textId="3AB89B37">
          <w:pPr>
            <w:pStyle w:val="TOC1"/>
            <w:tabs>
              <w:tab w:val="right" w:leader="dot" w:pos="9015"/>
            </w:tabs>
            <w:bidi w:val="0"/>
          </w:pPr>
          <w:r>
            <w:fldChar w:fldCharType="begin"/>
          </w:r>
          <w:r>
            <w:instrText xml:space="preserve">HYPERLINK  \l  "_Toc151308048" </w:instrText>
          </w:r>
          <w:r>
            <w:fldChar w:fldCharType="separate"/>
          </w:r>
          <w:r w:rsidR="1BB85550">
            <w:rPr/>
            <w:t>Introduction</w:t>
          </w:r>
          <w:r>
            <w:tab/>
          </w:r>
          <w:r>
            <w:fldChar w:fldCharType="begin"/>
          </w:r>
          <w:r>
            <w:instrText xml:space="preserve">PAGEREF _Toc151308048 \h</w:instrText>
          </w:r>
          <w:r>
            <w:fldChar w:fldCharType="separate"/>
          </w:r>
          <w:r w:rsidR="1BB85550">
            <w:rPr/>
            <w:t>2</w:t>
          </w:r>
          <w:r>
            <w:fldChar w:fldCharType="end"/>
          </w:r>
          <w:r>
            <w:fldChar w:fldCharType="end"/>
          </w:r>
        </w:p>
        <w:p w:rsidR="1C32B63A" w:rsidP="1BB85550" w:rsidRDefault="1C32B63A" w14:paraId="2E530216" w14:textId="59CCB152">
          <w:pPr>
            <w:pStyle w:val="TOC1"/>
            <w:tabs>
              <w:tab w:val="right" w:leader="dot" w:pos="9015"/>
            </w:tabs>
            <w:bidi w:val="0"/>
          </w:pPr>
          <w:r>
            <w:fldChar w:fldCharType="begin"/>
          </w:r>
          <w:r>
            <w:instrText xml:space="preserve">HYPERLINK  \l  "_Toc381648702" </w:instrText>
          </w:r>
          <w:r>
            <w:fldChar w:fldCharType="separate"/>
          </w:r>
          <w:r w:rsidR="1BB85550">
            <w:rPr/>
            <w:t>Organisational context and focal change</w:t>
          </w:r>
          <w:r>
            <w:tab/>
          </w:r>
          <w:r>
            <w:fldChar w:fldCharType="begin"/>
          </w:r>
          <w:r>
            <w:instrText xml:space="preserve">PAGEREF _Toc381648702 \h</w:instrText>
          </w:r>
          <w:r>
            <w:fldChar w:fldCharType="separate"/>
          </w:r>
          <w:r w:rsidR="1BB85550">
            <w:rPr/>
            <w:t>2</w:t>
          </w:r>
          <w:r>
            <w:fldChar w:fldCharType="end"/>
          </w:r>
          <w:r>
            <w:fldChar w:fldCharType="end"/>
          </w:r>
        </w:p>
        <w:p w:rsidR="1C32B63A" w:rsidP="1BB85550" w:rsidRDefault="1C32B63A" w14:paraId="57C668B6" w14:textId="24D16C06">
          <w:pPr>
            <w:pStyle w:val="TOC1"/>
            <w:tabs>
              <w:tab w:val="right" w:leader="dot" w:pos="9015"/>
            </w:tabs>
            <w:bidi w:val="0"/>
          </w:pPr>
          <w:r>
            <w:fldChar w:fldCharType="begin"/>
          </w:r>
          <w:r>
            <w:instrText xml:space="preserve">HYPERLINK  \l  "_Toc539105213" </w:instrText>
          </w:r>
          <w:r>
            <w:fldChar w:fldCharType="separate"/>
          </w:r>
          <w:r w:rsidR="1BB85550">
            <w:rPr/>
            <w:t>Current forces for change</w:t>
          </w:r>
          <w:r>
            <w:tab/>
          </w:r>
          <w:r>
            <w:fldChar w:fldCharType="begin"/>
          </w:r>
          <w:r>
            <w:instrText xml:space="preserve">PAGEREF _Toc539105213 \h</w:instrText>
          </w:r>
          <w:r>
            <w:fldChar w:fldCharType="separate"/>
          </w:r>
          <w:r w:rsidR="1BB85550">
            <w:rPr/>
            <w:t>3</w:t>
          </w:r>
          <w:r>
            <w:fldChar w:fldCharType="end"/>
          </w:r>
          <w:r>
            <w:fldChar w:fldCharType="end"/>
          </w:r>
        </w:p>
        <w:p w:rsidR="1C32B63A" w:rsidP="1BB85550" w:rsidRDefault="1C32B63A" w14:paraId="0CFABEBA" w14:textId="14D94CDE">
          <w:pPr>
            <w:pStyle w:val="TOC2"/>
            <w:tabs>
              <w:tab w:val="right" w:leader="dot" w:pos="9015"/>
            </w:tabs>
            <w:bidi w:val="0"/>
          </w:pPr>
          <w:r>
            <w:fldChar w:fldCharType="begin"/>
          </w:r>
          <w:r>
            <w:instrText xml:space="preserve">HYPERLINK  \l  "_Toc2101494671" </w:instrText>
          </w:r>
          <w:r>
            <w:fldChar w:fldCharType="separate"/>
          </w:r>
          <w:r w:rsidR="1BB85550">
            <w:rPr/>
            <w:t>Analytical approach and limitations</w:t>
          </w:r>
          <w:r>
            <w:tab/>
          </w:r>
          <w:r>
            <w:fldChar w:fldCharType="begin"/>
          </w:r>
          <w:r>
            <w:instrText xml:space="preserve">PAGEREF _Toc2101494671 \h</w:instrText>
          </w:r>
          <w:r>
            <w:fldChar w:fldCharType="separate"/>
          </w:r>
          <w:r w:rsidR="1BB85550">
            <w:rPr/>
            <w:t>3</w:t>
          </w:r>
          <w:r>
            <w:fldChar w:fldCharType="end"/>
          </w:r>
          <w:r>
            <w:fldChar w:fldCharType="end"/>
          </w:r>
        </w:p>
        <w:p w:rsidR="1C32B63A" w:rsidP="1BB85550" w:rsidRDefault="1C32B63A" w14:paraId="5CC1479B" w14:textId="198B3D46">
          <w:pPr>
            <w:pStyle w:val="TOC2"/>
            <w:tabs>
              <w:tab w:val="right" w:leader="dot" w:pos="9015"/>
            </w:tabs>
            <w:bidi w:val="0"/>
          </w:pPr>
          <w:r>
            <w:fldChar w:fldCharType="begin"/>
          </w:r>
          <w:r>
            <w:instrText xml:space="preserve">HYPERLINK  \l  "_Toc732158317" </w:instrText>
          </w:r>
          <w:r>
            <w:fldChar w:fldCharType="separate"/>
          </w:r>
          <w:r w:rsidR="1BB85550">
            <w:rPr/>
            <w:t>PESTLE analysis of the macro environment</w:t>
          </w:r>
          <w:r>
            <w:tab/>
          </w:r>
          <w:r>
            <w:fldChar w:fldCharType="begin"/>
          </w:r>
          <w:r>
            <w:instrText xml:space="preserve">PAGEREF _Toc732158317 \h</w:instrText>
          </w:r>
          <w:r>
            <w:fldChar w:fldCharType="separate"/>
          </w:r>
          <w:r w:rsidR="1BB85550">
            <w:rPr/>
            <w:t>4</w:t>
          </w:r>
          <w:r>
            <w:fldChar w:fldCharType="end"/>
          </w:r>
          <w:r>
            <w:fldChar w:fldCharType="end"/>
          </w:r>
        </w:p>
        <w:p w:rsidR="1C32B63A" w:rsidP="1BB85550" w:rsidRDefault="1C32B63A" w14:paraId="27D2BA3C" w14:textId="7D26D006">
          <w:pPr>
            <w:pStyle w:val="TOC2"/>
            <w:tabs>
              <w:tab w:val="right" w:leader="dot" w:pos="9015"/>
            </w:tabs>
            <w:bidi w:val="0"/>
          </w:pPr>
          <w:r>
            <w:fldChar w:fldCharType="begin"/>
          </w:r>
          <w:r>
            <w:instrText xml:space="preserve">HYPERLINK  \l  "_Toc160118403" </w:instrText>
          </w:r>
          <w:r>
            <w:fldChar w:fldCharType="separate"/>
          </w:r>
          <w:r w:rsidR="1BB85550">
            <w:rPr/>
            <w:t>SWOT analysis of the micro environment</w:t>
          </w:r>
          <w:r>
            <w:tab/>
          </w:r>
          <w:r>
            <w:fldChar w:fldCharType="begin"/>
          </w:r>
          <w:r>
            <w:instrText xml:space="preserve">PAGEREF _Toc160118403 \h</w:instrText>
          </w:r>
          <w:r>
            <w:fldChar w:fldCharType="separate"/>
          </w:r>
          <w:r w:rsidR="1BB85550">
            <w:rPr/>
            <w:t>5</w:t>
          </w:r>
          <w:r>
            <w:fldChar w:fldCharType="end"/>
          </w:r>
          <w:r>
            <w:fldChar w:fldCharType="end"/>
          </w:r>
        </w:p>
        <w:p w:rsidR="1C32B63A" w:rsidP="1BB85550" w:rsidRDefault="1C32B63A" w14:paraId="0C299A19" w14:textId="2E08D46C">
          <w:pPr>
            <w:pStyle w:val="TOC2"/>
            <w:tabs>
              <w:tab w:val="right" w:leader="dot" w:pos="9015"/>
            </w:tabs>
            <w:bidi w:val="0"/>
          </w:pPr>
          <w:r>
            <w:fldChar w:fldCharType="begin"/>
          </w:r>
          <w:r>
            <w:instrText xml:space="preserve">HYPERLINK  \l  "_Toc1830860688" </w:instrText>
          </w:r>
          <w:r>
            <w:fldChar w:fldCharType="separate"/>
          </w:r>
          <w:r w:rsidR="1BB85550">
            <w:rPr/>
            <w:t>Implications for workplace culture and capability</w:t>
          </w:r>
          <w:r>
            <w:tab/>
          </w:r>
          <w:r>
            <w:fldChar w:fldCharType="begin"/>
          </w:r>
          <w:r>
            <w:instrText xml:space="preserve">PAGEREF _Toc1830860688 \h</w:instrText>
          </w:r>
          <w:r>
            <w:fldChar w:fldCharType="separate"/>
          </w:r>
          <w:r w:rsidR="1BB85550">
            <w:rPr/>
            <w:t>6</w:t>
          </w:r>
          <w:r>
            <w:fldChar w:fldCharType="end"/>
          </w:r>
          <w:r>
            <w:fldChar w:fldCharType="end"/>
          </w:r>
        </w:p>
        <w:p w:rsidR="1C32B63A" w:rsidP="1BB85550" w:rsidRDefault="1C32B63A" w14:paraId="395D75B7" w14:textId="3A801674">
          <w:pPr>
            <w:pStyle w:val="TOC1"/>
            <w:tabs>
              <w:tab w:val="right" w:leader="dot" w:pos="9015"/>
            </w:tabs>
            <w:bidi w:val="0"/>
          </w:pPr>
          <w:r>
            <w:fldChar w:fldCharType="begin"/>
          </w:r>
          <w:r>
            <w:instrText xml:space="preserve">HYPERLINK  \l  "_Toc240650606" </w:instrText>
          </w:r>
          <w:r>
            <w:fldChar w:fldCharType="separate"/>
          </w:r>
          <w:r w:rsidR="1BB85550">
            <w:rPr/>
            <w:t>Leading stakeholders through complex change</w:t>
          </w:r>
          <w:r>
            <w:tab/>
          </w:r>
          <w:r>
            <w:fldChar w:fldCharType="begin"/>
          </w:r>
          <w:r>
            <w:instrText xml:space="preserve">PAGEREF _Toc240650606 \h</w:instrText>
          </w:r>
          <w:r>
            <w:fldChar w:fldCharType="separate"/>
          </w:r>
          <w:r w:rsidR="1BB85550">
            <w:rPr/>
            <w:t>6</w:t>
          </w:r>
          <w:r>
            <w:fldChar w:fldCharType="end"/>
          </w:r>
          <w:r>
            <w:fldChar w:fldCharType="end"/>
          </w:r>
        </w:p>
        <w:p w:rsidR="1C32B63A" w:rsidP="1BB85550" w:rsidRDefault="1C32B63A" w14:paraId="4E762437" w14:textId="4483BDCF">
          <w:pPr>
            <w:pStyle w:val="TOC2"/>
            <w:tabs>
              <w:tab w:val="right" w:leader="dot" w:pos="9015"/>
            </w:tabs>
            <w:bidi w:val="0"/>
          </w:pPr>
          <w:r>
            <w:fldChar w:fldCharType="begin"/>
          </w:r>
          <w:r>
            <w:instrText xml:space="preserve">HYPERLINK  \l  "_Toc1632795511" </w:instrText>
          </w:r>
          <w:r>
            <w:fldChar w:fldCharType="separate"/>
          </w:r>
          <w:r w:rsidR="1BB85550">
            <w:rPr/>
            <w:t>Stakeholder identification and analysis</w:t>
          </w:r>
          <w:r>
            <w:tab/>
          </w:r>
          <w:r>
            <w:fldChar w:fldCharType="begin"/>
          </w:r>
          <w:r>
            <w:instrText xml:space="preserve">PAGEREF _Toc1632795511 \h</w:instrText>
          </w:r>
          <w:r>
            <w:fldChar w:fldCharType="separate"/>
          </w:r>
          <w:r w:rsidR="1BB85550">
            <w:rPr/>
            <w:t>6</w:t>
          </w:r>
          <w:r>
            <w:fldChar w:fldCharType="end"/>
          </w:r>
          <w:r>
            <w:fldChar w:fldCharType="end"/>
          </w:r>
        </w:p>
        <w:p w:rsidR="1C32B63A" w:rsidP="1BB85550" w:rsidRDefault="1C32B63A" w14:paraId="5007AF34" w14:textId="60EDE4C4">
          <w:pPr>
            <w:pStyle w:val="TOC2"/>
            <w:tabs>
              <w:tab w:val="right" w:leader="dot" w:pos="9015"/>
            </w:tabs>
            <w:bidi w:val="0"/>
          </w:pPr>
          <w:r>
            <w:fldChar w:fldCharType="begin"/>
          </w:r>
          <w:r>
            <w:instrText xml:space="preserve">HYPERLINK  \l  "_Toc1918750793" </w:instrText>
          </w:r>
          <w:r>
            <w:fldChar w:fldCharType="separate"/>
          </w:r>
          <w:r w:rsidR="1BB85550">
            <w:rPr/>
            <w:t>Organisational politics power and the change agent</w:t>
          </w:r>
          <w:r>
            <w:tab/>
          </w:r>
          <w:r>
            <w:fldChar w:fldCharType="begin"/>
          </w:r>
          <w:r>
            <w:instrText xml:space="preserve">PAGEREF _Toc1918750793 \h</w:instrText>
          </w:r>
          <w:r>
            <w:fldChar w:fldCharType="separate"/>
          </w:r>
          <w:r w:rsidR="1BB85550">
            <w:rPr/>
            <w:t>8</w:t>
          </w:r>
          <w:r>
            <w:fldChar w:fldCharType="end"/>
          </w:r>
          <w:r>
            <w:fldChar w:fldCharType="end"/>
          </w:r>
        </w:p>
        <w:p w:rsidR="1C32B63A" w:rsidP="1BB85550" w:rsidRDefault="1C32B63A" w14:paraId="12F4D86B" w14:textId="0F19957D">
          <w:pPr>
            <w:pStyle w:val="TOC2"/>
            <w:tabs>
              <w:tab w:val="right" w:leader="dot" w:pos="9015"/>
            </w:tabs>
            <w:bidi w:val="0"/>
          </w:pPr>
          <w:r>
            <w:fldChar w:fldCharType="begin"/>
          </w:r>
          <w:r>
            <w:instrText xml:space="preserve">HYPERLINK  \l  "_Toc535650898" </w:instrText>
          </w:r>
          <w:r>
            <w:fldChar w:fldCharType="separate"/>
          </w:r>
          <w:r w:rsidR="1BB85550">
            <w:rPr/>
            <w:t>Stakeholder leadership and communication</w:t>
          </w:r>
          <w:r>
            <w:tab/>
          </w:r>
          <w:r>
            <w:fldChar w:fldCharType="begin"/>
          </w:r>
          <w:r>
            <w:instrText xml:space="preserve">PAGEREF _Toc535650898 \h</w:instrText>
          </w:r>
          <w:r>
            <w:fldChar w:fldCharType="separate"/>
          </w:r>
          <w:r w:rsidR="1BB85550">
            <w:rPr/>
            <w:t>9</w:t>
          </w:r>
          <w:r>
            <w:fldChar w:fldCharType="end"/>
          </w:r>
          <w:r>
            <w:fldChar w:fldCharType="end"/>
          </w:r>
        </w:p>
        <w:p w:rsidR="1C32B63A" w:rsidP="1BB85550" w:rsidRDefault="1C32B63A" w14:paraId="12831B2E" w14:textId="03ED7AC1">
          <w:pPr>
            <w:pStyle w:val="TOC2"/>
            <w:tabs>
              <w:tab w:val="right" w:leader="dot" w:pos="9015"/>
            </w:tabs>
            <w:bidi w:val="0"/>
          </w:pPr>
          <w:r>
            <w:fldChar w:fldCharType="begin"/>
          </w:r>
          <w:r>
            <w:instrText xml:space="preserve">HYPERLINK  \l  "_Toc1092184775" </w:instrText>
          </w:r>
          <w:r>
            <w:fldChar w:fldCharType="separate"/>
          </w:r>
          <w:r w:rsidR="1BB85550">
            <w:rPr/>
            <w:t>Implementing and sustaining the change</w:t>
          </w:r>
          <w:r>
            <w:tab/>
          </w:r>
          <w:r>
            <w:fldChar w:fldCharType="begin"/>
          </w:r>
          <w:r>
            <w:instrText xml:space="preserve">PAGEREF _Toc1092184775 \h</w:instrText>
          </w:r>
          <w:r>
            <w:fldChar w:fldCharType="separate"/>
          </w:r>
          <w:r w:rsidR="1BB85550">
            <w:rPr/>
            <w:t>9</w:t>
          </w:r>
          <w:r>
            <w:fldChar w:fldCharType="end"/>
          </w:r>
          <w:r>
            <w:fldChar w:fldCharType="end"/>
          </w:r>
        </w:p>
        <w:p w:rsidR="1C32B63A" w:rsidP="1BB85550" w:rsidRDefault="1C32B63A" w14:paraId="5EE58AA1" w14:textId="73783F23">
          <w:pPr>
            <w:pStyle w:val="TOC2"/>
            <w:tabs>
              <w:tab w:val="right" w:leader="dot" w:pos="9015"/>
            </w:tabs>
            <w:bidi w:val="0"/>
          </w:pPr>
          <w:r>
            <w:fldChar w:fldCharType="begin"/>
          </w:r>
          <w:r>
            <w:instrText xml:space="preserve">HYPERLINK  \l  "_Toc334226254" </w:instrText>
          </w:r>
          <w:r>
            <w:fldChar w:fldCharType="separate"/>
          </w:r>
          <w:r w:rsidR="1BB85550">
            <w:rPr/>
            <w:t>Resistance emotions and conflict</w:t>
          </w:r>
          <w:r>
            <w:tab/>
          </w:r>
          <w:r>
            <w:fldChar w:fldCharType="begin"/>
          </w:r>
          <w:r>
            <w:instrText xml:space="preserve">PAGEREF _Toc334226254 \h</w:instrText>
          </w:r>
          <w:r>
            <w:fldChar w:fldCharType="separate"/>
          </w:r>
          <w:r w:rsidR="1BB85550">
            <w:rPr/>
            <w:t>10</w:t>
          </w:r>
          <w:r>
            <w:fldChar w:fldCharType="end"/>
          </w:r>
          <w:r>
            <w:fldChar w:fldCharType="end"/>
          </w:r>
        </w:p>
        <w:p w:rsidR="1C32B63A" w:rsidP="1BB85550" w:rsidRDefault="1C32B63A" w14:paraId="6C980925" w14:textId="0A20C148">
          <w:pPr>
            <w:pStyle w:val="TOC1"/>
            <w:tabs>
              <w:tab w:val="right" w:leader="dot" w:pos="9015"/>
            </w:tabs>
            <w:bidi w:val="0"/>
          </w:pPr>
          <w:r>
            <w:fldChar w:fldCharType="begin"/>
          </w:r>
          <w:r>
            <w:instrText xml:space="preserve">HYPERLINK  \l  "_Toc1438940530" </w:instrText>
          </w:r>
          <w:r>
            <w:fldChar w:fldCharType="separate"/>
          </w:r>
          <w:r w:rsidR="1BB85550">
            <w:rPr/>
            <w:t>Recommendations</w:t>
          </w:r>
          <w:r>
            <w:tab/>
          </w:r>
          <w:r>
            <w:fldChar w:fldCharType="begin"/>
          </w:r>
          <w:r>
            <w:instrText xml:space="preserve">PAGEREF _Toc1438940530 \h</w:instrText>
          </w:r>
          <w:r>
            <w:fldChar w:fldCharType="separate"/>
          </w:r>
          <w:r w:rsidR="1BB85550">
            <w:rPr/>
            <w:t>12</w:t>
          </w:r>
          <w:r>
            <w:fldChar w:fldCharType="end"/>
          </w:r>
          <w:r>
            <w:fldChar w:fldCharType="end"/>
          </w:r>
        </w:p>
        <w:p w:rsidR="1C32B63A" w:rsidP="1BB85550" w:rsidRDefault="1C32B63A" w14:paraId="773301DA" w14:textId="36616AEF">
          <w:pPr>
            <w:pStyle w:val="TOC1"/>
            <w:tabs>
              <w:tab w:val="right" w:leader="dot" w:pos="9015"/>
            </w:tabs>
            <w:bidi w:val="0"/>
          </w:pPr>
          <w:r>
            <w:fldChar w:fldCharType="begin"/>
          </w:r>
          <w:r>
            <w:instrText xml:space="preserve">HYPERLINK  \l  "_Toc890412199" </w:instrText>
          </w:r>
          <w:r>
            <w:fldChar w:fldCharType="separate"/>
          </w:r>
          <w:r w:rsidR="1BB85550">
            <w:rPr/>
            <w:t>Conclusion</w:t>
          </w:r>
          <w:r>
            <w:tab/>
          </w:r>
          <w:r>
            <w:fldChar w:fldCharType="begin"/>
          </w:r>
          <w:r>
            <w:instrText xml:space="preserve">PAGEREF _Toc890412199 \h</w:instrText>
          </w:r>
          <w:r>
            <w:fldChar w:fldCharType="separate"/>
          </w:r>
          <w:r w:rsidR="1BB85550">
            <w:rPr/>
            <w:t>12</w:t>
          </w:r>
          <w:r>
            <w:fldChar w:fldCharType="end"/>
          </w:r>
          <w:r>
            <w:fldChar w:fldCharType="end"/>
          </w:r>
        </w:p>
        <w:p w:rsidR="1C32B63A" w:rsidP="1BB85550" w:rsidRDefault="1C32B63A" w14:paraId="52DDA337" w14:textId="04954A56">
          <w:pPr>
            <w:pStyle w:val="TOC1"/>
            <w:tabs>
              <w:tab w:val="right" w:leader="dot" w:pos="9015"/>
            </w:tabs>
            <w:bidi w:val="0"/>
          </w:pPr>
          <w:r>
            <w:fldChar w:fldCharType="begin"/>
          </w:r>
          <w:r>
            <w:instrText xml:space="preserve">HYPERLINK  \l  "_Toc278492774" </w:instrText>
          </w:r>
          <w:r>
            <w:fldChar w:fldCharType="separate"/>
          </w:r>
          <w:r w:rsidR="1BB85550">
            <w:rPr/>
            <w:t>References</w:t>
          </w:r>
          <w:r>
            <w:tab/>
          </w:r>
          <w:r>
            <w:fldChar w:fldCharType="begin"/>
          </w:r>
          <w:r>
            <w:instrText xml:space="preserve">PAGEREF _Toc278492774 \h</w:instrText>
          </w:r>
          <w:r>
            <w:fldChar w:fldCharType="separate"/>
          </w:r>
          <w:r w:rsidR="1BB85550">
            <w:rPr/>
            <w:t>13</w:t>
          </w:r>
          <w:r>
            <w:fldChar w:fldCharType="end"/>
          </w:r>
          <w:r>
            <w:fldChar w:fldCharType="end"/>
          </w:r>
        </w:p>
        <w:p w:rsidR="1C32B63A" w:rsidP="1BB85550" w:rsidRDefault="1C32B63A" w14:paraId="510FB64C" w14:textId="28E35382">
          <w:pPr>
            <w:pStyle w:val="TOC1"/>
            <w:tabs>
              <w:tab w:val="right" w:leader="dot" w:pos="9015"/>
            </w:tabs>
            <w:bidi w:val="0"/>
          </w:pPr>
          <w:r>
            <w:fldChar w:fldCharType="begin"/>
          </w:r>
          <w:r>
            <w:instrText xml:space="preserve">HYPERLINK  \l  "_Toc1691286445" </w:instrText>
          </w:r>
          <w:r>
            <w:fldChar w:fldCharType="separate"/>
          </w:r>
          <w:r w:rsidR="1BB85550">
            <w:rPr/>
            <w:t>Appendix A PESTLE analysis</w:t>
          </w:r>
          <w:r>
            <w:tab/>
          </w:r>
          <w:r>
            <w:fldChar w:fldCharType="begin"/>
          </w:r>
          <w:r>
            <w:instrText xml:space="preserve">PAGEREF _Toc1691286445 \h</w:instrText>
          </w:r>
          <w:r>
            <w:fldChar w:fldCharType="separate"/>
          </w:r>
          <w:r w:rsidR="1BB85550">
            <w:rPr/>
            <w:t>16</w:t>
          </w:r>
          <w:r>
            <w:fldChar w:fldCharType="end"/>
          </w:r>
          <w:r>
            <w:fldChar w:fldCharType="end"/>
          </w:r>
        </w:p>
        <w:p w:rsidR="1C32B63A" w:rsidP="1BB85550" w:rsidRDefault="1C32B63A" w14:paraId="462C0729" w14:textId="6DF2BC29">
          <w:pPr>
            <w:pStyle w:val="TOC2"/>
            <w:tabs>
              <w:tab w:val="right" w:leader="dot" w:pos="9015"/>
            </w:tabs>
            <w:bidi w:val="0"/>
          </w:pPr>
          <w:r>
            <w:fldChar w:fldCharType="begin"/>
          </w:r>
          <w:r>
            <w:instrText xml:space="preserve">HYPERLINK  \l  "_Toc375728330" </w:instrText>
          </w:r>
          <w:r>
            <w:fldChar w:fldCharType="separate"/>
          </w:r>
          <w:r w:rsidR="1BB85550">
            <w:rPr/>
            <w:t>Political and public-health factors</w:t>
          </w:r>
          <w:r>
            <w:tab/>
          </w:r>
          <w:r>
            <w:fldChar w:fldCharType="begin"/>
          </w:r>
          <w:r>
            <w:instrText xml:space="preserve">PAGEREF _Toc375728330 \h</w:instrText>
          </w:r>
          <w:r>
            <w:fldChar w:fldCharType="separate"/>
          </w:r>
          <w:r w:rsidR="1BB85550">
            <w:rPr/>
            <w:t>16</w:t>
          </w:r>
          <w:r>
            <w:fldChar w:fldCharType="end"/>
          </w:r>
          <w:r>
            <w:fldChar w:fldCharType="end"/>
          </w:r>
        </w:p>
        <w:p w:rsidR="1C32B63A" w:rsidP="1BB85550" w:rsidRDefault="1C32B63A" w14:paraId="2CA5579D" w14:textId="7D1E9A51">
          <w:pPr>
            <w:pStyle w:val="TOC2"/>
            <w:tabs>
              <w:tab w:val="right" w:leader="dot" w:pos="9015"/>
            </w:tabs>
            <w:bidi w:val="0"/>
          </w:pPr>
          <w:r>
            <w:fldChar w:fldCharType="begin"/>
          </w:r>
          <w:r>
            <w:instrText xml:space="preserve">HYPERLINK  \l  "_Toc1068468885" </w:instrText>
          </w:r>
          <w:r>
            <w:fldChar w:fldCharType="separate"/>
          </w:r>
          <w:r w:rsidR="1BB85550">
            <w:rPr/>
            <w:t>Economic factors</w:t>
          </w:r>
          <w:r>
            <w:tab/>
          </w:r>
          <w:r>
            <w:fldChar w:fldCharType="begin"/>
          </w:r>
          <w:r>
            <w:instrText xml:space="preserve">PAGEREF _Toc1068468885 \h</w:instrText>
          </w:r>
          <w:r>
            <w:fldChar w:fldCharType="separate"/>
          </w:r>
          <w:r w:rsidR="1BB85550">
            <w:rPr/>
            <w:t>16</w:t>
          </w:r>
          <w:r>
            <w:fldChar w:fldCharType="end"/>
          </w:r>
          <w:r>
            <w:fldChar w:fldCharType="end"/>
          </w:r>
        </w:p>
        <w:p w:rsidR="1C32B63A" w:rsidP="1BB85550" w:rsidRDefault="1C32B63A" w14:paraId="0A463FA1" w14:textId="08DCB2EE">
          <w:pPr>
            <w:pStyle w:val="TOC2"/>
            <w:tabs>
              <w:tab w:val="right" w:leader="dot" w:pos="9015"/>
            </w:tabs>
            <w:bidi w:val="0"/>
          </w:pPr>
          <w:r>
            <w:fldChar w:fldCharType="begin"/>
          </w:r>
          <w:r>
            <w:instrText xml:space="preserve">HYPERLINK  \l  "_Toc1736345555" </w:instrText>
          </w:r>
          <w:r>
            <w:fldChar w:fldCharType="separate"/>
          </w:r>
          <w:r w:rsidR="1BB85550">
            <w:rPr/>
            <w:t>Social factors</w:t>
          </w:r>
          <w:r>
            <w:tab/>
          </w:r>
          <w:r>
            <w:fldChar w:fldCharType="begin"/>
          </w:r>
          <w:r>
            <w:instrText xml:space="preserve">PAGEREF _Toc1736345555 \h</w:instrText>
          </w:r>
          <w:r>
            <w:fldChar w:fldCharType="separate"/>
          </w:r>
          <w:r w:rsidR="1BB85550">
            <w:rPr/>
            <w:t>17</w:t>
          </w:r>
          <w:r>
            <w:fldChar w:fldCharType="end"/>
          </w:r>
          <w:r>
            <w:fldChar w:fldCharType="end"/>
          </w:r>
        </w:p>
        <w:p w:rsidR="1C32B63A" w:rsidP="1BB85550" w:rsidRDefault="1C32B63A" w14:paraId="1FD03BB6" w14:textId="091643F6">
          <w:pPr>
            <w:pStyle w:val="TOC2"/>
            <w:tabs>
              <w:tab w:val="right" w:leader="dot" w:pos="9015"/>
            </w:tabs>
            <w:bidi w:val="0"/>
          </w:pPr>
          <w:r>
            <w:fldChar w:fldCharType="begin"/>
          </w:r>
          <w:r>
            <w:instrText xml:space="preserve">HYPERLINK  \l  "_Toc1430347581" </w:instrText>
          </w:r>
          <w:r>
            <w:fldChar w:fldCharType="separate"/>
          </w:r>
          <w:r w:rsidR="1BB85550">
            <w:rPr/>
            <w:t>Technological factors</w:t>
          </w:r>
          <w:r>
            <w:tab/>
          </w:r>
          <w:r>
            <w:fldChar w:fldCharType="begin"/>
          </w:r>
          <w:r>
            <w:instrText xml:space="preserve">PAGEREF _Toc1430347581 \h</w:instrText>
          </w:r>
          <w:r>
            <w:fldChar w:fldCharType="separate"/>
          </w:r>
          <w:r w:rsidR="1BB85550">
            <w:rPr/>
            <w:t>17</w:t>
          </w:r>
          <w:r>
            <w:fldChar w:fldCharType="end"/>
          </w:r>
          <w:r>
            <w:fldChar w:fldCharType="end"/>
          </w:r>
        </w:p>
        <w:p w:rsidR="1C32B63A" w:rsidP="1BB85550" w:rsidRDefault="1C32B63A" w14:paraId="012EE203" w14:textId="3C60FA56">
          <w:pPr>
            <w:pStyle w:val="TOC2"/>
            <w:tabs>
              <w:tab w:val="right" w:leader="dot" w:pos="9015"/>
            </w:tabs>
            <w:bidi w:val="0"/>
          </w:pPr>
          <w:r>
            <w:fldChar w:fldCharType="begin"/>
          </w:r>
          <w:r>
            <w:instrText xml:space="preserve">HYPERLINK  \l  "_Toc1337056984" </w:instrText>
          </w:r>
          <w:r>
            <w:fldChar w:fldCharType="separate"/>
          </w:r>
          <w:r w:rsidR="1BB85550">
            <w:rPr/>
            <w:t>Environmental factors</w:t>
          </w:r>
          <w:r>
            <w:tab/>
          </w:r>
          <w:r>
            <w:fldChar w:fldCharType="begin"/>
          </w:r>
          <w:r>
            <w:instrText xml:space="preserve">PAGEREF _Toc1337056984 \h</w:instrText>
          </w:r>
          <w:r>
            <w:fldChar w:fldCharType="separate"/>
          </w:r>
          <w:r w:rsidR="1BB85550">
            <w:rPr/>
            <w:t>17</w:t>
          </w:r>
          <w:r>
            <w:fldChar w:fldCharType="end"/>
          </w:r>
          <w:r>
            <w:fldChar w:fldCharType="end"/>
          </w:r>
        </w:p>
        <w:p w:rsidR="1C32B63A" w:rsidP="1BB85550" w:rsidRDefault="1C32B63A" w14:paraId="071217C2" w14:textId="29617DAC">
          <w:pPr>
            <w:pStyle w:val="TOC2"/>
            <w:tabs>
              <w:tab w:val="right" w:leader="dot" w:pos="9015"/>
            </w:tabs>
            <w:bidi w:val="0"/>
          </w:pPr>
          <w:r>
            <w:fldChar w:fldCharType="begin"/>
          </w:r>
          <w:r>
            <w:instrText xml:space="preserve">HYPERLINK  \l  "_Toc467109680" </w:instrText>
          </w:r>
          <w:r>
            <w:fldChar w:fldCharType="separate"/>
          </w:r>
          <w:r w:rsidR="1BB85550">
            <w:rPr/>
            <w:t>Legal and regulatory factors</w:t>
          </w:r>
          <w:r>
            <w:tab/>
          </w:r>
          <w:r>
            <w:fldChar w:fldCharType="begin"/>
          </w:r>
          <w:r>
            <w:instrText xml:space="preserve">PAGEREF _Toc467109680 \h</w:instrText>
          </w:r>
          <w:r>
            <w:fldChar w:fldCharType="separate"/>
          </w:r>
          <w:r w:rsidR="1BB85550">
            <w:rPr/>
            <w:t>17</w:t>
          </w:r>
          <w:r>
            <w:fldChar w:fldCharType="end"/>
          </w:r>
          <w:r>
            <w:fldChar w:fldCharType="end"/>
          </w:r>
        </w:p>
        <w:p w:rsidR="1C32B63A" w:rsidP="1BB85550" w:rsidRDefault="1C32B63A" w14:paraId="309514EC" w14:textId="11FF0D59">
          <w:pPr>
            <w:pStyle w:val="TOC2"/>
            <w:tabs>
              <w:tab w:val="right" w:leader="dot" w:pos="9015"/>
            </w:tabs>
            <w:bidi w:val="0"/>
          </w:pPr>
          <w:r>
            <w:fldChar w:fldCharType="begin"/>
          </w:r>
          <w:r>
            <w:instrText xml:space="preserve">HYPERLINK  \l  "_Toc906000830" </w:instrText>
          </w:r>
          <w:r>
            <w:fldChar w:fldCharType="separate"/>
          </w:r>
          <w:r w:rsidR="1BB85550">
            <w:rPr/>
            <w:t>Overall, PESTLE conclusion</w:t>
          </w:r>
          <w:r>
            <w:tab/>
          </w:r>
          <w:r>
            <w:fldChar w:fldCharType="begin"/>
          </w:r>
          <w:r>
            <w:instrText xml:space="preserve">PAGEREF _Toc906000830 \h</w:instrText>
          </w:r>
          <w:r>
            <w:fldChar w:fldCharType="separate"/>
          </w:r>
          <w:r w:rsidR="1BB85550">
            <w:rPr/>
            <w:t>18</w:t>
          </w:r>
          <w:r>
            <w:fldChar w:fldCharType="end"/>
          </w:r>
          <w:r>
            <w:fldChar w:fldCharType="end"/>
          </w:r>
        </w:p>
        <w:p w:rsidR="1C32B63A" w:rsidP="1BB85550" w:rsidRDefault="1C32B63A" w14:paraId="4678E340" w14:textId="38FA1B77">
          <w:pPr>
            <w:pStyle w:val="TOC1"/>
            <w:tabs>
              <w:tab w:val="right" w:leader="dot" w:pos="9015"/>
            </w:tabs>
            <w:bidi w:val="0"/>
          </w:pPr>
          <w:r>
            <w:fldChar w:fldCharType="begin"/>
          </w:r>
          <w:r>
            <w:instrText xml:space="preserve">HYPERLINK  \l  "_Toc1510862374" </w:instrText>
          </w:r>
          <w:r>
            <w:fldChar w:fldCharType="separate"/>
          </w:r>
          <w:r w:rsidR="1BB85550">
            <w:rPr/>
            <w:t>Appendix B SWOT analysis</w:t>
          </w:r>
          <w:r>
            <w:tab/>
          </w:r>
          <w:r>
            <w:fldChar w:fldCharType="begin"/>
          </w:r>
          <w:r>
            <w:instrText xml:space="preserve">PAGEREF _Toc1510862374 \h</w:instrText>
          </w:r>
          <w:r>
            <w:fldChar w:fldCharType="separate"/>
          </w:r>
          <w:r w:rsidR="1BB85550">
            <w:rPr/>
            <w:t>18</w:t>
          </w:r>
          <w:r>
            <w:fldChar w:fldCharType="end"/>
          </w:r>
          <w:r>
            <w:fldChar w:fldCharType="end"/>
          </w:r>
        </w:p>
        <w:p w:rsidR="1C32B63A" w:rsidP="1BB85550" w:rsidRDefault="1C32B63A" w14:paraId="2E5A80E0" w14:textId="7F087C80">
          <w:pPr>
            <w:pStyle w:val="TOC2"/>
            <w:tabs>
              <w:tab w:val="right" w:leader="dot" w:pos="9015"/>
            </w:tabs>
            <w:bidi w:val="0"/>
          </w:pPr>
          <w:r>
            <w:fldChar w:fldCharType="begin"/>
          </w:r>
          <w:r>
            <w:instrText xml:space="preserve">HYPERLINK  \l  "_Toc260692008" </w:instrText>
          </w:r>
          <w:r>
            <w:fldChar w:fldCharType="separate"/>
          </w:r>
          <w:r w:rsidR="1BB85550">
            <w:rPr/>
            <w:t>Strengths</w:t>
          </w:r>
          <w:r>
            <w:tab/>
          </w:r>
          <w:r>
            <w:fldChar w:fldCharType="begin"/>
          </w:r>
          <w:r>
            <w:instrText xml:space="preserve">PAGEREF _Toc260692008 \h</w:instrText>
          </w:r>
          <w:r>
            <w:fldChar w:fldCharType="separate"/>
          </w:r>
          <w:r w:rsidR="1BB85550">
            <w:rPr/>
            <w:t>18</w:t>
          </w:r>
          <w:r>
            <w:fldChar w:fldCharType="end"/>
          </w:r>
          <w:r>
            <w:fldChar w:fldCharType="end"/>
          </w:r>
        </w:p>
        <w:p w:rsidR="1C32B63A" w:rsidP="1BB85550" w:rsidRDefault="1C32B63A" w14:paraId="3D68869A" w14:textId="2B6D64C1">
          <w:pPr>
            <w:pStyle w:val="TOC2"/>
            <w:tabs>
              <w:tab w:val="right" w:leader="dot" w:pos="9015"/>
            </w:tabs>
            <w:bidi w:val="0"/>
          </w:pPr>
          <w:r>
            <w:fldChar w:fldCharType="begin"/>
          </w:r>
          <w:r>
            <w:instrText xml:space="preserve">HYPERLINK  \l  "_Toc1224772469" </w:instrText>
          </w:r>
          <w:r>
            <w:fldChar w:fldCharType="separate"/>
          </w:r>
          <w:r w:rsidR="1BB85550">
            <w:rPr/>
            <w:t>Weaknesses</w:t>
          </w:r>
          <w:r>
            <w:tab/>
          </w:r>
          <w:r>
            <w:fldChar w:fldCharType="begin"/>
          </w:r>
          <w:r>
            <w:instrText xml:space="preserve">PAGEREF _Toc1224772469 \h</w:instrText>
          </w:r>
          <w:r>
            <w:fldChar w:fldCharType="separate"/>
          </w:r>
          <w:r w:rsidR="1BB85550">
            <w:rPr/>
            <w:t>19</w:t>
          </w:r>
          <w:r>
            <w:fldChar w:fldCharType="end"/>
          </w:r>
          <w:r>
            <w:fldChar w:fldCharType="end"/>
          </w:r>
        </w:p>
        <w:p w:rsidR="1C32B63A" w:rsidP="1BB85550" w:rsidRDefault="1C32B63A" w14:paraId="398603B6" w14:textId="6F1C3B57">
          <w:pPr>
            <w:pStyle w:val="TOC2"/>
            <w:tabs>
              <w:tab w:val="right" w:leader="dot" w:pos="9015"/>
            </w:tabs>
            <w:bidi w:val="0"/>
          </w:pPr>
          <w:r>
            <w:fldChar w:fldCharType="begin"/>
          </w:r>
          <w:r>
            <w:instrText xml:space="preserve">HYPERLINK  \l  "_Toc249645689" </w:instrText>
          </w:r>
          <w:r>
            <w:fldChar w:fldCharType="separate"/>
          </w:r>
          <w:r w:rsidR="1BB85550">
            <w:rPr/>
            <w:t>Opportunities</w:t>
          </w:r>
          <w:r>
            <w:tab/>
          </w:r>
          <w:r>
            <w:fldChar w:fldCharType="begin"/>
          </w:r>
          <w:r>
            <w:instrText xml:space="preserve">PAGEREF _Toc249645689 \h</w:instrText>
          </w:r>
          <w:r>
            <w:fldChar w:fldCharType="separate"/>
          </w:r>
          <w:r w:rsidR="1BB85550">
            <w:rPr/>
            <w:t>19</w:t>
          </w:r>
          <w:r>
            <w:fldChar w:fldCharType="end"/>
          </w:r>
          <w:r>
            <w:fldChar w:fldCharType="end"/>
          </w:r>
        </w:p>
        <w:p w:rsidR="1C32B63A" w:rsidP="1BB85550" w:rsidRDefault="1C32B63A" w14:paraId="0D30530D" w14:textId="74275D2C">
          <w:pPr>
            <w:pStyle w:val="TOC2"/>
            <w:tabs>
              <w:tab w:val="right" w:leader="dot" w:pos="9015"/>
            </w:tabs>
            <w:bidi w:val="0"/>
          </w:pPr>
          <w:r>
            <w:fldChar w:fldCharType="begin"/>
          </w:r>
          <w:r>
            <w:instrText xml:space="preserve">HYPERLINK  \l  "_Toc851029165" </w:instrText>
          </w:r>
          <w:r>
            <w:fldChar w:fldCharType="separate"/>
          </w:r>
          <w:r w:rsidR="1BB85550">
            <w:rPr/>
            <w:t>Threats</w:t>
          </w:r>
          <w:r>
            <w:tab/>
          </w:r>
          <w:r>
            <w:fldChar w:fldCharType="begin"/>
          </w:r>
          <w:r>
            <w:instrText xml:space="preserve">PAGEREF _Toc851029165 \h</w:instrText>
          </w:r>
          <w:r>
            <w:fldChar w:fldCharType="separate"/>
          </w:r>
          <w:r w:rsidR="1BB85550">
            <w:rPr/>
            <w:t>19</w:t>
          </w:r>
          <w:r>
            <w:fldChar w:fldCharType="end"/>
          </w:r>
          <w:r>
            <w:fldChar w:fldCharType="end"/>
          </w:r>
        </w:p>
        <w:p w:rsidR="1C32B63A" w:rsidP="1BB85550" w:rsidRDefault="1C32B63A" w14:paraId="61A0DE0C" w14:textId="200B3AB0">
          <w:pPr>
            <w:pStyle w:val="TOC2"/>
            <w:tabs>
              <w:tab w:val="right" w:leader="dot" w:pos="9015"/>
            </w:tabs>
            <w:bidi w:val="0"/>
          </w:pPr>
          <w:r>
            <w:fldChar w:fldCharType="begin"/>
          </w:r>
          <w:r>
            <w:instrText xml:space="preserve">HYPERLINK  \l  "_Toc2036338149" </w:instrText>
          </w:r>
          <w:r>
            <w:fldChar w:fldCharType="separate"/>
          </w:r>
          <w:r w:rsidR="1BB85550">
            <w:rPr/>
            <w:t>Overall SWOT conclusion</w:t>
          </w:r>
          <w:r>
            <w:tab/>
          </w:r>
          <w:r>
            <w:fldChar w:fldCharType="begin"/>
          </w:r>
          <w:r>
            <w:instrText xml:space="preserve">PAGEREF _Toc2036338149 \h</w:instrText>
          </w:r>
          <w:r>
            <w:fldChar w:fldCharType="separate"/>
          </w:r>
          <w:r w:rsidR="1BB85550">
            <w:rPr/>
            <w:t>20</w:t>
          </w:r>
          <w:r>
            <w:fldChar w:fldCharType="end"/>
          </w:r>
          <w:r>
            <w:fldChar w:fldCharType="end"/>
          </w:r>
        </w:p>
        <w:p w:rsidR="1C32B63A" w:rsidP="1C32B63A" w:rsidRDefault="1C32B63A" w14:paraId="410A93C4" w14:textId="6445F3A5">
          <w:pPr>
            <w:bidi w:val="0"/>
            <w:spacing w:before="240" w:beforeAutospacing="off" w:after="240" w:afterAutospacing="off"/>
          </w:pPr>
          <w:r>
            <w:fldChar w:fldCharType="end"/>
          </w:r>
        </w:p>
      </w:sdtContent>
    </w:sdt>
    <w:p w:rsidR="1C32B63A" w:rsidP="1BB85550" w:rsidRDefault="1C32B63A" w14:paraId="7355CFD8" w14:textId="1B7634F8">
      <w:pPr>
        <w:pStyle w:val="Heading1"/>
        <w:spacing w:before="322" w:beforeAutospacing="off" w:after="322" w:afterAutospacing="off"/>
        <w:rPr>
          <w:rFonts w:ascii="Aptos" w:hAnsi="Aptos" w:eastAsia="Aptos" w:cs="Aptos"/>
          <w:b w:val="1"/>
          <w:bCs w:val="1"/>
          <w:noProof w:val="0"/>
          <w:sz w:val="48"/>
          <w:szCs w:val="48"/>
          <w:lang w:val="en-GB"/>
        </w:rPr>
      </w:pPr>
    </w:p>
    <w:p w:rsidR="1C32B63A" w:rsidP="1BB85550" w:rsidRDefault="1C32B63A" w14:paraId="22415AEA" w14:textId="775627DF">
      <w:pPr>
        <w:pStyle w:val="Heading1"/>
        <w:spacing w:before="322" w:beforeAutospacing="off" w:after="322" w:afterAutospacing="off"/>
        <w:rPr>
          <w:rFonts w:ascii="Aptos" w:hAnsi="Aptos" w:eastAsia="Aptos" w:cs="Aptos"/>
          <w:b w:val="1"/>
          <w:bCs w:val="1"/>
          <w:noProof w:val="0"/>
          <w:sz w:val="48"/>
          <w:szCs w:val="48"/>
          <w:lang w:val="en-GB"/>
        </w:rPr>
      </w:pPr>
    </w:p>
    <w:p w:rsidR="1C32B63A" w:rsidP="1BB85550" w:rsidRDefault="1C32B63A" w14:paraId="653F2858" w14:textId="540CCF7F">
      <w:pPr>
        <w:pStyle w:val="Heading1"/>
        <w:spacing w:before="322" w:beforeAutospacing="off" w:after="322" w:afterAutospacing="off"/>
        <w:rPr>
          <w:rFonts w:ascii="Aptos" w:hAnsi="Aptos" w:eastAsia="Aptos" w:cs="Aptos"/>
          <w:b w:val="1"/>
          <w:bCs w:val="1"/>
          <w:noProof w:val="0"/>
          <w:sz w:val="48"/>
          <w:szCs w:val="48"/>
          <w:lang w:val="en-GB"/>
        </w:rPr>
      </w:pPr>
    </w:p>
    <w:p w:rsidR="1C32B63A" w:rsidP="1BB85550" w:rsidRDefault="1C32B63A" w14:paraId="40079940" w14:textId="4CDCBF2C">
      <w:pPr>
        <w:pStyle w:val="Heading1"/>
        <w:spacing w:before="322" w:beforeAutospacing="off" w:after="322" w:afterAutospacing="off"/>
        <w:rPr>
          <w:rFonts w:ascii="Aptos" w:hAnsi="Aptos" w:eastAsia="Aptos" w:cs="Aptos"/>
          <w:b w:val="1"/>
          <w:bCs w:val="1"/>
          <w:noProof w:val="0"/>
          <w:sz w:val="48"/>
          <w:szCs w:val="48"/>
          <w:lang w:val="en-GB"/>
        </w:rPr>
      </w:pPr>
      <w:bookmarkStart w:name="_Toc144927733" w:id="324354770"/>
      <w:r w:rsidRPr="1BB85550" w:rsidR="07B31BEA">
        <w:rPr>
          <w:rFonts w:ascii="Aptos" w:hAnsi="Aptos" w:eastAsia="Aptos" w:cs="Aptos"/>
          <w:b w:val="1"/>
          <w:bCs w:val="1"/>
          <w:noProof w:val="0"/>
          <w:sz w:val="48"/>
          <w:szCs w:val="48"/>
          <w:lang w:val="en-GB"/>
        </w:rPr>
        <w:t xml:space="preserve">Leading and Implementing Workplace Change at </w:t>
      </w:r>
      <w:r w:rsidRPr="1BB85550" w:rsidR="07B31BEA">
        <w:rPr>
          <w:rFonts w:ascii="Aptos" w:hAnsi="Aptos" w:eastAsia="Aptos" w:cs="Aptos"/>
          <w:b w:val="1"/>
          <w:bCs w:val="1"/>
          <w:noProof w:val="0"/>
          <w:sz w:val="48"/>
          <w:szCs w:val="48"/>
          <w:lang w:val="en-GB"/>
        </w:rPr>
        <w:t>L</w:t>
      </w:r>
      <w:r w:rsidRPr="1BB85550" w:rsidR="310FDE1F">
        <w:rPr>
          <w:rFonts w:ascii="Aptos" w:hAnsi="Aptos" w:eastAsia="Aptos" w:cs="Aptos"/>
          <w:b w:val="1"/>
          <w:bCs w:val="1"/>
          <w:noProof w:val="0"/>
          <w:sz w:val="48"/>
          <w:szCs w:val="48"/>
          <w:lang w:val="en-GB"/>
        </w:rPr>
        <w:t>extan</w:t>
      </w:r>
      <w:bookmarkEnd w:id="324354770"/>
    </w:p>
    <w:p w:rsidR="1C32B63A" w:rsidP="1BB85550" w:rsidRDefault="1C32B63A" w14:paraId="1A2A58B8" w14:textId="3FAF3DFC">
      <w:pPr>
        <w:pStyle w:val="Heading1"/>
        <w:spacing w:before="322" w:beforeAutospacing="off" w:after="322" w:afterAutospacing="off"/>
        <w:rPr>
          <w:rFonts w:ascii="Aptos" w:hAnsi="Aptos" w:eastAsia="Aptos" w:cs="Aptos"/>
          <w:b w:val="1"/>
          <w:bCs w:val="1"/>
          <w:noProof w:val="0"/>
          <w:sz w:val="48"/>
          <w:szCs w:val="48"/>
          <w:lang w:val="en-GB"/>
        </w:rPr>
      </w:pPr>
      <w:r w:rsidRPr="1BB85550" w:rsidR="4449D43F">
        <w:rPr>
          <w:rFonts w:ascii="Aptos" w:hAnsi="Aptos" w:eastAsia="Aptos" w:cs="Aptos"/>
          <w:b w:val="1"/>
          <w:bCs w:val="1"/>
          <w:noProof w:val="0"/>
          <w:sz w:val="48"/>
          <w:szCs w:val="48"/>
          <w:lang w:val="en-GB"/>
        </w:rPr>
        <w:t xml:space="preserve"> </w:t>
      </w:r>
      <w:bookmarkStart w:name="_Toc151308048" w:id="391629616"/>
      <w:r w:rsidRPr="1BB85550" w:rsidR="07B31BEA">
        <w:rPr>
          <w:rFonts w:ascii="Aptos" w:hAnsi="Aptos" w:eastAsia="Aptos" w:cs="Aptos"/>
          <w:b w:val="1"/>
          <w:bCs w:val="1"/>
          <w:noProof w:val="0"/>
          <w:sz w:val="48"/>
          <w:szCs w:val="48"/>
          <w:lang w:val="en-GB"/>
        </w:rPr>
        <w:t>Introduction</w:t>
      </w:r>
      <w:bookmarkEnd w:id="391629616"/>
    </w:p>
    <w:p w:rsidR="1C32B63A" w:rsidP="1C32B63A" w:rsidRDefault="1C32B63A" w14:paraId="5C91A918" w14:textId="0BD8E4BA">
      <w:pPr>
        <w:spacing w:before="240" w:beforeAutospacing="off" w:after="240" w:afterAutospacing="off"/>
      </w:pPr>
      <w:r w:rsidRPr="1BB85550" w:rsidR="07B31BEA">
        <w:rPr>
          <w:rFonts w:ascii="Aptos" w:hAnsi="Aptos" w:eastAsia="Aptos" w:cs="Aptos"/>
          <w:noProof w:val="0"/>
          <w:sz w:val="24"/>
          <w:szCs w:val="24"/>
          <w:lang w:val="en-GB"/>
        </w:rPr>
        <w:t xml:space="preserve">Lextan operates in a tightly regulated and reputation-sensitive service sector in which technological innovation, customer expectations, health concerns and economic pressures interact. This report critically analyses the forces for change affecting Lextan and evaluates how organisational stakeholders can be led through the implementation of Luxura Jewel LED hybrid sunbeds and associated red-light technology. The analysis is organised around the two assessment tasks. Task One applies PESTLE and SWOT to examine the macro and </w:t>
      </w:r>
      <w:bookmarkStart w:name="_Int_rXzBLtwQ" w:id="1444794034"/>
      <w:r w:rsidRPr="1BB85550" w:rsidR="07B31BEA">
        <w:rPr>
          <w:rFonts w:ascii="Aptos" w:hAnsi="Aptos" w:eastAsia="Aptos" w:cs="Aptos"/>
          <w:noProof w:val="0"/>
          <w:sz w:val="24"/>
          <w:szCs w:val="24"/>
          <w:lang w:val="en-GB"/>
        </w:rPr>
        <w:t>micro environments</w:t>
      </w:r>
      <w:bookmarkEnd w:id="1444794034"/>
      <w:r w:rsidRPr="1BB85550" w:rsidR="07B31BEA">
        <w:rPr>
          <w:rFonts w:ascii="Aptos" w:hAnsi="Aptos" w:eastAsia="Aptos" w:cs="Aptos"/>
          <w:noProof w:val="0"/>
          <w:sz w:val="24"/>
          <w:szCs w:val="24"/>
          <w:lang w:val="en-GB"/>
        </w:rPr>
        <w:t xml:space="preserve"> and their implications for workplace culture and organisational capability. Task Two uses stakeholder theory, a power-interest matrix and change-management literature to evaluate leadership, communication, participation and resistance during implementation.</w:t>
      </w:r>
    </w:p>
    <w:p w:rsidR="1C32B63A" w:rsidP="1C32B63A" w:rsidRDefault="1C32B63A" w14:paraId="6C8FE8A3" w14:textId="134DA81C">
      <w:pPr>
        <w:spacing w:before="240" w:beforeAutospacing="off" w:after="240" w:afterAutospacing="off"/>
      </w:pPr>
      <w:r w:rsidRPr="1BB85550" w:rsidR="07B31BEA">
        <w:rPr>
          <w:rFonts w:ascii="Aptos" w:hAnsi="Aptos" w:eastAsia="Aptos" w:cs="Aptos"/>
          <w:noProof w:val="0"/>
          <w:sz w:val="24"/>
          <w:szCs w:val="24"/>
          <w:lang w:val="en-GB"/>
        </w:rPr>
        <w:t>The main argument is that the new equipment could help Lextan modernise its service and stand out from competitors. However, being newer or described as premium does not prove that it will be successful. It could also increase costs, make working practices more complicated and damage trust if customer demand, staff knowledge or the evidence supporting the technology is weaker than expected. Success will depend on legal and honest communication, effective leadership, continued stakeholder involvement and results that can be measured. The models used in this report help to organise the analysis, but they do not prove what will happen in a real workplace.</w:t>
      </w:r>
    </w:p>
    <w:p w:rsidR="1C32B63A" w:rsidP="1BB85550" w:rsidRDefault="1C32B63A" w14:paraId="57422FC2" w14:textId="3FC147DF">
      <w:pPr>
        <w:pStyle w:val="Heading1"/>
        <w:spacing w:before="322" w:beforeAutospacing="off" w:after="322" w:afterAutospacing="off"/>
        <w:rPr>
          <w:rFonts w:ascii="Aptos" w:hAnsi="Aptos" w:eastAsia="Aptos" w:cs="Aptos"/>
          <w:b w:val="1"/>
          <w:bCs w:val="1"/>
          <w:noProof w:val="0"/>
          <w:sz w:val="48"/>
          <w:szCs w:val="48"/>
          <w:lang w:val="en-GB"/>
        </w:rPr>
      </w:pPr>
      <w:bookmarkStart w:name="_Toc381648702" w:id="394192138"/>
      <w:r w:rsidRPr="1BB85550" w:rsidR="07B31BEA">
        <w:rPr>
          <w:rFonts w:ascii="Aptos" w:hAnsi="Aptos" w:eastAsia="Aptos" w:cs="Aptos"/>
          <w:b w:val="1"/>
          <w:bCs w:val="1"/>
          <w:noProof w:val="0"/>
          <w:sz w:val="48"/>
          <w:szCs w:val="48"/>
          <w:lang w:val="en-GB"/>
        </w:rPr>
        <w:t>Organisational context and focal change</w:t>
      </w:r>
      <w:bookmarkEnd w:id="394192138"/>
    </w:p>
    <w:p w:rsidR="1C32B63A" w:rsidP="1C32B63A" w:rsidRDefault="1C32B63A" w14:paraId="166D1FE0" w14:textId="47957929">
      <w:pPr>
        <w:spacing w:before="240" w:beforeAutospacing="off" w:after="240" w:afterAutospacing="off"/>
      </w:pPr>
      <w:r w:rsidRPr="1BB85550" w:rsidR="07B31BEA">
        <w:rPr>
          <w:rFonts w:ascii="Aptos" w:hAnsi="Aptos" w:eastAsia="Aptos" w:cs="Aptos"/>
          <w:noProof w:val="0"/>
          <w:sz w:val="24"/>
          <w:szCs w:val="24"/>
          <w:lang w:val="en-GB"/>
        </w:rPr>
        <w:t>Lextan describes itself as a large regional chain of tanning salons operating across Wales and the West of England. Its public information emphasises advanced facilities, trained employees, specialist products and premium Luxura Jewel equipment (Lextan, n.d.-a). As company material is designed to promote the business, it cannot independently confirm service quality, staff capability or customer outcomes. The workplace considered in this report is a Lextan salon with 11 beds and a small operational team. The focal change is the introduction and continued implementation of Jewel LED hybrid beds, including red-light features, and the working practices required to operate, explain and promote them.</w:t>
      </w:r>
    </w:p>
    <w:p w:rsidR="1C32B63A" w:rsidP="1C32B63A" w:rsidRDefault="1C32B63A" w14:paraId="01051FAF" w14:textId="342F9A26">
      <w:pPr>
        <w:spacing w:before="240" w:beforeAutospacing="off" w:after="240" w:afterAutospacing="off"/>
      </w:pPr>
      <w:r w:rsidRPr="1BB85550" w:rsidR="07B31BEA">
        <w:rPr>
          <w:rFonts w:ascii="Aptos" w:hAnsi="Aptos" w:eastAsia="Aptos" w:cs="Aptos"/>
          <w:noProof w:val="0"/>
          <w:sz w:val="24"/>
          <w:szCs w:val="24"/>
          <w:lang w:val="en-GB"/>
        </w:rPr>
        <w:t>This is more than replacing one piece of equipment with another. It changes what Lextan offers customers, what staff need to know, cleaning and safety routines, sales conversations, pricing and the evidence needed to support advertising claims. Head office, salon managers, employees, customers, suppliers, regulators and health organisations are all connected to the change. It affects the technology, daily work and workplace culture. Employees must provide good customer service and promote the business while still following the law and communicating responsibly.</w:t>
      </w:r>
    </w:p>
    <w:p w:rsidR="1C32B63A" w:rsidP="1BB85550" w:rsidRDefault="1C32B63A" w14:paraId="783335B5" w14:textId="12AD3162">
      <w:pPr>
        <w:pStyle w:val="Heading1"/>
        <w:spacing w:before="322" w:beforeAutospacing="off" w:after="322" w:afterAutospacing="off"/>
        <w:rPr>
          <w:rFonts w:ascii="Aptos" w:hAnsi="Aptos" w:eastAsia="Aptos" w:cs="Aptos"/>
          <w:b w:val="1"/>
          <w:bCs w:val="1"/>
          <w:noProof w:val="0"/>
          <w:sz w:val="48"/>
          <w:szCs w:val="48"/>
          <w:lang w:val="en-GB"/>
        </w:rPr>
      </w:pPr>
      <w:bookmarkStart w:name="_Toc539105213" w:id="58661167"/>
      <w:r w:rsidRPr="1BB85550" w:rsidR="07B31BEA">
        <w:rPr>
          <w:rFonts w:ascii="Aptos" w:hAnsi="Aptos" w:eastAsia="Aptos" w:cs="Aptos"/>
          <w:b w:val="1"/>
          <w:bCs w:val="1"/>
          <w:noProof w:val="0"/>
          <w:sz w:val="48"/>
          <w:szCs w:val="48"/>
          <w:lang w:val="en-GB"/>
        </w:rPr>
        <w:t>Current forces for change</w:t>
      </w:r>
      <w:bookmarkEnd w:id="58661167"/>
    </w:p>
    <w:p w:rsidR="1C32B63A" w:rsidP="1BB85550" w:rsidRDefault="1C32B63A" w14:paraId="574C0170" w14:textId="1D78BAEC">
      <w:pPr>
        <w:pStyle w:val="Heading2"/>
        <w:spacing w:before="299" w:beforeAutospacing="off" w:after="299" w:afterAutospacing="off"/>
        <w:rPr>
          <w:rFonts w:ascii="Aptos" w:hAnsi="Aptos" w:eastAsia="Aptos" w:cs="Aptos"/>
          <w:b w:val="1"/>
          <w:bCs w:val="1"/>
          <w:noProof w:val="0"/>
          <w:sz w:val="36"/>
          <w:szCs w:val="36"/>
          <w:lang w:val="en-GB"/>
        </w:rPr>
      </w:pPr>
      <w:bookmarkStart w:name="_Toc2101494671" w:id="1634262141"/>
      <w:r w:rsidRPr="1BB85550" w:rsidR="07B31BEA">
        <w:rPr>
          <w:rFonts w:ascii="Aptos" w:hAnsi="Aptos" w:eastAsia="Aptos" w:cs="Aptos"/>
          <w:b w:val="1"/>
          <w:bCs w:val="1"/>
          <w:noProof w:val="0"/>
          <w:sz w:val="36"/>
          <w:szCs w:val="36"/>
          <w:lang w:val="en-GB"/>
        </w:rPr>
        <w:t>Analytical approach and limitations</w:t>
      </w:r>
      <w:bookmarkEnd w:id="1634262141"/>
    </w:p>
    <w:p w:rsidR="1C32B63A" w:rsidP="1C32B63A" w:rsidRDefault="1C32B63A" w14:paraId="3B4644C0" w14:textId="24914908">
      <w:pPr>
        <w:spacing w:before="240" w:beforeAutospacing="off" w:after="240" w:afterAutospacing="off"/>
      </w:pPr>
      <w:r w:rsidRPr="1BB85550" w:rsidR="07B31BEA">
        <w:rPr>
          <w:rFonts w:ascii="Aptos" w:hAnsi="Aptos" w:eastAsia="Aptos" w:cs="Aptos"/>
          <w:noProof w:val="0"/>
          <w:sz w:val="24"/>
          <w:szCs w:val="24"/>
          <w:lang w:val="en-GB"/>
        </w:rPr>
        <w:t>PESTLE provides a structured way to examine political, economic, social, technological, environmental and legal influences. Yüksel (2012) argues that it can help an organisation understand its external environment and prepare for future conditions. However, it mainly relies on judgement, does not provide an objective way to rank issues and can separate factors that are connected. This matters at Lextan because regulation, attitudes to health, technology and customer trust affect one another. The full PESTLE analysis is presented in Appendix A and ranks the issues by their likely effect instead of treating every heading as equally important.</w:t>
      </w:r>
    </w:p>
    <w:p w:rsidR="1C32B63A" w:rsidP="1C32B63A" w:rsidRDefault="1C32B63A" w14:paraId="6EB537D4" w14:textId="34509891">
      <w:pPr>
        <w:spacing w:before="240" w:beforeAutospacing="off" w:after="240" w:afterAutospacing="off"/>
      </w:pPr>
      <w:r w:rsidRPr="1BB85550" w:rsidR="07B31BEA">
        <w:rPr>
          <w:rFonts w:ascii="Aptos" w:hAnsi="Aptos" w:eastAsia="Aptos" w:cs="Aptos"/>
          <w:noProof w:val="0"/>
          <w:sz w:val="24"/>
          <w:szCs w:val="24"/>
          <w:lang w:val="en-GB"/>
        </w:rPr>
        <w:t>SWOT adds to the wider PESTLE analysis by linking external opportunities and threats to internal strengths and weaknesses. Gürel and Tat (2017) describe SWOT as a widely used method, although Puyt et al. (2023) show that it is more complicated than a simple four-box exercise. Its main weakness is that it depends on personal judgement. For example, a manager may call something a strength without evidence from customers, competitors or performance data. The full SWOT analysis is presented in Appendix B and should be treated as a starting point. Its findings need to be checked against staff feedback, training results, complaints, repeat use, equipment use and compliance records.</w:t>
      </w:r>
    </w:p>
    <w:p w:rsidR="1C32B63A" w:rsidP="1C32B63A" w:rsidRDefault="1C32B63A" w14:paraId="05011C10" w14:textId="444D7705">
      <w:pPr>
        <w:spacing w:before="240" w:beforeAutospacing="off" w:after="240" w:afterAutospacing="off"/>
      </w:pPr>
      <w:r w:rsidRPr="1BB85550" w:rsidR="07B31BEA">
        <w:rPr>
          <w:rFonts w:ascii="Aptos" w:hAnsi="Aptos" w:eastAsia="Aptos" w:cs="Aptos"/>
          <w:noProof w:val="0"/>
          <w:sz w:val="24"/>
          <w:szCs w:val="24"/>
          <w:lang w:val="en-GB"/>
        </w:rPr>
        <w:t xml:space="preserve">Using both models reduces some blind spots but does not remove them. PESTLE can </w:t>
      </w:r>
      <w:r w:rsidRPr="1BB85550" w:rsidR="07B31BEA">
        <w:rPr>
          <w:rFonts w:ascii="Aptos" w:hAnsi="Aptos" w:eastAsia="Aptos" w:cs="Aptos"/>
          <w:noProof w:val="0"/>
          <w:sz w:val="24"/>
          <w:szCs w:val="24"/>
          <w:lang w:val="en-GB"/>
        </w:rPr>
        <w:t>identify</w:t>
      </w:r>
      <w:r w:rsidRPr="1BB85550" w:rsidR="07B31BEA">
        <w:rPr>
          <w:rFonts w:ascii="Aptos" w:hAnsi="Aptos" w:eastAsia="Aptos" w:cs="Aptos"/>
          <w:noProof w:val="0"/>
          <w:sz w:val="24"/>
          <w:szCs w:val="24"/>
          <w:lang w:val="en-GB"/>
        </w:rPr>
        <w:t xml:space="preserve"> pressure without showing whether </w:t>
      </w:r>
      <w:r w:rsidRPr="1BB85550" w:rsidR="07B31BEA">
        <w:rPr>
          <w:rFonts w:ascii="Aptos" w:hAnsi="Aptos" w:eastAsia="Aptos" w:cs="Aptos"/>
          <w:noProof w:val="0"/>
          <w:sz w:val="24"/>
          <w:szCs w:val="24"/>
          <w:lang w:val="en-GB"/>
        </w:rPr>
        <w:t>Lextan</w:t>
      </w:r>
      <w:r w:rsidRPr="1BB85550" w:rsidR="07B31BEA">
        <w:rPr>
          <w:rFonts w:ascii="Aptos" w:hAnsi="Aptos" w:eastAsia="Aptos" w:cs="Aptos"/>
          <w:noProof w:val="0"/>
          <w:sz w:val="24"/>
          <w:szCs w:val="24"/>
          <w:lang w:val="en-GB"/>
        </w:rPr>
        <w:t xml:space="preserve"> </w:t>
      </w:r>
      <w:r w:rsidRPr="1BB85550" w:rsidR="39352FE4">
        <w:rPr>
          <w:rFonts w:ascii="Aptos" w:hAnsi="Aptos" w:eastAsia="Aptos" w:cs="Aptos"/>
          <w:noProof w:val="0"/>
          <w:sz w:val="24"/>
          <w:szCs w:val="24"/>
          <w:lang w:val="en-GB"/>
        </w:rPr>
        <w:t>could</w:t>
      </w:r>
      <w:r w:rsidRPr="1BB85550" w:rsidR="07B31BEA">
        <w:rPr>
          <w:rFonts w:ascii="Aptos" w:hAnsi="Aptos" w:eastAsia="Aptos" w:cs="Aptos"/>
          <w:noProof w:val="0"/>
          <w:sz w:val="24"/>
          <w:szCs w:val="24"/>
          <w:lang w:val="en-GB"/>
        </w:rPr>
        <w:t xml:space="preserve"> respond, while SWOT can mix facts, assumptions and wishes in the same box. Their value comes from the questions they create rather than the labels themselves. Conclusions should therefore be triangulated using branch records, employee views, customer behaviour, regulatory </w:t>
      </w:r>
      <w:r w:rsidRPr="1BB85550" w:rsidR="07B31BEA">
        <w:rPr>
          <w:rFonts w:ascii="Aptos" w:hAnsi="Aptos" w:eastAsia="Aptos" w:cs="Aptos"/>
          <w:noProof w:val="0"/>
          <w:sz w:val="24"/>
          <w:szCs w:val="24"/>
          <w:lang w:val="en-GB"/>
        </w:rPr>
        <w:t>guidance</w:t>
      </w:r>
      <w:r w:rsidRPr="1BB85550" w:rsidR="07B31BEA">
        <w:rPr>
          <w:rFonts w:ascii="Aptos" w:hAnsi="Aptos" w:eastAsia="Aptos" w:cs="Aptos"/>
          <w:noProof w:val="0"/>
          <w:sz w:val="24"/>
          <w:szCs w:val="24"/>
          <w:lang w:val="en-GB"/>
        </w:rPr>
        <w:t xml:space="preserve"> and supplier evidence. Where these sources disagree, management should record the uncertainty instead of selecting the evidence that best supports investment.</w:t>
      </w:r>
    </w:p>
    <w:p w:rsidR="1C32B63A" w:rsidP="1BB85550" w:rsidRDefault="1C32B63A" w14:paraId="216D5235" w14:textId="5FCE035F">
      <w:pPr>
        <w:pStyle w:val="Heading2"/>
        <w:spacing w:before="299" w:beforeAutospacing="off" w:after="299" w:afterAutospacing="off"/>
        <w:rPr>
          <w:rFonts w:ascii="Aptos" w:hAnsi="Aptos" w:eastAsia="Aptos" w:cs="Aptos"/>
          <w:b w:val="1"/>
          <w:bCs w:val="1"/>
          <w:noProof w:val="0"/>
          <w:sz w:val="36"/>
          <w:szCs w:val="36"/>
          <w:lang w:val="en-GB"/>
        </w:rPr>
      </w:pPr>
      <w:bookmarkStart w:name="_Toc732158317" w:id="44868711"/>
      <w:r w:rsidRPr="1BB85550" w:rsidR="07B31BEA">
        <w:rPr>
          <w:rFonts w:ascii="Aptos" w:hAnsi="Aptos" w:eastAsia="Aptos" w:cs="Aptos"/>
          <w:b w:val="1"/>
          <w:bCs w:val="1"/>
          <w:noProof w:val="0"/>
          <w:sz w:val="36"/>
          <w:szCs w:val="36"/>
          <w:lang w:val="en-GB"/>
        </w:rPr>
        <w:t>PESTLE analysis of the macro environment</w:t>
      </w:r>
      <w:bookmarkEnd w:id="44868711"/>
    </w:p>
    <w:p w:rsidR="1C32B63A" w:rsidP="1C32B63A" w:rsidRDefault="1C32B63A" w14:paraId="60967D51" w14:textId="1FD3AA11">
      <w:pPr>
        <w:spacing w:before="240" w:beforeAutospacing="off" w:after="240" w:afterAutospacing="off"/>
      </w:pPr>
      <w:r w:rsidRPr="1BB85550" w:rsidR="07B31BEA">
        <w:rPr>
          <w:rFonts w:ascii="Aptos" w:hAnsi="Aptos" w:eastAsia="Aptos" w:cs="Aptos"/>
          <w:noProof w:val="0"/>
          <w:sz w:val="24"/>
          <w:szCs w:val="24"/>
          <w:lang w:val="en-GB"/>
        </w:rPr>
        <w:t>The PESTLE analysis in Appendix A shows that political and legal pressures are the most immediate constraints. The Sunbeds (Regulation) Act 2010 makes it unlawful for under-18s to use commercial tanning equipment in England and Wales. The Welsh Regulations add duties concerning supervision, prescribed health information and display materials, while Carmarthenshire County Council states that premises are inspected to protect customers from potentially harmful radiation (Carmarthenshire County Council, n.d.; Welsh Government, 2011). Compliance is necessary but should not be confused with proof that the change is desirable, safe in every circumstance or commercially sound. It establishes a minimum standard. Lextan must still test whether employees can apply age verification, eye-protection and escalation procedures consistently when commercial pressure or customer disagreement makes compliance difficult.</w:t>
      </w:r>
    </w:p>
    <w:p w:rsidR="1C32B63A" w:rsidP="1C32B63A" w:rsidRDefault="1C32B63A" w14:paraId="53577E51" w14:textId="3FA1E956">
      <w:pPr>
        <w:spacing w:before="240" w:beforeAutospacing="off" w:after="240" w:afterAutospacing="off"/>
      </w:pPr>
      <w:r w:rsidRPr="1BB85550" w:rsidR="07B31BEA">
        <w:rPr>
          <w:rFonts w:ascii="Aptos" w:hAnsi="Aptos" w:eastAsia="Aptos" w:cs="Aptos"/>
          <w:noProof w:val="0"/>
          <w:sz w:val="24"/>
          <w:szCs w:val="24"/>
          <w:lang w:val="en-GB"/>
        </w:rPr>
        <w:t>Legal requirements cannot be separated from public opinion and Lextan’s reputation. NHS guidance identifies ultraviolet light from sunbeds as a main cause of melanoma and non-melanoma skin cancer. Cancer Research UK also reports a higher melanoma risk among people who have used sunbeds (Cancer Research UK, n.d.; NHS, 2026). This puts Lextan in a difficult position. Customers may value tanning and new technology, while health organisations focus on reducing risk. Management should not play down this conflict. Clear health information and responsible marketing may help to protect trust. Exaggerated claims could instead damage the brand and leave staff dealing with difficult questions from customers.</w:t>
      </w:r>
    </w:p>
    <w:p w:rsidR="1C32B63A" w:rsidP="1C32B63A" w:rsidRDefault="1C32B63A" w14:paraId="107A9499" w14:textId="4E261520">
      <w:pPr>
        <w:spacing w:before="240" w:beforeAutospacing="off" w:after="240" w:afterAutospacing="off"/>
      </w:pPr>
      <w:r w:rsidRPr="1BB85550" w:rsidR="07B31BEA">
        <w:rPr>
          <w:rFonts w:ascii="Aptos" w:hAnsi="Aptos" w:eastAsia="Aptos" w:cs="Aptos"/>
          <w:noProof w:val="0"/>
          <w:sz w:val="24"/>
          <w:szCs w:val="24"/>
          <w:lang w:val="en-GB"/>
        </w:rPr>
        <w:t xml:space="preserve">Technological change creates an opportunity to refresh the customer experience and differentiate </w:t>
      </w:r>
      <w:r w:rsidRPr="1BB85550" w:rsidR="07B31BEA">
        <w:rPr>
          <w:rFonts w:ascii="Aptos" w:hAnsi="Aptos" w:eastAsia="Aptos" w:cs="Aptos"/>
          <w:noProof w:val="0"/>
          <w:sz w:val="24"/>
          <w:szCs w:val="24"/>
          <w:lang w:val="en-GB"/>
        </w:rPr>
        <w:t>Lextan</w:t>
      </w:r>
      <w:r w:rsidRPr="1BB85550" w:rsidR="07B31BEA">
        <w:rPr>
          <w:rFonts w:ascii="Aptos" w:hAnsi="Aptos" w:eastAsia="Aptos" w:cs="Aptos"/>
          <w:noProof w:val="0"/>
          <w:sz w:val="24"/>
          <w:szCs w:val="24"/>
          <w:lang w:val="en-GB"/>
        </w:rPr>
        <w:t xml:space="preserve">. </w:t>
      </w:r>
      <w:r w:rsidRPr="1BB85550" w:rsidR="07B31BEA">
        <w:rPr>
          <w:rFonts w:ascii="Aptos" w:hAnsi="Aptos" w:eastAsia="Aptos" w:cs="Aptos"/>
          <w:noProof w:val="0"/>
          <w:sz w:val="24"/>
          <w:szCs w:val="24"/>
          <w:lang w:val="en-GB"/>
        </w:rPr>
        <w:t>Lextan’s</w:t>
      </w:r>
      <w:r w:rsidRPr="1BB85550" w:rsidR="07B31BEA">
        <w:rPr>
          <w:rFonts w:ascii="Aptos" w:hAnsi="Aptos" w:eastAsia="Aptos" w:cs="Aptos"/>
          <w:noProof w:val="0"/>
          <w:sz w:val="24"/>
          <w:szCs w:val="24"/>
          <w:lang w:val="en-GB"/>
        </w:rPr>
        <w:t xml:space="preserve"> public materials </w:t>
      </w:r>
      <w:r w:rsidRPr="1BB85550" w:rsidR="07B31BEA">
        <w:rPr>
          <w:rFonts w:ascii="Aptos" w:hAnsi="Aptos" w:eastAsia="Aptos" w:cs="Aptos"/>
          <w:noProof w:val="0"/>
          <w:sz w:val="24"/>
          <w:szCs w:val="24"/>
          <w:lang w:val="en-GB"/>
        </w:rPr>
        <w:t>identify</w:t>
      </w:r>
      <w:r w:rsidRPr="1BB85550" w:rsidR="07B31BEA">
        <w:rPr>
          <w:rFonts w:ascii="Aptos" w:hAnsi="Aptos" w:eastAsia="Aptos" w:cs="Aptos"/>
          <w:noProof w:val="0"/>
          <w:sz w:val="24"/>
          <w:szCs w:val="24"/>
          <w:lang w:val="en-GB"/>
        </w:rPr>
        <w:t xml:space="preserve"> </w:t>
      </w:r>
      <w:r w:rsidRPr="1BB85550" w:rsidR="07B31BEA">
        <w:rPr>
          <w:rFonts w:ascii="Aptos" w:hAnsi="Aptos" w:eastAsia="Aptos" w:cs="Aptos"/>
          <w:noProof w:val="0"/>
          <w:sz w:val="24"/>
          <w:szCs w:val="24"/>
          <w:lang w:val="en-GB"/>
        </w:rPr>
        <w:t>Luxura</w:t>
      </w:r>
      <w:r w:rsidRPr="1BB85550" w:rsidR="07B31BEA">
        <w:rPr>
          <w:rFonts w:ascii="Aptos" w:hAnsi="Aptos" w:eastAsia="Aptos" w:cs="Aptos"/>
          <w:noProof w:val="0"/>
          <w:sz w:val="24"/>
          <w:szCs w:val="24"/>
          <w:lang w:val="en-GB"/>
        </w:rPr>
        <w:t xml:space="preserve"> Jewel as a premium model and describe investment in LED hybrid technology (</w:t>
      </w:r>
      <w:r w:rsidRPr="1BB85550" w:rsidR="07B31BEA">
        <w:rPr>
          <w:rFonts w:ascii="Aptos" w:hAnsi="Aptos" w:eastAsia="Aptos" w:cs="Aptos"/>
          <w:noProof w:val="0"/>
          <w:sz w:val="24"/>
          <w:szCs w:val="24"/>
          <w:lang w:val="en-GB"/>
        </w:rPr>
        <w:t>Lextan</w:t>
      </w:r>
      <w:r w:rsidRPr="1BB85550" w:rsidR="07B31BEA">
        <w:rPr>
          <w:rFonts w:ascii="Aptos" w:hAnsi="Aptos" w:eastAsia="Aptos" w:cs="Aptos"/>
          <w:noProof w:val="0"/>
          <w:sz w:val="24"/>
          <w:szCs w:val="24"/>
          <w:lang w:val="en-GB"/>
        </w:rPr>
        <w:t xml:space="preserve">, n.d.-a; </w:t>
      </w:r>
      <w:r w:rsidRPr="1BB85550" w:rsidR="07B31BEA">
        <w:rPr>
          <w:rFonts w:ascii="Aptos" w:hAnsi="Aptos" w:eastAsia="Aptos" w:cs="Aptos"/>
          <w:noProof w:val="0"/>
          <w:sz w:val="24"/>
          <w:szCs w:val="24"/>
          <w:lang w:val="en-GB"/>
        </w:rPr>
        <w:t>Lextan</w:t>
      </w:r>
      <w:r w:rsidRPr="1BB85550" w:rsidR="07B31BEA">
        <w:rPr>
          <w:rFonts w:ascii="Aptos" w:hAnsi="Aptos" w:eastAsia="Aptos" w:cs="Aptos"/>
          <w:noProof w:val="0"/>
          <w:sz w:val="24"/>
          <w:szCs w:val="24"/>
          <w:lang w:val="en-GB"/>
        </w:rPr>
        <w:t xml:space="preserve">, 2026). Red-light or </w:t>
      </w:r>
      <w:r w:rsidRPr="1BB85550" w:rsidR="52B6AA75">
        <w:rPr>
          <w:rFonts w:ascii="Aptos" w:hAnsi="Aptos" w:eastAsia="Aptos" w:cs="Aptos"/>
          <w:noProof w:val="0"/>
          <w:sz w:val="24"/>
          <w:szCs w:val="24"/>
          <w:lang w:val="en-GB"/>
        </w:rPr>
        <w:t>photo</w:t>
      </w:r>
      <w:r w:rsidRPr="1BB85550" w:rsidR="07B31BEA">
        <w:rPr>
          <w:rFonts w:ascii="Aptos" w:hAnsi="Aptos" w:eastAsia="Aptos" w:cs="Aptos"/>
          <w:noProof w:val="0"/>
          <w:sz w:val="24"/>
          <w:szCs w:val="24"/>
          <w:lang w:val="en-GB"/>
        </w:rPr>
        <w:t xml:space="preserve"> research suggests potential benefits for selected conditions, but the evidence varies by wavelength, dose, </w:t>
      </w:r>
      <w:r w:rsidRPr="1BB85550" w:rsidR="07B31BEA">
        <w:rPr>
          <w:rFonts w:ascii="Aptos" w:hAnsi="Aptos" w:eastAsia="Aptos" w:cs="Aptos"/>
          <w:noProof w:val="0"/>
          <w:sz w:val="24"/>
          <w:szCs w:val="24"/>
          <w:lang w:val="en-GB"/>
        </w:rPr>
        <w:t>indication</w:t>
      </w:r>
      <w:r w:rsidRPr="1BB85550" w:rsidR="07B31BEA">
        <w:rPr>
          <w:rFonts w:ascii="Aptos" w:hAnsi="Aptos" w:eastAsia="Aptos" w:cs="Aptos"/>
          <w:noProof w:val="0"/>
          <w:sz w:val="24"/>
          <w:szCs w:val="24"/>
          <w:lang w:val="en-GB"/>
        </w:rPr>
        <w:t xml:space="preserve"> and study quality; a recent review also notes discrepancies between peer-reviewed evidence and commercial claims (Glass, 2026). Consequently, the technology should be marketed within the manufacturer’s validated specification and legal boundaries. Staff should describe the service accurately rather than converting emerging evidence into guaranteed cosmetic or health outcomes.</w:t>
      </w:r>
    </w:p>
    <w:p w:rsidR="1C32B63A" w:rsidP="1C32B63A" w:rsidRDefault="1C32B63A" w14:paraId="5538DD70" w14:textId="6ABDF6AA">
      <w:pPr>
        <w:spacing w:before="240" w:beforeAutospacing="off" w:after="240" w:afterAutospacing="off"/>
      </w:pPr>
      <w:r w:rsidRPr="1BB85550" w:rsidR="07B31BEA">
        <w:rPr>
          <w:rFonts w:ascii="Aptos" w:hAnsi="Aptos" w:eastAsia="Aptos" w:cs="Aptos"/>
          <w:noProof w:val="0"/>
          <w:sz w:val="24"/>
          <w:szCs w:val="24"/>
          <w:lang w:val="en-GB"/>
        </w:rPr>
        <w:t>Economic conditions may affect both Lextan’s costs and the number of customers willing to pay for the service. ONS data show continued pressure from housing and household costs. This can leave customers with less money for non-essential spending while also increasing business costs (Office for National Statistics, 2026). Premium technology may help Lextan stand out, but higher prices could make customers visit less often or go elsewhere if they cannot see enough value. Lextan should examine profit after energy and maintenance costs, use at different times of day, repeat bookings, complaints and customer retention. Newer equipment should not be assumed to produce higher profits automatically.</w:t>
      </w:r>
    </w:p>
    <w:p w:rsidR="1C32B63A" w:rsidP="1C32B63A" w:rsidRDefault="1C32B63A" w14:paraId="17960BB0" w14:textId="1EDC7AFF">
      <w:pPr>
        <w:spacing w:before="240" w:beforeAutospacing="off" w:after="240" w:afterAutospacing="off"/>
      </w:pPr>
      <w:r w:rsidRPr="1BB85550" w:rsidR="07B31BEA">
        <w:rPr>
          <w:rFonts w:ascii="Aptos" w:hAnsi="Aptos" w:eastAsia="Aptos" w:cs="Aptos"/>
          <w:noProof w:val="0"/>
          <w:sz w:val="24"/>
          <w:szCs w:val="24"/>
          <w:lang w:val="en-GB"/>
        </w:rPr>
        <w:t>Social demand for technology-enabled and personalised beauty experiences provides an opportunity, although commercial trend evidence should be interpreted cautiously. Boots’ 2026 report indicates rising interest in attainable wellness and personalised solutions, but its findings reflect the retailer’s own customer base and cannot be generalised automatically to tanning-salon customers (Boots UK, 2026). Lextan should test local demand using booking data, short customer surveys and trial conversion rates. This illustrates why PESTLE categories must be connected: social interest becomes commercially useful only if customers can afford the service, trust the claims and experience competent delivery.</w:t>
      </w:r>
    </w:p>
    <w:p w:rsidR="1C32B63A" w:rsidP="1BB85550" w:rsidRDefault="1C32B63A" w14:paraId="0606022C" w14:textId="008AA3D9">
      <w:pPr>
        <w:pStyle w:val="Heading2"/>
        <w:spacing w:before="299" w:beforeAutospacing="off" w:after="299" w:afterAutospacing="off"/>
        <w:rPr>
          <w:rFonts w:ascii="Aptos" w:hAnsi="Aptos" w:eastAsia="Aptos" w:cs="Aptos"/>
          <w:b w:val="1"/>
          <w:bCs w:val="1"/>
          <w:noProof w:val="0"/>
          <w:sz w:val="36"/>
          <w:szCs w:val="36"/>
          <w:lang w:val="en-GB"/>
        </w:rPr>
      </w:pPr>
      <w:bookmarkStart w:name="_Toc160118403" w:id="938325791"/>
      <w:r w:rsidRPr="1BB85550" w:rsidR="07B31BEA">
        <w:rPr>
          <w:rFonts w:ascii="Aptos" w:hAnsi="Aptos" w:eastAsia="Aptos" w:cs="Aptos"/>
          <w:b w:val="1"/>
          <w:bCs w:val="1"/>
          <w:noProof w:val="0"/>
          <w:sz w:val="36"/>
          <w:szCs w:val="36"/>
          <w:lang w:val="en-GB"/>
        </w:rPr>
        <w:t>SWOT analysis of the micro environment</w:t>
      </w:r>
      <w:bookmarkEnd w:id="938325791"/>
    </w:p>
    <w:p w:rsidR="1C32B63A" w:rsidP="1C32B63A" w:rsidRDefault="1C32B63A" w14:paraId="125418E6" w14:textId="7CB77F0E">
      <w:pPr>
        <w:spacing w:before="240" w:beforeAutospacing="off" w:after="240" w:afterAutospacing="off"/>
      </w:pPr>
      <w:r w:rsidRPr="1BB85550" w:rsidR="07B31BEA">
        <w:rPr>
          <w:rFonts w:ascii="Aptos" w:hAnsi="Aptos" w:eastAsia="Aptos" w:cs="Aptos"/>
          <w:noProof w:val="0"/>
          <w:sz w:val="24"/>
          <w:szCs w:val="24"/>
          <w:lang w:val="en-GB"/>
        </w:rPr>
        <w:t xml:space="preserve">The SWOT analysis in Appendix B suggests that </w:t>
      </w:r>
      <w:r w:rsidRPr="1BB85550" w:rsidR="07B31BEA">
        <w:rPr>
          <w:rFonts w:ascii="Aptos" w:hAnsi="Aptos" w:eastAsia="Aptos" w:cs="Aptos"/>
          <w:noProof w:val="0"/>
          <w:sz w:val="24"/>
          <w:szCs w:val="24"/>
          <w:lang w:val="en-GB"/>
        </w:rPr>
        <w:t>Lextan’s</w:t>
      </w:r>
      <w:r w:rsidRPr="1BB85550" w:rsidR="07B31BEA">
        <w:rPr>
          <w:rFonts w:ascii="Aptos" w:hAnsi="Aptos" w:eastAsia="Aptos" w:cs="Aptos"/>
          <w:noProof w:val="0"/>
          <w:sz w:val="24"/>
          <w:szCs w:val="24"/>
          <w:lang w:val="en-GB"/>
        </w:rPr>
        <w:t xml:space="preserve"> most relevant strength is not the equipment </w:t>
      </w:r>
      <w:r w:rsidRPr="1BB85550" w:rsidR="4054943A">
        <w:rPr>
          <w:rFonts w:ascii="Aptos" w:hAnsi="Aptos" w:eastAsia="Aptos" w:cs="Aptos"/>
          <w:noProof w:val="0"/>
          <w:sz w:val="24"/>
          <w:szCs w:val="24"/>
          <w:lang w:val="en-GB"/>
        </w:rPr>
        <w:t>itself,</w:t>
      </w:r>
      <w:r w:rsidRPr="1BB85550" w:rsidR="07B31BEA">
        <w:rPr>
          <w:rFonts w:ascii="Aptos" w:hAnsi="Aptos" w:eastAsia="Aptos" w:cs="Aptos"/>
          <w:noProof w:val="0"/>
          <w:sz w:val="24"/>
          <w:szCs w:val="24"/>
          <w:lang w:val="en-GB"/>
        </w:rPr>
        <w:t xml:space="preserve"> but the brand reach, customer access and operational knowledge needed to convert it into a consistent service. However, these strengths are partly inferred from internal </w:t>
      </w:r>
      <w:r w:rsidRPr="1BB85550" w:rsidR="76A3F6C3">
        <w:rPr>
          <w:rFonts w:ascii="Aptos" w:hAnsi="Aptos" w:eastAsia="Aptos" w:cs="Aptos"/>
          <w:noProof w:val="0"/>
          <w:sz w:val="24"/>
          <w:szCs w:val="24"/>
          <w:lang w:val="en-GB"/>
        </w:rPr>
        <w:t>experience,</w:t>
      </w:r>
      <w:r w:rsidRPr="1BB85550" w:rsidR="07B31BEA">
        <w:rPr>
          <w:rFonts w:ascii="Aptos" w:hAnsi="Aptos" w:eastAsia="Aptos" w:cs="Aptos"/>
          <w:noProof w:val="0"/>
          <w:sz w:val="24"/>
          <w:szCs w:val="24"/>
          <w:lang w:val="en-GB"/>
        </w:rPr>
        <w:t xml:space="preserve"> and company claims rather than independent performance data. A recognised brand can also magnify reputational harm if standards vary. The small team creates a capability bottleneck because one or two uncertain employees could produce inconsistent explanations and safety advice. Training completion should therefore be assessed through observed competence and customer outcomes rather than attendance, although even these measures may be influenced by managers who have an interest in reporting successful implementation.</w:t>
      </w:r>
    </w:p>
    <w:p w:rsidR="1C32B63A" w:rsidP="1C32B63A" w:rsidRDefault="1C32B63A" w14:paraId="6AB7CCF7" w14:textId="5E660CAF">
      <w:pPr>
        <w:spacing w:before="240" w:beforeAutospacing="off" w:after="240" w:afterAutospacing="off"/>
      </w:pPr>
      <w:r w:rsidRPr="1BB85550" w:rsidR="07B31BEA">
        <w:rPr>
          <w:rFonts w:ascii="Aptos" w:hAnsi="Aptos" w:eastAsia="Aptos" w:cs="Aptos"/>
          <w:noProof w:val="0"/>
          <w:sz w:val="24"/>
          <w:szCs w:val="24"/>
          <w:lang w:val="en-GB"/>
        </w:rPr>
        <w:t>The main opportunity is to use the new technology to improve consultations and the overall customer experience. However, the red-light feature cannot be assumed to attract enough customers. The investment could become a weakness if equipment downtime, energy costs or claims without enough evidence outweigh the income it produces. This is why the SWOT must lead to action rather than remain a list. Lextan should use the experience of its staff and supplier to create clear working procedures, test customer information, monitor results and respond quickly to faults or misunderstandings.</w:t>
      </w:r>
    </w:p>
    <w:p w:rsidR="1C32B63A" w:rsidP="1BB85550" w:rsidRDefault="1C32B63A" w14:paraId="707727B3" w14:textId="12CB6BBE">
      <w:pPr>
        <w:pStyle w:val="Heading2"/>
        <w:spacing w:before="299" w:beforeAutospacing="off" w:after="299" w:afterAutospacing="off"/>
        <w:rPr>
          <w:rFonts w:ascii="Aptos" w:hAnsi="Aptos" w:eastAsia="Aptos" w:cs="Aptos"/>
          <w:b w:val="1"/>
          <w:bCs w:val="1"/>
          <w:noProof w:val="0"/>
          <w:sz w:val="36"/>
          <w:szCs w:val="36"/>
          <w:lang w:val="en-GB"/>
        </w:rPr>
      </w:pPr>
      <w:bookmarkStart w:name="_Toc1830860688" w:id="1132922154"/>
      <w:r w:rsidRPr="1BB85550" w:rsidR="07B31BEA">
        <w:rPr>
          <w:rFonts w:ascii="Aptos" w:hAnsi="Aptos" w:eastAsia="Aptos" w:cs="Aptos"/>
          <w:b w:val="1"/>
          <w:bCs w:val="1"/>
          <w:noProof w:val="0"/>
          <w:sz w:val="36"/>
          <w:szCs w:val="36"/>
          <w:lang w:val="en-GB"/>
        </w:rPr>
        <w:t>Implications for workplace culture and capability</w:t>
      </w:r>
      <w:bookmarkEnd w:id="1132922154"/>
    </w:p>
    <w:p w:rsidR="1C32B63A" w:rsidP="1C32B63A" w:rsidRDefault="1C32B63A" w14:paraId="2C41B883" w14:textId="595106E3">
      <w:pPr>
        <w:spacing w:before="240" w:beforeAutospacing="off" w:after="240" w:afterAutospacing="off"/>
      </w:pPr>
      <w:r w:rsidRPr="1BB85550" w:rsidR="07B31BEA">
        <w:rPr>
          <w:rFonts w:ascii="Aptos" w:hAnsi="Aptos" w:eastAsia="Aptos" w:cs="Aptos"/>
          <w:noProof w:val="0"/>
          <w:sz w:val="24"/>
          <w:szCs w:val="24"/>
          <w:lang w:val="en-GB"/>
        </w:rPr>
        <w:t>The change could support a learning culture if employees are encouraged to question claims, practise customer consultations and report problems without being blamed. It could weaken the culture if sales targets are placed above safety or if decisions are announced without enough explanation. Lextan’s ability to manage the change depends on operating the equipment, following the law, understanding evidence, communicating with customers and learning from data and mistakes. An expensive machine cannot make up for poor working practices.</w:t>
      </w:r>
    </w:p>
    <w:p w:rsidR="1C32B63A" w:rsidP="1C32B63A" w:rsidRDefault="1C32B63A" w14:paraId="51D9935C" w14:textId="4E756710">
      <w:pPr>
        <w:spacing w:before="240" w:beforeAutospacing="off" w:after="240" w:afterAutospacing="off"/>
      </w:pPr>
      <w:r w:rsidRPr="1BB85550" w:rsidR="07B31BEA">
        <w:rPr>
          <w:rFonts w:ascii="Aptos" w:hAnsi="Aptos" w:eastAsia="Aptos" w:cs="Aptos"/>
          <w:noProof w:val="0"/>
          <w:sz w:val="24"/>
          <w:szCs w:val="24"/>
          <w:lang w:val="en-GB"/>
        </w:rPr>
        <w:t>At branch level, Lextan should look for clear evidence that the team can manage the change. This includes competent employees, consistent age and health checks, accurate information, few complaints or errors, reliable equipment, repeat use and enough profit after energy, maintenance and finance costs. These measures can also guide later decisions. Task One shows that outside pressures may make innovation necessary, but they also increase the need for careful leadership and control.</w:t>
      </w:r>
    </w:p>
    <w:p w:rsidR="1C32B63A" w:rsidP="1BB85550" w:rsidRDefault="1C32B63A" w14:paraId="1320ABF7" w14:textId="098AD9B0">
      <w:pPr>
        <w:pStyle w:val="Heading1"/>
        <w:spacing w:before="322" w:beforeAutospacing="off" w:after="322" w:afterAutospacing="off"/>
        <w:rPr>
          <w:rFonts w:ascii="Aptos" w:hAnsi="Aptos" w:eastAsia="Aptos" w:cs="Aptos"/>
          <w:b w:val="1"/>
          <w:bCs w:val="1"/>
          <w:noProof w:val="0"/>
          <w:sz w:val="48"/>
          <w:szCs w:val="48"/>
          <w:lang w:val="en-GB"/>
        </w:rPr>
      </w:pPr>
      <w:bookmarkStart w:name="_Toc240650606" w:id="1486121583"/>
      <w:r w:rsidRPr="1BB85550" w:rsidR="07B31BEA">
        <w:rPr>
          <w:rFonts w:ascii="Aptos" w:hAnsi="Aptos" w:eastAsia="Aptos" w:cs="Aptos"/>
          <w:b w:val="1"/>
          <w:bCs w:val="1"/>
          <w:noProof w:val="0"/>
          <w:sz w:val="48"/>
          <w:szCs w:val="48"/>
          <w:lang w:val="en-GB"/>
        </w:rPr>
        <w:t>Leading stakeholders through complex change</w:t>
      </w:r>
      <w:bookmarkEnd w:id="1486121583"/>
    </w:p>
    <w:p w:rsidR="1C32B63A" w:rsidP="1BB85550" w:rsidRDefault="1C32B63A" w14:paraId="7EC46A7D" w14:textId="6DAE90E0">
      <w:pPr>
        <w:pStyle w:val="Heading2"/>
        <w:spacing w:before="299" w:beforeAutospacing="off" w:after="299" w:afterAutospacing="off"/>
        <w:rPr>
          <w:rFonts w:ascii="Aptos" w:hAnsi="Aptos" w:eastAsia="Aptos" w:cs="Aptos"/>
          <w:b w:val="1"/>
          <w:bCs w:val="1"/>
          <w:noProof w:val="0"/>
          <w:sz w:val="36"/>
          <w:szCs w:val="36"/>
          <w:lang w:val="en-GB"/>
        </w:rPr>
      </w:pPr>
      <w:bookmarkStart w:name="_Toc1632795511" w:id="272436770"/>
      <w:r w:rsidRPr="1BB85550" w:rsidR="07B31BEA">
        <w:rPr>
          <w:rFonts w:ascii="Aptos" w:hAnsi="Aptos" w:eastAsia="Aptos" w:cs="Aptos"/>
          <w:b w:val="1"/>
          <w:bCs w:val="1"/>
          <w:noProof w:val="0"/>
          <w:sz w:val="36"/>
          <w:szCs w:val="36"/>
          <w:lang w:val="en-GB"/>
        </w:rPr>
        <w:t>Stakeholder identification and analysis</w:t>
      </w:r>
      <w:bookmarkEnd w:id="272436770"/>
    </w:p>
    <w:p w:rsidR="1C32B63A" w:rsidP="1C32B63A" w:rsidRDefault="1C32B63A" w14:paraId="785CAB8E" w14:textId="3E62031A">
      <w:pPr>
        <w:spacing w:before="240" w:beforeAutospacing="off" w:after="240" w:afterAutospacing="off"/>
      </w:pPr>
      <w:r w:rsidRPr="1BB85550" w:rsidR="07B31BEA">
        <w:rPr>
          <w:rFonts w:ascii="Aptos" w:hAnsi="Aptos" w:eastAsia="Aptos" w:cs="Aptos"/>
          <w:noProof w:val="0"/>
          <w:sz w:val="24"/>
          <w:szCs w:val="24"/>
          <w:lang w:val="en-GB"/>
        </w:rPr>
        <w:t>Freeman (1984) defines stakeholders broadly as groups or individuals who can affect or are affected by organisational objectives. This is useful for Lextan because the change affects more than owners and customers. Internal stakeholders include senior leaders, branch managers and employees. External stakeholders include customers, equipment suppliers and maintenance partners, local authorities and Trading Standards, health organisations and the wider community. Stakeholder analysis is important because these groups differ in power, interest, legitimacy, knowledge and urgency; a single communication plan would therefore be inefficient and potentially unfair.</w:t>
      </w:r>
    </w:p>
    <w:p w:rsidR="1C32B63A" w:rsidP="1C32B63A" w:rsidRDefault="1C32B63A" w14:paraId="6B0DCD9F" w14:textId="497F9128">
      <w:pPr>
        <w:spacing w:before="240" w:beforeAutospacing="off" w:after="240" w:afterAutospacing="off"/>
      </w:pPr>
      <w:r w:rsidRPr="1BB85550" w:rsidR="07B31BEA">
        <w:rPr>
          <w:rFonts w:ascii="Aptos" w:hAnsi="Aptos" w:eastAsia="Aptos" w:cs="Aptos"/>
          <w:noProof w:val="0"/>
          <w:sz w:val="24"/>
          <w:szCs w:val="24"/>
          <w:lang w:val="en-GB"/>
        </w:rPr>
        <w:t>A power-interest matrix is a useful first step, but its ratings are based on management judgement rather than fact. Power and interest can change, and the person completing the matrix decides whose concerns are taken seriously. One customer may appear to have little power but can gain influence through a complaint or social-media post. A regulator may also become much more interested after an incident. Mitchell et al. (1997) add legitimacy and urgency to the assessment, but these are still open to interpretation and may favour formal organisations over quieter employees or customers. The models are only useful when the ratings are explained, questioned and regularly reviewed with stakeholders.</w:t>
      </w:r>
    </w:p>
    <w:p w:rsidR="1C32B63A" w:rsidP="1C32B63A" w:rsidRDefault="1C32B63A" w14:paraId="75B52810" w14:textId="17E623E2">
      <w:pPr>
        <w:spacing w:before="240" w:beforeAutospacing="off" w:after="240" w:afterAutospacing="off"/>
      </w:pPr>
      <w:r w:rsidRPr="1BB85550" w:rsidR="07B31BEA">
        <w:rPr>
          <w:rFonts w:ascii="Aptos" w:hAnsi="Aptos" w:eastAsia="Aptos" w:cs="Aptos"/>
          <w:noProof w:val="0"/>
          <w:sz w:val="24"/>
          <w:szCs w:val="24"/>
          <w:lang w:val="en-GB"/>
        </w:rPr>
        <w:t>The main stakeholders connected to the change are Lextan’s owners and senior leaders, salon managers, salon employees, customers, the equipment supplier, maintenance partners, local authorities, Trading Standards, health organisations and the wider community. Owners and senior leaders have high power and interest because they control the investment and are responsible for organisational performance. The salon manager has high operational power because they control staffing, daily priorities, training and the application of procedures at branch level.</w:t>
      </w:r>
    </w:p>
    <w:p w:rsidR="1C32B63A" w:rsidP="1C32B63A" w:rsidRDefault="1C32B63A" w14:paraId="747FDA0D" w14:textId="2846E10E">
      <w:pPr>
        <w:spacing w:before="240" w:beforeAutospacing="off" w:after="240" w:afterAutospacing="off"/>
      </w:pPr>
      <w:r w:rsidRPr="1BB85550" w:rsidR="07B31BEA">
        <w:rPr>
          <w:rFonts w:ascii="Aptos" w:hAnsi="Aptos" w:eastAsia="Aptos" w:cs="Aptos"/>
          <w:noProof w:val="0"/>
          <w:sz w:val="24"/>
          <w:szCs w:val="24"/>
          <w:lang w:val="en-GB"/>
        </w:rPr>
        <w:t>Employees may possess less formal authority, but they have considerable practical influence because they operate the equipment and communicate directly with customers. Customers also have collective influence through their purchasing choices, complaints and online reviews. Suppliers hold technical knowledge that Lextan depends upon, while local authorities and Trading Standards have legal powers if safety or consumer-protection requirements are not met. Health organisations may not control the business directly, but their information can affect public opinion and Lextan’s reputation.</w:t>
      </w:r>
    </w:p>
    <w:p w:rsidR="1C32B63A" w:rsidP="1C32B63A" w:rsidRDefault="1C32B63A" w14:paraId="3A0A76BE" w14:textId="5C094AF0">
      <w:pPr>
        <w:spacing w:before="240" w:beforeAutospacing="off" w:after="240" w:afterAutospacing="off"/>
      </w:pPr>
      <w:r w:rsidRPr="1BB85550" w:rsidR="07B31BEA">
        <w:rPr>
          <w:rFonts w:ascii="Aptos" w:hAnsi="Aptos" w:eastAsia="Aptos" w:cs="Aptos"/>
          <w:noProof w:val="0"/>
          <w:sz w:val="24"/>
          <w:szCs w:val="24"/>
          <w:lang w:val="en-GB"/>
        </w:rPr>
        <w:t>The analysis shows that salon employees need more attention than their job title might suggest. They put the change into practice during every customer conversation, which gives them considerable influence. Customers also have collective power because their reviews and complaints can affect Lextan’s reputation. Regulators may show little interest during normal operation, but they have strong legal powers if a problem occurs. Stakeholder analysis should therefore guide who takes part in decisions, rather than simply placing people into boxes (Bryson, 2004).</w:t>
      </w:r>
    </w:p>
    <w:p w:rsidR="1C32B63A" w:rsidP="1C32B63A" w:rsidRDefault="1C32B63A" w14:paraId="077C8750" w14:textId="12E1E14A">
      <w:pPr>
        <w:spacing w:before="240" w:beforeAutospacing="off" w:after="240" w:afterAutospacing="off"/>
      </w:pPr>
      <w:r w:rsidRPr="1BB85550" w:rsidR="07B31BEA">
        <w:rPr>
          <w:rFonts w:ascii="Aptos" w:hAnsi="Aptos" w:eastAsia="Aptos" w:cs="Aptos"/>
          <w:noProof w:val="0"/>
          <w:sz w:val="24"/>
          <w:szCs w:val="24"/>
          <w:lang w:val="en-GB"/>
        </w:rPr>
        <w:t>Employee voice needs particular care because asking for an opinion does not prove that people feel able to speak honestly. A meeting led by the manager may favour confident staff, while quieter employees or those worried about targets may remain silent. Anonymous questions, individual check-ins and observation of actual practice could expose concerns that a group meeting misses. Even then, managers choose what action follows. Lextan should therefore record the issues raised, the decision made and the reason for it, so participation can be judged by influence rather than attendance.</w:t>
      </w:r>
    </w:p>
    <w:p w:rsidR="1C32B63A" w:rsidP="1BB85550" w:rsidRDefault="1C32B63A" w14:paraId="4203AA85" w14:textId="18AF2E0F">
      <w:pPr>
        <w:pStyle w:val="Heading2"/>
        <w:spacing w:before="299" w:beforeAutospacing="off" w:after="299" w:afterAutospacing="off"/>
        <w:rPr>
          <w:rFonts w:ascii="Aptos" w:hAnsi="Aptos" w:eastAsia="Aptos" w:cs="Aptos"/>
          <w:b w:val="1"/>
          <w:bCs w:val="1"/>
          <w:noProof w:val="0"/>
          <w:sz w:val="36"/>
          <w:szCs w:val="36"/>
          <w:lang w:val="en-GB"/>
        </w:rPr>
      </w:pPr>
      <w:bookmarkStart w:name="_Toc1918750793" w:id="1187648830"/>
      <w:r w:rsidRPr="1BB85550" w:rsidR="07B31BEA">
        <w:rPr>
          <w:rFonts w:ascii="Aptos" w:hAnsi="Aptos" w:eastAsia="Aptos" w:cs="Aptos"/>
          <w:b w:val="1"/>
          <w:bCs w:val="1"/>
          <w:noProof w:val="0"/>
          <w:sz w:val="36"/>
          <w:szCs w:val="36"/>
          <w:lang w:val="en-GB"/>
        </w:rPr>
        <w:t>Organisational politics power and the change agent</w:t>
      </w:r>
      <w:bookmarkEnd w:id="1187648830"/>
    </w:p>
    <w:p w:rsidR="1C32B63A" w:rsidP="1C32B63A" w:rsidRDefault="1C32B63A" w14:paraId="1BAE085C" w14:textId="6D7B2D57">
      <w:pPr>
        <w:spacing w:before="240" w:beforeAutospacing="off" w:after="240" w:afterAutospacing="off"/>
      </w:pPr>
      <w:r w:rsidRPr="1BB85550" w:rsidR="07B31BEA">
        <w:rPr>
          <w:rFonts w:ascii="Aptos" w:hAnsi="Aptos" w:eastAsia="Aptos" w:cs="Aptos"/>
          <w:noProof w:val="0"/>
          <w:sz w:val="24"/>
          <w:szCs w:val="24"/>
          <w:lang w:val="en-GB"/>
        </w:rPr>
        <w:t>Stakeholder analysis must also examine organisational politics: the informal use of power, relationships and influence to shape decisions. Politics can support the change when a respected manager builds a coalition, secures resources, protects time for training or persuades sceptical colleagues to test the new service. It becomes damaging when individuals protect status, targets or departmental interests at the expense of safety, employee voice or reliable evidence. Buchanan and Badham’s (1999) study of change agents found that political behaviour can serve organisational goals as well as personal career interests. Politics is therefore not automatically irrational or unethical, but neither should it be treated as neutral. The relevant questions are whose interests are advanced, who carries the risk and whether the conduct could be justified openly.</w:t>
      </w:r>
    </w:p>
    <w:p w:rsidR="1C32B63A" w:rsidP="1C32B63A" w:rsidRDefault="1C32B63A" w14:paraId="60831ADE" w14:textId="6D86A139">
      <w:pPr>
        <w:spacing w:before="240" w:beforeAutospacing="off" w:after="240" w:afterAutospacing="off"/>
      </w:pPr>
      <w:r w:rsidRPr="1BB85550" w:rsidR="07B31BEA">
        <w:rPr>
          <w:rFonts w:ascii="Aptos" w:hAnsi="Aptos" w:eastAsia="Aptos" w:cs="Aptos"/>
          <w:noProof w:val="0"/>
          <w:sz w:val="24"/>
          <w:szCs w:val="24"/>
          <w:lang w:val="en-GB"/>
        </w:rPr>
        <w:t>Power at Lextan comes from different sources. Senior leaders control money and resources, the salon manager controls rotas and daily priorities, experienced employees have practical knowledge and influence within the team, the supplier holds specialist information, and regulators have legal authority. These differences can make consultation misleading. Employees may appear to agree while keeping concerns to themselves. A person focused on sales may also dismiss a safety concern raised by someone with less authority. Frontline staff can still slow the change through inconsistent use or negative informal conversations. The analysis must therefore consider job authority, expertise, access to information, working relationships, reputation and the ability to delay or strengthen the change. It must also recognise that power can shift quickly after a complaint, inspection, equipment fault or social-media post.</w:t>
      </w:r>
    </w:p>
    <w:p w:rsidR="1C32B63A" w:rsidP="1C32B63A" w:rsidRDefault="1C32B63A" w14:paraId="012555AB" w14:textId="65153CFB">
      <w:pPr>
        <w:spacing w:before="240" w:beforeAutospacing="off" w:after="240" w:afterAutospacing="off"/>
      </w:pPr>
      <w:r w:rsidRPr="1BB85550" w:rsidR="07B31BEA">
        <w:rPr>
          <w:rFonts w:ascii="Aptos" w:hAnsi="Aptos" w:eastAsia="Aptos" w:cs="Aptos"/>
          <w:noProof w:val="0"/>
          <w:sz w:val="24"/>
          <w:szCs w:val="24"/>
          <w:lang w:val="en-GB"/>
        </w:rPr>
        <w:t>The change leader must be aware of their own power and should not assume that being a manager means knowing what is best for everyone. The role requires judgement, patience, tact, resilience and the ability to influence people. Lewin’s wider work considers the forces supporting and holding back change and encourages groups to take part in understanding the problem. However, the simplified three-stage model can hide conflict between different interests (Burnes, 2004). Kotter (1995) deals with power more clearly through urgency, a guiding group, removing barriers and involving more people. Even so, a guiding group may simply repeat the existing hierarchy if it only contains powerful supporters. Neither model guarantees success. Stakeholder analysis is still needed to uncover missing voices, different agendas and changing relationships. Politics is not the only reason change fails, but ignoring power can explain why a sensible plan may still produce poor results.</w:t>
      </w:r>
    </w:p>
    <w:p w:rsidR="1C32B63A" w:rsidP="1BB85550" w:rsidRDefault="1C32B63A" w14:paraId="0EBF517F" w14:textId="22FC8611">
      <w:pPr>
        <w:pStyle w:val="Heading2"/>
        <w:spacing w:before="299" w:beforeAutospacing="off" w:after="299" w:afterAutospacing="off"/>
        <w:rPr>
          <w:rFonts w:ascii="Aptos" w:hAnsi="Aptos" w:eastAsia="Aptos" w:cs="Aptos"/>
          <w:b w:val="1"/>
          <w:bCs w:val="1"/>
          <w:noProof w:val="0"/>
          <w:sz w:val="36"/>
          <w:szCs w:val="36"/>
          <w:lang w:val="en-GB"/>
        </w:rPr>
      </w:pPr>
      <w:bookmarkStart w:name="_Toc535650898" w:id="2048290339"/>
      <w:r w:rsidRPr="1BB85550" w:rsidR="07B31BEA">
        <w:rPr>
          <w:rFonts w:ascii="Aptos" w:hAnsi="Aptos" w:eastAsia="Aptos" w:cs="Aptos"/>
          <w:b w:val="1"/>
          <w:bCs w:val="1"/>
          <w:noProof w:val="0"/>
          <w:sz w:val="36"/>
          <w:szCs w:val="36"/>
          <w:lang w:val="en-GB"/>
        </w:rPr>
        <w:t>Stakeholder leadership and communication</w:t>
      </w:r>
      <w:bookmarkEnd w:id="2048290339"/>
    </w:p>
    <w:p w:rsidR="1C32B63A" w:rsidP="1C32B63A" w:rsidRDefault="1C32B63A" w14:paraId="1D0DAB5C" w14:textId="0E19DFBA">
      <w:pPr>
        <w:spacing w:before="240" w:beforeAutospacing="off" w:after="240" w:afterAutospacing="off"/>
      </w:pPr>
      <w:r w:rsidRPr="1BB85550" w:rsidR="07B31BEA">
        <w:rPr>
          <w:rFonts w:ascii="Aptos" w:hAnsi="Aptos" w:eastAsia="Aptos" w:cs="Aptos"/>
          <w:noProof w:val="0"/>
          <w:sz w:val="24"/>
          <w:szCs w:val="24"/>
          <w:lang w:val="en-GB"/>
        </w:rPr>
        <w:t>Leadership should be participative but not ambiguous. Employees should help identify operational risks, refine scripts and test routines because their proximity to customers provides knowledge that senior leaders may lack. Participation can increase ownership and surface problems early, but consultation must have boundaries: legal requirements and validated safety procedures are not optional. The manager should explain which elements are fixed, which are open to influence and how employee input changed the implementation plan.</w:t>
      </w:r>
    </w:p>
    <w:p w:rsidR="1C32B63A" w:rsidP="1C32B63A" w:rsidRDefault="1C32B63A" w14:paraId="487A14BD" w14:textId="7BBEC677">
      <w:pPr>
        <w:spacing w:before="240" w:beforeAutospacing="off" w:after="240" w:afterAutospacing="off"/>
      </w:pPr>
      <w:r w:rsidRPr="1BB85550" w:rsidR="07B31BEA">
        <w:rPr>
          <w:rFonts w:ascii="Aptos" w:hAnsi="Aptos" w:eastAsia="Aptos" w:cs="Aptos"/>
          <w:noProof w:val="0"/>
          <w:sz w:val="24"/>
          <w:szCs w:val="24"/>
          <w:lang w:val="en-GB"/>
        </w:rPr>
        <w:t xml:space="preserve">Communication should continue throughout the change, allow people to respond and be suited to each stakeholder. However, communication cannot fix weak evidence, unfair workloads or a decision that staff are not genuinely allowed to influence. </w:t>
      </w:r>
      <w:r w:rsidRPr="1BB85550" w:rsidR="07B31BEA">
        <w:rPr>
          <w:rFonts w:ascii="Aptos" w:hAnsi="Aptos" w:eastAsia="Aptos" w:cs="Aptos"/>
          <w:noProof w:val="0"/>
          <w:sz w:val="24"/>
          <w:szCs w:val="24"/>
          <w:lang w:val="en-GB"/>
        </w:rPr>
        <w:t>Errida</w:t>
      </w:r>
      <w:r w:rsidRPr="1BB85550" w:rsidR="07B31BEA">
        <w:rPr>
          <w:rFonts w:ascii="Aptos" w:hAnsi="Aptos" w:eastAsia="Aptos" w:cs="Aptos"/>
          <w:noProof w:val="0"/>
          <w:sz w:val="24"/>
          <w:szCs w:val="24"/>
          <w:lang w:val="en-GB"/>
        </w:rPr>
        <w:t xml:space="preserve"> and Lotfi’s (2021) review of 37 change models </w:t>
      </w:r>
      <w:r w:rsidRPr="1BB85550" w:rsidR="07B31BEA">
        <w:rPr>
          <w:rFonts w:ascii="Aptos" w:hAnsi="Aptos" w:eastAsia="Aptos" w:cs="Aptos"/>
          <w:noProof w:val="0"/>
          <w:sz w:val="24"/>
          <w:szCs w:val="24"/>
          <w:lang w:val="en-GB"/>
        </w:rPr>
        <w:t>identifies</w:t>
      </w:r>
      <w:r w:rsidRPr="1BB85550" w:rsidR="07B31BEA">
        <w:rPr>
          <w:rFonts w:ascii="Aptos" w:hAnsi="Aptos" w:eastAsia="Aptos" w:cs="Aptos"/>
          <w:noProof w:val="0"/>
          <w:sz w:val="24"/>
          <w:szCs w:val="24"/>
          <w:lang w:val="en-GB"/>
        </w:rPr>
        <w:t xml:space="preserve"> leadership, stakeholder involvement, </w:t>
      </w:r>
      <w:r w:rsidRPr="1BB85550" w:rsidR="07B31BEA">
        <w:rPr>
          <w:rFonts w:ascii="Aptos" w:hAnsi="Aptos" w:eastAsia="Aptos" w:cs="Aptos"/>
          <w:noProof w:val="0"/>
          <w:sz w:val="24"/>
          <w:szCs w:val="24"/>
          <w:lang w:val="en-GB"/>
        </w:rPr>
        <w:t>motivation</w:t>
      </w:r>
      <w:r w:rsidRPr="1BB85550" w:rsidR="07B31BEA">
        <w:rPr>
          <w:rFonts w:ascii="Aptos" w:hAnsi="Aptos" w:eastAsia="Aptos" w:cs="Aptos"/>
          <w:noProof w:val="0"/>
          <w:sz w:val="24"/>
          <w:szCs w:val="24"/>
          <w:lang w:val="en-GB"/>
        </w:rPr>
        <w:t xml:space="preserve"> and communication as important. However, evidence from </w:t>
      </w:r>
      <w:r w:rsidRPr="1BB85550" w:rsidR="3B7E27FA">
        <w:rPr>
          <w:rFonts w:ascii="Aptos" w:hAnsi="Aptos" w:eastAsia="Aptos" w:cs="Aptos"/>
          <w:noProof w:val="0"/>
          <w:sz w:val="24"/>
          <w:szCs w:val="24"/>
          <w:lang w:val="en-GB"/>
        </w:rPr>
        <w:t>sectors</w:t>
      </w:r>
      <w:r w:rsidRPr="1BB85550" w:rsidR="07B31BEA">
        <w:rPr>
          <w:rFonts w:ascii="Aptos" w:hAnsi="Aptos" w:eastAsia="Aptos" w:cs="Aptos"/>
          <w:noProof w:val="0"/>
          <w:sz w:val="24"/>
          <w:szCs w:val="24"/>
          <w:lang w:val="en-GB"/>
        </w:rPr>
        <w:t xml:space="preserve"> does not prove that the same approach will succeed at </w:t>
      </w:r>
      <w:r w:rsidRPr="1BB85550" w:rsidR="07B31BEA">
        <w:rPr>
          <w:rFonts w:ascii="Aptos" w:hAnsi="Aptos" w:eastAsia="Aptos" w:cs="Aptos"/>
          <w:noProof w:val="0"/>
          <w:sz w:val="24"/>
          <w:szCs w:val="24"/>
          <w:lang w:val="en-GB"/>
        </w:rPr>
        <w:t>Lextan</w:t>
      </w:r>
      <w:r w:rsidRPr="1BB85550" w:rsidR="07B31BEA">
        <w:rPr>
          <w:rFonts w:ascii="Aptos" w:hAnsi="Aptos" w:eastAsia="Aptos" w:cs="Aptos"/>
          <w:noProof w:val="0"/>
          <w:sz w:val="24"/>
          <w:szCs w:val="24"/>
          <w:lang w:val="en-GB"/>
        </w:rPr>
        <w:t xml:space="preserve">. Senior leaders need information about cost and risk, employees need demonstrations and clear roles, customers need straightforward information, suppliers need fault and usage data, and regulators need </w:t>
      </w:r>
      <w:r w:rsidRPr="1BB85550" w:rsidR="07B31BEA">
        <w:rPr>
          <w:rFonts w:ascii="Aptos" w:hAnsi="Aptos" w:eastAsia="Aptos" w:cs="Aptos"/>
          <w:noProof w:val="0"/>
          <w:sz w:val="24"/>
          <w:szCs w:val="24"/>
          <w:lang w:val="en-GB"/>
        </w:rPr>
        <w:t>accurate</w:t>
      </w:r>
      <w:r w:rsidRPr="1BB85550" w:rsidR="07B31BEA">
        <w:rPr>
          <w:rFonts w:ascii="Aptos" w:hAnsi="Aptos" w:eastAsia="Aptos" w:cs="Aptos"/>
          <w:noProof w:val="0"/>
          <w:sz w:val="24"/>
          <w:szCs w:val="24"/>
          <w:lang w:val="en-GB"/>
        </w:rPr>
        <w:t xml:space="preserve"> records. Engagement should be judged by whether concerns lead to changes, not by how many messages are sent.</w:t>
      </w:r>
    </w:p>
    <w:p w:rsidR="1C32B63A" w:rsidP="1C32B63A" w:rsidRDefault="1C32B63A" w14:paraId="5E0E3AF7" w14:textId="1311E601">
      <w:pPr>
        <w:spacing w:before="240" w:beforeAutospacing="off" w:after="240" w:afterAutospacing="off"/>
      </w:pPr>
      <w:r w:rsidRPr="1BB85550" w:rsidR="07B31BEA">
        <w:rPr>
          <w:rFonts w:ascii="Aptos" w:hAnsi="Aptos" w:eastAsia="Aptos" w:cs="Aptos"/>
          <w:noProof w:val="0"/>
          <w:sz w:val="24"/>
          <w:szCs w:val="24"/>
          <w:lang w:val="en-GB"/>
        </w:rPr>
        <w:t>The salon manager must also behave consistently. Employees are unlikely to take careful consultations seriously if leaders reward speed and sales while ignoring shortcuts. A clear purpose and encouragement can build commitment, but these must be supported by competence checks, written records and action when standards are not met. The leadership style should fit the situation. Coaching may help a nervous employee, while direct instruction may be needed when somebody misunderstands an important safety rule.</w:t>
      </w:r>
    </w:p>
    <w:p w:rsidR="1C32B63A" w:rsidP="1BB85550" w:rsidRDefault="1C32B63A" w14:paraId="0B5ECCB6" w14:textId="49BB6853">
      <w:pPr>
        <w:pStyle w:val="Heading2"/>
        <w:spacing w:before="299" w:beforeAutospacing="off" w:after="299" w:afterAutospacing="off"/>
        <w:rPr>
          <w:rFonts w:ascii="Aptos" w:hAnsi="Aptos" w:eastAsia="Aptos" w:cs="Aptos"/>
          <w:b w:val="1"/>
          <w:bCs w:val="1"/>
          <w:noProof w:val="0"/>
          <w:sz w:val="36"/>
          <w:szCs w:val="36"/>
          <w:lang w:val="en-GB"/>
        </w:rPr>
      </w:pPr>
      <w:bookmarkStart w:name="_Toc1092184775" w:id="932554923"/>
      <w:r w:rsidRPr="1BB85550" w:rsidR="07B31BEA">
        <w:rPr>
          <w:rFonts w:ascii="Aptos" w:hAnsi="Aptos" w:eastAsia="Aptos" w:cs="Aptos"/>
          <w:b w:val="1"/>
          <w:bCs w:val="1"/>
          <w:noProof w:val="0"/>
          <w:sz w:val="36"/>
          <w:szCs w:val="36"/>
          <w:lang w:val="en-GB"/>
        </w:rPr>
        <w:t>Implementing and sustaining the change</w:t>
      </w:r>
      <w:bookmarkEnd w:id="932554923"/>
    </w:p>
    <w:p w:rsidR="1C32B63A" w:rsidP="1C32B63A" w:rsidRDefault="1C32B63A" w14:paraId="01E87C4B" w14:textId="756B500E">
      <w:pPr>
        <w:spacing w:before="240" w:beforeAutospacing="off" w:after="240" w:afterAutospacing="off"/>
      </w:pPr>
      <w:r w:rsidRPr="1BB85550" w:rsidR="07B31BEA">
        <w:rPr>
          <w:rFonts w:ascii="Aptos" w:hAnsi="Aptos" w:eastAsia="Aptos" w:cs="Aptos"/>
          <w:noProof w:val="0"/>
          <w:sz w:val="24"/>
          <w:szCs w:val="24"/>
          <w:lang w:val="en-GB"/>
        </w:rPr>
        <w:t>Lewin’s three stages of unfreezing, changing and refreezing give a clear outline for preparing, making and settling a change. Burnes (2004) argues that Lewin’s work is often made too simple, especially when it is treated as a fixed set of steps. At Lextan, unfreezing would mean explaining the evidence and reasons for the investment, finding gaps in current practice and listening to concerns. The change stage would include supplier training, staff practice, customer testing and quick feedback. Refreezing should mean making safe routines part of normal work, not refusing to make further improvements when the evidence, equipment or regulations change.</w:t>
      </w:r>
    </w:p>
    <w:p w:rsidR="1C32B63A" w:rsidP="1C32B63A" w:rsidRDefault="1C32B63A" w14:paraId="4938606D" w14:textId="59AB5AFF">
      <w:pPr>
        <w:spacing w:before="240" w:beforeAutospacing="off" w:after="240" w:afterAutospacing="off"/>
      </w:pPr>
      <w:r w:rsidRPr="1BB85550" w:rsidR="07B31BEA">
        <w:rPr>
          <w:rFonts w:ascii="Aptos" w:hAnsi="Aptos" w:eastAsia="Aptos" w:cs="Aptos"/>
          <w:noProof w:val="0"/>
          <w:sz w:val="24"/>
          <w:szCs w:val="24"/>
          <w:lang w:val="en-GB"/>
        </w:rPr>
        <w:t>Kotter’s (1995) eight-step approach includes creating urgency, building a group to lead the change, communicating a vision, removing barriers and maintaining progress. These steps are useful because they draw attention to leadership support and momentum. However, the model can suggest that managers have more control than they really do in a small service workplace. Appelbaum et al. (2012) found that Kotter’s model remains influential but has limited strong evidence behind it. Lextan should therefore use the steps as a checklist, not as proof that following them will guarantee success.</w:t>
      </w:r>
    </w:p>
    <w:p w:rsidR="1C32B63A" w:rsidP="1C32B63A" w:rsidRDefault="1C32B63A" w14:paraId="2AC99C70" w14:textId="0802A62C">
      <w:pPr>
        <w:spacing w:before="240" w:beforeAutospacing="off" w:after="240" w:afterAutospacing="off"/>
      </w:pPr>
      <w:r w:rsidRPr="1BB85550" w:rsidR="07B31BEA">
        <w:rPr>
          <w:rFonts w:ascii="Aptos" w:hAnsi="Aptos" w:eastAsia="Aptos" w:cs="Aptos"/>
          <w:noProof w:val="0"/>
          <w:sz w:val="24"/>
          <w:szCs w:val="24"/>
          <w:lang w:val="en-GB"/>
        </w:rPr>
        <w:t>Implementation should take place in five practical stages: record current performance, agree working procedures, train and assess staff, test customer information, and review results after two, six and twelve weeks. This is easier to test than an immediate full rollout, but the evidence can still be biased. The supplier is likely to support adoption, customer feedback may mainly come from enthusiastic users, and a short review may miss longer-term health or reputation concerns. Higher sales also do not prove that the equipment caused the improvement because promotions, seasonal demand and competitor activity may change at the same time. Decisions should combine financial, safety, staff and customer evidence and consider other possible reasons for the results.</w:t>
      </w:r>
    </w:p>
    <w:p w:rsidR="1C32B63A" w:rsidP="1C32B63A" w:rsidRDefault="1C32B63A" w14:paraId="39ED3FC0" w14:textId="6028205C">
      <w:pPr>
        <w:spacing w:before="240" w:beforeAutospacing="off" w:after="240" w:afterAutospacing="off"/>
      </w:pPr>
      <w:r w:rsidRPr="1BB85550" w:rsidR="07B31BEA">
        <w:rPr>
          <w:rFonts w:ascii="Aptos" w:hAnsi="Aptos" w:eastAsia="Aptos" w:cs="Aptos"/>
          <w:noProof w:val="0"/>
          <w:sz w:val="24"/>
          <w:szCs w:val="24"/>
          <w:lang w:val="en-GB"/>
        </w:rPr>
        <w:t>The review should operate as a learning loop rather than a pass-or-fail launch decision. If use is high but consultations become rushed, management should not call the change successful on sales alone. If use is low, the cause might be price, weak explanation, customer concern or poor availability rather than rejection of the technology. Each review should compare results with the baseline, investigate unexpected effects and agree one or two changes before the next review. This creates accountability while avoiding the false certainty of a single performance figure.</w:t>
      </w:r>
    </w:p>
    <w:p w:rsidR="1C32B63A" w:rsidP="1BB85550" w:rsidRDefault="1C32B63A" w14:paraId="41BB6300" w14:textId="0124869A">
      <w:pPr>
        <w:pStyle w:val="Heading2"/>
        <w:spacing w:before="299" w:beforeAutospacing="off" w:after="299" w:afterAutospacing="off"/>
        <w:rPr>
          <w:rFonts w:ascii="Aptos" w:hAnsi="Aptos" w:eastAsia="Aptos" w:cs="Aptos"/>
          <w:b w:val="1"/>
          <w:bCs w:val="1"/>
          <w:noProof w:val="0"/>
          <w:sz w:val="36"/>
          <w:szCs w:val="36"/>
          <w:lang w:val="en-GB"/>
        </w:rPr>
      </w:pPr>
      <w:bookmarkStart w:name="_Toc334226254" w:id="783615550"/>
      <w:r w:rsidRPr="1BB85550" w:rsidR="07B31BEA">
        <w:rPr>
          <w:rFonts w:ascii="Aptos" w:hAnsi="Aptos" w:eastAsia="Aptos" w:cs="Aptos"/>
          <w:b w:val="1"/>
          <w:bCs w:val="1"/>
          <w:noProof w:val="0"/>
          <w:sz w:val="36"/>
          <w:szCs w:val="36"/>
          <w:lang w:val="en-GB"/>
        </w:rPr>
        <w:t>Resistance emotions and conflict</w:t>
      </w:r>
      <w:bookmarkEnd w:id="783615550"/>
    </w:p>
    <w:p w:rsidR="1C32B63A" w:rsidP="1C32B63A" w:rsidRDefault="1C32B63A" w14:paraId="4DD5B596" w14:textId="384C50C6">
      <w:pPr>
        <w:spacing w:before="240" w:beforeAutospacing="off" w:after="240" w:afterAutospacing="off"/>
      </w:pPr>
      <w:r w:rsidRPr="1BB85550" w:rsidR="07B31BEA">
        <w:rPr>
          <w:rFonts w:ascii="Aptos" w:hAnsi="Aptos" w:eastAsia="Aptos" w:cs="Aptos"/>
          <w:noProof w:val="0"/>
          <w:sz w:val="24"/>
          <w:szCs w:val="24"/>
          <w:lang w:val="en-GB"/>
        </w:rPr>
        <w:t xml:space="preserve">Resistance should first be seen as a sign that something needs to be understood, not as a problem to remove straight away. It may be caused by missing or conflicting information, fear of making mistakes, extra workload, loss of confidence or status, reduced control, doubts about the evidence, </w:t>
      </w:r>
      <w:r w:rsidRPr="1BB85550" w:rsidR="07B31BEA">
        <w:rPr>
          <w:rFonts w:ascii="Aptos" w:hAnsi="Aptos" w:eastAsia="Aptos" w:cs="Aptos"/>
          <w:noProof w:val="0"/>
          <w:sz w:val="24"/>
          <w:szCs w:val="24"/>
          <w:lang w:val="en-GB"/>
        </w:rPr>
        <w:t>previous</w:t>
      </w:r>
      <w:r w:rsidRPr="1BB85550" w:rsidR="07B31BEA">
        <w:rPr>
          <w:rFonts w:ascii="Aptos" w:hAnsi="Aptos" w:eastAsia="Aptos" w:cs="Aptos"/>
          <w:noProof w:val="0"/>
          <w:sz w:val="24"/>
          <w:szCs w:val="24"/>
          <w:lang w:val="en-GB"/>
        </w:rPr>
        <w:t xml:space="preserve"> failed </w:t>
      </w:r>
      <w:r w:rsidRPr="1BB85550" w:rsidR="07B31BEA">
        <w:rPr>
          <w:rFonts w:ascii="Aptos" w:hAnsi="Aptos" w:eastAsia="Aptos" w:cs="Aptos"/>
          <w:noProof w:val="0"/>
          <w:sz w:val="24"/>
          <w:szCs w:val="24"/>
          <w:lang w:val="en-GB"/>
        </w:rPr>
        <w:t>changes</w:t>
      </w:r>
      <w:r w:rsidRPr="1BB85550" w:rsidR="07B31BEA">
        <w:rPr>
          <w:rFonts w:ascii="Aptos" w:hAnsi="Aptos" w:eastAsia="Aptos" w:cs="Aptos"/>
          <w:noProof w:val="0"/>
          <w:sz w:val="24"/>
          <w:szCs w:val="24"/>
          <w:lang w:val="en-GB"/>
        </w:rPr>
        <w:t xml:space="preserve"> or distrust of the leader. At </w:t>
      </w:r>
      <w:r w:rsidRPr="1BB85550" w:rsidR="07B31BEA">
        <w:rPr>
          <w:rFonts w:ascii="Aptos" w:hAnsi="Aptos" w:eastAsia="Aptos" w:cs="Aptos"/>
          <w:noProof w:val="0"/>
          <w:sz w:val="24"/>
          <w:szCs w:val="24"/>
          <w:lang w:val="en-GB"/>
        </w:rPr>
        <w:t>Lextan</w:t>
      </w:r>
      <w:r w:rsidRPr="1BB85550" w:rsidR="07B31BEA">
        <w:rPr>
          <w:rFonts w:ascii="Aptos" w:hAnsi="Aptos" w:eastAsia="Aptos" w:cs="Aptos"/>
          <w:noProof w:val="0"/>
          <w:sz w:val="24"/>
          <w:szCs w:val="24"/>
          <w:lang w:val="en-GB"/>
        </w:rPr>
        <w:t xml:space="preserve">, an employee who questions claims about red light may be trying to protect customers and the business rather than rejecting </w:t>
      </w:r>
      <w:r w:rsidRPr="1BB85550" w:rsidR="07B31BEA">
        <w:rPr>
          <w:rFonts w:ascii="Aptos" w:hAnsi="Aptos" w:eastAsia="Aptos" w:cs="Aptos"/>
          <w:noProof w:val="0"/>
          <w:sz w:val="24"/>
          <w:szCs w:val="24"/>
          <w:lang w:val="en-GB"/>
        </w:rPr>
        <w:t>new technology</w:t>
      </w:r>
      <w:r w:rsidRPr="1BB85550" w:rsidR="07B31BEA">
        <w:rPr>
          <w:rFonts w:ascii="Aptos" w:hAnsi="Aptos" w:eastAsia="Aptos" w:cs="Aptos"/>
          <w:noProof w:val="0"/>
          <w:sz w:val="24"/>
          <w:szCs w:val="24"/>
          <w:lang w:val="en-GB"/>
        </w:rPr>
        <w:t xml:space="preserve">. The same behaviour could show misunderstanding, a real safety concern, fear, </w:t>
      </w:r>
      <w:r w:rsidRPr="1BB85550" w:rsidR="07B31BEA">
        <w:rPr>
          <w:rFonts w:ascii="Aptos" w:hAnsi="Aptos" w:eastAsia="Aptos" w:cs="Aptos"/>
          <w:noProof w:val="0"/>
          <w:sz w:val="24"/>
          <w:szCs w:val="24"/>
          <w:lang w:val="en-GB"/>
        </w:rPr>
        <w:t>self-protection</w:t>
      </w:r>
      <w:r w:rsidRPr="1BB85550" w:rsidR="07B31BEA">
        <w:rPr>
          <w:rFonts w:ascii="Aptos" w:hAnsi="Aptos" w:eastAsia="Aptos" w:cs="Aptos"/>
          <w:noProof w:val="0"/>
          <w:sz w:val="24"/>
          <w:szCs w:val="24"/>
          <w:lang w:val="en-GB"/>
        </w:rPr>
        <w:t xml:space="preserve"> or several of these at the same time. Maurer’s (2010) three levels</w:t>
      </w:r>
      <w:r w:rsidRPr="1BB85550" w:rsidR="042EF759">
        <w:rPr>
          <w:rFonts w:ascii="Aptos" w:hAnsi="Aptos" w:eastAsia="Aptos" w:cs="Aptos"/>
          <w:noProof w:val="0"/>
          <w:sz w:val="24"/>
          <w:szCs w:val="24"/>
          <w:lang w:val="en-GB"/>
        </w:rPr>
        <w:t xml:space="preserve"> “</w:t>
      </w:r>
      <w:r w:rsidRPr="1BB85550" w:rsidR="07B31BEA">
        <w:rPr>
          <w:rFonts w:ascii="Aptos" w:hAnsi="Aptos" w:eastAsia="Aptos" w:cs="Aptos"/>
          <w:noProof w:val="0"/>
          <w:sz w:val="24"/>
          <w:szCs w:val="24"/>
          <w:lang w:val="en-GB"/>
        </w:rPr>
        <w:t>I do not get it”, “I do not like it” and I do not like you</w:t>
      </w:r>
      <w:r w:rsidRPr="1BB85550" w:rsidR="2EFB8075">
        <w:rPr>
          <w:rFonts w:ascii="Aptos" w:hAnsi="Aptos" w:eastAsia="Aptos" w:cs="Aptos"/>
          <w:noProof w:val="0"/>
          <w:sz w:val="24"/>
          <w:szCs w:val="24"/>
          <w:lang w:val="en-GB"/>
        </w:rPr>
        <w:t xml:space="preserve"> </w:t>
      </w:r>
      <w:r w:rsidRPr="1BB85550" w:rsidR="07B31BEA">
        <w:rPr>
          <w:rFonts w:ascii="Aptos" w:hAnsi="Aptos" w:eastAsia="Aptos" w:cs="Aptos"/>
          <w:noProof w:val="0"/>
          <w:sz w:val="24"/>
          <w:szCs w:val="24"/>
          <w:lang w:val="en-GB"/>
        </w:rPr>
        <w:t>are easy to understand, but managers still need to listen to each person rather than force them into a category.</w:t>
      </w:r>
    </w:p>
    <w:p w:rsidR="1C32B63A" w:rsidP="1C32B63A" w:rsidRDefault="1C32B63A" w14:paraId="5691C859" w14:textId="762537A7">
      <w:pPr>
        <w:spacing w:before="240" w:beforeAutospacing="off" w:after="240" w:afterAutospacing="off"/>
      </w:pPr>
      <w:r w:rsidRPr="1BB85550" w:rsidR="07B31BEA">
        <w:rPr>
          <w:rFonts w:ascii="Aptos" w:hAnsi="Aptos" w:eastAsia="Aptos" w:cs="Aptos"/>
          <w:noProof w:val="0"/>
          <w:sz w:val="24"/>
          <w:szCs w:val="24"/>
          <w:lang w:val="en-GB"/>
        </w:rPr>
        <w:t>A manager’s behaviour can make each type of resistance worse. Ford et al. (2008) argue that change leaders may help to create resistance through broken agreements, poor communication and defensive reactions. Mistakes include treating questions as negativity, making decisions before consultation, sharing only selected information, promising support that never arrives, questioning an employee’s ability in public, increasing targets without considering workload and asking for feedback without showing what changed. Repeating facts will not solve fear or lack of trust. Pressure may also create visible agreement while staff quietly avoid the new practice. This shows that resistance is not always caused by employees. The leader’s behaviour, trustworthiness and use of power can also contribute to it.</w:t>
      </w:r>
    </w:p>
    <w:p w:rsidR="1C32B63A" w:rsidP="1C32B63A" w:rsidRDefault="1C32B63A" w14:paraId="5E941D3B" w14:textId="45F8ABBD">
      <w:pPr>
        <w:spacing w:before="240" w:beforeAutospacing="off" w:after="240" w:afterAutospacing="off"/>
      </w:pPr>
      <w:r w:rsidRPr="1BB85550" w:rsidR="07B31BEA">
        <w:rPr>
          <w:rFonts w:ascii="Aptos" w:hAnsi="Aptos" w:eastAsia="Aptos" w:cs="Aptos"/>
          <w:noProof w:val="0"/>
          <w:sz w:val="24"/>
          <w:szCs w:val="24"/>
          <w:lang w:val="en-GB"/>
        </w:rPr>
        <w:t>A possible branch example shows how this might happen at Lextan. When the Jewel hybrid bed and its red-light feature are introduced, an experienced employee may question how the benefits should be explained to customers. They may also worry that a longer consultation will create queues at busy times. If management is under pressure to promote the investment quickly, this concern could be treated as negativity. Other employees may then stop asking questions and give customers different explanations. The resistance would not simply be opposition to technology. It could be caused by unclear evidence, time pressure, fear of giving the wrong advice and a belief that the decision has already been made. This example is not a claim about an actual incident. It is used to show how a manager could make resistance worse by demanding quick agreement instead of listening to staff.</w:t>
      </w:r>
    </w:p>
    <w:p w:rsidR="1C32B63A" w:rsidP="1C32B63A" w:rsidRDefault="1C32B63A" w14:paraId="352FAF41" w14:textId="3885EF3D">
      <w:pPr>
        <w:spacing w:before="240" w:beforeAutospacing="off" w:after="240" w:afterAutospacing="off"/>
      </w:pPr>
      <w:r w:rsidRPr="1BB85550" w:rsidR="07B31BEA">
        <w:rPr>
          <w:rFonts w:ascii="Aptos" w:hAnsi="Aptos" w:eastAsia="Aptos" w:cs="Aptos"/>
          <w:noProof w:val="0"/>
          <w:sz w:val="24"/>
          <w:szCs w:val="24"/>
          <w:lang w:val="en-GB"/>
        </w:rPr>
        <w:t xml:space="preserve">Level-one concerns require clear information, </w:t>
      </w:r>
      <w:r w:rsidRPr="1BB85550" w:rsidR="07B31BEA">
        <w:rPr>
          <w:rFonts w:ascii="Aptos" w:hAnsi="Aptos" w:eastAsia="Aptos" w:cs="Aptos"/>
          <w:noProof w:val="0"/>
          <w:sz w:val="24"/>
          <w:szCs w:val="24"/>
          <w:lang w:val="en-GB"/>
        </w:rPr>
        <w:t>demonstrations</w:t>
      </w:r>
      <w:r w:rsidRPr="1BB85550" w:rsidR="07B31BEA">
        <w:rPr>
          <w:rFonts w:ascii="Aptos" w:hAnsi="Aptos" w:eastAsia="Aptos" w:cs="Aptos"/>
          <w:noProof w:val="0"/>
          <w:sz w:val="24"/>
          <w:szCs w:val="24"/>
          <w:lang w:val="en-GB"/>
        </w:rPr>
        <w:t xml:space="preserve"> and opportunities to check understanding. </w:t>
      </w:r>
      <w:r w:rsidRPr="1BB85550" w:rsidR="07B31BEA">
        <w:rPr>
          <w:rFonts w:ascii="Aptos" w:hAnsi="Aptos" w:eastAsia="Aptos" w:cs="Aptos"/>
          <w:noProof w:val="0"/>
          <w:sz w:val="24"/>
          <w:szCs w:val="24"/>
          <w:lang w:val="en-GB"/>
        </w:rPr>
        <w:t>Level two</w:t>
      </w:r>
      <w:r w:rsidRPr="1BB85550" w:rsidR="07B31BEA">
        <w:rPr>
          <w:rFonts w:ascii="Aptos" w:hAnsi="Aptos" w:eastAsia="Aptos" w:cs="Aptos"/>
          <w:noProof w:val="0"/>
          <w:sz w:val="24"/>
          <w:szCs w:val="24"/>
          <w:lang w:val="en-GB"/>
        </w:rPr>
        <w:t xml:space="preserve"> reactions may reflect fear of errors, </w:t>
      </w:r>
      <w:r w:rsidRPr="1BB85550" w:rsidR="07B31BEA">
        <w:rPr>
          <w:rFonts w:ascii="Aptos" w:hAnsi="Aptos" w:eastAsia="Aptos" w:cs="Aptos"/>
          <w:noProof w:val="0"/>
          <w:sz w:val="24"/>
          <w:szCs w:val="24"/>
          <w:lang w:val="en-GB"/>
        </w:rPr>
        <w:t>additional</w:t>
      </w:r>
      <w:r w:rsidRPr="1BB85550" w:rsidR="07B31BEA">
        <w:rPr>
          <w:rFonts w:ascii="Aptos" w:hAnsi="Aptos" w:eastAsia="Aptos" w:cs="Aptos"/>
          <w:noProof w:val="0"/>
          <w:sz w:val="24"/>
          <w:szCs w:val="24"/>
          <w:lang w:val="en-GB"/>
        </w:rPr>
        <w:t xml:space="preserve"> </w:t>
      </w:r>
      <w:r w:rsidRPr="1BB85550" w:rsidR="07B31BEA">
        <w:rPr>
          <w:rFonts w:ascii="Aptos" w:hAnsi="Aptos" w:eastAsia="Aptos" w:cs="Aptos"/>
          <w:noProof w:val="0"/>
          <w:sz w:val="24"/>
          <w:szCs w:val="24"/>
          <w:lang w:val="en-GB"/>
        </w:rPr>
        <w:t>workload</w:t>
      </w:r>
      <w:r w:rsidRPr="1BB85550" w:rsidR="07B31BEA">
        <w:rPr>
          <w:rFonts w:ascii="Aptos" w:hAnsi="Aptos" w:eastAsia="Aptos" w:cs="Aptos"/>
          <w:noProof w:val="0"/>
          <w:sz w:val="24"/>
          <w:szCs w:val="24"/>
          <w:lang w:val="en-GB"/>
        </w:rPr>
        <w:t xml:space="preserve"> or loss of confidence; coaching, practice and psychological safety are more </w:t>
      </w:r>
      <w:r w:rsidRPr="1BB85550" w:rsidR="07B31BEA">
        <w:rPr>
          <w:rFonts w:ascii="Aptos" w:hAnsi="Aptos" w:eastAsia="Aptos" w:cs="Aptos"/>
          <w:noProof w:val="0"/>
          <w:sz w:val="24"/>
          <w:szCs w:val="24"/>
          <w:lang w:val="en-GB"/>
        </w:rPr>
        <w:t>appropriate than</w:t>
      </w:r>
      <w:r w:rsidRPr="1BB85550" w:rsidR="07B31BEA">
        <w:rPr>
          <w:rFonts w:ascii="Aptos" w:hAnsi="Aptos" w:eastAsia="Aptos" w:cs="Aptos"/>
          <w:noProof w:val="0"/>
          <w:sz w:val="24"/>
          <w:szCs w:val="24"/>
          <w:lang w:val="en-GB"/>
        </w:rPr>
        <w:t xml:space="preserve"> further facts alone. Level three resistance concerns trust and credibility, often shaped by </w:t>
      </w:r>
      <w:r w:rsidRPr="1BB85550" w:rsidR="07B31BEA">
        <w:rPr>
          <w:rFonts w:ascii="Aptos" w:hAnsi="Aptos" w:eastAsia="Aptos" w:cs="Aptos"/>
          <w:noProof w:val="0"/>
          <w:sz w:val="24"/>
          <w:szCs w:val="24"/>
          <w:lang w:val="en-GB"/>
        </w:rPr>
        <w:t>previous</w:t>
      </w:r>
      <w:r w:rsidRPr="1BB85550" w:rsidR="07B31BEA">
        <w:rPr>
          <w:rFonts w:ascii="Aptos" w:hAnsi="Aptos" w:eastAsia="Aptos" w:cs="Aptos"/>
          <w:noProof w:val="0"/>
          <w:sz w:val="24"/>
          <w:szCs w:val="24"/>
          <w:lang w:val="en-GB"/>
        </w:rPr>
        <w:t xml:space="preserve"> initiatives or unfulfilled promises. It requires leaders to acknowledge history, act consistently and deliver agreed support. Applying the wrong response for example, repeating technical information to someone who distrusts the messenger can intensify resistance.</w:t>
      </w:r>
    </w:p>
    <w:p w:rsidR="1C32B63A" w:rsidP="1C32B63A" w:rsidRDefault="1C32B63A" w14:paraId="7BF97C17" w14:textId="24A93038">
      <w:pPr>
        <w:spacing w:before="240" w:beforeAutospacing="off" w:after="240" w:afterAutospacing="off"/>
      </w:pPr>
      <w:r w:rsidRPr="1BB85550" w:rsidR="07B31BEA">
        <w:rPr>
          <w:rFonts w:ascii="Aptos" w:hAnsi="Aptos" w:eastAsia="Aptos" w:cs="Aptos"/>
          <w:noProof w:val="0"/>
          <w:sz w:val="24"/>
          <w:szCs w:val="24"/>
          <w:lang w:val="en-GB"/>
        </w:rPr>
        <w:t>Conflict may also arise between commercial targets and safety, between experienced and less confident employees, or between customers’ expectations and lawful practice. Constructive disagreement should be channelled through short debriefs, incident learning and escalation routes. The manager’s role is not to eliminate conflict but to prevent it becoming personal and to ensure that evidence, customer welfare and legal obligations remain the decision criteria. Reactions will vary over time, so stakeholder mapping and resistance assessment should be repeated throughout implementation.</w:t>
      </w:r>
    </w:p>
    <w:p w:rsidR="1C32B63A" w:rsidP="1BB85550" w:rsidRDefault="1C32B63A" w14:paraId="1CC3E4E7" w14:textId="4E0650B8">
      <w:pPr>
        <w:pStyle w:val="Heading1"/>
        <w:spacing w:before="322" w:beforeAutospacing="off" w:after="322" w:afterAutospacing="off"/>
        <w:rPr>
          <w:rFonts w:ascii="Aptos" w:hAnsi="Aptos" w:eastAsia="Aptos" w:cs="Aptos"/>
          <w:b w:val="1"/>
          <w:bCs w:val="1"/>
          <w:noProof w:val="0"/>
          <w:sz w:val="48"/>
          <w:szCs w:val="48"/>
          <w:lang w:val="en-GB"/>
        </w:rPr>
      </w:pPr>
      <w:bookmarkStart w:name="_Toc1438940530" w:id="1142269501"/>
      <w:r w:rsidRPr="1BB85550" w:rsidR="07B31BEA">
        <w:rPr>
          <w:rFonts w:ascii="Aptos" w:hAnsi="Aptos" w:eastAsia="Aptos" w:cs="Aptos"/>
          <w:b w:val="1"/>
          <w:bCs w:val="1"/>
          <w:noProof w:val="0"/>
          <w:sz w:val="48"/>
          <w:szCs w:val="48"/>
          <w:lang w:val="en-GB"/>
        </w:rPr>
        <w:t>Recommendations</w:t>
      </w:r>
      <w:bookmarkEnd w:id="1142269501"/>
    </w:p>
    <w:p w:rsidR="1C32B63A" w:rsidP="1C32B63A" w:rsidRDefault="1C32B63A" w14:paraId="786AC39E" w14:textId="17A7AC4E">
      <w:pPr>
        <w:spacing w:before="240" w:beforeAutospacing="off" w:after="240" w:afterAutospacing="off"/>
      </w:pPr>
      <w:r w:rsidRPr="1BB85550" w:rsidR="07B31BEA">
        <w:rPr>
          <w:rFonts w:ascii="Aptos" w:hAnsi="Aptos" w:eastAsia="Aptos" w:cs="Aptos"/>
          <w:noProof w:val="0"/>
          <w:sz w:val="24"/>
          <w:szCs w:val="24"/>
          <w:lang w:val="en-GB"/>
        </w:rPr>
        <w:t>The recommendations below are prioritised controls rather than guaranteed solutions. Each carries costs in management time, training and data collection, and each should be stopped or revised if it produces burden without better evidence, safer practice or improved customer outcomes.</w:t>
      </w:r>
    </w:p>
    <w:p w:rsidR="1C32B63A" w:rsidP="1BB85550" w:rsidRDefault="1C32B63A" w14:paraId="7C4375C6" w14:textId="00516048">
      <w:pPr>
        <w:pStyle w:val="Normal"/>
        <w:spacing w:before="240" w:beforeAutospacing="off" w:after="240" w:afterAutospacing="off"/>
        <w:ind w:left="0"/>
        <w:rPr>
          <w:rFonts w:ascii="Aptos" w:hAnsi="Aptos" w:eastAsia="Aptos" w:cs="Aptos"/>
          <w:noProof w:val="0"/>
          <w:sz w:val="24"/>
          <w:szCs w:val="24"/>
          <w:lang w:val="en-GB"/>
        </w:rPr>
      </w:pPr>
      <w:r w:rsidRPr="1BB85550" w:rsidR="07B31BEA">
        <w:rPr>
          <w:rFonts w:ascii="Aptos" w:hAnsi="Aptos" w:eastAsia="Aptos" w:cs="Aptos"/>
          <w:noProof w:val="0"/>
          <w:sz w:val="24"/>
          <w:szCs w:val="24"/>
          <w:lang w:val="en-GB"/>
        </w:rPr>
        <w:t>Create a branch implementation group involving the salon manager, one employee representative, head office and the equipment supplier, with clear decision rights and weekly reviews during rollout.</w:t>
      </w:r>
    </w:p>
    <w:p w:rsidR="1C32B63A" w:rsidP="1BB85550" w:rsidRDefault="1C32B63A" w14:paraId="25844A1B" w14:textId="0C36E5D6">
      <w:pPr>
        <w:pStyle w:val="Normal"/>
        <w:spacing w:before="240" w:beforeAutospacing="off" w:after="240" w:afterAutospacing="off"/>
        <w:ind w:left="0"/>
        <w:rPr>
          <w:rFonts w:ascii="Aptos" w:hAnsi="Aptos" w:eastAsia="Aptos" w:cs="Aptos"/>
          <w:noProof w:val="0"/>
          <w:sz w:val="24"/>
          <w:szCs w:val="24"/>
          <w:lang w:val="en-GB"/>
        </w:rPr>
      </w:pPr>
      <w:r w:rsidRPr="1BB85550" w:rsidR="07B31BEA">
        <w:rPr>
          <w:rFonts w:ascii="Aptos" w:hAnsi="Aptos" w:eastAsia="Aptos" w:cs="Aptos"/>
          <w:noProof w:val="0"/>
          <w:sz w:val="24"/>
          <w:szCs w:val="24"/>
          <w:lang w:val="en-GB"/>
        </w:rPr>
        <w:t>Introduce a documented competence assessment covering equipment operation, age verification, health information, eye protection, customer consultation, cleaning, fault reporting and claims that staff must not make.</w:t>
      </w:r>
    </w:p>
    <w:p w:rsidR="1C32B63A" w:rsidP="1BB85550" w:rsidRDefault="1C32B63A" w14:paraId="37F4E965" w14:textId="2863A098">
      <w:pPr>
        <w:pStyle w:val="Normal"/>
        <w:spacing w:before="240" w:beforeAutospacing="off" w:after="240" w:afterAutospacing="off"/>
        <w:ind w:left="0"/>
        <w:rPr>
          <w:rFonts w:ascii="Aptos" w:hAnsi="Aptos" w:eastAsia="Aptos" w:cs="Aptos"/>
          <w:noProof w:val="0"/>
          <w:sz w:val="24"/>
          <w:szCs w:val="24"/>
          <w:lang w:val="en-GB"/>
        </w:rPr>
      </w:pPr>
      <w:r w:rsidRPr="1BB85550" w:rsidR="07B31BEA">
        <w:rPr>
          <w:rFonts w:ascii="Aptos" w:hAnsi="Aptos" w:eastAsia="Aptos" w:cs="Aptos"/>
          <w:noProof w:val="0"/>
          <w:sz w:val="24"/>
          <w:szCs w:val="24"/>
          <w:lang w:val="en-GB"/>
        </w:rPr>
        <w:t>Use evidence-approved customer scripts and promotional materials that separate UV tanning from red-light features and avoid guaranteed health or cosmetic outcomes.</w:t>
      </w:r>
    </w:p>
    <w:p w:rsidR="1C32B63A" w:rsidP="1BB85550" w:rsidRDefault="1C32B63A" w14:paraId="2FE7C020" w14:textId="4C2F260F">
      <w:pPr>
        <w:pStyle w:val="Normal"/>
        <w:spacing w:before="240" w:beforeAutospacing="off" w:after="240" w:afterAutospacing="off"/>
        <w:ind w:left="0"/>
        <w:rPr>
          <w:rFonts w:ascii="Aptos" w:hAnsi="Aptos" w:eastAsia="Aptos" w:cs="Aptos"/>
          <w:noProof w:val="0"/>
          <w:sz w:val="24"/>
          <w:szCs w:val="24"/>
          <w:lang w:val="en-GB"/>
        </w:rPr>
      </w:pPr>
      <w:r w:rsidRPr="1BB85550" w:rsidR="07B31BEA">
        <w:rPr>
          <w:rFonts w:ascii="Aptos" w:hAnsi="Aptos" w:eastAsia="Aptos" w:cs="Aptos"/>
          <w:noProof w:val="0"/>
          <w:sz w:val="24"/>
          <w:szCs w:val="24"/>
          <w:lang w:val="en-GB"/>
        </w:rPr>
        <w:t>Measure utilisation, repeat use, contribution margin, energy and maintenance costs, equipment downtime, complaints, safety incidents and staff confidence at baseline and after two, six and twelve weeks.</w:t>
      </w:r>
    </w:p>
    <w:p w:rsidR="1C32B63A" w:rsidP="1BB85550" w:rsidRDefault="1C32B63A" w14:paraId="4EC0633C" w14:textId="7B59F9AF">
      <w:pPr>
        <w:pStyle w:val="Normal"/>
        <w:spacing w:before="240" w:beforeAutospacing="off" w:after="240" w:afterAutospacing="off"/>
        <w:ind w:left="0"/>
        <w:rPr>
          <w:rFonts w:ascii="Aptos" w:hAnsi="Aptos" w:eastAsia="Aptos" w:cs="Aptos"/>
          <w:noProof w:val="0"/>
          <w:sz w:val="24"/>
          <w:szCs w:val="24"/>
          <w:lang w:val="en-GB"/>
        </w:rPr>
      </w:pPr>
      <w:r w:rsidRPr="1BB85550" w:rsidR="07B31BEA">
        <w:rPr>
          <w:rFonts w:ascii="Aptos" w:hAnsi="Aptos" w:eastAsia="Aptos" w:cs="Aptos"/>
          <w:noProof w:val="0"/>
          <w:sz w:val="24"/>
          <w:szCs w:val="24"/>
          <w:lang w:val="en-GB"/>
        </w:rPr>
        <w:t>Refresh the stakeholder analysis whenever an incident, inspection, significant complaint, supplier issue or major marketing change alters power, interest, legitimacy or urgency.</w:t>
      </w:r>
    </w:p>
    <w:p w:rsidR="1C32B63A" w:rsidP="1BB85550" w:rsidRDefault="1C32B63A" w14:paraId="75EAF81D" w14:textId="2E54F1E6">
      <w:pPr>
        <w:pStyle w:val="Normal"/>
        <w:spacing w:before="240" w:beforeAutospacing="off" w:after="240" w:afterAutospacing="off"/>
        <w:ind w:left="0"/>
        <w:rPr>
          <w:rFonts w:ascii="Aptos" w:hAnsi="Aptos" w:eastAsia="Aptos" w:cs="Aptos"/>
          <w:noProof w:val="0"/>
          <w:sz w:val="24"/>
          <w:szCs w:val="24"/>
          <w:lang w:val="en-GB"/>
        </w:rPr>
      </w:pPr>
      <w:r w:rsidRPr="1BB85550" w:rsidR="07B31BEA">
        <w:rPr>
          <w:rFonts w:ascii="Aptos" w:hAnsi="Aptos" w:eastAsia="Aptos" w:cs="Aptos"/>
          <w:noProof w:val="0"/>
          <w:sz w:val="24"/>
          <w:szCs w:val="24"/>
          <w:lang w:val="en-GB"/>
        </w:rPr>
        <w:t>Add a political map to stakeholder reviews, recording formal authority, expertise, informal influence, alliances, excluded voices and whose interests or risks each proposed decision advances.</w:t>
      </w:r>
    </w:p>
    <w:p w:rsidR="1C32B63A" w:rsidP="1BB85550" w:rsidRDefault="1C32B63A" w14:paraId="2B4D1EA2" w14:textId="15538EC8">
      <w:pPr>
        <w:pStyle w:val="Normal"/>
        <w:spacing w:before="240" w:beforeAutospacing="off" w:after="240" w:afterAutospacing="off"/>
        <w:ind w:left="0"/>
        <w:rPr>
          <w:rFonts w:ascii="Aptos" w:hAnsi="Aptos" w:eastAsia="Aptos" w:cs="Aptos"/>
          <w:noProof w:val="0"/>
          <w:sz w:val="24"/>
          <w:szCs w:val="24"/>
          <w:lang w:val="en-GB"/>
        </w:rPr>
      </w:pPr>
      <w:r w:rsidRPr="1BB85550" w:rsidR="07B31BEA">
        <w:rPr>
          <w:rFonts w:ascii="Aptos" w:hAnsi="Aptos" w:eastAsia="Aptos" w:cs="Aptos"/>
          <w:noProof w:val="0"/>
          <w:sz w:val="24"/>
          <w:szCs w:val="24"/>
          <w:lang w:val="en-GB"/>
        </w:rPr>
        <w:t>Provide two-way communication through shift briefings, individual coaching and an easy route for employees to report uncertainty or challenge unsafe practice without blame.</w:t>
      </w:r>
    </w:p>
    <w:p w:rsidR="1C32B63A" w:rsidP="1BB85550" w:rsidRDefault="1C32B63A" w14:paraId="335F70B2" w14:textId="28224295">
      <w:pPr>
        <w:pStyle w:val="Heading1"/>
        <w:spacing w:before="322" w:beforeAutospacing="off" w:after="322" w:afterAutospacing="off"/>
        <w:rPr>
          <w:rFonts w:ascii="Aptos" w:hAnsi="Aptos" w:eastAsia="Aptos" w:cs="Aptos"/>
          <w:b w:val="1"/>
          <w:bCs w:val="1"/>
          <w:noProof w:val="0"/>
          <w:sz w:val="48"/>
          <w:szCs w:val="48"/>
          <w:lang w:val="en-GB"/>
        </w:rPr>
      </w:pPr>
      <w:bookmarkStart w:name="_Toc890412199" w:id="1483317761"/>
      <w:r w:rsidRPr="1BB85550" w:rsidR="07B31BEA">
        <w:rPr>
          <w:rFonts w:ascii="Aptos" w:hAnsi="Aptos" w:eastAsia="Aptos" w:cs="Aptos"/>
          <w:b w:val="1"/>
          <w:bCs w:val="1"/>
          <w:noProof w:val="0"/>
          <w:sz w:val="48"/>
          <w:szCs w:val="48"/>
          <w:lang w:val="en-GB"/>
        </w:rPr>
        <w:t>Conclusion</w:t>
      </w:r>
      <w:bookmarkEnd w:id="1483317761"/>
    </w:p>
    <w:p w:rsidR="1C32B63A" w:rsidP="1C32B63A" w:rsidRDefault="1C32B63A" w14:paraId="324B5AD3" w14:textId="6FCE2C3A">
      <w:pPr>
        <w:spacing w:before="240" w:beforeAutospacing="off" w:after="240" w:afterAutospacing="off"/>
      </w:pPr>
      <w:r w:rsidRPr="1BB85550" w:rsidR="07B31BEA">
        <w:rPr>
          <w:rFonts w:ascii="Aptos" w:hAnsi="Aptos" w:eastAsia="Aptos" w:cs="Aptos"/>
          <w:noProof w:val="0"/>
          <w:sz w:val="24"/>
          <w:szCs w:val="24"/>
          <w:lang w:val="en-GB"/>
        </w:rPr>
        <w:t>Introducing Jewel LED hybrid and red-light technology is a reasonable response to competition and changing customer expectations. However, the available evidence does not prove that it will create lasting value. Lextan faces legal, economic, social and reputational pressures. The SWOT also shows that staff confidence and consistency could limit success. These findings should be treated with caution because some of the information comes from company material and general market research rather than long-term data from the branch. Lextan should therefore test the change carefully instead of assuming that buying new equipment means it has been successful.</w:t>
      </w:r>
    </w:p>
    <w:p w:rsidR="1C32B63A" w:rsidP="1C32B63A" w:rsidRDefault="1C32B63A" w14:paraId="3D6693CF" w14:textId="326211D1">
      <w:pPr>
        <w:spacing w:before="240" w:beforeAutospacing="off" w:after="240" w:afterAutospacing="off"/>
      </w:pPr>
      <w:r w:rsidRPr="1BB85550" w:rsidR="07B31BEA">
        <w:rPr>
          <w:rFonts w:ascii="Aptos" w:hAnsi="Aptos" w:eastAsia="Aptos" w:cs="Aptos"/>
          <w:noProof w:val="0"/>
          <w:sz w:val="24"/>
          <w:szCs w:val="24"/>
          <w:lang w:val="en-GB"/>
        </w:rPr>
        <w:t>Stakeholder analysis shows that owners, managers, employees, customers, suppliers and regulators need different levels and types of involvement. It must also look at informal influence, conflicting interests and the change leader’s own power. Change is not a politically neutral process. Effective leadership needs staff involvement and support, but it also needs firm safety rules, honest evidence and regular review. PESTLE, SWOT, the power-interest matrix, Lewin, Kotter and Maurer can help managers think through the change, but none should be followed without question. Success is not simply installing the equipment. It means legal and safe practice, confident employees, honest customer communication, reliable results and a willingness to learn when the evidence shows that something needs to change.</w:t>
      </w:r>
    </w:p>
    <w:p w:rsidR="1C32B63A" w:rsidP="1BB85550" w:rsidRDefault="1C32B63A" w14:paraId="572F74C9" w14:textId="106C34EE">
      <w:pPr>
        <w:pStyle w:val="Heading1"/>
        <w:spacing w:before="322" w:beforeAutospacing="off" w:after="322" w:afterAutospacing="off"/>
        <w:rPr>
          <w:rFonts w:ascii="Aptos" w:hAnsi="Aptos" w:eastAsia="Aptos" w:cs="Aptos"/>
          <w:b w:val="1"/>
          <w:bCs w:val="1"/>
          <w:noProof w:val="0"/>
          <w:sz w:val="48"/>
          <w:szCs w:val="48"/>
          <w:lang w:val="en-GB"/>
        </w:rPr>
      </w:pPr>
      <w:bookmarkStart w:name="_Toc278492774" w:id="947279528"/>
      <w:r w:rsidRPr="1BB85550" w:rsidR="07B31BEA">
        <w:rPr>
          <w:rFonts w:ascii="Aptos" w:hAnsi="Aptos" w:eastAsia="Aptos" w:cs="Aptos"/>
          <w:b w:val="1"/>
          <w:bCs w:val="1"/>
          <w:noProof w:val="0"/>
          <w:sz w:val="48"/>
          <w:szCs w:val="48"/>
          <w:lang w:val="en-GB"/>
        </w:rPr>
        <w:t>References</w:t>
      </w:r>
      <w:bookmarkEnd w:id="947279528"/>
    </w:p>
    <w:p w:rsidR="1C32B63A" w:rsidP="1C32B63A" w:rsidRDefault="1C32B63A" w14:paraId="02E982D1" w14:textId="0AAA1B7B">
      <w:pPr>
        <w:spacing w:before="240" w:beforeAutospacing="off" w:after="240" w:afterAutospacing="off"/>
      </w:pPr>
      <w:r w:rsidRPr="1BB85550" w:rsidR="07B31BEA">
        <w:rPr>
          <w:rFonts w:ascii="Aptos" w:hAnsi="Aptos" w:eastAsia="Aptos" w:cs="Aptos"/>
          <w:noProof w:val="0"/>
          <w:sz w:val="24"/>
          <w:szCs w:val="24"/>
          <w:lang w:val="en-GB"/>
        </w:rPr>
        <w:t xml:space="preserve">Appelbaum, S. H., Habashy, S., Malo, J.-L., &amp; Shafiq, H. (2012). Back to the future: Revisiting Kotter’s 1996 change model. </w:t>
      </w:r>
      <w:r w:rsidRPr="1BB85550" w:rsidR="07B31BEA">
        <w:rPr>
          <w:rFonts w:ascii="Aptos" w:hAnsi="Aptos" w:eastAsia="Aptos" w:cs="Aptos"/>
          <w:i w:val="1"/>
          <w:iCs w:val="1"/>
          <w:noProof w:val="0"/>
          <w:sz w:val="24"/>
          <w:szCs w:val="24"/>
          <w:lang w:val="en-GB"/>
        </w:rPr>
        <w:t>Journal of Management Development, 31</w:t>
      </w:r>
      <w:r w:rsidRPr="1BB85550" w:rsidR="07B31BEA">
        <w:rPr>
          <w:rFonts w:ascii="Aptos" w:hAnsi="Aptos" w:eastAsia="Aptos" w:cs="Aptos"/>
          <w:noProof w:val="0"/>
          <w:sz w:val="24"/>
          <w:szCs w:val="24"/>
          <w:lang w:val="en-GB"/>
        </w:rPr>
        <w:t xml:space="preserve">(8), 764–782. </w:t>
      </w:r>
      <w:hyperlink r:id="Rac823f104fcb4884">
        <w:r w:rsidRPr="1BB85550" w:rsidR="07B31BEA">
          <w:rPr>
            <w:rStyle w:val="Hyperlink"/>
            <w:noProof w:val="0"/>
            <w:lang w:val="en-GB"/>
          </w:rPr>
          <w:t>https://doi.org/10.1108/02621711211253231</w:t>
        </w:r>
      </w:hyperlink>
    </w:p>
    <w:p w:rsidR="1C32B63A" w:rsidP="1C32B63A" w:rsidRDefault="1C32B63A" w14:paraId="1567147C" w14:textId="2C7CE27C">
      <w:pPr>
        <w:spacing w:before="240" w:beforeAutospacing="off" w:after="240" w:afterAutospacing="off"/>
      </w:pPr>
      <w:r w:rsidRPr="1BB85550" w:rsidR="07B31BEA">
        <w:rPr>
          <w:rFonts w:ascii="Aptos" w:hAnsi="Aptos" w:eastAsia="Aptos" w:cs="Aptos"/>
          <w:noProof w:val="0"/>
          <w:sz w:val="24"/>
          <w:szCs w:val="24"/>
          <w:lang w:val="en-GB"/>
        </w:rPr>
        <w:t xml:space="preserve">Boots UK. (2026). </w:t>
      </w:r>
      <w:r w:rsidRPr="1BB85550" w:rsidR="07B31BEA">
        <w:rPr>
          <w:rFonts w:ascii="Aptos" w:hAnsi="Aptos" w:eastAsia="Aptos" w:cs="Aptos"/>
          <w:i w:val="1"/>
          <w:iCs w:val="1"/>
          <w:noProof w:val="0"/>
          <w:sz w:val="24"/>
          <w:szCs w:val="24"/>
          <w:lang w:val="en-GB"/>
        </w:rPr>
        <w:t>Boots releases 2026 beauty and wellness trends report alongside line-up of trending new brands.</w:t>
      </w:r>
      <w:r w:rsidRPr="1BB85550" w:rsidR="07B31BEA">
        <w:rPr>
          <w:rFonts w:ascii="Aptos" w:hAnsi="Aptos" w:eastAsia="Aptos" w:cs="Aptos"/>
          <w:noProof w:val="0"/>
          <w:sz w:val="24"/>
          <w:szCs w:val="24"/>
          <w:lang w:val="en-GB"/>
        </w:rPr>
        <w:t xml:space="preserve"> </w:t>
      </w:r>
      <w:hyperlink r:id="R720fcc0548c44263">
        <w:r w:rsidRPr="1BB85550" w:rsidR="07B31BEA">
          <w:rPr>
            <w:rStyle w:val="Hyperlink"/>
            <w:noProof w:val="0"/>
            <w:lang w:val="en-GB"/>
          </w:rPr>
          <w:t>https://www.boots-uk.com/newsroom/news-item/boots-releases-2026-beauty-wellness-trends-report-alongside-line-up-of-trending-new-brands/</w:t>
        </w:r>
      </w:hyperlink>
    </w:p>
    <w:p w:rsidR="1C32B63A" w:rsidP="1C32B63A" w:rsidRDefault="1C32B63A" w14:paraId="6505E811" w14:textId="252E62B8">
      <w:pPr>
        <w:spacing w:before="240" w:beforeAutospacing="off" w:after="240" w:afterAutospacing="off"/>
      </w:pPr>
      <w:r w:rsidRPr="1BB85550" w:rsidR="07B31BEA">
        <w:rPr>
          <w:rFonts w:ascii="Aptos" w:hAnsi="Aptos" w:eastAsia="Aptos" w:cs="Aptos"/>
          <w:noProof w:val="0"/>
          <w:sz w:val="24"/>
          <w:szCs w:val="24"/>
          <w:lang w:val="en-GB"/>
        </w:rPr>
        <w:t xml:space="preserve">Bryson, J. M. (2004). What to do when stakeholders matter: Stakeholder identification and analysis techniques. </w:t>
      </w:r>
      <w:r w:rsidRPr="1BB85550" w:rsidR="07B31BEA">
        <w:rPr>
          <w:rFonts w:ascii="Aptos" w:hAnsi="Aptos" w:eastAsia="Aptos" w:cs="Aptos"/>
          <w:i w:val="1"/>
          <w:iCs w:val="1"/>
          <w:noProof w:val="0"/>
          <w:sz w:val="24"/>
          <w:szCs w:val="24"/>
          <w:lang w:val="en-GB"/>
        </w:rPr>
        <w:t>Public Management Review, 6</w:t>
      </w:r>
      <w:r w:rsidRPr="1BB85550" w:rsidR="07B31BEA">
        <w:rPr>
          <w:rFonts w:ascii="Aptos" w:hAnsi="Aptos" w:eastAsia="Aptos" w:cs="Aptos"/>
          <w:noProof w:val="0"/>
          <w:sz w:val="24"/>
          <w:szCs w:val="24"/>
          <w:lang w:val="en-GB"/>
        </w:rPr>
        <w:t xml:space="preserve">(1), 21–53. </w:t>
      </w:r>
      <w:hyperlink r:id="R3c25fb6cf72d4655">
        <w:r w:rsidRPr="1BB85550" w:rsidR="07B31BEA">
          <w:rPr>
            <w:rStyle w:val="Hyperlink"/>
            <w:noProof w:val="0"/>
            <w:lang w:val="en-GB"/>
          </w:rPr>
          <w:t>https://doi.org/10.1080/14719030410001675722</w:t>
        </w:r>
      </w:hyperlink>
    </w:p>
    <w:p w:rsidR="1C32B63A" w:rsidP="1C32B63A" w:rsidRDefault="1C32B63A" w14:paraId="03E44EC8" w14:textId="7C4FBB2C">
      <w:pPr>
        <w:spacing w:before="240" w:beforeAutospacing="off" w:after="240" w:afterAutospacing="off"/>
      </w:pPr>
      <w:r w:rsidRPr="1BB85550" w:rsidR="07B31BEA">
        <w:rPr>
          <w:rFonts w:ascii="Aptos" w:hAnsi="Aptos" w:eastAsia="Aptos" w:cs="Aptos"/>
          <w:noProof w:val="0"/>
          <w:sz w:val="24"/>
          <w:szCs w:val="24"/>
          <w:lang w:val="en-GB"/>
        </w:rPr>
        <w:t xml:space="preserve">Burnes, B. (2004). Kurt Lewin and the planned approach to change: A re-appraisal. </w:t>
      </w:r>
      <w:r w:rsidRPr="1BB85550" w:rsidR="07B31BEA">
        <w:rPr>
          <w:rFonts w:ascii="Aptos" w:hAnsi="Aptos" w:eastAsia="Aptos" w:cs="Aptos"/>
          <w:i w:val="1"/>
          <w:iCs w:val="1"/>
          <w:noProof w:val="0"/>
          <w:sz w:val="24"/>
          <w:szCs w:val="24"/>
          <w:lang w:val="en-GB"/>
        </w:rPr>
        <w:t>Journal of Management Studies, 41</w:t>
      </w:r>
      <w:r w:rsidRPr="1BB85550" w:rsidR="07B31BEA">
        <w:rPr>
          <w:rFonts w:ascii="Aptos" w:hAnsi="Aptos" w:eastAsia="Aptos" w:cs="Aptos"/>
          <w:noProof w:val="0"/>
          <w:sz w:val="24"/>
          <w:szCs w:val="24"/>
          <w:lang w:val="en-GB"/>
        </w:rPr>
        <w:t xml:space="preserve">(6), 977–1002. </w:t>
      </w:r>
      <w:hyperlink r:id="R2ff8ecdf6b434aa6">
        <w:r w:rsidRPr="1BB85550" w:rsidR="07B31BEA">
          <w:rPr>
            <w:rStyle w:val="Hyperlink"/>
            <w:noProof w:val="0"/>
            <w:lang w:val="en-GB"/>
          </w:rPr>
          <w:t>https://doi.org/10.1111/j.1467-6486.2004.00463.x</w:t>
        </w:r>
      </w:hyperlink>
    </w:p>
    <w:p w:rsidR="1C32B63A" w:rsidP="1C32B63A" w:rsidRDefault="1C32B63A" w14:paraId="157391F6" w14:textId="1BF18736">
      <w:pPr>
        <w:spacing w:before="240" w:beforeAutospacing="off" w:after="240" w:afterAutospacing="off"/>
      </w:pPr>
      <w:r w:rsidRPr="1BB85550" w:rsidR="07B31BEA">
        <w:rPr>
          <w:rFonts w:ascii="Aptos" w:hAnsi="Aptos" w:eastAsia="Aptos" w:cs="Aptos"/>
          <w:noProof w:val="0"/>
          <w:sz w:val="24"/>
          <w:szCs w:val="24"/>
          <w:lang w:val="en-GB"/>
        </w:rPr>
        <w:t xml:space="preserve">Buchanan, D. A., &amp; Badham, R. J. (1999). Politics and organizational change: The lived experience. </w:t>
      </w:r>
      <w:r w:rsidRPr="1BB85550" w:rsidR="07B31BEA">
        <w:rPr>
          <w:rFonts w:ascii="Aptos" w:hAnsi="Aptos" w:eastAsia="Aptos" w:cs="Aptos"/>
          <w:i w:val="1"/>
          <w:iCs w:val="1"/>
          <w:noProof w:val="0"/>
          <w:sz w:val="24"/>
          <w:szCs w:val="24"/>
          <w:lang w:val="en-GB"/>
        </w:rPr>
        <w:t>Human Relations, 52</w:t>
      </w:r>
      <w:r w:rsidRPr="1BB85550" w:rsidR="07B31BEA">
        <w:rPr>
          <w:rFonts w:ascii="Aptos" w:hAnsi="Aptos" w:eastAsia="Aptos" w:cs="Aptos"/>
          <w:noProof w:val="0"/>
          <w:sz w:val="24"/>
          <w:szCs w:val="24"/>
          <w:lang w:val="en-GB"/>
        </w:rPr>
        <w:t xml:space="preserve">(5), 609–629. </w:t>
      </w:r>
      <w:hyperlink r:id="R9e4a76d15815468a">
        <w:r w:rsidRPr="1BB85550" w:rsidR="07B31BEA">
          <w:rPr>
            <w:rStyle w:val="Hyperlink"/>
            <w:noProof w:val="0"/>
            <w:lang w:val="en-GB"/>
          </w:rPr>
          <w:t>https://doi.org/10.1177/001872679905200503</w:t>
        </w:r>
      </w:hyperlink>
    </w:p>
    <w:p w:rsidR="1C32B63A" w:rsidP="1C32B63A" w:rsidRDefault="1C32B63A" w14:paraId="2E47DED1" w14:textId="450C2B93">
      <w:pPr>
        <w:spacing w:before="240" w:beforeAutospacing="off" w:after="240" w:afterAutospacing="off"/>
      </w:pPr>
      <w:r w:rsidRPr="1BB85550" w:rsidR="07B31BEA">
        <w:rPr>
          <w:rFonts w:ascii="Aptos" w:hAnsi="Aptos" w:eastAsia="Aptos" w:cs="Aptos"/>
          <w:noProof w:val="0"/>
          <w:sz w:val="24"/>
          <w:szCs w:val="24"/>
          <w:lang w:val="en-GB"/>
        </w:rPr>
        <w:t xml:space="preserve">Cancer Research UK. (n.d.). </w:t>
      </w:r>
      <w:r w:rsidRPr="1BB85550" w:rsidR="07B31BEA">
        <w:rPr>
          <w:rFonts w:ascii="Aptos" w:hAnsi="Aptos" w:eastAsia="Aptos" w:cs="Aptos"/>
          <w:i w:val="1"/>
          <w:iCs w:val="1"/>
          <w:noProof w:val="0"/>
          <w:sz w:val="24"/>
          <w:szCs w:val="24"/>
          <w:lang w:val="en-GB"/>
        </w:rPr>
        <w:t>Melanoma skin cancer risk factors.</w:t>
      </w:r>
      <w:r w:rsidRPr="1BB85550" w:rsidR="07B31BEA">
        <w:rPr>
          <w:rFonts w:ascii="Aptos" w:hAnsi="Aptos" w:eastAsia="Aptos" w:cs="Aptos"/>
          <w:noProof w:val="0"/>
          <w:sz w:val="24"/>
          <w:szCs w:val="24"/>
          <w:lang w:val="en-GB"/>
        </w:rPr>
        <w:t xml:space="preserve"> Retrieved September 23, 2026, from </w:t>
      </w:r>
      <w:hyperlink r:id="Rb5aba2990dc141a8">
        <w:r w:rsidRPr="1BB85550" w:rsidR="07B31BEA">
          <w:rPr>
            <w:rStyle w:val="Hyperlink"/>
            <w:noProof w:val="0"/>
            <w:lang w:val="en-GB"/>
          </w:rPr>
          <w:t>https://www.cancerresearchuk.org/health-professional/cancer-statistics/statistics-by-cancer-type/melanoma-skin-cancer/risk-factors</w:t>
        </w:r>
      </w:hyperlink>
    </w:p>
    <w:p w:rsidR="1C32B63A" w:rsidP="1C32B63A" w:rsidRDefault="1C32B63A" w14:paraId="6B21723D" w14:textId="19199884">
      <w:pPr>
        <w:spacing w:before="240" w:beforeAutospacing="off" w:after="240" w:afterAutospacing="off"/>
      </w:pPr>
      <w:r w:rsidRPr="1BB85550" w:rsidR="07B31BEA">
        <w:rPr>
          <w:rFonts w:ascii="Aptos" w:hAnsi="Aptos" w:eastAsia="Aptos" w:cs="Aptos"/>
          <w:noProof w:val="0"/>
          <w:sz w:val="24"/>
          <w:szCs w:val="24"/>
          <w:lang w:val="en-GB"/>
        </w:rPr>
        <w:t xml:space="preserve">Carmarthenshire County Council. (n.d.). </w:t>
      </w:r>
      <w:r w:rsidRPr="1BB85550" w:rsidR="07B31BEA">
        <w:rPr>
          <w:rFonts w:ascii="Aptos" w:hAnsi="Aptos" w:eastAsia="Aptos" w:cs="Aptos"/>
          <w:i w:val="1"/>
          <w:iCs w:val="1"/>
          <w:noProof w:val="0"/>
          <w:sz w:val="24"/>
          <w:szCs w:val="24"/>
          <w:lang w:val="en-GB"/>
        </w:rPr>
        <w:t>Sunbeds.</w:t>
      </w:r>
      <w:r w:rsidRPr="1BB85550" w:rsidR="07B31BEA">
        <w:rPr>
          <w:rFonts w:ascii="Aptos" w:hAnsi="Aptos" w:eastAsia="Aptos" w:cs="Aptos"/>
          <w:noProof w:val="0"/>
          <w:sz w:val="24"/>
          <w:szCs w:val="24"/>
          <w:lang w:val="en-GB"/>
        </w:rPr>
        <w:t xml:space="preserve"> Retrieved September 23, 2026, from </w:t>
      </w:r>
      <w:hyperlink r:id="R2d0b9eefa6214e39">
        <w:r w:rsidRPr="1BB85550" w:rsidR="07B31BEA">
          <w:rPr>
            <w:rStyle w:val="Hyperlink"/>
            <w:noProof w:val="0"/>
            <w:lang w:val="en-GB"/>
          </w:rPr>
          <w:t>https://www.carmarthenshire.gov.wales/business/licensing-permits/sunbeds/</w:t>
        </w:r>
      </w:hyperlink>
    </w:p>
    <w:p w:rsidR="1C32B63A" w:rsidP="1C32B63A" w:rsidRDefault="1C32B63A" w14:paraId="11137318" w14:textId="7C9EABBF">
      <w:pPr>
        <w:spacing w:before="240" w:beforeAutospacing="off" w:after="240" w:afterAutospacing="off"/>
      </w:pPr>
      <w:r w:rsidRPr="1BB85550" w:rsidR="07B31BEA">
        <w:rPr>
          <w:rFonts w:ascii="Aptos" w:hAnsi="Aptos" w:eastAsia="Aptos" w:cs="Aptos"/>
          <w:noProof w:val="0"/>
          <w:sz w:val="24"/>
          <w:szCs w:val="24"/>
          <w:lang w:val="en-GB"/>
        </w:rPr>
        <w:t xml:space="preserve">Errida, A., &amp; Lotfi, B. (2021). The determinants of organizational change management success: Literature review and case study. </w:t>
      </w:r>
      <w:r w:rsidRPr="1BB85550" w:rsidR="07B31BEA">
        <w:rPr>
          <w:rFonts w:ascii="Aptos" w:hAnsi="Aptos" w:eastAsia="Aptos" w:cs="Aptos"/>
          <w:i w:val="1"/>
          <w:iCs w:val="1"/>
          <w:noProof w:val="0"/>
          <w:sz w:val="24"/>
          <w:szCs w:val="24"/>
          <w:lang w:val="en-GB"/>
        </w:rPr>
        <w:t>International Journal of Engineering Business Management, 13</w:t>
      </w:r>
      <w:r w:rsidRPr="1BB85550" w:rsidR="07B31BEA">
        <w:rPr>
          <w:rFonts w:ascii="Aptos" w:hAnsi="Aptos" w:eastAsia="Aptos" w:cs="Aptos"/>
          <w:noProof w:val="0"/>
          <w:sz w:val="24"/>
          <w:szCs w:val="24"/>
          <w:lang w:val="en-GB"/>
        </w:rPr>
        <w:t xml:space="preserve">, 1–15. </w:t>
      </w:r>
      <w:hyperlink r:id="R490f23d98826478e">
        <w:r w:rsidRPr="1BB85550" w:rsidR="07B31BEA">
          <w:rPr>
            <w:rStyle w:val="Hyperlink"/>
            <w:noProof w:val="0"/>
            <w:lang w:val="en-GB"/>
          </w:rPr>
          <w:t>https://doi.org/10.1177/18479790211016273</w:t>
        </w:r>
      </w:hyperlink>
    </w:p>
    <w:p w:rsidR="1C32B63A" w:rsidP="1C32B63A" w:rsidRDefault="1C32B63A" w14:paraId="7A69576C" w14:textId="6A556B43">
      <w:pPr>
        <w:spacing w:before="240" w:beforeAutospacing="off" w:after="240" w:afterAutospacing="off"/>
      </w:pPr>
      <w:r w:rsidRPr="1BB85550" w:rsidR="07B31BEA">
        <w:rPr>
          <w:rFonts w:ascii="Aptos" w:hAnsi="Aptos" w:eastAsia="Aptos" w:cs="Aptos"/>
          <w:noProof w:val="0"/>
          <w:sz w:val="24"/>
          <w:szCs w:val="24"/>
          <w:lang w:val="en-GB"/>
        </w:rPr>
        <w:t xml:space="preserve">Ford, J. D., Ford, L. W., &amp; D’Amelio, A. (2008). Resistance to change: The rest of the story. </w:t>
      </w:r>
      <w:r w:rsidRPr="1BB85550" w:rsidR="07B31BEA">
        <w:rPr>
          <w:rFonts w:ascii="Aptos" w:hAnsi="Aptos" w:eastAsia="Aptos" w:cs="Aptos"/>
          <w:i w:val="1"/>
          <w:iCs w:val="1"/>
          <w:noProof w:val="0"/>
          <w:sz w:val="24"/>
          <w:szCs w:val="24"/>
          <w:lang w:val="en-GB"/>
        </w:rPr>
        <w:t>Academy of Management Review, 33</w:t>
      </w:r>
      <w:r w:rsidRPr="1BB85550" w:rsidR="07B31BEA">
        <w:rPr>
          <w:rFonts w:ascii="Aptos" w:hAnsi="Aptos" w:eastAsia="Aptos" w:cs="Aptos"/>
          <w:noProof w:val="0"/>
          <w:sz w:val="24"/>
          <w:szCs w:val="24"/>
          <w:lang w:val="en-GB"/>
        </w:rPr>
        <w:t xml:space="preserve">(2), 362–377. </w:t>
      </w:r>
      <w:hyperlink r:id="Rbf8035ceb8c64914">
        <w:r w:rsidRPr="1BB85550" w:rsidR="07B31BEA">
          <w:rPr>
            <w:rStyle w:val="Hyperlink"/>
            <w:noProof w:val="0"/>
            <w:lang w:val="en-GB"/>
          </w:rPr>
          <w:t>https://doi.org/10.5465/amr.2008.31193235</w:t>
        </w:r>
      </w:hyperlink>
    </w:p>
    <w:p w:rsidR="1C32B63A" w:rsidP="1C32B63A" w:rsidRDefault="1C32B63A" w14:paraId="62CE902D" w14:textId="36FEEDB3">
      <w:pPr>
        <w:spacing w:before="240" w:beforeAutospacing="off" w:after="240" w:afterAutospacing="off"/>
      </w:pPr>
      <w:r w:rsidRPr="1BB85550" w:rsidR="07B31BEA">
        <w:rPr>
          <w:rFonts w:ascii="Aptos" w:hAnsi="Aptos" w:eastAsia="Aptos" w:cs="Aptos"/>
          <w:noProof w:val="0"/>
          <w:sz w:val="24"/>
          <w:szCs w:val="24"/>
          <w:lang w:val="en-GB"/>
        </w:rPr>
        <w:t xml:space="preserve">Freeman, R. E. (1984). </w:t>
      </w:r>
      <w:r w:rsidRPr="1BB85550" w:rsidR="07B31BEA">
        <w:rPr>
          <w:rFonts w:ascii="Aptos" w:hAnsi="Aptos" w:eastAsia="Aptos" w:cs="Aptos"/>
          <w:i w:val="1"/>
          <w:iCs w:val="1"/>
          <w:noProof w:val="0"/>
          <w:sz w:val="24"/>
          <w:szCs w:val="24"/>
          <w:lang w:val="en-GB"/>
        </w:rPr>
        <w:t>Strategic management: A stakeholder approach.</w:t>
      </w:r>
      <w:r w:rsidRPr="1BB85550" w:rsidR="07B31BEA">
        <w:rPr>
          <w:rFonts w:ascii="Aptos" w:hAnsi="Aptos" w:eastAsia="Aptos" w:cs="Aptos"/>
          <w:noProof w:val="0"/>
          <w:sz w:val="24"/>
          <w:szCs w:val="24"/>
          <w:lang w:val="en-GB"/>
        </w:rPr>
        <w:t xml:space="preserve"> Pitman.</w:t>
      </w:r>
    </w:p>
    <w:p w:rsidR="1C32B63A" w:rsidP="1C32B63A" w:rsidRDefault="1C32B63A" w14:paraId="3FEB86A2" w14:textId="09493075">
      <w:pPr>
        <w:spacing w:before="240" w:beforeAutospacing="off" w:after="240" w:afterAutospacing="off"/>
      </w:pPr>
      <w:r w:rsidRPr="1BB85550" w:rsidR="07B31BEA">
        <w:rPr>
          <w:rFonts w:ascii="Aptos" w:hAnsi="Aptos" w:eastAsia="Aptos" w:cs="Aptos"/>
          <w:noProof w:val="0"/>
          <w:sz w:val="24"/>
          <w:szCs w:val="24"/>
          <w:lang w:val="en-GB"/>
        </w:rPr>
        <w:t xml:space="preserve">Glass, G. E. (2026). Red light therapy in cosmetic dermatology: Marketing claims backed by evidence? </w:t>
      </w:r>
      <w:r w:rsidRPr="1BB85550" w:rsidR="07B31BEA">
        <w:rPr>
          <w:rFonts w:ascii="Aptos" w:hAnsi="Aptos" w:eastAsia="Aptos" w:cs="Aptos"/>
          <w:i w:val="1"/>
          <w:iCs w:val="1"/>
          <w:noProof w:val="0"/>
          <w:sz w:val="24"/>
          <w:szCs w:val="24"/>
          <w:lang w:val="en-GB"/>
        </w:rPr>
        <w:t>Journal of Drugs in Dermatology.</w:t>
      </w:r>
      <w:r w:rsidRPr="1BB85550" w:rsidR="07B31BEA">
        <w:rPr>
          <w:rFonts w:ascii="Aptos" w:hAnsi="Aptos" w:eastAsia="Aptos" w:cs="Aptos"/>
          <w:noProof w:val="0"/>
          <w:sz w:val="24"/>
          <w:szCs w:val="24"/>
          <w:lang w:val="en-GB"/>
        </w:rPr>
        <w:t xml:space="preserve"> Advance online publication. </w:t>
      </w:r>
      <w:hyperlink r:id="R1d4d21252674483b">
        <w:r w:rsidRPr="1BB85550" w:rsidR="07B31BEA">
          <w:rPr>
            <w:rStyle w:val="Hyperlink"/>
            <w:noProof w:val="0"/>
            <w:lang w:val="en-GB"/>
          </w:rPr>
          <w:t>https://pubmed.ncbi.nlm.nih.gov/42696344/</w:t>
        </w:r>
      </w:hyperlink>
    </w:p>
    <w:p w:rsidR="1C32B63A" w:rsidP="1C32B63A" w:rsidRDefault="1C32B63A" w14:paraId="7E1FFEC9" w14:textId="7C5B9B13">
      <w:pPr>
        <w:spacing w:before="240" w:beforeAutospacing="off" w:after="240" w:afterAutospacing="off"/>
      </w:pPr>
      <w:r w:rsidRPr="1BB85550" w:rsidR="07B31BEA">
        <w:rPr>
          <w:rFonts w:ascii="Aptos" w:hAnsi="Aptos" w:eastAsia="Aptos" w:cs="Aptos"/>
          <w:noProof w:val="0"/>
          <w:sz w:val="24"/>
          <w:szCs w:val="24"/>
          <w:lang w:val="en-GB"/>
        </w:rPr>
        <w:t xml:space="preserve">Gürel, E., &amp; Tat, M. (2017). SWOT analysis: A theoretical review. </w:t>
      </w:r>
      <w:r w:rsidRPr="1BB85550" w:rsidR="07B31BEA">
        <w:rPr>
          <w:rFonts w:ascii="Aptos" w:hAnsi="Aptos" w:eastAsia="Aptos" w:cs="Aptos"/>
          <w:i w:val="1"/>
          <w:iCs w:val="1"/>
          <w:noProof w:val="0"/>
          <w:sz w:val="24"/>
          <w:szCs w:val="24"/>
          <w:lang w:val="en-GB"/>
        </w:rPr>
        <w:t>The Journal of International Social Research, 10</w:t>
      </w:r>
      <w:r w:rsidRPr="1BB85550" w:rsidR="07B31BEA">
        <w:rPr>
          <w:rFonts w:ascii="Aptos" w:hAnsi="Aptos" w:eastAsia="Aptos" w:cs="Aptos"/>
          <w:noProof w:val="0"/>
          <w:sz w:val="24"/>
          <w:szCs w:val="24"/>
          <w:lang w:val="en-GB"/>
        </w:rPr>
        <w:t xml:space="preserve">(51), 994–1006. </w:t>
      </w:r>
      <w:hyperlink r:id="Rbed080a401774d98">
        <w:r w:rsidRPr="1BB85550" w:rsidR="07B31BEA">
          <w:rPr>
            <w:rStyle w:val="Hyperlink"/>
            <w:noProof w:val="0"/>
            <w:lang w:val="en-GB"/>
          </w:rPr>
          <w:t>https://doi.org/10.17719/jisr.2017.1832</w:t>
        </w:r>
      </w:hyperlink>
    </w:p>
    <w:p w:rsidR="1C32B63A" w:rsidP="1C32B63A" w:rsidRDefault="1C32B63A" w14:paraId="7710DF4A" w14:textId="5424DB58">
      <w:pPr>
        <w:spacing w:before="240" w:beforeAutospacing="off" w:after="240" w:afterAutospacing="off"/>
      </w:pPr>
      <w:r w:rsidRPr="1BB85550" w:rsidR="07B31BEA">
        <w:rPr>
          <w:rFonts w:ascii="Aptos" w:hAnsi="Aptos" w:eastAsia="Aptos" w:cs="Aptos"/>
          <w:noProof w:val="0"/>
          <w:sz w:val="24"/>
          <w:szCs w:val="24"/>
          <w:lang w:val="en-GB"/>
        </w:rPr>
        <w:t xml:space="preserve">Health and Safety Executive. (n.d.). </w:t>
      </w:r>
      <w:r w:rsidRPr="1BB85550" w:rsidR="07B31BEA">
        <w:rPr>
          <w:rFonts w:ascii="Aptos" w:hAnsi="Aptos" w:eastAsia="Aptos" w:cs="Aptos"/>
          <w:i w:val="1"/>
          <w:iCs w:val="1"/>
          <w:noProof w:val="0"/>
          <w:sz w:val="24"/>
          <w:szCs w:val="24"/>
          <w:lang w:val="en-GB"/>
        </w:rPr>
        <w:t>Sunbeds and ultraviolet radiation.</w:t>
      </w:r>
      <w:r w:rsidRPr="1BB85550" w:rsidR="07B31BEA">
        <w:rPr>
          <w:rFonts w:ascii="Aptos" w:hAnsi="Aptos" w:eastAsia="Aptos" w:cs="Aptos"/>
          <w:noProof w:val="0"/>
          <w:sz w:val="24"/>
          <w:szCs w:val="24"/>
          <w:lang w:val="en-GB"/>
        </w:rPr>
        <w:t xml:space="preserve"> Retrieved September 23, 2026, from </w:t>
      </w:r>
      <w:hyperlink r:id="Rc2cf794028ad40e2">
        <w:r w:rsidRPr="1BB85550" w:rsidR="07B31BEA">
          <w:rPr>
            <w:rStyle w:val="Hyperlink"/>
            <w:noProof w:val="0"/>
            <w:lang w:val="en-GB"/>
          </w:rPr>
          <w:t>https://www.hse.gov.uk/radiation/optical/sunbeds.htm</w:t>
        </w:r>
      </w:hyperlink>
    </w:p>
    <w:p w:rsidR="1C32B63A" w:rsidP="1C32B63A" w:rsidRDefault="1C32B63A" w14:paraId="16265A67" w14:textId="49085702">
      <w:pPr>
        <w:spacing w:before="240" w:beforeAutospacing="off" w:after="240" w:afterAutospacing="off"/>
      </w:pPr>
      <w:r w:rsidRPr="1BB85550" w:rsidR="07B31BEA">
        <w:rPr>
          <w:rFonts w:ascii="Aptos" w:hAnsi="Aptos" w:eastAsia="Aptos" w:cs="Aptos"/>
          <w:noProof w:val="0"/>
          <w:sz w:val="24"/>
          <w:szCs w:val="24"/>
          <w:lang w:val="en-GB"/>
        </w:rPr>
        <w:t xml:space="preserve">Kotter, J. P. (1995). Leading change: Why transformation efforts fail. </w:t>
      </w:r>
      <w:r w:rsidRPr="1BB85550" w:rsidR="07B31BEA">
        <w:rPr>
          <w:rFonts w:ascii="Aptos" w:hAnsi="Aptos" w:eastAsia="Aptos" w:cs="Aptos"/>
          <w:i w:val="1"/>
          <w:iCs w:val="1"/>
          <w:noProof w:val="0"/>
          <w:sz w:val="24"/>
          <w:szCs w:val="24"/>
          <w:lang w:val="en-GB"/>
        </w:rPr>
        <w:t>Harvard Business Review, 73</w:t>
      </w:r>
      <w:r w:rsidRPr="1BB85550" w:rsidR="07B31BEA">
        <w:rPr>
          <w:rFonts w:ascii="Aptos" w:hAnsi="Aptos" w:eastAsia="Aptos" w:cs="Aptos"/>
          <w:noProof w:val="0"/>
          <w:sz w:val="24"/>
          <w:szCs w:val="24"/>
          <w:lang w:val="en-GB"/>
        </w:rPr>
        <w:t>(2), 59–67.</w:t>
      </w:r>
    </w:p>
    <w:p w:rsidR="1C32B63A" w:rsidP="1C32B63A" w:rsidRDefault="1C32B63A" w14:paraId="1114E08D" w14:textId="441C88E4">
      <w:pPr>
        <w:spacing w:before="240" w:beforeAutospacing="off" w:after="240" w:afterAutospacing="off"/>
      </w:pPr>
      <w:r w:rsidRPr="1BB85550" w:rsidR="07B31BEA">
        <w:rPr>
          <w:rFonts w:ascii="Aptos" w:hAnsi="Aptos" w:eastAsia="Aptos" w:cs="Aptos"/>
          <w:noProof w:val="0"/>
          <w:sz w:val="24"/>
          <w:szCs w:val="24"/>
          <w:lang w:val="en-GB"/>
        </w:rPr>
        <w:t xml:space="preserve">Lextan. (2026). </w:t>
      </w:r>
      <w:r w:rsidRPr="1BB85550" w:rsidR="07B31BEA">
        <w:rPr>
          <w:rFonts w:ascii="Aptos" w:hAnsi="Aptos" w:eastAsia="Aptos" w:cs="Aptos"/>
          <w:i w:val="1"/>
          <w:iCs w:val="1"/>
          <w:noProof w:val="0"/>
          <w:sz w:val="24"/>
          <w:szCs w:val="24"/>
          <w:lang w:val="en-GB"/>
        </w:rPr>
        <w:t>Lextan company updates</w:t>
      </w:r>
      <w:r w:rsidRPr="1BB85550" w:rsidR="07B31BEA">
        <w:rPr>
          <w:rFonts w:ascii="Aptos" w:hAnsi="Aptos" w:eastAsia="Aptos" w:cs="Aptos"/>
          <w:noProof w:val="0"/>
          <w:sz w:val="24"/>
          <w:szCs w:val="24"/>
          <w:lang w:val="en-GB"/>
        </w:rPr>
        <w:t xml:space="preserve"> [LinkedIn page]. LinkedIn. Retrieved September 23, 2026, from </w:t>
      </w:r>
      <w:hyperlink r:id="Ra0815ee355174b99">
        <w:r w:rsidRPr="1BB85550" w:rsidR="07B31BEA">
          <w:rPr>
            <w:rStyle w:val="Hyperlink"/>
            <w:noProof w:val="0"/>
            <w:lang w:val="en-GB"/>
          </w:rPr>
          <w:t>https://uk.linkedin.com/company/lextan-tanning</w:t>
        </w:r>
      </w:hyperlink>
    </w:p>
    <w:p w:rsidR="1C32B63A" w:rsidP="1C32B63A" w:rsidRDefault="1C32B63A" w14:paraId="7290F055" w14:textId="0400EA28">
      <w:pPr>
        <w:spacing w:before="240" w:beforeAutospacing="off" w:after="240" w:afterAutospacing="off"/>
      </w:pPr>
      <w:r w:rsidRPr="1BB85550" w:rsidR="07B31BEA">
        <w:rPr>
          <w:rFonts w:ascii="Aptos" w:hAnsi="Aptos" w:eastAsia="Aptos" w:cs="Aptos"/>
          <w:noProof w:val="0"/>
          <w:sz w:val="24"/>
          <w:szCs w:val="24"/>
          <w:lang w:val="en-GB"/>
        </w:rPr>
        <w:t xml:space="preserve">Lextan. (n.d.-a). </w:t>
      </w:r>
      <w:r w:rsidRPr="1BB85550" w:rsidR="07B31BEA">
        <w:rPr>
          <w:rFonts w:ascii="Aptos" w:hAnsi="Aptos" w:eastAsia="Aptos" w:cs="Aptos"/>
          <w:i w:val="1"/>
          <w:iCs w:val="1"/>
          <w:noProof w:val="0"/>
          <w:sz w:val="24"/>
          <w:szCs w:val="24"/>
          <w:lang w:val="en-GB"/>
        </w:rPr>
        <w:t>Lextan: Wales and the West’s largest chain of tanning salons.</w:t>
      </w:r>
      <w:r w:rsidRPr="1BB85550" w:rsidR="07B31BEA">
        <w:rPr>
          <w:rFonts w:ascii="Aptos" w:hAnsi="Aptos" w:eastAsia="Aptos" w:cs="Aptos"/>
          <w:noProof w:val="0"/>
          <w:sz w:val="24"/>
          <w:szCs w:val="24"/>
          <w:lang w:val="en-GB"/>
        </w:rPr>
        <w:t xml:space="preserve"> Retrieved September 23, 2026, from </w:t>
      </w:r>
      <w:hyperlink r:id="R500d5f8739ca4bd2">
        <w:r w:rsidRPr="1BB85550" w:rsidR="07B31BEA">
          <w:rPr>
            <w:rStyle w:val="Hyperlink"/>
            <w:noProof w:val="0"/>
            <w:lang w:val="en-GB"/>
          </w:rPr>
          <w:t>https://www.lextan.co.uk/</w:t>
        </w:r>
      </w:hyperlink>
    </w:p>
    <w:p w:rsidR="1C32B63A" w:rsidP="1C32B63A" w:rsidRDefault="1C32B63A" w14:paraId="0CCD4270" w14:textId="422B0126">
      <w:pPr>
        <w:spacing w:before="240" w:beforeAutospacing="off" w:after="240" w:afterAutospacing="off"/>
      </w:pPr>
      <w:r w:rsidRPr="1BB85550" w:rsidR="07B31BEA">
        <w:rPr>
          <w:rFonts w:ascii="Aptos" w:hAnsi="Aptos" w:eastAsia="Aptos" w:cs="Aptos"/>
          <w:noProof w:val="0"/>
          <w:sz w:val="24"/>
          <w:szCs w:val="24"/>
          <w:lang w:val="en-GB"/>
        </w:rPr>
        <w:t xml:space="preserve">Lextan. (n.d.-b). </w:t>
      </w:r>
      <w:r w:rsidRPr="1BB85550" w:rsidR="07B31BEA">
        <w:rPr>
          <w:rFonts w:ascii="Aptos" w:hAnsi="Aptos" w:eastAsia="Aptos" w:cs="Aptos"/>
          <w:i w:val="1"/>
          <w:iCs w:val="1"/>
          <w:noProof w:val="0"/>
          <w:sz w:val="24"/>
          <w:szCs w:val="24"/>
          <w:lang w:val="en-GB"/>
        </w:rPr>
        <w:t>Lextan Llanelli.</w:t>
      </w:r>
      <w:r w:rsidRPr="1BB85550" w:rsidR="07B31BEA">
        <w:rPr>
          <w:rFonts w:ascii="Aptos" w:hAnsi="Aptos" w:eastAsia="Aptos" w:cs="Aptos"/>
          <w:noProof w:val="0"/>
          <w:sz w:val="24"/>
          <w:szCs w:val="24"/>
          <w:lang w:val="en-GB"/>
        </w:rPr>
        <w:t xml:space="preserve"> Retrieved September 23, 2026, from </w:t>
      </w:r>
      <w:hyperlink r:id="Rc4bda17f5cf74d38">
        <w:r w:rsidRPr="1BB85550" w:rsidR="07B31BEA">
          <w:rPr>
            <w:rStyle w:val="Hyperlink"/>
            <w:noProof w:val="0"/>
            <w:lang w:val="en-GB"/>
          </w:rPr>
          <w:t>https://www.lextan.co.uk/locations/lextan-llanelli/</w:t>
        </w:r>
      </w:hyperlink>
    </w:p>
    <w:p w:rsidR="1C32B63A" w:rsidP="1C32B63A" w:rsidRDefault="1C32B63A" w14:paraId="040BA51E" w14:textId="76C9E9D8">
      <w:pPr>
        <w:spacing w:before="240" w:beforeAutospacing="off" w:after="240" w:afterAutospacing="off"/>
      </w:pPr>
      <w:r w:rsidRPr="1BB85550" w:rsidR="07B31BEA">
        <w:rPr>
          <w:rFonts w:ascii="Aptos" w:hAnsi="Aptos" w:eastAsia="Aptos" w:cs="Aptos"/>
          <w:noProof w:val="0"/>
          <w:sz w:val="24"/>
          <w:szCs w:val="24"/>
          <w:lang w:val="en-GB"/>
        </w:rPr>
        <w:t xml:space="preserve">Lewin, K. (1947). Frontiers in group dynamics: Concept, method and reality in social science; social equilibria and social change. </w:t>
      </w:r>
      <w:r w:rsidRPr="1BB85550" w:rsidR="07B31BEA">
        <w:rPr>
          <w:rFonts w:ascii="Aptos" w:hAnsi="Aptos" w:eastAsia="Aptos" w:cs="Aptos"/>
          <w:i w:val="1"/>
          <w:iCs w:val="1"/>
          <w:noProof w:val="0"/>
          <w:sz w:val="24"/>
          <w:szCs w:val="24"/>
          <w:lang w:val="en-GB"/>
        </w:rPr>
        <w:t>Human Relations, 1</w:t>
      </w:r>
      <w:r w:rsidRPr="1BB85550" w:rsidR="07B31BEA">
        <w:rPr>
          <w:rFonts w:ascii="Aptos" w:hAnsi="Aptos" w:eastAsia="Aptos" w:cs="Aptos"/>
          <w:noProof w:val="0"/>
          <w:sz w:val="24"/>
          <w:szCs w:val="24"/>
          <w:lang w:val="en-GB"/>
        </w:rPr>
        <w:t xml:space="preserve">(1), 5–41. </w:t>
      </w:r>
      <w:hyperlink r:id="R9e88f0b0496e44bb">
        <w:r w:rsidRPr="1BB85550" w:rsidR="07B31BEA">
          <w:rPr>
            <w:rStyle w:val="Hyperlink"/>
            <w:noProof w:val="0"/>
            <w:lang w:val="en-GB"/>
          </w:rPr>
          <w:t>https://doi.org/10.1177/001872674700100103</w:t>
        </w:r>
      </w:hyperlink>
    </w:p>
    <w:p w:rsidR="1C32B63A" w:rsidP="1C32B63A" w:rsidRDefault="1C32B63A" w14:paraId="0BA8F17B" w14:textId="68ED4445">
      <w:pPr>
        <w:spacing w:before="240" w:beforeAutospacing="off" w:after="240" w:afterAutospacing="off"/>
      </w:pPr>
      <w:r w:rsidRPr="1BB85550" w:rsidR="07B31BEA">
        <w:rPr>
          <w:rFonts w:ascii="Aptos" w:hAnsi="Aptos" w:eastAsia="Aptos" w:cs="Aptos"/>
          <w:noProof w:val="0"/>
          <w:sz w:val="24"/>
          <w:szCs w:val="24"/>
          <w:lang w:val="en-GB"/>
        </w:rPr>
        <w:t xml:space="preserve">Maurer, R. (2010). </w:t>
      </w:r>
      <w:r w:rsidRPr="1BB85550" w:rsidR="07B31BEA">
        <w:rPr>
          <w:rFonts w:ascii="Aptos" w:hAnsi="Aptos" w:eastAsia="Aptos" w:cs="Aptos"/>
          <w:i w:val="1"/>
          <w:iCs w:val="1"/>
          <w:noProof w:val="0"/>
          <w:sz w:val="24"/>
          <w:szCs w:val="24"/>
          <w:lang w:val="en-GB"/>
        </w:rPr>
        <w:t>Beyond the wall of resistance: Why 70% of all changes still fail</w:t>
      </w:r>
      <w:r w:rsidRPr="1BB85550" w:rsidR="70A693AE">
        <w:rPr>
          <w:rFonts w:ascii="Aptos" w:hAnsi="Aptos" w:eastAsia="Aptos" w:cs="Aptos"/>
          <w:i w:val="1"/>
          <w:iCs w:val="1"/>
          <w:noProof w:val="0"/>
          <w:sz w:val="24"/>
          <w:szCs w:val="24"/>
          <w:lang w:val="en-GB"/>
        </w:rPr>
        <w:t xml:space="preserve"> </w:t>
      </w:r>
      <w:r w:rsidRPr="1BB85550" w:rsidR="07B31BEA">
        <w:rPr>
          <w:rFonts w:ascii="Aptos" w:hAnsi="Aptos" w:eastAsia="Aptos" w:cs="Aptos"/>
          <w:i w:val="1"/>
          <w:iCs w:val="1"/>
          <w:noProof w:val="0"/>
          <w:sz w:val="24"/>
          <w:szCs w:val="24"/>
          <w:lang w:val="en-GB"/>
        </w:rPr>
        <w:t>and what you can do about it</w:t>
      </w:r>
      <w:r w:rsidRPr="1BB85550" w:rsidR="07B31BEA">
        <w:rPr>
          <w:rFonts w:ascii="Aptos" w:hAnsi="Aptos" w:eastAsia="Aptos" w:cs="Aptos"/>
          <w:noProof w:val="0"/>
          <w:sz w:val="24"/>
          <w:szCs w:val="24"/>
          <w:lang w:val="en-GB"/>
        </w:rPr>
        <w:t xml:space="preserve"> (2nd ed.). Bard Press.</w:t>
      </w:r>
    </w:p>
    <w:p w:rsidR="1C32B63A" w:rsidP="1C32B63A" w:rsidRDefault="1C32B63A" w14:paraId="50CD27A2" w14:textId="16749F4A">
      <w:pPr>
        <w:spacing w:before="240" w:beforeAutospacing="off" w:after="240" w:afterAutospacing="off"/>
      </w:pPr>
      <w:r w:rsidRPr="1BB85550" w:rsidR="07B31BEA">
        <w:rPr>
          <w:rFonts w:ascii="Aptos" w:hAnsi="Aptos" w:eastAsia="Aptos" w:cs="Aptos"/>
          <w:noProof w:val="0"/>
          <w:sz w:val="24"/>
          <w:szCs w:val="24"/>
          <w:lang w:val="en-GB"/>
        </w:rPr>
        <w:t xml:space="preserve">Mendelow, A. L. (1991). Environmental scanning: The impact of the stakeholder concept. In </w:t>
      </w:r>
      <w:r w:rsidRPr="1BB85550" w:rsidR="07B31BEA">
        <w:rPr>
          <w:rFonts w:ascii="Aptos" w:hAnsi="Aptos" w:eastAsia="Aptos" w:cs="Aptos"/>
          <w:i w:val="1"/>
          <w:iCs w:val="1"/>
          <w:noProof w:val="0"/>
          <w:sz w:val="24"/>
          <w:szCs w:val="24"/>
          <w:lang w:val="en-GB"/>
        </w:rPr>
        <w:t>Proceedings of the Second International Conference on Information Systems.</w:t>
      </w:r>
    </w:p>
    <w:p w:rsidR="1C32B63A" w:rsidP="1C32B63A" w:rsidRDefault="1C32B63A" w14:paraId="71499F1A" w14:textId="33C3BCF5">
      <w:pPr>
        <w:spacing w:before="240" w:beforeAutospacing="off" w:after="240" w:afterAutospacing="off"/>
      </w:pPr>
      <w:r w:rsidRPr="1BB85550" w:rsidR="07B31BEA">
        <w:rPr>
          <w:rFonts w:ascii="Aptos" w:hAnsi="Aptos" w:eastAsia="Aptos" w:cs="Aptos"/>
          <w:noProof w:val="0"/>
          <w:sz w:val="24"/>
          <w:szCs w:val="24"/>
          <w:lang w:val="en-GB"/>
        </w:rPr>
        <w:t xml:space="preserve">Mitchell, R. K., Agle, B. R., &amp; Wood, D. J. (1997). Toward a theory of stakeholder identification and salience: Defining the principle of who and what really counts. </w:t>
      </w:r>
      <w:r w:rsidRPr="1BB85550" w:rsidR="07B31BEA">
        <w:rPr>
          <w:rFonts w:ascii="Aptos" w:hAnsi="Aptos" w:eastAsia="Aptos" w:cs="Aptos"/>
          <w:i w:val="1"/>
          <w:iCs w:val="1"/>
          <w:noProof w:val="0"/>
          <w:sz w:val="24"/>
          <w:szCs w:val="24"/>
          <w:lang w:val="en-GB"/>
        </w:rPr>
        <w:t>Academy of Management Review, 22</w:t>
      </w:r>
      <w:r w:rsidRPr="1BB85550" w:rsidR="07B31BEA">
        <w:rPr>
          <w:rFonts w:ascii="Aptos" w:hAnsi="Aptos" w:eastAsia="Aptos" w:cs="Aptos"/>
          <w:noProof w:val="0"/>
          <w:sz w:val="24"/>
          <w:szCs w:val="24"/>
          <w:lang w:val="en-GB"/>
        </w:rPr>
        <w:t xml:space="preserve">(4), 853–886. </w:t>
      </w:r>
      <w:hyperlink r:id="R30956f440ec64d01">
        <w:r w:rsidRPr="1BB85550" w:rsidR="07B31BEA">
          <w:rPr>
            <w:rStyle w:val="Hyperlink"/>
            <w:noProof w:val="0"/>
            <w:lang w:val="en-GB"/>
          </w:rPr>
          <w:t>https://doi.org/10.2307/259247</w:t>
        </w:r>
      </w:hyperlink>
    </w:p>
    <w:p w:rsidR="1C32B63A" w:rsidP="1C32B63A" w:rsidRDefault="1C32B63A" w14:paraId="5916D104" w14:textId="0B2BFC61">
      <w:pPr>
        <w:spacing w:before="240" w:beforeAutospacing="off" w:after="240" w:afterAutospacing="off"/>
      </w:pPr>
      <w:r w:rsidRPr="1BB85550" w:rsidR="07B31BEA">
        <w:rPr>
          <w:rFonts w:ascii="Aptos" w:hAnsi="Aptos" w:eastAsia="Aptos" w:cs="Aptos"/>
          <w:noProof w:val="0"/>
          <w:sz w:val="24"/>
          <w:szCs w:val="24"/>
          <w:lang w:val="en-GB"/>
        </w:rPr>
        <w:t xml:space="preserve">National Health Service. (2026). </w:t>
      </w:r>
      <w:r w:rsidRPr="1BB85550" w:rsidR="07B31BEA">
        <w:rPr>
          <w:rFonts w:ascii="Aptos" w:hAnsi="Aptos" w:eastAsia="Aptos" w:cs="Aptos"/>
          <w:i w:val="1"/>
          <w:iCs w:val="1"/>
          <w:noProof w:val="0"/>
          <w:sz w:val="24"/>
          <w:szCs w:val="24"/>
          <w:lang w:val="en-GB"/>
        </w:rPr>
        <w:t>What is melanoma skin cancer?</w:t>
      </w:r>
      <w:r w:rsidRPr="1BB85550" w:rsidR="07B31BEA">
        <w:rPr>
          <w:rFonts w:ascii="Aptos" w:hAnsi="Aptos" w:eastAsia="Aptos" w:cs="Aptos"/>
          <w:noProof w:val="0"/>
          <w:sz w:val="24"/>
          <w:szCs w:val="24"/>
          <w:lang w:val="en-GB"/>
        </w:rPr>
        <w:t xml:space="preserve"> </w:t>
      </w:r>
      <w:hyperlink r:id="R46e7ebc2e7cc4315">
        <w:r w:rsidRPr="1BB85550" w:rsidR="07B31BEA">
          <w:rPr>
            <w:rStyle w:val="Hyperlink"/>
            <w:noProof w:val="0"/>
            <w:lang w:val="en-GB"/>
          </w:rPr>
          <w:t>https://www.nhs.uk/conditions/melanoma-skin-cancer/what-is-melanoma-skin-cancer/</w:t>
        </w:r>
      </w:hyperlink>
    </w:p>
    <w:p w:rsidR="1C32B63A" w:rsidP="1C32B63A" w:rsidRDefault="1C32B63A" w14:paraId="0CC532D6" w14:textId="60CFA4DE">
      <w:pPr>
        <w:spacing w:before="240" w:beforeAutospacing="off" w:after="240" w:afterAutospacing="off"/>
      </w:pPr>
      <w:r w:rsidRPr="1BB85550" w:rsidR="07B31BEA">
        <w:rPr>
          <w:rFonts w:ascii="Aptos" w:hAnsi="Aptos" w:eastAsia="Aptos" w:cs="Aptos"/>
          <w:noProof w:val="0"/>
          <w:sz w:val="24"/>
          <w:szCs w:val="24"/>
          <w:lang w:val="en-GB"/>
        </w:rPr>
        <w:t xml:space="preserve">Office for National Statistics. (2026, September 16). </w:t>
      </w:r>
      <w:r w:rsidRPr="1BB85550" w:rsidR="07B31BEA">
        <w:rPr>
          <w:rFonts w:ascii="Aptos" w:hAnsi="Aptos" w:eastAsia="Aptos" w:cs="Aptos"/>
          <w:i w:val="1"/>
          <w:iCs w:val="1"/>
          <w:noProof w:val="0"/>
          <w:sz w:val="24"/>
          <w:szCs w:val="24"/>
          <w:lang w:val="en-GB"/>
        </w:rPr>
        <w:t>Consumer price inflation, UK: August 2026.</w:t>
      </w:r>
      <w:r w:rsidRPr="1BB85550" w:rsidR="07B31BEA">
        <w:rPr>
          <w:rFonts w:ascii="Aptos" w:hAnsi="Aptos" w:eastAsia="Aptos" w:cs="Aptos"/>
          <w:noProof w:val="0"/>
          <w:sz w:val="24"/>
          <w:szCs w:val="24"/>
          <w:lang w:val="en-GB"/>
        </w:rPr>
        <w:t xml:space="preserve"> </w:t>
      </w:r>
      <w:hyperlink r:id="R6f859527c90b4238">
        <w:r w:rsidRPr="1BB85550" w:rsidR="07B31BEA">
          <w:rPr>
            <w:rStyle w:val="Hyperlink"/>
            <w:noProof w:val="0"/>
            <w:lang w:val="en-GB"/>
          </w:rPr>
          <w:t>https://www.ons.gov.uk/economy/inflationandpriceindices/bulletins/consumerpriceinflation/august2026</w:t>
        </w:r>
      </w:hyperlink>
    </w:p>
    <w:p w:rsidR="1C32B63A" w:rsidP="1C32B63A" w:rsidRDefault="1C32B63A" w14:paraId="6317FBC7" w14:textId="1C3650FB">
      <w:pPr>
        <w:spacing w:before="240" w:beforeAutospacing="off" w:after="240" w:afterAutospacing="off"/>
      </w:pPr>
      <w:r w:rsidRPr="1BB85550" w:rsidR="07B31BEA">
        <w:rPr>
          <w:rFonts w:ascii="Aptos" w:hAnsi="Aptos" w:eastAsia="Aptos" w:cs="Aptos"/>
          <w:noProof w:val="0"/>
          <w:sz w:val="24"/>
          <w:szCs w:val="24"/>
          <w:lang w:val="en-GB"/>
        </w:rPr>
        <w:t xml:space="preserve">Puyt, R. W., Lie, F. B., &amp; Wilderom, C. P. M. (2023). The origins of SWOT analysis. </w:t>
      </w:r>
      <w:r w:rsidRPr="1BB85550" w:rsidR="07B31BEA">
        <w:rPr>
          <w:rFonts w:ascii="Aptos" w:hAnsi="Aptos" w:eastAsia="Aptos" w:cs="Aptos"/>
          <w:i w:val="1"/>
          <w:iCs w:val="1"/>
          <w:noProof w:val="0"/>
          <w:sz w:val="24"/>
          <w:szCs w:val="24"/>
          <w:lang w:val="en-GB"/>
        </w:rPr>
        <w:t>Long Range Planning, 56</w:t>
      </w:r>
      <w:r w:rsidRPr="1BB85550" w:rsidR="07B31BEA">
        <w:rPr>
          <w:rFonts w:ascii="Aptos" w:hAnsi="Aptos" w:eastAsia="Aptos" w:cs="Aptos"/>
          <w:noProof w:val="0"/>
          <w:sz w:val="24"/>
          <w:szCs w:val="24"/>
          <w:lang w:val="en-GB"/>
        </w:rPr>
        <w:t xml:space="preserve">(3), 102304. </w:t>
      </w:r>
      <w:hyperlink r:id="R137bba0e2d8a4424">
        <w:r w:rsidRPr="1BB85550" w:rsidR="07B31BEA">
          <w:rPr>
            <w:rStyle w:val="Hyperlink"/>
            <w:noProof w:val="0"/>
            <w:lang w:val="en-GB"/>
          </w:rPr>
          <w:t>https://doi.org/10.1016/j.lrp.2023.102304</w:t>
        </w:r>
      </w:hyperlink>
    </w:p>
    <w:p w:rsidR="1C32B63A" w:rsidP="1C32B63A" w:rsidRDefault="1C32B63A" w14:paraId="1D2E7B27" w14:textId="71F64DDE">
      <w:pPr>
        <w:spacing w:before="240" w:beforeAutospacing="off" w:after="240" w:afterAutospacing="off"/>
      </w:pPr>
      <w:r w:rsidRPr="1BB85550" w:rsidR="07B31BEA">
        <w:rPr>
          <w:rFonts w:ascii="Aptos" w:hAnsi="Aptos" w:eastAsia="Aptos" w:cs="Aptos"/>
          <w:noProof w:val="0"/>
          <w:sz w:val="24"/>
          <w:szCs w:val="24"/>
          <w:lang w:val="en-GB"/>
        </w:rPr>
        <w:t xml:space="preserve">Welsh Government. (2011). </w:t>
      </w:r>
      <w:r w:rsidRPr="1BB85550" w:rsidR="07B31BEA">
        <w:rPr>
          <w:rFonts w:ascii="Aptos" w:hAnsi="Aptos" w:eastAsia="Aptos" w:cs="Aptos"/>
          <w:i w:val="1"/>
          <w:iCs w:val="1"/>
          <w:noProof w:val="0"/>
          <w:sz w:val="24"/>
          <w:szCs w:val="24"/>
          <w:lang w:val="en-GB"/>
        </w:rPr>
        <w:t>The Sunbeds (Regulation) Act 2010 (Wales) Regulations 2011: Guidance for businesses.</w:t>
      </w:r>
      <w:r w:rsidRPr="1BB85550" w:rsidR="07B31BEA">
        <w:rPr>
          <w:rFonts w:ascii="Aptos" w:hAnsi="Aptos" w:eastAsia="Aptos" w:cs="Aptos"/>
          <w:noProof w:val="0"/>
          <w:sz w:val="24"/>
          <w:szCs w:val="24"/>
          <w:lang w:val="en-GB"/>
        </w:rPr>
        <w:t xml:space="preserve"> </w:t>
      </w:r>
      <w:hyperlink r:id="Rc3c3a5ba391f4274">
        <w:r w:rsidRPr="1BB85550" w:rsidR="07B31BEA">
          <w:rPr>
            <w:rStyle w:val="Hyperlink"/>
            <w:noProof w:val="0"/>
            <w:lang w:val="en-GB"/>
          </w:rPr>
          <w:t>https://www.gov.wales/sunbed-regulations-2011-guidance</w:t>
        </w:r>
      </w:hyperlink>
    </w:p>
    <w:p w:rsidR="1C32B63A" w:rsidP="1C32B63A" w:rsidRDefault="1C32B63A" w14:paraId="66BF55B2" w14:textId="3B69BFE4">
      <w:pPr>
        <w:spacing w:before="240" w:beforeAutospacing="off" w:after="240" w:afterAutospacing="off"/>
      </w:pPr>
      <w:r w:rsidRPr="1BB85550" w:rsidR="07B31BEA">
        <w:rPr>
          <w:rFonts w:ascii="Aptos" w:hAnsi="Aptos" w:eastAsia="Aptos" w:cs="Aptos"/>
          <w:noProof w:val="0"/>
          <w:sz w:val="24"/>
          <w:szCs w:val="24"/>
          <w:lang w:val="en-GB"/>
        </w:rPr>
        <w:t xml:space="preserve">Yüksel, İ. (2012). Developing a multi-criteria decision-making model for PESTEL analysis. </w:t>
      </w:r>
      <w:r w:rsidRPr="1BB85550" w:rsidR="07B31BEA">
        <w:rPr>
          <w:rFonts w:ascii="Aptos" w:hAnsi="Aptos" w:eastAsia="Aptos" w:cs="Aptos"/>
          <w:i w:val="1"/>
          <w:iCs w:val="1"/>
          <w:noProof w:val="0"/>
          <w:sz w:val="24"/>
          <w:szCs w:val="24"/>
          <w:lang w:val="en-GB"/>
        </w:rPr>
        <w:t>International Journal of Business and Management, 7</w:t>
      </w:r>
      <w:r w:rsidRPr="1BB85550" w:rsidR="07B31BEA">
        <w:rPr>
          <w:rFonts w:ascii="Aptos" w:hAnsi="Aptos" w:eastAsia="Aptos" w:cs="Aptos"/>
          <w:noProof w:val="0"/>
          <w:sz w:val="24"/>
          <w:szCs w:val="24"/>
          <w:lang w:val="en-GB"/>
        </w:rPr>
        <w:t xml:space="preserve">(24), 52–66. </w:t>
      </w:r>
      <w:hyperlink r:id="R56baee026cfd4513">
        <w:r w:rsidRPr="1BB85550" w:rsidR="07B31BEA">
          <w:rPr>
            <w:rStyle w:val="Hyperlink"/>
            <w:noProof w:val="0"/>
            <w:lang w:val="en-GB"/>
          </w:rPr>
          <w:t>https://doi.org/10.5539/ijbm.v7n24p52</w:t>
        </w:r>
      </w:hyperlink>
    </w:p>
    <w:p w:rsidR="1C32B63A" w:rsidP="1C32B63A" w:rsidRDefault="1C32B63A" w14:paraId="4FE2CE98" w14:textId="037D6213">
      <w:pPr>
        <w:spacing w:before="240" w:beforeAutospacing="off" w:after="240" w:afterAutospacing="off"/>
        <w:rPr>
          <w:rFonts w:ascii="Aptos" w:hAnsi="Aptos" w:eastAsia="Aptos" w:cs="Aptos"/>
          <w:noProof w:val="0"/>
          <w:sz w:val="24"/>
          <w:szCs w:val="24"/>
          <w:lang w:val="en-GB"/>
        </w:rPr>
      </w:pPr>
    </w:p>
    <w:p w:rsidR="1C32B63A" w:rsidP="1C32B63A" w:rsidRDefault="1C32B63A" w14:paraId="59DB7436" w14:textId="7A392A10">
      <w:pPr>
        <w:spacing w:before="240" w:beforeAutospacing="off" w:after="240" w:afterAutospacing="off"/>
        <w:rPr>
          <w:rFonts w:ascii="Aptos" w:hAnsi="Aptos" w:eastAsia="Aptos" w:cs="Aptos"/>
          <w:noProof w:val="0"/>
          <w:sz w:val="24"/>
          <w:szCs w:val="24"/>
          <w:lang w:val="en-GB"/>
        </w:rPr>
      </w:pPr>
    </w:p>
    <w:p w:rsidR="1C32B63A" w:rsidP="1C32B63A" w:rsidRDefault="1C32B63A" w14:paraId="43CF77C8" w14:textId="347B5433">
      <w:pPr>
        <w:spacing w:before="240" w:beforeAutospacing="off" w:after="240" w:afterAutospacing="off"/>
        <w:rPr>
          <w:rFonts w:ascii="Aptos" w:hAnsi="Aptos" w:eastAsia="Aptos" w:cs="Aptos"/>
          <w:noProof w:val="0"/>
          <w:sz w:val="24"/>
          <w:szCs w:val="24"/>
          <w:lang w:val="en-GB"/>
        </w:rPr>
      </w:pPr>
    </w:p>
    <w:p w:rsidR="1BB85550" w:rsidP="1BB85550" w:rsidRDefault="1BB85550" w14:paraId="331CB07F" w14:textId="6B400B62">
      <w:pPr>
        <w:spacing w:before="240" w:beforeAutospacing="off" w:after="240" w:afterAutospacing="off"/>
        <w:rPr>
          <w:rFonts w:ascii="Aptos" w:hAnsi="Aptos" w:eastAsia="Aptos" w:cs="Aptos"/>
          <w:noProof w:val="0"/>
          <w:sz w:val="24"/>
          <w:szCs w:val="24"/>
          <w:lang w:val="en-GB"/>
        </w:rPr>
      </w:pPr>
    </w:p>
    <w:p w:rsidR="1BB85550" w:rsidP="1BB85550" w:rsidRDefault="1BB85550" w14:paraId="2F00F644" w14:textId="03EE0200">
      <w:pPr>
        <w:spacing w:before="240" w:beforeAutospacing="off" w:after="240" w:afterAutospacing="off"/>
        <w:rPr>
          <w:rFonts w:ascii="Aptos" w:hAnsi="Aptos" w:eastAsia="Aptos" w:cs="Aptos"/>
          <w:noProof w:val="0"/>
          <w:sz w:val="24"/>
          <w:szCs w:val="24"/>
          <w:lang w:val="en-GB"/>
        </w:rPr>
      </w:pPr>
    </w:p>
    <w:p w:rsidR="1BB85550" w:rsidP="1BB85550" w:rsidRDefault="1BB85550" w14:paraId="7A9A2E6B" w14:textId="64A76944">
      <w:pPr>
        <w:spacing w:before="240" w:beforeAutospacing="off" w:after="240" w:afterAutospacing="off"/>
        <w:rPr>
          <w:rFonts w:ascii="Aptos" w:hAnsi="Aptos" w:eastAsia="Aptos" w:cs="Aptos"/>
          <w:noProof w:val="0"/>
          <w:sz w:val="24"/>
          <w:szCs w:val="24"/>
          <w:lang w:val="en-GB"/>
        </w:rPr>
      </w:pPr>
    </w:p>
    <w:p w:rsidR="1BB85550" w:rsidP="1BB85550" w:rsidRDefault="1BB85550" w14:paraId="75EBDD82" w14:textId="598D779D">
      <w:pPr>
        <w:spacing w:before="240" w:beforeAutospacing="off" w:after="240" w:afterAutospacing="off"/>
        <w:rPr>
          <w:rFonts w:ascii="Aptos" w:hAnsi="Aptos" w:eastAsia="Aptos" w:cs="Aptos"/>
          <w:noProof w:val="0"/>
          <w:sz w:val="24"/>
          <w:szCs w:val="24"/>
          <w:lang w:val="en-GB"/>
        </w:rPr>
      </w:pPr>
    </w:p>
    <w:p w:rsidR="1BB85550" w:rsidP="1BB85550" w:rsidRDefault="1BB85550" w14:paraId="45D6C71A" w14:textId="067B3FD5">
      <w:pPr>
        <w:spacing w:before="240" w:beforeAutospacing="off" w:after="240" w:afterAutospacing="off"/>
        <w:rPr>
          <w:rFonts w:ascii="Aptos" w:hAnsi="Aptos" w:eastAsia="Aptos" w:cs="Aptos"/>
          <w:noProof w:val="0"/>
          <w:sz w:val="24"/>
          <w:szCs w:val="24"/>
          <w:lang w:val="en-GB"/>
        </w:rPr>
      </w:pPr>
    </w:p>
    <w:p w:rsidR="1BB85550" w:rsidP="1BB85550" w:rsidRDefault="1BB85550" w14:paraId="74596CD9" w14:textId="061FD198">
      <w:pPr>
        <w:spacing w:before="240" w:beforeAutospacing="off" w:after="240" w:afterAutospacing="off"/>
        <w:rPr>
          <w:rFonts w:ascii="Aptos" w:hAnsi="Aptos" w:eastAsia="Aptos" w:cs="Aptos"/>
          <w:noProof w:val="0"/>
          <w:sz w:val="24"/>
          <w:szCs w:val="24"/>
          <w:lang w:val="en-GB"/>
        </w:rPr>
      </w:pPr>
    </w:p>
    <w:p w:rsidR="5D59BF6C" w:rsidP="1BB85550" w:rsidRDefault="5D59BF6C" w14:paraId="05C6DB8C" w14:textId="307A1BD0">
      <w:pPr>
        <w:spacing w:before="240" w:beforeAutospacing="off" w:after="240" w:afterAutospacing="off"/>
      </w:pPr>
      <w:r w:rsidRPr="1BB85550" w:rsidR="5D59BF6C">
        <w:rPr>
          <w:rFonts w:ascii="Aptos" w:hAnsi="Aptos" w:eastAsia="Aptos" w:cs="Aptos"/>
          <w:noProof w:val="0"/>
          <w:sz w:val="24"/>
          <w:szCs w:val="24"/>
          <w:lang w:val="en-GB"/>
        </w:rPr>
        <w:t>No problem. Here they are as plain text, with no tables. Copy each appendix separately into Word.</w:t>
      </w:r>
    </w:p>
    <w:p w:rsidR="5D59BF6C" w:rsidP="1BB85550" w:rsidRDefault="5D59BF6C" w14:paraId="0B938403" w14:textId="0050DF08">
      <w:pPr>
        <w:pStyle w:val="Heading1"/>
        <w:spacing w:before="322" w:beforeAutospacing="off" w:after="322" w:afterAutospacing="off"/>
        <w:rPr>
          <w:rFonts w:ascii="Aptos" w:hAnsi="Aptos" w:eastAsia="Aptos" w:cs="Aptos"/>
          <w:b w:val="1"/>
          <w:bCs w:val="1"/>
          <w:noProof w:val="0"/>
          <w:sz w:val="48"/>
          <w:szCs w:val="48"/>
          <w:lang w:val="en-GB"/>
        </w:rPr>
      </w:pPr>
      <w:bookmarkStart w:name="_Toc1691286445" w:id="276544363"/>
      <w:r w:rsidRPr="1BB85550" w:rsidR="5D59BF6C">
        <w:rPr>
          <w:rFonts w:ascii="Aptos" w:hAnsi="Aptos" w:eastAsia="Aptos" w:cs="Aptos"/>
          <w:b w:val="1"/>
          <w:bCs w:val="1"/>
          <w:noProof w:val="0"/>
          <w:sz w:val="48"/>
          <w:szCs w:val="48"/>
          <w:lang w:val="en-GB"/>
        </w:rPr>
        <w:t>Appendix A PESTLE analysis</w:t>
      </w:r>
      <w:bookmarkEnd w:id="276544363"/>
    </w:p>
    <w:p w:rsidR="5D59BF6C" w:rsidP="1BB85550" w:rsidRDefault="5D59BF6C" w14:paraId="6B7E08E8" w14:textId="64E347C7">
      <w:pPr>
        <w:spacing w:before="240" w:beforeAutospacing="off" w:after="240" w:afterAutospacing="off"/>
      </w:pPr>
      <w:r w:rsidRPr="1BB85550" w:rsidR="5D59BF6C">
        <w:rPr>
          <w:rFonts w:ascii="Aptos" w:hAnsi="Aptos" w:eastAsia="Aptos" w:cs="Aptos"/>
          <w:noProof w:val="0"/>
          <w:sz w:val="24"/>
          <w:szCs w:val="24"/>
          <w:lang w:val="en-GB"/>
        </w:rPr>
        <w:t>This analysis supports the critical discussion in the main report. It summarises the external forces affecting the implementation of Luxura Jewel LED hybrid and red-light technology at Lextan.</w:t>
      </w:r>
    </w:p>
    <w:p w:rsidR="5D59BF6C" w:rsidP="1BB85550" w:rsidRDefault="5D59BF6C" w14:paraId="04E8CAA9" w14:textId="35E62FB3">
      <w:pPr>
        <w:pStyle w:val="Heading2"/>
        <w:spacing w:before="299" w:beforeAutospacing="off" w:after="299" w:afterAutospacing="off"/>
        <w:rPr>
          <w:rFonts w:ascii="Aptos" w:hAnsi="Aptos" w:eastAsia="Aptos" w:cs="Aptos"/>
          <w:b w:val="1"/>
          <w:bCs w:val="1"/>
          <w:noProof w:val="0"/>
          <w:sz w:val="36"/>
          <w:szCs w:val="36"/>
          <w:lang w:val="en-GB"/>
        </w:rPr>
      </w:pPr>
      <w:bookmarkStart w:name="_Toc375728330" w:id="993096781"/>
      <w:r w:rsidRPr="1BB85550" w:rsidR="5D59BF6C">
        <w:rPr>
          <w:rFonts w:ascii="Aptos" w:hAnsi="Aptos" w:eastAsia="Aptos" w:cs="Aptos"/>
          <w:b w:val="1"/>
          <w:bCs w:val="1"/>
          <w:noProof w:val="0"/>
          <w:sz w:val="36"/>
          <w:szCs w:val="36"/>
          <w:lang w:val="en-GB"/>
        </w:rPr>
        <w:t>Political and public-health factors</w:t>
      </w:r>
      <w:bookmarkEnd w:id="993096781"/>
    </w:p>
    <w:p w:rsidR="5D59BF6C" w:rsidP="1BB85550" w:rsidRDefault="5D59BF6C" w14:paraId="29697620" w14:textId="5BEC6E06">
      <w:pPr>
        <w:spacing w:before="240" w:beforeAutospacing="off" w:after="240" w:afterAutospacing="off"/>
      </w:pPr>
      <w:r w:rsidRPr="1BB85550" w:rsidR="5D59BF6C">
        <w:rPr>
          <w:rFonts w:ascii="Aptos" w:hAnsi="Aptos" w:eastAsia="Aptos" w:cs="Aptos"/>
          <w:noProof w:val="0"/>
          <w:sz w:val="24"/>
          <w:szCs w:val="24"/>
          <w:lang w:val="en-GB"/>
        </w:rPr>
        <w:t>Public policy seeks to reduce the harm caused by artificial UV exposure. Public-health scrutiny could increase following safety campaigns, adverse media coverage or customer complaints.</w:t>
      </w:r>
    </w:p>
    <w:p w:rsidR="5D59BF6C" w:rsidP="1BB85550" w:rsidRDefault="5D59BF6C" w14:paraId="7475E53A" w14:textId="502D2354">
      <w:pPr>
        <w:spacing w:before="240" w:beforeAutospacing="off" w:after="240" w:afterAutospacing="off"/>
      </w:pPr>
      <w:r w:rsidRPr="1BB85550" w:rsidR="5D59BF6C">
        <w:rPr>
          <w:rFonts w:ascii="Aptos" w:hAnsi="Aptos" w:eastAsia="Aptos" w:cs="Aptos"/>
          <w:noProof w:val="0"/>
          <w:sz w:val="24"/>
          <w:szCs w:val="24"/>
          <w:lang w:val="en-GB"/>
        </w:rPr>
        <w:t>Lextan must position the change around responsible service, legal compliance and informed customer choice. Aggressive marketing or exaggerated benefit claims could weaken trust and attract greater scrutiny.</w:t>
      </w:r>
    </w:p>
    <w:p w:rsidR="5D59BF6C" w:rsidP="1BB85550" w:rsidRDefault="5D59BF6C" w14:paraId="1C44A5A6" w14:textId="50642001">
      <w:pPr>
        <w:spacing w:before="240" w:beforeAutospacing="off" w:after="240" w:afterAutospacing="off"/>
      </w:pPr>
      <w:r w:rsidRPr="1BB85550" w:rsidR="5D59BF6C">
        <w:rPr>
          <w:rFonts w:ascii="Aptos" w:hAnsi="Aptos" w:eastAsia="Aptos" w:cs="Aptos"/>
          <w:noProof w:val="0"/>
          <w:sz w:val="24"/>
          <w:szCs w:val="24"/>
          <w:lang w:val="en-GB"/>
        </w:rPr>
        <w:t>Priority: High.</w:t>
      </w:r>
    </w:p>
    <w:p w:rsidR="5D59BF6C" w:rsidP="1BB85550" w:rsidRDefault="5D59BF6C" w14:paraId="04C0F8A1" w14:textId="065C41ED">
      <w:pPr>
        <w:pStyle w:val="Heading2"/>
        <w:spacing w:before="299" w:beforeAutospacing="off" w:after="299" w:afterAutospacing="off"/>
        <w:rPr>
          <w:rFonts w:ascii="Aptos" w:hAnsi="Aptos" w:eastAsia="Aptos" w:cs="Aptos"/>
          <w:b w:val="1"/>
          <w:bCs w:val="1"/>
          <w:noProof w:val="0"/>
          <w:sz w:val="36"/>
          <w:szCs w:val="36"/>
          <w:lang w:val="en-GB"/>
        </w:rPr>
      </w:pPr>
      <w:bookmarkStart w:name="_Toc1068468885" w:id="1572533773"/>
      <w:r w:rsidRPr="1BB85550" w:rsidR="5D59BF6C">
        <w:rPr>
          <w:rFonts w:ascii="Aptos" w:hAnsi="Aptos" w:eastAsia="Aptos" w:cs="Aptos"/>
          <w:b w:val="1"/>
          <w:bCs w:val="1"/>
          <w:noProof w:val="0"/>
          <w:sz w:val="36"/>
          <w:szCs w:val="36"/>
          <w:lang w:val="en-GB"/>
        </w:rPr>
        <w:t>Economic factors</w:t>
      </w:r>
      <w:bookmarkEnd w:id="1572533773"/>
    </w:p>
    <w:p w:rsidR="5D59BF6C" w:rsidP="1BB85550" w:rsidRDefault="5D59BF6C" w14:paraId="705839C7" w14:textId="0B650290">
      <w:pPr>
        <w:spacing w:before="240" w:beforeAutospacing="off" w:after="240" w:afterAutospacing="off"/>
      </w:pPr>
      <w:r w:rsidRPr="1BB85550" w:rsidR="5D59BF6C">
        <w:rPr>
          <w:rFonts w:ascii="Aptos" w:hAnsi="Aptos" w:eastAsia="Aptos" w:cs="Aptos"/>
          <w:noProof w:val="0"/>
          <w:sz w:val="24"/>
          <w:szCs w:val="24"/>
          <w:lang w:val="en-GB"/>
        </w:rPr>
        <w:t>Household budgets remain under pressure, while energy-intensive equipment can increase Lextan’s operating costs. Premium beds may support differentiation and generate additional income, but customers may reduce the frequency of their visits or resist higher prices.</w:t>
      </w:r>
    </w:p>
    <w:p w:rsidR="5D59BF6C" w:rsidP="1BB85550" w:rsidRDefault="5D59BF6C" w14:paraId="2FABA5B7" w14:textId="1A38F9E7">
      <w:pPr>
        <w:spacing w:before="240" w:beforeAutospacing="off" w:after="240" w:afterAutospacing="off"/>
      </w:pPr>
      <w:r w:rsidRPr="1BB85550" w:rsidR="5D59BF6C">
        <w:rPr>
          <w:rFonts w:ascii="Aptos" w:hAnsi="Aptos" w:eastAsia="Aptos" w:cs="Aptos"/>
          <w:noProof w:val="0"/>
          <w:sz w:val="24"/>
          <w:szCs w:val="24"/>
          <w:lang w:val="en-GB"/>
        </w:rPr>
        <w:t>Lextan should measure profit after energy, maintenance and finance costs rather than relying on sales figures alone. High sales would not necessarily prove that the equipment is profitable if its running and maintenance costs are also high.</w:t>
      </w:r>
    </w:p>
    <w:p w:rsidR="5D59BF6C" w:rsidP="1BB85550" w:rsidRDefault="5D59BF6C" w14:paraId="4DEAA162" w14:textId="6378EB42">
      <w:pPr>
        <w:spacing w:before="240" w:beforeAutospacing="off" w:after="240" w:afterAutospacing="off"/>
      </w:pPr>
      <w:r w:rsidRPr="1BB85550" w:rsidR="5D59BF6C">
        <w:rPr>
          <w:rFonts w:ascii="Aptos" w:hAnsi="Aptos" w:eastAsia="Aptos" w:cs="Aptos"/>
          <w:noProof w:val="0"/>
          <w:sz w:val="24"/>
          <w:szCs w:val="24"/>
          <w:lang w:val="en-GB"/>
        </w:rPr>
        <w:t>Priority: High.</w:t>
      </w:r>
    </w:p>
    <w:p w:rsidR="5D59BF6C" w:rsidP="1BB85550" w:rsidRDefault="5D59BF6C" w14:paraId="1EB3EEF9" w14:textId="1831532C">
      <w:pPr>
        <w:pStyle w:val="Heading2"/>
        <w:spacing w:before="299" w:beforeAutospacing="off" w:after="299" w:afterAutospacing="off"/>
        <w:rPr>
          <w:rFonts w:ascii="Aptos" w:hAnsi="Aptos" w:eastAsia="Aptos" w:cs="Aptos"/>
          <w:b w:val="1"/>
          <w:bCs w:val="1"/>
          <w:noProof w:val="0"/>
          <w:sz w:val="36"/>
          <w:szCs w:val="36"/>
          <w:lang w:val="en-GB"/>
        </w:rPr>
      </w:pPr>
      <w:bookmarkStart w:name="_Toc1736345555" w:id="316523020"/>
      <w:r w:rsidRPr="1BB85550" w:rsidR="5D59BF6C">
        <w:rPr>
          <w:rFonts w:ascii="Aptos" w:hAnsi="Aptos" w:eastAsia="Aptos" w:cs="Aptos"/>
          <w:b w:val="1"/>
          <w:bCs w:val="1"/>
          <w:noProof w:val="0"/>
          <w:sz w:val="36"/>
          <w:szCs w:val="36"/>
          <w:lang w:val="en-GB"/>
        </w:rPr>
        <w:t>Social factors</w:t>
      </w:r>
      <w:bookmarkEnd w:id="316523020"/>
    </w:p>
    <w:p w:rsidR="5D59BF6C" w:rsidP="1BB85550" w:rsidRDefault="5D59BF6C" w14:paraId="1F5A09DF" w14:textId="2E16348D">
      <w:pPr>
        <w:spacing w:before="240" w:beforeAutospacing="off" w:after="240" w:afterAutospacing="off"/>
      </w:pPr>
      <w:r w:rsidRPr="1BB85550" w:rsidR="5D59BF6C">
        <w:rPr>
          <w:rFonts w:ascii="Aptos" w:hAnsi="Aptos" w:eastAsia="Aptos" w:cs="Aptos"/>
          <w:noProof w:val="0"/>
          <w:sz w:val="24"/>
          <w:szCs w:val="24"/>
          <w:lang w:val="en-GB"/>
        </w:rPr>
        <w:t xml:space="preserve">Beauty and wellness routines are becoming increasingly personalised and </w:t>
      </w:r>
      <w:r w:rsidRPr="1BB85550" w:rsidR="5D59BF6C">
        <w:rPr>
          <w:rFonts w:ascii="Aptos" w:hAnsi="Aptos" w:eastAsia="Aptos" w:cs="Aptos"/>
          <w:noProof w:val="0"/>
          <w:sz w:val="24"/>
          <w:szCs w:val="24"/>
          <w:lang w:val="en-GB"/>
        </w:rPr>
        <w:t>technology led</w:t>
      </w:r>
      <w:r w:rsidRPr="1BB85550" w:rsidR="5D59BF6C">
        <w:rPr>
          <w:rFonts w:ascii="Aptos" w:hAnsi="Aptos" w:eastAsia="Aptos" w:cs="Aptos"/>
          <w:noProof w:val="0"/>
          <w:sz w:val="24"/>
          <w:szCs w:val="24"/>
          <w:lang w:val="en-GB"/>
        </w:rPr>
        <w:t xml:space="preserve">. However, public awareness of the health risks associated with UV exposure </w:t>
      </w:r>
      <w:r w:rsidRPr="1BB85550" w:rsidR="5D59BF6C">
        <w:rPr>
          <w:rFonts w:ascii="Aptos" w:hAnsi="Aptos" w:eastAsia="Aptos" w:cs="Aptos"/>
          <w:noProof w:val="0"/>
          <w:sz w:val="24"/>
          <w:szCs w:val="24"/>
          <w:lang w:val="en-GB"/>
        </w:rPr>
        <w:t>remains</w:t>
      </w:r>
      <w:r w:rsidRPr="1BB85550" w:rsidR="5D59BF6C">
        <w:rPr>
          <w:rFonts w:ascii="Aptos" w:hAnsi="Aptos" w:eastAsia="Aptos" w:cs="Aptos"/>
          <w:noProof w:val="0"/>
          <w:sz w:val="24"/>
          <w:szCs w:val="24"/>
          <w:lang w:val="en-GB"/>
        </w:rPr>
        <w:t xml:space="preserve"> high.</w:t>
      </w:r>
    </w:p>
    <w:p w:rsidR="5D59BF6C" w:rsidP="1BB85550" w:rsidRDefault="5D59BF6C" w14:paraId="479D14AD" w14:textId="38541510">
      <w:pPr>
        <w:spacing w:before="240" w:beforeAutospacing="off" w:after="240" w:afterAutospacing="off"/>
      </w:pPr>
      <w:r w:rsidRPr="1BB85550" w:rsidR="5D59BF6C">
        <w:rPr>
          <w:rFonts w:ascii="Aptos" w:hAnsi="Aptos" w:eastAsia="Aptos" w:cs="Aptos"/>
          <w:noProof w:val="0"/>
          <w:sz w:val="24"/>
          <w:szCs w:val="24"/>
          <w:lang w:val="en-GB"/>
        </w:rPr>
        <w:t>This creates demand for upgraded experiences but also produces reputational tension. Employees need balanced customer information that explains the service accurately and avoids unsupported health or medical claims.</w:t>
      </w:r>
    </w:p>
    <w:p w:rsidR="5D59BF6C" w:rsidP="1BB85550" w:rsidRDefault="5D59BF6C" w14:paraId="501B4C09" w14:textId="411CC834">
      <w:pPr>
        <w:spacing w:before="240" w:beforeAutospacing="off" w:after="240" w:afterAutospacing="off"/>
      </w:pPr>
      <w:r w:rsidRPr="1BB85550" w:rsidR="5D59BF6C">
        <w:rPr>
          <w:rFonts w:ascii="Aptos" w:hAnsi="Aptos" w:eastAsia="Aptos" w:cs="Aptos"/>
          <w:noProof w:val="0"/>
          <w:sz w:val="24"/>
          <w:szCs w:val="24"/>
          <w:lang w:val="en-GB"/>
        </w:rPr>
        <w:t>Priority: High.</w:t>
      </w:r>
    </w:p>
    <w:p w:rsidR="5D59BF6C" w:rsidP="1BB85550" w:rsidRDefault="5D59BF6C" w14:paraId="0A4976BF" w14:textId="7F09AEA9">
      <w:pPr>
        <w:pStyle w:val="Heading2"/>
        <w:spacing w:before="299" w:beforeAutospacing="off" w:after="299" w:afterAutospacing="off"/>
        <w:rPr>
          <w:rFonts w:ascii="Aptos" w:hAnsi="Aptos" w:eastAsia="Aptos" w:cs="Aptos"/>
          <w:b w:val="1"/>
          <w:bCs w:val="1"/>
          <w:noProof w:val="0"/>
          <w:sz w:val="36"/>
          <w:szCs w:val="36"/>
          <w:lang w:val="en-GB"/>
        </w:rPr>
      </w:pPr>
      <w:bookmarkStart w:name="_Toc1430347581" w:id="1149043719"/>
      <w:r w:rsidRPr="1BB85550" w:rsidR="5D59BF6C">
        <w:rPr>
          <w:rFonts w:ascii="Aptos" w:hAnsi="Aptos" w:eastAsia="Aptos" w:cs="Aptos"/>
          <w:b w:val="1"/>
          <w:bCs w:val="1"/>
          <w:noProof w:val="0"/>
          <w:sz w:val="36"/>
          <w:szCs w:val="36"/>
          <w:lang w:val="en-GB"/>
        </w:rPr>
        <w:t>Technological factors</w:t>
      </w:r>
      <w:bookmarkEnd w:id="1149043719"/>
    </w:p>
    <w:p w:rsidR="5D59BF6C" w:rsidP="1BB85550" w:rsidRDefault="5D59BF6C" w14:paraId="6E7AB8BF" w14:textId="160DC9BC">
      <w:pPr>
        <w:spacing w:before="240" w:beforeAutospacing="off" w:after="240" w:afterAutospacing="off"/>
      </w:pPr>
      <w:r w:rsidRPr="1BB85550" w:rsidR="5D59BF6C">
        <w:rPr>
          <w:rFonts w:ascii="Aptos" w:hAnsi="Aptos" w:eastAsia="Aptos" w:cs="Aptos"/>
          <w:noProof w:val="0"/>
          <w:sz w:val="24"/>
          <w:szCs w:val="24"/>
          <w:lang w:val="en-GB"/>
        </w:rPr>
        <w:t>Hybrid LED and red-light features create opportunities for service innovation. They also introduce new training, maintenance, data and customer-education requirements.</w:t>
      </w:r>
    </w:p>
    <w:p w:rsidR="5D59BF6C" w:rsidP="1BB85550" w:rsidRDefault="5D59BF6C" w14:paraId="52CBA60D" w14:textId="673DF4F2">
      <w:pPr>
        <w:spacing w:before="240" w:beforeAutospacing="off" w:after="240" w:afterAutospacing="off"/>
      </w:pPr>
      <w:r w:rsidRPr="1BB85550" w:rsidR="5D59BF6C">
        <w:rPr>
          <w:rFonts w:ascii="Aptos" w:hAnsi="Aptos" w:eastAsia="Aptos" w:cs="Aptos"/>
          <w:noProof w:val="0"/>
          <w:sz w:val="24"/>
          <w:szCs w:val="24"/>
          <w:lang w:val="en-GB"/>
        </w:rPr>
        <w:t>Early adoption could improve Lextan’s competitive position, but success depends on equipment reliability, supplier support and employee competence. New technology could become a weakness if employees lack confidence or customers receive inconsistent information.</w:t>
      </w:r>
    </w:p>
    <w:p w:rsidR="5D59BF6C" w:rsidP="1BB85550" w:rsidRDefault="5D59BF6C" w14:paraId="64193A0F" w14:textId="347153E7">
      <w:pPr>
        <w:spacing w:before="240" w:beforeAutospacing="off" w:after="240" w:afterAutospacing="off"/>
      </w:pPr>
      <w:r w:rsidRPr="1BB85550" w:rsidR="5D59BF6C">
        <w:rPr>
          <w:rFonts w:ascii="Aptos" w:hAnsi="Aptos" w:eastAsia="Aptos" w:cs="Aptos"/>
          <w:noProof w:val="0"/>
          <w:sz w:val="24"/>
          <w:szCs w:val="24"/>
          <w:lang w:val="en-GB"/>
        </w:rPr>
        <w:t>Priority: High.</w:t>
      </w:r>
    </w:p>
    <w:p w:rsidR="5D59BF6C" w:rsidP="1BB85550" w:rsidRDefault="5D59BF6C" w14:paraId="1E376B9D" w14:textId="0BF9A32D">
      <w:pPr>
        <w:pStyle w:val="Heading2"/>
        <w:spacing w:before="299" w:beforeAutospacing="off" w:after="299" w:afterAutospacing="off"/>
        <w:rPr>
          <w:rFonts w:ascii="Aptos" w:hAnsi="Aptos" w:eastAsia="Aptos" w:cs="Aptos"/>
          <w:b w:val="1"/>
          <w:bCs w:val="1"/>
          <w:noProof w:val="0"/>
          <w:sz w:val="36"/>
          <w:szCs w:val="36"/>
          <w:lang w:val="en-GB"/>
        </w:rPr>
      </w:pPr>
      <w:bookmarkStart w:name="_Toc1337056984" w:id="127312709"/>
      <w:r w:rsidRPr="1BB85550" w:rsidR="5D59BF6C">
        <w:rPr>
          <w:rFonts w:ascii="Aptos" w:hAnsi="Aptos" w:eastAsia="Aptos" w:cs="Aptos"/>
          <w:b w:val="1"/>
          <w:bCs w:val="1"/>
          <w:noProof w:val="0"/>
          <w:sz w:val="36"/>
          <w:szCs w:val="36"/>
          <w:lang w:val="en-GB"/>
        </w:rPr>
        <w:t>Environmental factors</w:t>
      </w:r>
      <w:bookmarkEnd w:id="127312709"/>
    </w:p>
    <w:p w:rsidR="5D59BF6C" w:rsidP="1BB85550" w:rsidRDefault="5D59BF6C" w14:paraId="2194563B" w14:textId="59D73A88">
      <w:pPr>
        <w:spacing w:before="240" w:beforeAutospacing="off" w:after="240" w:afterAutospacing="off"/>
      </w:pPr>
      <w:r w:rsidRPr="1BB85550" w:rsidR="5D59BF6C">
        <w:rPr>
          <w:rFonts w:ascii="Aptos" w:hAnsi="Aptos" w:eastAsia="Aptos" w:cs="Aptos"/>
          <w:noProof w:val="0"/>
          <w:sz w:val="24"/>
          <w:szCs w:val="24"/>
          <w:lang w:val="en-GB"/>
        </w:rPr>
        <w:t>Replacing and operating equipment has energy, maintenance and end-of-life implications. Customers increasingly expect businesses to demonstrate responsible use of resources.</w:t>
      </w:r>
    </w:p>
    <w:p w:rsidR="5D59BF6C" w:rsidP="1BB85550" w:rsidRDefault="5D59BF6C" w14:paraId="120895BC" w14:textId="2AE0FC8B">
      <w:pPr>
        <w:spacing w:before="240" w:beforeAutospacing="off" w:after="240" w:afterAutospacing="off"/>
      </w:pPr>
      <w:r w:rsidRPr="1BB85550" w:rsidR="5D59BF6C">
        <w:rPr>
          <w:rFonts w:ascii="Aptos" w:hAnsi="Aptos" w:eastAsia="Aptos" w:cs="Aptos"/>
          <w:noProof w:val="0"/>
          <w:sz w:val="24"/>
          <w:szCs w:val="24"/>
          <w:lang w:val="en-GB"/>
        </w:rPr>
        <w:t>Lextan should consider energy efficiency, maintenance requirements and equipment disposal across the full lifecycle. Environmental claims must be supported by evidence and should not be assumed simply because the equipment uses LED technology.</w:t>
      </w:r>
    </w:p>
    <w:p w:rsidR="5D59BF6C" w:rsidP="1BB85550" w:rsidRDefault="5D59BF6C" w14:paraId="25A969A7" w14:textId="666BF10E">
      <w:pPr>
        <w:spacing w:before="240" w:beforeAutospacing="off" w:after="240" w:afterAutospacing="off"/>
      </w:pPr>
      <w:r w:rsidRPr="1BB85550" w:rsidR="5D59BF6C">
        <w:rPr>
          <w:rFonts w:ascii="Aptos" w:hAnsi="Aptos" w:eastAsia="Aptos" w:cs="Aptos"/>
          <w:noProof w:val="0"/>
          <w:sz w:val="24"/>
          <w:szCs w:val="24"/>
          <w:lang w:val="en-GB"/>
        </w:rPr>
        <w:t>Priority: Medium.</w:t>
      </w:r>
    </w:p>
    <w:p w:rsidR="5D59BF6C" w:rsidP="1BB85550" w:rsidRDefault="5D59BF6C" w14:paraId="644003D0" w14:textId="381B809A">
      <w:pPr>
        <w:pStyle w:val="Heading2"/>
        <w:spacing w:before="299" w:beforeAutospacing="off" w:after="299" w:afterAutospacing="off"/>
        <w:rPr>
          <w:rFonts w:ascii="Aptos" w:hAnsi="Aptos" w:eastAsia="Aptos" w:cs="Aptos"/>
          <w:b w:val="1"/>
          <w:bCs w:val="1"/>
          <w:noProof w:val="0"/>
          <w:sz w:val="36"/>
          <w:szCs w:val="36"/>
          <w:lang w:val="en-GB"/>
        </w:rPr>
      </w:pPr>
      <w:bookmarkStart w:name="_Toc467109680" w:id="969476934"/>
      <w:r w:rsidRPr="1BB85550" w:rsidR="5D59BF6C">
        <w:rPr>
          <w:rFonts w:ascii="Aptos" w:hAnsi="Aptos" w:eastAsia="Aptos" w:cs="Aptos"/>
          <w:b w:val="1"/>
          <w:bCs w:val="1"/>
          <w:noProof w:val="0"/>
          <w:sz w:val="36"/>
          <w:szCs w:val="36"/>
          <w:lang w:val="en-GB"/>
        </w:rPr>
        <w:t>Legal and regulatory factors</w:t>
      </w:r>
      <w:bookmarkEnd w:id="969476934"/>
    </w:p>
    <w:p w:rsidR="5D59BF6C" w:rsidP="1BB85550" w:rsidRDefault="5D59BF6C" w14:paraId="48D45FE2" w14:textId="56CED456">
      <w:pPr>
        <w:spacing w:before="240" w:beforeAutospacing="off" w:after="240" w:afterAutospacing="off"/>
      </w:pPr>
      <w:r w:rsidRPr="1BB85550" w:rsidR="5D59BF6C">
        <w:rPr>
          <w:rFonts w:ascii="Aptos" w:hAnsi="Aptos" w:eastAsia="Aptos" w:cs="Aptos"/>
          <w:noProof w:val="0"/>
          <w:sz w:val="24"/>
          <w:szCs w:val="24"/>
          <w:lang w:val="en-GB"/>
        </w:rPr>
        <w:t>The Sunbeds (Regulation) Act 2010 and the Welsh regulations impose age restrictions and operating duties. Welsh guidance requires prescribed health information and warning notices, while local authorities are responsible for inspecting compliance.</w:t>
      </w:r>
    </w:p>
    <w:p w:rsidR="5D59BF6C" w:rsidP="1BB85550" w:rsidRDefault="5D59BF6C" w14:paraId="2B8BBD31" w14:textId="3CC3F408">
      <w:pPr>
        <w:spacing w:before="240" w:beforeAutospacing="off" w:after="240" w:afterAutospacing="off"/>
      </w:pPr>
      <w:r w:rsidRPr="1BB85550" w:rsidR="5D59BF6C">
        <w:rPr>
          <w:rFonts w:ascii="Aptos" w:hAnsi="Aptos" w:eastAsia="Aptos" w:cs="Aptos"/>
          <w:noProof w:val="0"/>
          <w:sz w:val="24"/>
          <w:szCs w:val="24"/>
          <w:lang w:val="en-GB"/>
        </w:rPr>
        <w:t>The new equipment must be included within Lextan’s age-verification, supervision, health-information, eye-protection, exposure, cleaning and maintenance procedures. Failure to comply could result in legal, financial and reputational damage.</w:t>
      </w:r>
    </w:p>
    <w:p w:rsidR="5D59BF6C" w:rsidP="1BB85550" w:rsidRDefault="5D59BF6C" w14:paraId="1C4258A7" w14:textId="1D280577">
      <w:pPr>
        <w:spacing w:before="240" w:beforeAutospacing="off" w:after="240" w:afterAutospacing="off"/>
      </w:pPr>
      <w:r w:rsidRPr="1BB85550" w:rsidR="5D59BF6C">
        <w:rPr>
          <w:rFonts w:ascii="Aptos" w:hAnsi="Aptos" w:eastAsia="Aptos" w:cs="Aptos"/>
          <w:noProof w:val="0"/>
          <w:sz w:val="24"/>
          <w:szCs w:val="24"/>
          <w:lang w:val="en-GB"/>
        </w:rPr>
        <w:t>Priority: Very high.</w:t>
      </w:r>
    </w:p>
    <w:p w:rsidR="5D59BF6C" w:rsidP="1BB85550" w:rsidRDefault="5D59BF6C" w14:paraId="5901D654" w14:textId="23949EF7">
      <w:pPr>
        <w:pStyle w:val="Heading2"/>
        <w:spacing w:before="299" w:beforeAutospacing="off" w:after="299" w:afterAutospacing="off"/>
        <w:rPr>
          <w:rFonts w:ascii="Aptos" w:hAnsi="Aptos" w:eastAsia="Aptos" w:cs="Aptos"/>
          <w:b w:val="1"/>
          <w:bCs w:val="1"/>
          <w:noProof w:val="0"/>
          <w:sz w:val="36"/>
          <w:szCs w:val="36"/>
          <w:lang w:val="en-GB"/>
        </w:rPr>
      </w:pPr>
      <w:bookmarkStart w:name="_Toc906000830" w:id="821931108"/>
      <w:r w:rsidRPr="1BB85550" w:rsidR="5D59BF6C">
        <w:rPr>
          <w:rFonts w:ascii="Aptos" w:hAnsi="Aptos" w:eastAsia="Aptos" w:cs="Aptos"/>
          <w:b w:val="1"/>
          <w:bCs w:val="1"/>
          <w:noProof w:val="0"/>
          <w:sz w:val="36"/>
          <w:szCs w:val="36"/>
          <w:lang w:val="en-GB"/>
        </w:rPr>
        <w:t>Overall,</w:t>
      </w:r>
      <w:r w:rsidRPr="1BB85550" w:rsidR="5D59BF6C">
        <w:rPr>
          <w:rFonts w:ascii="Aptos" w:hAnsi="Aptos" w:eastAsia="Aptos" w:cs="Aptos"/>
          <w:b w:val="1"/>
          <w:bCs w:val="1"/>
          <w:noProof w:val="0"/>
          <w:sz w:val="36"/>
          <w:szCs w:val="36"/>
          <w:lang w:val="en-GB"/>
        </w:rPr>
        <w:t xml:space="preserve"> PESTLE conclusion</w:t>
      </w:r>
      <w:bookmarkEnd w:id="821931108"/>
    </w:p>
    <w:p w:rsidR="5D59BF6C" w:rsidP="1BB85550" w:rsidRDefault="5D59BF6C" w14:paraId="3F6890EB" w14:textId="42DA34D3">
      <w:pPr>
        <w:spacing w:before="240" w:beforeAutospacing="off" w:after="240" w:afterAutospacing="off"/>
      </w:pPr>
      <w:r w:rsidRPr="1BB85550" w:rsidR="5D59BF6C">
        <w:rPr>
          <w:rFonts w:ascii="Aptos" w:hAnsi="Aptos" w:eastAsia="Aptos" w:cs="Aptos"/>
          <w:noProof w:val="0"/>
          <w:sz w:val="24"/>
          <w:szCs w:val="24"/>
          <w:lang w:val="en-GB"/>
        </w:rPr>
        <w:t>The analysis shows that legal and regulatory factors should receive the greatest attention because non-compliance could have immediate consequences for Lextan. Political, economic, social and technological factors are also important because they affect customer trust, demand, operating costs and employee capability.</w:t>
      </w:r>
    </w:p>
    <w:p w:rsidR="5D59BF6C" w:rsidP="1BB85550" w:rsidRDefault="5D59BF6C" w14:paraId="384A068F" w14:textId="7B727437">
      <w:pPr>
        <w:spacing w:before="240" w:beforeAutospacing="off" w:after="240" w:afterAutospacing="off"/>
      </w:pPr>
      <w:r w:rsidRPr="1BB85550" w:rsidR="5D59BF6C">
        <w:rPr>
          <w:rFonts w:ascii="Aptos" w:hAnsi="Aptos" w:eastAsia="Aptos" w:cs="Aptos"/>
          <w:noProof w:val="0"/>
          <w:sz w:val="24"/>
          <w:szCs w:val="24"/>
          <w:lang w:val="en-GB"/>
        </w:rPr>
        <w:t>The factors should not be considered separately. For example, technological innovation could create a commercial opportunity, but it will only be valuable if customers can afford the service, employees can explain it responsibly and Lextan continues to meet its legal obligations.</w:t>
      </w:r>
    </w:p>
    <w:p w:rsidR="5D59BF6C" w:rsidP="1BB85550" w:rsidRDefault="5D59BF6C" w14:paraId="67AA3F26" w14:textId="2BFF5658">
      <w:pPr>
        <w:pStyle w:val="Heading1"/>
        <w:spacing w:before="322" w:beforeAutospacing="off" w:after="322" w:afterAutospacing="off"/>
        <w:rPr>
          <w:rFonts w:ascii="Aptos" w:hAnsi="Aptos" w:eastAsia="Aptos" w:cs="Aptos"/>
          <w:b w:val="1"/>
          <w:bCs w:val="1"/>
          <w:noProof w:val="0"/>
          <w:sz w:val="48"/>
          <w:szCs w:val="48"/>
          <w:lang w:val="en-GB"/>
        </w:rPr>
      </w:pPr>
      <w:bookmarkStart w:name="_Toc1510862374" w:id="2058979008"/>
      <w:r w:rsidRPr="1BB85550" w:rsidR="5D59BF6C">
        <w:rPr>
          <w:rFonts w:ascii="Aptos" w:hAnsi="Aptos" w:eastAsia="Aptos" w:cs="Aptos"/>
          <w:b w:val="1"/>
          <w:bCs w:val="1"/>
          <w:noProof w:val="0"/>
          <w:sz w:val="48"/>
          <w:szCs w:val="48"/>
          <w:lang w:val="en-GB"/>
        </w:rPr>
        <w:t>Appendix B SWOT analysis</w:t>
      </w:r>
      <w:bookmarkEnd w:id="2058979008"/>
    </w:p>
    <w:p w:rsidR="5D59BF6C" w:rsidP="1BB85550" w:rsidRDefault="5D59BF6C" w14:paraId="2A58CFF7" w14:textId="5C3E7D89">
      <w:pPr>
        <w:spacing w:before="240" w:beforeAutospacing="off" w:after="240" w:afterAutospacing="off"/>
      </w:pPr>
      <w:r w:rsidRPr="1BB85550" w:rsidR="5D59BF6C">
        <w:rPr>
          <w:rFonts w:ascii="Aptos" w:hAnsi="Aptos" w:eastAsia="Aptos" w:cs="Aptos"/>
          <w:noProof w:val="0"/>
          <w:sz w:val="24"/>
          <w:szCs w:val="24"/>
          <w:lang w:val="en-GB"/>
        </w:rPr>
        <w:t>This analysis supports the critical discussion in the main report. It summarises Lextan’s internal capability and the opportunities and threats associated with the implementation of Luxura Jewel LED hybrid and red-light technology.</w:t>
      </w:r>
    </w:p>
    <w:p w:rsidR="5D59BF6C" w:rsidP="1BB85550" w:rsidRDefault="5D59BF6C" w14:paraId="6705FD1E" w14:textId="24213CC6">
      <w:pPr>
        <w:pStyle w:val="Heading2"/>
        <w:spacing w:before="299" w:beforeAutospacing="off" w:after="299" w:afterAutospacing="off"/>
        <w:rPr>
          <w:rFonts w:ascii="Aptos" w:hAnsi="Aptos" w:eastAsia="Aptos" w:cs="Aptos"/>
          <w:b w:val="1"/>
          <w:bCs w:val="1"/>
          <w:noProof w:val="0"/>
          <w:sz w:val="36"/>
          <w:szCs w:val="36"/>
          <w:lang w:val="en-GB"/>
        </w:rPr>
      </w:pPr>
      <w:bookmarkStart w:name="_Toc260692008" w:id="881002476"/>
      <w:r w:rsidRPr="1BB85550" w:rsidR="5D59BF6C">
        <w:rPr>
          <w:rFonts w:ascii="Aptos" w:hAnsi="Aptos" w:eastAsia="Aptos" w:cs="Aptos"/>
          <w:b w:val="1"/>
          <w:bCs w:val="1"/>
          <w:noProof w:val="0"/>
          <w:sz w:val="36"/>
          <w:szCs w:val="36"/>
          <w:lang w:val="en-GB"/>
        </w:rPr>
        <w:t>Strengths</w:t>
      </w:r>
      <w:bookmarkEnd w:id="881002476"/>
    </w:p>
    <w:p w:rsidR="5D59BF6C" w:rsidP="1BB85550" w:rsidRDefault="5D59BF6C" w14:paraId="4688666B" w14:textId="7C081166">
      <w:pPr>
        <w:spacing w:before="240" w:beforeAutospacing="off" w:after="240" w:afterAutospacing="off"/>
      </w:pPr>
      <w:r w:rsidRPr="1BB85550" w:rsidR="5D59BF6C">
        <w:rPr>
          <w:rFonts w:ascii="Aptos" w:hAnsi="Aptos" w:eastAsia="Aptos" w:cs="Aptos"/>
          <w:noProof w:val="0"/>
          <w:sz w:val="24"/>
          <w:szCs w:val="24"/>
          <w:lang w:val="en-GB"/>
        </w:rPr>
        <w:t>Lextan has an established regional brand and an existing customer base. The salon has 11 beds, experienced management, trained frontline employees and established products and promotions.</w:t>
      </w:r>
    </w:p>
    <w:p w:rsidR="5D59BF6C" w:rsidP="1BB85550" w:rsidRDefault="5D59BF6C" w14:paraId="10EA639B" w14:textId="095F982D">
      <w:pPr>
        <w:spacing w:before="240" w:beforeAutospacing="off" w:after="240" w:afterAutospacing="off"/>
      </w:pPr>
      <w:r w:rsidRPr="1BB85550" w:rsidR="5D59BF6C">
        <w:rPr>
          <w:rFonts w:ascii="Aptos" w:hAnsi="Aptos" w:eastAsia="Aptos" w:cs="Aptos"/>
          <w:noProof w:val="0"/>
          <w:sz w:val="24"/>
          <w:szCs w:val="24"/>
          <w:lang w:val="en-GB"/>
        </w:rPr>
        <w:t>The organisation also has access to premium Luxura equipment and can receive technical knowledge and training from its equipment supplier. These resources could support the introduction and continued use of the new technology.</w:t>
      </w:r>
    </w:p>
    <w:p w:rsidR="5D59BF6C" w:rsidP="1BB85550" w:rsidRDefault="5D59BF6C" w14:paraId="4AC075D5" w14:textId="48630B2F">
      <w:pPr>
        <w:spacing w:before="240" w:beforeAutospacing="off" w:after="240" w:afterAutospacing="off"/>
      </w:pPr>
      <w:r w:rsidRPr="1BB85550" w:rsidR="5D59BF6C">
        <w:rPr>
          <w:rFonts w:ascii="Aptos" w:hAnsi="Aptos" w:eastAsia="Aptos" w:cs="Aptos"/>
          <w:noProof w:val="0"/>
          <w:sz w:val="24"/>
          <w:szCs w:val="24"/>
          <w:lang w:val="en-GB"/>
        </w:rPr>
        <w:t>However, these strengths do not guarantee that the change will be successful. A recognised brand could increase the effect of reputational damage if customers receive inconsistent information or poor service. Access to premium equipment is only valuable if employees can operate and explain it confidently.</w:t>
      </w:r>
    </w:p>
    <w:p w:rsidR="5D59BF6C" w:rsidP="1BB85550" w:rsidRDefault="5D59BF6C" w14:paraId="00DCF5EF" w14:textId="68D0D48E">
      <w:pPr>
        <w:pStyle w:val="Heading2"/>
        <w:spacing w:before="299" w:beforeAutospacing="off" w:after="299" w:afterAutospacing="off"/>
        <w:rPr>
          <w:rFonts w:ascii="Aptos" w:hAnsi="Aptos" w:eastAsia="Aptos" w:cs="Aptos"/>
          <w:b w:val="1"/>
          <w:bCs w:val="1"/>
          <w:noProof w:val="0"/>
          <w:sz w:val="36"/>
          <w:szCs w:val="36"/>
          <w:lang w:val="en-GB"/>
        </w:rPr>
      </w:pPr>
      <w:bookmarkStart w:name="_Toc1224772469" w:id="240339192"/>
      <w:r w:rsidRPr="1BB85550" w:rsidR="5D59BF6C">
        <w:rPr>
          <w:rFonts w:ascii="Aptos" w:hAnsi="Aptos" w:eastAsia="Aptos" w:cs="Aptos"/>
          <w:b w:val="1"/>
          <w:bCs w:val="1"/>
          <w:noProof w:val="0"/>
          <w:sz w:val="36"/>
          <w:szCs w:val="36"/>
          <w:lang w:val="en-GB"/>
        </w:rPr>
        <w:t>Weaknesses</w:t>
      </w:r>
      <w:bookmarkEnd w:id="240339192"/>
    </w:p>
    <w:p w:rsidR="5D59BF6C" w:rsidP="1BB85550" w:rsidRDefault="5D59BF6C" w14:paraId="501AC8B5" w14:textId="0B8E9350">
      <w:pPr>
        <w:spacing w:before="240" w:beforeAutospacing="off" w:after="240" w:afterAutospacing="off"/>
      </w:pPr>
      <w:r w:rsidRPr="1BB85550" w:rsidR="5D59BF6C">
        <w:rPr>
          <w:rFonts w:ascii="Aptos" w:hAnsi="Aptos" w:eastAsia="Aptos" w:cs="Aptos"/>
          <w:noProof w:val="0"/>
          <w:sz w:val="24"/>
          <w:szCs w:val="24"/>
          <w:lang w:val="en-GB"/>
        </w:rPr>
        <w:t>The salon has a small team, making it vulnerable to employee absence and uneven levels of knowledge. Busy periods may limit the time available for training and detailed customer consultations.</w:t>
      </w:r>
    </w:p>
    <w:p w:rsidR="5D59BF6C" w:rsidP="1BB85550" w:rsidRDefault="5D59BF6C" w14:paraId="335B3E27" w14:textId="1B0BD509">
      <w:pPr>
        <w:spacing w:before="240" w:beforeAutospacing="off" w:after="240" w:afterAutospacing="off"/>
      </w:pPr>
      <w:r w:rsidRPr="1BB85550" w:rsidR="5D59BF6C">
        <w:rPr>
          <w:rFonts w:ascii="Aptos" w:hAnsi="Aptos" w:eastAsia="Aptos" w:cs="Aptos"/>
          <w:noProof w:val="0"/>
          <w:sz w:val="24"/>
          <w:szCs w:val="24"/>
          <w:lang w:val="en-GB"/>
        </w:rPr>
        <w:t>Employees could provide inconsistent explanations about the hybrid bed and red-light features. This could confuse customers and damage their trust in the organisation.</w:t>
      </w:r>
    </w:p>
    <w:p w:rsidR="5D59BF6C" w:rsidP="1BB85550" w:rsidRDefault="5D59BF6C" w14:paraId="7D2E0ECB" w14:textId="264C0249">
      <w:pPr>
        <w:spacing w:before="240" w:beforeAutospacing="off" w:after="240" w:afterAutospacing="off"/>
      </w:pPr>
      <w:r w:rsidRPr="1BB85550" w:rsidR="5D59BF6C">
        <w:rPr>
          <w:rFonts w:ascii="Aptos" w:hAnsi="Aptos" w:eastAsia="Aptos" w:cs="Aptos"/>
          <w:noProof w:val="0"/>
          <w:sz w:val="24"/>
          <w:szCs w:val="24"/>
          <w:lang w:val="en-GB"/>
        </w:rPr>
        <w:t>The branch also depends on decisions made by head office and on continued technical and maintenance support from the equipment supplier. There may also be limited branch-level performance information available to prove whether the investment is producing the expected benefits.</w:t>
      </w:r>
    </w:p>
    <w:p w:rsidR="5D59BF6C" w:rsidP="1BB85550" w:rsidRDefault="5D59BF6C" w14:paraId="69341B76" w14:textId="6D2B23C0">
      <w:pPr>
        <w:pStyle w:val="Heading2"/>
        <w:spacing w:before="299" w:beforeAutospacing="off" w:after="299" w:afterAutospacing="off"/>
        <w:rPr>
          <w:rFonts w:ascii="Aptos" w:hAnsi="Aptos" w:eastAsia="Aptos" w:cs="Aptos"/>
          <w:b w:val="1"/>
          <w:bCs w:val="1"/>
          <w:noProof w:val="0"/>
          <w:sz w:val="36"/>
          <w:szCs w:val="36"/>
          <w:lang w:val="en-GB"/>
        </w:rPr>
      </w:pPr>
      <w:bookmarkStart w:name="_Toc249645689" w:id="77841987"/>
      <w:r w:rsidRPr="1BB85550" w:rsidR="5D59BF6C">
        <w:rPr>
          <w:rFonts w:ascii="Aptos" w:hAnsi="Aptos" w:eastAsia="Aptos" w:cs="Aptos"/>
          <w:b w:val="1"/>
          <w:bCs w:val="1"/>
          <w:noProof w:val="0"/>
          <w:sz w:val="36"/>
          <w:szCs w:val="36"/>
          <w:lang w:val="en-GB"/>
        </w:rPr>
        <w:t>Opportunities</w:t>
      </w:r>
      <w:bookmarkEnd w:id="77841987"/>
    </w:p>
    <w:p w:rsidR="5D59BF6C" w:rsidP="1BB85550" w:rsidRDefault="5D59BF6C" w14:paraId="279600F2" w14:textId="423F54C1">
      <w:pPr>
        <w:spacing w:before="240" w:beforeAutospacing="off" w:after="240" w:afterAutospacing="off"/>
      </w:pPr>
      <w:r w:rsidRPr="1BB85550" w:rsidR="5D59BF6C">
        <w:rPr>
          <w:rFonts w:ascii="Aptos" w:hAnsi="Aptos" w:eastAsia="Aptos" w:cs="Aptos"/>
          <w:noProof w:val="0"/>
          <w:sz w:val="24"/>
          <w:szCs w:val="24"/>
          <w:lang w:val="en-GB"/>
        </w:rPr>
        <w:t>Lextan could differentiate itself from competitors by offering premium hybrid technology. The change may attract customers interested in modern beauty and wellness experiences.</w:t>
      </w:r>
    </w:p>
    <w:p w:rsidR="5D59BF6C" w:rsidP="1BB85550" w:rsidRDefault="5D59BF6C" w14:paraId="723BF688" w14:textId="2E6AF182">
      <w:pPr>
        <w:spacing w:before="240" w:beforeAutospacing="off" w:after="240" w:afterAutospacing="off"/>
      </w:pPr>
      <w:r w:rsidRPr="1BB85550" w:rsidR="5D59BF6C">
        <w:rPr>
          <w:rFonts w:ascii="Aptos" w:hAnsi="Aptos" w:eastAsia="Aptos" w:cs="Aptos"/>
          <w:noProof w:val="0"/>
          <w:sz w:val="24"/>
          <w:szCs w:val="24"/>
          <w:lang w:val="en-GB"/>
        </w:rPr>
        <w:t>The equipment could create opportunities to improve customer consultations, promote related products and deliver a more personalised service. Customer feedback and usage information could also be used to improve employee training and the customer experience.</w:t>
      </w:r>
    </w:p>
    <w:p w:rsidR="5D59BF6C" w:rsidP="1BB85550" w:rsidRDefault="5D59BF6C" w14:paraId="7C4D8566" w14:textId="270FFBE9">
      <w:pPr>
        <w:spacing w:before="240" w:beforeAutospacing="off" w:after="240" w:afterAutospacing="off"/>
      </w:pPr>
      <w:r w:rsidRPr="1BB85550" w:rsidR="5D59BF6C">
        <w:rPr>
          <w:rFonts w:ascii="Aptos" w:hAnsi="Aptos" w:eastAsia="Aptos" w:cs="Aptos"/>
          <w:noProof w:val="0"/>
          <w:sz w:val="24"/>
          <w:szCs w:val="24"/>
          <w:lang w:val="en-GB"/>
        </w:rPr>
        <w:t>However, customer demand should be tested rather than assumed. Interest in beauty and wellness technology does not automatically mean that customers will use the service regularly or pay a higher price.</w:t>
      </w:r>
    </w:p>
    <w:p w:rsidR="5D59BF6C" w:rsidP="1BB85550" w:rsidRDefault="5D59BF6C" w14:paraId="3D17A61F" w14:textId="07EA7C46">
      <w:pPr>
        <w:pStyle w:val="Heading2"/>
        <w:spacing w:before="299" w:beforeAutospacing="off" w:after="299" w:afterAutospacing="off"/>
        <w:rPr>
          <w:rFonts w:ascii="Aptos" w:hAnsi="Aptos" w:eastAsia="Aptos" w:cs="Aptos"/>
          <w:b w:val="1"/>
          <w:bCs w:val="1"/>
          <w:noProof w:val="0"/>
          <w:sz w:val="36"/>
          <w:szCs w:val="36"/>
          <w:lang w:val="en-GB"/>
        </w:rPr>
      </w:pPr>
      <w:bookmarkStart w:name="_Toc851029165" w:id="1406774663"/>
      <w:r w:rsidRPr="1BB85550" w:rsidR="5D59BF6C">
        <w:rPr>
          <w:rFonts w:ascii="Aptos" w:hAnsi="Aptos" w:eastAsia="Aptos" w:cs="Aptos"/>
          <w:b w:val="1"/>
          <w:bCs w:val="1"/>
          <w:noProof w:val="0"/>
          <w:sz w:val="36"/>
          <w:szCs w:val="36"/>
          <w:lang w:val="en-GB"/>
        </w:rPr>
        <w:t>Threats</w:t>
      </w:r>
      <w:bookmarkEnd w:id="1406774663"/>
    </w:p>
    <w:p w:rsidR="5D59BF6C" w:rsidP="1BB85550" w:rsidRDefault="5D59BF6C" w14:paraId="03A76CE0" w14:textId="797DF29B">
      <w:pPr>
        <w:spacing w:before="240" w:beforeAutospacing="off" w:after="240" w:afterAutospacing="off"/>
      </w:pPr>
      <w:r w:rsidRPr="1BB85550" w:rsidR="5D59BF6C">
        <w:rPr>
          <w:rFonts w:ascii="Aptos" w:hAnsi="Aptos" w:eastAsia="Aptos" w:cs="Aptos"/>
          <w:noProof w:val="0"/>
          <w:sz w:val="24"/>
          <w:szCs w:val="24"/>
          <w:lang w:val="en-GB"/>
        </w:rPr>
        <w:t>The main threats include health criticism, reputational damage, regulatory breaches and unsupported claims about the benefits of red-light technology.</w:t>
      </w:r>
    </w:p>
    <w:p w:rsidR="5D59BF6C" w:rsidP="1BB85550" w:rsidRDefault="5D59BF6C" w14:paraId="05A64034" w14:textId="1D665B31">
      <w:pPr>
        <w:spacing w:before="240" w:beforeAutospacing="off" w:after="240" w:afterAutospacing="off"/>
      </w:pPr>
      <w:r w:rsidRPr="1BB85550" w:rsidR="5D59BF6C">
        <w:rPr>
          <w:rFonts w:ascii="Aptos" w:hAnsi="Aptos" w:eastAsia="Aptos" w:cs="Aptos"/>
          <w:noProof w:val="0"/>
          <w:sz w:val="24"/>
          <w:szCs w:val="24"/>
          <w:lang w:val="en-GB"/>
        </w:rPr>
        <w:t>Equipment failure, maintenance problems and increasing energy or finance costs could reduce the financial value of the investment. Price-sensitive customers may also be unwilling to pay more for the service.</w:t>
      </w:r>
    </w:p>
    <w:p w:rsidR="5D59BF6C" w:rsidP="1BB85550" w:rsidRDefault="5D59BF6C" w14:paraId="4ED562DD" w14:textId="774C36CE">
      <w:pPr>
        <w:spacing w:before="240" w:beforeAutospacing="off" w:after="240" w:afterAutospacing="off"/>
      </w:pPr>
      <w:r w:rsidRPr="1BB85550" w:rsidR="5D59BF6C">
        <w:rPr>
          <w:rFonts w:ascii="Aptos" w:hAnsi="Aptos" w:eastAsia="Aptos" w:cs="Aptos"/>
          <w:noProof w:val="0"/>
          <w:sz w:val="24"/>
          <w:szCs w:val="24"/>
          <w:lang w:val="en-GB"/>
        </w:rPr>
        <w:t>Competitors could introduce similar technology, reducing Lextan’s ability to stand out. Employee resistance, low confidence or inconsistent working practices could also prevent the investment from achieving its expected benefits.</w:t>
      </w:r>
    </w:p>
    <w:p w:rsidR="5D59BF6C" w:rsidP="1BB85550" w:rsidRDefault="5D59BF6C" w14:paraId="5CBEDF2C" w14:textId="4018660A">
      <w:pPr>
        <w:pStyle w:val="Heading2"/>
        <w:spacing w:before="299" w:beforeAutospacing="off" w:after="299" w:afterAutospacing="off"/>
        <w:rPr>
          <w:rFonts w:ascii="Aptos" w:hAnsi="Aptos" w:eastAsia="Aptos" w:cs="Aptos"/>
          <w:b w:val="1"/>
          <w:bCs w:val="1"/>
          <w:noProof w:val="0"/>
          <w:sz w:val="36"/>
          <w:szCs w:val="36"/>
          <w:lang w:val="en-GB"/>
        </w:rPr>
      </w:pPr>
      <w:bookmarkStart w:name="_Toc2036338149" w:id="1641112003"/>
      <w:r w:rsidRPr="1BB85550" w:rsidR="5D59BF6C">
        <w:rPr>
          <w:rFonts w:ascii="Aptos" w:hAnsi="Aptos" w:eastAsia="Aptos" w:cs="Aptos"/>
          <w:b w:val="1"/>
          <w:bCs w:val="1"/>
          <w:noProof w:val="0"/>
          <w:sz w:val="36"/>
          <w:szCs w:val="36"/>
          <w:lang w:val="en-GB"/>
        </w:rPr>
        <w:t>Overall SWOT conclusion</w:t>
      </w:r>
      <w:bookmarkEnd w:id="1641112003"/>
    </w:p>
    <w:p w:rsidR="5D59BF6C" w:rsidP="1BB85550" w:rsidRDefault="5D59BF6C" w14:paraId="682DB01B" w14:textId="625FE55D">
      <w:pPr>
        <w:spacing w:before="240" w:beforeAutospacing="off" w:after="240" w:afterAutospacing="off"/>
      </w:pPr>
      <w:r w:rsidRPr="1BB85550" w:rsidR="5D59BF6C">
        <w:rPr>
          <w:rFonts w:ascii="Aptos" w:hAnsi="Aptos" w:eastAsia="Aptos" w:cs="Aptos"/>
          <w:noProof w:val="0"/>
          <w:sz w:val="24"/>
          <w:szCs w:val="24"/>
          <w:lang w:val="en-GB"/>
        </w:rPr>
        <w:t>The SWOT analysis suggests that Lextan has the brand, customer access and operational experience needed to introduce the new technology. However, these strengths must be supported by effective training, reliable evidence and consistent working practices.</w:t>
      </w:r>
    </w:p>
    <w:p w:rsidR="5D59BF6C" w:rsidP="1BB85550" w:rsidRDefault="5D59BF6C" w14:paraId="01007022" w14:textId="52D6CB32">
      <w:pPr>
        <w:spacing w:before="240" w:beforeAutospacing="off" w:after="240" w:afterAutospacing="off"/>
      </w:pPr>
      <w:r w:rsidRPr="1BB85550" w:rsidR="5D59BF6C">
        <w:rPr>
          <w:rFonts w:ascii="Aptos" w:hAnsi="Aptos" w:eastAsia="Aptos" w:cs="Aptos"/>
          <w:noProof w:val="0"/>
          <w:sz w:val="24"/>
          <w:szCs w:val="24"/>
          <w:lang w:val="en-GB"/>
        </w:rPr>
        <w:t>The most important issue is whether Lextan can convert the equipment into a safe, trusted and financially sustainable customer service. The SWOT should therefore be reviewed regularly using employee feedback, customer responses, equipment usage, complaints, maintenance costs and financial results.</w:t>
      </w:r>
    </w:p>
    <w:p w:rsidR="1BB85550" w:rsidP="1BB85550" w:rsidRDefault="1BB85550" w14:paraId="3EB459E2" w14:textId="5D7520DB">
      <w:pPr>
        <w:pStyle w:val="Normal"/>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bb3e7d1a8da44e95"/>
      <w:footerReference w:type="default" r:id="Rf70bb60918ce47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2A2C44" w:rsidTr="4A2A2C44" w14:paraId="524D419E">
      <w:trPr>
        <w:trHeight w:val="300"/>
      </w:trPr>
      <w:tc>
        <w:tcPr>
          <w:tcW w:w="3005" w:type="dxa"/>
          <w:tcMar/>
        </w:tcPr>
        <w:p w:rsidR="4A2A2C44" w:rsidP="4A2A2C44" w:rsidRDefault="4A2A2C44" w14:paraId="49FDEE6E" w14:textId="48D27C94">
          <w:pPr>
            <w:pStyle w:val="Header"/>
            <w:bidi w:val="0"/>
            <w:ind w:left="-115"/>
            <w:jc w:val="left"/>
          </w:pPr>
        </w:p>
      </w:tc>
      <w:tc>
        <w:tcPr>
          <w:tcW w:w="3005" w:type="dxa"/>
          <w:tcMar/>
        </w:tcPr>
        <w:p w:rsidR="4A2A2C44" w:rsidP="4A2A2C44" w:rsidRDefault="4A2A2C44" w14:paraId="178063F6" w14:textId="6BFE43BA">
          <w:pPr>
            <w:pStyle w:val="Header"/>
            <w:bidi w:val="0"/>
            <w:jc w:val="center"/>
          </w:pPr>
        </w:p>
      </w:tc>
      <w:tc>
        <w:tcPr>
          <w:tcW w:w="3005" w:type="dxa"/>
          <w:tcMar/>
        </w:tcPr>
        <w:p w:rsidR="4A2A2C44" w:rsidP="4A2A2C44" w:rsidRDefault="4A2A2C44" w14:paraId="0A71CEB3" w14:textId="111753D6">
          <w:pPr>
            <w:pStyle w:val="Header"/>
            <w:bidi w:val="0"/>
            <w:ind w:right="-115"/>
            <w:jc w:val="right"/>
          </w:pPr>
          <w:r>
            <w:fldChar w:fldCharType="begin"/>
          </w:r>
          <w:r>
            <w:instrText xml:space="preserve">PAGE</w:instrText>
          </w:r>
          <w:r>
            <w:fldChar w:fldCharType="separate"/>
          </w:r>
          <w:r>
            <w:fldChar w:fldCharType="end"/>
          </w:r>
          <w:r w:rsidR="4A2A2C44">
            <w:rPr/>
            <w:t xml:space="preserve"> of </w:t>
          </w:r>
          <w:r>
            <w:fldChar w:fldCharType="begin"/>
          </w:r>
          <w:r>
            <w:instrText xml:space="preserve">NUMPAGES</w:instrText>
          </w:r>
          <w:r>
            <w:fldChar w:fldCharType="separate"/>
          </w:r>
          <w:r>
            <w:fldChar w:fldCharType="end"/>
          </w:r>
        </w:p>
      </w:tc>
    </w:tr>
  </w:tbl>
  <w:p w:rsidR="4A2A2C44" w:rsidP="4A2A2C44" w:rsidRDefault="4A2A2C44" w14:paraId="7EA5EC99" w14:textId="3214D6A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2A2C44" w:rsidTr="4A2A2C44" w14:paraId="3836FB00">
      <w:trPr>
        <w:trHeight w:val="300"/>
      </w:trPr>
      <w:tc>
        <w:tcPr>
          <w:tcW w:w="3005" w:type="dxa"/>
          <w:tcMar/>
        </w:tcPr>
        <w:p w:rsidR="4A2A2C44" w:rsidP="4A2A2C44" w:rsidRDefault="4A2A2C44" w14:paraId="522AB1EB" w14:textId="19F48A91">
          <w:pPr>
            <w:pStyle w:val="Header"/>
            <w:bidi w:val="0"/>
            <w:ind w:left="-115"/>
            <w:jc w:val="left"/>
          </w:pPr>
        </w:p>
      </w:tc>
      <w:tc>
        <w:tcPr>
          <w:tcW w:w="3005" w:type="dxa"/>
          <w:tcMar/>
        </w:tcPr>
        <w:p w:rsidR="4A2A2C44" w:rsidP="4A2A2C44" w:rsidRDefault="4A2A2C44" w14:paraId="09669015" w14:textId="664C121C">
          <w:pPr>
            <w:pStyle w:val="Header"/>
            <w:bidi w:val="0"/>
            <w:jc w:val="center"/>
          </w:pPr>
        </w:p>
      </w:tc>
      <w:tc>
        <w:tcPr>
          <w:tcW w:w="3005" w:type="dxa"/>
          <w:tcMar/>
        </w:tcPr>
        <w:p w:rsidR="4A2A2C44" w:rsidP="4A2A2C44" w:rsidRDefault="4A2A2C44" w14:paraId="0F5ECA7D" w14:textId="6FFCCCE8">
          <w:pPr>
            <w:pStyle w:val="Header"/>
            <w:bidi w:val="0"/>
            <w:ind w:right="-115"/>
            <w:jc w:val="right"/>
          </w:pPr>
        </w:p>
      </w:tc>
    </w:tr>
  </w:tbl>
  <w:p w:rsidR="4A2A2C44" w:rsidP="4A2A2C44" w:rsidRDefault="4A2A2C44" w14:paraId="2671C761" w14:textId="0D94FB02">
    <w:pPr>
      <w:pStyle w:val="Header"/>
      <w:bidi w:val="0"/>
    </w:pPr>
  </w:p>
</w:hdr>
</file>

<file path=word/intelligence2.xml><?xml version="1.0" encoding="utf-8"?>
<int2:intelligence xmlns:int2="http://schemas.microsoft.com/office/intelligence/2020/intelligence">
  <int2:observations>
    <int2:textHash int2:hashCode="qEEn8HrACADF0K" int2:id="pS3zldND">
      <int2:state int2:type="spell" int2:value="Rejected"/>
    </int2:textHash>
    <int2:textHash int2:hashCode="wu70ep5hJ/llKM" int2:id="c2tVZMzf">
      <int2:state int2:type="spell" int2:value="Rejected"/>
    </int2:textHash>
    <int2:textHash int2:hashCode="6bXcr6hZQxZwf3" int2:id="1LJJlgkz">
      <int2:state int2:type="spell" int2:value="Rejected"/>
    </int2:textHash>
    <int2:textHash int2:hashCode="PkBJwerfLjrq3P" int2:id="i4NoQjRc">
      <int2:state int2:type="spell" int2:value="Rejected"/>
    </int2:textHash>
    <int2:textHash int2:hashCode="9NTMWi6z9KpImJ" int2:id="NlDFZCdR">
      <int2:state int2:type="spell" int2:value="Rejected"/>
    </int2:textHash>
    <int2:bookmark int2:bookmarkName="_Int_rXzBLtwQ" int2:invalidationBookmarkName="" int2:hashCode="amBfo0DVSThK+n" int2:id="jsWKzX6Z">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fb78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eda4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9E14AC"/>
    <w:rsid w:val="009CB67C"/>
    <w:rsid w:val="00A1E76E"/>
    <w:rsid w:val="01356CA9"/>
    <w:rsid w:val="01358D86"/>
    <w:rsid w:val="02BE3385"/>
    <w:rsid w:val="031002FB"/>
    <w:rsid w:val="03B80E1B"/>
    <w:rsid w:val="042EF759"/>
    <w:rsid w:val="04563260"/>
    <w:rsid w:val="048038CB"/>
    <w:rsid w:val="062309DD"/>
    <w:rsid w:val="07B31BEA"/>
    <w:rsid w:val="08C72459"/>
    <w:rsid w:val="08EC29F3"/>
    <w:rsid w:val="099C48F9"/>
    <w:rsid w:val="09EFC56D"/>
    <w:rsid w:val="0A73762F"/>
    <w:rsid w:val="0B76678E"/>
    <w:rsid w:val="0D3278A9"/>
    <w:rsid w:val="0DEDF7A3"/>
    <w:rsid w:val="1015404D"/>
    <w:rsid w:val="1302C75B"/>
    <w:rsid w:val="142BBE62"/>
    <w:rsid w:val="14FF1D42"/>
    <w:rsid w:val="16242D11"/>
    <w:rsid w:val="174807D2"/>
    <w:rsid w:val="191E0C1A"/>
    <w:rsid w:val="199FD4D2"/>
    <w:rsid w:val="1A0B4C8A"/>
    <w:rsid w:val="1AF8C027"/>
    <w:rsid w:val="1BB85550"/>
    <w:rsid w:val="1C32B63A"/>
    <w:rsid w:val="1D0DFA54"/>
    <w:rsid w:val="1D0DFA54"/>
    <w:rsid w:val="1E913704"/>
    <w:rsid w:val="1F2A0E89"/>
    <w:rsid w:val="21170FEC"/>
    <w:rsid w:val="21C54F88"/>
    <w:rsid w:val="21E8053F"/>
    <w:rsid w:val="23A55C7E"/>
    <w:rsid w:val="2405F958"/>
    <w:rsid w:val="26CF7F82"/>
    <w:rsid w:val="27EDAD0C"/>
    <w:rsid w:val="286B4FCC"/>
    <w:rsid w:val="290E0AE1"/>
    <w:rsid w:val="2959550C"/>
    <w:rsid w:val="29790AF7"/>
    <w:rsid w:val="2D9A5ED9"/>
    <w:rsid w:val="2E974B38"/>
    <w:rsid w:val="2ED2926E"/>
    <w:rsid w:val="2EFB8075"/>
    <w:rsid w:val="2FD8017F"/>
    <w:rsid w:val="2FDBC098"/>
    <w:rsid w:val="304BDE0A"/>
    <w:rsid w:val="310FDE1F"/>
    <w:rsid w:val="31A0FDD1"/>
    <w:rsid w:val="31A108BE"/>
    <w:rsid w:val="324CB8A7"/>
    <w:rsid w:val="32781D5D"/>
    <w:rsid w:val="3566437C"/>
    <w:rsid w:val="36655291"/>
    <w:rsid w:val="37BE773B"/>
    <w:rsid w:val="39352FE4"/>
    <w:rsid w:val="3B7E27FA"/>
    <w:rsid w:val="3D8F5879"/>
    <w:rsid w:val="3EB3E5D2"/>
    <w:rsid w:val="3F5E13DD"/>
    <w:rsid w:val="3FCAB452"/>
    <w:rsid w:val="4054943A"/>
    <w:rsid w:val="41F835C8"/>
    <w:rsid w:val="43663A4F"/>
    <w:rsid w:val="43DEC53E"/>
    <w:rsid w:val="4415D6DF"/>
    <w:rsid w:val="4449D43F"/>
    <w:rsid w:val="444C9C7F"/>
    <w:rsid w:val="449311F7"/>
    <w:rsid w:val="4499F442"/>
    <w:rsid w:val="449D7109"/>
    <w:rsid w:val="44D1EA48"/>
    <w:rsid w:val="467947F1"/>
    <w:rsid w:val="469E14AC"/>
    <w:rsid w:val="475354AB"/>
    <w:rsid w:val="4872B4E4"/>
    <w:rsid w:val="487A9F83"/>
    <w:rsid w:val="496D87E5"/>
    <w:rsid w:val="49B254F6"/>
    <w:rsid w:val="4A2A2C44"/>
    <w:rsid w:val="4A3054BC"/>
    <w:rsid w:val="4B2F6244"/>
    <w:rsid w:val="4BA79E32"/>
    <w:rsid w:val="4C9363E2"/>
    <w:rsid w:val="4D07A2BE"/>
    <w:rsid w:val="4DA513DB"/>
    <w:rsid w:val="4E0E01C3"/>
    <w:rsid w:val="4EF3752F"/>
    <w:rsid w:val="4F642A24"/>
    <w:rsid w:val="5068B2E5"/>
    <w:rsid w:val="5093AD42"/>
    <w:rsid w:val="514EFA1C"/>
    <w:rsid w:val="52B6AA75"/>
    <w:rsid w:val="52E1476F"/>
    <w:rsid w:val="53B4937F"/>
    <w:rsid w:val="546554EC"/>
    <w:rsid w:val="5580C0B2"/>
    <w:rsid w:val="57C7DCFB"/>
    <w:rsid w:val="580D0D3D"/>
    <w:rsid w:val="59A9F509"/>
    <w:rsid w:val="5AF822BC"/>
    <w:rsid w:val="5AF822BC"/>
    <w:rsid w:val="5BB82909"/>
    <w:rsid w:val="5C4B1370"/>
    <w:rsid w:val="5CA53CB5"/>
    <w:rsid w:val="5CD06EF2"/>
    <w:rsid w:val="5D59BF6C"/>
    <w:rsid w:val="5D715E87"/>
    <w:rsid w:val="5E65D279"/>
    <w:rsid w:val="5F57F384"/>
    <w:rsid w:val="5F57F384"/>
    <w:rsid w:val="613C0F40"/>
    <w:rsid w:val="61B0E94B"/>
    <w:rsid w:val="61C0CFA0"/>
    <w:rsid w:val="63C3E989"/>
    <w:rsid w:val="641ACEEF"/>
    <w:rsid w:val="64A4DB82"/>
    <w:rsid w:val="67233F4B"/>
    <w:rsid w:val="677B0700"/>
    <w:rsid w:val="67D7B313"/>
    <w:rsid w:val="67EBB22E"/>
    <w:rsid w:val="682A3BCA"/>
    <w:rsid w:val="6ABDAB94"/>
    <w:rsid w:val="6C143DD3"/>
    <w:rsid w:val="6C1FD04C"/>
    <w:rsid w:val="6C3343EC"/>
    <w:rsid w:val="6C3EA815"/>
    <w:rsid w:val="6C7F665C"/>
    <w:rsid w:val="6CD31118"/>
    <w:rsid w:val="6CD88484"/>
    <w:rsid w:val="6E9493CA"/>
    <w:rsid w:val="70A693AE"/>
    <w:rsid w:val="70B7B731"/>
    <w:rsid w:val="71595468"/>
    <w:rsid w:val="72D0F5D6"/>
    <w:rsid w:val="72D15CE5"/>
    <w:rsid w:val="75F871B8"/>
    <w:rsid w:val="767C8259"/>
    <w:rsid w:val="76A3F6C3"/>
    <w:rsid w:val="79FA06A5"/>
    <w:rsid w:val="7C72AECD"/>
    <w:rsid w:val="7D5803BB"/>
    <w:rsid w:val="7D988124"/>
    <w:rsid w:val="7DC2A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8DF67"/>
  <w15:chartTrackingRefBased/>
  <w15:docId w15:val="{B3D3A5C2-CABB-4006-A881-3FEF2CA19A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A2A2C4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A2A2C4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A2A2C4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A2A2C44"/>
    <w:pPr>
      <w:spacing/>
      <w:ind w:left="720"/>
      <w:contextualSpacing/>
    </w:pPr>
  </w:style>
  <w:style w:type="paragraph" w:styleId="TOC1">
    <w:uiPriority w:val="39"/>
    <w:name w:val="toc 1"/>
    <w:basedOn w:val="Normal"/>
    <w:next w:val="Normal"/>
    <w:unhideWhenUsed/>
    <w:rsid w:val="4A2A2C44"/>
    <w:pPr>
      <w:spacing w:after="100"/>
    </w:pPr>
  </w:style>
  <w:style w:type="paragraph" w:styleId="TOC2">
    <w:uiPriority w:val="39"/>
    <w:name w:val="toc 2"/>
    <w:basedOn w:val="Normal"/>
    <w:next w:val="Normal"/>
    <w:unhideWhenUsed/>
    <w:rsid w:val="4A2A2C44"/>
    <w:pPr>
      <w:spacing w:after="100"/>
      <w:ind w:left="220"/>
    </w:pPr>
  </w:style>
  <w:style w:type="paragraph" w:styleId="TOC3">
    <w:uiPriority w:val="39"/>
    <w:name w:val="toc 3"/>
    <w:basedOn w:val="Normal"/>
    <w:next w:val="Normal"/>
    <w:unhideWhenUsed/>
    <w:rsid w:val="4A2A2C44"/>
    <w:pPr>
      <w:spacing w:after="100"/>
      <w:ind w:left="440"/>
    </w:pPr>
  </w:style>
  <w:style w:type="paragraph" w:styleId="Header">
    <w:uiPriority w:val="99"/>
    <w:name w:val="header"/>
    <w:basedOn w:val="Normal"/>
    <w:unhideWhenUsed/>
    <w:rsid w:val="4A2A2C44"/>
    <w:pPr>
      <w:tabs>
        <w:tab w:val="center" w:leader="none" w:pos="4680"/>
        <w:tab w:val="right" w:leader="none" w:pos="9360"/>
      </w:tabs>
      <w:spacing w:after="0" w:line="240" w:lineRule="auto"/>
    </w:pPr>
  </w:style>
  <w:style w:type="paragraph" w:styleId="Footer">
    <w:uiPriority w:val="99"/>
    <w:name w:val="footer"/>
    <w:basedOn w:val="Normal"/>
    <w:unhideWhenUsed/>
    <w:rsid w:val="4A2A2C44"/>
    <w:pPr>
      <w:tabs>
        <w:tab w:val="center" w:leader="none" w:pos="4680"/>
        <w:tab w:val="right" w:leader="none" w:pos="9360"/>
      </w:tabs>
      <w:spacing w:after="0" w:line="240" w:lineRule="auto"/>
    </w:pPr>
  </w:style>
  <w:style w:type="paragraph" w:styleId="Title">
    <w:uiPriority w:val="10"/>
    <w:name w:val="Title"/>
    <w:basedOn w:val="Normal"/>
    <w:next w:val="Normal"/>
    <w:qFormat/>
    <w:rsid w:val="4A2A2C44"/>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31099337" /><Relationship Type="http://schemas.openxmlformats.org/officeDocument/2006/relationships/header" Target="/word/header.xml" Id="Rbb3e7d1a8da44e95" /><Relationship Type="http://schemas.openxmlformats.org/officeDocument/2006/relationships/footer" Target="/word/footer.xml" Id="Rf70bb60918ce47de" /><Relationship Type="http://schemas.openxmlformats.org/officeDocument/2006/relationships/numbering" Target="/word/numbering.xml" Id="R01b2cddee65147d8" /><Relationship Type="http://schemas.microsoft.com/office/2020/10/relationships/intelligence" Target="/word/intelligence2.xml" Id="Rf9b47a566224401c" /><Relationship Type="http://schemas.openxmlformats.org/officeDocument/2006/relationships/hyperlink" Target="https://doi.org/10.1108/02621711211253231" TargetMode="External" Id="Rac823f104fcb4884" /><Relationship Type="http://schemas.openxmlformats.org/officeDocument/2006/relationships/hyperlink" Target="https://www.boots-uk.com/newsroom/news-item/boots-releases-2026-beauty-wellness-trends-report-alongside-line-up-of-trending-new-brands/" TargetMode="External" Id="R720fcc0548c44263" /><Relationship Type="http://schemas.openxmlformats.org/officeDocument/2006/relationships/hyperlink" Target="https://doi.org/10.1080/14719030410001675722" TargetMode="External" Id="R3c25fb6cf72d4655" /><Relationship Type="http://schemas.openxmlformats.org/officeDocument/2006/relationships/hyperlink" Target="https://doi.org/10.1111/j.1467-6486.2004.00463.x" TargetMode="External" Id="R2ff8ecdf6b434aa6" /><Relationship Type="http://schemas.openxmlformats.org/officeDocument/2006/relationships/hyperlink" Target="https://doi.org/10.1177/001872679905200503" TargetMode="External" Id="R9e4a76d15815468a" /><Relationship Type="http://schemas.openxmlformats.org/officeDocument/2006/relationships/hyperlink" Target="https://www.cancerresearchuk.org/health-professional/cancer-statistics/statistics-by-cancer-type/melanoma-skin-cancer/risk-factors" TargetMode="External" Id="Rb5aba2990dc141a8" /><Relationship Type="http://schemas.openxmlformats.org/officeDocument/2006/relationships/hyperlink" Target="https://www.carmarthenshire.gov.wales/business/licensing-permits/sunbeds/" TargetMode="External" Id="R2d0b9eefa6214e39" /><Relationship Type="http://schemas.openxmlformats.org/officeDocument/2006/relationships/hyperlink" Target="https://doi.org/10.1177/18479790211016273" TargetMode="External" Id="R490f23d98826478e" /><Relationship Type="http://schemas.openxmlformats.org/officeDocument/2006/relationships/hyperlink" Target="https://doi.org/10.5465/amr.2008.31193235" TargetMode="External" Id="Rbf8035ceb8c64914" /><Relationship Type="http://schemas.openxmlformats.org/officeDocument/2006/relationships/hyperlink" Target="https://pubmed.ncbi.nlm.nih.gov/42696344/" TargetMode="External" Id="R1d4d21252674483b" /><Relationship Type="http://schemas.openxmlformats.org/officeDocument/2006/relationships/hyperlink" Target="https://doi.org/10.17719/jisr.2017.1832" TargetMode="External" Id="Rbed080a401774d98" /><Relationship Type="http://schemas.openxmlformats.org/officeDocument/2006/relationships/hyperlink" Target="https://www.hse.gov.uk/radiation/optical/sunbeds.htm" TargetMode="External" Id="Rc2cf794028ad40e2" /><Relationship Type="http://schemas.openxmlformats.org/officeDocument/2006/relationships/hyperlink" Target="https://uk.linkedin.com/company/lextan-tanning" TargetMode="External" Id="Ra0815ee355174b99" /><Relationship Type="http://schemas.openxmlformats.org/officeDocument/2006/relationships/hyperlink" Target="https://www.lextan.co.uk/" TargetMode="External" Id="R500d5f8739ca4bd2" /><Relationship Type="http://schemas.openxmlformats.org/officeDocument/2006/relationships/hyperlink" Target="https://www.lextan.co.uk/locations/lextan-llanelli/" TargetMode="External" Id="Rc4bda17f5cf74d38" /><Relationship Type="http://schemas.openxmlformats.org/officeDocument/2006/relationships/hyperlink" Target="https://doi.org/10.1177/001872674700100103" TargetMode="External" Id="R9e88f0b0496e44bb" /><Relationship Type="http://schemas.openxmlformats.org/officeDocument/2006/relationships/hyperlink" Target="https://doi.org/10.2307/259247" TargetMode="External" Id="R30956f440ec64d01" /><Relationship Type="http://schemas.openxmlformats.org/officeDocument/2006/relationships/hyperlink" Target="https://www.nhs.uk/conditions/melanoma-skin-cancer/what-is-melanoma-skin-cancer/" TargetMode="External" Id="R46e7ebc2e7cc4315" /><Relationship Type="http://schemas.openxmlformats.org/officeDocument/2006/relationships/hyperlink" Target="https://www.ons.gov.uk/economy/inflationandpriceindices/bulletins/consumerpriceinflation/august2026" TargetMode="External" Id="R6f859527c90b4238" /><Relationship Type="http://schemas.openxmlformats.org/officeDocument/2006/relationships/hyperlink" Target="https://doi.org/10.1016/j.lrp.2023.102304" TargetMode="External" Id="R137bba0e2d8a4424" /><Relationship Type="http://schemas.openxmlformats.org/officeDocument/2006/relationships/hyperlink" Target="https://www.gov.wales/sunbed-regulations-2011-guidance" TargetMode="External" Id="Rc3c3a5ba391f4274" /><Relationship Type="http://schemas.openxmlformats.org/officeDocument/2006/relationships/hyperlink" Target="https://doi.org/10.5539/ijbm.v7n24p52" TargetMode="External" Id="R56baee026cfd45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Carla Tonkin (2329147)</dc:creator>
  <keywords/>
  <dc:description/>
  <lastModifiedBy>Carla Tonkin (2329147)</lastModifiedBy>
  <revision>5</revision>
  <dcterms:created xsi:type="dcterms:W3CDTF">2026-08-27T18:16:16.6826886Z</dcterms:created>
  <dcterms:modified xsi:type="dcterms:W3CDTF">2026-10-08T20:03:12.6349545Z</dcterms:modified>
</coreProperties>
</file>