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718C4" w14:textId="77777777" w:rsidR="00AB66BF" w:rsidRDefault="00AB66BF" w:rsidP="00C111E1">
      <w:pPr>
        <w:spacing w:line="360" w:lineRule="auto"/>
        <w:rPr>
          <w:rFonts w:ascii="Arial" w:hAnsi="Arial" w:cs="Arial"/>
          <w:u w:val="single"/>
        </w:rPr>
      </w:pPr>
    </w:p>
    <w:p w14:paraId="1DB66500" w14:textId="51E0FEB0" w:rsidR="00AB66BF" w:rsidRPr="00AB66BF" w:rsidRDefault="00AB66BF" w:rsidP="00C111E1">
      <w:pPr>
        <w:spacing w:line="360" w:lineRule="auto"/>
        <w:rPr>
          <w:rFonts w:ascii="Arial" w:hAnsi="Arial" w:cs="Arial"/>
          <w:u w:val="single"/>
        </w:rPr>
      </w:pPr>
      <w:r w:rsidRPr="00AB66BF">
        <w:rPr>
          <w:rFonts w:ascii="Arial" w:hAnsi="Arial" w:cs="Arial"/>
          <w:b/>
          <w:noProof/>
          <w:sz w:val="7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LGBT+ families</w:t>
      </w:r>
    </w:p>
    <w:p w14:paraId="2DEE3620" w14:textId="77777777" w:rsidR="00AB66BF" w:rsidRDefault="00AB66BF" w:rsidP="00C111E1">
      <w:pPr>
        <w:spacing w:line="360" w:lineRule="auto"/>
        <w:rPr>
          <w:rFonts w:ascii="Arial" w:hAnsi="Arial" w:cs="Arial"/>
          <w:u w:val="single"/>
        </w:rPr>
      </w:pPr>
    </w:p>
    <w:p w14:paraId="448A9952" w14:textId="77777777" w:rsidR="00AB66BF" w:rsidRDefault="00AB66BF" w:rsidP="00C111E1">
      <w:pPr>
        <w:spacing w:line="360" w:lineRule="auto"/>
        <w:rPr>
          <w:rFonts w:ascii="Arial" w:hAnsi="Arial" w:cs="Arial"/>
          <w:u w:val="single"/>
        </w:rPr>
      </w:pPr>
    </w:p>
    <w:p w14:paraId="77E119EF" w14:textId="77777777" w:rsidR="00AB66BF" w:rsidRDefault="00AB66BF" w:rsidP="00C111E1">
      <w:pPr>
        <w:spacing w:line="360" w:lineRule="auto"/>
        <w:rPr>
          <w:rFonts w:ascii="Arial" w:hAnsi="Arial" w:cs="Arial"/>
          <w:u w:val="single"/>
        </w:rPr>
      </w:pPr>
    </w:p>
    <w:p w14:paraId="498BD708" w14:textId="6D1C8548" w:rsidR="00C111E1" w:rsidRDefault="00AB66BF" w:rsidP="00C111E1">
      <w:pPr>
        <w:spacing w:line="360" w:lineRule="auto"/>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4A9FEA8A" wp14:editId="73F596C8">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F4A71C2" w14:textId="77777777" w:rsidR="00AB66BF" w:rsidRDefault="00AB66BF"/>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4A9FEA8A"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KFhrgIAAGEFAAAOAAAAZHJzL2Uyb0RvYy54bWysVFtv2yAYfZ+0/4B4X52kTZtFdaqsVbZJ&#10;vWnN1GeCsY2EAQGJ3f36HrCTZt2epr3g7+bDdzl8l1ddo8hOOC+Nzun4ZESJ0NwUUlc5/blefZpR&#10;4gPTBVNGi5y+CE+vFh8/XLZ2LiamNqoQjgBE+3lrc1qHYOdZ5nktGuZPjBUaztK4hgWorsoKx1qg&#10;NyqbjEbnWWtcYZ3hwntYb3onXST8shQ8PJSlF4GonCK3kE6Xzk08s8Ulm1eO2VryIQ32D1k0TGpc&#10;eoC6YYGRrZN/QDWSO+NNGU64aTJTlpKLVAOqGY/eVfNUMytSLWiOt4c2+f8Hy+93j47IIqcTSjRr&#10;MKK16AL5Yjoyid1prZ8j6MkiLHQwY8p7u4cxFt2VrolflEPgR59fDr2NYDz+NJvMZiO4OHx7BfjZ&#10;2+/W+fBVmIZEIacOw0s9ZbtbH/rQfUi8TZuVVCoNUOnfDMCMlizm3ucYpdBtuqGgjSleUI8zPR+8&#10;5SuJO2+ZD4/MgQDIE6QODzhKZdqcmkGipDbu19/sMR5zgZeSFoTKqQbjKVHfNeb1eXx2FvmXlLPp&#10;xQSKO/Zsjj1621wbMHaMx2N5EmN8UHuxdKZ5BvOX8U64mOa4OadhL16HnuR4OVwslykIjLMs3Oon&#10;yyN0bFns57p7Zs4OTQ+Y173ZE4/N3/W+j41/ervcBkwgDgYaF1qcFlHkIJFjA5xxoTbD81o5o0P/&#10;4JSs6vBDVsRJrImaOV9TUshUQD/oI0BvTwuCtNw2LplvOZ1ejKeoOeZ+x4JwkqFV2A8hvhU234id&#10;UGuCoZ2fTiPjalQ7uYhSTyymKyX6RDhSMlt3rRKP09YRUMguQm6qvklq29yZoredAzFtDXDsEJ5Y&#10;fAwVnch6oGDPtkHBO07hQ1PiojjWU9TbZly8AgAA//8DAFBLAwQUAAYACAAAACEAS4kmzdYAAAAF&#10;AQAADwAAAGRycy9kb3ducmV2LnhtbEyP0U7DMAxF35H4h8hIvLF0FaBSmk5owDMw+ACvMU1p41RN&#10;thW+HoOQxovlq2tdn1utZj+oPU2xC2xguchAETfBdtwaeHt9vChAxYRscQhMBj4pwqo+PamwtOHA&#10;L7TfpFZJCMcSDbiUxlLr2DjyGBdhJBbvPUwek8ip1XbCg4T7QedZdq09diwfHI60dtT0m503UGT+&#10;qe9v8ufoL7+WV259Hx7GD2POz+a7W1CJ5nQ8hh98QYdamLZhxzaqwYAUSb9TvLwoRG7/Fl1X+j99&#10;/Q0AAP//AwBQSwECLQAUAAYACAAAACEAtoM4kv4AAADhAQAAEwAAAAAAAAAAAAAAAAAAAAAAW0Nv&#10;bnRlbnRfVHlwZXNdLnhtbFBLAQItABQABgAIAAAAIQA4/SH/1gAAAJQBAAALAAAAAAAAAAAAAAAA&#10;AC8BAABfcmVscy8ucmVsc1BLAQItABQABgAIAAAAIQBL6KFhrgIAAGEFAAAOAAAAAAAAAAAAAAAA&#10;AC4CAABkcnMvZTJvRG9jLnhtbFBLAQItABQABgAIAAAAIQBLiSbN1gAAAAUBAAAPAAAAAAAAAAAA&#10;AAAAAAgFAABkcnMvZG93bnJldi54bWxQSwUGAAAAAAQABADzAAAACwYAAAAA&#10;" filled="f" stroked="f">
                <v:textbox style="mso-fit-shape-to-text:t">
                  <w:txbxContent>
                    <w:p w14:paraId="1F4A71C2" w14:textId="77777777" w:rsidR="00AB66BF" w:rsidRDefault="00AB66BF"/>
                  </w:txbxContent>
                </v:textbox>
              </v:shape>
            </w:pict>
          </mc:Fallback>
        </mc:AlternateContent>
      </w:r>
      <w:r w:rsidR="00C111E1">
        <w:rPr>
          <w:rFonts w:ascii="Arial" w:hAnsi="Arial" w:cs="Arial"/>
          <w:noProof/>
          <w:u w:val="single"/>
        </w:rPr>
        <w:drawing>
          <wp:inline distT="0" distB="0" distL="0" distR="0" wp14:anchorId="5C9E577D" wp14:editId="341DDF57">
            <wp:extent cx="5963285" cy="3419475"/>
            <wp:effectExtent l="0" t="0" r="0" b="9525"/>
            <wp:docPr id="1" name="Picture 1" descr="A picture containing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gbt pic.jpg"/>
                    <pic:cNvPicPr/>
                  </pic:nvPicPr>
                  <pic:blipFill>
                    <a:blip r:embed="rId7">
                      <a:extLst>
                        <a:ext uri="{28A0092B-C50C-407E-A947-70E740481C1C}">
                          <a14:useLocalDpi xmlns:a14="http://schemas.microsoft.com/office/drawing/2010/main" val="0"/>
                        </a:ext>
                      </a:extLst>
                    </a:blip>
                    <a:stretch>
                      <a:fillRect/>
                    </a:stretch>
                  </pic:blipFill>
                  <pic:spPr>
                    <a:xfrm>
                      <a:off x="0" y="0"/>
                      <a:ext cx="6008622" cy="3445472"/>
                    </a:xfrm>
                    <a:prstGeom prst="rect">
                      <a:avLst/>
                    </a:prstGeom>
                  </pic:spPr>
                </pic:pic>
              </a:graphicData>
            </a:graphic>
          </wp:inline>
        </w:drawing>
      </w:r>
    </w:p>
    <w:p w14:paraId="7A3203AE" w14:textId="6066A1A1" w:rsidR="00AB66BF" w:rsidRDefault="0084760E" w:rsidP="00C111E1">
      <w:pPr>
        <w:spacing w:line="360" w:lineRule="auto"/>
        <w:rPr>
          <w:rFonts w:ascii="Arial" w:hAnsi="Arial" w:cs="Arial"/>
        </w:rPr>
      </w:pPr>
      <w:r>
        <w:rPr>
          <w:rFonts w:ascii="Arial" w:hAnsi="Arial" w:cs="Arial"/>
        </w:rPr>
        <w:t>(Stonewall, 2019).</w:t>
      </w:r>
    </w:p>
    <w:p w14:paraId="5C538EEE" w14:textId="0C9F1A74" w:rsidR="0084760E" w:rsidRDefault="0084760E" w:rsidP="00C111E1">
      <w:pPr>
        <w:spacing w:line="360" w:lineRule="auto"/>
        <w:rPr>
          <w:rFonts w:ascii="Arial" w:hAnsi="Arial" w:cs="Arial"/>
        </w:rPr>
      </w:pPr>
    </w:p>
    <w:p w14:paraId="4EC68D63" w14:textId="322AE01D" w:rsidR="0084760E" w:rsidRDefault="0084760E" w:rsidP="00C111E1">
      <w:pPr>
        <w:spacing w:line="360" w:lineRule="auto"/>
        <w:rPr>
          <w:rFonts w:ascii="Arial" w:hAnsi="Arial" w:cs="Arial"/>
        </w:rPr>
      </w:pPr>
    </w:p>
    <w:p w14:paraId="31E48783" w14:textId="272F714D" w:rsidR="0084760E" w:rsidRDefault="0084760E" w:rsidP="00C111E1">
      <w:pPr>
        <w:spacing w:line="360" w:lineRule="auto"/>
        <w:rPr>
          <w:rFonts w:ascii="Arial" w:hAnsi="Arial" w:cs="Arial"/>
        </w:rPr>
      </w:pPr>
    </w:p>
    <w:p w14:paraId="621A601A" w14:textId="28E5AA13" w:rsidR="0084760E" w:rsidRDefault="0084760E" w:rsidP="00C111E1">
      <w:pPr>
        <w:spacing w:line="360" w:lineRule="auto"/>
        <w:rPr>
          <w:rFonts w:ascii="Arial" w:hAnsi="Arial" w:cs="Arial"/>
        </w:rPr>
      </w:pPr>
    </w:p>
    <w:p w14:paraId="0DBA7292" w14:textId="44CA1272" w:rsidR="0084760E" w:rsidRDefault="0084760E" w:rsidP="00C111E1">
      <w:pPr>
        <w:spacing w:line="360" w:lineRule="auto"/>
        <w:rPr>
          <w:rFonts w:ascii="Arial" w:hAnsi="Arial" w:cs="Arial"/>
        </w:rPr>
      </w:pPr>
    </w:p>
    <w:p w14:paraId="17327D3A" w14:textId="06FADD6F" w:rsidR="0084760E" w:rsidRDefault="0084760E" w:rsidP="00C111E1">
      <w:pPr>
        <w:spacing w:line="360" w:lineRule="auto"/>
        <w:rPr>
          <w:rFonts w:ascii="Arial" w:hAnsi="Arial" w:cs="Arial"/>
        </w:rPr>
      </w:pPr>
    </w:p>
    <w:p w14:paraId="610DAA1D" w14:textId="6443FC9D" w:rsidR="0084760E" w:rsidRDefault="0084760E" w:rsidP="00C111E1">
      <w:pPr>
        <w:spacing w:line="360" w:lineRule="auto"/>
        <w:rPr>
          <w:rFonts w:ascii="Arial" w:hAnsi="Arial" w:cs="Arial"/>
        </w:rPr>
      </w:pPr>
    </w:p>
    <w:p w14:paraId="259FEC4E" w14:textId="77777777" w:rsidR="008B7E90" w:rsidRDefault="008B7E90" w:rsidP="00C111E1">
      <w:pPr>
        <w:spacing w:line="360" w:lineRule="auto"/>
        <w:rPr>
          <w:rFonts w:ascii="Arial" w:hAnsi="Arial" w:cs="Arial"/>
        </w:rPr>
      </w:pPr>
    </w:p>
    <w:p w14:paraId="5CA926D2" w14:textId="4469382B" w:rsidR="0084760E" w:rsidRDefault="0084760E" w:rsidP="00C111E1">
      <w:pPr>
        <w:spacing w:line="360" w:lineRule="auto"/>
        <w:rPr>
          <w:rFonts w:ascii="Arial" w:hAnsi="Arial" w:cs="Arial"/>
          <w:u w:val="single"/>
        </w:rPr>
      </w:pPr>
      <w:r>
        <w:rPr>
          <w:rFonts w:ascii="Arial" w:hAnsi="Arial" w:cs="Arial"/>
          <w:u w:val="single"/>
        </w:rPr>
        <w:lastRenderedPageBreak/>
        <w:t>Contents page</w:t>
      </w:r>
    </w:p>
    <w:p w14:paraId="139C93BA" w14:textId="642E038F" w:rsidR="000473F1" w:rsidRDefault="000473F1" w:rsidP="00C111E1">
      <w:pPr>
        <w:spacing w:line="360" w:lineRule="auto"/>
        <w:rPr>
          <w:rFonts w:ascii="Arial" w:hAnsi="Arial" w:cs="Arial"/>
        </w:rPr>
      </w:pPr>
      <w:r>
        <w:rPr>
          <w:rFonts w:ascii="Arial" w:hAnsi="Arial" w:cs="Arial"/>
        </w:rPr>
        <w:t>Introduction…………………………………………………………………………………………p 3</w:t>
      </w:r>
    </w:p>
    <w:p w14:paraId="544B6EF9" w14:textId="39841C7A" w:rsidR="000473F1" w:rsidRDefault="000473F1" w:rsidP="00C111E1">
      <w:pPr>
        <w:spacing w:line="360" w:lineRule="auto"/>
        <w:rPr>
          <w:rFonts w:ascii="Arial" w:hAnsi="Arial" w:cs="Arial"/>
        </w:rPr>
      </w:pPr>
      <w:r>
        <w:rPr>
          <w:rFonts w:ascii="Arial" w:hAnsi="Arial" w:cs="Arial"/>
        </w:rPr>
        <w:t>Reflection…………………………………………………………………………………………p 4-6</w:t>
      </w:r>
    </w:p>
    <w:p w14:paraId="1C453FC7" w14:textId="7E5C2960" w:rsidR="000473F1" w:rsidRDefault="000473F1" w:rsidP="00C111E1">
      <w:pPr>
        <w:spacing w:line="360" w:lineRule="auto"/>
        <w:rPr>
          <w:rFonts w:ascii="Arial" w:hAnsi="Arial" w:cs="Arial"/>
        </w:rPr>
      </w:pPr>
      <w:r>
        <w:rPr>
          <w:rFonts w:ascii="Arial" w:hAnsi="Arial" w:cs="Arial"/>
        </w:rPr>
        <w:t>Conclusion………………………………………………………………………………………</w:t>
      </w:r>
      <w:proofErr w:type="gramStart"/>
      <w:r>
        <w:rPr>
          <w:rFonts w:ascii="Arial" w:hAnsi="Arial" w:cs="Arial"/>
        </w:rPr>
        <w:t>….p</w:t>
      </w:r>
      <w:proofErr w:type="gramEnd"/>
      <w:r>
        <w:rPr>
          <w:rFonts w:ascii="Arial" w:hAnsi="Arial" w:cs="Arial"/>
        </w:rPr>
        <w:t xml:space="preserve"> 7</w:t>
      </w:r>
    </w:p>
    <w:p w14:paraId="30AC4070" w14:textId="160FD674" w:rsidR="000473F1" w:rsidRDefault="000473F1" w:rsidP="00C111E1">
      <w:pPr>
        <w:spacing w:line="360" w:lineRule="auto"/>
        <w:rPr>
          <w:rFonts w:ascii="Arial" w:hAnsi="Arial" w:cs="Arial"/>
        </w:rPr>
      </w:pPr>
      <w:r>
        <w:rPr>
          <w:rFonts w:ascii="Arial" w:hAnsi="Arial" w:cs="Arial"/>
        </w:rPr>
        <w:t>References……………………………………………………………………………………</w:t>
      </w:r>
      <w:proofErr w:type="gramStart"/>
      <w:r>
        <w:rPr>
          <w:rFonts w:ascii="Arial" w:hAnsi="Arial" w:cs="Arial"/>
        </w:rPr>
        <w:t>….p</w:t>
      </w:r>
      <w:proofErr w:type="gramEnd"/>
      <w:r>
        <w:rPr>
          <w:rFonts w:ascii="Arial" w:hAnsi="Arial" w:cs="Arial"/>
        </w:rPr>
        <w:t xml:space="preserve"> 8-9</w:t>
      </w:r>
    </w:p>
    <w:p w14:paraId="78A2D111" w14:textId="34EF2EC6" w:rsidR="000473F1" w:rsidRPr="000473F1" w:rsidRDefault="000473F1" w:rsidP="00C111E1">
      <w:pPr>
        <w:spacing w:line="360" w:lineRule="auto"/>
        <w:rPr>
          <w:rFonts w:ascii="Arial" w:hAnsi="Arial" w:cs="Arial"/>
        </w:rPr>
      </w:pPr>
      <w:r>
        <w:rPr>
          <w:rFonts w:ascii="Arial" w:hAnsi="Arial" w:cs="Arial"/>
        </w:rPr>
        <w:t>Appendix………………………………………………………………………………………p 10-14</w:t>
      </w:r>
    </w:p>
    <w:p w14:paraId="5DC7B8B6" w14:textId="5205FAF4" w:rsidR="0084760E" w:rsidRDefault="0084760E" w:rsidP="00C111E1">
      <w:pPr>
        <w:spacing w:line="360" w:lineRule="auto"/>
        <w:rPr>
          <w:rFonts w:ascii="Arial" w:hAnsi="Arial" w:cs="Arial"/>
          <w:u w:val="single"/>
        </w:rPr>
      </w:pPr>
    </w:p>
    <w:p w14:paraId="4A793E81" w14:textId="285FA8DE" w:rsidR="0084760E" w:rsidRDefault="0084760E" w:rsidP="00C111E1">
      <w:pPr>
        <w:spacing w:line="360" w:lineRule="auto"/>
        <w:rPr>
          <w:rFonts w:ascii="Arial" w:hAnsi="Arial" w:cs="Arial"/>
          <w:u w:val="single"/>
        </w:rPr>
      </w:pPr>
    </w:p>
    <w:p w14:paraId="78DE037E" w14:textId="7838F779" w:rsidR="0084760E" w:rsidRDefault="0084760E" w:rsidP="00C111E1">
      <w:pPr>
        <w:spacing w:line="360" w:lineRule="auto"/>
        <w:rPr>
          <w:rFonts w:ascii="Arial" w:hAnsi="Arial" w:cs="Arial"/>
          <w:u w:val="single"/>
        </w:rPr>
      </w:pPr>
    </w:p>
    <w:p w14:paraId="3C7AE327" w14:textId="5169354B" w:rsidR="0084760E" w:rsidRDefault="0084760E" w:rsidP="00C111E1">
      <w:pPr>
        <w:spacing w:line="360" w:lineRule="auto"/>
        <w:rPr>
          <w:rFonts w:ascii="Arial" w:hAnsi="Arial" w:cs="Arial"/>
          <w:u w:val="single"/>
        </w:rPr>
      </w:pPr>
    </w:p>
    <w:p w14:paraId="4C2E6E30" w14:textId="2C460F84" w:rsidR="0084760E" w:rsidRDefault="0084760E" w:rsidP="00C111E1">
      <w:pPr>
        <w:spacing w:line="360" w:lineRule="auto"/>
        <w:rPr>
          <w:rFonts w:ascii="Arial" w:hAnsi="Arial" w:cs="Arial"/>
          <w:u w:val="single"/>
        </w:rPr>
      </w:pPr>
    </w:p>
    <w:p w14:paraId="16CDF9E5" w14:textId="76F88FD8" w:rsidR="0084760E" w:rsidRDefault="0084760E" w:rsidP="00C111E1">
      <w:pPr>
        <w:spacing w:line="360" w:lineRule="auto"/>
        <w:rPr>
          <w:rFonts w:ascii="Arial" w:hAnsi="Arial" w:cs="Arial"/>
          <w:u w:val="single"/>
        </w:rPr>
      </w:pPr>
    </w:p>
    <w:p w14:paraId="38B34083" w14:textId="4FBEC2EC" w:rsidR="0084760E" w:rsidRDefault="0084760E" w:rsidP="00C111E1">
      <w:pPr>
        <w:spacing w:line="360" w:lineRule="auto"/>
        <w:rPr>
          <w:rFonts w:ascii="Arial" w:hAnsi="Arial" w:cs="Arial"/>
          <w:u w:val="single"/>
        </w:rPr>
      </w:pPr>
    </w:p>
    <w:p w14:paraId="6448AFB3" w14:textId="5389494E" w:rsidR="0084760E" w:rsidRDefault="0084760E" w:rsidP="00C111E1">
      <w:pPr>
        <w:spacing w:line="360" w:lineRule="auto"/>
        <w:rPr>
          <w:rFonts w:ascii="Arial" w:hAnsi="Arial" w:cs="Arial"/>
          <w:u w:val="single"/>
        </w:rPr>
      </w:pPr>
    </w:p>
    <w:p w14:paraId="54CE2906" w14:textId="0408B668" w:rsidR="0084760E" w:rsidRDefault="0084760E" w:rsidP="00C111E1">
      <w:pPr>
        <w:spacing w:line="360" w:lineRule="auto"/>
        <w:rPr>
          <w:rFonts w:ascii="Arial" w:hAnsi="Arial" w:cs="Arial"/>
          <w:u w:val="single"/>
        </w:rPr>
      </w:pPr>
    </w:p>
    <w:p w14:paraId="5D4A647C" w14:textId="09FDC570" w:rsidR="0084760E" w:rsidRDefault="0084760E" w:rsidP="00C111E1">
      <w:pPr>
        <w:spacing w:line="360" w:lineRule="auto"/>
        <w:rPr>
          <w:rFonts w:ascii="Arial" w:hAnsi="Arial" w:cs="Arial"/>
          <w:u w:val="single"/>
        </w:rPr>
      </w:pPr>
    </w:p>
    <w:p w14:paraId="678C0BBD" w14:textId="02AB3864" w:rsidR="0084760E" w:rsidRDefault="0084760E" w:rsidP="00C111E1">
      <w:pPr>
        <w:spacing w:line="360" w:lineRule="auto"/>
        <w:rPr>
          <w:rFonts w:ascii="Arial" w:hAnsi="Arial" w:cs="Arial"/>
          <w:u w:val="single"/>
        </w:rPr>
      </w:pPr>
    </w:p>
    <w:p w14:paraId="7D9F08ED" w14:textId="59265992" w:rsidR="0084760E" w:rsidRDefault="0084760E" w:rsidP="00C111E1">
      <w:pPr>
        <w:spacing w:line="360" w:lineRule="auto"/>
        <w:rPr>
          <w:rFonts w:ascii="Arial" w:hAnsi="Arial" w:cs="Arial"/>
          <w:u w:val="single"/>
        </w:rPr>
      </w:pPr>
    </w:p>
    <w:p w14:paraId="2F470EFB" w14:textId="54167DF6" w:rsidR="0084760E" w:rsidRDefault="0084760E" w:rsidP="00C111E1">
      <w:pPr>
        <w:spacing w:line="360" w:lineRule="auto"/>
        <w:rPr>
          <w:rFonts w:ascii="Arial" w:hAnsi="Arial" w:cs="Arial"/>
          <w:u w:val="single"/>
        </w:rPr>
      </w:pPr>
    </w:p>
    <w:p w14:paraId="7DEB2AD8" w14:textId="41D79090" w:rsidR="0084760E" w:rsidRDefault="0084760E" w:rsidP="00C111E1">
      <w:pPr>
        <w:spacing w:line="360" w:lineRule="auto"/>
        <w:rPr>
          <w:rFonts w:ascii="Arial" w:hAnsi="Arial" w:cs="Arial"/>
          <w:u w:val="single"/>
        </w:rPr>
      </w:pPr>
    </w:p>
    <w:p w14:paraId="05D1B3F7" w14:textId="58F1C16D" w:rsidR="0084760E" w:rsidRDefault="0084760E" w:rsidP="00C111E1">
      <w:pPr>
        <w:spacing w:line="360" w:lineRule="auto"/>
        <w:rPr>
          <w:rFonts w:ascii="Arial" w:hAnsi="Arial" w:cs="Arial"/>
          <w:u w:val="single"/>
        </w:rPr>
      </w:pPr>
    </w:p>
    <w:p w14:paraId="4D96635D" w14:textId="1D6ECECA" w:rsidR="0084760E" w:rsidRDefault="0084760E" w:rsidP="00C111E1">
      <w:pPr>
        <w:spacing w:line="360" w:lineRule="auto"/>
        <w:rPr>
          <w:rFonts w:ascii="Arial" w:hAnsi="Arial" w:cs="Arial"/>
          <w:u w:val="single"/>
        </w:rPr>
      </w:pPr>
    </w:p>
    <w:p w14:paraId="3EFFD35B" w14:textId="775C17D5" w:rsidR="0084760E" w:rsidRDefault="0084760E" w:rsidP="00C111E1">
      <w:pPr>
        <w:spacing w:line="360" w:lineRule="auto"/>
        <w:rPr>
          <w:rFonts w:ascii="Arial" w:hAnsi="Arial" w:cs="Arial"/>
          <w:u w:val="single"/>
        </w:rPr>
      </w:pPr>
    </w:p>
    <w:p w14:paraId="230B350D" w14:textId="7FFEF222" w:rsidR="0084760E" w:rsidRDefault="0084760E" w:rsidP="00C111E1">
      <w:pPr>
        <w:spacing w:line="360" w:lineRule="auto"/>
        <w:rPr>
          <w:rFonts w:ascii="Arial" w:hAnsi="Arial" w:cs="Arial"/>
          <w:u w:val="single"/>
        </w:rPr>
      </w:pPr>
    </w:p>
    <w:p w14:paraId="729C0E51" w14:textId="67DE1EF4" w:rsidR="0084760E" w:rsidRDefault="0084760E" w:rsidP="00C111E1">
      <w:pPr>
        <w:spacing w:line="360" w:lineRule="auto"/>
        <w:rPr>
          <w:rFonts w:ascii="Arial" w:hAnsi="Arial" w:cs="Arial"/>
          <w:u w:val="single"/>
        </w:rPr>
      </w:pPr>
    </w:p>
    <w:p w14:paraId="3F32F0B7" w14:textId="77777777" w:rsidR="000473F1" w:rsidRDefault="000473F1" w:rsidP="00C111E1">
      <w:pPr>
        <w:spacing w:line="360" w:lineRule="auto"/>
        <w:rPr>
          <w:rFonts w:ascii="Arial" w:hAnsi="Arial" w:cs="Arial"/>
          <w:u w:val="single"/>
        </w:rPr>
      </w:pPr>
    </w:p>
    <w:p w14:paraId="0C036753" w14:textId="56E235B3" w:rsidR="00A376E0" w:rsidRDefault="00A376E0" w:rsidP="00C111E1">
      <w:pPr>
        <w:spacing w:line="360" w:lineRule="auto"/>
        <w:rPr>
          <w:rFonts w:ascii="Arial" w:hAnsi="Arial" w:cs="Arial"/>
          <w:u w:val="single"/>
        </w:rPr>
      </w:pPr>
      <w:r>
        <w:rPr>
          <w:rFonts w:ascii="Arial" w:hAnsi="Arial" w:cs="Arial"/>
          <w:u w:val="single"/>
        </w:rPr>
        <w:lastRenderedPageBreak/>
        <w:t>Introduction</w:t>
      </w:r>
    </w:p>
    <w:p w14:paraId="6D4C8E1A" w14:textId="77777777" w:rsidR="003E1887" w:rsidRDefault="00C45269" w:rsidP="00C111E1">
      <w:pPr>
        <w:spacing w:line="360" w:lineRule="auto"/>
        <w:rPr>
          <w:rFonts w:ascii="Arial" w:hAnsi="Arial" w:cs="Arial"/>
        </w:rPr>
      </w:pPr>
      <w:r>
        <w:rPr>
          <w:rFonts w:ascii="Arial" w:hAnsi="Arial" w:cs="Arial"/>
        </w:rPr>
        <w:t xml:space="preserve">The health campaign that </w:t>
      </w:r>
      <w:r w:rsidR="00442A67">
        <w:rPr>
          <w:rFonts w:ascii="Arial" w:hAnsi="Arial" w:cs="Arial"/>
        </w:rPr>
        <w:t>I</w:t>
      </w:r>
      <w:r>
        <w:rPr>
          <w:rFonts w:ascii="Arial" w:hAnsi="Arial" w:cs="Arial"/>
        </w:rPr>
        <w:t xml:space="preserve">, Jess, Maria and Cathy chose to </w:t>
      </w:r>
      <w:r w:rsidR="00442A67">
        <w:rPr>
          <w:rFonts w:ascii="Arial" w:hAnsi="Arial" w:cs="Arial"/>
        </w:rPr>
        <w:t>research</w:t>
      </w:r>
      <w:r>
        <w:rPr>
          <w:rFonts w:ascii="Arial" w:hAnsi="Arial" w:cs="Arial"/>
        </w:rPr>
        <w:t xml:space="preserve"> was </w:t>
      </w:r>
      <w:r w:rsidR="00442A67">
        <w:rPr>
          <w:rFonts w:ascii="Arial" w:hAnsi="Arial" w:cs="Arial"/>
        </w:rPr>
        <w:t>LGBT families and relationships</w:t>
      </w:r>
      <w:r w:rsidR="00F421A8">
        <w:rPr>
          <w:rFonts w:ascii="Arial" w:hAnsi="Arial" w:cs="Arial"/>
        </w:rPr>
        <w:t xml:space="preserve"> because there aren’t any specific services out there for LGBT families</w:t>
      </w:r>
      <w:r w:rsidR="003E1887">
        <w:rPr>
          <w:rFonts w:ascii="Arial" w:hAnsi="Arial" w:cs="Arial"/>
        </w:rPr>
        <w:t>.</w:t>
      </w:r>
      <w:r w:rsidR="00F421A8">
        <w:rPr>
          <w:rFonts w:ascii="Arial" w:hAnsi="Arial" w:cs="Arial"/>
        </w:rPr>
        <w:t xml:space="preserve"> </w:t>
      </w:r>
      <w:r w:rsidR="009E5007">
        <w:rPr>
          <w:rFonts w:ascii="Arial" w:hAnsi="Arial" w:cs="Arial"/>
        </w:rPr>
        <w:t xml:space="preserve">LGBT is a shortened term for lesbian, gay, bi-sexual and transgender </w:t>
      </w:r>
      <w:r w:rsidR="00F421A8">
        <w:rPr>
          <w:rFonts w:ascii="Arial" w:hAnsi="Arial" w:cs="Arial"/>
        </w:rPr>
        <w:t>(</w:t>
      </w:r>
      <w:r w:rsidR="009E5007">
        <w:rPr>
          <w:rFonts w:ascii="Arial" w:hAnsi="Arial" w:cs="Arial"/>
        </w:rPr>
        <w:t>LGBT foundation, 2017</w:t>
      </w:r>
      <w:r w:rsidR="00F74A19">
        <w:rPr>
          <w:rFonts w:ascii="Arial" w:hAnsi="Arial" w:cs="Arial"/>
        </w:rPr>
        <w:t>)</w:t>
      </w:r>
      <w:r w:rsidR="00F421A8">
        <w:rPr>
          <w:rFonts w:ascii="Arial" w:hAnsi="Arial" w:cs="Arial"/>
        </w:rPr>
        <w:t xml:space="preserve">. </w:t>
      </w:r>
      <w:r w:rsidR="00F4174D">
        <w:rPr>
          <w:rFonts w:ascii="Arial" w:hAnsi="Arial" w:cs="Arial"/>
        </w:rPr>
        <w:t>LGBT families is defined as a couple who are lesbian/gay/bi-sexual or trans raising children as their own whether it be through surrogacy, adoption, fostering, IVF/ donor or shared parenting between gay/ lesbian couples or gay/ heterosexual women (Mallon, 2014).</w:t>
      </w:r>
      <w:r w:rsidR="00AE47C7">
        <w:rPr>
          <w:rFonts w:ascii="Arial" w:hAnsi="Arial" w:cs="Arial"/>
        </w:rPr>
        <w:t xml:space="preserve"> The main aim of our campaign is to raise awareness about LGBT families and educate people on LGBT relationships as there was an 8,000 increase in LGBT families in the UK between 2008 and 2013 but still no specific services for</w:t>
      </w:r>
      <w:r w:rsidR="003E1887">
        <w:rPr>
          <w:rFonts w:ascii="Arial" w:hAnsi="Arial" w:cs="Arial"/>
        </w:rPr>
        <w:t xml:space="preserve"> LGBT</w:t>
      </w:r>
      <w:r w:rsidR="00AE47C7">
        <w:rPr>
          <w:rFonts w:ascii="Arial" w:hAnsi="Arial" w:cs="Arial"/>
        </w:rPr>
        <w:t xml:space="preserve"> families (FFLAG, 2019).</w:t>
      </w:r>
      <w:r w:rsidR="00F74A19">
        <w:rPr>
          <w:rFonts w:ascii="Arial" w:hAnsi="Arial" w:cs="Arial"/>
        </w:rPr>
        <w:t xml:space="preserve"> </w:t>
      </w:r>
    </w:p>
    <w:p w14:paraId="5E7A82FA" w14:textId="77777777" w:rsidR="008B7E90" w:rsidRDefault="00292B1F" w:rsidP="00C111E1">
      <w:pPr>
        <w:spacing w:line="360" w:lineRule="auto"/>
        <w:rPr>
          <w:rFonts w:ascii="Arial" w:hAnsi="Arial" w:cs="Arial"/>
        </w:rPr>
      </w:pPr>
      <w:r>
        <w:rPr>
          <w:rFonts w:ascii="Arial" w:hAnsi="Arial" w:cs="Arial"/>
        </w:rPr>
        <w:t>Although LGBT rights have swayed extremely in the right direction, lesbian, gay, bisexual and trans people still face a hoard of discrimination and hate crime even since the same sex couple act was introduced in 2013 which allowed same sex couple</w:t>
      </w:r>
      <w:r w:rsidR="007A63FA">
        <w:rPr>
          <w:rFonts w:ascii="Arial" w:hAnsi="Arial" w:cs="Arial"/>
        </w:rPr>
        <w:t>s</w:t>
      </w:r>
      <w:r>
        <w:rPr>
          <w:rFonts w:ascii="Arial" w:hAnsi="Arial" w:cs="Arial"/>
        </w:rPr>
        <w:t xml:space="preserve"> to be legally married (The Guardian, 2019)</w:t>
      </w:r>
      <w:r w:rsidR="00491618">
        <w:rPr>
          <w:rFonts w:ascii="Arial" w:hAnsi="Arial" w:cs="Arial"/>
        </w:rPr>
        <w:t>.</w:t>
      </w:r>
      <w:r w:rsidR="001C423A">
        <w:rPr>
          <w:rFonts w:ascii="Arial" w:hAnsi="Arial" w:cs="Arial"/>
        </w:rPr>
        <w:t xml:space="preserve"> </w:t>
      </w:r>
    </w:p>
    <w:p w14:paraId="20CEA7BE" w14:textId="30A5AA14" w:rsidR="003E1887" w:rsidRDefault="001C423A" w:rsidP="00C111E1">
      <w:pPr>
        <w:spacing w:line="360" w:lineRule="auto"/>
        <w:rPr>
          <w:rFonts w:ascii="Arial" w:hAnsi="Arial" w:cs="Arial"/>
        </w:rPr>
      </w:pPr>
      <w:r>
        <w:rPr>
          <w:rFonts w:ascii="Arial" w:hAnsi="Arial" w:cs="Arial"/>
        </w:rPr>
        <w:t>The government</w:t>
      </w:r>
      <w:r w:rsidR="00135C4D">
        <w:rPr>
          <w:rFonts w:ascii="Arial" w:hAnsi="Arial" w:cs="Arial"/>
        </w:rPr>
        <w:t xml:space="preserve"> introduced an LGBT action plan in 2018 to tackle things such as health, education, safety, workplace policies and laws that effect the LGBT community (Government Equalities Office, 2018) </w:t>
      </w:r>
      <w:r w:rsidR="003E1887">
        <w:rPr>
          <w:rFonts w:ascii="Arial" w:hAnsi="Arial" w:cs="Arial"/>
        </w:rPr>
        <w:t>which</w:t>
      </w:r>
      <w:r w:rsidR="00135C4D">
        <w:rPr>
          <w:rFonts w:ascii="Arial" w:hAnsi="Arial" w:cs="Arial"/>
        </w:rPr>
        <w:t xml:space="preserve"> is why our campaign is so important because it is clear that education and awareness is still vital to keep improving people’s opinions on LGBT people</w:t>
      </w:r>
      <w:r w:rsidR="007A63FA">
        <w:rPr>
          <w:rFonts w:ascii="Arial" w:hAnsi="Arial" w:cs="Arial"/>
        </w:rPr>
        <w:t xml:space="preserve"> which in turn should improve people’s behaviour</w:t>
      </w:r>
      <w:r w:rsidR="00135C4D">
        <w:rPr>
          <w:rFonts w:ascii="Arial" w:hAnsi="Arial" w:cs="Arial"/>
        </w:rPr>
        <w:t>.</w:t>
      </w:r>
    </w:p>
    <w:p w14:paraId="6FDACAD3" w14:textId="1184ABE6" w:rsidR="00A376E0" w:rsidRDefault="00135C4D" w:rsidP="00C111E1">
      <w:pPr>
        <w:spacing w:line="360" w:lineRule="auto"/>
        <w:rPr>
          <w:rFonts w:ascii="Arial" w:hAnsi="Arial" w:cs="Arial"/>
        </w:rPr>
      </w:pPr>
      <w:r>
        <w:rPr>
          <w:rFonts w:ascii="Arial" w:hAnsi="Arial" w:cs="Arial"/>
        </w:rPr>
        <w:t xml:space="preserve"> </w:t>
      </w:r>
      <w:r w:rsidR="00CF5AE5">
        <w:rPr>
          <w:rFonts w:ascii="Arial" w:hAnsi="Arial" w:cs="Arial"/>
        </w:rPr>
        <w:t>Social policy</w:t>
      </w:r>
      <w:r w:rsidR="008B7E90">
        <w:rPr>
          <w:rFonts w:ascii="Arial" w:hAnsi="Arial" w:cs="Arial"/>
        </w:rPr>
        <w:t xml:space="preserve"> also plays a big role in the LGBT community, it</w:t>
      </w:r>
      <w:r w:rsidR="00CF5AE5">
        <w:rPr>
          <w:rFonts w:ascii="Arial" w:hAnsi="Arial" w:cs="Arial"/>
        </w:rPr>
        <w:t xml:space="preserve"> is important because it ensures people’s basic human rights are met, for example, security, education, work, health and wellbeing (The London school of economics and political science, 2019), t</w:t>
      </w:r>
      <w:r w:rsidR="003E1887">
        <w:rPr>
          <w:rFonts w:ascii="Arial" w:hAnsi="Arial" w:cs="Arial"/>
        </w:rPr>
        <w:t>his is why the</w:t>
      </w:r>
      <w:r w:rsidR="00CF5AE5">
        <w:rPr>
          <w:rFonts w:ascii="Arial" w:hAnsi="Arial" w:cs="Arial"/>
        </w:rPr>
        <w:t xml:space="preserve"> Welsh Government </w:t>
      </w:r>
      <w:r w:rsidR="003E1887">
        <w:rPr>
          <w:rFonts w:ascii="Arial" w:hAnsi="Arial" w:cs="Arial"/>
        </w:rPr>
        <w:t>created</w:t>
      </w:r>
      <w:r w:rsidR="00CF5AE5">
        <w:rPr>
          <w:rFonts w:ascii="Arial" w:hAnsi="Arial" w:cs="Arial"/>
        </w:rPr>
        <w:t xml:space="preserve"> an equality and inclusion funding programme for 2017-2020 which focuses on </w:t>
      </w:r>
      <w:r w:rsidR="00FB450B">
        <w:rPr>
          <w:rFonts w:ascii="Arial" w:hAnsi="Arial" w:cs="Arial"/>
        </w:rPr>
        <w:t xml:space="preserve">engaging and empowering LGBT communities, improving advise and information services and transforming learning environments (The Welsh Government, 2019). </w:t>
      </w:r>
    </w:p>
    <w:p w14:paraId="31A4448E" w14:textId="05E6D953" w:rsidR="005F04AD" w:rsidRDefault="005F04AD" w:rsidP="00C111E1">
      <w:pPr>
        <w:spacing w:line="360" w:lineRule="auto"/>
        <w:rPr>
          <w:rFonts w:ascii="Arial" w:hAnsi="Arial" w:cs="Arial"/>
        </w:rPr>
      </w:pPr>
    </w:p>
    <w:p w14:paraId="042C018C" w14:textId="27441AC6" w:rsidR="005F04AD" w:rsidRDefault="005F04AD" w:rsidP="00C111E1">
      <w:pPr>
        <w:spacing w:line="360" w:lineRule="auto"/>
        <w:rPr>
          <w:rFonts w:ascii="Arial" w:hAnsi="Arial" w:cs="Arial"/>
        </w:rPr>
      </w:pPr>
    </w:p>
    <w:p w14:paraId="7AC3D945" w14:textId="467326E0" w:rsidR="005F04AD" w:rsidRDefault="005F04AD" w:rsidP="00C111E1">
      <w:pPr>
        <w:spacing w:line="360" w:lineRule="auto"/>
        <w:rPr>
          <w:rFonts w:ascii="Arial" w:hAnsi="Arial" w:cs="Arial"/>
        </w:rPr>
      </w:pPr>
    </w:p>
    <w:p w14:paraId="4AA72E20" w14:textId="0AA157CC" w:rsidR="005F04AD" w:rsidRDefault="005F04AD" w:rsidP="00C111E1">
      <w:pPr>
        <w:spacing w:line="360" w:lineRule="auto"/>
        <w:rPr>
          <w:rFonts w:ascii="Arial" w:hAnsi="Arial" w:cs="Arial"/>
        </w:rPr>
      </w:pPr>
    </w:p>
    <w:p w14:paraId="6AB1DC3D" w14:textId="445AF3AA" w:rsidR="005F04AD" w:rsidRDefault="005F04AD" w:rsidP="00C111E1">
      <w:pPr>
        <w:spacing w:line="360" w:lineRule="auto"/>
        <w:rPr>
          <w:rFonts w:ascii="Arial" w:hAnsi="Arial" w:cs="Arial"/>
        </w:rPr>
      </w:pPr>
    </w:p>
    <w:p w14:paraId="3B83EE06" w14:textId="77777777" w:rsidR="000473F1" w:rsidRDefault="000473F1" w:rsidP="00C111E1">
      <w:pPr>
        <w:spacing w:line="360" w:lineRule="auto"/>
        <w:rPr>
          <w:rFonts w:ascii="Arial" w:hAnsi="Arial" w:cs="Arial"/>
        </w:rPr>
      </w:pPr>
    </w:p>
    <w:p w14:paraId="21BCAAE0" w14:textId="20496A68" w:rsidR="005F04AD" w:rsidRDefault="005F04AD" w:rsidP="00C111E1">
      <w:pPr>
        <w:spacing w:line="360" w:lineRule="auto"/>
        <w:rPr>
          <w:rFonts w:ascii="Arial" w:hAnsi="Arial" w:cs="Arial"/>
          <w:u w:val="single"/>
        </w:rPr>
      </w:pPr>
      <w:bookmarkStart w:id="0" w:name="_GoBack"/>
      <w:bookmarkEnd w:id="0"/>
      <w:r>
        <w:rPr>
          <w:rFonts w:ascii="Arial" w:hAnsi="Arial" w:cs="Arial"/>
          <w:u w:val="single"/>
        </w:rPr>
        <w:lastRenderedPageBreak/>
        <w:t>Reflection</w:t>
      </w:r>
    </w:p>
    <w:p w14:paraId="43DF60BF" w14:textId="3729FFB4" w:rsidR="005F04AD" w:rsidRDefault="005F04AD" w:rsidP="00C111E1">
      <w:pPr>
        <w:spacing w:line="360" w:lineRule="auto"/>
        <w:rPr>
          <w:rFonts w:ascii="Arial" w:hAnsi="Arial" w:cs="Arial"/>
        </w:rPr>
      </w:pPr>
      <w:r>
        <w:rPr>
          <w:rFonts w:ascii="Arial" w:hAnsi="Arial" w:cs="Arial"/>
        </w:rPr>
        <w:t>For the purpose of my assignment reflection I will be using Gibbs</w:t>
      </w:r>
      <w:r w:rsidR="0022515B">
        <w:rPr>
          <w:rFonts w:ascii="Arial" w:hAnsi="Arial" w:cs="Arial"/>
        </w:rPr>
        <w:t>’</w:t>
      </w:r>
      <w:r>
        <w:rPr>
          <w:rFonts w:ascii="Arial" w:hAnsi="Arial" w:cs="Arial"/>
        </w:rPr>
        <w:t xml:space="preserve"> model of reflection. </w:t>
      </w:r>
      <w:r w:rsidR="00A254C1">
        <w:rPr>
          <w:rFonts w:ascii="Arial" w:hAnsi="Arial" w:cs="Arial"/>
        </w:rPr>
        <w:t>Gibbs</w:t>
      </w:r>
      <w:r w:rsidR="0022515B">
        <w:rPr>
          <w:rFonts w:ascii="Arial" w:hAnsi="Arial" w:cs="Arial"/>
        </w:rPr>
        <w:t>’</w:t>
      </w:r>
      <w:r w:rsidR="00A254C1">
        <w:rPr>
          <w:rFonts w:ascii="Arial" w:hAnsi="Arial" w:cs="Arial"/>
        </w:rPr>
        <w:t xml:space="preserve"> reflective model was created in 1988 and it enables a person to learn, adapt</w:t>
      </w:r>
      <w:r w:rsidR="00517655">
        <w:rPr>
          <w:rFonts w:ascii="Arial" w:hAnsi="Arial" w:cs="Arial"/>
        </w:rPr>
        <w:t xml:space="preserve">, </w:t>
      </w:r>
      <w:r w:rsidR="00A254C1">
        <w:rPr>
          <w:rFonts w:ascii="Arial" w:hAnsi="Arial" w:cs="Arial"/>
        </w:rPr>
        <w:t xml:space="preserve">concur </w:t>
      </w:r>
      <w:r w:rsidR="00517655">
        <w:rPr>
          <w:rFonts w:ascii="Arial" w:hAnsi="Arial" w:cs="Arial"/>
        </w:rPr>
        <w:t xml:space="preserve">on an experience and make future improvements (The University of Edinburgh, 2019). </w:t>
      </w:r>
    </w:p>
    <w:p w14:paraId="103D4044" w14:textId="152BB001" w:rsidR="00B07B05" w:rsidRDefault="003F4A11" w:rsidP="00C111E1">
      <w:pPr>
        <w:spacing w:line="360" w:lineRule="auto"/>
        <w:rPr>
          <w:rFonts w:ascii="Arial" w:hAnsi="Arial" w:cs="Arial"/>
        </w:rPr>
      </w:pPr>
      <w:r>
        <w:rPr>
          <w:rFonts w:ascii="Arial" w:hAnsi="Arial" w:cs="Arial"/>
        </w:rPr>
        <w:t xml:space="preserve">Description- </w:t>
      </w:r>
      <w:r w:rsidR="00AD13D4">
        <w:rPr>
          <w:rFonts w:ascii="Arial" w:hAnsi="Arial" w:cs="Arial"/>
        </w:rPr>
        <w:t>Jess, Maria</w:t>
      </w:r>
      <w:r w:rsidR="00E55168">
        <w:rPr>
          <w:rFonts w:ascii="Arial" w:hAnsi="Arial" w:cs="Arial"/>
        </w:rPr>
        <w:t xml:space="preserve">, </w:t>
      </w:r>
      <w:r w:rsidR="00AD13D4">
        <w:rPr>
          <w:rFonts w:ascii="Arial" w:hAnsi="Arial" w:cs="Arial"/>
        </w:rPr>
        <w:t xml:space="preserve">Cathy </w:t>
      </w:r>
      <w:r w:rsidR="00E55168">
        <w:rPr>
          <w:rFonts w:ascii="Arial" w:hAnsi="Arial" w:cs="Arial"/>
        </w:rPr>
        <w:t xml:space="preserve">and I </w:t>
      </w:r>
      <w:r w:rsidR="00AD13D4">
        <w:rPr>
          <w:rFonts w:ascii="Arial" w:hAnsi="Arial" w:cs="Arial"/>
        </w:rPr>
        <w:t xml:space="preserve">researched LGBT communities in South Wales and </w:t>
      </w:r>
      <w:r w:rsidR="00B07B05">
        <w:rPr>
          <w:rFonts w:ascii="Arial" w:hAnsi="Arial" w:cs="Arial"/>
        </w:rPr>
        <w:t>concluded</w:t>
      </w:r>
      <w:r w:rsidR="00AD13D4">
        <w:rPr>
          <w:rFonts w:ascii="Arial" w:hAnsi="Arial" w:cs="Arial"/>
        </w:rPr>
        <w:t xml:space="preserve"> that specific services need to be made available to LGBT families</w:t>
      </w:r>
      <w:r w:rsidR="00B07B05">
        <w:rPr>
          <w:rFonts w:ascii="Arial" w:hAnsi="Arial" w:cs="Arial"/>
        </w:rPr>
        <w:t>. W</w:t>
      </w:r>
      <w:r w:rsidR="00AD13D4">
        <w:rPr>
          <w:rFonts w:ascii="Arial" w:hAnsi="Arial" w:cs="Arial"/>
        </w:rPr>
        <w:t xml:space="preserve">e came up with the idea of opening our own facility which would provide LGBT families with the services they need such as counselling services and a community safe place for them to come to when needed, we </w:t>
      </w:r>
      <w:r w:rsidR="00B07B05">
        <w:rPr>
          <w:rFonts w:ascii="Arial" w:hAnsi="Arial" w:cs="Arial"/>
        </w:rPr>
        <w:t>also decided</w:t>
      </w:r>
      <w:r w:rsidR="00AD13D4">
        <w:rPr>
          <w:rFonts w:ascii="Arial" w:hAnsi="Arial" w:cs="Arial"/>
        </w:rPr>
        <w:t xml:space="preserve"> that we would</w:t>
      </w:r>
      <w:r w:rsidR="00B07B05">
        <w:rPr>
          <w:rFonts w:ascii="Arial" w:hAnsi="Arial" w:cs="Arial"/>
        </w:rPr>
        <w:t xml:space="preserve"> try and</w:t>
      </w:r>
      <w:r w:rsidR="00AD13D4">
        <w:rPr>
          <w:rFonts w:ascii="Arial" w:hAnsi="Arial" w:cs="Arial"/>
        </w:rPr>
        <w:t xml:space="preserve"> get funding from the local government and </w:t>
      </w:r>
      <w:r w:rsidR="00B07B05">
        <w:rPr>
          <w:rFonts w:ascii="Arial" w:hAnsi="Arial" w:cs="Arial"/>
        </w:rPr>
        <w:t>raise our own funds by running</w:t>
      </w:r>
      <w:r w:rsidR="00AD13D4">
        <w:rPr>
          <w:rFonts w:ascii="Arial" w:hAnsi="Arial" w:cs="Arial"/>
        </w:rPr>
        <w:t xml:space="preserve"> ou</w:t>
      </w:r>
      <w:r w:rsidR="00B07B05">
        <w:rPr>
          <w:rFonts w:ascii="Arial" w:hAnsi="Arial" w:cs="Arial"/>
        </w:rPr>
        <w:t xml:space="preserve">r </w:t>
      </w:r>
      <w:r w:rsidR="00AD13D4">
        <w:rPr>
          <w:rFonts w:ascii="Arial" w:hAnsi="Arial" w:cs="Arial"/>
        </w:rPr>
        <w:t>own community events where everyone is welcome.</w:t>
      </w:r>
      <w:r w:rsidR="00E1215B">
        <w:rPr>
          <w:rFonts w:ascii="Arial" w:hAnsi="Arial" w:cs="Arial"/>
        </w:rPr>
        <w:t xml:space="preserve"> (Please see image 7 of the appendix for examples of leaflets we researched).</w:t>
      </w:r>
    </w:p>
    <w:p w14:paraId="5BEBB779" w14:textId="0225782D" w:rsidR="00F0339A" w:rsidRDefault="00AD13D4" w:rsidP="00C111E1">
      <w:pPr>
        <w:spacing w:line="360" w:lineRule="auto"/>
        <w:rPr>
          <w:rFonts w:ascii="Arial" w:hAnsi="Arial" w:cs="Arial"/>
        </w:rPr>
      </w:pPr>
      <w:r>
        <w:rPr>
          <w:rFonts w:ascii="Arial" w:hAnsi="Arial" w:cs="Arial"/>
        </w:rPr>
        <w:t xml:space="preserve"> </w:t>
      </w:r>
      <w:r w:rsidR="00467A87">
        <w:rPr>
          <w:rFonts w:ascii="Arial" w:hAnsi="Arial" w:cs="Arial"/>
        </w:rPr>
        <w:t xml:space="preserve">As a </w:t>
      </w:r>
      <w:r w:rsidR="00B07B05">
        <w:rPr>
          <w:rFonts w:ascii="Arial" w:hAnsi="Arial" w:cs="Arial"/>
        </w:rPr>
        <w:t>team</w:t>
      </w:r>
      <w:r w:rsidR="00467A87">
        <w:rPr>
          <w:rFonts w:ascii="Arial" w:hAnsi="Arial" w:cs="Arial"/>
        </w:rPr>
        <w:t xml:space="preserve"> we decided to do a group presentation to promote our health campaign</w:t>
      </w:r>
      <w:r w:rsidR="009323BE">
        <w:rPr>
          <w:rFonts w:ascii="Arial" w:hAnsi="Arial" w:cs="Arial"/>
        </w:rPr>
        <w:t xml:space="preserve">, Sander et al </w:t>
      </w:r>
      <w:r w:rsidR="00F0339A">
        <w:rPr>
          <w:rFonts w:ascii="Arial" w:hAnsi="Arial" w:cs="Arial"/>
        </w:rPr>
        <w:t xml:space="preserve">(2002) </w:t>
      </w:r>
      <w:r w:rsidR="009323BE">
        <w:rPr>
          <w:rFonts w:ascii="Arial" w:hAnsi="Arial" w:cs="Arial"/>
        </w:rPr>
        <w:t>explains that class presentations are beneficial as they promote the sharing of information and enthusiasm, they encourage independent learning</w:t>
      </w:r>
      <w:r w:rsidR="00F0339A">
        <w:rPr>
          <w:rFonts w:ascii="Arial" w:hAnsi="Arial" w:cs="Arial"/>
        </w:rPr>
        <w:t xml:space="preserve"> and</w:t>
      </w:r>
      <w:r w:rsidR="009323BE">
        <w:rPr>
          <w:rFonts w:ascii="Arial" w:hAnsi="Arial" w:cs="Arial"/>
        </w:rPr>
        <w:t xml:space="preserve"> they develop team and listening skills</w:t>
      </w:r>
      <w:r w:rsidR="007150EE">
        <w:rPr>
          <w:rFonts w:ascii="Arial" w:hAnsi="Arial" w:cs="Arial"/>
        </w:rPr>
        <w:t>, howeve</w:t>
      </w:r>
      <w:r w:rsidR="00F0339A">
        <w:rPr>
          <w:rFonts w:ascii="Arial" w:hAnsi="Arial" w:cs="Arial"/>
        </w:rPr>
        <w:t>r</w:t>
      </w:r>
      <w:r w:rsidR="007150EE">
        <w:rPr>
          <w:rFonts w:ascii="Arial" w:hAnsi="Arial" w:cs="Arial"/>
        </w:rPr>
        <w:t xml:space="preserve">, </w:t>
      </w:r>
      <w:proofErr w:type="spellStart"/>
      <w:r w:rsidR="007150EE">
        <w:rPr>
          <w:rFonts w:ascii="Arial" w:hAnsi="Arial" w:cs="Arial"/>
        </w:rPr>
        <w:t>Chiriac</w:t>
      </w:r>
      <w:proofErr w:type="spellEnd"/>
      <w:r w:rsidR="007150EE">
        <w:rPr>
          <w:rFonts w:ascii="Arial" w:hAnsi="Arial" w:cs="Arial"/>
        </w:rPr>
        <w:t xml:space="preserve"> (2014) argues that group presentations can decrease valuable teaching time and that any negative conflict can be detrimental to the assignment. </w:t>
      </w:r>
      <w:r w:rsidR="00B62BE0">
        <w:rPr>
          <w:rFonts w:ascii="Arial" w:hAnsi="Arial" w:cs="Arial"/>
        </w:rPr>
        <w:t>(Please see images 1-5 of the appendix</w:t>
      </w:r>
      <w:r w:rsidR="008B7E90">
        <w:rPr>
          <w:rFonts w:ascii="Arial" w:hAnsi="Arial" w:cs="Arial"/>
        </w:rPr>
        <w:t xml:space="preserve"> for the presentation slides</w:t>
      </w:r>
      <w:r w:rsidR="00B62BE0">
        <w:rPr>
          <w:rFonts w:ascii="Arial" w:hAnsi="Arial" w:cs="Arial"/>
        </w:rPr>
        <w:t>).</w:t>
      </w:r>
    </w:p>
    <w:p w14:paraId="4A663B93" w14:textId="60D6EEFF" w:rsidR="00F0339A" w:rsidRDefault="00F0339A" w:rsidP="00C111E1">
      <w:pPr>
        <w:spacing w:line="360" w:lineRule="auto"/>
        <w:rPr>
          <w:rFonts w:ascii="Arial" w:hAnsi="Arial" w:cs="Arial"/>
        </w:rPr>
      </w:pPr>
      <w:r>
        <w:rPr>
          <w:rFonts w:ascii="Arial" w:hAnsi="Arial" w:cs="Arial"/>
        </w:rPr>
        <w:t>We all decided to use the theory of planned behaviour as this is the most appropriate behaviour model to change people’s thoughts and in turn, their behaviour (</w:t>
      </w:r>
      <w:proofErr w:type="spellStart"/>
      <w:r>
        <w:rPr>
          <w:rFonts w:ascii="Arial" w:hAnsi="Arial" w:cs="Arial"/>
        </w:rPr>
        <w:t>Ajzen</w:t>
      </w:r>
      <w:proofErr w:type="spellEnd"/>
      <w:r>
        <w:rPr>
          <w:rFonts w:ascii="Arial" w:hAnsi="Arial" w:cs="Arial"/>
        </w:rPr>
        <w:t>, 2011).</w:t>
      </w:r>
      <w:r w:rsidR="00B62BE0">
        <w:rPr>
          <w:rFonts w:ascii="Arial" w:hAnsi="Arial" w:cs="Arial"/>
        </w:rPr>
        <w:t xml:space="preserve"> (Please see image 6 of the appendix for my presentation notes).</w:t>
      </w:r>
    </w:p>
    <w:p w14:paraId="5D6A7D63" w14:textId="7688BBFE" w:rsidR="00F0339A" w:rsidRDefault="009323BE" w:rsidP="00C111E1">
      <w:pPr>
        <w:spacing w:line="360" w:lineRule="auto"/>
        <w:rPr>
          <w:rFonts w:ascii="Arial" w:hAnsi="Arial" w:cs="Arial"/>
        </w:rPr>
      </w:pPr>
      <w:r>
        <w:rPr>
          <w:rFonts w:ascii="Arial" w:hAnsi="Arial" w:cs="Arial"/>
        </w:rPr>
        <w:t xml:space="preserve"> </w:t>
      </w:r>
      <w:r w:rsidR="004C2BF3">
        <w:rPr>
          <w:rFonts w:ascii="Arial" w:hAnsi="Arial" w:cs="Arial"/>
        </w:rPr>
        <w:t xml:space="preserve">As a group we </w:t>
      </w:r>
      <w:r w:rsidR="00743ABA">
        <w:rPr>
          <w:rFonts w:ascii="Arial" w:hAnsi="Arial" w:cs="Arial"/>
        </w:rPr>
        <w:t xml:space="preserve">chose </w:t>
      </w:r>
      <w:r w:rsidR="004C2BF3">
        <w:rPr>
          <w:rFonts w:ascii="Arial" w:hAnsi="Arial" w:cs="Arial"/>
        </w:rPr>
        <w:t>to set up a page on Facebook and Instagram to raise awareness about our health campaign, we gained over 200 followers on each social media platform</w:t>
      </w:r>
      <w:r w:rsidR="00F0339A">
        <w:rPr>
          <w:rFonts w:ascii="Arial" w:hAnsi="Arial" w:cs="Arial"/>
        </w:rPr>
        <w:t>.</w:t>
      </w:r>
      <w:r w:rsidR="00284E8C">
        <w:rPr>
          <w:rFonts w:ascii="Arial" w:hAnsi="Arial" w:cs="Arial"/>
        </w:rPr>
        <w:t xml:space="preserve"> </w:t>
      </w:r>
      <w:proofErr w:type="spellStart"/>
      <w:r w:rsidR="00284E8C">
        <w:rPr>
          <w:rFonts w:ascii="Arial" w:hAnsi="Arial" w:cs="Arial"/>
        </w:rPr>
        <w:t>Househ</w:t>
      </w:r>
      <w:proofErr w:type="spellEnd"/>
      <w:r w:rsidR="00284E8C">
        <w:rPr>
          <w:rFonts w:ascii="Arial" w:hAnsi="Arial" w:cs="Arial"/>
        </w:rPr>
        <w:t xml:space="preserve"> et al</w:t>
      </w:r>
      <w:r w:rsidR="00F0339A">
        <w:rPr>
          <w:rFonts w:ascii="Arial" w:hAnsi="Arial" w:cs="Arial"/>
        </w:rPr>
        <w:t xml:space="preserve"> (</w:t>
      </w:r>
      <w:r w:rsidR="00284E8C">
        <w:rPr>
          <w:rFonts w:ascii="Arial" w:hAnsi="Arial" w:cs="Arial"/>
        </w:rPr>
        <w:t>2014</w:t>
      </w:r>
      <w:r w:rsidR="00F0339A">
        <w:rPr>
          <w:rFonts w:ascii="Arial" w:hAnsi="Arial" w:cs="Arial"/>
        </w:rPr>
        <w:t>)</w:t>
      </w:r>
      <w:r w:rsidR="00284E8C">
        <w:rPr>
          <w:rFonts w:ascii="Arial" w:hAnsi="Arial" w:cs="Arial"/>
        </w:rPr>
        <w:t xml:space="preserve"> and Maher et al</w:t>
      </w:r>
      <w:r w:rsidR="00F0339A">
        <w:rPr>
          <w:rFonts w:ascii="Arial" w:hAnsi="Arial" w:cs="Arial"/>
        </w:rPr>
        <w:t xml:space="preserve"> (</w:t>
      </w:r>
      <w:r w:rsidR="00284E8C">
        <w:rPr>
          <w:rFonts w:ascii="Arial" w:hAnsi="Arial" w:cs="Arial"/>
        </w:rPr>
        <w:t>2014</w:t>
      </w:r>
      <w:r w:rsidR="00F0339A">
        <w:rPr>
          <w:rFonts w:ascii="Arial" w:hAnsi="Arial" w:cs="Arial"/>
        </w:rPr>
        <w:t>)</w:t>
      </w:r>
      <w:r w:rsidR="00284E8C">
        <w:rPr>
          <w:rFonts w:ascii="Arial" w:hAnsi="Arial" w:cs="Arial"/>
        </w:rPr>
        <w:t xml:space="preserve"> both agree that social media can be effective in healthcare campaigns because they reach large audiences, social networking achieve</w:t>
      </w:r>
      <w:r w:rsidR="00F0339A">
        <w:rPr>
          <w:rFonts w:ascii="Arial" w:hAnsi="Arial" w:cs="Arial"/>
        </w:rPr>
        <w:t>s</w:t>
      </w:r>
      <w:r w:rsidR="00284E8C">
        <w:rPr>
          <w:rFonts w:ascii="Arial" w:hAnsi="Arial" w:cs="Arial"/>
        </w:rPr>
        <w:t xml:space="preserve"> high user engagement and requires users to actively engage and </w:t>
      </w:r>
      <w:r w:rsidR="0065452B">
        <w:rPr>
          <w:rFonts w:ascii="Arial" w:hAnsi="Arial" w:cs="Arial"/>
        </w:rPr>
        <w:t>generate content</w:t>
      </w:r>
      <w:r w:rsidR="00E068E9">
        <w:rPr>
          <w:rFonts w:ascii="Arial" w:hAnsi="Arial" w:cs="Arial"/>
        </w:rPr>
        <w:t xml:space="preserve">, however, Islam et al (2019) argues that extensive research needs to be done in order to successfully determine how useful social media can be when promoting health campaigns as it comes with its own risks such as risking confidentiality and privacy and it also has a lack of regulation and guidelines. </w:t>
      </w:r>
      <w:r w:rsidR="00743ABA">
        <w:rPr>
          <w:rFonts w:ascii="Arial" w:hAnsi="Arial" w:cs="Arial"/>
        </w:rPr>
        <w:t>(Please see images 8 and 9 of the appendix</w:t>
      </w:r>
      <w:r w:rsidR="008B7E90">
        <w:rPr>
          <w:rFonts w:ascii="Arial" w:hAnsi="Arial" w:cs="Arial"/>
        </w:rPr>
        <w:t xml:space="preserve"> for images of our social media pages</w:t>
      </w:r>
      <w:r w:rsidR="00743ABA">
        <w:rPr>
          <w:rFonts w:ascii="Arial" w:hAnsi="Arial" w:cs="Arial"/>
        </w:rPr>
        <w:t>).</w:t>
      </w:r>
    </w:p>
    <w:p w14:paraId="61435BEE" w14:textId="75F89B4B" w:rsidR="003F4A11" w:rsidRDefault="0065452B" w:rsidP="00C111E1">
      <w:pPr>
        <w:spacing w:line="360" w:lineRule="auto"/>
        <w:rPr>
          <w:rFonts w:ascii="Arial" w:hAnsi="Arial" w:cs="Arial"/>
        </w:rPr>
      </w:pPr>
      <w:r>
        <w:rPr>
          <w:rFonts w:ascii="Arial" w:hAnsi="Arial" w:cs="Arial"/>
        </w:rPr>
        <w:t xml:space="preserve"> </w:t>
      </w:r>
      <w:r w:rsidR="001D5181">
        <w:rPr>
          <w:rFonts w:ascii="Arial" w:hAnsi="Arial" w:cs="Arial"/>
        </w:rPr>
        <w:t xml:space="preserve">When putting our presentation together we each discussed who needed to research what and who was going to say which part during the presentation. </w:t>
      </w:r>
    </w:p>
    <w:p w14:paraId="529C282D" w14:textId="77777777" w:rsidR="00E068E9" w:rsidRDefault="00374990" w:rsidP="00C111E1">
      <w:pPr>
        <w:spacing w:line="360" w:lineRule="auto"/>
        <w:rPr>
          <w:rFonts w:ascii="Arial" w:hAnsi="Arial" w:cs="Arial"/>
        </w:rPr>
      </w:pPr>
      <w:r>
        <w:rPr>
          <w:rFonts w:ascii="Arial" w:hAnsi="Arial" w:cs="Arial"/>
        </w:rPr>
        <w:t xml:space="preserve">Feelings- at first I was apprehensive to do this particular health campaign because whilst I am pro LGBT I don’t know much about it as it has never </w:t>
      </w:r>
      <w:r w:rsidR="00FD5125">
        <w:rPr>
          <w:rFonts w:ascii="Arial" w:hAnsi="Arial" w:cs="Arial"/>
        </w:rPr>
        <w:t>affected me</w:t>
      </w:r>
      <w:r>
        <w:rPr>
          <w:rFonts w:ascii="Arial" w:hAnsi="Arial" w:cs="Arial"/>
        </w:rPr>
        <w:t xml:space="preserve">, however, when </w:t>
      </w:r>
      <w:r>
        <w:rPr>
          <w:rFonts w:ascii="Arial" w:hAnsi="Arial" w:cs="Arial"/>
        </w:rPr>
        <w:lastRenderedPageBreak/>
        <w:t xml:space="preserve">researching I found some interesting statistics and </w:t>
      </w:r>
      <w:r w:rsidR="00E068E9">
        <w:rPr>
          <w:rFonts w:ascii="Arial" w:hAnsi="Arial" w:cs="Arial"/>
        </w:rPr>
        <w:t xml:space="preserve">I have always </w:t>
      </w:r>
      <w:r>
        <w:rPr>
          <w:rFonts w:ascii="Arial" w:hAnsi="Arial" w:cs="Arial"/>
        </w:rPr>
        <w:t>fe</w:t>
      </w:r>
      <w:r w:rsidR="00E068E9">
        <w:rPr>
          <w:rFonts w:ascii="Arial" w:hAnsi="Arial" w:cs="Arial"/>
        </w:rPr>
        <w:t>lt</w:t>
      </w:r>
      <w:r>
        <w:rPr>
          <w:rFonts w:ascii="Arial" w:hAnsi="Arial" w:cs="Arial"/>
        </w:rPr>
        <w:t xml:space="preserve"> passionate about all people being able to live freely and happily</w:t>
      </w:r>
      <w:r w:rsidR="00FD5125">
        <w:rPr>
          <w:rFonts w:ascii="Arial" w:hAnsi="Arial" w:cs="Arial"/>
        </w:rPr>
        <w:t xml:space="preserve"> so I made it work as best as I could. I feel that we all worked well as a group and communicated effectively, we all made effort to research the subject and put our own ideas in, however, there was one individual who took control over most of the campaign as they knew the most about it and had a personal connection with the subject.</w:t>
      </w:r>
    </w:p>
    <w:p w14:paraId="24A41E3C" w14:textId="56BA1696" w:rsidR="00374990" w:rsidRDefault="00FD5125" w:rsidP="00C111E1">
      <w:pPr>
        <w:spacing w:line="360" w:lineRule="auto"/>
        <w:rPr>
          <w:rFonts w:ascii="Arial" w:hAnsi="Arial" w:cs="Arial"/>
        </w:rPr>
      </w:pPr>
      <w:r>
        <w:rPr>
          <w:rFonts w:ascii="Arial" w:hAnsi="Arial" w:cs="Arial"/>
        </w:rPr>
        <w:t xml:space="preserve"> In my opinion the presentation went well however some people were more confident speakers than others but </w:t>
      </w:r>
      <w:proofErr w:type="gramStart"/>
      <w:r>
        <w:rPr>
          <w:rFonts w:ascii="Arial" w:hAnsi="Arial" w:cs="Arial"/>
        </w:rPr>
        <w:t>as a whole we</w:t>
      </w:r>
      <w:proofErr w:type="gramEnd"/>
      <w:r>
        <w:rPr>
          <w:rFonts w:ascii="Arial" w:hAnsi="Arial" w:cs="Arial"/>
        </w:rPr>
        <w:t xml:space="preserve"> got the information across and </w:t>
      </w:r>
      <w:r w:rsidR="00E068E9">
        <w:rPr>
          <w:rFonts w:ascii="Arial" w:hAnsi="Arial" w:cs="Arial"/>
        </w:rPr>
        <w:t xml:space="preserve">we </w:t>
      </w:r>
      <w:r>
        <w:rPr>
          <w:rFonts w:ascii="Arial" w:hAnsi="Arial" w:cs="Arial"/>
        </w:rPr>
        <w:t xml:space="preserve">were all able to answer questions that the panel asked us. </w:t>
      </w:r>
      <w:r w:rsidR="009A6608">
        <w:rPr>
          <w:rFonts w:ascii="Arial" w:hAnsi="Arial" w:cs="Arial"/>
        </w:rPr>
        <w:t xml:space="preserve">I felt positive about the presentation as I was able to answer questions even though I don’t particularly have a lot of knowledge on the subject. At one point of the presentation I felt I needed to talk over one member of the group as they were answering a lot of the questions and not enabling any of the other members to answer anything, however, the individual was aware </w:t>
      </w:r>
      <w:r w:rsidR="008B7E90">
        <w:rPr>
          <w:rFonts w:ascii="Arial" w:hAnsi="Arial" w:cs="Arial"/>
        </w:rPr>
        <w:t>that the rest of the group were</w:t>
      </w:r>
      <w:r w:rsidR="009A6608">
        <w:rPr>
          <w:rFonts w:ascii="Arial" w:hAnsi="Arial" w:cs="Arial"/>
        </w:rPr>
        <w:t xml:space="preserve"> nervous as we didn’t know as much about LGBT as themselves. </w:t>
      </w:r>
    </w:p>
    <w:p w14:paraId="5041836D" w14:textId="588420A1" w:rsidR="00E068E9" w:rsidRDefault="0053761C" w:rsidP="00C111E1">
      <w:pPr>
        <w:spacing w:line="360" w:lineRule="auto"/>
        <w:rPr>
          <w:rFonts w:ascii="Arial" w:hAnsi="Arial" w:cs="Arial"/>
        </w:rPr>
      </w:pPr>
      <w:r>
        <w:rPr>
          <w:rFonts w:ascii="Arial" w:hAnsi="Arial" w:cs="Arial"/>
        </w:rPr>
        <w:t xml:space="preserve">Evaluation- </w:t>
      </w:r>
      <w:r w:rsidR="00B81CD1">
        <w:rPr>
          <w:rFonts w:ascii="Arial" w:hAnsi="Arial" w:cs="Arial"/>
        </w:rPr>
        <w:t xml:space="preserve">overall our performance was positive and we worked well together as a group, </w:t>
      </w:r>
      <w:r w:rsidR="00E068E9">
        <w:rPr>
          <w:rFonts w:ascii="Arial" w:hAnsi="Arial" w:cs="Arial"/>
        </w:rPr>
        <w:t>although</w:t>
      </w:r>
      <w:r w:rsidR="00B81CD1">
        <w:rPr>
          <w:rFonts w:ascii="Arial" w:hAnsi="Arial" w:cs="Arial"/>
        </w:rPr>
        <w:t xml:space="preserve">, I feel that the majority of us would have been more comfortable and able to apply ourselves more if we were creating a health campaign for something that appealed more to us as individuals. </w:t>
      </w:r>
      <w:r w:rsidR="008D0DA5">
        <w:rPr>
          <w:rFonts w:ascii="Arial" w:hAnsi="Arial" w:cs="Arial"/>
        </w:rPr>
        <w:t xml:space="preserve">The presentation we gave was successful and I feel that we got our point across as to why it is important that there are more support services </w:t>
      </w:r>
      <w:r w:rsidR="008B7E90">
        <w:rPr>
          <w:rFonts w:ascii="Arial" w:hAnsi="Arial" w:cs="Arial"/>
        </w:rPr>
        <w:t xml:space="preserve">put in place </w:t>
      </w:r>
      <w:r w:rsidR="008D0DA5">
        <w:rPr>
          <w:rFonts w:ascii="Arial" w:hAnsi="Arial" w:cs="Arial"/>
        </w:rPr>
        <w:t xml:space="preserve">for LGBT families. </w:t>
      </w:r>
    </w:p>
    <w:p w14:paraId="13449B57" w14:textId="7BCEC319" w:rsidR="007A63FA" w:rsidRDefault="008D0DA5" w:rsidP="00C111E1">
      <w:pPr>
        <w:spacing w:line="360" w:lineRule="auto"/>
        <w:rPr>
          <w:rFonts w:ascii="Arial" w:hAnsi="Arial" w:cs="Arial"/>
        </w:rPr>
      </w:pPr>
      <w:r>
        <w:rPr>
          <w:rFonts w:ascii="Arial" w:hAnsi="Arial" w:cs="Arial"/>
        </w:rPr>
        <w:t xml:space="preserve">Seeing each other face to face was difficult as during lecture time we couldn’t plan for the assignment and some group members live far away so we set up a </w:t>
      </w:r>
      <w:proofErr w:type="spellStart"/>
      <w:r>
        <w:rPr>
          <w:rFonts w:ascii="Arial" w:hAnsi="Arial" w:cs="Arial"/>
        </w:rPr>
        <w:t>Whatsapp</w:t>
      </w:r>
      <w:proofErr w:type="spellEnd"/>
      <w:r>
        <w:rPr>
          <w:rFonts w:ascii="Arial" w:hAnsi="Arial" w:cs="Arial"/>
        </w:rPr>
        <w:t xml:space="preserve"> group to communicate with each other and share our ideas, this worked well for us and everyone participated, it</w:t>
      </w:r>
      <w:r w:rsidR="00E068E9">
        <w:rPr>
          <w:rFonts w:ascii="Arial" w:hAnsi="Arial" w:cs="Arial"/>
        </w:rPr>
        <w:t xml:space="preserve"> was</w:t>
      </w:r>
      <w:r>
        <w:rPr>
          <w:rFonts w:ascii="Arial" w:hAnsi="Arial" w:cs="Arial"/>
        </w:rPr>
        <w:t xml:space="preserve"> also a plus that our ideas were documented so we could go back to them.</w:t>
      </w:r>
      <w:r w:rsidR="00A60FAE">
        <w:rPr>
          <w:rFonts w:ascii="Arial" w:hAnsi="Arial" w:cs="Arial"/>
        </w:rPr>
        <w:t xml:space="preserve"> The only negative </w:t>
      </w:r>
      <w:r w:rsidR="00E068E9">
        <w:rPr>
          <w:rFonts w:ascii="Arial" w:hAnsi="Arial" w:cs="Arial"/>
        </w:rPr>
        <w:t xml:space="preserve">part </w:t>
      </w:r>
      <w:r w:rsidR="00A60FAE">
        <w:rPr>
          <w:rFonts w:ascii="Arial" w:hAnsi="Arial" w:cs="Arial"/>
        </w:rPr>
        <w:t xml:space="preserve">about the assignment was that some members didn’t have the confidence to present effectively or answer questions that the panel were asking. </w:t>
      </w:r>
    </w:p>
    <w:p w14:paraId="79DE5E2B" w14:textId="21D14DE2" w:rsidR="009B1CE9" w:rsidRDefault="009B1CE9" w:rsidP="00C111E1">
      <w:pPr>
        <w:spacing w:line="360" w:lineRule="auto"/>
        <w:rPr>
          <w:rFonts w:ascii="Arial" w:hAnsi="Arial" w:cs="Arial"/>
        </w:rPr>
      </w:pPr>
      <w:r>
        <w:rPr>
          <w:rFonts w:ascii="Arial" w:hAnsi="Arial" w:cs="Arial"/>
        </w:rPr>
        <w:t xml:space="preserve">Analysis- I think the assignment went well because we all communicated effectively and all participated in deciding who, what, when, where and why. We all decided together what our strengths and weaknesses </w:t>
      </w:r>
      <w:r w:rsidR="00E068E9">
        <w:rPr>
          <w:rFonts w:ascii="Arial" w:hAnsi="Arial" w:cs="Arial"/>
        </w:rPr>
        <w:t>were,</w:t>
      </w:r>
      <w:r>
        <w:rPr>
          <w:rFonts w:ascii="Arial" w:hAnsi="Arial" w:cs="Arial"/>
        </w:rPr>
        <w:t xml:space="preserve"> and we all made sure we were comfortable in presenting the parts we each had. </w:t>
      </w:r>
      <w:r w:rsidR="00666A95">
        <w:rPr>
          <w:rFonts w:ascii="Arial" w:hAnsi="Arial" w:cs="Arial"/>
        </w:rPr>
        <w:t xml:space="preserve">Although I am </w:t>
      </w:r>
      <w:r w:rsidR="00E068E9">
        <w:rPr>
          <w:rFonts w:ascii="Arial" w:hAnsi="Arial" w:cs="Arial"/>
        </w:rPr>
        <w:t>confident</w:t>
      </w:r>
      <w:r w:rsidR="00666A95">
        <w:rPr>
          <w:rFonts w:ascii="Arial" w:hAnsi="Arial" w:cs="Arial"/>
        </w:rPr>
        <w:t xml:space="preserve"> we were successful as a group some </w:t>
      </w:r>
      <w:r w:rsidR="00E068E9">
        <w:rPr>
          <w:rFonts w:ascii="Arial" w:hAnsi="Arial" w:cs="Arial"/>
        </w:rPr>
        <w:t>team</w:t>
      </w:r>
      <w:r w:rsidR="00666A95">
        <w:rPr>
          <w:rFonts w:ascii="Arial" w:hAnsi="Arial" w:cs="Arial"/>
        </w:rPr>
        <w:t xml:space="preserve"> members (including myself) could have put more research time into it to better understand the laws and rights of LGBT people. We could have had a better argument if there were statistics available for ou</w:t>
      </w:r>
      <w:r w:rsidR="00FC51D1">
        <w:rPr>
          <w:rFonts w:ascii="Arial" w:hAnsi="Arial" w:cs="Arial"/>
        </w:rPr>
        <w:t>r</w:t>
      </w:r>
      <w:r w:rsidR="00666A95">
        <w:rPr>
          <w:rFonts w:ascii="Arial" w:hAnsi="Arial" w:cs="Arial"/>
        </w:rPr>
        <w:t xml:space="preserve"> health campaign but because it hasn’t been done before we had no way of measuring the effectiveness we could have. </w:t>
      </w:r>
      <w:r w:rsidR="00DB0B16">
        <w:rPr>
          <w:rFonts w:ascii="Arial" w:hAnsi="Arial" w:cs="Arial"/>
        </w:rPr>
        <w:t xml:space="preserve">The presentation itself was effective </w:t>
      </w:r>
      <w:r w:rsidR="00DB0B16">
        <w:rPr>
          <w:rFonts w:ascii="Arial" w:hAnsi="Arial" w:cs="Arial"/>
        </w:rPr>
        <w:lastRenderedPageBreak/>
        <w:t xml:space="preserve">because one person gathered our ideas and put them into one presentation so there wasn’t a clash of writing styles. </w:t>
      </w:r>
    </w:p>
    <w:p w14:paraId="7FE2EA96" w14:textId="0A2F3B0E" w:rsidR="00DB0B16" w:rsidRDefault="00DB0B16" w:rsidP="00C111E1">
      <w:pPr>
        <w:spacing w:line="360" w:lineRule="auto"/>
        <w:rPr>
          <w:rFonts w:ascii="Arial" w:hAnsi="Arial" w:cs="Arial"/>
        </w:rPr>
      </w:pPr>
      <w:r>
        <w:rPr>
          <w:rFonts w:ascii="Arial" w:hAnsi="Arial" w:cs="Arial"/>
        </w:rPr>
        <w:t xml:space="preserve">Conclusion- to conclude on my reflection, I learnt a lot about how health campaigns work and how the government use behaviour models to discreetly change people’s opinions and behaviour. I also realised how much discrimination </w:t>
      </w:r>
      <w:r w:rsidR="00EA1A2D">
        <w:rPr>
          <w:rFonts w:ascii="Arial" w:hAnsi="Arial" w:cs="Arial"/>
        </w:rPr>
        <w:t>still happens to LGBT people and this isn’t acceptable</w:t>
      </w:r>
      <w:bookmarkStart w:id="1" w:name="_Hlk27037891"/>
      <w:r w:rsidR="00E64D04">
        <w:rPr>
          <w:rFonts w:ascii="Arial" w:hAnsi="Arial" w:cs="Arial"/>
        </w:rPr>
        <w:t xml:space="preserve">. The UK would benefit greatly from raising more awareness for LGBT families as there is no longer a ‘normal’ family unit and </w:t>
      </w:r>
      <w:r w:rsidR="00453E7D">
        <w:rPr>
          <w:rFonts w:ascii="Arial" w:hAnsi="Arial" w:cs="Arial"/>
        </w:rPr>
        <w:t xml:space="preserve">LGBT families </w:t>
      </w:r>
      <w:r w:rsidR="00E64D04">
        <w:rPr>
          <w:rFonts w:ascii="Arial" w:hAnsi="Arial" w:cs="Arial"/>
        </w:rPr>
        <w:t>would benefit greatly by having specific services out there for them to access.</w:t>
      </w:r>
      <w:r w:rsidR="00846A5E">
        <w:rPr>
          <w:rFonts w:ascii="Arial" w:hAnsi="Arial" w:cs="Arial"/>
        </w:rPr>
        <w:t xml:space="preserve"> </w:t>
      </w:r>
      <w:bookmarkEnd w:id="1"/>
    </w:p>
    <w:p w14:paraId="64F25486" w14:textId="77777777" w:rsidR="00453E7D" w:rsidRDefault="00E64D04" w:rsidP="00C111E1">
      <w:pPr>
        <w:spacing w:line="360" w:lineRule="auto"/>
        <w:rPr>
          <w:rFonts w:ascii="Arial" w:hAnsi="Arial" w:cs="Arial"/>
        </w:rPr>
      </w:pPr>
      <w:r>
        <w:rPr>
          <w:rFonts w:ascii="Arial" w:hAnsi="Arial" w:cs="Arial"/>
        </w:rPr>
        <w:t>Action plan- If I were to participate in this assignment again, I would continue to communicate effectively and think about people’s strengths and weaknesses when doing a presentation assignment. As an individual I would want to have known more about the theory of planned behaviour as I didn’t fully understand it even after extensive research, next time I would ask my lecturer to break it down for me and research more books. In future we could all benefit f</w:t>
      </w:r>
      <w:r w:rsidR="00453E7D">
        <w:rPr>
          <w:rFonts w:ascii="Arial" w:hAnsi="Arial" w:cs="Arial"/>
        </w:rPr>
        <w:t>rom</w:t>
      </w:r>
      <w:r>
        <w:rPr>
          <w:rFonts w:ascii="Arial" w:hAnsi="Arial" w:cs="Arial"/>
        </w:rPr>
        <w:t xml:space="preserve"> researching and using Belbin’s Theory of team roles as its proven that team roles and personalities have a significant effect on group work (Manning et al, 2006). </w:t>
      </w:r>
    </w:p>
    <w:p w14:paraId="7D26119F" w14:textId="2B2B122C" w:rsidR="00E64D04" w:rsidRDefault="00E64D04" w:rsidP="00C111E1">
      <w:pPr>
        <w:spacing w:line="360" w:lineRule="auto"/>
        <w:rPr>
          <w:rFonts w:ascii="Arial" w:hAnsi="Arial" w:cs="Arial"/>
        </w:rPr>
      </w:pPr>
      <w:r>
        <w:rPr>
          <w:rFonts w:ascii="Arial" w:hAnsi="Arial" w:cs="Arial"/>
        </w:rPr>
        <w:t>Although I have seen my presentation and public speaking skills improve since I bec</w:t>
      </w:r>
      <w:r w:rsidR="00453E7D">
        <w:rPr>
          <w:rFonts w:ascii="Arial" w:hAnsi="Arial" w:cs="Arial"/>
        </w:rPr>
        <w:t>ame</w:t>
      </w:r>
      <w:r>
        <w:rPr>
          <w:rFonts w:ascii="Arial" w:hAnsi="Arial" w:cs="Arial"/>
        </w:rPr>
        <w:t xml:space="preserve"> a university </w:t>
      </w:r>
      <w:r w:rsidR="001E51AE">
        <w:rPr>
          <w:rFonts w:ascii="Arial" w:hAnsi="Arial" w:cs="Arial"/>
        </w:rPr>
        <w:t>student,</w:t>
      </w:r>
      <w:r>
        <w:rPr>
          <w:rFonts w:ascii="Arial" w:hAnsi="Arial" w:cs="Arial"/>
        </w:rPr>
        <w:t xml:space="preserve"> I would like to become more confident with public speaking to ensure I am clear and concise and not as nervous when doing a presentation task.  </w:t>
      </w:r>
    </w:p>
    <w:p w14:paraId="4C270AD8" w14:textId="10D7E88C" w:rsidR="00106A76" w:rsidRDefault="00106A76" w:rsidP="00C111E1">
      <w:pPr>
        <w:spacing w:line="360" w:lineRule="auto"/>
        <w:rPr>
          <w:rFonts w:ascii="Arial" w:hAnsi="Arial" w:cs="Arial"/>
        </w:rPr>
      </w:pPr>
    </w:p>
    <w:p w14:paraId="460101CD" w14:textId="2FAEDF21" w:rsidR="00106A76" w:rsidRDefault="00106A76" w:rsidP="00C111E1">
      <w:pPr>
        <w:spacing w:line="360" w:lineRule="auto"/>
        <w:rPr>
          <w:rFonts w:ascii="Arial" w:hAnsi="Arial" w:cs="Arial"/>
        </w:rPr>
      </w:pPr>
    </w:p>
    <w:p w14:paraId="62B2BDAB" w14:textId="7E232A4D" w:rsidR="00106A76" w:rsidRDefault="00106A76" w:rsidP="00C111E1">
      <w:pPr>
        <w:spacing w:line="360" w:lineRule="auto"/>
        <w:rPr>
          <w:rFonts w:ascii="Arial" w:hAnsi="Arial" w:cs="Arial"/>
        </w:rPr>
      </w:pPr>
    </w:p>
    <w:p w14:paraId="261ABC5E" w14:textId="6AB9274E" w:rsidR="00106A76" w:rsidRDefault="00106A76" w:rsidP="00C111E1">
      <w:pPr>
        <w:spacing w:line="360" w:lineRule="auto"/>
        <w:rPr>
          <w:rFonts w:ascii="Arial" w:hAnsi="Arial" w:cs="Arial"/>
        </w:rPr>
      </w:pPr>
    </w:p>
    <w:p w14:paraId="5C25CE46" w14:textId="316745B2" w:rsidR="00106A76" w:rsidRDefault="00106A76" w:rsidP="00C111E1">
      <w:pPr>
        <w:spacing w:line="360" w:lineRule="auto"/>
        <w:rPr>
          <w:rFonts w:ascii="Arial" w:hAnsi="Arial" w:cs="Arial"/>
        </w:rPr>
      </w:pPr>
    </w:p>
    <w:p w14:paraId="61E99794" w14:textId="5968E168" w:rsidR="00106A76" w:rsidRDefault="00106A76" w:rsidP="00C111E1">
      <w:pPr>
        <w:spacing w:line="360" w:lineRule="auto"/>
        <w:rPr>
          <w:rFonts w:ascii="Arial" w:hAnsi="Arial" w:cs="Arial"/>
        </w:rPr>
      </w:pPr>
    </w:p>
    <w:p w14:paraId="279C280D" w14:textId="2CB94953" w:rsidR="00106A76" w:rsidRDefault="00106A76" w:rsidP="00C111E1">
      <w:pPr>
        <w:spacing w:line="360" w:lineRule="auto"/>
        <w:rPr>
          <w:rFonts w:ascii="Arial" w:hAnsi="Arial" w:cs="Arial"/>
        </w:rPr>
      </w:pPr>
    </w:p>
    <w:p w14:paraId="5B3EBD62" w14:textId="10F43657" w:rsidR="00106A76" w:rsidRDefault="00106A76" w:rsidP="00C111E1">
      <w:pPr>
        <w:spacing w:line="360" w:lineRule="auto"/>
        <w:rPr>
          <w:rFonts w:ascii="Arial" w:hAnsi="Arial" w:cs="Arial"/>
        </w:rPr>
      </w:pPr>
    </w:p>
    <w:p w14:paraId="03D56400" w14:textId="2C6A16EA" w:rsidR="00106A76" w:rsidRDefault="00106A76" w:rsidP="00C111E1">
      <w:pPr>
        <w:spacing w:line="360" w:lineRule="auto"/>
        <w:rPr>
          <w:rFonts w:ascii="Arial" w:hAnsi="Arial" w:cs="Arial"/>
        </w:rPr>
      </w:pPr>
    </w:p>
    <w:p w14:paraId="7CFDCA59" w14:textId="2F48B324" w:rsidR="00106A76" w:rsidRDefault="00106A76" w:rsidP="00C111E1">
      <w:pPr>
        <w:spacing w:line="360" w:lineRule="auto"/>
        <w:rPr>
          <w:rFonts w:ascii="Arial" w:hAnsi="Arial" w:cs="Arial"/>
        </w:rPr>
      </w:pPr>
    </w:p>
    <w:p w14:paraId="130D3AD5" w14:textId="7D96AD2E" w:rsidR="00106A76" w:rsidRDefault="00106A76" w:rsidP="00C111E1">
      <w:pPr>
        <w:spacing w:line="360" w:lineRule="auto"/>
        <w:rPr>
          <w:rFonts w:ascii="Arial" w:hAnsi="Arial" w:cs="Arial"/>
        </w:rPr>
      </w:pPr>
    </w:p>
    <w:p w14:paraId="78354331" w14:textId="77777777" w:rsidR="00FC51D1" w:rsidRDefault="00FC51D1" w:rsidP="00C111E1">
      <w:pPr>
        <w:spacing w:line="360" w:lineRule="auto"/>
        <w:rPr>
          <w:rFonts w:ascii="Arial" w:hAnsi="Arial" w:cs="Arial"/>
        </w:rPr>
      </w:pPr>
    </w:p>
    <w:p w14:paraId="10C0FB3E" w14:textId="397C7F87" w:rsidR="00106A76" w:rsidRDefault="00106A76" w:rsidP="00C111E1">
      <w:pPr>
        <w:spacing w:line="360" w:lineRule="auto"/>
        <w:rPr>
          <w:rFonts w:ascii="Arial" w:hAnsi="Arial" w:cs="Arial"/>
          <w:u w:val="single"/>
        </w:rPr>
      </w:pPr>
      <w:r>
        <w:rPr>
          <w:rFonts w:ascii="Arial" w:hAnsi="Arial" w:cs="Arial"/>
          <w:u w:val="single"/>
        </w:rPr>
        <w:lastRenderedPageBreak/>
        <w:t>Conclusion</w:t>
      </w:r>
    </w:p>
    <w:p w14:paraId="3549AA0F" w14:textId="692B3426" w:rsidR="006510AB" w:rsidRPr="009F04DF" w:rsidRDefault="009F04DF" w:rsidP="00C111E1">
      <w:pPr>
        <w:spacing w:line="360" w:lineRule="auto"/>
        <w:rPr>
          <w:rFonts w:ascii="Arial" w:hAnsi="Arial" w:cs="Arial"/>
        </w:rPr>
      </w:pPr>
      <w:r>
        <w:rPr>
          <w:rFonts w:ascii="Arial" w:hAnsi="Arial" w:cs="Arial"/>
        </w:rPr>
        <w:t xml:space="preserve">So far, our campaign has been effective as we are spreading awareness through social media and gaining followers every week which means people are either needing the support or are there to </w:t>
      </w:r>
      <w:r w:rsidR="00A409DF">
        <w:rPr>
          <w:rFonts w:ascii="Arial" w:hAnsi="Arial" w:cs="Arial"/>
        </w:rPr>
        <w:t>show support for our cause</w:t>
      </w:r>
      <w:r>
        <w:rPr>
          <w:rFonts w:ascii="Arial" w:hAnsi="Arial" w:cs="Arial"/>
        </w:rPr>
        <w:t>. We will also measure the effectiveness by the number of visitors we have using our services</w:t>
      </w:r>
      <w:r w:rsidR="003E1887">
        <w:rPr>
          <w:rFonts w:ascii="Arial" w:hAnsi="Arial" w:cs="Arial"/>
        </w:rPr>
        <w:t xml:space="preserve"> and by continuing to measure the followers we gain on social media</w:t>
      </w:r>
      <w:r>
        <w:rPr>
          <w:rFonts w:ascii="Arial" w:hAnsi="Arial" w:cs="Arial"/>
        </w:rPr>
        <w:t>. I believe that this campaign would be effective as there is a clear market for it</w:t>
      </w:r>
      <w:r w:rsidR="003E1887">
        <w:rPr>
          <w:rFonts w:ascii="Arial" w:hAnsi="Arial" w:cs="Arial"/>
        </w:rPr>
        <w:t xml:space="preserve"> and members of the LGBT</w:t>
      </w:r>
      <w:r w:rsidR="00FC51D1">
        <w:rPr>
          <w:rFonts w:ascii="Arial" w:hAnsi="Arial" w:cs="Arial"/>
        </w:rPr>
        <w:t xml:space="preserve"> community</w:t>
      </w:r>
      <w:r w:rsidR="003E1887">
        <w:rPr>
          <w:rFonts w:ascii="Arial" w:hAnsi="Arial" w:cs="Arial"/>
        </w:rPr>
        <w:t xml:space="preserve"> would benefit</w:t>
      </w:r>
      <w:r w:rsidR="00A409DF">
        <w:rPr>
          <w:rFonts w:ascii="Arial" w:hAnsi="Arial" w:cs="Arial"/>
        </w:rPr>
        <w:t xml:space="preserve"> greatly</w:t>
      </w:r>
      <w:r w:rsidR="003E1887">
        <w:rPr>
          <w:rFonts w:ascii="Arial" w:hAnsi="Arial" w:cs="Arial"/>
        </w:rPr>
        <w:t xml:space="preserve"> from a centre like this. I would recommend that the government introduce an educational programme on relationships to normalise LGBT people </w:t>
      </w:r>
      <w:r w:rsidR="00A409DF">
        <w:rPr>
          <w:rFonts w:ascii="Arial" w:hAnsi="Arial" w:cs="Arial"/>
        </w:rPr>
        <w:t xml:space="preserve">and relationships </w:t>
      </w:r>
      <w:r w:rsidR="003E1887">
        <w:rPr>
          <w:rFonts w:ascii="Arial" w:hAnsi="Arial" w:cs="Arial"/>
        </w:rPr>
        <w:t xml:space="preserve">which would then reduce the amount of hate crime and discrimination. </w:t>
      </w:r>
    </w:p>
    <w:p w14:paraId="46FC9E42" w14:textId="514FFD7D" w:rsidR="00106A76" w:rsidRDefault="00106A76" w:rsidP="00C111E1">
      <w:pPr>
        <w:spacing w:line="360" w:lineRule="auto"/>
        <w:rPr>
          <w:rFonts w:ascii="Arial" w:hAnsi="Arial" w:cs="Arial"/>
        </w:rPr>
      </w:pPr>
    </w:p>
    <w:p w14:paraId="04BC92DC" w14:textId="515AAB5B" w:rsidR="002749D6" w:rsidRDefault="002749D6" w:rsidP="00C111E1">
      <w:pPr>
        <w:spacing w:line="360" w:lineRule="auto"/>
        <w:rPr>
          <w:rFonts w:ascii="Arial" w:hAnsi="Arial" w:cs="Arial"/>
        </w:rPr>
      </w:pPr>
    </w:p>
    <w:p w14:paraId="1E6CAD0F" w14:textId="4A37DA9C" w:rsidR="002749D6" w:rsidRDefault="002749D6" w:rsidP="00C111E1">
      <w:pPr>
        <w:spacing w:line="360" w:lineRule="auto"/>
        <w:rPr>
          <w:rFonts w:ascii="Arial" w:hAnsi="Arial" w:cs="Arial"/>
        </w:rPr>
      </w:pPr>
    </w:p>
    <w:p w14:paraId="5BCA7B6C" w14:textId="01EDB588" w:rsidR="002749D6" w:rsidRDefault="002749D6" w:rsidP="00C111E1">
      <w:pPr>
        <w:spacing w:line="360" w:lineRule="auto"/>
        <w:rPr>
          <w:rFonts w:ascii="Arial" w:hAnsi="Arial" w:cs="Arial"/>
        </w:rPr>
      </w:pPr>
    </w:p>
    <w:p w14:paraId="1759C6F9" w14:textId="6A330A82" w:rsidR="002749D6" w:rsidRDefault="002749D6" w:rsidP="00C111E1">
      <w:pPr>
        <w:spacing w:line="360" w:lineRule="auto"/>
        <w:rPr>
          <w:rFonts w:ascii="Arial" w:hAnsi="Arial" w:cs="Arial"/>
        </w:rPr>
      </w:pPr>
    </w:p>
    <w:p w14:paraId="43271C15" w14:textId="4E6D18F6" w:rsidR="002749D6" w:rsidRDefault="002749D6" w:rsidP="00C111E1">
      <w:pPr>
        <w:spacing w:line="360" w:lineRule="auto"/>
        <w:rPr>
          <w:rFonts w:ascii="Arial" w:hAnsi="Arial" w:cs="Arial"/>
        </w:rPr>
      </w:pPr>
    </w:p>
    <w:p w14:paraId="4A636C35" w14:textId="633B1B19" w:rsidR="002749D6" w:rsidRDefault="002749D6" w:rsidP="00C111E1">
      <w:pPr>
        <w:spacing w:line="360" w:lineRule="auto"/>
        <w:rPr>
          <w:rFonts w:ascii="Arial" w:hAnsi="Arial" w:cs="Arial"/>
        </w:rPr>
      </w:pPr>
    </w:p>
    <w:p w14:paraId="6D8B72DC" w14:textId="19C24787" w:rsidR="002749D6" w:rsidRDefault="002749D6" w:rsidP="00C111E1">
      <w:pPr>
        <w:spacing w:line="360" w:lineRule="auto"/>
        <w:rPr>
          <w:rFonts w:ascii="Arial" w:hAnsi="Arial" w:cs="Arial"/>
        </w:rPr>
      </w:pPr>
    </w:p>
    <w:p w14:paraId="4D3EC535" w14:textId="7C2060CF" w:rsidR="002749D6" w:rsidRDefault="002749D6" w:rsidP="00C111E1">
      <w:pPr>
        <w:spacing w:line="360" w:lineRule="auto"/>
        <w:rPr>
          <w:rFonts w:ascii="Arial" w:hAnsi="Arial" w:cs="Arial"/>
        </w:rPr>
      </w:pPr>
    </w:p>
    <w:p w14:paraId="012EEE3F" w14:textId="0076A2E9" w:rsidR="002749D6" w:rsidRDefault="002749D6" w:rsidP="00C111E1">
      <w:pPr>
        <w:spacing w:line="360" w:lineRule="auto"/>
        <w:rPr>
          <w:rFonts w:ascii="Arial" w:hAnsi="Arial" w:cs="Arial"/>
        </w:rPr>
      </w:pPr>
    </w:p>
    <w:p w14:paraId="625464B7" w14:textId="5AA89BED" w:rsidR="002749D6" w:rsidRDefault="002749D6" w:rsidP="00C111E1">
      <w:pPr>
        <w:spacing w:line="360" w:lineRule="auto"/>
        <w:rPr>
          <w:rFonts w:ascii="Arial" w:hAnsi="Arial" w:cs="Arial"/>
        </w:rPr>
      </w:pPr>
    </w:p>
    <w:p w14:paraId="1172C3B8" w14:textId="7ACB1D8A" w:rsidR="002749D6" w:rsidRDefault="002749D6" w:rsidP="00C111E1">
      <w:pPr>
        <w:spacing w:line="360" w:lineRule="auto"/>
        <w:rPr>
          <w:rFonts w:ascii="Arial" w:hAnsi="Arial" w:cs="Arial"/>
        </w:rPr>
      </w:pPr>
    </w:p>
    <w:p w14:paraId="5D394412" w14:textId="78F55A00" w:rsidR="002749D6" w:rsidRDefault="002749D6" w:rsidP="00C111E1">
      <w:pPr>
        <w:spacing w:line="360" w:lineRule="auto"/>
        <w:rPr>
          <w:rFonts w:ascii="Arial" w:hAnsi="Arial" w:cs="Arial"/>
        </w:rPr>
      </w:pPr>
    </w:p>
    <w:p w14:paraId="778AAEAD" w14:textId="1E5C2CA5" w:rsidR="002749D6" w:rsidRDefault="002749D6" w:rsidP="00C111E1">
      <w:pPr>
        <w:spacing w:line="360" w:lineRule="auto"/>
        <w:rPr>
          <w:rFonts w:ascii="Arial" w:hAnsi="Arial" w:cs="Arial"/>
        </w:rPr>
      </w:pPr>
    </w:p>
    <w:p w14:paraId="51296AEA" w14:textId="3CF77CF5" w:rsidR="002749D6" w:rsidRDefault="002749D6" w:rsidP="00C111E1">
      <w:pPr>
        <w:spacing w:line="360" w:lineRule="auto"/>
        <w:rPr>
          <w:rFonts w:ascii="Arial" w:hAnsi="Arial" w:cs="Arial"/>
        </w:rPr>
      </w:pPr>
    </w:p>
    <w:p w14:paraId="7D8196B2" w14:textId="6F7F26BE" w:rsidR="002749D6" w:rsidRDefault="002749D6" w:rsidP="00C111E1">
      <w:pPr>
        <w:spacing w:line="360" w:lineRule="auto"/>
        <w:rPr>
          <w:rFonts w:ascii="Arial" w:hAnsi="Arial" w:cs="Arial"/>
        </w:rPr>
      </w:pPr>
    </w:p>
    <w:p w14:paraId="7BFE3F6E" w14:textId="63D45B44" w:rsidR="002749D6" w:rsidRDefault="002749D6" w:rsidP="00C111E1">
      <w:pPr>
        <w:spacing w:line="360" w:lineRule="auto"/>
        <w:rPr>
          <w:rFonts w:ascii="Arial" w:hAnsi="Arial" w:cs="Arial"/>
        </w:rPr>
      </w:pPr>
    </w:p>
    <w:p w14:paraId="2905BCE3" w14:textId="77777777" w:rsidR="00FC51D1" w:rsidRDefault="00FC51D1" w:rsidP="00C111E1">
      <w:pPr>
        <w:spacing w:line="360" w:lineRule="auto"/>
        <w:rPr>
          <w:rFonts w:ascii="Arial" w:hAnsi="Arial" w:cs="Arial"/>
        </w:rPr>
      </w:pPr>
    </w:p>
    <w:p w14:paraId="6DBD5C2A" w14:textId="2E5FB73F" w:rsidR="002749D6" w:rsidRDefault="002749D6" w:rsidP="00C111E1">
      <w:pPr>
        <w:spacing w:line="360" w:lineRule="auto"/>
        <w:rPr>
          <w:rFonts w:ascii="Arial" w:hAnsi="Arial" w:cs="Arial"/>
          <w:u w:val="single"/>
        </w:rPr>
      </w:pPr>
      <w:r>
        <w:rPr>
          <w:rFonts w:ascii="Arial" w:hAnsi="Arial" w:cs="Arial"/>
          <w:u w:val="single"/>
        </w:rPr>
        <w:lastRenderedPageBreak/>
        <w:t>References</w:t>
      </w:r>
    </w:p>
    <w:p w14:paraId="107D5AC5" w14:textId="3E5D69CF" w:rsidR="002749D6" w:rsidRDefault="002749D6" w:rsidP="00C111E1">
      <w:pPr>
        <w:spacing w:line="360" w:lineRule="auto"/>
        <w:rPr>
          <w:rFonts w:ascii="Arial" w:hAnsi="Arial" w:cs="Arial"/>
        </w:rPr>
      </w:pPr>
      <w:proofErr w:type="spellStart"/>
      <w:r>
        <w:rPr>
          <w:rFonts w:ascii="Arial" w:hAnsi="Arial" w:cs="Arial"/>
        </w:rPr>
        <w:t>Azjen</w:t>
      </w:r>
      <w:proofErr w:type="spellEnd"/>
      <w:r>
        <w:rPr>
          <w:rFonts w:ascii="Arial" w:hAnsi="Arial" w:cs="Arial"/>
        </w:rPr>
        <w:t xml:space="preserve">, I. (2011) </w:t>
      </w:r>
      <w:r w:rsidR="00E85355">
        <w:rPr>
          <w:rFonts w:ascii="Arial" w:hAnsi="Arial" w:cs="Arial"/>
        </w:rPr>
        <w:t xml:space="preserve">‘The theory of planned behaviour: Reactions and reflections’, </w:t>
      </w:r>
      <w:r w:rsidR="00E85355">
        <w:rPr>
          <w:rFonts w:ascii="Arial" w:hAnsi="Arial" w:cs="Arial"/>
          <w:i/>
          <w:iCs/>
        </w:rPr>
        <w:t xml:space="preserve">Psychology &amp; Health, </w:t>
      </w:r>
      <w:r w:rsidR="00E85355">
        <w:rPr>
          <w:rFonts w:ascii="Arial" w:hAnsi="Arial" w:cs="Arial"/>
        </w:rPr>
        <w:t xml:space="preserve">26 (9), pp. 1113-1127. DOI: 10.1080/08870446.2011.613995. Available at: </w:t>
      </w:r>
      <w:hyperlink r:id="rId8" w:history="1">
        <w:r w:rsidR="00E85355" w:rsidRPr="000200C5">
          <w:rPr>
            <w:rStyle w:val="Hyperlink"/>
            <w:rFonts w:ascii="Arial" w:hAnsi="Arial" w:cs="Arial"/>
          </w:rPr>
          <w:t>https://www.tandfonline.com/doi/full/10.1080/08870446.2011.613995?scroll=top&amp;needAccess=true</w:t>
        </w:r>
      </w:hyperlink>
      <w:r w:rsidR="00E85355">
        <w:rPr>
          <w:rFonts w:ascii="Arial" w:hAnsi="Arial" w:cs="Arial"/>
        </w:rPr>
        <w:t xml:space="preserve"> (Accessed 11</w:t>
      </w:r>
      <w:r w:rsidR="00E85355" w:rsidRPr="00E85355">
        <w:rPr>
          <w:rFonts w:ascii="Arial" w:hAnsi="Arial" w:cs="Arial"/>
          <w:vertAlign w:val="superscript"/>
        </w:rPr>
        <w:t>th</w:t>
      </w:r>
      <w:r w:rsidR="00E85355">
        <w:rPr>
          <w:rFonts w:ascii="Arial" w:hAnsi="Arial" w:cs="Arial"/>
        </w:rPr>
        <w:t xml:space="preserve"> </w:t>
      </w:r>
      <w:proofErr w:type="spellStart"/>
      <w:r w:rsidR="00E85355">
        <w:rPr>
          <w:rFonts w:ascii="Arial" w:hAnsi="Arial" w:cs="Arial"/>
        </w:rPr>
        <w:t>Decemeber</w:t>
      </w:r>
      <w:proofErr w:type="spellEnd"/>
      <w:r w:rsidR="00E85355">
        <w:rPr>
          <w:rFonts w:ascii="Arial" w:hAnsi="Arial" w:cs="Arial"/>
        </w:rPr>
        <w:t xml:space="preserve"> 2019).</w:t>
      </w:r>
    </w:p>
    <w:p w14:paraId="20B0EF49" w14:textId="437AFB0A" w:rsidR="00E85355" w:rsidRDefault="004611CF" w:rsidP="00C111E1">
      <w:pPr>
        <w:spacing w:line="360" w:lineRule="auto"/>
        <w:rPr>
          <w:rFonts w:ascii="Arial" w:hAnsi="Arial" w:cs="Arial"/>
        </w:rPr>
      </w:pPr>
      <w:proofErr w:type="spellStart"/>
      <w:r>
        <w:rPr>
          <w:rFonts w:ascii="Arial" w:hAnsi="Arial" w:cs="Arial"/>
        </w:rPr>
        <w:t>Chiriac</w:t>
      </w:r>
      <w:proofErr w:type="spellEnd"/>
      <w:r>
        <w:rPr>
          <w:rFonts w:ascii="Arial" w:hAnsi="Arial" w:cs="Arial"/>
        </w:rPr>
        <w:t xml:space="preserve">, H, E. (2014) ‘Group work as an incentive for learning- students’ experiences of group work’, </w:t>
      </w:r>
      <w:r>
        <w:rPr>
          <w:rFonts w:ascii="Arial" w:hAnsi="Arial" w:cs="Arial"/>
          <w:i/>
          <w:iCs/>
        </w:rPr>
        <w:t xml:space="preserve">Frontiers in Psychology, </w:t>
      </w:r>
      <w:r>
        <w:rPr>
          <w:rFonts w:ascii="Arial" w:hAnsi="Arial" w:cs="Arial"/>
        </w:rPr>
        <w:t xml:space="preserve">5 (558), pp. 1-10. DOI: 10.3389/fpsyg.2014.00558. Available at: </w:t>
      </w:r>
      <w:hyperlink r:id="rId9" w:history="1">
        <w:r w:rsidRPr="000200C5">
          <w:rPr>
            <w:rStyle w:val="Hyperlink"/>
            <w:rFonts w:ascii="Arial" w:hAnsi="Arial" w:cs="Arial"/>
          </w:rPr>
          <w:t>https://www.ncbi.nlm.nih.gov/pmc/articles/PMC4046684/pdf/fpsyg-05-00558.pdf</w:t>
        </w:r>
      </w:hyperlink>
      <w:r>
        <w:rPr>
          <w:rFonts w:ascii="Arial" w:hAnsi="Arial" w:cs="Arial"/>
        </w:rPr>
        <w:t xml:space="preserve"> (Accessed 11</w:t>
      </w:r>
      <w:r>
        <w:rPr>
          <w:rFonts w:ascii="Arial" w:hAnsi="Arial" w:cs="Arial"/>
          <w:vertAlign w:val="superscript"/>
        </w:rPr>
        <w:t xml:space="preserve">th </w:t>
      </w:r>
      <w:r>
        <w:rPr>
          <w:rFonts w:ascii="Arial" w:hAnsi="Arial" w:cs="Arial"/>
        </w:rPr>
        <w:t>December 2019).</w:t>
      </w:r>
    </w:p>
    <w:p w14:paraId="5FFD743D" w14:textId="6506620D" w:rsidR="004611CF" w:rsidRDefault="00004391" w:rsidP="00C111E1">
      <w:pPr>
        <w:spacing w:line="360" w:lineRule="auto"/>
        <w:rPr>
          <w:rFonts w:ascii="Arial" w:hAnsi="Arial" w:cs="Arial"/>
        </w:rPr>
      </w:pPr>
      <w:r>
        <w:rPr>
          <w:rFonts w:ascii="Arial" w:hAnsi="Arial" w:cs="Arial"/>
        </w:rPr>
        <w:t xml:space="preserve">Families and Friends of Lesbians and Gays (2019) </w:t>
      </w:r>
      <w:r>
        <w:rPr>
          <w:rFonts w:ascii="Arial" w:hAnsi="Arial" w:cs="Arial"/>
          <w:i/>
          <w:iCs/>
        </w:rPr>
        <w:t xml:space="preserve">Gay and Lesbian Parenting. </w:t>
      </w:r>
      <w:r>
        <w:rPr>
          <w:rFonts w:ascii="Arial" w:hAnsi="Arial" w:cs="Arial"/>
        </w:rPr>
        <w:t xml:space="preserve">Available at: </w:t>
      </w:r>
      <w:hyperlink r:id="rId10" w:history="1">
        <w:r w:rsidRPr="000200C5">
          <w:rPr>
            <w:rStyle w:val="Hyperlink"/>
            <w:rFonts w:ascii="Arial" w:hAnsi="Arial" w:cs="Arial"/>
          </w:rPr>
          <w:t>https://www.fflag.org.uk/portfolio-item/gay-lesbian-parenting/</w:t>
        </w:r>
      </w:hyperlink>
      <w:r>
        <w:rPr>
          <w:rFonts w:ascii="Arial" w:hAnsi="Arial" w:cs="Arial"/>
        </w:rPr>
        <w:t xml:space="preserve"> (Accessed 26</w:t>
      </w:r>
      <w:r w:rsidRPr="00004391">
        <w:rPr>
          <w:rFonts w:ascii="Arial" w:hAnsi="Arial" w:cs="Arial"/>
          <w:vertAlign w:val="superscript"/>
        </w:rPr>
        <w:t>th</w:t>
      </w:r>
      <w:r>
        <w:rPr>
          <w:rFonts w:ascii="Arial" w:hAnsi="Arial" w:cs="Arial"/>
        </w:rPr>
        <w:t xml:space="preserve"> November 2019).</w:t>
      </w:r>
    </w:p>
    <w:p w14:paraId="40EC8848" w14:textId="78C20625" w:rsidR="00004391" w:rsidRDefault="00004391" w:rsidP="00C111E1">
      <w:pPr>
        <w:spacing w:line="360" w:lineRule="auto"/>
        <w:rPr>
          <w:rFonts w:ascii="Arial" w:hAnsi="Arial" w:cs="Arial"/>
        </w:rPr>
      </w:pPr>
      <w:r>
        <w:rPr>
          <w:rFonts w:ascii="Arial" w:hAnsi="Arial" w:cs="Arial"/>
        </w:rPr>
        <w:t xml:space="preserve">Government Equalities Office (2018) </w:t>
      </w:r>
      <w:r>
        <w:rPr>
          <w:rFonts w:ascii="Arial" w:hAnsi="Arial" w:cs="Arial"/>
          <w:i/>
          <w:iCs/>
        </w:rPr>
        <w:t xml:space="preserve">LGBT Action Plan- Improving </w:t>
      </w:r>
      <w:r w:rsidR="00670711">
        <w:rPr>
          <w:rFonts w:ascii="Arial" w:hAnsi="Arial" w:cs="Arial"/>
          <w:i/>
          <w:iCs/>
        </w:rPr>
        <w:t>the</w:t>
      </w:r>
      <w:r>
        <w:rPr>
          <w:rFonts w:ascii="Arial" w:hAnsi="Arial" w:cs="Arial"/>
          <w:i/>
          <w:iCs/>
        </w:rPr>
        <w:t xml:space="preserve"> Lives of Lesbian, Gay</w:t>
      </w:r>
      <w:r w:rsidR="00670711">
        <w:rPr>
          <w:rFonts w:ascii="Arial" w:hAnsi="Arial" w:cs="Arial"/>
          <w:i/>
          <w:iCs/>
        </w:rPr>
        <w:t xml:space="preserve">, Bisexual and Transgender People. </w:t>
      </w:r>
      <w:r w:rsidR="00670711">
        <w:rPr>
          <w:rFonts w:ascii="Arial" w:hAnsi="Arial" w:cs="Arial"/>
        </w:rPr>
        <w:t xml:space="preserve">Available at: </w:t>
      </w:r>
      <w:hyperlink r:id="rId11" w:history="1">
        <w:r w:rsidR="00670711" w:rsidRPr="000200C5">
          <w:rPr>
            <w:rStyle w:val="Hyperlink"/>
            <w:rFonts w:ascii="Arial" w:hAnsi="Arial" w:cs="Arial"/>
          </w:rPr>
          <w:t>https://assets.publishing.service.gov.uk/government/uploads/attachment_data/file/721367/GEO-LGBT-Action-Plan.pdf</w:t>
        </w:r>
      </w:hyperlink>
      <w:r w:rsidR="00670711">
        <w:rPr>
          <w:rFonts w:ascii="Arial" w:hAnsi="Arial" w:cs="Arial"/>
        </w:rPr>
        <w:t xml:space="preserve"> (Accessed 8</w:t>
      </w:r>
      <w:r w:rsidR="00670711">
        <w:rPr>
          <w:rFonts w:ascii="Arial" w:hAnsi="Arial" w:cs="Arial"/>
          <w:vertAlign w:val="superscript"/>
        </w:rPr>
        <w:t xml:space="preserve">th </w:t>
      </w:r>
      <w:r w:rsidR="00670711">
        <w:rPr>
          <w:rFonts w:ascii="Arial" w:hAnsi="Arial" w:cs="Arial"/>
        </w:rPr>
        <w:t>December 2019).</w:t>
      </w:r>
    </w:p>
    <w:p w14:paraId="4672A9C2" w14:textId="62669CAD" w:rsidR="00670711" w:rsidRDefault="00735E08" w:rsidP="00C111E1">
      <w:pPr>
        <w:spacing w:line="360" w:lineRule="auto"/>
        <w:rPr>
          <w:rFonts w:ascii="Arial" w:hAnsi="Arial" w:cs="Arial"/>
        </w:rPr>
      </w:pPr>
      <w:proofErr w:type="spellStart"/>
      <w:r>
        <w:rPr>
          <w:rFonts w:ascii="Arial" w:hAnsi="Arial" w:cs="Arial"/>
        </w:rPr>
        <w:t>Househ</w:t>
      </w:r>
      <w:proofErr w:type="spellEnd"/>
      <w:r>
        <w:rPr>
          <w:rFonts w:ascii="Arial" w:hAnsi="Arial" w:cs="Arial"/>
        </w:rPr>
        <w:t xml:space="preserve">, M. et al (2014) ‘Empowering patients through social media: The benefits and challenges’, </w:t>
      </w:r>
      <w:r>
        <w:rPr>
          <w:rFonts w:ascii="Arial" w:hAnsi="Arial" w:cs="Arial"/>
          <w:i/>
          <w:iCs/>
        </w:rPr>
        <w:t xml:space="preserve">Health Informatics Journal, </w:t>
      </w:r>
      <w:r>
        <w:rPr>
          <w:rFonts w:ascii="Arial" w:hAnsi="Arial" w:cs="Arial"/>
        </w:rPr>
        <w:t xml:space="preserve">20 (1), pp. 50-58. DOI:10.1177/1460458213476969. Available at: </w:t>
      </w:r>
      <w:hyperlink r:id="rId12" w:history="1">
        <w:r w:rsidRPr="000200C5">
          <w:rPr>
            <w:rStyle w:val="Hyperlink"/>
            <w:rFonts w:ascii="Arial" w:hAnsi="Arial" w:cs="Arial"/>
          </w:rPr>
          <w:t>https://journals.sagepub.com/doi/abs/10.1177/14604582134766969?journalCode=jhib#</w:t>
        </w:r>
      </w:hyperlink>
      <w:r>
        <w:rPr>
          <w:rFonts w:ascii="Arial" w:hAnsi="Arial" w:cs="Arial"/>
        </w:rPr>
        <w:t xml:space="preserve"> (Accessed 10</w:t>
      </w:r>
      <w:r w:rsidRPr="00735E08">
        <w:rPr>
          <w:rFonts w:ascii="Arial" w:hAnsi="Arial" w:cs="Arial"/>
          <w:vertAlign w:val="superscript"/>
        </w:rPr>
        <w:t>th</w:t>
      </w:r>
      <w:r>
        <w:rPr>
          <w:rFonts w:ascii="Arial" w:hAnsi="Arial" w:cs="Arial"/>
        </w:rPr>
        <w:t xml:space="preserve"> December 2019). </w:t>
      </w:r>
    </w:p>
    <w:p w14:paraId="15957F34" w14:textId="2F6FBA79" w:rsidR="004F4F67" w:rsidRDefault="004F4F67" w:rsidP="00C111E1">
      <w:pPr>
        <w:spacing w:line="360" w:lineRule="auto"/>
        <w:rPr>
          <w:rFonts w:ascii="Arial" w:hAnsi="Arial" w:cs="Arial"/>
        </w:rPr>
      </w:pPr>
      <w:r>
        <w:rPr>
          <w:rFonts w:ascii="Arial" w:hAnsi="Arial" w:cs="Arial"/>
        </w:rPr>
        <w:t xml:space="preserve">Islam, S, M, S. et al (2019) ‘The role of social media in preventing and managing non-communicable diseases in low-and-middle income countries: Hope or hype?’, </w:t>
      </w:r>
      <w:r>
        <w:rPr>
          <w:rFonts w:ascii="Arial" w:hAnsi="Arial" w:cs="Arial"/>
          <w:i/>
          <w:iCs/>
        </w:rPr>
        <w:t xml:space="preserve">Health Policy and Technology, </w:t>
      </w:r>
      <w:r>
        <w:rPr>
          <w:rFonts w:ascii="Arial" w:hAnsi="Arial" w:cs="Arial"/>
        </w:rPr>
        <w:t xml:space="preserve">8 (1), pp. 96-101. DOI: 10.1016/j.hlpt.2019.01.001. Available at: </w:t>
      </w:r>
      <w:hyperlink r:id="rId13" w:history="1">
        <w:r w:rsidRPr="000200C5">
          <w:rPr>
            <w:rStyle w:val="Hyperlink"/>
            <w:rFonts w:ascii="Arial" w:hAnsi="Arial" w:cs="Arial"/>
          </w:rPr>
          <w:t>https://www.sciencedirect.com/science/article/pii/S2211883718302326</w:t>
        </w:r>
      </w:hyperlink>
      <w:r>
        <w:rPr>
          <w:rFonts w:ascii="Arial" w:hAnsi="Arial" w:cs="Arial"/>
        </w:rPr>
        <w:t xml:space="preserve"> (Accessed 11</w:t>
      </w:r>
      <w:r>
        <w:rPr>
          <w:rFonts w:ascii="Arial" w:hAnsi="Arial" w:cs="Arial"/>
          <w:vertAlign w:val="superscript"/>
        </w:rPr>
        <w:t xml:space="preserve">th </w:t>
      </w:r>
      <w:r>
        <w:rPr>
          <w:rFonts w:ascii="Arial" w:hAnsi="Arial" w:cs="Arial"/>
        </w:rPr>
        <w:t>December 2019).</w:t>
      </w:r>
    </w:p>
    <w:p w14:paraId="6C518434" w14:textId="650779BF" w:rsidR="004F4F67" w:rsidRDefault="00C62F0C" w:rsidP="00C111E1">
      <w:pPr>
        <w:spacing w:line="360" w:lineRule="auto"/>
        <w:rPr>
          <w:rFonts w:ascii="Arial" w:hAnsi="Arial" w:cs="Arial"/>
        </w:rPr>
      </w:pPr>
      <w:r>
        <w:rPr>
          <w:rFonts w:ascii="Arial" w:hAnsi="Arial" w:cs="Arial"/>
        </w:rPr>
        <w:t xml:space="preserve">LGBT Foundation (2017) </w:t>
      </w:r>
      <w:r>
        <w:rPr>
          <w:rFonts w:ascii="Arial" w:hAnsi="Arial" w:cs="Arial"/>
          <w:i/>
          <w:iCs/>
        </w:rPr>
        <w:t xml:space="preserve">Who we’re here for. </w:t>
      </w:r>
      <w:r>
        <w:rPr>
          <w:rFonts w:ascii="Arial" w:hAnsi="Arial" w:cs="Arial"/>
        </w:rPr>
        <w:t xml:space="preserve">Available at: </w:t>
      </w:r>
      <w:hyperlink r:id="rId14" w:history="1">
        <w:r w:rsidRPr="000200C5">
          <w:rPr>
            <w:rStyle w:val="Hyperlink"/>
            <w:rFonts w:ascii="Arial" w:hAnsi="Arial" w:cs="Arial"/>
          </w:rPr>
          <w:t>https://lgbt.foundation/who-were-here-for</w:t>
        </w:r>
      </w:hyperlink>
      <w:r>
        <w:rPr>
          <w:rFonts w:ascii="Arial" w:hAnsi="Arial" w:cs="Arial"/>
        </w:rPr>
        <w:t xml:space="preserve"> (Accessed 26</w:t>
      </w:r>
      <w:r>
        <w:rPr>
          <w:rFonts w:ascii="Arial" w:hAnsi="Arial" w:cs="Arial"/>
          <w:vertAlign w:val="superscript"/>
        </w:rPr>
        <w:t xml:space="preserve">th </w:t>
      </w:r>
      <w:r>
        <w:rPr>
          <w:rFonts w:ascii="Arial" w:hAnsi="Arial" w:cs="Arial"/>
        </w:rPr>
        <w:t>November 2019).</w:t>
      </w:r>
    </w:p>
    <w:p w14:paraId="6AD68EE4" w14:textId="2CD4CD2F" w:rsidR="00C62F0C" w:rsidRDefault="009D68F8" w:rsidP="00C111E1">
      <w:pPr>
        <w:spacing w:line="360" w:lineRule="auto"/>
        <w:rPr>
          <w:rFonts w:ascii="Arial" w:hAnsi="Arial" w:cs="Arial"/>
        </w:rPr>
      </w:pPr>
      <w:r>
        <w:rPr>
          <w:rFonts w:ascii="Arial" w:hAnsi="Arial" w:cs="Arial"/>
        </w:rPr>
        <w:t xml:space="preserve">Maher, C. et al (2014) ‘Are Health Behaviour Change Interventions That We Use Online Social Networks Effective? A Systematic Review’, </w:t>
      </w:r>
      <w:r>
        <w:rPr>
          <w:rFonts w:ascii="Arial" w:hAnsi="Arial" w:cs="Arial"/>
          <w:i/>
          <w:iCs/>
        </w:rPr>
        <w:t xml:space="preserve">Journal of Medical Internet Research, </w:t>
      </w:r>
      <w:r>
        <w:rPr>
          <w:rFonts w:ascii="Arial" w:hAnsi="Arial" w:cs="Arial"/>
        </w:rPr>
        <w:t xml:space="preserve">16 (2), pp. 1-13. DOI: 10.2196/jmir.2952. Available at: </w:t>
      </w:r>
      <w:hyperlink r:id="rId15" w:history="1">
        <w:r w:rsidRPr="000200C5">
          <w:rPr>
            <w:rStyle w:val="Hyperlink"/>
            <w:rFonts w:ascii="Arial" w:hAnsi="Arial" w:cs="Arial"/>
          </w:rPr>
          <w:t>https://www.jmir.org/2014/2/e40/pdf</w:t>
        </w:r>
      </w:hyperlink>
      <w:r>
        <w:rPr>
          <w:rFonts w:ascii="Arial" w:hAnsi="Arial" w:cs="Arial"/>
        </w:rPr>
        <w:t xml:space="preserve"> (Accessed 10</w:t>
      </w:r>
      <w:r>
        <w:rPr>
          <w:rFonts w:ascii="Arial" w:hAnsi="Arial" w:cs="Arial"/>
          <w:vertAlign w:val="superscript"/>
        </w:rPr>
        <w:t xml:space="preserve">th </w:t>
      </w:r>
      <w:r>
        <w:rPr>
          <w:rFonts w:ascii="Arial" w:hAnsi="Arial" w:cs="Arial"/>
        </w:rPr>
        <w:t>December 2019).</w:t>
      </w:r>
    </w:p>
    <w:p w14:paraId="7AD04D63" w14:textId="568964DC" w:rsidR="009D68F8" w:rsidRDefault="009D68F8" w:rsidP="00C111E1">
      <w:pPr>
        <w:spacing w:line="360" w:lineRule="auto"/>
        <w:rPr>
          <w:rFonts w:ascii="Arial" w:hAnsi="Arial" w:cs="Arial"/>
        </w:rPr>
      </w:pPr>
      <w:r>
        <w:rPr>
          <w:rFonts w:ascii="Arial" w:hAnsi="Arial" w:cs="Arial"/>
        </w:rPr>
        <w:lastRenderedPageBreak/>
        <w:t xml:space="preserve">Mallon, P. (2014) ‘Lesbian, Gay, Bisexual and Transgender (LGBT) Families and Parenting’, </w:t>
      </w:r>
      <w:r>
        <w:rPr>
          <w:rFonts w:ascii="Arial" w:hAnsi="Arial" w:cs="Arial"/>
          <w:i/>
          <w:iCs/>
        </w:rPr>
        <w:t xml:space="preserve">Encyclopaedia of Social Work. </w:t>
      </w:r>
      <w:r>
        <w:rPr>
          <w:rFonts w:ascii="Arial" w:hAnsi="Arial" w:cs="Arial"/>
        </w:rPr>
        <w:t>DOI: 10.1093/</w:t>
      </w:r>
      <w:proofErr w:type="spellStart"/>
      <w:r>
        <w:rPr>
          <w:rFonts w:ascii="Arial" w:hAnsi="Arial" w:cs="Arial"/>
        </w:rPr>
        <w:t>acrefore</w:t>
      </w:r>
      <w:proofErr w:type="spellEnd"/>
      <w:r>
        <w:rPr>
          <w:rFonts w:ascii="Arial" w:hAnsi="Arial" w:cs="Arial"/>
        </w:rPr>
        <w:t xml:space="preserve">/9780199975839.013.158. Available at: </w:t>
      </w:r>
      <w:hyperlink r:id="rId16" w:history="1">
        <w:r w:rsidRPr="000200C5">
          <w:rPr>
            <w:rStyle w:val="Hyperlink"/>
            <w:rFonts w:ascii="Arial" w:hAnsi="Arial" w:cs="Arial"/>
          </w:rPr>
          <w:t>https://oxfordre.com/socialwork/abstract/10,1093/acrefore/9780199975839.001.0001/acrefore-9780199975839-e-158/version/0</w:t>
        </w:r>
      </w:hyperlink>
      <w:r>
        <w:rPr>
          <w:rFonts w:ascii="Arial" w:hAnsi="Arial" w:cs="Arial"/>
        </w:rPr>
        <w:t xml:space="preserve"> (Accessed 26</w:t>
      </w:r>
      <w:r>
        <w:rPr>
          <w:rFonts w:ascii="Arial" w:hAnsi="Arial" w:cs="Arial"/>
          <w:vertAlign w:val="superscript"/>
        </w:rPr>
        <w:t xml:space="preserve">th </w:t>
      </w:r>
      <w:r>
        <w:rPr>
          <w:rFonts w:ascii="Arial" w:hAnsi="Arial" w:cs="Arial"/>
        </w:rPr>
        <w:t>November 2019).</w:t>
      </w:r>
    </w:p>
    <w:p w14:paraId="6FEF32A5" w14:textId="7720BA42" w:rsidR="009D68F8" w:rsidRDefault="007E3C79" w:rsidP="00C111E1">
      <w:pPr>
        <w:spacing w:line="360" w:lineRule="auto"/>
        <w:rPr>
          <w:rFonts w:ascii="Arial" w:hAnsi="Arial" w:cs="Arial"/>
        </w:rPr>
      </w:pPr>
      <w:r>
        <w:rPr>
          <w:rFonts w:ascii="Arial" w:hAnsi="Arial" w:cs="Arial"/>
        </w:rPr>
        <w:t xml:space="preserve">Manning, T. et al (2006) ‘A revised model of team roles and some research findings’, </w:t>
      </w:r>
      <w:r>
        <w:rPr>
          <w:rFonts w:ascii="Arial" w:hAnsi="Arial" w:cs="Arial"/>
          <w:i/>
          <w:iCs/>
        </w:rPr>
        <w:t xml:space="preserve">Industrial and Commercial Training, </w:t>
      </w:r>
      <w:r>
        <w:rPr>
          <w:rFonts w:ascii="Arial" w:hAnsi="Arial" w:cs="Arial"/>
        </w:rPr>
        <w:t>38 (6), pp. 287-296. DOI: 10.1108/00197850610685590</w:t>
      </w:r>
      <w:r w:rsidR="00835F56">
        <w:rPr>
          <w:rFonts w:ascii="Arial" w:hAnsi="Arial" w:cs="Arial"/>
        </w:rPr>
        <w:t xml:space="preserve">. Available at: </w:t>
      </w:r>
      <w:hyperlink r:id="rId17" w:history="1">
        <w:r w:rsidR="00835F56" w:rsidRPr="000200C5">
          <w:rPr>
            <w:rStyle w:val="Hyperlink"/>
            <w:rFonts w:ascii="Arial" w:hAnsi="Arial" w:cs="Arial"/>
          </w:rPr>
          <w:t>https://www.emerald.com/insight/content/doi/10.1108/00197850610685590/full/html</w:t>
        </w:r>
      </w:hyperlink>
      <w:r w:rsidR="00835F56">
        <w:rPr>
          <w:rFonts w:ascii="Arial" w:hAnsi="Arial" w:cs="Arial"/>
        </w:rPr>
        <w:t xml:space="preserve"> (Accessed 11</w:t>
      </w:r>
      <w:r w:rsidR="00835F56">
        <w:rPr>
          <w:rFonts w:ascii="Arial" w:hAnsi="Arial" w:cs="Arial"/>
          <w:vertAlign w:val="superscript"/>
        </w:rPr>
        <w:t xml:space="preserve">th </w:t>
      </w:r>
      <w:r w:rsidR="00835F56">
        <w:rPr>
          <w:rFonts w:ascii="Arial" w:hAnsi="Arial" w:cs="Arial"/>
        </w:rPr>
        <w:t>December 2019).</w:t>
      </w:r>
    </w:p>
    <w:p w14:paraId="3D967282" w14:textId="0FFC2310" w:rsidR="00835F56" w:rsidRDefault="00835F56" w:rsidP="00C111E1">
      <w:pPr>
        <w:spacing w:line="360" w:lineRule="auto"/>
        <w:rPr>
          <w:rFonts w:ascii="Arial" w:hAnsi="Arial" w:cs="Arial"/>
        </w:rPr>
      </w:pPr>
      <w:r>
        <w:rPr>
          <w:rFonts w:ascii="Arial" w:hAnsi="Arial" w:cs="Arial"/>
        </w:rPr>
        <w:t xml:space="preserve">Sander, P. et al (2002) ‘Engaging the learner: Reflections on the use of student presentations’, </w:t>
      </w:r>
      <w:r>
        <w:rPr>
          <w:rFonts w:ascii="Arial" w:hAnsi="Arial" w:cs="Arial"/>
          <w:i/>
          <w:iCs/>
        </w:rPr>
        <w:t xml:space="preserve">Psychology Teaching Review, </w:t>
      </w:r>
      <w:r>
        <w:rPr>
          <w:rFonts w:ascii="Arial" w:hAnsi="Arial" w:cs="Arial"/>
        </w:rPr>
        <w:t xml:space="preserve">10 (1), pp. 76-89. Available at: </w:t>
      </w:r>
      <w:hyperlink r:id="rId18" w:history="1">
        <w:r w:rsidRPr="000200C5">
          <w:rPr>
            <w:rStyle w:val="Hyperlink"/>
            <w:rFonts w:ascii="Arial" w:hAnsi="Arial" w:cs="Arial"/>
          </w:rPr>
          <w:t>https://files.eric.ed.gov/fulltext/EJ876451.pdf</w:t>
        </w:r>
      </w:hyperlink>
      <w:r>
        <w:rPr>
          <w:rFonts w:ascii="Arial" w:hAnsi="Arial" w:cs="Arial"/>
        </w:rPr>
        <w:t xml:space="preserve"> (Accessed 10</w:t>
      </w:r>
      <w:r>
        <w:rPr>
          <w:rFonts w:ascii="Arial" w:hAnsi="Arial" w:cs="Arial"/>
          <w:vertAlign w:val="superscript"/>
        </w:rPr>
        <w:t xml:space="preserve">th </w:t>
      </w:r>
      <w:r>
        <w:rPr>
          <w:rFonts w:ascii="Arial" w:hAnsi="Arial" w:cs="Arial"/>
        </w:rPr>
        <w:t>December 2019).</w:t>
      </w:r>
    </w:p>
    <w:p w14:paraId="1F706DD7" w14:textId="77777777" w:rsidR="00835F56" w:rsidRDefault="00835F56" w:rsidP="00C111E1">
      <w:pPr>
        <w:spacing w:line="360" w:lineRule="auto"/>
        <w:rPr>
          <w:rFonts w:ascii="Arial" w:hAnsi="Arial" w:cs="Arial"/>
        </w:rPr>
      </w:pPr>
      <w:r>
        <w:rPr>
          <w:rFonts w:ascii="Arial" w:hAnsi="Arial" w:cs="Arial"/>
        </w:rPr>
        <w:t xml:space="preserve">Stonewall (2019) </w:t>
      </w:r>
      <w:r>
        <w:rPr>
          <w:rFonts w:ascii="Arial" w:hAnsi="Arial" w:cs="Arial"/>
          <w:i/>
          <w:iCs/>
        </w:rPr>
        <w:t>The situation in Brunei.</w:t>
      </w:r>
      <w:r>
        <w:rPr>
          <w:rFonts w:ascii="Arial" w:hAnsi="Arial" w:cs="Arial"/>
        </w:rPr>
        <w:t xml:space="preserve"> Available at: </w:t>
      </w:r>
      <w:hyperlink r:id="rId19" w:history="1">
        <w:r w:rsidRPr="000200C5">
          <w:rPr>
            <w:rStyle w:val="Hyperlink"/>
            <w:rFonts w:ascii="Arial" w:hAnsi="Arial" w:cs="Arial"/>
          </w:rPr>
          <w:t>https://www.stonewall.org.uk/node/133581</w:t>
        </w:r>
      </w:hyperlink>
      <w:r>
        <w:rPr>
          <w:rFonts w:ascii="Arial" w:hAnsi="Arial" w:cs="Arial"/>
        </w:rPr>
        <w:t xml:space="preserve"> (Accessed 26</w:t>
      </w:r>
      <w:r>
        <w:rPr>
          <w:rFonts w:ascii="Arial" w:hAnsi="Arial" w:cs="Arial"/>
          <w:vertAlign w:val="superscript"/>
        </w:rPr>
        <w:t xml:space="preserve">th </w:t>
      </w:r>
      <w:r>
        <w:rPr>
          <w:rFonts w:ascii="Arial" w:hAnsi="Arial" w:cs="Arial"/>
        </w:rPr>
        <w:t>November 2019).</w:t>
      </w:r>
    </w:p>
    <w:p w14:paraId="2E92A8E6" w14:textId="77777777" w:rsidR="00921CE7" w:rsidRDefault="00921CE7" w:rsidP="00C111E1">
      <w:pPr>
        <w:spacing w:line="360" w:lineRule="auto"/>
        <w:rPr>
          <w:rFonts w:ascii="Arial" w:hAnsi="Arial" w:cs="Arial"/>
        </w:rPr>
      </w:pPr>
      <w:r>
        <w:rPr>
          <w:rFonts w:ascii="Arial" w:hAnsi="Arial" w:cs="Arial"/>
        </w:rPr>
        <w:t xml:space="preserve">The Guardian (2019) </w:t>
      </w:r>
      <w:r>
        <w:rPr>
          <w:rFonts w:ascii="Arial" w:hAnsi="Arial" w:cs="Arial"/>
          <w:i/>
          <w:iCs/>
        </w:rPr>
        <w:t xml:space="preserve">Moments from LGBT history: London Metropolitan Archives. </w:t>
      </w:r>
      <w:r>
        <w:rPr>
          <w:rFonts w:ascii="Arial" w:hAnsi="Arial" w:cs="Arial"/>
        </w:rPr>
        <w:t xml:space="preserve">Available at: </w:t>
      </w:r>
      <w:hyperlink r:id="rId20" w:history="1">
        <w:r w:rsidRPr="000200C5">
          <w:rPr>
            <w:rStyle w:val="Hyperlink"/>
            <w:rFonts w:ascii="Arial" w:hAnsi="Arial" w:cs="Arial"/>
          </w:rPr>
          <w:t>https://www.theguardian.com/world/from-the-archive-blog/2019/feb/20/moments-from-lgbt-history-london-metropolitan-archives</w:t>
        </w:r>
      </w:hyperlink>
      <w:r>
        <w:rPr>
          <w:rFonts w:ascii="Arial" w:hAnsi="Arial" w:cs="Arial"/>
        </w:rPr>
        <w:t xml:space="preserve"> (Accessed 8</w:t>
      </w:r>
      <w:r>
        <w:rPr>
          <w:rFonts w:ascii="Arial" w:hAnsi="Arial" w:cs="Arial"/>
          <w:vertAlign w:val="superscript"/>
        </w:rPr>
        <w:t xml:space="preserve">th </w:t>
      </w:r>
      <w:r>
        <w:rPr>
          <w:rFonts w:ascii="Arial" w:hAnsi="Arial" w:cs="Arial"/>
        </w:rPr>
        <w:t>December 2019).</w:t>
      </w:r>
    </w:p>
    <w:p w14:paraId="56D9E4E4" w14:textId="0CA4CCE1" w:rsidR="00835F56" w:rsidRDefault="00921CE7" w:rsidP="00C111E1">
      <w:pPr>
        <w:spacing w:line="360" w:lineRule="auto"/>
        <w:rPr>
          <w:rFonts w:ascii="Arial" w:hAnsi="Arial" w:cs="Arial"/>
        </w:rPr>
      </w:pPr>
      <w:r>
        <w:rPr>
          <w:rFonts w:ascii="Arial" w:hAnsi="Arial" w:cs="Arial"/>
        </w:rPr>
        <w:t xml:space="preserve">The London School of Economics and Social Policy (2019) </w:t>
      </w:r>
      <w:r>
        <w:rPr>
          <w:rFonts w:ascii="Arial" w:hAnsi="Arial" w:cs="Arial"/>
          <w:i/>
          <w:iCs/>
        </w:rPr>
        <w:t xml:space="preserve">What is social policy? International, interdisciplinary and applied. </w:t>
      </w:r>
      <w:r>
        <w:rPr>
          <w:rFonts w:ascii="Arial" w:hAnsi="Arial" w:cs="Arial"/>
        </w:rPr>
        <w:t xml:space="preserve">Available at: </w:t>
      </w:r>
      <w:hyperlink r:id="rId21" w:history="1">
        <w:r w:rsidRPr="000200C5">
          <w:rPr>
            <w:rStyle w:val="Hyperlink"/>
            <w:rFonts w:ascii="Arial" w:hAnsi="Arial" w:cs="Arial"/>
          </w:rPr>
          <w:t>https://www.lse.ac.uk/social-policy/about-us/what-is-social-policy</w:t>
        </w:r>
      </w:hyperlink>
      <w:r>
        <w:rPr>
          <w:rFonts w:ascii="Arial" w:hAnsi="Arial" w:cs="Arial"/>
        </w:rPr>
        <w:t xml:space="preserve"> (Accessed 10</w:t>
      </w:r>
      <w:r>
        <w:rPr>
          <w:rFonts w:ascii="Arial" w:hAnsi="Arial" w:cs="Arial"/>
          <w:vertAlign w:val="superscript"/>
        </w:rPr>
        <w:t xml:space="preserve">th </w:t>
      </w:r>
      <w:r>
        <w:rPr>
          <w:rFonts w:ascii="Arial" w:hAnsi="Arial" w:cs="Arial"/>
        </w:rPr>
        <w:t>December 2019)</w:t>
      </w:r>
    </w:p>
    <w:p w14:paraId="29549587" w14:textId="156E9CF2" w:rsidR="00921CE7" w:rsidRDefault="003A231A" w:rsidP="00C111E1">
      <w:pPr>
        <w:spacing w:line="360" w:lineRule="auto"/>
        <w:rPr>
          <w:rFonts w:ascii="Arial" w:hAnsi="Arial" w:cs="Arial"/>
        </w:rPr>
      </w:pPr>
      <w:r>
        <w:rPr>
          <w:rFonts w:ascii="Arial" w:hAnsi="Arial" w:cs="Arial"/>
        </w:rPr>
        <w:t xml:space="preserve">The University of Edinburgh (2019) </w:t>
      </w:r>
      <w:r>
        <w:rPr>
          <w:rFonts w:ascii="Arial" w:hAnsi="Arial" w:cs="Arial"/>
          <w:i/>
          <w:iCs/>
        </w:rPr>
        <w:t xml:space="preserve">Gibbs’ reflective cycle. </w:t>
      </w:r>
      <w:r>
        <w:rPr>
          <w:rFonts w:ascii="Arial" w:hAnsi="Arial" w:cs="Arial"/>
        </w:rPr>
        <w:t xml:space="preserve">Available at: </w:t>
      </w:r>
      <w:hyperlink r:id="rId22" w:history="1">
        <w:r w:rsidR="001911D9" w:rsidRPr="000200C5">
          <w:rPr>
            <w:rStyle w:val="Hyperlink"/>
            <w:rFonts w:ascii="Arial" w:hAnsi="Arial" w:cs="Arial"/>
          </w:rPr>
          <w:t>https://www.ed.ac.uk/reflection/reflectors-toolkit/reflecting-on-experience/gibbs-reflective-cycle</w:t>
        </w:r>
      </w:hyperlink>
      <w:r w:rsidR="001911D9">
        <w:rPr>
          <w:rFonts w:ascii="Arial" w:hAnsi="Arial" w:cs="Arial"/>
        </w:rPr>
        <w:t xml:space="preserve"> (Accessed 10</w:t>
      </w:r>
      <w:r w:rsidR="001911D9">
        <w:rPr>
          <w:rFonts w:ascii="Arial" w:hAnsi="Arial" w:cs="Arial"/>
          <w:vertAlign w:val="superscript"/>
        </w:rPr>
        <w:t xml:space="preserve">th </w:t>
      </w:r>
      <w:r w:rsidR="001911D9">
        <w:rPr>
          <w:rFonts w:ascii="Arial" w:hAnsi="Arial" w:cs="Arial"/>
        </w:rPr>
        <w:t>December 2019).</w:t>
      </w:r>
    </w:p>
    <w:p w14:paraId="4F87B4B3" w14:textId="589C7DEB" w:rsidR="001911D9" w:rsidRDefault="001911D9" w:rsidP="00C111E1">
      <w:pPr>
        <w:spacing w:line="360" w:lineRule="auto"/>
        <w:rPr>
          <w:rFonts w:ascii="Arial" w:hAnsi="Arial" w:cs="Arial"/>
        </w:rPr>
      </w:pPr>
      <w:r>
        <w:rPr>
          <w:rFonts w:ascii="Arial" w:hAnsi="Arial" w:cs="Arial"/>
        </w:rPr>
        <w:t xml:space="preserve">Welsh Government (2019) </w:t>
      </w:r>
      <w:r>
        <w:rPr>
          <w:rFonts w:ascii="Arial" w:hAnsi="Arial" w:cs="Arial"/>
          <w:i/>
          <w:iCs/>
        </w:rPr>
        <w:t xml:space="preserve">Equality and Inclusion Funding Programme 2017-2020. </w:t>
      </w:r>
      <w:r>
        <w:rPr>
          <w:rFonts w:ascii="Arial" w:hAnsi="Arial" w:cs="Arial"/>
        </w:rPr>
        <w:t xml:space="preserve">Available at: </w:t>
      </w:r>
      <w:hyperlink r:id="rId23" w:history="1">
        <w:r w:rsidRPr="000200C5">
          <w:rPr>
            <w:rStyle w:val="Hyperlink"/>
            <w:rFonts w:ascii="Arial" w:hAnsi="Arial" w:cs="Arial"/>
          </w:rPr>
          <w:t>https://gov.wales/sites/default/files/publications/2019-3/equality-and-inclusion-programme-2017-2020.pdf</w:t>
        </w:r>
      </w:hyperlink>
      <w:r>
        <w:rPr>
          <w:rFonts w:ascii="Arial" w:hAnsi="Arial" w:cs="Arial"/>
        </w:rPr>
        <w:t xml:space="preserve"> (Accessed 10</w:t>
      </w:r>
      <w:r>
        <w:rPr>
          <w:rFonts w:ascii="Arial" w:hAnsi="Arial" w:cs="Arial"/>
          <w:vertAlign w:val="superscript"/>
        </w:rPr>
        <w:t xml:space="preserve">th </w:t>
      </w:r>
      <w:r>
        <w:rPr>
          <w:rFonts w:ascii="Arial" w:hAnsi="Arial" w:cs="Arial"/>
        </w:rPr>
        <w:t>December 2019).</w:t>
      </w:r>
    </w:p>
    <w:p w14:paraId="069787A0" w14:textId="7E3AC423" w:rsidR="00B62BE0" w:rsidRDefault="00B62BE0" w:rsidP="00C111E1">
      <w:pPr>
        <w:spacing w:line="360" w:lineRule="auto"/>
        <w:rPr>
          <w:rFonts w:ascii="Arial" w:hAnsi="Arial" w:cs="Arial"/>
        </w:rPr>
      </w:pPr>
    </w:p>
    <w:p w14:paraId="2F8369B4" w14:textId="5F7AE2F3" w:rsidR="00B62BE0" w:rsidRDefault="00B62BE0" w:rsidP="00C111E1">
      <w:pPr>
        <w:spacing w:line="360" w:lineRule="auto"/>
        <w:rPr>
          <w:rFonts w:ascii="Arial" w:hAnsi="Arial" w:cs="Arial"/>
        </w:rPr>
      </w:pPr>
    </w:p>
    <w:p w14:paraId="086165D6" w14:textId="1B8C8941" w:rsidR="00B62BE0" w:rsidRDefault="00B62BE0" w:rsidP="00C111E1">
      <w:pPr>
        <w:spacing w:line="360" w:lineRule="auto"/>
        <w:rPr>
          <w:rFonts w:ascii="Arial" w:hAnsi="Arial" w:cs="Arial"/>
        </w:rPr>
      </w:pPr>
    </w:p>
    <w:p w14:paraId="797A332A" w14:textId="6009C712" w:rsidR="00B62BE0" w:rsidRDefault="00B62BE0" w:rsidP="00C111E1">
      <w:pPr>
        <w:spacing w:line="360" w:lineRule="auto"/>
        <w:rPr>
          <w:rFonts w:ascii="Arial" w:hAnsi="Arial" w:cs="Arial"/>
        </w:rPr>
      </w:pPr>
    </w:p>
    <w:p w14:paraId="21A84ED1" w14:textId="77777777" w:rsidR="00FC51D1" w:rsidRDefault="00FC51D1" w:rsidP="00C111E1">
      <w:pPr>
        <w:spacing w:line="360" w:lineRule="auto"/>
        <w:rPr>
          <w:rFonts w:ascii="Arial" w:hAnsi="Arial" w:cs="Arial"/>
        </w:rPr>
      </w:pPr>
    </w:p>
    <w:p w14:paraId="65AC659E" w14:textId="5C2C1180" w:rsidR="00B62BE0" w:rsidRDefault="00B62BE0" w:rsidP="00C111E1">
      <w:pPr>
        <w:spacing w:line="360" w:lineRule="auto"/>
        <w:rPr>
          <w:rFonts w:ascii="Arial" w:hAnsi="Arial" w:cs="Arial"/>
          <w:u w:val="single"/>
        </w:rPr>
      </w:pPr>
      <w:r>
        <w:rPr>
          <w:rFonts w:ascii="Arial" w:hAnsi="Arial" w:cs="Arial"/>
          <w:u w:val="single"/>
        </w:rPr>
        <w:lastRenderedPageBreak/>
        <w:t xml:space="preserve">Appendix </w:t>
      </w:r>
    </w:p>
    <w:p w14:paraId="24655857" w14:textId="74EECF12" w:rsidR="00B62BE0" w:rsidRPr="00B62BE0" w:rsidRDefault="00B62BE0" w:rsidP="00C111E1">
      <w:pPr>
        <w:spacing w:line="360" w:lineRule="auto"/>
        <w:rPr>
          <w:rFonts w:ascii="Arial" w:hAnsi="Arial" w:cs="Arial"/>
        </w:rPr>
      </w:pPr>
      <w:r>
        <w:rPr>
          <w:rFonts w:ascii="Arial" w:hAnsi="Arial" w:cs="Arial"/>
        </w:rPr>
        <w:t>1)</w:t>
      </w:r>
    </w:p>
    <w:p w14:paraId="7F034C8E" w14:textId="088AEDD6" w:rsidR="00B62BE0" w:rsidRDefault="00B62BE0" w:rsidP="00B62BE0">
      <w:pPr>
        <w:spacing w:line="360" w:lineRule="auto"/>
        <w:rPr>
          <w:rFonts w:ascii="Arial" w:hAnsi="Arial" w:cs="Arial"/>
        </w:rPr>
      </w:pPr>
      <w:r>
        <w:rPr>
          <w:noProof/>
        </w:rPr>
        <w:drawing>
          <wp:inline distT="0" distB="0" distL="0" distR="0" wp14:anchorId="609DC75E" wp14:editId="76CECADA">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54D2EDCD" w14:textId="5CEC5BD7" w:rsidR="00B62BE0" w:rsidRDefault="00B62BE0" w:rsidP="00B62BE0">
      <w:pPr>
        <w:spacing w:line="360" w:lineRule="auto"/>
        <w:rPr>
          <w:rFonts w:ascii="Arial" w:hAnsi="Arial" w:cs="Arial"/>
        </w:rPr>
      </w:pPr>
      <w:r>
        <w:rPr>
          <w:rFonts w:ascii="Arial" w:hAnsi="Arial" w:cs="Arial"/>
        </w:rPr>
        <w:t>2)</w:t>
      </w:r>
    </w:p>
    <w:p w14:paraId="728C3001" w14:textId="0FA8EB10" w:rsidR="00B62BE0" w:rsidRDefault="00B62BE0" w:rsidP="00B62BE0">
      <w:pPr>
        <w:spacing w:line="360" w:lineRule="auto"/>
        <w:rPr>
          <w:rFonts w:ascii="Arial" w:hAnsi="Arial" w:cs="Arial"/>
        </w:rPr>
      </w:pPr>
      <w:r>
        <w:rPr>
          <w:noProof/>
        </w:rPr>
        <w:drawing>
          <wp:inline distT="0" distB="0" distL="0" distR="0" wp14:anchorId="72517D7D" wp14:editId="6EA01DEC">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5E4E6FE5" w14:textId="7F07D29A" w:rsidR="00B62BE0" w:rsidRDefault="00B62BE0" w:rsidP="00B62BE0">
      <w:pPr>
        <w:spacing w:line="360" w:lineRule="auto"/>
        <w:rPr>
          <w:rFonts w:ascii="Arial" w:hAnsi="Arial" w:cs="Arial"/>
        </w:rPr>
      </w:pPr>
      <w:r>
        <w:rPr>
          <w:rFonts w:ascii="Arial" w:hAnsi="Arial" w:cs="Arial"/>
        </w:rPr>
        <w:t>3)</w:t>
      </w:r>
    </w:p>
    <w:p w14:paraId="6A276856" w14:textId="27E6AB66" w:rsidR="00B62BE0" w:rsidRDefault="00B62BE0" w:rsidP="00B62BE0">
      <w:pPr>
        <w:spacing w:line="360" w:lineRule="auto"/>
        <w:rPr>
          <w:rFonts w:ascii="Arial" w:hAnsi="Arial" w:cs="Arial"/>
        </w:rPr>
      </w:pPr>
      <w:r>
        <w:rPr>
          <w:noProof/>
        </w:rPr>
        <w:lastRenderedPageBreak/>
        <w:drawing>
          <wp:inline distT="0" distB="0" distL="0" distR="0" wp14:anchorId="3B55E936" wp14:editId="5AFFF1A8">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574A3B13" w14:textId="7F36398D" w:rsidR="00B62BE0" w:rsidRDefault="00B62BE0" w:rsidP="00B62BE0">
      <w:pPr>
        <w:spacing w:line="360" w:lineRule="auto"/>
        <w:rPr>
          <w:rFonts w:ascii="Arial" w:hAnsi="Arial" w:cs="Arial"/>
        </w:rPr>
      </w:pPr>
      <w:r>
        <w:rPr>
          <w:rFonts w:ascii="Arial" w:hAnsi="Arial" w:cs="Arial"/>
        </w:rPr>
        <w:t>4)</w:t>
      </w:r>
    </w:p>
    <w:p w14:paraId="5E4AC830" w14:textId="72DF1A02" w:rsidR="00B62BE0" w:rsidRDefault="00B62BE0" w:rsidP="00B62BE0">
      <w:pPr>
        <w:spacing w:line="360" w:lineRule="auto"/>
        <w:rPr>
          <w:rFonts w:ascii="Arial" w:hAnsi="Arial" w:cs="Arial"/>
        </w:rPr>
      </w:pPr>
      <w:r>
        <w:rPr>
          <w:noProof/>
        </w:rPr>
        <w:drawing>
          <wp:inline distT="0" distB="0" distL="0" distR="0" wp14:anchorId="6B22F7AA" wp14:editId="574AFD2A">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14:paraId="73F5B230" w14:textId="16D98D82" w:rsidR="00B62BE0" w:rsidRDefault="00B62BE0" w:rsidP="00B62BE0">
      <w:pPr>
        <w:spacing w:line="360" w:lineRule="auto"/>
        <w:rPr>
          <w:rFonts w:ascii="Arial" w:hAnsi="Arial" w:cs="Arial"/>
        </w:rPr>
      </w:pPr>
      <w:r>
        <w:rPr>
          <w:rFonts w:ascii="Arial" w:hAnsi="Arial" w:cs="Arial"/>
        </w:rPr>
        <w:t>5)</w:t>
      </w:r>
    </w:p>
    <w:p w14:paraId="33167710" w14:textId="309BA9EB" w:rsidR="00B62BE0" w:rsidRDefault="00B62BE0" w:rsidP="00B62BE0">
      <w:pPr>
        <w:spacing w:line="360" w:lineRule="auto"/>
        <w:rPr>
          <w:rFonts w:ascii="Arial" w:hAnsi="Arial" w:cs="Arial"/>
        </w:rPr>
      </w:pPr>
      <w:r>
        <w:rPr>
          <w:noProof/>
        </w:rPr>
        <w:lastRenderedPageBreak/>
        <w:drawing>
          <wp:inline distT="0" distB="0" distL="0" distR="0" wp14:anchorId="3F9DC05D" wp14:editId="5B35699F">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p>
    <w:p w14:paraId="5ED26AD2" w14:textId="4C285C0B" w:rsidR="00B62BE0" w:rsidRDefault="00B62BE0" w:rsidP="00B62BE0">
      <w:pPr>
        <w:spacing w:line="360" w:lineRule="auto"/>
        <w:rPr>
          <w:rFonts w:ascii="Arial" w:hAnsi="Arial" w:cs="Arial"/>
        </w:rPr>
      </w:pPr>
      <w:r>
        <w:rPr>
          <w:rFonts w:ascii="Arial" w:hAnsi="Arial" w:cs="Arial"/>
        </w:rPr>
        <w:t>6)</w:t>
      </w:r>
    </w:p>
    <w:p w14:paraId="435FDD86" w14:textId="613C9EA0" w:rsidR="00B62BE0" w:rsidRDefault="00B62BE0" w:rsidP="00B62BE0">
      <w:pPr>
        <w:spacing w:line="360" w:lineRule="auto"/>
        <w:rPr>
          <w:rFonts w:ascii="Arial" w:hAnsi="Arial" w:cs="Arial"/>
        </w:rPr>
      </w:pPr>
      <w:r>
        <w:rPr>
          <w:noProof/>
        </w:rPr>
        <w:drawing>
          <wp:inline distT="0" distB="0" distL="0" distR="0" wp14:anchorId="17C507FF" wp14:editId="4161D531">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2625"/>
                    </a:xfrm>
                    <a:prstGeom prst="rect">
                      <a:avLst/>
                    </a:prstGeom>
                  </pic:spPr>
                </pic:pic>
              </a:graphicData>
            </a:graphic>
          </wp:inline>
        </w:drawing>
      </w:r>
    </w:p>
    <w:p w14:paraId="6D9E5A8E" w14:textId="68D3A19B" w:rsidR="00B62BE0" w:rsidRDefault="00B62BE0" w:rsidP="00B62BE0">
      <w:pPr>
        <w:spacing w:line="360" w:lineRule="auto"/>
        <w:rPr>
          <w:rFonts w:ascii="Arial" w:hAnsi="Arial" w:cs="Arial"/>
        </w:rPr>
      </w:pPr>
      <w:r>
        <w:rPr>
          <w:rFonts w:ascii="Arial" w:hAnsi="Arial" w:cs="Arial"/>
        </w:rPr>
        <w:t xml:space="preserve">7) </w:t>
      </w:r>
    </w:p>
    <w:p w14:paraId="19EBB33E" w14:textId="23D82F07" w:rsidR="00E1215B" w:rsidRDefault="00E1215B" w:rsidP="00B62BE0">
      <w:pPr>
        <w:spacing w:line="360" w:lineRule="auto"/>
        <w:rPr>
          <w:rFonts w:ascii="Arial" w:hAnsi="Arial" w:cs="Arial"/>
        </w:rPr>
      </w:pPr>
      <w:r>
        <w:rPr>
          <w:noProof/>
        </w:rPr>
        <w:lastRenderedPageBreak/>
        <w:drawing>
          <wp:inline distT="0" distB="0" distL="0" distR="0" wp14:anchorId="37BE86A3" wp14:editId="7FF3AA05">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14:paraId="3790E8AC" w14:textId="7322CD4B" w:rsidR="00743ABA" w:rsidRDefault="00743ABA" w:rsidP="00B62BE0">
      <w:pPr>
        <w:spacing w:line="360" w:lineRule="auto"/>
        <w:rPr>
          <w:rFonts w:ascii="Arial" w:hAnsi="Arial" w:cs="Arial"/>
        </w:rPr>
      </w:pPr>
      <w:r>
        <w:rPr>
          <w:rFonts w:ascii="Arial" w:hAnsi="Arial" w:cs="Arial"/>
        </w:rPr>
        <w:t>8)</w:t>
      </w:r>
    </w:p>
    <w:p w14:paraId="192ABA6C" w14:textId="77777777" w:rsidR="00743ABA" w:rsidRDefault="00743ABA" w:rsidP="00B62BE0">
      <w:pPr>
        <w:spacing w:line="360" w:lineRule="auto"/>
        <w:rPr>
          <w:rFonts w:ascii="Arial" w:hAnsi="Arial" w:cs="Arial"/>
        </w:rPr>
      </w:pPr>
    </w:p>
    <w:p w14:paraId="4F1167A8" w14:textId="13454682" w:rsidR="00B62BE0" w:rsidRDefault="00743ABA" w:rsidP="00B62BE0">
      <w:pPr>
        <w:spacing w:line="360" w:lineRule="auto"/>
        <w:rPr>
          <w:rFonts w:ascii="Arial" w:hAnsi="Arial" w:cs="Arial"/>
        </w:rPr>
      </w:pPr>
      <w:r>
        <w:rPr>
          <w:noProof/>
        </w:rPr>
        <w:drawing>
          <wp:inline distT="0" distB="0" distL="0" distR="0" wp14:anchorId="176AC3C8" wp14:editId="3D41757E">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2625"/>
                    </a:xfrm>
                    <a:prstGeom prst="rect">
                      <a:avLst/>
                    </a:prstGeom>
                  </pic:spPr>
                </pic:pic>
              </a:graphicData>
            </a:graphic>
          </wp:inline>
        </w:drawing>
      </w:r>
    </w:p>
    <w:p w14:paraId="63AE93A2" w14:textId="3C4D0295" w:rsidR="00743ABA" w:rsidRDefault="00743ABA" w:rsidP="00B62BE0">
      <w:pPr>
        <w:spacing w:line="360" w:lineRule="auto"/>
        <w:rPr>
          <w:rFonts w:ascii="Arial" w:hAnsi="Arial" w:cs="Arial"/>
        </w:rPr>
      </w:pPr>
      <w:r>
        <w:rPr>
          <w:rFonts w:ascii="Arial" w:hAnsi="Arial" w:cs="Arial"/>
        </w:rPr>
        <w:t>9)</w:t>
      </w:r>
    </w:p>
    <w:p w14:paraId="7168DE00" w14:textId="19DFB45B" w:rsidR="00743ABA" w:rsidRPr="00B62BE0" w:rsidRDefault="00743ABA" w:rsidP="00B62BE0">
      <w:pPr>
        <w:spacing w:line="360" w:lineRule="auto"/>
        <w:rPr>
          <w:rFonts w:ascii="Arial" w:hAnsi="Arial" w:cs="Arial"/>
        </w:rPr>
      </w:pPr>
      <w:r>
        <w:rPr>
          <w:noProof/>
        </w:rPr>
        <w:lastRenderedPageBreak/>
        <w:drawing>
          <wp:inline distT="0" distB="0" distL="0" distR="0" wp14:anchorId="3616CFBD" wp14:editId="10BDBB15">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sectPr w:rsidR="00743ABA" w:rsidRPr="00B62BE0">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0E2EB" w14:textId="77777777" w:rsidR="00D857BD" w:rsidRDefault="00D857BD" w:rsidP="00C111E1">
      <w:pPr>
        <w:spacing w:after="0" w:line="240" w:lineRule="auto"/>
      </w:pPr>
      <w:r>
        <w:separator/>
      </w:r>
    </w:p>
  </w:endnote>
  <w:endnote w:type="continuationSeparator" w:id="0">
    <w:p w14:paraId="1424F825" w14:textId="77777777" w:rsidR="00D857BD" w:rsidRDefault="00D857BD" w:rsidP="00C11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7092380"/>
      <w:docPartObj>
        <w:docPartGallery w:val="Page Numbers (Bottom of Page)"/>
        <w:docPartUnique/>
      </w:docPartObj>
    </w:sdtPr>
    <w:sdtEndPr>
      <w:rPr>
        <w:noProof/>
      </w:rPr>
    </w:sdtEndPr>
    <w:sdtContent>
      <w:p w14:paraId="6413D6B4" w14:textId="47E88E25" w:rsidR="00C111E1" w:rsidRDefault="00C111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751557" w14:textId="77777777" w:rsidR="00C111E1" w:rsidRDefault="00C11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E863E2" w14:textId="77777777" w:rsidR="00D857BD" w:rsidRDefault="00D857BD" w:rsidP="00C111E1">
      <w:pPr>
        <w:spacing w:after="0" w:line="240" w:lineRule="auto"/>
      </w:pPr>
      <w:r>
        <w:separator/>
      </w:r>
    </w:p>
  </w:footnote>
  <w:footnote w:type="continuationSeparator" w:id="0">
    <w:p w14:paraId="627900E6" w14:textId="77777777" w:rsidR="00D857BD" w:rsidRDefault="00D857BD" w:rsidP="00C11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51438"/>
    <w:multiLevelType w:val="hybridMultilevel"/>
    <w:tmpl w:val="9342AF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101963"/>
    <w:multiLevelType w:val="hybridMultilevel"/>
    <w:tmpl w:val="B37643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60BA6"/>
    <w:multiLevelType w:val="hybridMultilevel"/>
    <w:tmpl w:val="630E6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1E1"/>
    <w:rsid w:val="00004391"/>
    <w:rsid w:val="00020F1F"/>
    <w:rsid w:val="000473F1"/>
    <w:rsid w:val="000B5A46"/>
    <w:rsid w:val="00106A76"/>
    <w:rsid w:val="00115983"/>
    <w:rsid w:val="00135417"/>
    <w:rsid w:val="00135C4D"/>
    <w:rsid w:val="001911D9"/>
    <w:rsid w:val="001C423A"/>
    <w:rsid w:val="001D5181"/>
    <w:rsid w:val="001E51AE"/>
    <w:rsid w:val="001F684F"/>
    <w:rsid w:val="0022515B"/>
    <w:rsid w:val="002749D6"/>
    <w:rsid w:val="00284E8C"/>
    <w:rsid w:val="00292B1F"/>
    <w:rsid w:val="003624A7"/>
    <w:rsid w:val="00374990"/>
    <w:rsid w:val="003A231A"/>
    <w:rsid w:val="003E1887"/>
    <w:rsid w:val="003F4A11"/>
    <w:rsid w:val="00442A67"/>
    <w:rsid w:val="00453E7D"/>
    <w:rsid w:val="004611CF"/>
    <w:rsid w:val="00467A87"/>
    <w:rsid w:val="00491618"/>
    <w:rsid w:val="004C2BF3"/>
    <w:rsid w:val="004F4F67"/>
    <w:rsid w:val="0051551E"/>
    <w:rsid w:val="00517655"/>
    <w:rsid w:val="0053761C"/>
    <w:rsid w:val="00542066"/>
    <w:rsid w:val="005F04AD"/>
    <w:rsid w:val="0061536D"/>
    <w:rsid w:val="00615AA6"/>
    <w:rsid w:val="006510AB"/>
    <w:rsid w:val="0065452B"/>
    <w:rsid w:val="00666A95"/>
    <w:rsid w:val="00670711"/>
    <w:rsid w:val="007150EE"/>
    <w:rsid w:val="00730F6D"/>
    <w:rsid w:val="00735E08"/>
    <w:rsid w:val="00743ABA"/>
    <w:rsid w:val="00750131"/>
    <w:rsid w:val="007A63FA"/>
    <w:rsid w:val="007E3C79"/>
    <w:rsid w:val="00820A54"/>
    <w:rsid w:val="00835F56"/>
    <w:rsid w:val="00846A5E"/>
    <w:rsid w:val="0084760E"/>
    <w:rsid w:val="008B7E90"/>
    <w:rsid w:val="008D0DA5"/>
    <w:rsid w:val="00905AD8"/>
    <w:rsid w:val="00921CE7"/>
    <w:rsid w:val="009323BE"/>
    <w:rsid w:val="009A6608"/>
    <w:rsid w:val="009B1CE9"/>
    <w:rsid w:val="009D68F8"/>
    <w:rsid w:val="009E5007"/>
    <w:rsid w:val="009F04DF"/>
    <w:rsid w:val="00A16ADD"/>
    <w:rsid w:val="00A254C1"/>
    <w:rsid w:val="00A376E0"/>
    <w:rsid w:val="00A409DF"/>
    <w:rsid w:val="00A60FAE"/>
    <w:rsid w:val="00A94073"/>
    <w:rsid w:val="00AB66BF"/>
    <w:rsid w:val="00AD13D4"/>
    <w:rsid w:val="00AE47C7"/>
    <w:rsid w:val="00B07B05"/>
    <w:rsid w:val="00B62BE0"/>
    <w:rsid w:val="00B81CD1"/>
    <w:rsid w:val="00C111E1"/>
    <w:rsid w:val="00C45269"/>
    <w:rsid w:val="00C62F0C"/>
    <w:rsid w:val="00C744DC"/>
    <w:rsid w:val="00CF5AE5"/>
    <w:rsid w:val="00D24CF6"/>
    <w:rsid w:val="00D44CA0"/>
    <w:rsid w:val="00D50A39"/>
    <w:rsid w:val="00D857BD"/>
    <w:rsid w:val="00DB0B16"/>
    <w:rsid w:val="00E068E9"/>
    <w:rsid w:val="00E1215B"/>
    <w:rsid w:val="00E55168"/>
    <w:rsid w:val="00E64D04"/>
    <w:rsid w:val="00E85355"/>
    <w:rsid w:val="00EA1A2D"/>
    <w:rsid w:val="00F0339A"/>
    <w:rsid w:val="00F05E3A"/>
    <w:rsid w:val="00F17080"/>
    <w:rsid w:val="00F4174D"/>
    <w:rsid w:val="00F421A8"/>
    <w:rsid w:val="00F74A19"/>
    <w:rsid w:val="00FB450B"/>
    <w:rsid w:val="00FC51D1"/>
    <w:rsid w:val="00FD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CB4DE"/>
  <w15:chartTrackingRefBased/>
  <w15:docId w15:val="{12E9229B-D08E-4C3F-B9A4-62DFE5998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1E1"/>
  </w:style>
  <w:style w:type="paragraph" w:styleId="Footer">
    <w:name w:val="footer"/>
    <w:basedOn w:val="Normal"/>
    <w:link w:val="FooterChar"/>
    <w:uiPriority w:val="99"/>
    <w:unhideWhenUsed/>
    <w:rsid w:val="00C11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1E1"/>
  </w:style>
  <w:style w:type="character" w:styleId="Hyperlink">
    <w:name w:val="Hyperlink"/>
    <w:basedOn w:val="DefaultParagraphFont"/>
    <w:uiPriority w:val="99"/>
    <w:unhideWhenUsed/>
    <w:rsid w:val="00E85355"/>
    <w:rPr>
      <w:color w:val="0563C1" w:themeColor="hyperlink"/>
      <w:u w:val="single"/>
    </w:rPr>
  </w:style>
  <w:style w:type="character" w:styleId="UnresolvedMention">
    <w:name w:val="Unresolved Mention"/>
    <w:basedOn w:val="DefaultParagraphFont"/>
    <w:uiPriority w:val="99"/>
    <w:semiHidden/>
    <w:unhideWhenUsed/>
    <w:rsid w:val="00E85355"/>
    <w:rPr>
      <w:color w:val="605E5C"/>
      <w:shd w:val="clear" w:color="auto" w:fill="E1DFDD"/>
    </w:rPr>
  </w:style>
  <w:style w:type="paragraph" w:styleId="ListParagraph">
    <w:name w:val="List Paragraph"/>
    <w:basedOn w:val="Normal"/>
    <w:uiPriority w:val="34"/>
    <w:qFormat/>
    <w:rsid w:val="00B62B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211883718302326" TargetMode="External"/><Relationship Id="rId18" Type="http://schemas.openxmlformats.org/officeDocument/2006/relationships/hyperlink" Target="https://files.eric.ed.gov/fulltext/EJ876451.pdf"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lse.ac.uk/social-policy/about-us/what-is-social-policy"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journals.sagepub.com/doi/abs/10.1177/14604582134766969?journalCode=jhib" TargetMode="External"/><Relationship Id="rId17" Type="http://schemas.openxmlformats.org/officeDocument/2006/relationships/hyperlink" Target="https://www.emerald.com/insight/content/doi/10.1108/00197850610685590/full/html" TargetMode="External"/><Relationship Id="rId25" Type="http://schemas.openxmlformats.org/officeDocument/2006/relationships/image" Target="media/image3.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xfordre.com/socialwork/abstract/10,1093/acrefore/9780199975839.001.0001/acrefore-9780199975839-e-158/version/0" TargetMode="External"/><Relationship Id="rId20" Type="http://schemas.openxmlformats.org/officeDocument/2006/relationships/hyperlink" Target="https://www.theguardian.com/world/from-the-archive-blog/2019/feb/20/moments-from-lgbt-history-london-metropolitan-archives"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attachment_data/file/721367/GEO-LGBT-Action-Plan.pdf" TargetMode="External"/><Relationship Id="rId24" Type="http://schemas.openxmlformats.org/officeDocument/2006/relationships/image" Target="media/image2.png"/><Relationship Id="rId32"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jmir.org/2014/2/e40/pdf" TargetMode="External"/><Relationship Id="rId23" Type="http://schemas.openxmlformats.org/officeDocument/2006/relationships/hyperlink" Target="https://gov.wales/sites/default/files/publications/2019-3/equality-and-inclusion-programme-2017-2020.pdf" TargetMode="External"/><Relationship Id="rId28" Type="http://schemas.openxmlformats.org/officeDocument/2006/relationships/image" Target="media/image6.png"/><Relationship Id="rId10" Type="http://schemas.openxmlformats.org/officeDocument/2006/relationships/hyperlink" Target="https://www.fflag.org.uk/portfolio-item/gay-lesbian-parenting/" TargetMode="External"/><Relationship Id="rId19" Type="http://schemas.openxmlformats.org/officeDocument/2006/relationships/hyperlink" Target="https://www.stonewall.org.uk/node/133581"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ncbi.nlm.nih.gov/pmc/articles/PMC4046684/pdf/fpsyg-05-00558.pdf" TargetMode="External"/><Relationship Id="rId14" Type="http://schemas.openxmlformats.org/officeDocument/2006/relationships/hyperlink" Target="https://lgbt.foundation/who-were-here-for"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hyperlink" Target="https://www.tandfonline.com/doi/full/10.1080/08870446.2011.613995?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2019-12-13T07:37:00Z</dcterms:created>
  <dcterms:modified xsi:type="dcterms:W3CDTF">2019-12-13T07:37:00Z</dcterms:modified>
</cp:coreProperties>
</file>