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11DC89" w14:textId="5F3E2850" w:rsidR="0096585B" w:rsidRDefault="0096585B" w:rsidP="004208DC">
      <w:pPr>
        <w:spacing w:after="0" w:line="480" w:lineRule="auto"/>
        <w:jc w:val="both"/>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What does Paul Gilroy identify as the defining characteristics of ‘the Black Atlantic</w:t>
      </w:r>
      <w:r w:rsidR="00C16E4C">
        <w:rPr>
          <w:rFonts w:ascii="Times New Roman" w:eastAsia="Times New Roman" w:hAnsi="Times New Roman" w:cs="Times New Roman"/>
          <w:b/>
          <w:bCs/>
          <w:color w:val="000000"/>
          <w:sz w:val="24"/>
          <w:szCs w:val="24"/>
          <w:lang w:eastAsia="en-GB"/>
        </w:rPr>
        <w:t>’? And why does Gilroy place importance of ships in his analysis?</w:t>
      </w:r>
    </w:p>
    <w:p w14:paraId="6E9D5C47" w14:textId="77777777" w:rsidR="00C16E4C" w:rsidRPr="0096585B" w:rsidRDefault="00C16E4C" w:rsidP="004208DC">
      <w:pPr>
        <w:spacing w:after="0" w:line="480" w:lineRule="auto"/>
        <w:jc w:val="both"/>
        <w:rPr>
          <w:rFonts w:ascii="Times New Roman" w:eastAsia="Times New Roman" w:hAnsi="Times New Roman" w:cs="Times New Roman"/>
          <w:b/>
          <w:bCs/>
          <w:color w:val="000000"/>
          <w:sz w:val="24"/>
          <w:szCs w:val="24"/>
          <w:lang w:eastAsia="en-GB"/>
        </w:rPr>
      </w:pPr>
    </w:p>
    <w:p w14:paraId="518B42D5" w14:textId="5BC44EDA" w:rsidR="00684CC9" w:rsidRPr="00684CC9" w:rsidRDefault="00684CC9" w:rsidP="004208DC">
      <w:pPr>
        <w:spacing w:after="0" w:line="480" w:lineRule="auto"/>
        <w:jc w:val="both"/>
        <w:rPr>
          <w:rFonts w:ascii="Times New Roman" w:eastAsia="Times New Roman" w:hAnsi="Times New Roman" w:cs="Times New Roman"/>
          <w:sz w:val="24"/>
          <w:szCs w:val="24"/>
          <w:lang w:eastAsia="en-GB"/>
        </w:rPr>
      </w:pPr>
      <w:r w:rsidRPr="00684CC9">
        <w:rPr>
          <w:rFonts w:ascii="Times New Roman" w:eastAsia="Times New Roman" w:hAnsi="Times New Roman" w:cs="Times New Roman"/>
          <w:color w:val="000000"/>
          <w:sz w:val="24"/>
          <w:szCs w:val="24"/>
          <w:lang w:eastAsia="en-GB"/>
        </w:rPr>
        <w:t>This assignment will be discussing the first chapter of Paul Gilroy’s book entitled “The Black Atlantic: Modernity and Double Consciousness”</w:t>
      </w:r>
      <w:r w:rsidRPr="00684CC9">
        <w:rPr>
          <w:rFonts w:ascii="Times New Roman" w:eastAsia="Times New Roman" w:hAnsi="Times New Roman" w:cs="Times New Roman"/>
          <w:color w:val="000000"/>
          <w:sz w:val="24"/>
          <w:szCs w:val="24"/>
          <w:lang w:eastAsia="en-GB"/>
        </w:rPr>
        <w:t xml:space="preserve"> which has been described as a “landmark book”</w:t>
      </w:r>
      <w:r w:rsidRPr="00684CC9">
        <w:rPr>
          <w:rFonts w:ascii="Times New Roman" w:eastAsia="Times New Roman" w:hAnsi="Times New Roman" w:cs="Times New Roman"/>
          <w:color w:val="000000"/>
          <w:sz w:val="24"/>
          <w:szCs w:val="24"/>
          <w:lang w:eastAsia="en-GB"/>
        </w:rPr>
        <w:t>.</w:t>
      </w:r>
      <w:r w:rsidRPr="00684CC9">
        <w:rPr>
          <w:rStyle w:val="FootnoteReference"/>
          <w:rFonts w:ascii="Times New Roman" w:eastAsia="Times New Roman" w:hAnsi="Times New Roman" w:cs="Times New Roman"/>
          <w:color w:val="000000"/>
          <w:sz w:val="24"/>
          <w:szCs w:val="24"/>
          <w:lang w:eastAsia="en-GB"/>
        </w:rPr>
        <w:footnoteReference w:id="1"/>
      </w:r>
      <w:r w:rsidRPr="00684CC9">
        <w:rPr>
          <w:rFonts w:ascii="Times New Roman" w:eastAsia="Times New Roman" w:hAnsi="Times New Roman" w:cs="Times New Roman"/>
          <w:color w:val="000000"/>
          <w:sz w:val="24"/>
          <w:szCs w:val="24"/>
          <w:lang w:eastAsia="en-GB"/>
        </w:rPr>
        <w:t xml:space="preserve"> The chapter in question follows a similar theme to the title of the book being called “The Black Atlantic as a </w:t>
      </w:r>
      <w:r w:rsidR="00444C84">
        <w:rPr>
          <w:rFonts w:ascii="Times New Roman" w:eastAsia="Times New Roman" w:hAnsi="Times New Roman" w:cs="Times New Roman"/>
          <w:color w:val="000000"/>
          <w:sz w:val="24"/>
          <w:szCs w:val="24"/>
          <w:lang w:eastAsia="en-GB"/>
        </w:rPr>
        <w:t>C</w:t>
      </w:r>
      <w:r w:rsidRPr="00684CC9">
        <w:rPr>
          <w:rFonts w:ascii="Times New Roman" w:eastAsia="Times New Roman" w:hAnsi="Times New Roman" w:cs="Times New Roman"/>
          <w:color w:val="000000"/>
          <w:sz w:val="24"/>
          <w:szCs w:val="24"/>
          <w:lang w:eastAsia="en-GB"/>
        </w:rPr>
        <w:t>ounterculture of Modernity”.</w:t>
      </w:r>
      <w:r w:rsidR="00327E71">
        <w:rPr>
          <w:rFonts w:ascii="Times New Roman" w:eastAsia="Times New Roman" w:hAnsi="Times New Roman" w:cs="Times New Roman"/>
          <w:color w:val="000000"/>
          <w:sz w:val="24"/>
          <w:szCs w:val="24"/>
          <w:lang w:eastAsia="en-GB"/>
        </w:rPr>
        <w:t xml:space="preserve"> </w:t>
      </w:r>
    </w:p>
    <w:p w14:paraId="13300C45" w14:textId="77777777" w:rsidR="00327E71" w:rsidRDefault="00327E71" w:rsidP="004208DC">
      <w:pPr>
        <w:spacing w:after="0" w:line="480" w:lineRule="auto"/>
        <w:jc w:val="both"/>
        <w:rPr>
          <w:rFonts w:ascii="Times New Roman" w:eastAsia="Times New Roman" w:hAnsi="Times New Roman" w:cs="Times New Roman"/>
          <w:sz w:val="24"/>
          <w:szCs w:val="24"/>
          <w:lang w:eastAsia="en-GB"/>
        </w:rPr>
      </w:pPr>
    </w:p>
    <w:p w14:paraId="4C714083" w14:textId="2020F4EF" w:rsidR="00E042BE" w:rsidRDefault="00684CC9" w:rsidP="004208DC">
      <w:pPr>
        <w:spacing w:after="0" w:line="480" w:lineRule="auto"/>
        <w:jc w:val="both"/>
        <w:rPr>
          <w:rFonts w:ascii="Times New Roman" w:eastAsia="Times New Roman" w:hAnsi="Times New Roman" w:cs="Times New Roman"/>
          <w:sz w:val="24"/>
          <w:szCs w:val="24"/>
          <w:lang w:eastAsia="en-GB"/>
        </w:rPr>
      </w:pPr>
      <w:r w:rsidRPr="00684CC9">
        <w:rPr>
          <w:rFonts w:ascii="Times New Roman" w:eastAsia="Times New Roman" w:hAnsi="Times New Roman" w:cs="Times New Roman"/>
          <w:color w:val="000000"/>
          <w:sz w:val="24"/>
          <w:szCs w:val="24"/>
          <w:lang w:eastAsia="en-GB"/>
        </w:rPr>
        <w:t>Paul Gilroy</w:t>
      </w:r>
      <w:r w:rsidRPr="00684CC9">
        <w:rPr>
          <w:rFonts w:ascii="Times New Roman" w:eastAsia="Times New Roman" w:hAnsi="Times New Roman" w:cs="Times New Roman"/>
          <w:sz w:val="24"/>
          <w:szCs w:val="24"/>
          <w:lang w:eastAsia="en-GB"/>
        </w:rPr>
        <w:t xml:space="preserve"> is an English born academic renowned for his work in black culture</w:t>
      </w:r>
      <w:r w:rsidR="00444C84">
        <w:rPr>
          <w:rFonts w:ascii="Times New Roman" w:eastAsia="Times New Roman" w:hAnsi="Times New Roman" w:cs="Times New Roman"/>
          <w:sz w:val="24"/>
          <w:szCs w:val="24"/>
          <w:lang w:eastAsia="en-GB"/>
        </w:rPr>
        <w:t xml:space="preserve">, </w:t>
      </w:r>
      <w:r w:rsidRPr="00684CC9">
        <w:rPr>
          <w:rFonts w:ascii="Times New Roman" w:eastAsia="Times New Roman" w:hAnsi="Times New Roman" w:cs="Times New Roman"/>
          <w:sz w:val="24"/>
          <w:szCs w:val="24"/>
          <w:lang w:eastAsia="en-GB"/>
        </w:rPr>
        <w:t>race and religion</w:t>
      </w:r>
      <w:r w:rsidR="00B03099">
        <w:rPr>
          <w:rFonts w:ascii="Times New Roman" w:eastAsia="Times New Roman" w:hAnsi="Times New Roman" w:cs="Times New Roman"/>
          <w:sz w:val="24"/>
          <w:szCs w:val="24"/>
          <w:lang w:eastAsia="en-GB"/>
        </w:rPr>
        <w:t xml:space="preserve"> who in</w:t>
      </w:r>
      <w:r w:rsidRPr="00684CC9">
        <w:rPr>
          <w:rFonts w:ascii="Times New Roman" w:eastAsia="Times New Roman" w:hAnsi="Times New Roman" w:cs="Times New Roman"/>
          <w:sz w:val="24"/>
          <w:szCs w:val="24"/>
          <w:lang w:eastAsia="en-GB"/>
        </w:rPr>
        <w:t xml:space="preserve"> 2019 was awarded The Holberg Prize</w:t>
      </w:r>
      <w:r w:rsidR="00B03099">
        <w:rPr>
          <w:rFonts w:ascii="Times New Roman" w:eastAsia="Times New Roman" w:hAnsi="Times New Roman" w:cs="Times New Roman"/>
          <w:sz w:val="24"/>
          <w:szCs w:val="24"/>
          <w:lang w:eastAsia="en-GB"/>
        </w:rPr>
        <w:t>.</w:t>
      </w:r>
      <w:r w:rsidR="00B03099">
        <w:rPr>
          <w:rStyle w:val="FootnoteReference"/>
          <w:rFonts w:ascii="Times New Roman" w:eastAsia="Times New Roman" w:hAnsi="Times New Roman" w:cs="Times New Roman"/>
          <w:sz w:val="24"/>
          <w:szCs w:val="24"/>
          <w:lang w:eastAsia="en-GB"/>
        </w:rPr>
        <w:footnoteReference w:id="2"/>
      </w:r>
      <w:r w:rsidRPr="00684CC9">
        <w:rPr>
          <w:rFonts w:ascii="Times New Roman" w:eastAsia="Times New Roman" w:hAnsi="Times New Roman" w:cs="Times New Roman"/>
          <w:sz w:val="24"/>
          <w:szCs w:val="24"/>
          <w:lang w:eastAsia="en-GB"/>
        </w:rPr>
        <w:t xml:space="preserve"> </w:t>
      </w:r>
      <w:r w:rsidR="003D4742">
        <w:rPr>
          <w:rFonts w:ascii="Times New Roman" w:eastAsia="Times New Roman" w:hAnsi="Times New Roman" w:cs="Times New Roman"/>
          <w:sz w:val="24"/>
          <w:szCs w:val="24"/>
          <w:lang w:eastAsia="en-GB"/>
        </w:rPr>
        <w:t>Gilroy is the Son of Guyanese novelist Beryl Gilroy and an English Scientist.</w:t>
      </w:r>
      <w:r w:rsidR="003D4742">
        <w:rPr>
          <w:rStyle w:val="FootnoteReference"/>
          <w:rFonts w:ascii="Times New Roman" w:eastAsia="Times New Roman" w:hAnsi="Times New Roman" w:cs="Times New Roman"/>
          <w:sz w:val="24"/>
          <w:szCs w:val="24"/>
          <w:lang w:eastAsia="en-GB"/>
        </w:rPr>
        <w:footnoteReference w:id="3"/>
      </w:r>
      <w:r w:rsidRPr="00684CC9">
        <w:rPr>
          <w:rFonts w:ascii="Times New Roman" w:eastAsia="Times New Roman" w:hAnsi="Times New Roman" w:cs="Times New Roman"/>
          <w:sz w:val="24"/>
          <w:szCs w:val="24"/>
          <w:lang w:eastAsia="en-GB"/>
        </w:rPr>
        <w:t xml:space="preserve"> </w:t>
      </w:r>
      <w:r w:rsidR="003D4742">
        <w:rPr>
          <w:rFonts w:ascii="Times New Roman" w:eastAsia="Times New Roman" w:hAnsi="Times New Roman" w:cs="Times New Roman"/>
          <w:sz w:val="24"/>
          <w:szCs w:val="24"/>
          <w:lang w:eastAsia="en-GB"/>
        </w:rPr>
        <w:t>Gilroy first established his prominence with his early works regarding racism in the United Kingdom</w:t>
      </w:r>
      <w:r w:rsidR="00B86D1D">
        <w:rPr>
          <w:rFonts w:ascii="Times New Roman" w:eastAsia="Times New Roman" w:hAnsi="Times New Roman" w:cs="Times New Roman"/>
          <w:sz w:val="24"/>
          <w:szCs w:val="24"/>
          <w:lang w:eastAsia="en-GB"/>
        </w:rPr>
        <w:t xml:space="preserve"> with his 1987 work entitled “There Ain’t No Black in the Union Jack: The Cultural Politics of Race and Nation”.</w:t>
      </w:r>
      <w:r w:rsidR="00B86D1D">
        <w:rPr>
          <w:rStyle w:val="FootnoteReference"/>
          <w:rFonts w:ascii="Times New Roman" w:eastAsia="Times New Roman" w:hAnsi="Times New Roman" w:cs="Times New Roman"/>
          <w:sz w:val="24"/>
          <w:szCs w:val="24"/>
          <w:lang w:eastAsia="en-GB"/>
        </w:rPr>
        <w:footnoteReference w:id="4"/>
      </w:r>
      <w:r w:rsidR="00B86D1D">
        <w:rPr>
          <w:rFonts w:ascii="Times New Roman" w:eastAsia="Times New Roman" w:hAnsi="Times New Roman" w:cs="Times New Roman"/>
          <w:sz w:val="24"/>
          <w:szCs w:val="24"/>
          <w:lang w:eastAsia="en-GB"/>
        </w:rPr>
        <w:t xml:space="preserve"> </w:t>
      </w:r>
      <w:r w:rsidR="00EC71FC">
        <w:rPr>
          <w:rFonts w:ascii="Times New Roman" w:eastAsia="Times New Roman" w:hAnsi="Times New Roman" w:cs="Times New Roman"/>
          <w:sz w:val="24"/>
          <w:szCs w:val="24"/>
          <w:lang w:eastAsia="en-GB"/>
        </w:rPr>
        <w:t>Gilroy’s</w:t>
      </w:r>
      <w:r w:rsidR="008C04A0">
        <w:rPr>
          <w:rFonts w:ascii="Times New Roman" w:eastAsia="Times New Roman" w:hAnsi="Times New Roman" w:cs="Times New Roman"/>
          <w:sz w:val="24"/>
          <w:szCs w:val="24"/>
          <w:lang w:eastAsia="en-GB"/>
        </w:rPr>
        <w:t>’ work is the first use of the now widely used and accepted term ‘Black Atlantic’</w:t>
      </w:r>
      <w:r w:rsidR="00444C84">
        <w:rPr>
          <w:rFonts w:ascii="Times New Roman" w:eastAsia="Times New Roman" w:hAnsi="Times New Roman" w:cs="Times New Roman"/>
          <w:sz w:val="24"/>
          <w:szCs w:val="24"/>
          <w:lang w:eastAsia="en-GB"/>
        </w:rPr>
        <w:t>. H</w:t>
      </w:r>
      <w:r w:rsidR="008C04A0">
        <w:rPr>
          <w:rFonts w:ascii="Times New Roman" w:eastAsia="Times New Roman" w:hAnsi="Times New Roman" w:cs="Times New Roman"/>
          <w:sz w:val="24"/>
          <w:szCs w:val="24"/>
          <w:lang w:eastAsia="en-GB"/>
        </w:rPr>
        <w:t>e also uses the term ‘diaspora’ in order to describe the wide spread of African people and culture, a term that until then had only been used to describe the travels of the Jewish people and faith.</w:t>
      </w:r>
    </w:p>
    <w:p w14:paraId="66285415" w14:textId="342E9454" w:rsidR="00B86D1D" w:rsidRDefault="00B86D1D" w:rsidP="004208DC">
      <w:pPr>
        <w:spacing w:after="0" w:line="480" w:lineRule="auto"/>
        <w:jc w:val="both"/>
        <w:rPr>
          <w:rFonts w:ascii="Times New Roman" w:eastAsia="Times New Roman" w:hAnsi="Times New Roman" w:cs="Times New Roman"/>
          <w:sz w:val="24"/>
          <w:szCs w:val="24"/>
          <w:lang w:eastAsia="en-GB"/>
        </w:rPr>
      </w:pPr>
    </w:p>
    <w:p w14:paraId="15248F76" w14:textId="22401E13" w:rsidR="0035021E" w:rsidRDefault="00B86D1D" w:rsidP="004208DC">
      <w:pPr>
        <w:spacing w:after="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When reading chapter one of </w:t>
      </w:r>
      <w:r w:rsidR="00444C8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The Black Atlantic</w:t>
      </w:r>
      <w:r w:rsidR="00444C84">
        <w:rPr>
          <w:rFonts w:ascii="Times New Roman" w:eastAsia="Times New Roman" w:hAnsi="Times New Roman" w:cs="Times New Roman"/>
          <w:sz w:val="24"/>
          <w:szCs w:val="24"/>
          <w:lang w:eastAsia="en-GB"/>
        </w:rPr>
        <w:t>”</w:t>
      </w:r>
      <w:r w:rsidR="002800C8">
        <w:rPr>
          <w:rFonts w:ascii="Times New Roman" w:eastAsia="Times New Roman" w:hAnsi="Times New Roman" w:cs="Times New Roman"/>
          <w:sz w:val="24"/>
          <w:szCs w:val="24"/>
          <w:lang w:eastAsia="en-GB"/>
        </w:rPr>
        <w:t xml:space="preserve"> </w:t>
      </w:r>
      <w:r w:rsidR="00EC71FC">
        <w:rPr>
          <w:rFonts w:ascii="Times New Roman" w:eastAsia="Times New Roman" w:hAnsi="Times New Roman" w:cs="Times New Roman"/>
          <w:sz w:val="24"/>
          <w:szCs w:val="24"/>
          <w:lang w:eastAsia="en-GB"/>
        </w:rPr>
        <w:t>it’s</w:t>
      </w:r>
      <w:r w:rsidR="002800C8">
        <w:rPr>
          <w:rFonts w:ascii="Times New Roman" w:eastAsia="Times New Roman" w:hAnsi="Times New Roman" w:cs="Times New Roman"/>
          <w:sz w:val="24"/>
          <w:szCs w:val="24"/>
          <w:lang w:eastAsia="en-GB"/>
        </w:rPr>
        <w:t xml:space="preserve"> clear that the target audience is scholarly, one of intellect and an audience with prior reading or education on race or black cultural studies. </w:t>
      </w:r>
      <w:r w:rsidR="0089764D">
        <w:rPr>
          <w:rFonts w:ascii="Times New Roman" w:eastAsia="Times New Roman" w:hAnsi="Times New Roman" w:cs="Times New Roman"/>
          <w:sz w:val="24"/>
          <w:szCs w:val="24"/>
          <w:lang w:eastAsia="en-GB"/>
        </w:rPr>
        <w:t xml:space="preserve">This is proven by </w:t>
      </w:r>
      <w:r w:rsidR="002800C8">
        <w:rPr>
          <w:rFonts w:ascii="Times New Roman" w:eastAsia="Times New Roman" w:hAnsi="Times New Roman" w:cs="Times New Roman"/>
          <w:sz w:val="24"/>
          <w:szCs w:val="24"/>
          <w:lang w:eastAsia="en-GB"/>
        </w:rPr>
        <w:t xml:space="preserve">Gilroy </w:t>
      </w:r>
      <w:r w:rsidR="00F252A1">
        <w:rPr>
          <w:rFonts w:ascii="Times New Roman" w:eastAsia="Times New Roman" w:hAnsi="Times New Roman" w:cs="Times New Roman"/>
          <w:sz w:val="24"/>
          <w:szCs w:val="24"/>
          <w:lang w:eastAsia="en-GB"/>
        </w:rPr>
        <w:t>utilising</w:t>
      </w:r>
      <w:r w:rsidR="002800C8">
        <w:rPr>
          <w:rFonts w:ascii="Times New Roman" w:eastAsia="Times New Roman" w:hAnsi="Times New Roman" w:cs="Times New Roman"/>
          <w:sz w:val="24"/>
          <w:szCs w:val="24"/>
          <w:lang w:eastAsia="en-GB"/>
        </w:rPr>
        <w:t xml:space="preserve"> complex phrases, terminology and concepts such as</w:t>
      </w:r>
      <w:r w:rsidR="0089764D">
        <w:rPr>
          <w:rFonts w:ascii="Times New Roman" w:eastAsia="Times New Roman" w:hAnsi="Times New Roman" w:cs="Times New Roman"/>
          <w:sz w:val="24"/>
          <w:szCs w:val="24"/>
          <w:lang w:eastAsia="en-GB"/>
        </w:rPr>
        <w:t xml:space="preserve"> approach</w:t>
      </w:r>
      <w:r w:rsidR="00F252A1">
        <w:rPr>
          <w:rFonts w:ascii="Times New Roman" w:eastAsia="Times New Roman" w:hAnsi="Times New Roman" w:cs="Times New Roman"/>
          <w:sz w:val="24"/>
          <w:szCs w:val="24"/>
          <w:lang w:eastAsia="en-GB"/>
        </w:rPr>
        <w:t>ing</w:t>
      </w:r>
      <w:r w:rsidR="0089764D">
        <w:rPr>
          <w:rFonts w:ascii="Times New Roman" w:eastAsia="Times New Roman" w:hAnsi="Times New Roman" w:cs="Times New Roman"/>
          <w:sz w:val="24"/>
          <w:szCs w:val="24"/>
          <w:lang w:eastAsia="en-GB"/>
        </w:rPr>
        <w:t xml:space="preserve"> the concept of </w:t>
      </w:r>
      <w:r w:rsidR="002800C8">
        <w:rPr>
          <w:rFonts w:ascii="Times New Roman" w:eastAsia="Times New Roman" w:hAnsi="Times New Roman" w:cs="Times New Roman"/>
          <w:sz w:val="24"/>
          <w:szCs w:val="24"/>
          <w:lang w:eastAsia="en-GB"/>
        </w:rPr>
        <w:t>‘Double Consciousness’ which was first introduced by WEB Du Bois in his work ‘The Souls of Black Folk’.</w:t>
      </w:r>
      <w:r w:rsidR="002800C8">
        <w:rPr>
          <w:rStyle w:val="FootnoteReference"/>
          <w:rFonts w:ascii="Times New Roman" w:eastAsia="Times New Roman" w:hAnsi="Times New Roman" w:cs="Times New Roman"/>
          <w:sz w:val="24"/>
          <w:szCs w:val="24"/>
          <w:lang w:eastAsia="en-GB"/>
        </w:rPr>
        <w:footnoteReference w:id="5"/>
      </w:r>
      <w:r w:rsidR="00F252A1">
        <w:rPr>
          <w:rFonts w:ascii="Times New Roman" w:eastAsia="Times New Roman" w:hAnsi="Times New Roman" w:cs="Times New Roman"/>
          <w:sz w:val="24"/>
          <w:szCs w:val="24"/>
          <w:lang w:eastAsia="en-GB"/>
        </w:rPr>
        <w:t xml:space="preserve"> Du Bois appears to be an influential </w:t>
      </w:r>
      <w:r w:rsidR="00F252A1">
        <w:rPr>
          <w:rFonts w:ascii="Times New Roman" w:eastAsia="Times New Roman" w:hAnsi="Times New Roman" w:cs="Times New Roman"/>
          <w:sz w:val="24"/>
          <w:szCs w:val="24"/>
          <w:lang w:eastAsia="en-GB"/>
        </w:rPr>
        <w:lastRenderedPageBreak/>
        <w:t>figure in the works of Gilroy who refers to Du Bois by name on page 35 when discussing how Du Bois considered Bismarck a hero and role model for himself by the way he united a squabbling nation which he felt that American Negroes must do.</w:t>
      </w:r>
      <w:r w:rsidR="00F252A1">
        <w:rPr>
          <w:rStyle w:val="FootnoteReference"/>
          <w:rFonts w:ascii="Times New Roman" w:eastAsia="Times New Roman" w:hAnsi="Times New Roman" w:cs="Times New Roman"/>
          <w:sz w:val="24"/>
          <w:szCs w:val="24"/>
          <w:lang w:eastAsia="en-GB"/>
        </w:rPr>
        <w:footnoteReference w:id="6"/>
      </w:r>
      <w:r w:rsidR="00327E71">
        <w:rPr>
          <w:rFonts w:ascii="Times New Roman" w:eastAsia="Times New Roman" w:hAnsi="Times New Roman" w:cs="Times New Roman"/>
          <w:sz w:val="24"/>
          <w:szCs w:val="24"/>
          <w:lang w:eastAsia="en-GB"/>
        </w:rPr>
        <w:t xml:space="preserve"> </w:t>
      </w:r>
      <w:r w:rsidR="0000470A">
        <w:rPr>
          <w:rFonts w:ascii="Times New Roman" w:eastAsia="Times New Roman" w:hAnsi="Times New Roman" w:cs="Times New Roman"/>
          <w:sz w:val="24"/>
          <w:szCs w:val="24"/>
          <w:lang w:eastAsia="en-GB"/>
        </w:rPr>
        <w:t xml:space="preserve">Gilroy also employs phrases from other scholars throughout </w:t>
      </w:r>
      <w:r w:rsidR="0089764D">
        <w:rPr>
          <w:rFonts w:ascii="Times New Roman" w:eastAsia="Times New Roman" w:hAnsi="Times New Roman" w:cs="Times New Roman"/>
          <w:sz w:val="24"/>
          <w:szCs w:val="24"/>
          <w:lang w:eastAsia="en-GB"/>
        </w:rPr>
        <w:t>the first few pages of the chapter</w:t>
      </w:r>
      <w:r w:rsidR="0000470A">
        <w:rPr>
          <w:rFonts w:ascii="Times New Roman" w:eastAsia="Times New Roman" w:hAnsi="Times New Roman" w:cs="Times New Roman"/>
          <w:sz w:val="24"/>
          <w:szCs w:val="24"/>
          <w:lang w:eastAsia="en-GB"/>
        </w:rPr>
        <w:t xml:space="preserve"> such as on page </w:t>
      </w:r>
      <w:r w:rsidR="0089764D">
        <w:rPr>
          <w:rFonts w:ascii="Times New Roman" w:eastAsia="Times New Roman" w:hAnsi="Times New Roman" w:cs="Times New Roman"/>
          <w:sz w:val="24"/>
          <w:szCs w:val="24"/>
          <w:lang w:eastAsia="en-GB"/>
        </w:rPr>
        <w:t>one he adopts the phrase introduced by Zygmunt Bauman by using the term “Counterculture”.</w:t>
      </w:r>
      <w:r w:rsidR="0089764D">
        <w:rPr>
          <w:rStyle w:val="FootnoteReference"/>
          <w:rFonts w:ascii="Times New Roman" w:eastAsia="Times New Roman" w:hAnsi="Times New Roman" w:cs="Times New Roman"/>
          <w:sz w:val="24"/>
          <w:szCs w:val="24"/>
          <w:lang w:eastAsia="en-GB"/>
        </w:rPr>
        <w:footnoteReference w:id="7"/>
      </w:r>
      <w:r w:rsidR="0089764D">
        <w:rPr>
          <w:rFonts w:ascii="Times New Roman" w:eastAsia="Times New Roman" w:hAnsi="Times New Roman" w:cs="Times New Roman"/>
          <w:sz w:val="24"/>
          <w:szCs w:val="24"/>
          <w:lang w:eastAsia="en-GB"/>
        </w:rPr>
        <w:t xml:space="preserve"> Gilroy repeats this pattern on page three where</w:t>
      </w:r>
      <w:r w:rsidR="0000470A">
        <w:rPr>
          <w:rFonts w:ascii="Times New Roman" w:eastAsia="Times New Roman" w:hAnsi="Times New Roman" w:cs="Times New Roman"/>
          <w:sz w:val="24"/>
          <w:szCs w:val="24"/>
          <w:lang w:eastAsia="en-GB"/>
        </w:rPr>
        <w:t xml:space="preserve"> he utilises the work of Werner Sollors</w:t>
      </w:r>
      <w:r w:rsidR="0089764D">
        <w:rPr>
          <w:rFonts w:ascii="Times New Roman" w:eastAsia="Times New Roman" w:hAnsi="Times New Roman" w:cs="Times New Roman"/>
          <w:sz w:val="24"/>
          <w:szCs w:val="24"/>
          <w:lang w:eastAsia="en-GB"/>
        </w:rPr>
        <w:t xml:space="preserve"> when expressing the term “Cultural Insiderism”.</w:t>
      </w:r>
      <w:r w:rsidR="0089764D">
        <w:rPr>
          <w:rStyle w:val="FootnoteReference"/>
          <w:rFonts w:ascii="Times New Roman" w:eastAsia="Times New Roman" w:hAnsi="Times New Roman" w:cs="Times New Roman"/>
          <w:sz w:val="24"/>
          <w:szCs w:val="24"/>
          <w:lang w:eastAsia="en-GB"/>
        </w:rPr>
        <w:footnoteReference w:id="8"/>
      </w:r>
      <w:r w:rsidR="00327E71">
        <w:rPr>
          <w:rFonts w:ascii="Times New Roman" w:eastAsia="Times New Roman" w:hAnsi="Times New Roman" w:cs="Times New Roman"/>
          <w:sz w:val="24"/>
          <w:szCs w:val="24"/>
          <w:lang w:eastAsia="en-GB"/>
        </w:rPr>
        <w:t xml:space="preserve"> </w:t>
      </w:r>
      <w:r w:rsidR="00EB2159">
        <w:rPr>
          <w:rFonts w:ascii="Times New Roman" w:eastAsia="Times New Roman" w:hAnsi="Times New Roman" w:cs="Times New Roman"/>
          <w:sz w:val="24"/>
          <w:szCs w:val="24"/>
          <w:lang w:eastAsia="en-GB"/>
        </w:rPr>
        <w:t>Gilroy on page five uses the phrase “Ethnic Absolutism”, this phrase can be described as the concept that white and black (meaning European when stating white and African when stating black) cultures are separate entities which do not interact or influence each other. Gilroy regards the phrase of Ethnic Absolutism as “</w:t>
      </w:r>
      <w:r w:rsidR="0000470A">
        <w:rPr>
          <w:rFonts w:ascii="Times New Roman" w:eastAsia="Times New Roman" w:hAnsi="Times New Roman" w:cs="Times New Roman"/>
          <w:sz w:val="24"/>
          <w:szCs w:val="24"/>
          <w:lang w:eastAsia="en-GB"/>
        </w:rPr>
        <w:t>a reductive, essentialist understanding of ethnic and national difference which operates through an absolute sense of culture so powerful that it is capable of separating people off from each other and diverting them into social and historical locations that are understood to be mutually impermeable and incommensurable”.</w:t>
      </w:r>
      <w:r w:rsidR="0000470A">
        <w:rPr>
          <w:rStyle w:val="FootnoteReference"/>
          <w:rFonts w:ascii="Times New Roman" w:eastAsia="Times New Roman" w:hAnsi="Times New Roman" w:cs="Times New Roman"/>
          <w:sz w:val="24"/>
          <w:szCs w:val="24"/>
          <w:lang w:eastAsia="en-GB"/>
        </w:rPr>
        <w:footnoteReference w:id="9"/>
      </w:r>
      <w:r w:rsidR="0000470A">
        <w:rPr>
          <w:rFonts w:ascii="Times New Roman" w:eastAsia="Times New Roman" w:hAnsi="Times New Roman" w:cs="Times New Roman"/>
          <w:sz w:val="24"/>
          <w:szCs w:val="24"/>
          <w:lang w:eastAsia="en-GB"/>
        </w:rPr>
        <w:t xml:space="preserve"> By this definition Gilroy is suggesting that this separation of cultures is so large and that they consider themselves so powerful they only achieve the goal of isolating people and the walls that seem to divide these cultures appear impenetrable and unbreakable.</w:t>
      </w:r>
      <w:r w:rsidR="00327E71">
        <w:rPr>
          <w:rFonts w:ascii="Times New Roman" w:eastAsia="Times New Roman" w:hAnsi="Times New Roman" w:cs="Times New Roman"/>
          <w:sz w:val="24"/>
          <w:szCs w:val="24"/>
          <w:lang w:eastAsia="en-GB"/>
        </w:rPr>
        <w:t xml:space="preserve"> </w:t>
      </w:r>
      <w:r w:rsidR="00F252A1">
        <w:rPr>
          <w:rFonts w:ascii="Times New Roman" w:eastAsia="Times New Roman" w:hAnsi="Times New Roman" w:cs="Times New Roman"/>
          <w:sz w:val="24"/>
          <w:szCs w:val="24"/>
          <w:lang w:eastAsia="en-GB"/>
        </w:rPr>
        <w:t>On page four of the chapter Gilroy first approaches the imagery of ships and applies them in order to formulate and discuss his argument, he describes ships travelling from Africa and the Caribbean to America and Europe as “a living, micro-cultural, micro-political system in motion”.</w:t>
      </w:r>
      <w:r w:rsidR="00F252A1">
        <w:rPr>
          <w:rStyle w:val="FootnoteReference"/>
          <w:rFonts w:ascii="Times New Roman" w:eastAsia="Times New Roman" w:hAnsi="Times New Roman" w:cs="Times New Roman"/>
          <w:sz w:val="24"/>
          <w:szCs w:val="24"/>
          <w:lang w:eastAsia="en-GB"/>
        </w:rPr>
        <w:footnoteReference w:id="10"/>
      </w:r>
      <w:r w:rsidR="008C04A0">
        <w:rPr>
          <w:rFonts w:ascii="Times New Roman" w:eastAsia="Times New Roman" w:hAnsi="Times New Roman" w:cs="Times New Roman"/>
          <w:sz w:val="24"/>
          <w:szCs w:val="24"/>
          <w:lang w:eastAsia="en-GB"/>
        </w:rPr>
        <w:t xml:space="preserve"> Gilroy also discusses how ships centre the spotlight to the ‘middle passage’ and suggests that these ships do not simply carry people or slaves but they transport the ideas and culture such as music, artefacts and books.</w:t>
      </w:r>
      <w:r w:rsidR="008C04A0">
        <w:rPr>
          <w:rStyle w:val="FootnoteReference"/>
          <w:rFonts w:ascii="Times New Roman" w:eastAsia="Times New Roman" w:hAnsi="Times New Roman" w:cs="Times New Roman"/>
          <w:sz w:val="24"/>
          <w:szCs w:val="24"/>
          <w:lang w:eastAsia="en-GB"/>
        </w:rPr>
        <w:footnoteReference w:id="11"/>
      </w:r>
      <w:r w:rsidR="00277F12">
        <w:rPr>
          <w:rFonts w:ascii="Times New Roman" w:eastAsia="Times New Roman" w:hAnsi="Times New Roman" w:cs="Times New Roman"/>
          <w:sz w:val="24"/>
          <w:szCs w:val="24"/>
          <w:lang w:eastAsia="en-GB"/>
        </w:rPr>
        <w:t xml:space="preserve"> The imagery of ships again </w:t>
      </w:r>
      <w:r w:rsidR="00277F12">
        <w:rPr>
          <w:rFonts w:ascii="Times New Roman" w:eastAsia="Times New Roman" w:hAnsi="Times New Roman" w:cs="Times New Roman"/>
          <w:sz w:val="24"/>
          <w:szCs w:val="24"/>
          <w:lang w:eastAsia="en-GB"/>
        </w:rPr>
        <w:lastRenderedPageBreak/>
        <w:t>used on page twelve and continues over three pages when Gilroy discusses James Wedderburn and William Davidson, stating that by serving as sailors these men themselves became “micro-systems of linguistic and political hybridity”.</w:t>
      </w:r>
      <w:r w:rsidR="00277F12">
        <w:rPr>
          <w:rStyle w:val="FootnoteReference"/>
          <w:rFonts w:ascii="Times New Roman" w:eastAsia="Times New Roman" w:hAnsi="Times New Roman" w:cs="Times New Roman"/>
          <w:sz w:val="24"/>
          <w:szCs w:val="24"/>
          <w:lang w:eastAsia="en-GB"/>
        </w:rPr>
        <w:footnoteReference w:id="12"/>
      </w:r>
      <w:r w:rsidR="00277F12">
        <w:rPr>
          <w:rFonts w:ascii="Times New Roman" w:eastAsia="Times New Roman" w:hAnsi="Times New Roman" w:cs="Times New Roman"/>
          <w:sz w:val="24"/>
          <w:szCs w:val="24"/>
          <w:lang w:eastAsia="en-GB"/>
        </w:rPr>
        <w:t xml:space="preserve"> Gilroy also suggests that these men’s connection to the Atlantic is of great importance to the Black Atlantic and its early politics. This theme of ships and seafaring continues </w:t>
      </w:r>
      <w:r w:rsidR="0035021E">
        <w:rPr>
          <w:rFonts w:ascii="Times New Roman" w:eastAsia="Times New Roman" w:hAnsi="Times New Roman" w:cs="Times New Roman"/>
          <w:sz w:val="24"/>
          <w:szCs w:val="24"/>
          <w:lang w:eastAsia="en-GB"/>
        </w:rPr>
        <w:t>when Gilroy argues that a quarter of the British navy was African men.</w:t>
      </w:r>
      <w:r w:rsidR="0035021E">
        <w:rPr>
          <w:rStyle w:val="FootnoteReference"/>
          <w:rFonts w:ascii="Times New Roman" w:eastAsia="Times New Roman" w:hAnsi="Times New Roman" w:cs="Times New Roman"/>
          <w:sz w:val="24"/>
          <w:szCs w:val="24"/>
          <w:lang w:eastAsia="en-GB"/>
        </w:rPr>
        <w:footnoteReference w:id="13"/>
      </w:r>
      <w:r w:rsidR="0035021E">
        <w:rPr>
          <w:rFonts w:ascii="Times New Roman" w:eastAsia="Times New Roman" w:hAnsi="Times New Roman" w:cs="Times New Roman"/>
          <w:sz w:val="24"/>
          <w:szCs w:val="24"/>
          <w:lang w:eastAsia="en-GB"/>
        </w:rPr>
        <w:t xml:space="preserve"> Gilroy discusses how J M W Turner’s depiction of a slave ship caught in a storm that also portrays the dead being thrown overboard, provides the ideal imagery that serves to remind of the history of the Black Atlantic.</w:t>
      </w:r>
      <w:r w:rsidR="0035021E">
        <w:rPr>
          <w:rStyle w:val="FootnoteReference"/>
          <w:rFonts w:ascii="Times New Roman" w:eastAsia="Times New Roman" w:hAnsi="Times New Roman" w:cs="Times New Roman"/>
          <w:sz w:val="24"/>
          <w:szCs w:val="24"/>
          <w:lang w:eastAsia="en-GB"/>
        </w:rPr>
        <w:footnoteReference w:id="14"/>
      </w:r>
    </w:p>
    <w:p w14:paraId="639E49F8" w14:textId="4A88ADB9" w:rsidR="0035021E" w:rsidRDefault="0035021E" w:rsidP="004208DC">
      <w:pPr>
        <w:spacing w:after="0" w:line="480" w:lineRule="auto"/>
        <w:jc w:val="both"/>
        <w:rPr>
          <w:rFonts w:ascii="Times New Roman" w:eastAsia="Times New Roman" w:hAnsi="Times New Roman" w:cs="Times New Roman"/>
          <w:sz w:val="24"/>
          <w:szCs w:val="24"/>
          <w:lang w:eastAsia="en-GB"/>
        </w:rPr>
      </w:pPr>
    </w:p>
    <w:p w14:paraId="787D6AFE" w14:textId="0BF275AB" w:rsidR="0035021E" w:rsidRDefault="0035021E" w:rsidP="004208DC">
      <w:pPr>
        <w:spacing w:after="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conclusion the first chapter of Gilroy’s book introduces complex and technical phrases, terminology and concepts, some borrowed from other scholars, while also introducing new terminology coined by himself such as ‘Black Atlantic’ and ‘African Diaspora’. Gilroy discusses the concept of Ethnic Absolutism which he uses to describe the isolation of European culture and African </w:t>
      </w:r>
      <w:r w:rsidR="00444C84">
        <w:rPr>
          <w:rFonts w:ascii="Times New Roman" w:eastAsia="Times New Roman" w:hAnsi="Times New Roman" w:cs="Times New Roman"/>
          <w:sz w:val="24"/>
          <w:szCs w:val="24"/>
          <w:lang w:eastAsia="en-GB"/>
        </w:rPr>
        <w:t>c</w:t>
      </w:r>
      <w:r>
        <w:rPr>
          <w:rFonts w:ascii="Times New Roman" w:eastAsia="Times New Roman" w:hAnsi="Times New Roman" w:cs="Times New Roman"/>
          <w:sz w:val="24"/>
          <w:szCs w:val="24"/>
          <w:lang w:eastAsia="en-GB"/>
        </w:rPr>
        <w:t xml:space="preserve">ulture from one another. </w:t>
      </w:r>
      <w:r w:rsidR="00B03099">
        <w:rPr>
          <w:rFonts w:ascii="Times New Roman" w:eastAsia="Times New Roman" w:hAnsi="Times New Roman" w:cs="Times New Roman"/>
          <w:sz w:val="24"/>
          <w:szCs w:val="24"/>
          <w:lang w:eastAsia="en-GB"/>
        </w:rPr>
        <w:t xml:space="preserve">A strong theme which occurs throughout the chapter is the imagery of ships and the sea which Gilroy employs in order to describe how the traversing of the Atlantic it provided a melting pot of all different cultures which he uses to argue against the concept of Ethnic Absolutism and also in agreement with Du Bois concept of ‘Double </w:t>
      </w:r>
      <w:r w:rsidR="00EC71FC">
        <w:rPr>
          <w:rFonts w:ascii="Times New Roman" w:eastAsia="Times New Roman" w:hAnsi="Times New Roman" w:cs="Times New Roman"/>
          <w:sz w:val="24"/>
          <w:szCs w:val="24"/>
          <w:lang w:eastAsia="en-GB"/>
        </w:rPr>
        <w:t>Consciousness</w:t>
      </w:r>
      <w:r w:rsidR="00B03099">
        <w:rPr>
          <w:rFonts w:ascii="Times New Roman" w:eastAsia="Times New Roman" w:hAnsi="Times New Roman" w:cs="Times New Roman"/>
          <w:sz w:val="24"/>
          <w:szCs w:val="24"/>
          <w:lang w:eastAsia="en-GB"/>
        </w:rPr>
        <w:t>’.</w:t>
      </w:r>
    </w:p>
    <w:p w14:paraId="1ADDA39B" w14:textId="4D1B2AF5" w:rsidR="00C16E4C" w:rsidRDefault="00C16E4C" w:rsidP="004208DC">
      <w:pPr>
        <w:spacing w:after="0" w:line="480" w:lineRule="auto"/>
        <w:jc w:val="both"/>
        <w:rPr>
          <w:rFonts w:ascii="Times New Roman" w:eastAsia="Times New Roman" w:hAnsi="Times New Roman" w:cs="Times New Roman"/>
          <w:sz w:val="24"/>
          <w:szCs w:val="24"/>
          <w:lang w:eastAsia="en-GB"/>
        </w:rPr>
      </w:pPr>
    </w:p>
    <w:p w14:paraId="264BD099" w14:textId="77777777" w:rsidR="00C16E4C" w:rsidRDefault="00C16E4C">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2309E176" w14:textId="341BF323" w:rsidR="00C16E4C" w:rsidRDefault="00C16E4C" w:rsidP="004208DC">
      <w:pPr>
        <w:spacing w:after="0" w:line="480" w:lineRule="auto"/>
        <w:jc w:val="both"/>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lastRenderedPageBreak/>
        <w:t>Bibliography</w:t>
      </w:r>
    </w:p>
    <w:p w14:paraId="7CA80F34" w14:textId="77777777" w:rsidR="00C16E4C" w:rsidRPr="003D4742" w:rsidRDefault="00C16E4C" w:rsidP="00C16E4C">
      <w:pPr>
        <w:pStyle w:val="FootnoteText"/>
      </w:pPr>
    </w:p>
    <w:p w14:paraId="565C2AFC" w14:textId="3736231F" w:rsidR="00C16E4C" w:rsidRDefault="00C16E4C" w:rsidP="00C16E4C">
      <w:pPr>
        <w:pStyle w:val="FootnoteText"/>
      </w:pPr>
      <w:r>
        <w:t>Du Bois</w:t>
      </w:r>
      <w:r>
        <w:t>, WEB</w:t>
      </w:r>
      <w:r>
        <w:t xml:space="preserve">, </w:t>
      </w:r>
      <w:r>
        <w:rPr>
          <w:i/>
          <w:iCs/>
        </w:rPr>
        <w:t xml:space="preserve">The Souls of Black Folk </w:t>
      </w:r>
      <w:r>
        <w:t>(New York, Gramercy Books, 1994).</w:t>
      </w:r>
    </w:p>
    <w:p w14:paraId="33682133" w14:textId="77777777" w:rsidR="00C16E4C" w:rsidRPr="00EB2159" w:rsidRDefault="00C16E4C" w:rsidP="00C16E4C">
      <w:pPr>
        <w:pStyle w:val="FootnoteText"/>
      </w:pPr>
    </w:p>
    <w:p w14:paraId="3CCE6C15" w14:textId="52A4D987" w:rsidR="00C16E4C" w:rsidRPr="004208DC" w:rsidRDefault="00C16E4C" w:rsidP="00C16E4C">
      <w:pPr>
        <w:pStyle w:val="FootnoteText"/>
      </w:pPr>
      <w:r>
        <w:t>Gilroy,</w:t>
      </w:r>
      <w:r>
        <w:t xml:space="preserve"> Paul, </w:t>
      </w:r>
      <w:r>
        <w:rPr>
          <w:i/>
          <w:iCs/>
        </w:rPr>
        <w:t xml:space="preserve">The Black Atlantic: Modernity and Double Consciousness </w:t>
      </w:r>
      <w:r>
        <w:t>(London, Verso Books, 1993)</w:t>
      </w:r>
      <w:r>
        <w:t>.</w:t>
      </w:r>
    </w:p>
    <w:p w14:paraId="4DFB7F68" w14:textId="536683DE" w:rsidR="00C16E4C" w:rsidRDefault="00C16E4C" w:rsidP="00C16E4C">
      <w:pPr>
        <w:pStyle w:val="FootnoteText"/>
      </w:pPr>
    </w:p>
    <w:p w14:paraId="14628EA9" w14:textId="60994E10" w:rsidR="00C16E4C" w:rsidRDefault="00C16E4C" w:rsidP="00C16E4C">
      <w:pPr>
        <w:pStyle w:val="FootnoteText"/>
      </w:pPr>
      <w:r>
        <w:t>Jennifer Schuessler</w:t>
      </w:r>
      <w:bookmarkStart w:id="0" w:name="_GoBack"/>
      <w:bookmarkEnd w:id="0"/>
      <w:r>
        <w:t xml:space="preserve">, ‘Paul Gilroy, Scholar of the Black Atlantic, Wins Holberg Prize’, </w:t>
      </w:r>
      <w:r>
        <w:rPr>
          <w:i/>
          <w:iCs/>
        </w:rPr>
        <w:t>New York Times,</w:t>
      </w:r>
      <w:r>
        <w:t xml:space="preserve"> 14 March 2019, </w:t>
      </w:r>
      <w:hyperlink r:id="rId7" w:history="1">
        <w:r w:rsidRPr="00C6163D">
          <w:rPr>
            <w:rStyle w:val="Hyperlink"/>
          </w:rPr>
          <w:t>https://www.nytimes.com/2019/03/14/arts/paul-gilroy-holberg-prize.html</w:t>
        </w:r>
      </w:hyperlink>
      <w:r>
        <w:t xml:space="preserve"> [Accessed 16 January 2020]</w:t>
      </w:r>
      <w:r>
        <w:t>.</w:t>
      </w:r>
    </w:p>
    <w:p w14:paraId="7B6D3FD6" w14:textId="77777777" w:rsidR="00C16E4C" w:rsidRDefault="00C16E4C" w:rsidP="00C16E4C">
      <w:pPr>
        <w:pStyle w:val="FootnoteText"/>
      </w:pPr>
    </w:p>
    <w:p w14:paraId="5558CED1" w14:textId="5B54D5C2" w:rsidR="00C16E4C" w:rsidRDefault="00C16E4C" w:rsidP="00C16E4C">
      <w:pPr>
        <w:pStyle w:val="FootnoteText"/>
      </w:pPr>
      <w:r>
        <w:t>Williams,</w:t>
      </w:r>
      <w:r>
        <w:t xml:space="preserve"> Paul,</w:t>
      </w:r>
      <w:r>
        <w:t xml:space="preserve"> </w:t>
      </w:r>
      <w:r>
        <w:rPr>
          <w:i/>
          <w:iCs/>
        </w:rPr>
        <w:t xml:space="preserve">Paul Gilroy </w:t>
      </w:r>
      <w:r>
        <w:t>(London, Routledge, 2012</w:t>
      </w:r>
      <w:r>
        <w:t>.</w:t>
      </w:r>
    </w:p>
    <w:sectPr w:rsidR="00C16E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AA465" w14:textId="77777777" w:rsidR="003A335E" w:rsidRDefault="003A335E" w:rsidP="00684CC9">
      <w:pPr>
        <w:spacing w:after="0" w:line="240" w:lineRule="auto"/>
      </w:pPr>
      <w:r>
        <w:separator/>
      </w:r>
    </w:p>
  </w:endnote>
  <w:endnote w:type="continuationSeparator" w:id="0">
    <w:p w14:paraId="61D743E9" w14:textId="77777777" w:rsidR="003A335E" w:rsidRDefault="003A335E" w:rsidP="00684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FCD47" w14:textId="77777777" w:rsidR="003A335E" w:rsidRDefault="003A335E" w:rsidP="00684CC9">
      <w:pPr>
        <w:spacing w:after="0" w:line="240" w:lineRule="auto"/>
      </w:pPr>
      <w:r>
        <w:separator/>
      </w:r>
    </w:p>
  </w:footnote>
  <w:footnote w:type="continuationSeparator" w:id="0">
    <w:p w14:paraId="72969BD3" w14:textId="77777777" w:rsidR="003A335E" w:rsidRDefault="003A335E" w:rsidP="00684CC9">
      <w:pPr>
        <w:spacing w:after="0" w:line="240" w:lineRule="auto"/>
      </w:pPr>
      <w:r>
        <w:continuationSeparator/>
      </w:r>
    </w:p>
  </w:footnote>
  <w:footnote w:id="1">
    <w:p w14:paraId="38FE632C" w14:textId="43CB8224" w:rsidR="00684CC9" w:rsidRDefault="00684CC9">
      <w:pPr>
        <w:pStyle w:val="FootnoteText"/>
      </w:pPr>
      <w:r>
        <w:rPr>
          <w:rStyle w:val="FootnoteReference"/>
        </w:rPr>
        <w:footnoteRef/>
      </w:r>
      <w:r>
        <w:t xml:space="preserve"> </w:t>
      </w:r>
      <w:r>
        <w:t xml:space="preserve">Jennifer Schuessler, </w:t>
      </w:r>
      <w:r w:rsidR="004208DC">
        <w:t xml:space="preserve">‘Paul Gilroy, Scholar of the Black Atlantic, Wins Holberg Prize’, </w:t>
      </w:r>
      <w:r w:rsidR="004208DC">
        <w:rPr>
          <w:i/>
          <w:iCs/>
        </w:rPr>
        <w:t>New York Times,</w:t>
      </w:r>
      <w:r w:rsidR="004208DC">
        <w:t xml:space="preserve"> 14 March 2019, </w:t>
      </w:r>
      <w:hyperlink r:id="rId1" w:history="1">
        <w:r w:rsidR="004208DC" w:rsidRPr="00C6163D">
          <w:rPr>
            <w:rStyle w:val="Hyperlink"/>
          </w:rPr>
          <w:t>https://www.nytimes.com/2019/03/14/arts/paul-gilroy-holberg-prize.html</w:t>
        </w:r>
      </w:hyperlink>
      <w:r>
        <w:t xml:space="preserve"> [Accessed 16 January 2020]</w:t>
      </w:r>
    </w:p>
  </w:footnote>
  <w:footnote w:id="2">
    <w:p w14:paraId="06FD3D69" w14:textId="64B182E8" w:rsidR="00B03099" w:rsidRDefault="00B03099">
      <w:pPr>
        <w:pStyle w:val="FootnoteText"/>
      </w:pPr>
      <w:r>
        <w:rPr>
          <w:rStyle w:val="FootnoteReference"/>
        </w:rPr>
        <w:footnoteRef/>
      </w:r>
      <w:r>
        <w:t xml:space="preserve"> </w:t>
      </w:r>
      <w:r w:rsidR="004208DC">
        <w:t>Ibid.</w:t>
      </w:r>
    </w:p>
  </w:footnote>
  <w:footnote w:id="3">
    <w:p w14:paraId="64FD3F8D" w14:textId="1BD35356" w:rsidR="003D4742" w:rsidRPr="003D4742" w:rsidRDefault="003D4742">
      <w:pPr>
        <w:pStyle w:val="FootnoteText"/>
      </w:pPr>
      <w:r>
        <w:rPr>
          <w:rStyle w:val="FootnoteReference"/>
        </w:rPr>
        <w:footnoteRef/>
      </w:r>
      <w:r>
        <w:t xml:space="preserve"> Paul Williams, </w:t>
      </w:r>
      <w:r>
        <w:rPr>
          <w:i/>
          <w:iCs/>
        </w:rPr>
        <w:t xml:space="preserve">Paul Gilroy </w:t>
      </w:r>
      <w:r>
        <w:t xml:space="preserve">(London, Routledge, 2012, P. </w:t>
      </w:r>
      <w:r w:rsidR="004208DC">
        <w:t>7.</w:t>
      </w:r>
    </w:p>
  </w:footnote>
  <w:footnote w:id="4">
    <w:p w14:paraId="2B2A80D2" w14:textId="4B14F831" w:rsidR="00B86D1D" w:rsidRPr="004208DC" w:rsidRDefault="00B86D1D">
      <w:pPr>
        <w:pStyle w:val="FootnoteText"/>
      </w:pPr>
      <w:r>
        <w:rPr>
          <w:rStyle w:val="FootnoteReference"/>
        </w:rPr>
        <w:footnoteRef/>
      </w:r>
      <w:r>
        <w:t xml:space="preserve"> </w:t>
      </w:r>
      <w:r w:rsidR="004208DC">
        <w:t xml:space="preserve">Schuessler, ‘Paul Gilroy Wins Holberg Prize’, </w:t>
      </w:r>
      <w:r w:rsidR="004208DC">
        <w:rPr>
          <w:i/>
          <w:iCs/>
        </w:rPr>
        <w:t xml:space="preserve">New York Times, </w:t>
      </w:r>
      <w:r w:rsidR="004208DC">
        <w:t>14 March 2019.</w:t>
      </w:r>
    </w:p>
  </w:footnote>
  <w:footnote w:id="5">
    <w:p w14:paraId="66EF5125" w14:textId="5F92167F" w:rsidR="002800C8" w:rsidRPr="00EB2159" w:rsidRDefault="002800C8">
      <w:pPr>
        <w:pStyle w:val="FootnoteText"/>
      </w:pPr>
      <w:r>
        <w:rPr>
          <w:rStyle w:val="FootnoteReference"/>
        </w:rPr>
        <w:footnoteRef/>
      </w:r>
      <w:r>
        <w:t xml:space="preserve"> WEB Du Bois, </w:t>
      </w:r>
      <w:r>
        <w:rPr>
          <w:i/>
          <w:iCs/>
        </w:rPr>
        <w:t>The Souls of Black Folk</w:t>
      </w:r>
      <w:r w:rsidR="00EB2159">
        <w:rPr>
          <w:i/>
          <w:iCs/>
        </w:rPr>
        <w:t xml:space="preserve"> </w:t>
      </w:r>
      <w:r w:rsidR="00EB2159">
        <w:t>(New York, Gramercy Books, 1994).</w:t>
      </w:r>
    </w:p>
  </w:footnote>
  <w:footnote w:id="6">
    <w:p w14:paraId="4DB97FB9" w14:textId="1DEDB698" w:rsidR="00F252A1" w:rsidRPr="004208DC" w:rsidRDefault="00F252A1">
      <w:pPr>
        <w:pStyle w:val="FootnoteText"/>
      </w:pPr>
      <w:r>
        <w:rPr>
          <w:rStyle w:val="FootnoteReference"/>
        </w:rPr>
        <w:footnoteRef/>
      </w:r>
      <w:r>
        <w:t xml:space="preserve"> </w:t>
      </w:r>
      <w:r w:rsidR="004208DC">
        <w:t xml:space="preserve">Paul Gilroy, </w:t>
      </w:r>
      <w:r w:rsidR="004208DC">
        <w:rPr>
          <w:i/>
          <w:iCs/>
        </w:rPr>
        <w:t xml:space="preserve">The Black Atlantic: Modernity and Double Consciousness </w:t>
      </w:r>
      <w:r w:rsidR="004208DC">
        <w:t>(London, Verso Books, 1993), P. 35.</w:t>
      </w:r>
    </w:p>
  </w:footnote>
  <w:footnote w:id="7">
    <w:p w14:paraId="70F79780" w14:textId="06C95145" w:rsidR="0089764D" w:rsidRDefault="0089764D">
      <w:pPr>
        <w:pStyle w:val="FootnoteText"/>
      </w:pPr>
      <w:r>
        <w:rPr>
          <w:rStyle w:val="FootnoteReference"/>
        </w:rPr>
        <w:footnoteRef/>
      </w:r>
      <w:r>
        <w:t xml:space="preserve"> </w:t>
      </w:r>
      <w:r w:rsidR="004208DC">
        <w:t>Ibid. P. 1.</w:t>
      </w:r>
    </w:p>
  </w:footnote>
  <w:footnote w:id="8">
    <w:p w14:paraId="0F0FB583" w14:textId="25C9C0CC" w:rsidR="0089764D" w:rsidRDefault="0089764D">
      <w:pPr>
        <w:pStyle w:val="FootnoteText"/>
      </w:pPr>
      <w:r>
        <w:rPr>
          <w:rStyle w:val="FootnoteReference"/>
        </w:rPr>
        <w:footnoteRef/>
      </w:r>
      <w:r>
        <w:t xml:space="preserve"> </w:t>
      </w:r>
      <w:r w:rsidR="004208DC">
        <w:t>Ibid. P. 3.</w:t>
      </w:r>
    </w:p>
  </w:footnote>
  <w:footnote w:id="9">
    <w:p w14:paraId="79A8D29C" w14:textId="4EA60099" w:rsidR="0000470A" w:rsidRDefault="0000470A">
      <w:pPr>
        <w:pStyle w:val="FootnoteText"/>
      </w:pPr>
      <w:r>
        <w:rPr>
          <w:rStyle w:val="FootnoteReference"/>
        </w:rPr>
        <w:footnoteRef/>
      </w:r>
      <w:r>
        <w:t xml:space="preserve"> </w:t>
      </w:r>
      <w:r w:rsidR="004F1449">
        <w:t>Ibid. P. 5.</w:t>
      </w:r>
    </w:p>
  </w:footnote>
  <w:footnote w:id="10">
    <w:p w14:paraId="40886DE7" w14:textId="57C50E3D" w:rsidR="00F252A1" w:rsidRDefault="00F252A1">
      <w:pPr>
        <w:pStyle w:val="FootnoteText"/>
      </w:pPr>
      <w:r>
        <w:rPr>
          <w:rStyle w:val="FootnoteReference"/>
        </w:rPr>
        <w:footnoteRef/>
      </w:r>
      <w:r>
        <w:t xml:space="preserve"> </w:t>
      </w:r>
      <w:r w:rsidR="004F1449">
        <w:t>Ibid. P. 4.</w:t>
      </w:r>
    </w:p>
  </w:footnote>
  <w:footnote w:id="11">
    <w:p w14:paraId="0A345BDF" w14:textId="6ABB91A1" w:rsidR="008C04A0" w:rsidRDefault="008C04A0">
      <w:pPr>
        <w:pStyle w:val="FootnoteText"/>
      </w:pPr>
      <w:r>
        <w:rPr>
          <w:rStyle w:val="FootnoteReference"/>
        </w:rPr>
        <w:footnoteRef/>
      </w:r>
      <w:r>
        <w:t xml:space="preserve"> </w:t>
      </w:r>
      <w:r w:rsidR="004F1449">
        <w:t>Ibid. P. 4.</w:t>
      </w:r>
    </w:p>
  </w:footnote>
  <w:footnote w:id="12">
    <w:p w14:paraId="2958BC96" w14:textId="6314CBC0" w:rsidR="00277F12" w:rsidRDefault="00277F12">
      <w:pPr>
        <w:pStyle w:val="FootnoteText"/>
      </w:pPr>
      <w:r>
        <w:rPr>
          <w:rStyle w:val="FootnoteReference"/>
        </w:rPr>
        <w:footnoteRef/>
      </w:r>
      <w:r>
        <w:t xml:space="preserve"> </w:t>
      </w:r>
      <w:r w:rsidR="004F1449">
        <w:t>Ibid. P. 12.</w:t>
      </w:r>
    </w:p>
  </w:footnote>
  <w:footnote w:id="13">
    <w:p w14:paraId="06FADB3A" w14:textId="6B4C9E09" w:rsidR="0035021E" w:rsidRDefault="0035021E">
      <w:pPr>
        <w:pStyle w:val="FootnoteText"/>
      </w:pPr>
      <w:r>
        <w:rPr>
          <w:rStyle w:val="FootnoteReference"/>
        </w:rPr>
        <w:footnoteRef/>
      </w:r>
      <w:r>
        <w:t xml:space="preserve"> </w:t>
      </w:r>
      <w:r w:rsidR="004F1449">
        <w:t>Ibid. P. 13.</w:t>
      </w:r>
    </w:p>
  </w:footnote>
  <w:footnote w:id="14">
    <w:p w14:paraId="03CF4E69" w14:textId="35695E3C" w:rsidR="0035021E" w:rsidRDefault="0035021E">
      <w:pPr>
        <w:pStyle w:val="FootnoteText"/>
      </w:pPr>
      <w:r>
        <w:rPr>
          <w:rStyle w:val="FootnoteReference"/>
        </w:rPr>
        <w:footnoteRef/>
      </w:r>
      <w:r>
        <w:t xml:space="preserve"> </w:t>
      </w:r>
      <w:r w:rsidR="004F1449">
        <w:t>Ibid. PP. 13-14.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CC9"/>
    <w:rsid w:val="0000470A"/>
    <w:rsid w:val="00277F12"/>
    <w:rsid w:val="002800C8"/>
    <w:rsid w:val="00327E71"/>
    <w:rsid w:val="0035021E"/>
    <w:rsid w:val="003A1EB8"/>
    <w:rsid w:val="003A335E"/>
    <w:rsid w:val="003D4742"/>
    <w:rsid w:val="004208DC"/>
    <w:rsid w:val="00444C84"/>
    <w:rsid w:val="004F1449"/>
    <w:rsid w:val="00684CC9"/>
    <w:rsid w:val="007C1B94"/>
    <w:rsid w:val="0089764D"/>
    <w:rsid w:val="008C04A0"/>
    <w:rsid w:val="0096585B"/>
    <w:rsid w:val="00B03099"/>
    <w:rsid w:val="00B25A03"/>
    <w:rsid w:val="00B86D1D"/>
    <w:rsid w:val="00C16E4C"/>
    <w:rsid w:val="00EB2159"/>
    <w:rsid w:val="00EC71FC"/>
    <w:rsid w:val="00F25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6002"/>
  <w15:chartTrackingRefBased/>
  <w15:docId w15:val="{ED34172D-BEBD-45E9-AB04-7CC89D9F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4C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684C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4CC9"/>
    <w:rPr>
      <w:sz w:val="20"/>
      <w:szCs w:val="20"/>
    </w:rPr>
  </w:style>
  <w:style w:type="character" w:styleId="FootnoteReference">
    <w:name w:val="footnote reference"/>
    <w:basedOn w:val="DefaultParagraphFont"/>
    <w:uiPriority w:val="99"/>
    <w:semiHidden/>
    <w:unhideWhenUsed/>
    <w:rsid w:val="00684CC9"/>
    <w:rPr>
      <w:vertAlign w:val="superscript"/>
    </w:rPr>
  </w:style>
  <w:style w:type="character" w:styleId="Hyperlink">
    <w:name w:val="Hyperlink"/>
    <w:basedOn w:val="DefaultParagraphFont"/>
    <w:uiPriority w:val="99"/>
    <w:unhideWhenUsed/>
    <w:rsid w:val="00684CC9"/>
    <w:rPr>
      <w:color w:val="0563C1" w:themeColor="hyperlink"/>
      <w:u w:val="single"/>
    </w:rPr>
  </w:style>
  <w:style w:type="character" w:styleId="UnresolvedMention">
    <w:name w:val="Unresolved Mention"/>
    <w:basedOn w:val="DefaultParagraphFont"/>
    <w:uiPriority w:val="99"/>
    <w:semiHidden/>
    <w:unhideWhenUsed/>
    <w:rsid w:val="00684CC9"/>
    <w:rPr>
      <w:color w:val="605E5C"/>
      <w:shd w:val="clear" w:color="auto" w:fill="E1DFDD"/>
    </w:rPr>
  </w:style>
  <w:style w:type="paragraph" w:styleId="BalloonText">
    <w:name w:val="Balloon Text"/>
    <w:basedOn w:val="Normal"/>
    <w:link w:val="BalloonTextChar"/>
    <w:uiPriority w:val="99"/>
    <w:semiHidden/>
    <w:unhideWhenUsed/>
    <w:rsid w:val="004208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8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7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ytimes.com/2019/03/14/arts/paul-gilroy-holberg-prize.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nytimes.com/2019/03/14/arts/paul-gilroy-holberg-priz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2E0E347-CB54-4B91-8384-3E0D529AC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1459</TotalTime>
  <Pages>4</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5</cp:revision>
  <cp:lastPrinted>2020-01-19T11:37:00Z</cp:lastPrinted>
  <dcterms:created xsi:type="dcterms:W3CDTF">2020-01-18T11:42:00Z</dcterms:created>
  <dcterms:modified xsi:type="dcterms:W3CDTF">2020-01-19T12:02:00Z</dcterms:modified>
</cp:coreProperties>
</file>