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0C193" w14:textId="779FA021" w:rsidR="0096585A" w:rsidRDefault="00172135" w:rsidP="00907F32">
      <w:pPr>
        <w:pStyle w:val="Title"/>
        <w:spacing w:after="300" w:line="360" w:lineRule="auto"/>
        <w:rPr>
          <w:rFonts w:ascii="Arial" w:hAnsi="Arial" w:cs="Arial"/>
          <w:color w:val="000000" w:themeColor="text1"/>
          <w:sz w:val="36"/>
          <w:szCs w:val="36"/>
        </w:rPr>
      </w:pPr>
      <w:r>
        <w:rPr>
          <w:rFonts w:ascii="Arial" w:hAnsi="Arial" w:cs="Arial"/>
          <w:noProof/>
          <w:sz w:val="22"/>
          <w:szCs w:val="22"/>
        </w:rPr>
        <w:drawing>
          <wp:anchor distT="0" distB="0" distL="114300" distR="114300" simplePos="0" relativeHeight="251659264" behindDoc="0" locked="0" layoutInCell="1" allowOverlap="1" wp14:anchorId="41CEFF3C" wp14:editId="46929AB8">
            <wp:simplePos x="0" y="0"/>
            <wp:positionH relativeFrom="column">
              <wp:posOffset>0</wp:posOffset>
            </wp:positionH>
            <wp:positionV relativeFrom="paragraph">
              <wp:posOffset>0</wp:posOffset>
            </wp:positionV>
            <wp:extent cx="5943600" cy="2567305"/>
            <wp:effectExtent l="0" t="0" r="0" b="4445"/>
            <wp:wrapTopAndBottom/>
            <wp:docPr id="1450374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74577" name="Picture 1450374577"/>
                    <pic:cNvPicPr/>
                  </pic:nvPicPr>
                  <pic:blipFill>
                    <a:blip r:embed="rId4">
                      <a:extLst>
                        <a:ext uri="{28A0092B-C50C-407E-A947-70E740481C1C}">
                          <a14:useLocalDpi xmlns:a14="http://schemas.microsoft.com/office/drawing/2010/main" val="0"/>
                        </a:ext>
                      </a:extLst>
                    </a:blip>
                    <a:stretch>
                      <a:fillRect/>
                    </a:stretch>
                  </pic:blipFill>
                  <pic:spPr>
                    <a:xfrm>
                      <a:off x="0" y="0"/>
                      <a:ext cx="5943600" cy="2567305"/>
                    </a:xfrm>
                    <a:prstGeom prst="rect">
                      <a:avLst/>
                    </a:prstGeom>
                  </pic:spPr>
                </pic:pic>
              </a:graphicData>
            </a:graphic>
            <wp14:sizeRelV relativeFrom="margin">
              <wp14:pctHeight>0</wp14:pctHeight>
            </wp14:sizeRelV>
          </wp:anchor>
        </w:drawing>
      </w:r>
    </w:p>
    <w:p w14:paraId="07854058" w14:textId="77777777" w:rsidR="00C81EE0" w:rsidRDefault="00C81EE0" w:rsidP="00C81EE0"/>
    <w:p w14:paraId="494608D3" w14:textId="4F7868CE" w:rsidR="00C81EE0" w:rsidRPr="00C81EE0" w:rsidRDefault="00C81EE0" w:rsidP="00586322">
      <w:pPr>
        <w:ind w:left="720"/>
        <w:rPr>
          <w:rFonts w:ascii="Arial" w:hAnsi="Arial" w:cs="Arial"/>
          <w:sz w:val="22"/>
          <w:szCs w:val="22"/>
        </w:rPr>
      </w:pPr>
      <w:r w:rsidRPr="00C81EE0">
        <w:rPr>
          <w:rFonts w:ascii="Arial" w:hAnsi="Arial" w:cs="Arial"/>
          <w:b/>
          <w:bCs/>
          <w:sz w:val="22"/>
          <w:szCs w:val="22"/>
        </w:rPr>
        <w:t>Name</w:t>
      </w:r>
      <w:r>
        <w:rPr>
          <w:rFonts w:ascii="Arial" w:hAnsi="Arial" w:cs="Arial"/>
          <w:sz w:val="22"/>
          <w:szCs w:val="22"/>
        </w:rPr>
        <w:t xml:space="preserve">: Nazmin Malik </w:t>
      </w:r>
    </w:p>
    <w:p w14:paraId="1ECD51A8" w14:textId="2419A85F" w:rsidR="00C81EE0" w:rsidRPr="00C81EE0" w:rsidRDefault="00C81EE0" w:rsidP="00586322">
      <w:pPr>
        <w:ind w:left="720"/>
        <w:rPr>
          <w:rFonts w:ascii="Arial" w:hAnsi="Arial" w:cs="Arial"/>
          <w:sz w:val="22"/>
          <w:szCs w:val="22"/>
        </w:rPr>
      </w:pPr>
      <w:r w:rsidRPr="00C81EE0">
        <w:rPr>
          <w:rFonts w:ascii="Arial" w:hAnsi="Arial" w:cs="Arial"/>
          <w:b/>
          <w:bCs/>
          <w:sz w:val="22"/>
          <w:szCs w:val="22"/>
        </w:rPr>
        <w:t>Student no</w:t>
      </w:r>
      <w:r>
        <w:rPr>
          <w:rFonts w:ascii="Arial" w:hAnsi="Arial" w:cs="Arial"/>
          <w:b/>
          <w:bCs/>
          <w:sz w:val="22"/>
          <w:szCs w:val="22"/>
        </w:rPr>
        <w:t xml:space="preserve">: </w:t>
      </w:r>
      <w:r>
        <w:rPr>
          <w:rFonts w:ascii="Arial" w:hAnsi="Arial" w:cs="Arial"/>
          <w:sz w:val="22"/>
          <w:szCs w:val="22"/>
        </w:rPr>
        <w:t>22</w:t>
      </w:r>
      <w:r w:rsidR="007D3589">
        <w:rPr>
          <w:rFonts w:ascii="Arial" w:hAnsi="Arial" w:cs="Arial"/>
          <w:sz w:val="22"/>
          <w:szCs w:val="22"/>
        </w:rPr>
        <w:t>4</w:t>
      </w:r>
      <w:r w:rsidR="00E42CD0">
        <w:rPr>
          <w:rFonts w:ascii="Arial" w:hAnsi="Arial" w:cs="Arial"/>
          <w:sz w:val="22"/>
          <w:szCs w:val="22"/>
        </w:rPr>
        <w:t>2</w:t>
      </w:r>
      <w:r w:rsidR="005B3619">
        <w:rPr>
          <w:rFonts w:ascii="Arial" w:hAnsi="Arial" w:cs="Arial"/>
          <w:sz w:val="22"/>
          <w:szCs w:val="22"/>
        </w:rPr>
        <w:t>813</w:t>
      </w:r>
    </w:p>
    <w:p w14:paraId="45C26D0D" w14:textId="19D4FD19" w:rsidR="00C81EE0" w:rsidRPr="007D3589" w:rsidRDefault="00C81EE0" w:rsidP="00586322">
      <w:pPr>
        <w:ind w:left="720"/>
        <w:rPr>
          <w:rFonts w:ascii="Arial" w:hAnsi="Arial" w:cs="Arial"/>
          <w:sz w:val="22"/>
          <w:szCs w:val="22"/>
        </w:rPr>
      </w:pPr>
      <w:r w:rsidRPr="00C81EE0">
        <w:rPr>
          <w:rFonts w:ascii="Arial" w:hAnsi="Arial" w:cs="Arial"/>
          <w:b/>
          <w:bCs/>
          <w:sz w:val="22"/>
          <w:szCs w:val="22"/>
        </w:rPr>
        <w:t>Module</w:t>
      </w:r>
      <w:r w:rsidR="007D3589">
        <w:rPr>
          <w:rFonts w:ascii="Arial" w:hAnsi="Arial" w:cs="Arial"/>
          <w:b/>
          <w:bCs/>
          <w:sz w:val="22"/>
          <w:szCs w:val="22"/>
        </w:rPr>
        <w:t>:</w:t>
      </w:r>
      <w:r w:rsidR="007D3589">
        <w:rPr>
          <w:rFonts w:ascii="Arial" w:hAnsi="Arial" w:cs="Arial"/>
          <w:sz w:val="22"/>
          <w:szCs w:val="22"/>
        </w:rPr>
        <w:t xml:space="preserve"> </w:t>
      </w:r>
      <w:r w:rsidR="001766C1">
        <w:rPr>
          <w:rFonts w:ascii="Arial" w:hAnsi="Arial" w:cs="Arial"/>
          <w:sz w:val="22"/>
          <w:szCs w:val="22"/>
        </w:rPr>
        <w:t>Social Epidemiology and Public Health Development</w:t>
      </w:r>
    </w:p>
    <w:p w14:paraId="4EDE6F74" w14:textId="31981E9E" w:rsidR="00C81EE0" w:rsidRPr="00C81EE0" w:rsidRDefault="00C81EE0" w:rsidP="00586322">
      <w:pPr>
        <w:ind w:left="720"/>
        <w:rPr>
          <w:rFonts w:ascii="Arial" w:hAnsi="Arial" w:cs="Arial"/>
          <w:b/>
          <w:bCs/>
          <w:sz w:val="22"/>
          <w:szCs w:val="22"/>
        </w:rPr>
      </w:pPr>
      <w:r w:rsidRPr="00C81EE0">
        <w:rPr>
          <w:rFonts w:ascii="Arial" w:hAnsi="Arial" w:cs="Arial"/>
          <w:b/>
          <w:bCs/>
          <w:sz w:val="22"/>
          <w:szCs w:val="22"/>
        </w:rPr>
        <w:t>Module Code</w:t>
      </w:r>
      <w:r w:rsidR="007D3589">
        <w:rPr>
          <w:rFonts w:ascii="Arial" w:hAnsi="Arial" w:cs="Arial"/>
          <w:b/>
          <w:bCs/>
          <w:sz w:val="22"/>
          <w:szCs w:val="22"/>
        </w:rPr>
        <w:t>:</w:t>
      </w:r>
      <w:r w:rsidR="00715677" w:rsidRPr="00715677">
        <w:rPr>
          <w:rFonts w:ascii="Arial" w:hAnsi="Arial" w:cs="Arial"/>
          <w:sz w:val="22"/>
          <w:szCs w:val="22"/>
        </w:rPr>
        <w:t>LCHS7000</w:t>
      </w:r>
    </w:p>
    <w:p w14:paraId="466685EA" w14:textId="6391D440" w:rsidR="00C81EE0" w:rsidRPr="006F6E20" w:rsidRDefault="005B3619" w:rsidP="006F6E20">
      <w:pPr>
        <w:ind w:left="2"/>
        <w:jc w:val="both"/>
      </w:pPr>
      <w:r>
        <w:rPr>
          <w:rFonts w:ascii="Arial" w:hAnsi="Arial" w:cs="Arial"/>
          <w:b/>
          <w:bCs/>
          <w:sz w:val="22"/>
          <w:szCs w:val="22"/>
        </w:rPr>
        <w:t xml:space="preserve">       </w:t>
      </w:r>
      <w:r w:rsidR="00EA41A6">
        <w:rPr>
          <w:rFonts w:ascii="Arial" w:hAnsi="Arial" w:cs="Arial"/>
          <w:b/>
          <w:bCs/>
          <w:sz w:val="22"/>
          <w:szCs w:val="22"/>
        </w:rPr>
        <w:t xml:space="preserve"> </w:t>
      </w:r>
      <w:r w:rsidR="00C81EE0" w:rsidRPr="00C81EE0">
        <w:rPr>
          <w:rFonts w:ascii="Arial" w:hAnsi="Arial" w:cs="Arial"/>
          <w:b/>
          <w:bCs/>
          <w:sz w:val="22"/>
          <w:szCs w:val="22"/>
        </w:rPr>
        <w:t>Assignment Title</w:t>
      </w:r>
      <w:r w:rsidR="007D3589">
        <w:rPr>
          <w:rFonts w:ascii="Arial" w:hAnsi="Arial" w:cs="Arial"/>
          <w:b/>
          <w:bCs/>
          <w:sz w:val="22"/>
          <w:szCs w:val="22"/>
        </w:rPr>
        <w:t>:</w:t>
      </w:r>
      <w:r w:rsidR="00420800">
        <w:rPr>
          <w:rFonts w:ascii="Arial" w:hAnsi="Arial" w:cs="Arial"/>
          <w:b/>
          <w:bCs/>
          <w:sz w:val="22"/>
          <w:szCs w:val="22"/>
        </w:rPr>
        <w:t xml:space="preserve"> </w:t>
      </w:r>
      <w:r w:rsidR="00420800" w:rsidRPr="00420800">
        <w:rPr>
          <w:rFonts w:ascii="Arial" w:eastAsia="Arial" w:hAnsi="Arial" w:cs="Arial"/>
          <w:sz w:val="22"/>
          <w:szCs w:val="22"/>
        </w:rPr>
        <w:t>Component 2</w:t>
      </w:r>
      <w:r w:rsidR="00420800" w:rsidRPr="00420800">
        <w:t xml:space="preserve"> </w:t>
      </w:r>
      <w:r w:rsidR="00420800" w:rsidRPr="00420800">
        <w:rPr>
          <w:rFonts w:ascii="Arial" w:eastAsia="Arial" w:hAnsi="Arial" w:cs="Arial"/>
          <w:sz w:val="22"/>
          <w:szCs w:val="22"/>
        </w:rPr>
        <w:t>Analytical Report</w:t>
      </w:r>
    </w:p>
    <w:p w14:paraId="662C3480" w14:textId="54D96361" w:rsidR="00C81EE0" w:rsidRPr="00540040" w:rsidRDefault="00C81EE0" w:rsidP="00586322">
      <w:pPr>
        <w:ind w:left="720"/>
        <w:rPr>
          <w:rFonts w:ascii="Arial" w:hAnsi="Arial" w:cs="Arial"/>
          <w:sz w:val="22"/>
          <w:szCs w:val="22"/>
        </w:rPr>
      </w:pPr>
      <w:r w:rsidRPr="00C81EE0">
        <w:rPr>
          <w:rFonts w:ascii="Arial" w:hAnsi="Arial" w:cs="Arial"/>
          <w:b/>
          <w:bCs/>
          <w:sz w:val="22"/>
          <w:szCs w:val="22"/>
        </w:rPr>
        <w:t>Lecture</w:t>
      </w:r>
      <w:r w:rsidR="007D3589">
        <w:rPr>
          <w:rFonts w:ascii="Arial" w:hAnsi="Arial" w:cs="Arial"/>
          <w:b/>
          <w:bCs/>
          <w:sz w:val="22"/>
          <w:szCs w:val="22"/>
        </w:rPr>
        <w:t xml:space="preserve">: </w:t>
      </w:r>
      <w:r w:rsidR="00540040">
        <w:rPr>
          <w:rFonts w:ascii="Arial" w:hAnsi="Arial" w:cs="Arial"/>
          <w:sz w:val="22"/>
          <w:szCs w:val="22"/>
        </w:rPr>
        <w:t xml:space="preserve">Junaid </w:t>
      </w:r>
      <w:r w:rsidR="00FE0AE6">
        <w:rPr>
          <w:rFonts w:ascii="Arial" w:hAnsi="Arial" w:cs="Arial"/>
          <w:sz w:val="22"/>
          <w:szCs w:val="22"/>
        </w:rPr>
        <w:t>Shaikh</w:t>
      </w:r>
    </w:p>
    <w:p w14:paraId="48E7122D" w14:textId="77777777" w:rsidR="00C81EE0" w:rsidRDefault="00C81EE0" w:rsidP="00586322">
      <w:pPr>
        <w:ind w:left="720"/>
        <w:rPr>
          <w:rFonts w:ascii="Arial" w:hAnsi="Arial" w:cs="Arial"/>
          <w:sz w:val="22"/>
          <w:szCs w:val="22"/>
        </w:rPr>
      </w:pPr>
    </w:p>
    <w:p w14:paraId="3C4251B3" w14:textId="77777777" w:rsidR="0096585A" w:rsidRDefault="0096585A">
      <w:pPr>
        <w:rPr>
          <w:rFonts w:ascii="Arial" w:eastAsiaTheme="majorEastAsia" w:hAnsi="Arial" w:cs="Arial"/>
          <w:color w:val="000000" w:themeColor="text1"/>
          <w:spacing w:val="-10"/>
          <w:kern w:val="28"/>
          <w:sz w:val="36"/>
          <w:szCs w:val="36"/>
        </w:rPr>
      </w:pPr>
      <w:r>
        <w:rPr>
          <w:rFonts w:ascii="Arial" w:hAnsi="Arial" w:cs="Arial"/>
          <w:color w:val="000000" w:themeColor="text1"/>
          <w:sz w:val="36"/>
          <w:szCs w:val="36"/>
        </w:rPr>
        <w:br w:type="page"/>
      </w:r>
    </w:p>
    <w:p w14:paraId="0AC583D5" w14:textId="581F1A57" w:rsidR="00547610" w:rsidRPr="00586DBE" w:rsidRDefault="00547610" w:rsidP="00907F32">
      <w:pPr>
        <w:pStyle w:val="Title"/>
        <w:spacing w:after="300" w:line="360" w:lineRule="auto"/>
        <w:rPr>
          <w:rFonts w:ascii="Arial" w:hAnsi="Arial" w:cs="Arial"/>
          <w:color w:val="000000" w:themeColor="text1"/>
          <w:sz w:val="36"/>
          <w:szCs w:val="36"/>
        </w:rPr>
      </w:pPr>
      <w:r w:rsidRPr="00586DBE">
        <w:rPr>
          <w:rFonts w:ascii="Arial" w:hAnsi="Arial" w:cs="Arial"/>
          <w:color w:val="000000" w:themeColor="text1"/>
          <w:sz w:val="36"/>
          <w:szCs w:val="36"/>
        </w:rPr>
        <w:lastRenderedPageBreak/>
        <w:t>Age Inequalities and Health Inequalities Among Older People in the United Kingdom</w:t>
      </w:r>
    </w:p>
    <w:p w14:paraId="69B21338"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Introduction</w:t>
      </w:r>
    </w:p>
    <w:p w14:paraId="2E76F410" w14:textId="70360ED0" w:rsidR="00430FD9" w:rsidRPr="00430FD9" w:rsidRDefault="00430FD9" w:rsidP="00430FD9">
      <w:pPr>
        <w:pStyle w:val="NormalWeb"/>
        <w:spacing w:line="360" w:lineRule="auto"/>
        <w:rPr>
          <w:rFonts w:ascii="Arial" w:hAnsi="Arial" w:cs="Arial"/>
          <w:sz w:val="22"/>
          <w:szCs w:val="22"/>
        </w:rPr>
      </w:pPr>
      <w:r w:rsidRPr="00430FD9">
        <w:rPr>
          <w:rFonts w:ascii="Arial" w:hAnsi="Arial" w:cs="Arial"/>
          <w:sz w:val="22"/>
          <w:szCs w:val="22"/>
        </w:rPr>
        <w:t xml:space="preserve">This report examines health inequalities affecting older people in the United Kingdom, defined as adults aged 65 and over, a group that numbered around 12 million in 2023 and is expected to grow as life expectancy increases (Office for National Statistics, 2023). Older people are at increased risk due to declining income, higher rates of chronic illness and disability, reduced mobility, and pressure on health and social care systems (Centre for Ageing Better, 2025). The Marmot Review highlights how inequalities in income, housing and social participation contribute to poorer health outcomes in later life, particularly among disadvantaged groups (Marmot et al., 2010). </w:t>
      </w:r>
      <w:r w:rsidR="003478D9" w:rsidRPr="00430FD9">
        <w:rPr>
          <w:rFonts w:ascii="Arial" w:hAnsi="Arial" w:cs="Arial"/>
          <w:sz w:val="22"/>
          <w:szCs w:val="22"/>
        </w:rPr>
        <w:t>A</w:t>
      </w:r>
      <w:r w:rsidR="003478D9">
        <w:rPr>
          <w:rFonts w:ascii="Arial" w:hAnsi="Arial" w:cs="Arial"/>
          <w:sz w:val="22"/>
          <w:szCs w:val="22"/>
        </w:rPr>
        <w:t>ccording to Berkman and Kawachi,(2014)</w:t>
      </w:r>
      <w:r w:rsidR="00890574">
        <w:rPr>
          <w:rFonts w:ascii="Arial" w:hAnsi="Arial" w:cs="Arial"/>
          <w:sz w:val="22"/>
          <w:szCs w:val="22"/>
        </w:rPr>
        <w:t xml:space="preserve"> the </w:t>
      </w:r>
      <w:r w:rsidR="003478D9">
        <w:rPr>
          <w:rFonts w:ascii="Arial" w:hAnsi="Arial" w:cs="Arial"/>
          <w:sz w:val="22"/>
          <w:szCs w:val="22"/>
        </w:rPr>
        <w:t xml:space="preserve"> </w:t>
      </w:r>
      <w:r w:rsidRPr="00430FD9">
        <w:rPr>
          <w:rFonts w:ascii="Arial" w:hAnsi="Arial" w:cs="Arial"/>
          <w:sz w:val="22"/>
          <w:szCs w:val="22"/>
        </w:rPr>
        <w:t>social epidemiological approach moves beyond biological explanations of ageing by examining how unequal access to resources and opportunities across the life course shapes health outcomes. The report explores three health and three social inequalities before discussing national responses and Age UK’s role in supporting older adults.</w:t>
      </w:r>
    </w:p>
    <w:p w14:paraId="3D9D4DCE"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Contextual Background and Underlying Factors</w:t>
      </w:r>
    </w:p>
    <w:p w14:paraId="56BE9CD8"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1. Higher Rates of Dementia</w:t>
      </w:r>
    </w:p>
    <w:p w14:paraId="6993EF78" w14:textId="43836B36" w:rsidR="004E5CCD" w:rsidRPr="00D44015" w:rsidRDefault="00D97338" w:rsidP="0019758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Research </w:t>
      </w:r>
      <w:r w:rsidR="00260390">
        <w:rPr>
          <w:rFonts w:ascii="Arial" w:hAnsi="Arial" w:cs="Arial"/>
          <w:color w:val="000000" w:themeColor="text1"/>
          <w:sz w:val="22"/>
          <w:szCs w:val="22"/>
        </w:rPr>
        <w:t xml:space="preserve">by </w:t>
      </w:r>
      <w:r>
        <w:rPr>
          <w:rFonts w:ascii="Arial" w:hAnsi="Arial" w:cs="Arial"/>
          <w:color w:val="000000" w:themeColor="text1"/>
          <w:sz w:val="22"/>
          <w:szCs w:val="22"/>
        </w:rPr>
        <w:t xml:space="preserve">Alzheimer’s Society, </w:t>
      </w:r>
      <w:r w:rsidR="00260390">
        <w:rPr>
          <w:rFonts w:ascii="Arial" w:hAnsi="Arial" w:cs="Arial"/>
          <w:color w:val="000000" w:themeColor="text1"/>
          <w:sz w:val="22"/>
          <w:szCs w:val="22"/>
        </w:rPr>
        <w:t>(</w:t>
      </w:r>
      <w:r>
        <w:rPr>
          <w:rFonts w:ascii="Arial" w:hAnsi="Arial" w:cs="Arial"/>
          <w:color w:val="000000" w:themeColor="text1"/>
          <w:sz w:val="22"/>
          <w:szCs w:val="22"/>
        </w:rPr>
        <w:t>2025)</w:t>
      </w:r>
      <w:r w:rsidR="00D03BF2">
        <w:rPr>
          <w:rFonts w:ascii="Arial" w:hAnsi="Arial" w:cs="Arial"/>
          <w:color w:val="000000" w:themeColor="text1"/>
          <w:sz w:val="22"/>
          <w:szCs w:val="22"/>
        </w:rPr>
        <w:t xml:space="preserve"> states </w:t>
      </w:r>
      <w:r w:rsidR="004E5CCD" w:rsidRPr="00197589">
        <w:rPr>
          <w:rFonts w:ascii="Arial" w:hAnsi="Arial" w:cs="Arial"/>
          <w:color w:val="000000" w:themeColor="text1"/>
          <w:sz w:val="22"/>
          <w:szCs w:val="22"/>
        </w:rPr>
        <w:t xml:space="preserve">Dementia is </w:t>
      </w:r>
      <w:r w:rsidR="000201D2">
        <w:rPr>
          <w:rFonts w:ascii="Arial" w:hAnsi="Arial" w:cs="Arial"/>
          <w:color w:val="000000" w:themeColor="text1"/>
          <w:sz w:val="22"/>
          <w:szCs w:val="22"/>
        </w:rPr>
        <w:t xml:space="preserve">closely </w:t>
      </w:r>
      <w:r w:rsidR="004E5CCD" w:rsidRPr="00197589">
        <w:rPr>
          <w:rFonts w:ascii="Arial" w:hAnsi="Arial" w:cs="Arial"/>
          <w:color w:val="000000" w:themeColor="text1"/>
          <w:sz w:val="22"/>
          <w:szCs w:val="22"/>
        </w:rPr>
        <w:t>age-related and now affects an estimated 982,000 people in the UK, a figure projected to rise to 1.4 million by 2040 as the population ages.</w:t>
      </w:r>
      <w:r w:rsidR="00260390">
        <w:rPr>
          <w:rFonts w:ascii="Arial" w:hAnsi="Arial" w:cs="Arial"/>
          <w:color w:val="000000" w:themeColor="text1"/>
          <w:sz w:val="22"/>
          <w:szCs w:val="22"/>
        </w:rPr>
        <w:t xml:space="preserve"> </w:t>
      </w:r>
      <w:r w:rsidR="004E5CCD" w:rsidRPr="00197589">
        <w:rPr>
          <w:rFonts w:ascii="Arial" w:hAnsi="Arial" w:cs="Arial"/>
          <w:color w:val="000000" w:themeColor="text1"/>
          <w:sz w:val="22"/>
          <w:szCs w:val="22"/>
        </w:rPr>
        <w:t>Prevalence rises from roughly 1 in 14 people over 65 to 1 in 6 people over 80 (Wilkinson et al., 2020). Only around two-thirds of those with dementia in England have a formal diagnosis, meaning many older people go without the support and medication reviews that a diagnosis triggers (NHS England, 2025).</w:t>
      </w:r>
      <w:r w:rsidR="004858CE">
        <w:rPr>
          <w:rFonts w:ascii="Arial" w:hAnsi="Arial" w:cs="Arial"/>
          <w:color w:val="000000" w:themeColor="text1"/>
          <w:sz w:val="22"/>
          <w:szCs w:val="22"/>
        </w:rPr>
        <w:t xml:space="preserve"> </w:t>
      </w:r>
      <w:r w:rsidR="00FB577D">
        <w:rPr>
          <w:rFonts w:ascii="Arial" w:hAnsi="Arial" w:cs="Arial"/>
          <w:color w:val="000000" w:themeColor="text1"/>
          <w:sz w:val="22"/>
          <w:szCs w:val="22"/>
        </w:rPr>
        <w:t xml:space="preserve"> </w:t>
      </w:r>
      <w:r w:rsidR="004858CE" w:rsidRPr="00D44015">
        <w:rPr>
          <w:rFonts w:ascii="Arial" w:eastAsia="Times New Roman" w:hAnsi="Arial" w:cs="Arial"/>
          <w:sz w:val="22"/>
          <w:szCs w:val="22"/>
        </w:rPr>
        <w:t>Improving diagnosis pathways and post-diagnostic support are essential to reducing this inequality, as delayed diagnosis can restrict access to treatment, social care support and opportunities for advance care planning.</w:t>
      </w:r>
      <w:r w:rsidR="004E5CCD" w:rsidRPr="00D44015">
        <w:rPr>
          <w:rFonts w:ascii="Arial" w:hAnsi="Arial" w:cs="Arial"/>
          <w:color w:val="000000" w:themeColor="text1"/>
          <w:sz w:val="22"/>
          <w:szCs w:val="22"/>
        </w:rPr>
        <w:t xml:space="preserve"> </w:t>
      </w:r>
    </w:p>
    <w:p w14:paraId="6B56C919" w14:textId="77777777" w:rsidR="004E5CCD" w:rsidRPr="003F0C65" w:rsidRDefault="004E5CCD" w:rsidP="00197589">
      <w:pPr>
        <w:pStyle w:val="Heading2"/>
        <w:spacing w:before="200" w:after="100" w:line="360" w:lineRule="auto"/>
        <w:rPr>
          <w:rFonts w:ascii="Arial" w:hAnsi="Arial" w:cs="Arial"/>
          <w:b/>
          <w:bCs/>
          <w:color w:val="000000" w:themeColor="text1"/>
          <w:sz w:val="22"/>
          <w:szCs w:val="22"/>
        </w:rPr>
      </w:pPr>
      <w:r w:rsidRPr="003F0C65">
        <w:rPr>
          <w:rFonts w:ascii="Arial" w:hAnsi="Arial" w:cs="Arial"/>
          <w:b/>
          <w:bCs/>
          <w:color w:val="000000" w:themeColor="text1"/>
          <w:sz w:val="22"/>
          <w:szCs w:val="22"/>
        </w:rPr>
        <w:t>2. Cold-Related Illness and Excess Winter Mortality</w:t>
      </w:r>
    </w:p>
    <w:p w14:paraId="63C8E7BD" w14:textId="372F9EB3" w:rsidR="007D18B5" w:rsidRPr="007D18B5" w:rsidRDefault="007D18B5" w:rsidP="007D18B5">
      <w:pPr>
        <w:spacing w:line="360" w:lineRule="auto"/>
        <w:rPr>
          <w:rFonts w:ascii="Arial" w:hAnsi="Arial" w:cs="Arial"/>
          <w:sz w:val="22"/>
          <w:szCs w:val="22"/>
        </w:rPr>
      </w:pPr>
      <w:r w:rsidRPr="007D18B5">
        <w:rPr>
          <w:rFonts w:ascii="Arial" w:hAnsi="Arial" w:cs="Arial"/>
          <w:sz w:val="22"/>
          <w:szCs w:val="22"/>
        </w:rPr>
        <w:t>Cold-related illness and excess winter mortality represent significant but preventable health inequalities among older adults. Older people are particularly vulnerable due to reduced physiological resilience, higher prevalence of chronic conditions and greater exposure to fuel poverty and poor housing conditions. Cold homes increase risks of respiratory illness and worsen cardiovascular disease, which are common causes of morbidity in later life (</w:t>
      </w:r>
      <w:r w:rsidR="00F251E0">
        <w:rPr>
          <w:rFonts w:ascii="Arial" w:hAnsi="Arial" w:cs="Arial"/>
          <w:sz w:val="22"/>
          <w:szCs w:val="22"/>
        </w:rPr>
        <w:t>Age UK</w:t>
      </w:r>
      <w:r w:rsidRPr="007D18B5">
        <w:rPr>
          <w:rFonts w:ascii="Arial" w:hAnsi="Arial" w:cs="Arial"/>
          <w:sz w:val="22"/>
          <w:szCs w:val="22"/>
        </w:rPr>
        <w:t xml:space="preserve">, </w:t>
      </w:r>
      <w:r w:rsidR="006416A5">
        <w:rPr>
          <w:rFonts w:ascii="Arial" w:hAnsi="Arial" w:cs="Arial"/>
          <w:sz w:val="22"/>
          <w:szCs w:val="22"/>
        </w:rPr>
        <w:lastRenderedPageBreak/>
        <w:t>2025a</w:t>
      </w:r>
      <w:r w:rsidRPr="007D18B5">
        <w:rPr>
          <w:rFonts w:ascii="Arial" w:hAnsi="Arial" w:cs="Arial"/>
          <w:sz w:val="22"/>
          <w:szCs w:val="22"/>
        </w:rPr>
        <w:t>). From a social epidemiological perspective, these outcomes are not simply consequences of ageing but reflect wider inequalities in income, housing quality and access to resources. Addressing this requires upstream interventions, including improving home energy efficiency, providing targeted financial support and identifying vulnerable households through community-based services.</w:t>
      </w:r>
    </w:p>
    <w:p w14:paraId="3CF6175B"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3. Poorer Access to NHS Treatment</w:t>
      </w:r>
    </w:p>
    <w:p w14:paraId="47EAD640" w14:textId="59D5158D"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Older people are the heaviest users of the NHS, yet report some of the poorest experiences of access: 28% of people aged 65 and over said in 2025 that they waited too long for a GP appointment, and NHS dental registration among those over 75 falls to roughly a third of the rate seen in middle age </w:t>
      </w:r>
      <w:r w:rsidR="005F2B98">
        <w:rPr>
          <w:rFonts w:ascii="Arial" w:hAnsi="Arial" w:cs="Arial"/>
          <w:color w:val="000000" w:themeColor="text1"/>
          <w:sz w:val="22"/>
          <w:szCs w:val="22"/>
        </w:rPr>
        <w:t>(</w:t>
      </w:r>
      <w:r w:rsidRPr="00197589">
        <w:rPr>
          <w:rFonts w:ascii="Arial" w:hAnsi="Arial" w:cs="Arial"/>
          <w:color w:val="000000" w:themeColor="text1"/>
          <w:sz w:val="22"/>
          <w:szCs w:val="22"/>
        </w:rPr>
        <w:t>Steele, 2009). Barriers include the shift to online booking systems that exclude digitally-excluded older patients, reduced GP home-visiting, and long waits for procedures such as cataract surgery (</w:t>
      </w:r>
      <w:r w:rsidR="00970650">
        <w:rPr>
          <w:rFonts w:ascii="Arial" w:hAnsi="Arial" w:cs="Arial"/>
          <w:color w:val="000000" w:themeColor="text1"/>
          <w:sz w:val="22"/>
          <w:szCs w:val="22"/>
        </w:rPr>
        <w:t xml:space="preserve">The </w:t>
      </w:r>
      <w:r w:rsidR="004064E4">
        <w:rPr>
          <w:rFonts w:ascii="Arial" w:hAnsi="Arial" w:cs="Arial"/>
          <w:color w:val="000000" w:themeColor="text1"/>
          <w:sz w:val="22"/>
          <w:szCs w:val="22"/>
        </w:rPr>
        <w:t>Ki</w:t>
      </w:r>
      <w:r w:rsidR="00970650">
        <w:rPr>
          <w:rFonts w:ascii="Arial" w:hAnsi="Arial" w:cs="Arial"/>
          <w:color w:val="000000" w:themeColor="text1"/>
          <w:sz w:val="22"/>
          <w:szCs w:val="22"/>
        </w:rPr>
        <w:t>ng</w:t>
      </w:r>
      <w:r w:rsidR="00970641">
        <w:rPr>
          <w:rFonts w:ascii="Arial" w:hAnsi="Arial" w:cs="Arial"/>
          <w:color w:val="000000" w:themeColor="text1"/>
          <w:sz w:val="22"/>
          <w:szCs w:val="22"/>
        </w:rPr>
        <w:t xml:space="preserve">’s </w:t>
      </w:r>
      <w:r w:rsidR="00970650">
        <w:rPr>
          <w:rFonts w:ascii="Arial" w:hAnsi="Arial" w:cs="Arial"/>
          <w:color w:val="000000" w:themeColor="text1"/>
          <w:sz w:val="22"/>
          <w:szCs w:val="22"/>
        </w:rPr>
        <w:t>Fund,2024</w:t>
      </w:r>
      <w:r w:rsidRPr="00197589">
        <w:rPr>
          <w:rFonts w:ascii="Arial" w:hAnsi="Arial" w:cs="Arial"/>
          <w:color w:val="000000" w:themeColor="text1"/>
          <w:sz w:val="22"/>
          <w:szCs w:val="22"/>
        </w:rPr>
        <w:t>). Solutions include protecting non-digital booking routes, expanding integrated neighbourhood teams, and investing in primary care capacity for long-term condition management.</w:t>
      </w:r>
    </w:p>
    <w:p w14:paraId="172A2713"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4. Social Isolation and Loneliness</w:t>
      </w:r>
    </w:p>
    <w:p w14:paraId="4729C4DD" w14:textId="26E44BC4"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An estimated 940,000 to 1.4 million people aged 65 and over in the UK report being often lonely, and more than 2 million people over 75 in England live alone (Age UK, </w:t>
      </w:r>
      <w:r w:rsidR="00A07C5B">
        <w:rPr>
          <w:rFonts w:ascii="Arial" w:hAnsi="Arial" w:cs="Arial"/>
          <w:color w:val="000000" w:themeColor="text1"/>
          <w:sz w:val="22"/>
          <w:szCs w:val="22"/>
        </w:rPr>
        <w:t>2025b</w:t>
      </w:r>
      <w:r w:rsidRPr="00197589">
        <w:rPr>
          <w:rFonts w:ascii="Arial" w:hAnsi="Arial" w:cs="Arial"/>
          <w:color w:val="000000" w:themeColor="text1"/>
          <w:sz w:val="22"/>
          <w:szCs w:val="22"/>
        </w:rPr>
        <w:t xml:space="preserve">; NHS, 2024). Loneliness is linked to a 40% higher risk of dementia and mortality effects comparable to smoking or obesity (Sutin et al., 2018). </w:t>
      </w:r>
      <w:r w:rsidR="006A2B14">
        <w:rPr>
          <w:rFonts w:ascii="Arial" w:hAnsi="Arial" w:cs="Arial"/>
          <w:color w:val="000000" w:themeColor="text1"/>
          <w:sz w:val="22"/>
          <w:szCs w:val="22"/>
        </w:rPr>
        <w:t>Community-based interventions such as social prescribing and befriending schemes have shown promise in reducing isolation and improving social connection among older adults.</w:t>
      </w:r>
    </w:p>
    <w:p w14:paraId="28723EA2"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5. Pensioner Poverty</w:t>
      </w:r>
    </w:p>
    <w:p w14:paraId="41D9995B" w14:textId="26E19330"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Around 1.9 to 2.1 million pensioners in the UK live in relative poverty after housing costs, roughly 17-18% of the group, rising to 21% among those aged 85 and over and 23% among single older women (Joseph Rowntree Foundation, 2025).</w:t>
      </w:r>
      <w:r w:rsidR="00D94AFD">
        <w:rPr>
          <w:rFonts w:ascii="Arial" w:hAnsi="Arial" w:cs="Arial"/>
          <w:color w:val="000000" w:themeColor="text1"/>
          <w:sz w:val="22"/>
          <w:szCs w:val="22"/>
        </w:rPr>
        <w:t>Poverty is driven by inadequate income, rising living costs and low uptake of available financial support</w:t>
      </w:r>
      <w:r w:rsidR="00A30646">
        <w:rPr>
          <w:rFonts w:ascii="Arial" w:hAnsi="Arial" w:cs="Arial"/>
          <w:color w:val="000000" w:themeColor="text1"/>
          <w:sz w:val="22"/>
          <w:szCs w:val="22"/>
        </w:rPr>
        <w:t>. A</w:t>
      </w:r>
      <w:r w:rsidRPr="00197589">
        <w:rPr>
          <w:rFonts w:ascii="Arial" w:hAnsi="Arial" w:cs="Arial"/>
          <w:color w:val="000000" w:themeColor="text1"/>
          <w:sz w:val="22"/>
          <w:szCs w:val="22"/>
        </w:rPr>
        <w:t xml:space="preserve">n estimated £2.1 billion in Pension Credit goes unclaimed every year </w:t>
      </w:r>
      <w:r w:rsidR="002C6342" w:rsidRPr="002C6342">
        <w:rPr>
          <w:rFonts w:ascii="Arial" w:eastAsia="Times New Roman" w:hAnsi="Arial" w:cs="Arial"/>
          <w:sz w:val="22"/>
          <w:szCs w:val="22"/>
        </w:rPr>
        <w:t>(Joseph Rowntree Foundation, 2025)</w:t>
      </w:r>
      <w:r w:rsidRPr="002C6342">
        <w:rPr>
          <w:rFonts w:ascii="Arial" w:hAnsi="Arial" w:cs="Arial"/>
          <w:color w:val="000000" w:themeColor="text1"/>
          <w:sz w:val="22"/>
          <w:szCs w:val="22"/>
        </w:rPr>
        <w:t>.</w:t>
      </w:r>
      <w:r w:rsidRPr="00197589">
        <w:rPr>
          <w:rFonts w:ascii="Arial" w:hAnsi="Arial" w:cs="Arial"/>
          <w:color w:val="000000" w:themeColor="text1"/>
          <w:sz w:val="22"/>
          <w:szCs w:val="22"/>
        </w:rPr>
        <w:t xml:space="preserve"> Raising awareness of entitlements, automatic enrolment in benefits, and protecting the value of the state pension are central to reducing this inequality.</w:t>
      </w:r>
    </w:p>
    <w:p w14:paraId="53DCFCFE" w14:textId="77777777" w:rsidR="004E5CCD" w:rsidRPr="006116D5" w:rsidRDefault="004E5CCD" w:rsidP="00197589">
      <w:pPr>
        <w:pStyle w:val="Heading2"/>
        <w:spacing w:before="200" w:after="100" w:line="360" w:lineRule="auto"/>
        <w:rPr>
          <w:rFonts w:ascii="Arial" w:hAnsi="Arial" w:cs="Arial"/>
          <w:b/>
          <w:bCs/>
          <w:color w:val="000000" w:themeColor="text1"/>
          <w:sz w:val="22"/>
          <w:szCs w:val="22"/>
        </w:rPr>
      </w:pPr>
      <w:r w:rsidRPr="006116D5">
        <w:rPr>
          <w:rFonts w:ascii="Arial" w:hAnsi="Arial" w:cs="Arial"/>
          <w:b/>
          <w:bCs/>
          <w:color w:val="000000" w:themeColor="text1"/>
          <w:sz w:val="22"/>
          <w:szCs w:val="22"/>
        </w:rPr>
        <w:t>6. Poor-Quality and Unsafe Housing</w:t>
      </w:r>
    </w:p>
    <w:p w14:paraId="5FE27A4F" w14:textId="4402D52F"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More than one in five older adults in England live in homes with serious problems such as damp, leaks or poor insulation, and older people account for 2.3 million of the 7.5 million people living in cold, damp or unsafe homes across the UK (Centre for Ageing Better, 2025; </w:t>
      </w:r>
      <w:r w:rsidRPr="00197589">
        <w:rPr>
          <w:rFonts w:ascii="Arial" w:hAnsi="Arial" w:cs="Arial"/>
          <w:color w:val="000000" w:themeColor="text1"/>
          <w:sz w:val="22"/>
          <w:szCs w:val="22"/>
        </w:rPr>
        <w:lastRenderedPageBreak/>
        <w:t>National Centre for Social Research, 202</w:t>
      </w:r>
      <w:r w:rsidR="00A20F3C">
        <w:rPr>
          <w:rFonts w:ascii="Arial" w:hAnsi="Arial" w:cs="Arial"/>
          <w:color w:val="000000" w:themeColor="text1"/>
          <w:sz w:val="22"/>
          <w:szCs w:val="22"/>
        </w:rPr>
        <w:t>4</w:t>
      </w:r>
      <w:r w:rsidRPr="00197589">
        <w:rPr>
          <w:rFonts w:ascii="Arial" w:hAnsi="Arial" w:cs="Arial"/>
          <w:color w:val="000000" w:themeColor="text1"/>
          <w:sz w:val="22"/>
          <w:szCs w:val="22"/>
        </w:rPr>
        <w:t>). O</w:t>
      </w:r>
      <w:r w:rsidR="001A4350">
        <w:rPr>
          <w:rFonts w:ascii="Arial" w:hAnsi="Arial" w:cs="Arial"/>
          <w:color w:val="000000" w:themeColor="text1"/>
          <w:sz w:val="22"/>
          <w:szCs w:val="22"/>
        </w:rPr>
        <w:t xml:space="preserve">lder </w:t>
      </w:r>
      <w:r w:rsidR="00624AE6">
        <w:rPr>
          <w:rFonts w:ascii="Arial" w:hAnsi="Arial" w:cs="Arial"/>
          <w:color w:val="000000" w:themeColor="text1"/>
          <w:sz w:val="22"/>
          <w:szCs w:val="22"/>
        </w:rPr>
        <w:t xml:space="preserve">tenants </w:t>
      </w:r>
      <w:r w:rsidRPr="00197589">
        <w:rPr>
          <w:rFonts w:ascii="Arial" w:hAnsi="Arial" w:cs="Arial"/>
          <w:color w:val="000000" w:themeColor="text1"/>
          <w:sz w:val="22"/>
          <w:szCs w:val="22"/>
        </w:rPr>
        <w:t>with a health condition are up to three times more likely than outright owners to have multiple serious housing problems (Centre for Ageing Better, 2025</w:t>
      </w:r>
      <w:r w:rsidR="00D414EC">
        <w:rPr>
          <w:rFonts w:ascii="Arial" w:hAnsi="Arial" w:cs="Arial"/>
          <w:color w:val="000000" w:themeColor="text1"/>
          <w:sz w:val="22"/>
          <w:szCs w:val="22"/>
        </w:rPr>
        <w:t>)</w:t>
      </w:r>
      <w:r w:rsidRPr="00197589">
        <w:rPr>
          <w:rFonts w:ascii="Arial" w:hAnsi="Arial" w:cs="Arial"/>
          <w:color w:val="000000" w:themeColor="text1"/>
          <w:sz w:val="22"/>
          <w:szCs w:val="22"/>
        </w:rPr>
        <w:t xml:space="preserve">. </w:t>
      </w:r>
      <w:r w:rsidR="00D96728">
        <w:rPr>
          <w:rFonts w:ascii="Arial" w:hAnsi="Arial" w:cs="Arial"/>
          <w:color w:val="000000" w:themeColor="text1"/>
          <w:sz w:val="22"/>
          <w:szCs w:val="22"/>
        </w:rPr>
        <w:t>These inequalities reflect wider socioeconomic disadvantage and inadequate housing conditions.</w:t>
      </w:r>
      <w:r w:rsidRPr="00197589">
        <w:rPr>
          <w:rFonts w:ascii="Arial" w:hAnsi="Arial" w:cs="Arial"/>
          <w:color w:val="000000" w:themeColor="text1"/>
          <w:sz w:val="22"/>
          <w:szCs w:val="22"/>
        </w:rPr>
        <w:t xml:space="preserve"> Policy solutions include disabled facilities grants, mandatory minimum energy-efficiency standards for rented homes, and expanded home-adaptation schemes.</w:t>
      </w:r>
    </w:p>
    <w:p w14:paraId="0E7B00F8"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National Response to Reduce Health Inequalities</w:t>
      </w:r>
    </w:p>
    <w:p w14:paraId="56A7FD91" w14:textId="38E80E5F" w:rsidR="003E2A4F" w:rsidRPr="00A17677" w:rsidRDefault="003E2A4F" w:rsidP="00DC5391">
      <w:pPr>
        <w:spacing w:line="360" w:lineRule="auto"/>
        <w:rPr>
          <w:rFonts w:ascii="Arial" w:hAnsi="Arial" w:cs="Arial"/>
          <w:sz w:val="22"/>
          <w:szCs w:val="22"/>
        </w:rPr>
      </w:pPr>
      <w:r w:rsidRPr="00A17677">
        <w:rPr>
          <w:rFonts w:ascii="Arial" w:hAnsi="Arial" w:cs="Arial"/>
          <w:sz w:val="22"/>
          <w:szCs w:val="22"/>
        </w:rPr>
        <w:t>Nationally, several strategies have been introduced to address health inequalities experienced by older adults. The UK Government’s loneliness strategy, A Connected Society</w:t>
      </w:r>
      <w:r w:rsidR="00D414EC">
        <w:rPr>
          <w:rFonts w:ascii="Arial" w:hAnsi="Arial" w:cs="Arial"/>
          <w:sz w:val="22"/>
          <w:szCs w:val="22"/>
        </w:rPr>
        <w:t xml:space="preserve"> </w:t>
      </w:r>
      <w:r w:rsidRPr="00A17677">
        <w:rPr>
          <w:rFonts w:ascii="Arial" w:hAnsi="Arial" w:cs="Arial"/>
          <w:sz w:val="22"/>
          <w:szCs w:val="22"/>
        </w:rPr>
        <w:t>(2018), was the first national strategy of its kind and recognised loneliness as a public health issue. It promoted community engagement and supported the expansion of social prescribing through the NHS Long Term Plan, enabling older adults to access voluntary and community-based support alongside traditional healthcare services (NHS England, 2019). In relation to financial inequality, the Department for Work and Pensions has introduced Pension Credit awareness initiatives to improve uptake of available financial support among older people experiencing poverty (Department for Work and Pensions, 2023). Although these policies demonstrate a shift towards addressing the wider social determinants of health, their effectiveness remains dependent on adequate funding, local implementation and accessibility for the most disadvantaged groups (Age UK, 2025</w:t>
      </w:r>
      <w:r w:rsidR="006416A5">
        <w:rPr>
          <w:rFonts w:ascii="Arial" w:hAnsi="Arial" w:cs="Arial"/>
          <w:sz w:val="22"/>
          <w:szCs w:val="22"/>
        </w:rPr>
        <w:t>a</w:t>
      </w:r>
      <w:r w:rsidRPr="00A17677">
        <w:rPr>
          <w:rFonts w:ascii="Arial" w:hAnsi="Arial" w:cs="Arial"/>
          <w:sz w:val="22"/>
          <w:szCs w:val="22"/>
        </w:rPr>
        <w:t>).</w:t>
      </w:r>
    </w:p>
    <w:p w14:paraId="1078BD86"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Organisations That Support Older People</w:t>
      </w:r>
    </w:p>
    <w:p w14:paraId="030B840B" w14:textId="28FB625D"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Age UK is the UK's largest charity dedicated to older people and plays a wide-ranging role in both direct support and national advocacy. It provides practical services including a free advice line, befriending schemes to reduce loneliness, and support to claim benefits such as Pension Credit and Attendance Allowance (Age UK, 2025). Beyond service delivery, Age UK conducts and publishes research, such as its annual State of Health and Care of Older People report and its loneliness research programme, which it uses to lobby government for better-funded primary care, social care and welfare support</w:t>
      </w:r>
      <w:r w:rsidR="00F34304">
        <w:rPr>
          <w:rFonts w:ascii="Arial" w:hAnsi="Arial" w:cs="Arial"/>
          <w:color w:val="000000" w:themeColor="text1"/>
          <w:sz w:val="22"/>
          <w:szCs w:val="22"/>
        </w:rPr>
        <w:t>.</w:t>
      </w:r>
      <w:r w:rsidRPr="00197589">
        <w:rPr>
          <w:rFonts w:ascii="Arial" w:hAnsi="Arial" w:cs="Arial"/>
          <w:color w:val="000000" w:themeColor="text1"/>
          <w:sz w:val="22"/>
          <w:szCs w:val="22"/>
        </w:rPr>
        <w:t xml:space="preserve"> </w:t>
      </w:r>
    </w:p>
    <w:p w14:paraId="6BD53C9C"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Conclusion</w:t>
      </w:r>
    </w:p>
    <w:p w14:paraId="6E8329BA" w14:textId="77777777" w:rsidR="004E5CCD"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Older people in the UK face compounding health inequalities: higher rates of dementia, cold-related illness and poorer NHS access, alongside loneliness, pensioner poverty and unsafe housing. These issues are mutually reinforcing, as poverty drives cold, poor-quality housing, which in turn worsens physical health and isolation. National responses such as the loneliness strategy, social prescribing and Pension Credit campaigns represent meaningful progress, but coverage and funding remain inconsistent. Charities such as Age UK fill a vital gap by </w:t>
      </w:r>
      <w:r w:rsidRPr="00197589">
        <w:rPr>
          <w:rFonts w:ascii="Arial" w:hAnsi="Arial" w:cs="Arial"/>
          <w:color w:val="000000" w:themeColor="text1"/>
          <w:sz w:val="22"/>
          <w:szCs w:val="22"/>
        </w:rPr>
        <w:lastRenderedPageBreak/>
        <w:t>combining direct support with research-led campaigning. Sustained, joined-up investment across health, housing and welfare policy will be needed if the growing older population is to age well rather than face deepening inequality.</w:t>
      </w:r>
    </w:p>
    <w:p w14:paraId="4D449EF5" w14:textId="03F90DB1" w:rsidR="00C414EF" w:rsidRDefault="00C414EF" w:rsidP="00197589">
      <w:pPr>
        <w:spacing w:line="360" w:lineRule="auto"/>
        <w:jc w:val="both"/>
        <w:rPr>
          <w:rFonts w:ascii="Arial" w:hAnsi="Arial" w:cs="Arial"/>
          <w:color w:val="000000" w:themeColor="text1"/>
          <w:sz w:val="22"/>
          <w:szCs w:val="22"/>
        </w:rPr>
      </w:pPr>
    </w:p>
    <w:p w14:paraId="642E3738" w14:textId="7C104F06" w:rsidR="00952B97" w:rsidRPr="00847B57" w:rsidRDefault="00847B57" w:rsidP="00847B57">
      <w:pPr>
        <w:spacing w:line="360" w:lineRule="auto"/>
        <w:rPr>
          <w:rFonts w:ascii="Arial" w:hAnsi="Arial" w:cs="Arial"/>
          <w:color w:val="000000" w:themeColor="text1"/>
          <w:sz w:val="36"/>
          <w:szCs w:val="36"/>
        </w:rPr>
      </w:pPr>
      <w:r w:rsidRPr="00847B57">
        <w:rPr>
          <w:rFonts w:ascii="Arial" w:eastAsia="Times New Roman" w:hAnsi="Arial" w:cs="Arial"/>
          <w:sz w:val="36"/>
          <w:szCs w:val="36"/>
        </w:rPr>
        <w:t>Epidemiological Analysis of Type 2 Diabetes Mellitus Inequalities in Birmingham: A Regional Public Health Report</w:t>
      </w:r>
    </w:p>
    <w:p w14:paraId="7124A351" w14:textId="77777777" w:rsidR="004304CB" w:rsidRPr="00586DBE" w:rsidRDefault="004304CB"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Introduction</w:t>
      </w:r>
    </w:p>
    <w:p w14:paraId="259A52EA" w14:textId="6AEDC4EA" w:rsidR="004304CB" w:rsidRPr="00197589" w:rsidRDefault="004304CB" w:rsidP="00197589">
      <w:pPr>
        <w:pStyle w:val="Heading2"/>
        <w:spacing w:before="200" w:after="100" w:line="360" w:lineRule="auto"/>
        <w:rPr>
          <w:rFonts w:ascii="Arial" w:hAnsi="Arial" w:cs="Arial"/>
          <w:color w:val="000000" w:themeColor="text1"/>
          <w:sz w:val="22"/>
          <w:szCs w:val="22"/>
        </w:rPr>
      </w:pPr>
      <w:r w:rsidRPr="00197589">
        <w:rPr>
          <w:rFonts w:ascii="Arial" w:hAnsi="Arial" w:cs="Arial"/>
          <w:color w:val="000000" w:themeColor="text1"/>
          <w:sz w:val="22"/>
          <w:szCs w:val="22"/>
        </w:rPr>
        <w:t>Definition</w:t>
      </w:r>
      <w:r w:rsidR="000E56F8">
        <w:rPr>
          <w:rFonts w:ascii="Arial" w:hAnsi="Arial" w:cs="Arial"/>
          <w:color w:val="000000" w:themeColor="text1"/>
          <w:sz w:val="22"/>
          <w:szCs w:val="22"/>
        </w:rPr>
        <w:t>:</w:t>
      </w:r>
    </w:p>
    <w:p w14:paraId="2C6B917B" w14:textId="43E972D6"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Type 2 diabetes mellitus (T2DM) is a chronic metabolic condition in which the body becomes resistant to insulin or fails to produce enough of it, resulting in persistently raised blood glucose (National Institute for Health and Care Excellence [NICE], 2022). It accounts for roughly 90% of all diabetes diagnoses in the UK (Diabetes UK, 2025a). Health consequences include microvascular complications such as retinopathy, neuropathy and nephropathy, and macrovascular complications including stroke, heart attack and peripheral vascular disease leading to amputation; diabetes contributes to over 184 amputations, 700 heart attacks and 1,010 strokes every week in the UK (Diabetes UK, 2025). Socially, T2DM is associated with reduced working capacity, dietary and lifestyle stigma, and psychological burden from lifelong self-management</w:t>
      </w:r>
      <w:r w:rsidR="00072198">
        <w:rPr>
          <w:rFonts w:ascii="Arial" w:hAnsi="Arial" w:cs="Arial"/>
          <w:color w:val="000000" w:themeColor="text1"/>
          <w:sz w:val="22"/>
          <w:szCs w:val="22"/>
        </w:rPr>
        <w:t>.</w:t>
      </w:r>
      <w:r w:rsidR="00072198" w:rsidRPr="00E812D2">
        <w:rPr>
          <w:rFonts w:ascii="Arial" w:hAnsi="Arial" w:cs="Arial"/>
          <w:color w:val="000000" w:themeColor="text1"/>
          <w:sz w:val="22"/>
          <w:szCs w:val="22"/>
        </w:rPr>
        <w:t xml:space="preserve"> </w:t>
      </w:r>
      <w:r w:rsidR="0007058D" w:rsidRPr="00E812D2">
        <w:rPr>
          <w:rFonts w:ascii="Arial" w:eastAsia="Times New Roman" w:hAnsi="Arial" w:cs="Arial"/>
          <w:sz w:val="22"/>
          <w:szCs w:val="22"/>
        </w:rPr>
        <w:t>It disproportionately affects South Asian and Black communities, where culturally shaped dietary practices, socioeconomic factors and differing health beliefs may influence engagement with lifestyle interventions (Goff, 2019).</w:t>
      </w:r>
      <w:r w:rsidRPr="00E812D2">
        <w:rPr>
          <w:rFonts w:ascii="Arial" w:hAnsi="Arial" w:cs="Arial"/>
          <w:color w:val="000000" w:themeColor="text1"/>
          <w:sz w:val="22"/>
          <w:szCs w:val="22"/>
        </w:rPr>
        <w:t xml:space="preserve"> </w:t>
      </w:r>
      <w:r w:rsidRPr="00197589">
        <w:rPr>
          <w:rFonts w:ascii="Arial" w:hAnsi="Arial" w:cs="Arial"/>
          <w:color w:val="000000" w:themeColor="text1"/>
          <w:sz w:val="22"/>
          <w:szCs w:val="22"/>
        </w:rPr>
        <w:t>Economically, diabetes complications cost the NHS an estimated £10 billion annually, around 10% of the total NHS budget (Au-Yeung et al., 2024).</w:t>
      </w:r>
    </w:p>
    <w:p w14:paraId="35B8F78C"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Incidence and Prevalence</w:t>
      </w:r>
    </w:p>
    <w:p w14:paraId="7FB86C21" w14:textId="315822B9" w:rsidR="004304CB" w:rsidRPr="00197589" w:rsidRDefault="004304CB" w:rsidP="00A24B7E">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Globally, the 11th IDF Diabetes Atlas estimates that 11.1% of adults aged 20-79 were living with diabetes in 2024 (589 million people, or 1 in 9 adults), a figure projected to reach 853 million by 2050, with 43% of cases currently undiagnosed (International Diabetes Federation [IDF], 2025). In the UK, diagnosed diabetes prevalence reached an all-time high of 4.6-4.8 million people in 2025, roughly 1 in 16 of the population, with a further 6.3 million people estimated to have prediabetes (Diabetes UK, 2025). Locally, Birmingham's prevalence is markedly higher than the England average: diagnosed diabetes among adults rose from 6.6% in 2009/10 to 9.1% in 2021/22, against a national range of 5.4-7.3% over the same period (Au-</w:t>
      </w:r>
      <w:r w:rsidRPr="00197589">
        <w:rPr>
          <w:rFonts w:ascii="Arial" w:hAnsi="Arial" w:cs="Arial"/>
          <w:color w:val="000000" w:themeColor="text1"/>
          <w:sz w:val="22"/>
          <w:szCs w:val="22"/>
        </w:rPr>
        <w:lastRenderedPageBreak/>
        <w:t xml:space="preserve">Yeung et al., 2024). This makes Birmingham, a diverse city of over 1.1 million people with high levels of deprivation and a large South Asian population, an appropriate and data-rich population at which to target this analysis </w:t>
      </w:r>
      <w:r w:rsidR="000C40EB">
        <w:rPr>
          <w:rFonts w:ascii="Arial" w:hAnsi="Arial" w:cs="Arial"/>
          <w:color w:val="000000" w:themeColor="text1"/>
          <w:sz w:val="22"/>
          <w:szCs w:val="22"/>
        </w:rPr>
        <w:t>(</w:t>
      </w:r>
      <w:r w:rsidR="0096425D">
        <w:rPr>
          <w:rFonts w:ascii="Arial" w:hAnsi="Arial" w:cs="Arial"/>
          <w:color w:val="000000" w:themeColor="text1"/>
          <w:sz w:val="22"/>
          <w:szCs w:val="22"/>
        </w:rPr>
        <w:t>Office for National Statistics, 2023</w:t>
      </w:r>
      <w:r w:rsidR="002C043F">
        <w:rPr>
          <w:rFonts w:ascii="Arial" w:hAnsi="Arial" w:cs="Arial"/>
          <w:color w:val="000000" w:themeColor="text1"/>
          <w:sz w:val="22"/>
          <w:szCs w:val="22"/>
        </w:rPr>
        <w:t>)</w:t>
      </w:r>
      <w:r w:rsidR="000C40EB">
        <w:rPr>
          <w:rFonts w:ascii="Arial" w:hAnsi="Arial" w:cs="Arial"/>
          <w:color w:val="000000" w:themeColor="text1"/>
          <w:sz w:val="22"/>
          <w:szCs w:val="22"/>
        </w:rPr>
        <w:t>.</w:t>
      </w:r>
    </w:p>
    <w:p w14:paraId="61192CB1"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Determinants and Risk Factors</w:t>
      </w:r>
    </w:p>
    <w:p w14:paraId="1DD46223" w14:textId="77777777"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The principal modifiable risk factors for T2DM are overweight/obesity, physical inactivity and poor diet, while non-modifiable risk factors include age, family history and ethnicity (NICE, 2022). Evidence from Birmingham NHS Health Checks (2018-2023, n=108,514) found diabetes prevalence of 4.9% among Asian attendees compared with 1.5% among White attendees, with Asian ethnicity carrying more than five times the odds of diabetes (prevalence odds ratio 5.43) and Black ethnicity over three times the odds (POR 3.15), after adjusting for age, BMI, smoking and other factors (Au-Yeung et al., 2024). Socioeconomic deprivation compounded this risk: attributable fraction analysis estimated that 64% of diabetes cases in Birmingham could be attributed to deprivation, and the interaction between deprivation and ethnicity was particularly severe, with Asian attendees in the most deprived quintile facing over nine times the odds of diabetes compared with White attendees in the least deprived quintile (Au-Yeung et al., 2024).</w:t>
      </w:r>
    </w:p>
    <w:p w14:paraId="77C59867"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Epidemiological Studies and Health Needs Assessment</w:t>
      </w:r>
    </w:p>
    <w:p w14:paraId="21D6EAF8" w14:textId="7CFB94AF" w:rsidR="00E05722" w:rsidRPr="00FC257A" w:rsidRDefault="00E05722" w:rsidP="00FC257A">
      <w:pPr>
        <w:spacing w:line="360" w:lineRule="auto"/>
        <w:rPr>
          <w:rFonts w:ascii="Arial" w:hAnsi="Arial" w:cs="Arial"/>
          <w:sz w:val="22"/>
          <w:szCs w:val="22"/>
        </w:rPr>
      </w:pPr>
      <w:r>
        <w:t xml:space="preserve">Identifying individuals affected by, or at increased risk of, T2DM in Birmingham has </w:t>
      </w:r>
      <w:r w:rsidRPr="00FC257A">
        <w:rPr>
          <w:rFonts w:ascii="Arial" w:hAnsi="Arial" w:cs="Arial"/>
          <w:sz w:val="22"/>
          <w:szCs w:val="22"/>
        </w:rPr>
        <w:t>relied heavily on routinely collected NHS Health Check data. Since 2009, NHS Health Checks have screened adults aged 40–74 years without established cardiovascular disease to identify risk factors, including diabetes risk (Au-Yeung et al., 2024). This large observational dataset provides an important health needs assessment by demonstrating that diabetes risk is concentrated among populations experiencing deprivation and within areas with higher proportions of South Asian and Black communities, including parts of East and North Birmingham. Supporting evidence from the E-ECHOES</w:t>
      </w:r>
      <w:r w:rsidR="007B2E56">
        <w:rPr>
          <w:rFonts w:ascii="Arial" w:hAnsi="Arial" w:cs="Arial"/>
          <w:sz w:val="22"/>
          <w:szCs w:val="22"/>
        </w:rPr>
        <w:t xml:space="preserve"> </w:t>
      </w:r>
      <w:r w:rsidR="00BB7E07">
        <w:rPr>
          <w:rFonts w:ascii="Arial" w:hAnsi="Arial" w:cs="Arial"/>
          <w:sz w:val="22"/>
          <w:szCs w:val="22"/>
        </w:rPr>
        <w:t>(Ethnic-Echocardiographic Heart of England Screening Study</w:t>
      </w:r>
      <w:r w:rsidR="00E2468C">
        <w:rPr>
          <w:rFonts w:ascii="Arial" w:hAnsi="Arial" w:cs="Arial"/>
          <w:sz w:val="22"/>
          <w:szCs w:val="22"/>
        </w:rPr>
        <w:t>)</w:t>
      </w:r>
      <w:r w:rsidR="007B2E56">
        <w:rPr>
          <w:rFonts w:ascii="Arial" w:hAnsi="Arial" w:cs="Arial"/>
          <w:sz w:val="22"/>
          <w:szCs w:val="22"/>
        </w:rPr>
        <w:t xml:space="preserve"> </w:t>
      </w:r>
      <w:r w:rsidRPr="00FC257A">
        <w:rPr>
          <w:rFonts w:ascii="Arial" w:hAnsi="Arial" w:cs="Arial"/>
          <w:sz w:val="22"/>
          <w:szCs w:val="22"/>
        </w:rPr>
        <w:t xml:space="preserve">screening study, involving over 5,000 South Asian and Black African-Caribbean adults recruited through Birmingham primary care, identified high levels of </w:t>
      </w:r>
      <w:r w:rsidR="00FC257A" w:rsidRPr="00FC257A">
        <w:rPr>
          <w:rFonts w:ascii="Arial" w:hAnsi="Arial" w:cs="Arial"/>
          <w:sz w:val="22"/>
          <w:szCs w:val="22"/>
        </w:rPr>
        <w:t>cardio metabolic</w:t>
      </w:r>
      <w:r w:rsidRPr="00FC257A">
        <w:rPr>
          <w:rFonts w:ascii="Arial" w:hAnsi="Arial" w:cs="Arial"/>
          <w:sz w:val="22"/>
          <w:szCs w:val="22"/>
        </w:rPr>
        <w:t xml:space="preserve"> risk and reinforced the importance of ethnicity-sensitive case finding (Tillin et al., 2012). However, reliance on routine healthcare datasets may underestimate true disease burden because individuals with limited healthcare engagement or barriers to accessing services are less likely to be identified. Therefore, combining epidemiological surveillance with Joint Strategic Needs Assessment data enables Birmingham City Council and its Integrated Care Board to target resources according to population need rather than applying a universal approach.</w:t>
      </w:r>
    </w:p>
    <w:p w14:paraId="584ABA6C" w14:textId="77777777" w:rsidR="00E225F6" w:rsidRDefault="004304CB" w:rsidP="00E225F6">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lastRenderedPageBreak/>
        <w:t>Surveillance and Monitoring Systems</w:t>
      </w:r>
    </w:p>
    <w:p w14:paraId="2519A4DA" w14:textId="2BF1049D" w:rsidR="009C1A33" w:rsidRPr="00E225F6" w:rsidRDefault="009C1A33" w:rsidP="00E225F6">
      <w:pPr>
        <w:pStyle w:val="Heading2"/>
        <w:spacing w:before="200" w:after="100" w:line="360" w:lineRule="auto"/>
        <w:rPr>
          <w:rFonts w:ascii="Arial" w:hAnsi="Arial" w:cs="Arial"/>
          <w:b/>
          <w:bCs/>
          <w:color w:val="000000" w:themeColor="text1"/>
          <w:sz w:val="22"/>
          <w:szCs w:val="22"/>
        </w:rPr>
      </w:pPr>
      <w:r w:rsidRPr="00E225F6">
        <w:rPr>
          <w:rFonts w:ascii="Arial" w:hAnsi="Arial" w:cs="Arial"/>
          <w:color w:val="000000" w:themeColor="text1"/>
          <w:sz w:val="22"/>
          <w:szCs w:val="22"/>
        </w:rPr>
        <w:t xml:space="preserve">Several complementary surveillance systems are used to monitor Type 2 diabetes mellitus (T2DM) in Birmingham and across England. The </w:t>
      </w:r>
      <w:r w:rsidRPr="00E225F6">
        <w:rPr>
          <w:rStyle w:val="Strong"/>
          <w:rFonts w:ascii="Arial" w:hAnsi="Arial" w:cs="Arial"/>
          <w:b w:val="0"/>
          <w:bCs w:val="0"/>
          <w:color w:val="000000" w:themeColor="text1"/>
          <w:sz w:val="22"/>
          <w:szCs w:val="22"/>
        </w:rPr>
        <w:t>National Diabetes Audit (NDA)</w:t>
      </w:r>
      <w:r w:rsidRPr="00E225F6">
        <w:rPr>
          <w:rFonts w:ascii="Arial" w:hAnsi="Arial" w:cs="Arial"/>
          <w:b/>
          <w:bCs/>
          <w:color w:val="000000" w:themeColor="text1"/>
          <w:sz w:val="22"/>
          <w:szCs w:val="22"/>
        </w:rPr>
        <w:t xml:space="preserve"> </w:t>
      </w:r>
      <w:r w:rsidRPr="00E225F6">
        <w:rPr>
          <w:rFonts w:ascii="Arial" w:hAnsi="Arial" w:cs="Arial"/>
          <w:color w:val="000000" w:themeColor="text1"/>
          <w:sz w:val="22"/>
          <w:szCs w:val="22"/>
        </w:rPr>
        <w:t xml:space="preserve">provides population-level data from primary care records, measuring diabetes prevalence, completion of recommended care processes and achievement of treatment targets, including glycaemic control, blood pressure and cholesterol management (NHS England, 2024). The </w:t>
      </w:r>
      <w:r w:rsidRPr="00E225F6">
        <w:rPr>
          <w:rStyle w:val="Strong"/>
          <w:rFonts w:ascii="Arial" w:hAnsi="Arial" w:cs="Arial"/>
          <w:b w:val="0"/>
          <w:bCs w:val="0"/>
          <w:color w:val="000000" w:themeColor="text1"/>
          <w:sz w:val="22"/>
          <w:szCs w:val="22"/>
        </w:rPr>
        <w:t>Quality and Outcomes Framework (QOF)</w:t>
      </w:r>
      <w:r w:rsidRPr="00E225F6">
        <w:rPr>
          <w:rFonts w:ascii="Arial" w:hAnsi="Arial" w:cs="Arial"/>
          <w:color w:val="000000" w:themeColor="text1"/>
          <w:sz w:val="22"/>
          <w:szCs w:val="22"/>
        </w:rPr>
        <w:t xml:space="preserve"> also supports monitoring by incentivising general practices to maintain accurate diabetes registers and record key clinical outcomes (NHS England, 2023). At a national and international level, the </w:t>
      </w:r>
      <w:r w:rsidRPr="00E225F6">
        <w:rPr>
          <w:rStyle w:val="Strong"/>
          <w:rFonts w:ascii="Arial" w:hAnsi="Arial" w:cs="Arial"/>
          <w:b w:val="0"/>
          <w:bCs w:val="0"/>
          <w:color w:val="000000" w:themeColor="text1"/>
          <w:sz w:val="22"/>
          <w:szCs w:val="22"/>
        </w:rPr>
        <w:t>Office for Health Improvement and Disparities (OHID) Diabetes Profile</w:t>
      </w:r>
      <w:r w:rsidRPr="00E225F6">
        <w:rPr>
          <w:rFonts w:ascii="Arial" w:hAnsi="Arial" w:cs="Arial"/>
          <w:color w:val="000000" w:themeColor="text1"/>
          <w:sz w:val="22"/>
          <w:szCs w:val="22"/>
        </w:rPr>
        <w:t xml:space="preserve">, alongside the </w:t>
      </w:r>
      <w:r w:rsidRPr="00E225F6">
        <w:rPr>
          <w:rStyle w:val="Strong"/>
          <w:rFonts w:ascii="Arial" w:hAnsi="Arial" w:cs="Arial"/>
          <w:b w:val="0"/>
          <w:bCs w:val="0"/>
          <w:color w:val="000000" w:themeColor="text1"/>
          <w:sz w:val="22"/>
          <w:szCs w:val="22"/>
        </w:rPr>
        <w:t>International Diabetes Federation Diabetes Atlas</w:t>
      </w:r>
      <w:r w:rsidRPr="00E225F6">
        <w:rPr>
          <w:rFonts w:ascii="Arial" w:hAnsi="Arial" w:cs="Arial"/>
          <w:b/>
          <w:bCs/>
          <w:color w:val="000000" w:themeColor="text1"/>
          <w:sz w:val="22"/>
          <w:szCs w:val="22"/>
        </w:rPr>
        <w:t xml:space="preserve">, </w:t>
      </w:r>
      <w:r w:rsidRPr="00E225F6">
        <w:rPr>
          <w:rFonts w:ascii="Arial" w:hAnsi="Arial" w:cs="Arial"/>
          <w:color w:val="000000" w:themeColor="text1"/>
          <w:sz w:val="22"/>
          <w:szCs w:val="22"/>
        </w:rPr>
        <w:t>enables comparison of prevalence trends, complications and inequalities between populations (OHID, 2024; IDF, 2025). However, these surveillance systems have limitations, as they rely heavily on diagnosed cases and healthcare engagement, meaning individuals with undiagnosed diabetes or limited access to services may remain underrepresented. Therefore, epidemiological data may underestimate the true burden of T2DM, particularly among disadvantaged communities.</w:t>
      </w:r>
    </w:p>
    <w:p w14:paraId="4155E4AF" w14:textId="77777777" w:rsidR="004304CB"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Public Health Measures: Prevention, Protection and Promotion</w:t>
      </w:r>
    </w:p>
    <w:p w14:paraId="7E1A40A3" w14:textId="47FAC9A4" w:rsidR="00870068" w:rsidRPr="004628DC" w:rsidRDefault="00870068" w:rsidP="004628DC">
      <w:pPr>
        <w:spacing w:line="360" w:lineRule="auto"/>
        <w:rPr>
          <w:rFonts w:ascii="Arial" w:hAnsi="Arial" w:cs="Arial"/>
          <w:sz w:val="22"/>
          <w:szCs w:val="22"/>
        </w:rPr>
      </w:pPr>
      <w:r w:rsidRPr="004628DC">
        <w:rPr>
          <w:rFonts w:ascii="Arial" w:hAnsi="Arial" w:cs="Arial"/>
          <w:sz w:val="22"/>
          <w:szCs w:val="22"/>
        </w:rPr>
        <w:t xml:space="preserve">Prevention in Birmingham centres on the Healthier You: NHS Diabetes Prevention Programme (NHS DPP), a structured lifestyle intervention for adults with non-diabetic hyperglycaemia, alongside NHS Health Checks to identify those at increased risk (Valabhji et al., 2020). However, uptake remains unequal, with disadvantaged groups facing greater barriers. Protection involves community-based support and culturally appropriate prevention services. The Fairer Futures Fund has supported grassroots initiatives, including workshops delivered in West Birmingham by Communities Engage and Thrive and Saathi House, improving blood glucose management and self-management skills. Funding has also supported organisations such as Witton </w:t>
      </w:r>
      <w:r w:rsidR="004628DC" w:rsidRPr="004628DC">
        <w:rPr>
          <w:rFonts w:ascii="Arial" w:hAnsi="Arial" w:cs="Arial"/>
          <w:sz w:val="22"/>
          <w:szCs w:val="22"/>
        </w:rPr>
        <w:t>Lodge Community Association to deliver behavioural change and Type 2 diabetes prevention programmes (Birmingham and Solihull Integrated Care System, 2025). However, behaviour change alone cannot overcome structural barriers including poverty, food affordability and unequal access. Promotion includes Diabetes UK and Birmingham City Council campaigns, alongside culturally appropriate community and faith-based outreach targeting higher-risk South Asian and Black communities (Au-Yeung et al., 2024). Overall, the three Ps highlight the need to combine clinical prevention, community engagement and action on wider social determinants such as deprivation and digital exclusion.</w:t>
      </w:r>
    </w:p>
    <w:p w14:paraId="17E7538B"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lastRenderedPageBreak/>
        <w:t>Public Health Impact</w:t>
      </w:r>
    </w:p>
    <w:p w14:paraId="207CBB43" w14:textId="7DC014E7"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In the short term, undiagnosed or poorly controlled diabetes increases acute hospital presentations, including diabetic ketoacidosis and hypoglycaemic emergencies, and places pressure on primary care capacity already strained by rising prevalence (</w:t>
      </w:r>
      <w:r w:rsidR="00935135">
        <w:rPr>
          <w:rFonts w:ascii="Arial" w:hAnsi="Arial" w:cs="Arial"/>
          <w:color w:val="000000" w:themeColor="text1"/>
          <w:sz w:val="22"/>
          <w:szCs w:val="22"/>
        </w:rPr>
        <w:t>Office for Health Improvement and Disparities</w:t>
      </w:r>
      <w:r w:rsidR="006D7F58">
        <w:rPr>
          <w:rFonts w:ascii="Arial" w:hAnsi="Arial" w:cs="Arial"/>
          <w:color w:val="000000" w:themeColor="text1"/>
          <w:sz w:val="22"/>
          <w:szCs w:val="22"/>
        </w:rPr>
        <w:t xml:space="preserve">, </w:t>
      </w:r>
      <w:r w:rsidR="00935135">
        <w:rPr>
          <w:rFonts w:ascii="Arial" w:hAnsi="Arial" w:cs="Arial"/>
          <w:color w:val="000000" w:themeColor="text1"/>
          <w:sz w:val="22"/>
          <w:szCs w:val="22"/>
        </w:rPr>
        <w:t>2024)</w:t>
      </w:r>
      <w:r w:rsidRPr="00197589">
        <w:rPr>
          <w:rFonts w:ascii="Arial" w:hAnsi="Arial" w:cs="Arial"/>
          <w:color w:val="000000" w:themeColor="text1"/>
          <w:sz w:val="22"/>
          <w:szCs w:val="22"/>
        </w:rPr>
        <w:t>. In the longer term, the disease drives premature mortality, with diabetes contributing to an estimated 7,000 excess deaths in the UK in 2022,</w:t>
      </w:r>
      <w:r w:rsidR="0015131F" w:rsidRPr="0015131F">
        <w:rPr>
          <w:rFonts w:eastAsia="Times New Roman"/>
        </w:rPr>
        <w:t xml:space="preserve"> </w:t>
      </w:r>
      <w:r w:rsidRPr="00197589">
        <w:rPr>
          <w:rFonts w:ascii="Arial" w:hAnsi="Arial" w:cs="Arial"/>
          <w:color w:val="000000" w:themeColor="text1"/>
          <w:sz w:val="22"/>
          <w:szCs w:val="22"/>
        </w:rPr>
        <w:t>and drives cumulative disability through microvascular and macrovascular complications, reducing healthy life expectancy disproportionately among deprived and minority ethnic populations in cities such as Birmingham (Au-Yeung et al., 2024). The wider health and social care system bears a substantial cost burden, estimated at around 10% of the total NHS budget, alongside indirect costs from lost productivity and informal care (Au-Yeung et al., 2024).</w:t>
      </w:r>
    </w:p>
    <w:p w14:paraId="6C28C2EB" w14:textId="77777777" w:rsidR="004304CB"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Designing and Evaluating an Intervention</w:t>
      </w:r>
    </w:p>
    <w:p w14:paraId="3EDB7E2E" w14:textId="39906FFD" w:rsidR="00A17725" w:rsidRPr="00F02A01" w:rsidRDefault="00A17725" w:rsidP="00F02A01">
      <w:pPr>
        <w:spacing w:line="360" w:lineRule="auto"/>
        <w:rPr>
          <w:rFonts w:ascii="Arial" w:hAnsi="Arial" w:cs="Arial"/>
          <w:sz w:val="22"/>
          <w:szCs w:val="22"/>
        </w:rPr>
      </w:pPr>
      <w:r w:rsidRPr="00F02A01">
        <w:rPr>
          <w:rFonts w:ascii="Arial" w:hAnsi="Arial" w:cs="Arial"/>
          <w:sz w:val="22"/>
          <w:szCs w:val="22"/>
        </w:rPr>
        <w:t xml:space="preserve">Given the higher diabetes risk among deprived, South Asian and Black communities in Birmingham, a targeted intervention is proposed: culturally adapted NHS DPP delivery co-designed with local faith and community organisations, alongside proactive NHS Health Check invitations in high-risk wards identified by Au-Yeung et al. (2024). </w:t>
      </w:r>
      <w:r w:rsidR="00FC264C">
        <w:rPr>
          <w:rFonts w:ascii="Arial" w:hAnsi="Arial" w:cs="Arial"/>
          <w:sz w:val="22"/>
          <w:szCs w:val="22"/>
        </w:rPr>
        <w:t>Evidence from NHS DPP evaluations suggests potential impact, with early programme data reporting mean weight loss of 3.3kg among completers, while the DIPLOMA evaluation found the programme effective and broadly cost-effective (Valabhji et al., 2020; Bower et al., 2025). However, digital inequalities affecting remote delivery highlight the need for accessible community-based approaches when implementing interventions in disadvantaged populations.</w:t>
      </w:r>
      <w:r w:rsidRPr="00F02A01">
        <w:rPr>
          <w:rFonts w:ascii="Arial" w:hAnsi="Arial" w:cs="Arial"/>
          <w:sz w:val="22"/>
          <w:szCs w:val="22"/>
        </w:rPr>
        <w:t xml:space="preserve"> </w:t>
      </w:r>
      <w:r w:rsidR="00F02A01" w:rsidRPr="00F02A01">
        <w:rPr>
          <w:rFonts w:ascii="Arial" w:hAnsi="Arial" w:cs="Arial"/>
          <w:sz w:val="22"/>
          <w:szCs w:val="22"/>
        </w:rPr>
        <w:t>Evaluation should assess uptake, completion, HbA1c and weight changes, diabetes progression, and whether inequalities between deprived and minority communities reduce over time through linked NDA and local Health Check data.</w:t>
      </w:r>
    </w:p>
    <w:p w14:paraId="616D8FCA"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Strengths and Weaknesses of the Epidemiological Approach</w:t>
      </w:r>
    </w:p>
    <w:p w14:paraId="43322F72" w14:textId="5ECE0BC1"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This analysis draws strength from using large, routinely collected, population-level datasets (NHS Health Checks, NDA, QOF) that allow robust identification of at-risk subgroups and continuous monitoring at low marginal cost. </w:t>
      </w:r>
      <w:r w:rsidR="0019639F">
        <w:rPr>
          <w:rFonts w:ascii="Arial" w:hAnsi="Arial" w:cs="Arial"/>
          <w:color w:val="000000" w:themeColor="text1"/>
          <w:sz w:val="22"/>
          <w:szCs w:val="22"/>
        </w:rPr>
        <w:t>Triangulating local, national and global data strengthens interpretation and comparison.</w:t>
      </w:r>
      <w:r w:rsidRPr="00197589">
        <w:rPr>
          <w:rFonts w:ascii="Arial" w:hAnsi="Arial" w:cs="Arial"/>
          <w:color w:val="000000" w:themeColor="text1"/>
          <w:sz w:val="22"/>
          <w:szCs w:val="22"/>
        </w:rPr>
        <w:t xml:space="preserve"> However, several weaknesses limit certainty. NHS Health Check attendance is voluntary and subject to selection bias, as those most at risk may be least likely to attend, potentially underestimating true prevalence (Au-Yeung et al., 2024). Diagnosed prevalence figures, whether from the NDA or QOF, systematically miss the substantial undiagnosed population, estimated at up to 1.3 million people nationally, meaning true need in Birmingham is likely higher than recorded (Diabetes UK, 2025). Cross-sectional </w:t>
      </w:r>
      <w:r w:rsidRPr="00197589">
        <w:rPr>
          <w:rFonts w:ascii="Arial" w:hAnsi="Arial" w:cs="Arial"/>
          <w:color w:val="000000" w:themeColor="text1"/>
          <w:sz w:val="22"/>
          <w:szCs w:val="22"/>
        </w:rPr>
        <w:lastRenderedPageBreak/>
        <w:t xml:space="preserve">analyses such as Au-Yeung et al. (2024) can identify association but not prove causation between deprivation, ethnicity and diabetes risk, and residual confounding from unmeasured factors such as diet quality or acculturation cannot be excluded. </w:t>
      </w:r>
    </w:p>
    <w:p w14:paraId="7752F3F0" w14:textId="77777777" w:rsidR="004304CB" w:rsidRPr="00586DBE" w:rsidRDefault="004304CB"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Conclusion</w:t>
      </w:r>
    </w:p>
    <w:p w14:paraId="446541FD" w14:textId="4F13FDC3" w:rsidR="004304CB"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Type 2 diabetes represents a substantial and growing public health burden in Birmingham, driven by an interaction between socioeconomic deprivation and ethnicity that produces prevalence considerably above the national average. Robust surveillance through NHS Health Checks, the National Diabetes Audit and QOF has enabled precise identification of at-risk populations, supporting a case for culturally tailored, community-located prevention and early-detection interventions. While the epidemiological evidence base is strong, its reliance on routinely collected and voluntary-attendance data means true prevalence and need are likely underestimated, and rigorous local evaluation alongside national programmes remains essential to closing the inequality gap.</w:t>
      </w:r>
      <w:r w:rsidR="003A21B6">
        <w:rPr>
          <w:rFonts w:ascii="Arial" w:hAnsi="Arial" w:cs="Arial"/>
          <w:color w:val="000000" w:themeColor="text1"/>
          <w:sz w:val="22"/>
          <w:szCs w:val="22"/>
        </w:rPr>
        <w:t xml:space="preserve"> Therefore, while epidemiological methods are essential for identifying patterns of disease distribution, reducing diabetes inequalities requires integration of population data with community knowledge and action on wider social determinants of health.</w:t>
      </w:r>
    </w:p>
    <w:p w14:paraId="49EBD13E" w14:textId="77777777" w:rsidR="00921BAD" w:rsidRDefault="00921BAD" w:rsidP="00197589">
      <w:pPr>
        <w:spacing w:line="360" w:lineRule="auto"/>
        <w:jc w:val="both"/>
        <w:rPr>
          <w:rFonts w:ascii="Arial" w:hAnsi="Arial" w:cs="Arial"/>
          <w:color w:val="000000" w:themeColor="text1"/>
          <w:sz w:val="22"/>
          <w:szCs w:val="22"/>
        </w:rPr>
      </w:pPr>
    </w:p>
    <w:p w14:paraId="5089F095" w14:textId="77777777" w:rsidR="00921BAD" w:rsidRDefault="00921BAD" w:rsidP="00197589">
      <w:pPr>
        <w:spacing w:line="360" w:lineRule="auto"/>
        <w:jc w:val="both"/>
        <w:rPr>
          <w:rFonts w:ascii="Arial" w:hAnsi="Arial" w:cs="Arial"/>
          <w:color w:val="000000" w:themeColor="text1"/>
          <w:sz w:val="22"/>
          <w:szCs w:val="22"/>
        </w:rPr>
      </w:pPr>
    </w:p>
    <w:p w14:paraId="53277920" w14:textId="77777777" w:rsidR="00921BAD" w:rsidRDefault="00921BAD" w:rsidP="00197589">
      <w:pPr>
        <w:spacing w:line="360" w:lineRule="auto"/>
        <w:jc w:val="both"/>
        <w:rPr>
          <w:rFonts w:ascii="Arial" w:hAnsi="Arial" w:cs="Arial"/>
          <w:color w:val="000000" w:themeColor="text1"/>
          <w:sz w:val="22"/>
          <w:szCs w:val="22"/>
        </w:rPr>
      </w:pPr>
    </w:p>
    <w:p w14:paraId="463003B1" w14:textId="77777777" w:rsidR="00921BAD" w:rsidRDefault="00921BAD" w:rsidP="00197589">
      <w:pPr>
        <w:spacing w:line="360" w:lineRule="auto"/>
        <w:jc w:val="both"/>
        <w:rPr>
          <w:rFonts w:ascii="Arial" w:hAnsi="Arial" w:cs="Arial"/>
          <w:color w:val="000000" w:themeColor="text1"/>
          <w:sz w:val="22"/>
          <w:szCs w:val="22"/>
        </w:rPr>
      </w:pPr>
    </w:p>
    <w:p w14:paraId="3DF211FD" w14:textId="77777777" w:rsidR="00921BAD" w:rsidRDefault="00921BAD" w:rsidP="00197589">
      <w:pPr>
        <w:spacing w:line="360" w:lineRule="auto"/>
        <w:jc w:val="both"/>
        <w:rPr>
          <w:rFonts w:ascii="Arial" w:hAnsi="Arial" w:cs="Arial"/>
          <w:color w:val="000000" w:themeColor="text1"/>
          <w:sz w:val="22"/>
          <w:szCs w:val="22"/>
        </w:rPr>
      </w:pPr>
    </w:p>
    <w:p w14:paraId="77C5DD0B"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4036C6B3" w14:textId="77777777" w:rsidR="000E56F8" w:rsidRDefault="000E56F8" w:rsidP="000E56F8"/>
    <w:p w14:paraId="0448D132" w14:textId="77777777" w:rsidR="006E6EBC" w:rsidRDefault="006E6EBC" w:rsidP="000E56F8"/>
    <w:p w14:paraId="7F120D0F" w14:textId="77777777" w:rsidR="006E6EBC" w:rsidRPr="000E56F8" w:rsidRDefault="006E6EBC" w:rsidP="000E56F8"/>
    <w:p w14:paraId="2AADFB29"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4F3BB20B"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667F45CF" w14:textId="5B0AFA93" w:rsidR="00C74B35" w:rsidRPr="00697184" w:rsidRDefault="004304CB" w:rsidP="00697184">
      <w:pPr>
        <w:pStyle w:val="Heading1"/>
        <w:spacing w:before="240" w:after="120" w:line="360" w:lineRule="auto"/>
        <w:rPr>
          <w:rFonts w:ascii="Arial" w:hAnsi="Arial" w:cs="Arial"/>
          <w:b/>
          <w:bCs/>
          <w:color w:val="000000" w:themeColor="text1"/>
          <w:sz w:val="22"/>
          <w:szCs w:val="22"/>
        </w:rPr>
      </w:pPr>
      <w:r w:rsidRPr="00697184">
        <w:rPr>
          <w:rFonts w:ascii="Arial" w:hAnsi="Arial" w:cs="Arial"/>
          <w:b/>
          <w:bCs/>
          <w:color w:val="000000" w:themeColor="text1"/>
          <w:sz w:val="22"/>
          <w:szCs w:val="22"/>
        </w:rPr>
        <w:t xml:space="preserve">Reference </w:t>
      </w:r>
    </w:p>
    <w:p w14:paraId="3BA5FD27" w14:textId="67E08CFE"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Age UK (</w:t>
      </w:r>
      <w:r w:rsidR="00A07C5B">
        <w:rPr>
          <w:rFonts w:ascii="Arial" w:hAnsi="Arial" w:cs="Arial"/>
          <w:sz w:val="22"/>
          <w:szCs w:val="22"/>
        </w:rPr>
        <w:t>2025a</w:t>
      </w:r>
      <w:r w:rsidRPr="00697184">
        <w:rPr>
          <w:rFonts w:ascii="Arial" w:hAnsi="Arial" w:cs="Arial"/>
          <w:sz w:val="22"/>
          <w:szCs w:val="22"/>
        </w:rPr>
        <w:t xml:space="preserve">) </w:t>
      </w:r>
      <w:r w:rsidRPr="00697184">
        <w:rPr>
          <w:rStyle w:val="Emphasis"/>
          <w:rFonts w:ascii="Arial" w:hAnsi="Arial" w:cs="Arial"/>
          <w:sz w:val="22"/>
          <w:szCs w:val="22"/>
        </w:rPr>
        <w:t>State of Health and Care of Older People in England 2025</w:t>
      </w:r>
      <w:r w:rsidRPr="00697184">
        <w:rPr>
          <w:rFonts w:ascii="Arial" w:hAnsi="Arial" w:cs="Arial"/>
          <w:sz w:val="22"/>
          <w:szCs w:val="22"/>
        </w:rPr>
        <w:t xml:space="preserve">. London: Age UK. Available at: </w:t>
      </w:r>
      <w:hyperlink r:id="rId5" w:history="1">
        <w:r w:rsidRPr="00697184">
          <w:rPr>
            <w:rStyle w:val="Hyperlink"/>
            <w:rFonts w:ascii="Arial" w:hAnsi="Arial" w:cs="Arial"/>
            <w:sz w:val="22"/>
            <w:szCs w:val="22"/>
          </w:rPr>
          <w:t>https://www.ageuk.org.uk/discover/2025/older-people-bearing-brunt-of-rundown-health-and-care-system/</w:t>
        </w:r>
      </w:hyperlink>
      <w:r w:rsidRPr="00697184">
        <w:rPr>
          <w:rFonts w:ascii="Arial" w:hAnsi="Arial" w:cs="Arial"/>
          <w:sz w:val="22"/>
          <w:szCs w:val="22"/>
        </w:rPr>
        <w:t xml:space="preserve"> (Accessed: </w:t>
      </w:r>
      <w:r w:rsidR="008A6F5C">
        <w:rPr>
          <w:rFonts w:ascii="Arial" w:hAnsi="Arial" w:cs="Arial"/>
          <w:sz w:val="22"/>
          <w:szCs w:val="22"/>
        </w:rPr>
        <w:t>5</w:t>
      </w:r>
      <w:r w:rsidRPr="00697184">
        <w:rPr>
          <w:rFonts w:ascii="Arial" w:hAnsi="Arial" w:cs="Arial"/>
          <w:sz w:val="22"/>
          <w:szCs w:val="22"/>
        </w:rPr>
        <w:t xml:space="preserve"> July 2026).</w:t>
      </w:r>
    </w:p>
    <w:p w14:paraId="69ED8AAC" w14:textId="45C42353"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Age UK (</w:t>
      </w:r>
      <w:r w:rsidR="00A07C5B">
        <w:rPr>
          <w:rFonts w:ascii="Arial" w:hAnsi="Arial" w:cs="Arial"/>
          <w:sz w:val="22"/>
          <w:szCs w:val="22"/>
        </w:rPr>
        <w:t>2025b</w:t>
      </w:r>
      <w:r w:rsidRPr="00697184">
        <w:rPr>
          <w:rFonts w:ascii="Arial" w:hAnsi="Arial" w:cs="Arial"/>
          <w:sz w:val="22"/>
          <w:szCs w:val="22"/>
        </w:rPr>
        <w:t xml:space="preserve">) </w:t>
      </w:r>
      <w:r w:rsidRPr="00697184">
        <w:rPr>
          <w:rStyle w:val="Emphasis"/>
          <w:rFonts w:ascii="Arial" w:hAnsi="Arial" w:cs="Arial"/>
          <w:sz w:val="22"/>
          <w:szCs w:val="22"/>
        </w:rPr>
        <w:t>You are not alone in feeling lonely</w:t>
      </w:r>
      <w:r w:rsidRPr="00697184">
        <w:rPr>
          <w:rFonts w:ascii="Arial" w:hAnsi="Arial" w:cs="Arial"/>
          <w:sz w:val="22"/>
          <w:szCs w:val="22"/>
        </w:rPr>
        <w:t xml:space="preserve">. London: Age UK. Available at: </w:t>
      </w:r>
      <w:hyperlink r:id="rId6" w:history="1">
        <w:r w:rsidRPr="00697184">
          <w:rPr>
            <w:rStyle w:val="Hyperlink"/>
            <w:rFonts w:ascii="Arial" w:hAnsi="Arial" w:cs="Arial"/>
            <w:sz w:val="22"/>
            <w:szCs w:val="22"/>
          </w:rPr>
          <w:t>https://www.ageuk.org.uk/information-advice/health-wellbeing/loneliness/</w:t>
        </w:r>
      </w:hyperlink>
      <w:r w:rsidRPr="00697184">
        <w:rPr>
          <w:rFonts w:ascii="Arial" w:hAnsi="Arial" w:cs="Arial"/>
          <w:sz w:val="22"/>
          <w:szCs w:val="22"/>
        </w:rPr>
        <w:t xml:space="preserve"> (Accessed: </w:t>
      </w:r>
      <w:r w:rsidR="008A6F5C">
        <w:rPr>
          <w:rFonts w:ascii="Arial" w:hAnsi="Arial" w:cs="Arial"/>
          <w:sz w:val="22"/>
          <w:szCs w:val="22"/>
        </w:rPr>
        <w:t xml:space="preserve">6 </w:t>
      </w:r>
      <w:r w:rsidRPr="00697184">
        <w:rPr>
          <w:rFonts w:ascii="Arial" w:hAnsi="Arial" w:cs="Arial"/>
          <w:sz w:val="22"/>
          <w:szCs w:val="22"/>
        </w:rPr>
        <w:t>July 2026).</w:t>
      </w:r>
    </w:p>
    <w:p w14:paraId="58EDC997" w14:textId="70A0944B"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Alzheimer’s Society (2025) </w:t>
      </w:r>
      <w:r w:rsidRPr="00697184">
        <w:rPr>
          <w:rStyle w:val="Emphasis"/>
          <w:rFonts w:ascii="Arial" w:hAnsi="Arial" w:cs="Arial"/>
          <w:sz w:val="22"/>
          <w:szCs w:val="22"/>
        </w:rPr>
        <w:t>How many people have dementia in the UK?</w:t>
      </w:r>
      <w:r w:rsidRPr="00697184">
        <w:rPr>
          <w:rFonts w:ascii="Arial" w:hAnsi="Arial" w:cs="Arial"/>
          <w:sz w:val="22"/>
          <w:szCs w:val="22"/>
        </w:rPr>
        <w:t xml:space="preserve"> London: Alzheimer’s Society. Available at: </w:t>
      </w:r>
      <w:hyperlink r:id="rId7" w:history="1">
        <w:r w:rsidRPr="00697184">
          <w:rPr>
            <w:rStyle w:val="Hyperlink"/>
            <w:rFonts w:ascii="Arial" w:hAnsi="Arial" w:cs="Arial"/>
            <w:sz w:val="22"/>
            <w:szCs w:val="22"/>
          </w:rPr>
          <w:t>https://www.alzheimers.org.uk/about-us/news-and-media/facts-media</w:t>
        </w:r>
      </w:hyperlink>
      <w:r w:rsidRPr="00697184">
        <w:rPr>
          <w:rFonts w:ascii="Arial" w:hAnsi="Arial" w:cs="Arial"/>
          <w:sz w:val="22"/>
          <w:szCs w:val="22"/>
        </w:rPr>
        <w:t xml:space="preserve"> (Accessed: 1</w:t>
      </w:r>
      <w:r w:rsidR="008A6F5C">
        <w:rPr>
          <w:rFonts w:ascii="Arial" w:hAnsi="Arial" w:cs="Arial"/>
          <w:sz w:val="22"/>
          <w:szCs w:val="22"/>
        </w:rPr>
        <w:t>0</w:t>
      </w:r>
      <w:r w:rsidRPr="00697184">
        <w:rPr>
          <w:rFonts w:ascii="Arial" w:hAnsi="Arial" w:cs="Arial"/>
          <w:sz w:val="22"/>
          <w:szCs w:val="22"/>
        </w:rPr>
        <w:t xml:space="preserve"> July 2026).</w:t>
      </w:r>
    </w:p>
    <w:p w14:paraId="355B8F48" w14:textId="77777777" w:rsidR="00C74B35"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Au-Yeung, C., Ellis, D., Dallaway, A., Riley, J., Varney, J. and Howell-Jones, R. (2024) ‘Socioeconomic and ethnic inequalities increase the risk of type 2 diabetes: an analysis of NHS Health Check attendees in Birmingham’, </w:t>
      </w:r>
      <w:r w:rsidRPr="00697184">
        <w:rPr>
          <w:rStyle w:val="Emphasis"/>
          <w:rFonts w:ascii="Arial" w:hAnsi="Arial" w:cs="Arial"/>
          <w:sz w:val="22"/>
          <w:szCs w:val="22"/>
        </w:rPr>
        <w:t>Frontiers in Public Health</w:t>
      </w:r>
      <w:r w:rsidRPr="00697184">
        <w:rPr>
          <w:rFonts w:ascii="Arial" w:hAnsi="Arial" w:cs="Arial"/>
          <w:sz w:val="22"/>
          <w:szCs w:val="22"/>
        </w:rPr>
        <w:t xml:space="preserve">, 12, 1477418. Available at: </w:t>
      </w:r>
      <w:hyperlink r:id="rId8" w:history="1">
        <w:r w:rsidRPr="00697184">
          <w:rPr>
            <w:rStyle w:val="Hyperlink"/>
            <w:rFonts w:ascii="Arial" w:hAnsi="Arial" w:cs="Arial"/>
            <w:sz w:val="22"/>
            <w:szCs w:val="22"/>
          </w:rPr>
          <w:t>https://doi.org/10.3389/fpubh.2024.1477418</w:t>
        </w:r>
      </w:hyperlink>
      <w:r w:rsidRPr="00697184">
        <w:rPr>
          <w:rFonts w:ascii="Arial" w:hAnsi="Arial" w:cs="Arial"/>
          <w:sz w:val="22"/>
          <w:szCs w:val="22"/>
        </w:rPr>
        <w:t xml:space="preserve"> (Accessed: 19 July 2026).</w:t>
      </w:r>
    </w:p>
    <w:p w14:paraId="74FB2F28" w14:textId="53AAF7F7" w:rsidR="009D16AB" w:rsidRPr="009F6CB3" w:rsidRDefault="009D16AB" w:rsidP="00697184">
      <w:pPr>
        <w:pStyle w:val="NormalWeb"/>
        <w:spacing w:line="360" w:lineRule="auto"/>
        <w:rPr>
          <w:rFonts w:ascii="Arial" w:eastAsia="Times New Roman" w:hAnsi="Arial" w:cs="Arial"/>
          <w:b/>
          <w:bCs/>
          <w:sz w:val="22"/>
          <w:szCs w:val="22"/>
        </w:rPr>
      </w:pPr>
      <w:r w:rsidRPr="009F6CB3">
        <w:rPr>
          <w:rStyle w:val="Strong"/>
          <w:rFonts w:ascii="Arial" w:eastAsia="Times New Roman" w:hAnsi="Arial" w:cs="Arial"/>
          <w:b w:val="0"/>
          <w:bCs w:val="0"/>
          <w:sz w:val="22"/>
          <w:szCs w:val="22"/>
        </w:rPr>
        <w:t xml:space="preserve">Bower, P., Soiland-Reyes, C., Bennett, C., Brunton, L., Burch, P., Cameron, E. et al. (2025) </w:t>
      </w:r>
      <w:r w:rsidRPr="009F6CB3">
        <w:rPr>
          <w:rStyle w:val="Emphasis"/>
          <w:rFonts w:ascii="Arial" w:eastAsia="Times New Roman" w:hAnsi="Arial" w:cs="Arial"/>
          <w:sz w:val="22"/>
          <w:szCs w:val="22"/>
        </w:rPr>
        <w:t>The effectiveness and cost-effectiveness of the NHS Diabetes Prevention Programme (NHS-DPP): the DIPLOMA long-term multimethod assessment</w:t>
      </w:r>
      <w:r w:rsidRPr="009F6CB3">
        <w:rPr>
          <w:rStyle w:val="Strong"/>
          <w:rFonts w:ascii="Arial" w:eastAsia="Times New Roman" w:hAnsi="Arial" w:cs="Arial"/>
          <w:sz w:val="22"/>
          <w:szCs w:val="22"/>
        </w:rPr>
        <w:t xml:space="preserve">. </w:t>
      </w:r>
      <w:r w:rsidRPr="009F6CB3">
        <w:rPr>
          <w:rStyle w:val="Strong"/>
          <w:rFonts w:ascii="Arial" w:eastAsia="Times New Roman" w:hAnsi="Arial" w:cs="Arial"/>
          <w:b w:val="0"/>
          <w:bCs w:val="0"/>
          <w:sz w:val="22"/>
          <w:szCs w:val="22"/>
        </w:rPr>
        <w:t xml:space="preserve">Health and Social Care Delivery Research, 13(19). Southampton: National Institute for Health and Care Research. Available at: </w:t>
      </w:r>
      <w:hyperlink r:id="rId9" w:history="1">
        <w:r w:rsidR="009F6CB3" w:rsidRPr="009F6CB3">
          <w:rPr>
            <w:rStyle w:val="Hyperlink"/>
            <w:rFonts w:ascii="Arial" w:eastAsia="Times New Roman" w:hAnsi="Arial" w:cs="Arial"/>
            <w:sz w:val="22"/>
            <w:szCs w:val="22"/>
          </w:rPr>
          <w:t>https://doi.org/10.3310/MWKJ5102</w:t>
        </w:r>
      </w:hyperlink>
      <w:r w:rsidR="009F6CB3" w:rsidRPr="009F6CB3">
        <w:rPr>
          <w:rStyle w:val="Strong"/>
          <w:rFonts w:ascii="Arial" w:eastAsia="Times New Roman" w:hAnsi="Arial" w:cs="Arial"/>
          <w:b w:val="0"/>
          <w:bCs w:val="0"/>
          <w:sz w:val="22"/>
          <w:szCs w:val="22"/>
        </w:rPr>
        <w:t xml:space="preserve"> </w:t>
      </w:r>
      <w:r w:rsidRPr="009F6CB3">
        <w:rPr>
          <w:rStyle w:val="Strong"/>
          <w:rFonts w:ascii="Arial" w:eastAsia="Times New Roman" w:hAnsi="Arial" w:cs="Arial"/>
          <w:b w:val="0"/>
          <w:bCs w:val="0"/>
          <w:sz w:val="22"/>
          <w:szCs w:val="22"/>
        </w:rPr>
        <w:t xml:space="preserve"> (Accessed: 19 July 2026).</w:t>
      </w:r>
    </w:p>
    <w:p w14:paraId="0D5102DF" w14:textId="3EBBD06D" w:rsidR="008E1BED" w:rsidRPr="0066686B" w:rsidRDefault="008E1BED" w:rsidP="0066686B">
      <w:pPr>
        <w:pStyle w:val="NormalWeb"/>
        <w:spacing w:line="360" w:lineRule="auto"/>
        <w:rPr>
          <w:rFonts w:ascii="Arial" w:hAnsi="Arial" w:cs="Arial"/>
          <w:sz w:val="22"/>
          <w:szCs w:val="22"/>
        </w:rPr>
      </w:pPr>
      <w:r w:rsidRPr="0066686B">
        <w:rPr>
          <w:rStyle w:val="Strong"/>
          <w:rFonts w:ascii="Arial" w:hAnsi="Arial" w:cs="Arial"/>
          <w:b w:val="0"/>
          <w:bCs w:val="0"/>
          <w:sz w:val="22"/>
          <w:szCs w:val="22"/>
        </w:rPr>
        <w:t>Birmingham and Solihull Integrated Care System (2025)</w:t>
      </w:r>
      <w:r w:rsidRPr="0066686B">
        <w:rPr>
          <w:rFonts w:ascii="Arial" w:hAnsi="Arial" w:cs="Arial"/>
          <w:b/>
          <w:bCs/>
          <w:sz w:val="22"/>
          <w:szCs w:val="22"/>
        </w:rPr>
        <w:t xml:space="preserve"> </w:t>
      </w:r>
      <w:r w:rsidRPr="0066686B">
        <w:rPr>
          <w:rStyle w:val="Emphasis"/>
          <w:rFonts w:ascii="Arial" w:hAnsi="Arial" w:cs="Arial"/>
          <w:sz w:val="22"/>
          <w:szCs w:val="22"/>
        </w:rPr>
        <w:t>Grassroots projects transform the lives of those living with diabetes</w:t>
      </w:r>
      <w:r w:rsidRPr="0066686B">
        <w:rPr>
          <w:rFonts w:ascii="Arial" w:hAnsi="Arial" w:cs="Arial"/>
          <w:sz w:val="22"/>
          <w:szCs w:val="22"/>
        </w:rPr>
        <w:t xml:space="preserve">. Available at: </w:t>
      </w:r>
      <w:hyperlink r:id="rId10" w:tgtFrame="_blank" w:history="1">
        <w:r w:rsidRPr="0066686B">
          <w:rPr>
            <w:rStyle w:val="Hyperlink"/>
            <w:rFonts w:ascii="Arial" w:hAnsi="Arial" w:cs="Arial"/>
            <w:sz w:val="22"/>
            <w:szCs w:val="22"/>
          </w:rPr>
          <w:t>Birmingham and Solihull Integrated Care System – Grassroots projects transform the lives of those living with diabetes</w:t>
        </w:r>
      </w:hyperlink>
      <w:r w:rsidRPr="0066686B">
        <w:rPr>
          <w:rFonts w:ascii="Arial" w:hAnsi="Arial" w:cs="Arial"/>
          <w:sz w:val="22"/>
          <w:szCs w:val="22"/>
        </w:rPr>
        <w:t xml:space="preserve"> (Accessed: 1</w:t>
      </w:r>
      <w:r w:rsidR="00323913" w:rsidRPr="0066686B">
        <w:rPr>
          <w:rFonts w:ascii="Arial" w:hAnsi="Arial" w:cs="Arial"/>
          <w:sz w:val="22"/>
          <w:szCs w:val="22"/>
        </w:rPr>
        <w:t>7</w:t>
      </w:r>
      <w:r w:rsidRPr="0066686B">
        <w:rPr>
          <w:rFonts w:ascii="Arial" w:hAnsi="Arial" w:cs="Arial"/>
          <w:sz w:val="22"/>
          <w:szCs w:val="22"/>
        </w:rPr>
        <w:t xml:space="preserve"> July 2026). </w:t>
      </w:r>
    </w:p>
    <w:p w14:paraId="77E7E0BA" w14:textId="22C99548" w:rsidR="008E1BED" w:rsidRPr="0066686B" w:rsidRDefault="008E1BED" w:rsidP="0066686B">
      <w:pPr>
        <w:pStyle w:val="NormalWeb"/>
        <w:spacing w:line="360" w:lineRule="auto"/>
        <w:rPr>
          <w:rFonts w:ascii="Arial" w:hAnsi="Arial" w:cs="Arial"/>
          <w:sz w:val="22"/>
          <w:szCs w:val="22"/>
        </w:rPr>
      </w:pPr>
      <w:r w:rsidRPr="0066686B">
        <w:rPr>
          <w:rStyle w:val="Strong"/>
          <w:rFonts w:ascii="Arial" w:hAnsi="Arial" w:cs="Arial"/>
          <w:b w:val="0"/>
          <w:bCs w:val="0"/>
          <w:sz w:val="22"/>
          <w:szCs w:val="22"/>
        </w:rPr>
        <w:t>Birmingham and Solihull Integrated Care System (2025)</w:t>
      </w:r>
      <w:r w:rsidRPr="0066686B">
        <w:rPr>
          <w:rFonts w:ascii="Arial" w:hAnsi="Arial" w:cs="Arial"/>
          <w:b/>
          <w:bCs/>
          <w:sz w:val="22"/>
          <w:szCs w:val="22"/>
        </w:rPr>
        <w:t xml:space="preserve"> </w:t>
      </w:r>
      <w:r w:rsidRPr="0066686B">
        <w:rPr>
          <w:rStyle w:val="Emphasis"/>
          <w:rFonts w:ascii="Arial" w:hAnsi="Arial" w:cs="Arial"/>
          <w:sz w:val="22"/>
          <w:szCs w:val="22"/>
        </w:rPr>
        <w:t>Birmingham Locality Partnership Fund: Fairer Futures Fund</w:t>
      </w:r>
      <w:r w:rsidRPr="0066686B">
        <w:rPr>
          <w:rFonts w:ascii="Arial" w:hAnsi="Arial" w:cs="Arial"/>
          <w:sz w:val="22"/>
          <w:szCs w:val="22"/>
        </w:rPr>
        <w:t xml:space="preserve">. Available at: </w:t>
      </w:r>
      <w:hyperlink r:id="rId11" w:tgtFrame="_blank" w:history="1">
        <w:r w:rsidRPr="0066686B">
          <w:rPr>
            <w:rStyle w:val="Hyperlink"/>
            <w:rFonts w:ascii="Arial" w:hAnsi="Arial" w:cs="Arial"/>
            <w:sz w:val="22"/>
            <w:szCs w:val="22"/>
          </w:rPr>
          <w:t>Birmingham and Solihull ICS Fairer Futures Fund Locality Partnership Fund</w:t>
        </w:r>
      </w:hyperlink>
      <w:r w:rsidRPr="0066686B">
        <w:rPr>
          <w:rFonts w:ascii="Arial" w:hAnsi="Arial" w:cs="Arial"/>
          <w:sz w:val="22"/>
          <w:szCs w:val="22"/>
        </w:rPr>
        <w:t xml:space="preserve"> (Accessed: 1</w:t>
      </w:r>
      <w:r w:rsidR="00323913" w:rsidRPr="0066686B">
        <w:rPr>
          <w:rFonts w:ascii="Arial" w:hAnsi="Arial" w:cs="Arial"/>
          <w:sz w:val="22"/>
          <w:szCs w:val="22"/>
        </w:rPr>
        <w:t>7</w:t>
      </w:r>
      <w:r w:rsidRPr="0066686B">
        <w:rPr>
          <w:rFonts w:ascii="Arial" w:hAnsi="Arial" w:cs="Arial"/>
          <w:sz w:val="22"/>
          <w:szCs w:val="22"/>
        </w:rPr>
        <w:t xml:space="preserve"> July 2026). </w:t>
      </w:r>
    </w:p>
    <w:p w14:paraId="05E170BE" w14:textId="55AFCE9D" w:rsidR="008E1BED" w:rsidRPr="0066686B" w:rsidRDefault="008147A4" w:rsidP="0066686B">
      <w:pPr>
        <w:pStyle w:val="NormalWeb"/>
        <w:spacing w:line="360" w:lineRule="auto"/>
        <w:rPr>
          <w:rFonts w:ascii="Arial" w:eastAsia="Times New Roman" w:hAnsi="Arial" w:cs="Arial"/>
          <w:sz w:val="22"/>
          <w:szCs w:val="22"/>
        </w:rPr>
      </w:pPr>
      <w:r w:rsidRPr="0066686B">
        <w:rPr>
          <w:rStyle w:val="Strong"/>
          <w:rFonts w:ascii="Arial" w:eastAsia="Times New Roman" w:hAnsi="Arial" w:cs="Arial"/>
          <w:b w:val="0"/>
          <w:bCs w:val="0"/>
          <w:sz w:val="22"/>
          <w:szCs w:val="22"/>
        </w:rPr>
        <w:lastRenderedPageBreak/>
        <w:t>Birmingham and Solihull Integrated Care System (2025)</w:t>
      </w:r>
      <w:r w:rsidRPr="0066686B">
        <w:rPr>
          <w:rFonts w:ascii="Arial" w:eastAsia="Times New Roman" w:hAnsi="Arial" w:cs="Arial"/>
          <w:b/>
          <w:bCs/>
          <w:sz w:val="22"/>
          <w:szCs w:val="22"/>
        </w:rPr>
        <w:t xml:space="preserve"> </w:t>
      </w:r>
      <w:r w:rsidRPr="0066686B">
        <w:rPr>
          <w:rStyle w:val="Emphasis"/>
          <w:rFonts w:ascii="Arial" w:eastAsia="Times New Roman" w:hAnsi="Arial" w:cs="Arial"/>
          <w:sz w:val="22"/>
          <w:szCs w:val="22"/>
        </w:rPr>
        <w:t>£4.51m awarded to boost community care for thousands in Birmingham and Solihull</w:t>
      </w:r>
      <w:r w:rsidRPr="0066686B">
        <w:rPr>
          <w:rFonts w:ascii="Arial" w:eastAsia="Times New Roman" w:hAnsi="Arial" w:cs="Arial"/>
          <w:sz w:val="22"/>
          <w:szCs w:val="22"/>
        </w:rPr>
        <w:t xml:space="preserve">. Available at: </w:t>
      </w:r>
      <w:hyperlink r:id="rId12" w:tgtFrame="_blank" w:history="1">
        <w:r w:rsidRPr="0066686B">
          <w:rPr>
            <w:rStyle w:val="Hyperlink"/>
            <w:rFonts w:ascii="Arial" w:eastAsia="Times New Roman" w:hAnsi="Arial" w:cs="Arial"/>
            <w:sz w:val="22"/>
            <w:szCs w:val="22"/>
          </w:rPr>
          <w:t>Birmingham and Solihull ICS – £4.51m awarded to boost community care</w:t>
        </w:r>
      </w:hyperlink>
      <w:r w:rsidRPr="0066686B">
        <w:rPr>
          <w:rFonts w:ascii="Arial" w:eastAsia="Times New Roman" w:hAnsi="Arial" w:cs="Arial"/>
          <w:sz w:val="22"/>
          <w:szCs w:val="22"/>
        </w:rPr>
        <w:t xml:space="preserve"> (Accessed: 1</w:t>
      </w:r>
      <w:r w:rsidR="00323913" w:rsidRPr="0066686B">
        <w:rPr>
          <w:rFonts w:ascii="Arial" w:eastAsia="Times New Roman" w:hAnsi="Arial" w:cs="Arial"/>
          <w:sz w:val="22"/>
          <w:szCs w:val="22"/>
        </w:rPr>
        <w:t>7</w:t>
      </w:r>
      <w:r w:rsidRPr="0066686B">
        <w:rPr>
          <w:rFonts w:ascii="Arial" w:eastAsia="Times New Roman" w:hAnsi="Arial" w:cs="Arial"/>
          <w:sz w:val="22"/>
          <w:szCs w:val="22"/>
        </w:rPr>
        <w:t xml:space="preserve"> July 2026).</w:t>
      </w:r>
    </w:p>
    <w:p w14:paraId="14948670"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Berkman, L.F. and Kawachi, I. (2014) </w:t>
      </w:r>
      <w:r w:rsidRPr="00697184">
        <w:rPr>
          <w:rStyle w:val="Emphasis"/>
          <w:rFonts w:ascii="Arial" w:hAnsi="Arial" w:cs="Arial"/>
          <w:sz w:val="22"/>
          <w:szCs w:val="22"/>
        </w:rPr>
        <w:t>Social Epidemiology</w:t>
      </w:r>
      <w:r w:rsidRPr="00697184">
        <w:rPr>
          <w:rFonts w:ascii="Arial" w:hAnsi="Arial" w:cs="Arial"/>
          <w:sz w:val="22"/>
          <w:szCs w:val="22"/>
        </w:rPr>
        <w:t>. 2nd edn. Oxford: Oxford University Press.</w:t>
      </w:r>
    </w:p>
    <w:p w14:paraId="20F642E4" w14:textId="7374E8F8"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Centre for Ageing Better (2025) </w:t>
      </w:r>
      <w:r w:rsidRPr="00697184">
        <w:rPr>
          <w:rStyle w:val="Emphasis"/>
          <w:rFonts w:ascii="Arial" w:hAnsi="Arial" w:cs="Arial"/>
          <w:sz w:val="22"/>
          <w:szCs w:val="22"/>
        </w:rPr>
        <w:t>The State of Ageing 2025</w:t>
      </w:r>
      <w:r w:rsidRPr="00697184">
        <w:rPr>
          <w:rFonts w:ascii="Arial" w:hAnsi="Arial" w:cs="Arial"/>
          <w:sz w:val="22"/>
          <w:szCs w:val="22"/>
        </w:rPr>
        <w:t xml:space="preserve">. London: Centre for Ageing Better. Available at: </w:t>
      </w:r>
      <w:hyperlink r:id="rId13" w:history="1">
        <w:r w:rsidRPr="00697184">
          <w:rPr>
            <w:rStyle w:val="Hyperlink"/>
            <w:rFonts w:ascii="Arial" w:hAnsi="Arial" w:cs="Arial"/>
            <w:sz w:val="22"/>
            <w:szCs w:val="22"/>
          </w:rPr>
          <w:t>https://ageing-better.org.uk/our-state-ageing-report</w:t>
        </w:r>
      </w:hyperlink>
      <w:r w:rsidRPr="00697184">
        <w:rPr>
          <w:rFonts w:ascii="Arial" w:hAnsi="Arial" w:cs="Arial"/>
          <w:sz w:val="22"/>
          <w:szCs w:val="22"/>
        </w:rPr>
        <w:t xml:space="preserve"> (Accessed: 1</w:t>
      </w:r>
      <w:r w:rsidR="008A6F5C">
        <w:rPr>
          <w:rFonts w:ascii="Arial" w:hAnsi="Arial" w:cs="Arial"/>
          <w:sz w:val="22"/>
          <w:szCs w:val="22"/>
        </w:rPr>
        <w:t>1</w:t>
      </w:r>
      <w:r w:rsidRPr="00697184">
        <w:rPr>
          <w:rFonts w:ascii="Arial" w:hAnsi="Arial" w:cs="Arial"/>
          <w:sz w:val="22"/>
          <w:szCs w:val="22"/>
        </w:rPr>
        <w:t xml:space="preserve"> July 2026).</w:t>
      </w:r>
    </w:p>
    <w:p w14:paraId="2270F441" w14:textId="67A7AD46"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Department for Work and Pensions (2023) </w:t>
      </w:r>
      <w:r w:rsidRPr="00697184">
        <w:rPr>
          <w:rStyle w:val="Emphasis"/>
          <w:rFonts w:ascii="Arial" w:hAnsi="Arial" w:cs="Arial"/>
          <w:sz w:val="22"/>
          <w:szCs w:val="22"/>
        </w:rPr>
        <w:t>Income-related benefits: estimates of take-up</w:t>
      </w:r>
      <w:r w:rsidRPr="00697184">
        <w:rPr>
          <w:rFonts w:ascii="Arial" w:hAnsi="Arial" w:cs="Arial"/>
          <w:sz w:val="22"/>
          <w:szCs w:val="22"/>
        </w:rPr>
        <w:t xml:space="preserve">. London: Department for Work and Pensions. Available at: </w:t>
      </w:r>
      <w:hyperlink r:id="rId14" w:history="1">
        <w:r w:rsidRPr="00697184">
          <w:rPr>
            <w:rStyle w:val="Hyperlink"/>
            <w:rFonts w:ascii="Arial" w:hAnsi="Arial" w:cs="Arial"/>
            <w:sz w:val="22"/>
            <w:szCs w:val="22"/>
          </w:rPr>
          <w:t>https://www.gov.uk/government/collections/income-related-benefits-estimates-of-take-up</w:t>
        </w:r>
      </w:hyperlink>
      <w:r w:rsidRPr="00697184">
        <w:rPr>
          <w:rFonts w:ascii="Arial" w:hAnsi="Arial" w:cs="Arial"/>
          <w:sz w:val="22"/>
          <w:szCs w:val="22"/>
        </w:rPr>
        <w:t xml:space="preserve"> (Accessed: 1</w:t>
      </w:r>
      <w:r w:rsidR="001057CF">
        <w:rPr>
          <w:rFonts w:ascii="Arial" w:hAnsi="Arial" w:cs="Arial"/>
          <w:sz w:val="22"/>
          <w:szCs w:val="22"/>
        </w:rPr>
        <w:t>0</w:t>
      </w:r>
      <w:r w:rsidRPr="00697184">
        <w:rPr>
          <w:rFonts w:ascii="Arial" w:hAnsi="Arial" w:cs="Arial"/>
          <w:sz w:val="22"/>
          <w:szCs w:val="22"/>
        </w:rPr>
        <w:t xml:space="preserve"> July 2026).</w:t>
      </w:r>
    </w:p>
    <w:p w14:paraId="625729C4" w14:textId="77777777" w:rsidR="00C74B35"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Diabetes UK (2025) </w:t>
      </w:r>
      <w:r w:rsidRPr="00697184">
        <w:rPr>
          <w:rStyle w:val="Emphasis"/>
          <w:rFonts w:ascii="Arial" w:hAnsi="Arial" w:cs="Arial"/>
          <w:sz w:val="22"/>
          <w:szCs w:val="22"/>
        </w:rPr>
        <w:t>Diabetes statistics in the UK</w:t>
      </w:r>
      <w:r w:rsidRPr="00697184">
        <w:rPr>
          <w:rFonts w:ascii="Arial" w:hAnsi="Arial" w:cs="Arial"/>
          <w:sz w:val="22"/>
          <w:szCs w:val="22"/>
        </w:rPr>
        <w:t xml:space="preserve">. London: Diabetes UK. Available at: </w:t>
      </w:r>
      <w:hyperlink r:id="rId15" w:history="1">
        <w:r w:rsidRPr="00697184">
          <w:rPr>
            <w:rStyle w:val="Hyperlink"/>
            <w:rFonts w:ascii="Arial" w:hAnsi="Arial" w:cs="Arial"/>
            <w:sz w:val="22"/>
            <w:szCs w:val="22"/>
          </w:rPr>
          <w:t>https://www.diabetes.org.uk/about-us/about-our-charity/statistics</w:t>
        </w:r>
      </w:hyperlink>
      <w:r w:rsidRPr="00697184">
        <w:rPr>
          <w:rFonts w:ascii="Arial" w:hAnsi="Arial" w:cs="Arial"/>
          <w:sz w:val="22"/>
          <w:szCs w:val="22"/>
        </w:rPr>
        <w:t xml:space="preserve"> (Accessed: 19 July 2026).</w:t>
      </w:r>
    </w:p>
    <w:p w14:paraId="4B813457" w14:textId="2DC7E031" w:rsidR="002109F5" w:rsidRPr="002F7CC7" w:rsidRDefault="002109F5" w:rsidP="00707F19">
      <w:pPr>
        <w:pStyle w:val="NormalWeb"/>
        <w:spacing w:line="360" w:lineRule="auto"/>
        <w:rPr>
          <w:rFonts w:ascii="Arial" w:hAnsi="Arial" w:cs="Arial"/>
          <w:b/>
          <w:bCs/>
          <w:sz w:val="22"/>
          <w:szCs w:val="22"/>
        </w:rPr>
      </w:pPr>
      <w:r w:rsidRPr="002F7CC7">
        <w:rPr>
          <w:rStyle w:val="Strong"/>
          <w:rFonts w:ascii="Arial" w:eastAsia="Times New Roman" w:hAnsi="Arial" w:cs="Arial"/>
          <w:b w:val="0"/>
          <w:bCs w:val="0"/>
          <w:sz w:val="22"/>
          <w:szCs w:val="22"/>
        </w:rPr>
        <w:t xml:space="preserve">Diabetes UK (2025b) </w:t>
      </w:r>
      <w:r w:rsidRPr="002F7CC7">
        <w:rPr>
          <w:rStyle w:val="Emphasis"/>
          <w:rFonts w:ascii="Arial" w:eastAsia="Times New Roman" w:hAnsi="Arial" w:cs="Arial"/>
          <w:sz w:val="22"/>
          <w:szCs w:val="22"/>
        </w:rPr>
        <w:t>One in five adults now live with diabetes or prediabetes in the UK</w:t>
      </w:r>
      <w:r w:rsidRPr="002F7CC7">
        <w:rPr>
          <w:rStyle w:val="Strong"/>
          <w:rFonts w:ascii="Arial" w:eastAsia="Times New Roman" w:hAnsi="Arial" w:cs="Arial"/>
          <w:sz w:val="22"/>
          <w:szCs w:val="22"/>
        </w:rPr>
        <w:t xml:space="preserve">. </w:t>
      </w:r>
      <w:r w:rsidRPr="002F7CC7">
        <w:rPr>
          <w:rStyle w:val="Strong"/>
          <w:rFonts w:ascii="Arial" w:eastAsia="Times New Roman" w:hAnsi="Arial" w:cs="Arial"/>
          <w:b w:val="0"/>
          <w:bCs w:val="0"/>
          <w:sz w:val="22"/>
          <w:szCs w:val="22"/>
        </w:rPr>
        <w:t>London: Diabetes UK. Available at:</w:t>
      </w:r>
      <w:r w:rsidRPr="002F7CC7">
        <w:rPr>
          <w:rStyle w:val="Strong"/>
          <w:rFonts w:ascii="Arial" w:eastAsia="Times New Roman" w:hAnsi="Arial" w:cs="Arial"/>
          <w:sz w:val="22"/>
          <w:szCs w:val="22"/>
        </w:rPr>
        <w:t xml:space="preserve"> </w:t>
      </w:r>
      <w:hyperlink r:id="rId16" w:tgtFrame="_new" w:history="1">
        <w:r w:rsidRPr="00707F19">
          <w:rPr>
            <w:rStyle w:val="Hyperlink"/>
            <w:rFonts w:ascii="Arial" w:eastAsia="Times New Roman" w:hAnsi="Arial" w:cs="Arial"/>
            <w:sz w:val="22"/>
            <w:szCs w:val="22"/>
          </w:rPr>
          <w:t>https://www.diabetes.org.uk/about-us/news-and-views/one-five-adults-now-live-diabetes-or-prediabetes-uk</w:t>
        </w:r>
      </w:hyperlink>
      <w:r w:rsidRPr="002F7CC7">
        <w:rPr>
          <w:rStyle w:val="Strong"/>
          <w:rFonts w:ascii="Arial" w:eastAsia="Times New Roman" w:hAnsi="Arial" w:cs="Arial"/>
          <w:b w:val="0"/>
          <w:bCs w:val="0"/>
          <w:sz w:val="22"/>
          <w:szCs w:val="22"/>
        </w:rPr>
        <w:t xml:space="preserve"> (Accessed: 19 July 2026).</w:t>
      </w:r>
    </w:p>
    <w:p w14:paraId="44EA4155" w14:textId="24B7B642"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Foundations (2025) </w:t>
      </w:r>
      <w:r w:rsidRPr="00697184">
        <w:rPr>
          <w:rStyle w:val="Emphasis"/>
          <w:rFonts w:ascii="Arial" w:hAnsi="Arial" w:cs="Arial"/>
          <w:sz w:val="22"/>
          <w:szCs w:val="22"/>
        </w:rPr>
        <w:t>Cold homes and health</w:t>
      </w:r>
      <w:r w:rsidRPr="00697184">
        <w:rPr>
          <w:rFonts w:ascii="Arial" w:hAnsi="Arial" w:cs="Arial"/>
          <w:sz w:val="22"/>
          <w:szCs w:val="22"/>
        </w:rPr>
        <w:t xml:space="preserve">. Rugby: Foundations. Available at: </w:t>
      </w:r>
      <w:hyperlink r:id="rId17" w:history="1">
        <w:r w:rsidRPr="00697184">
          <w:rPr>
            <w:rStyle w:val="Hyperlink"/>
            <w:rFonts w:ascii="Arial" w:hAnsi="Arial" w:cs="Arial"/>
            <w:sz w:val="22"/>
            <w:szCs w:val="22"/>
          </w:rPr>
          <w:t>https://foundations.uk.com/resources/cold-homes/</w:t>
        </w:r>
      </w:hyperlink>
      <w:r w:rsidRPr="00697184">
        <w:rPr>
          <w:rFonts w:ascii="Arial" w:hAnsi="Arial" w:cs="Arial"/>
          <w:sz w:val="22"/>
          <w:szCs w:val="22"/>
        </w:rPr>
        <w:t xml:space="preserve"> (Accessed: 1</w:t>
      </w:r>
      <w:r w:rsidR="001057CF">
        <w:rPr>
          <w:rFonts w:ascii="Arial" w:hAnsi="Arial" w:cs="Arial"/>
          <w:sz w:val="22"/>
          <w:szCs w:val="22"/>
        </w:rPr>
        <w:t xml:space="preserve">2 </w:t>
      </w:r>
      <w:r w:rsidRPr="00697184">
        <w:rPr>
          <w:rFonts w:ascii="Arial" w:hAnsi="Arial" w:cs="Arial"/>
          <w:sz w:val="22"/>
          <w:szCs w:val="22"/>
        </w:rPr>
        <w:t>July 2026).</w:t>
      </w:r>
    </w:p>
    <w:p w14:paraId="69D940C1"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Goff, L.M. (2019) ‘Ethnicity and type 2 diabetes in the UK’, </w:t>
      </w:r>
      <w:r w:rsidRPr="00697184">
        <w:rPr>
          <w:rStyle w:val="Emphasis"/>
          <w:rFonts w:ascii="Arial" w:hAnsi="Arial" w:cs="Arial"/>
          <w:sz w:val="22"/>
          <w:szCs w:val="22"/>
        </w:rPr>
        <w:t>Diabetic Medicine</w:t>
      </w:r>
      <w:r w:rsidRPr="00697184">
        <w:rPr>
          <w:rFonts w:ascii="Arial" w:hAnsi="Arial" w:cs="Arial"/>
          <w:sz w:val="22"/>
          <w:szCs w:val="22"/>
        </w:rPr>
        <w:t xml:space="preserve">, 36(8), pp.927–938. Available at: </w:t>
      </w:r>
      <w:hyperlink r:id="rId18" w:history="1">
        <w:r w:rsidRPr="00697184">
          <w:rPr>
            <w:rStyle w:val="Hyperlink"/>
            <w:rFonts w:ascii="Arial" w:hAnsi="Arial" w:cs="Arial"/>
            <w:sz w:val="22"/>
            <w:szCs w:val="22"/>
          </w:rPr>
          <w:t>https://doi.org/10.1111/dme.13995</w:t>
        </w:r>
      </w:hyperlink>
      <w:r w:rsidRPr="00697184">
        <w:rPr>
          <w:rFonts w:ascii="Arial" w:hAnsi="Arial" w:cs="Arial"/>
          <w:sz w:val="22"/>
          <w:szCs w:val="22"/>
        </w:rPr>
        <w:t xml:space="preserve"> (Accessed: 19 July 2026).</w:t>
      </w:r>
    </w:p>
    <w:p w14:paraId="4E961503" w14:textId="11131E5F"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HM Government (2018) </w:t>
      </w:r>
      <w:r w:rsidRPr="00697184">
        <w:rPr>
          <w:rStyle w:val="Emphasis"/>
          <w:rFonts w:ascii="Arial" w:hAnsi="Arial" w:cs="Arial"/>
          <w:sz w:val="22"/>
          <w:szCs w:val="22"/>
        </w:rPr>
        <w:t>A Connected Society: A Strategy for Tackling Loneliness</w:t>
      </w:r>
      <w:r w:rsidRPr="00697184">
        <w:rPr>
          <w:rFonts w:ascii="Arial" w:hAnsi="Arial" w:cs="Arial"/>
          <w:sz w:val="22"/>
          <w:szCs w:val="22"/>
        </w:rPr>
        <w:t xml:space="preserve">. London: Department for Digital, Culture, Media and Sport. Available at: </w:t>
      </w:r>
      <w:hyperlink r:id="rId19" w:history="1">
        <w:r w:rsidRPr="00697184">
          <w:rPr>
            <w:rStyle w:val="Hyperlink"/>
            <w:rFonts w:ascii="Arial" w:hAnsi="Arial" w:cs="Arial"/>
            <w:sz w:val="22"/>
            <w:szCs w:val="22"/>
          </w:rPr>
          <w:t>https://www.gov.uk/government/publications/a-connected-society-a-strategy-for-tackling-loneliness</w:t>
        </w:r>
      </w:hyperlink>
      <w:r w:rsidRPr="00697184">
        <w:rPr>
          <w:rFonts w:ascii="Arial" w:hAnsi="Arial" w:cs="Arial"/>
          <w:sz w:val="22"/>
          <w:szCs w:val="22"/>
        </w:rPr>
        <w:t xml:space="preserve"> (Accessed: 1</w:t>
      </w:r>
      <w:r w:rsidR="001057CF">
        <w:rPr>
          <w:rFonts w:ascii="Arial" w:hAnsi="Arial" w:cs="Arial"/>
          <w:sz w:val="22"/>
          <w:szCs w:val="22"/>
        </w:rPr>
        <w:t>6</w:t>
      </w:r>
      <w:r w:rsidRPr="00697184">
        <w:rPr>
          <w:rFonts w:ascii="Arial" w:hAnsi="Arial" w:cs="Arial"/>
          <w:sz w:val="22"/>
          <w:szCs w:val="22"/>
        </w:rPr>
        <w:t xml:space="preserve"> July 2026).</w:t>
      </w:r>
    </w:p>
    <w:p w14:paraId="6EB0F951" w14:textId="29683C8D"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International Diabetes Federation</w:t>
      </w:r>
      <w:r w:rsidR="007C501D">
        <w:rPr>
          <w:rFonts w:ascii="Arial" w:hAnsi="Arial" w:cs="Arial"/>
          <w:sz w:val="22"/>
          <w:szCs w:val="22"/>
        </w:rPr>
        <w:t xml:space="preserve"> (</w:t>
      </w:r>
      <w:r w:rsidR="00B030C0">
        <w:rPr>
          <w:rFonts w:ascii="Arial" w:hAnsi="Arial" w:cs="Arial"/>
          <w:sz w:val="22"/>
          <w:szCs w:val="22"/>
        </w:rPr>
        <w:t>IDF)</w:t>
      </w:r>
      <w:r w:rsidRPr="00697184">
        <w:rPr>
          <w:rFonts w:ascii="Arial" w:hAnsi="Arial" w:cs="Arial"/>
          <w:sz w:val="22"/>
          <w:szCs w:val="22"/>
        </w:rPr>
        <w:t xml:space="preserve"> (2025) </w:t>
      </w:r>
      <w:r w:rsidRPr="00697184">
        <w:rPr>
          <w:rStyle w:val="Emphasis"/>
          <w:rFonts w:ascii="Arial" w:hAnsi="Arial" w:cs="Arial"/>
          <w:sz w:val="22"/>
          <w:szCs w:val="22"/>
        </w:rPr>
        <w:t>IDF Diabetes Atlas</w:t>
      </w:r>
      <w:r w:rsidRPr="00697184">
        <w:rPr>
          <w:rFonts w:ascii="Arial" w:hAnsi="Arial" w:cs="Arial"/>
          <w:sz w:val="22"/>
          <w:szCs w:val="22"/>
        </w:rPr>
        <w:t xml:space="preserve">. 11th edn. Brussels: International Diabetes Federation. Available at: </w:t>
      </w:r>
      <w:hyperlink r:id="rId20" w:history="1">
        <w:r w:rsidRPr="00697184">
          <w:rPr>
            <w:rStyle w:val="Hyperlink"/>
            <w:rFonts w:ascii="Arial" w:hAnsi="Arial" w:cs="Arial"/>
            <w:sz w:val="22"/>
            <w:szCs w:val="22"/>
          </w:rPr>
          <w:t>https://diabetesatlas.org</w:t>
        </w:r>
      </w:hyperlink>
      <w:r w:rsidRPr="00697184">
        <w:rPr>
          <w:rFonts w:ascii="Arial" w:hAnsi="Arial" w:cs="Arial"/>
          <w:sz w:val="22"/>
          <w:szCs w:val="22"/>
        </w:rPr>
        <w:t xml:space="preserve"> (Accessed: 1</w:t>
      </w:r>
      <w:r w:rsidR="001057CF">
        <w:rPr>
          <w:rFonts w:ascii="Arial" w:hAnsi="Arial" w:cs="Arial"/>
          <w:sz w:val="22"/>
          <w:szCs w:val="22"/>
        </w:rPr>
        <w:t xml:space="preserve">5 </w:t>
      </w:r>
      <w:r w:rsidRPr="00697184">
        <w:rPr>
          <w:rFonts w:ascii="Arial" w:hAnsi="Arial" w:cs="Arial"/>
          <w:sz w:val="22"/>
          <w:szCs w:val="22"/>
        </w:rPr>
        <w:t>July 2026).</w:t>
      </w:r>
    </w:p>
    <w:p w14:paraId="1659817A" w14:textId="38A212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lastRenderedPageBreak/>
        <w:t xml:space="preserve">Joseph Rowntree Foundation (2025) </w:t>
      </w:r>
      <w:r w:rsidRPr="00697184">
        <w:rPr>
          <w:rStyle w:val="Emphasis"/>
          <w:rFonts w:ascii="Arial" w:hAnsi="Arial" w:cs="Arial"/>
          <w:sz w:val="22"/>
          <w:szCs w:val="22"/>
        </w:rPr>
        <w:t>UK Poverty 2025: The essential guide to understanding poverty in the UK</w:t>
      </w:r>
      <w:r w:rsidRPr="00697184">
        <w:rPr>
          <w:rFonts w:ascii="Arial" w:hAnsi="Arial" w:cs="Arial"/>
          <w:sz w:val="22"/>
          <w:szCs w:val="22"/>
        </w:rPr>
        <w:t xml:space="preserve">. York: Joseph Rowntree Foundation. Available at: </w:t>
      </w:r>
      <w:hyperlink r:id="rId21" w:history="1">
        <w:r w:rsidRPr="00697184">
          <w:rPr>
            <w:rStyle w:val="Hyperlink"/>
            <w:rFonts w:ascii="Arial" w:hAnsi="Arial" w:cs="Arial"/>
            <w:sz w:val="22"/>
            <w:szCs w:val="22"/>
          </w:rPr>
          <w:t>https://www.jrf.org.uk/uk-poverty-2025</w:t>
        </w:r>
      </w:hyperlink>
      <w:r w:rsidRPr="00697184">
        <w:rPr>
          <w:rFonts w:ascii="Arial" w:hAnsi="Arial" w:cs="Arial"/>
          <w:sz w:val="22"/>
          <w:szCs w:val="22"/>
        </w:rPr>
        <w:t xml:space="preserve"> (Accessed: 1</w:t>
      </w:r>
      <w:r w:rsidR="001057CF">
        <w:rPr>
          <w:rFonts w:ascii="Arial" w:hAnsi="Arial" w:cs="Arial"/>
          <w:sz w:val="22"/>
          <w:szCs w:val="22"/>
        </w:rPr>
        <w:t>7</w:t>
      </w:r>
      <w:r w:rsidRPr="00697184">
        <w:rPr>
          <w:rFonts w:ascii="Arial" w:hAnsi="Arial" w:cs="Arial"/>
          <w:sz w:val="22"/>
          <w:szCs w:val="22"/>
        </w:rPr>
        <w:t xml:space="preserve"> July 2026).</w:t>
      </w:r>
    </w:p>
    <w:p w14:paraId="02C8F220" w14:textId="0ED063B1"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King’s Fund (2024) </w:t>
      </w:r>
      <w:r w:rsidRPr="00697184">
        <w:rPr>
          <w:rStyle w:val="Emphasis"/>
          <w:rFonts w:ascii="Arial" w:hAnsi="Arial" w:cs="Arial"/>
          <w:sz w:val="22"/>
          <w:szCs w:val="22"/>
        </w:rPr>
        <w:t>Health and care for older people</w:t>
      </w:r>
      <w:r w:rsidRPr="00697184">
        <w:rPr>
          <w:rFonts w:ascii="Arial" w:hAnsi="Arial" w:cs="Arial"/>
          <w:sz w:val="22"/>
          <w:szCs w:val="22"/>
        </w:rPr>
        <w:t xml:space="preserve">. London: The King’s Fund. Available at: </w:t>
      </w:r>
      <w:hyperlink r:id="rId22" w:history="1">
        <w:r w:rsidRPr="00697184">
          <w:rPr>
            <w:rStyle w:val="Hyperlink"/>
            <w:rFonts w:ascii="Arial" w:hAnsi="Arial" w:cs="Arial"/>
            <w:sz w:val="22"/>
            <w:szCs w:val="22"/>
          </w:rPr>
          <w:t>https://www.kingsfund.org.uk/insight-and-analysis/long-reads</w:t>
        </w:r>
      </w:hyperlink>
      <w:r w:rsidRPr="00697184">
        <w:rPr>
          <w:rFonts w:ascii="Arial" w:hAnsi="Arial" w:cs="Arial"/>
          <w:sz w:val="22"/>
          <w:szCs w:val="22"/>
        </w:rPr>
        <w:t xml:space="preserve"> (Accessed: 1</w:t>
      </w:r>
      <w:r w:rsidR="001057CF">
        <w:rPr>
          <w:rFonts w:ascii="Arial" w:hAnsi="Arial" w:cs="Arial"/>
          <w:sz w:val="22"/>
          <w:szCs w:val="22"/>
        </w:rPr>
        <w:t>7</w:t>
      </w:r>
      <w:r w:rsidRPr="00697184">
        <w:rPr>
          <w:rFonts w:ascii="Arial" w:hAnsi="Arial" w:cs="Arial"/>
          <w:sz w:val="22"/>
          <w:szCs w:val="22"/>
        </w:rPr>
        <w:t xml:space="preserve"> July 2026).</w:t>
      </w:r>
    </w:p>
    <w:p w14:paraId="71FD7011"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Marmot, M., Allen, J., Goldblatt, P., Boyce, T., McNeish, D., Grady, M. and Geddes, I. (2010) </w:t>
      </w:r>
      <w:r w:rsidRPr="00697184">
        <w:rPr>
          <w:rStyle w:val="Emphasis"/>
          <w:rFonts w:ascii="Arial" w:hAnsi="Arial" w:cs="Arial"/>
          <w:sz w:val="22"/>
          <w:szCs w:val="22"/>
        </w:rPr>
        <w:t>Fair Society, Healthy Lives: The Marmot Review</w:t>
      </w:r>
      <w:r w:rsidRPr="00697184">
        <w:rPr>
          <w:rFonts w:ascii="Arial" w:hAnsi="Arial" w:cs="Arial"/>
          <w:sz w:val="22"/>
          <w:szCs w:val="22"/>
        </w:rPr>
        <w:t xml:space="preserve">. London: Institute of Health Equity. Available at: </w:t>
      </w:r>
      <w:hyperlink r:id="rId23" w:history="1">
        <w:r w:rsidRPr="00697184">
          <w:rPr>
            <w:rStyle w:val="Hyperlink"/>
            <w:rFonts w:ascii="Arial" w:hAnsi="Arial" w:cs="Arial"/>
            <w:sz w:val="22"/>
            <w:szCs w:val="22"/>
          </w:rPr>
          <w:t>https://www.instituteofhealthequity.org/resources-reports/fair-society-healthy-lives-the-marmot-review</w:t>
        </w:r>
      </w:hyperlink>
      <w:r w:rsidRPr="00697184">
        <w:rPr>
          <w:rFonts w:ascii="Arial" w:hAnsi="Arial" w:cs="Arial"/>
          <w:sz w:val="22"/>
          <w:szCs w:val="22"/>
        </w:rPr>
        <w:t xml:space="preserve"> (Accessed: 19 July 2026).</w:t>
      </w:r>
    </w:p>
    <w:p w14:paraId="22C13018" w14:textId="7552CA5D"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Marmot, M. and Bell, R. (2012) ‘Fair society, healthy lives’, </w:t>
      </w:r>
      <w:r w:rsidRPr="00697184">
        <w:rPr>
          <w:rStyle w:val="Emphasis"/>
          <w:rFonts w:ascii="Arial" w:hAnsi="Arial" w:cs="Arial"/>
          <w:sz w:val="22"/>
          <w:szCs w:val="22"/>
        </w:rPr>
        <w:t>Public Health</w:t>
      </w:r>
      <w:r w:rsidRPr="00697184">
        <w:rPr>
          <w:rFonts w:ascii="Arial" w:hAnsi="Arial" w:cs="Arial"/>
          <w:sz w:val="22"/>
          <w:szCs w:val="22"/>
        </w:rPr>
        <w:t>, 126(</w:t>
      </w:r>
      <w:proofErr w:type="spellStart"/>
      <w:r w:rsidRPr="00697184">
        <w:rPr>
          <w:rFonts w:ascii="Arial" w:hAnsi="Arial" w:cs="Arial"/>
          <w:sz w:val="22"/>
          <w:szCs w:val="22"/>
        </w:rPr>
        <w:t>Suppl</w:t>
      </w:r>
      <w:proofErr w:type="spellEnd"/>
      <w:r w:rsidRPr="00697184">
        <w:rPr>
          <w:rFonts w:ascii="Arial" w:hAnsi="Arial" w:cs="Arial"/>
          <w:sz w:val="22"/>
          <w:szCs w:val="22"/>
        </w:rPr>
        <w:t xml:space="preserve"> 1), pp.S4–S10. Available at: </w:t>
      </w:r>
      <w:hyperlink r:id="rId24" w:history="1">
        <w:r w:rsidRPr="00697184">
          <w:rPr>
            <w:rStyle w:val="Hyperlink"/>
            <w:rFonts w:ascii="Arial" w:hAnsi="Arial" w:cs="Arial"/>
            <w:sz w:val="22"/>
            <w:szCs w:val="22"/>
          </w:rPr>
          <w:t>https://doi.org/10.1016/j.puhe.2012.05.014</w:t>
        </w:r>
      </w:hyperlink>
      <w:r w:rsidRPr="00697184">
        <w:rPr>
          <w:rFonts w:ascii="Arial" w:hAnsi="Arial" w:cs="Arial"/>
          <w:sz w:val="22"/>
          <w:szCs w:val="22"/>
        </w:rPr>
        <w:t xml:space="preserve"> (Accessed: </w:t>
      </w:r>
      <w:r w:rsidR="00F958EE">
        <w:rPr>
          <w:rFonts w:ascii="Arial" w:hAnsi="Arial" w:cs="Arial"/>
          <w:sz w:val="22"/>
          <w:szCs w:val="22"/>
        </w:rPr>
        <w:t xml:space="preserve">6 </w:t>
      </w:r>
      <w:r w:rsidRPr="00697184">
        <w:rPr>
          <w:rFonts w:ascii="Arial" w:hAnsi="Arial" w:cs="Arial"/>
          <w:sz w:val="22"/>
          <w:szCs w:val="22"/>
        </w:rPr>
        <w:t>July 2026).</w:t>
      </w:r>
    </w:p>
    <w:p w14:paraId="3088C90B"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National Institute for Health and Care Excellence (2022) </w:t>
      </w:r>
      <w:r w:rsidRPr="00697184">
        <w:rPr>
          <w:rStyle w:val="Emphasis"/>
          <w:rFonts w:ascii="Arial" w:hAnsi="Arial" w:cs="Arial"/>
          <w:sz w:val="22"/>
          <w:szCs w:val="22"/>
        </w:rPr>
        <w:t>Type 2 diabetes in adults: management (NG28)</w:t>
      </w:r>
      <w:r w:rsidRPr="00697184">
        <w:rPr>
          <w:rFonts w:ascii="Arial" w:hAnsi="Arial" w:cs="Arial"/>
          <w:sz w:val="22"/>
          <w:szCs w:val="22"/>
        </w:rPr>
        <w:t xml:space="preserve">. London: NICE. Available at: </w:t>
      </w:r>
      <w:hyperlink r:id="rId25" w:history="1">
        <w:r w:rsidRPr="00697184">
          <w:rPr>
            <w:rStyle w:val="Hyperlink"/>
            <w:rFonts w:ascii="Arial" w:hAnsi="Arial" w:cs="Arial"/>
            <w:sz w:val="22"/>
            <w:szCs w:val="22"/>
          </w:rPr>
          <w:t>https://www.nice.org.uk/guidance/ng28</w:t>
        </w:r>
      </w:hyperlink>
      <w:r w:rsidRPr="00697184">
        <w:rPr>
          <w:rFonts w:ascii="Arial" w:hAnsi="Arial" w:cs="Arial"/>
          <w:sz w:val="22"/>
          <w:szCs w:val="22"/>
        </w:rPr>
        <w:t xml:space="preserve"> (Accessed: 19 July 2026).</w:t>
      </w:r>
    </w:p>
    <w:p w14:paraId="0A956645" w14:textId="6C675A0E" w:rsidR="003E70A8" w:rsidRDefault="003E70A8" w:rsidP="00697184">
      <w:pPr>
        <w:pStyle w:val="NormalWeb"/>
        <w:spacing w:line="360" w:lineRule="auto"/>
        <w:rPr>
          <w:rFonts w:ascii="Arial" w:hAnsi="Arial" w:cs="Arial"/>
          <w:sz w:val="22"/>
          <w:szCs w:val="22"/>
        </w:rPr>
      </w:pPr>
      <w:r w:rsidRPr="00697184">
        <w:rPr>
          <w:rFonts w:ascii="Arial" w:hAnsi="Arial" w:cs="Arial"/>
          <w:sz w:val="22"/>
          <w:szCs w:val="22"/>
        </w:rPr>
        <w:t>National Centre for Social Research (202</w:t>
      </w:r>
      <w:r w:rsidR="00AD4DFA">
        <w:rPr>
          <w:rFonts w:ascii="Arial" w:hAnsi="Arial" w:cs="Arial"/>
          <w:sz w:val="22"/>
          <w:szCs w:val="22"/>
        </w:rPr>
        <w:t>4</w:t>
      </w:r>
      <w:r w:rsidRPr="00697184">
        <w:rPr>
          <w:rFonts w:ascii="Arial" w:hAnsi="Arial" w:cs="Arial"/>
          <w:sz w:val="22"/>
          <w:szCs w:val="22"/>
        </w:rPr>
        <w:t xml:space="preserve">) </w:t>
      </w:r>
      <w:r w:rsidRPr="00697184">
        <w:rPr>
          <w:rStyle w:val="Emphasis"/>
          <w:rFonts w:ascii="Arial" w:hAnsi="Arial" w:cs="Arial"/>
          <w:sz w:val="22"/>
          <w:szCs w:val="22"/>
        </w:rPr>
        <w:t>How poor-quality housing is harming millions of older adults</w:t>
      </w:r>
      <w:r w:rsidRPr="00697184">
        <w:rPr>
          <w:rFonts w:ascii="Arial" w:hAnsi="Arial" w:cs="Arial"/>
          <w:sz w:val="22"/>
          <w:szCs w:val="22"/>
        </w:rPr>
        <w:t xml:space="preserve">. London: NatCen. Available at: </w:t>
      </w:r>
      <w:hyperlink r:id="rId26" w:history="1">
        <w:r w:rsidRPr="00697184">
          <w:rPr>
            <w:rStyle w:val="Hyperlink"/>
            <w:rFonts w:ascii="Arial" w:hAnsi="Arial" w:cs="Arial"/>
            <w:sz w:val="22"/>
            <w:szCs w:val="22"/>
          </w:rPr>
          <w:t>https://natcen.ac.uk</w:t>
        </w:r>
      </w:hyperlink>
      <w:r w:rsidRPr="00697184">
        <w:rPr>
          <w:rFonts w:ascii="Arial" w:hAnsi="Arial" w:cs="Arial"/>
          <w:sz w:val="22"/>
          <w:szCs w:val="22"/>
        </w:rPr>
        <w:t xml:space="preserve"> (Accessed: </w:t>
      </w:r>
      <w:r w:rsidR="003925A1">
        <w:rPr>
          <w:rFonts w:ascii="Arial" w:hAnsi="Arial" w:cs="Arial"/>
          <w:sz w:val="22"/>
          <w:szCs w:val="22"/>
        </w:rPr>
        <w:t>5</w:t>
      </w:r>
      <w:r w:rsidRPr="00697184">
        <w:rPr>
          <w:rFonts w:ascii="Arial" w:hAnsi="Arial" w:cs="Arial"/>
          <w:sz w:val="22"/>
          <w:szCs w:val="22"/>
        </w:rPr>
        <w:t xml:space="preserve"> July 2026).</w:t>
      </w:r>
    </w:p>
    <w:p w14:paraId="32F248C4" w14:textId="14661207" w:rsidR="00AA0024" w:rsidRPr="00AA0024" w:rsidRDefault="00AA0024" w:rsidP="00697184">
      <w:pPr>
        <w:pStyle w:val="NormalWeb"/>
        <w:spacing w:line="360" w:lineRule="auto"/>
        <w:rPr>
          <w:rFonts w:ascii="Arial" w:hAnsi="Arial" w:cs="Arial"/>
          <w:sz w:val="22"/>
          <w:szCs w:val="22"/>
        </w:rPr>
      </w:pPr>
      <w:r w:rsidRPr="00AA0024">
        <w:rPr>
          <w:rFonts w:ascii="Arial" w:eastAsia="Times New Roman" w:hAnsi="Arial" w:cs="Arial"/>
          <w:sz w:val="22"/>
          <w:szCs w:val="22"/>
        </w:rPr>
        <w:t xml:space="preserve">National Institute for Health and Care Research (NIHR) (2023) </w:t>
      </w:r>
      <w:r w:rsidRPr="00AA0024">
        <w:rPr>
          <w:rStyle w:val="Emphasis"/>
          <w:rFonts w:ascii="Arial" w:eastAsia="Times New Roman" w:hAnsi="Arial" w:cs="Arial"/>
          <w:sz w:val="22"/>
          <w:szCs w:val="22"/>
        </w:rPr>
        <w:t>DIPLOMA evaluation of the NHS Diabetes Prevention Programme</w:t>
      </w:r>
      <w:r w:rsidRPr="00AA0024">
        <w:rPr>
          <w:rFonts w:ascii="Arial" w:eastAsia="Times New Roman" w:hAnsi="Arial" w:cs="Arial"/>
          <w:sz w:val="22"/>
          <w:szCs w:val="22"/>
        </w:rPr>
        <w:t xml:space="preserve">. London: NIHR. Available at: </w:t>
      </w:r>
      <w:hyperlink r:id="rId27" w:tgtFrame="_new" w:history="1">
        <w:r w:rsidRPr="00AA0024">
          <w:rPr>
            <w:rStyle w:val="Hyperlink"/>
            <w:rFonts w:ascii="Arial" w:eastAsia="Times New Roman" w:hAnsi="Arial" w:cs="Arial"/>
            <w:sz w:val="22"/>
            <w:szCs w:val="22"/>
          </w:rPr>
          <w:t>https://www.nihr.ac.uk</w:t>
        </w:r>
      </w:hyperlink>
      <w:r w:rsidRPr="00AA0024">
        <w:rPr>
          <w:rFonts w:ascii="Arial" w:eastAsia="Times New Roman" w:hAnsi="Arial" w:cs="Arial"/>
          <w:sz w:val="22"/>
          <w:szCs w:val="22"/>
        </w:rPr>
        <w:t xml:space="preserve"> (Accessed: 1</w:t>
      </w:r>
      <w:r w:rsidR="003925A1">
        <w:rPr>
          <w:rFonts w:ascii="Arial" w:eastAsia="Times New Roman" w:hAnsi="Arial" w:cs="Arial"/>
          <w:sz w:val="22"/>
          <w:szCs w:val="22"/>
        </w:rPr>
        <w:t>7</w:t>
      </w:r>
      <w:r w:rsidRPr="00AA0024">
        <w:rPr>
          <w:rFonts w:ascii="Arial" w:eastAsia="Times New Roman" w:hAnsi="Arial" w:cs="Arial"/>
          <w:sz w:val="22"/>
          <w:szCs w:val="22"/>
        </w:rPr>
        <w:t xml:space="preserve"> July 2026).</w:t>
      </w:r>
    </w:p>
    <w:p w14:paraId="20810C2E" w14:textId="6323E1E6"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(2019) </w:t>
      </w:r>
      <w:r w:rsidRPr="00697184">
        <w:rPr>
          <w:rStyle w:val="Emphasis"/>
          <w:rFonts w:ascii="Arial" w:hAnsi="Arial" w:cs="Arial"/>
          <w:sz w:val="22"/>
          <w:szCs w:val="22"/>
        </w:rPr>
        <w:t>The NHS Long Term Plan</w:t>
      </w:r>
      <w:r w:rsidRPr="00697184">
        <w:rPr>
          <w:rFonts w:ascii="Arial" w:hAnsi="Arial" w:cs="Arial"/>
          <w:sz w:val="22"/>
          <w:szCs w:val="22"/>
        </w:rPr>
        <w:t xml:space="preserve">. London: NHS England. Available at: </w:t>
      </w:r>
      <w:hyperlink r:id="rId28" w:history="1">
        <w:r w:rsidRPr="00697184">
          <w:rPr>
            <w:rStyle w:val="Hyperlink"/>
            <w:rFonts w:ascii="Arial" w:hAnsi="Arial" w:cs="Arial"/>
            <w:sz w:val="22"/>
            <w:szCs w:val="22"/>
          </w:rPr>
          <w:t>https://www.longtermplan.nhs.uk</w:t>
        </w:r>
      </w:hyperlink>
      <w:r w:rsidRPr="00697184">
        <w:rPr>
          <w:rFonts w:ascii="Arial" w:hAnsi="Arial" w:cs="Arial"/>
          <w:sz w:val="22"/>
          <w:szCs w:val="22"/>
        </w:rPr>
        <w:t xml:space="preserve"> (Accessed: </w:t>
      </w:r>
      <w:r w:rsidR="003925A1">
        <w:rPr>
          <w:rFonts w:ascii="Arial" w:hAnsi="Arial" w:cs="Arial"/>
          <w:sz w:val="22"/>
          <w:szCs w:val="22"/>
        </w:rPr>
        <w:t>10</w:t>
      </w:r>
      <w:r w:rsidRPr="00697184">
        <w:rPr>
          <w:rFonts w:ascii="Arial" w:hAnsi="Arial" w:cs="Arial"/>
          <w:sz w:val="22"/>
          <w:szCs w:val="22"/>
        </w:rPr>
        <w:t xml:space="preserve"> July 2026).</w:t>
      </w:r>
    </w:p>
    <w:p w14:paraId="11BD1383" w14:textId="408D0C0E"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(2024) </w:t>
      </w:r>
      <w:r w:rsidRPr="00697184">
        <w:rPr>
          <w:rStyle w:val="Emphasis"/>
          <w:rFonts w:ascii="Arial" w:hAnsi="Arial" w:cs="Arial"/>
          <w:sz w:val="22"/>
          <w:szCs w:val="22"/>
        </w:rPr>
        <w:t>National Diabetes Audit: annual report</w:t>
      </w:r>
      <w:r w:rsidRPr="00697184">
        <w:rPr>
          <w:rFonts w:ascii="Arial" w:hAnsi="Arial" w:cs="Arial"/>
          <w:sz w:val="22"/>
          <w:szCs w:val="22"/>
        </w:rPr>
        <w:t xml:space="preserve">. Leeds: NHS England. Available at: </w:t>
      </w:r>
      <w:hyperlink r:id="rId29" w:history="1">
        <w:r w:rsidRPr="00697184">
          <w:rPr>
            <w:rStyle w:val="Hyperlink"/>
            <w:rFonts w:ascii="Arial" w:hAnsi="Arial" w:cs="Arial"/>
            <w:sz w:val="22"/>
            <w:szCs w:val="22"/>
          </w:rPr>
          <w:t>https://digital.nhs.uk/data-and-information/clinical-audits-and-registries/national-diabetes-audit</w:t>
        </w:r>
      </w:hyperlink>
      <w:r w:rsidRPr="00697184">
        <w:rPr>
          <w:rFonts w:ascii="Arial" w:hAnsi="Arial" w:cs="Arial"/>
          <w:sz w:val="22"/>
          <w:szCs w:val="22"/>
        </w:rPr>
        <w:t xml:space="preserve"> (Accessed: 1</w:t>
      </w:r>
      <w:r w:rsidR="003925A1">
        <w:rPr>
          <w:rFonts w:ascii="Arial" w:hAnsi="Arial" w:cs="Arial"/>
          <w:sz w:val="22"/>
          <w:szCs w:val="22"/>
        </w:rPr>
        <w:t xml:space="preserve">1 </w:t>
      </w:r>
      <w:r w:rsidRPr="00697184">
        <w:rPr>
          <w:rFonts w:ascii="Arial" w:hAnsi="Arial" w:cs="Arial"/>
          <w:sz w:val="22"/>
          <w:szCs w:val="22"/>
        </w:rPr>
        <w:t>July 2026).</w:t>
      </w:r>
    </w:p>
    <w:p w14:paraId="1DA2310E" w14:textId="05F299EB"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(2025) </w:t>
      </w:r>
      <w:r w:rsidRPr="00697184">
        <w:rPr>
          <w:rStyle w:val="Emphasis"/>
          <w:rFonts w:ascii="Arial" w:hAnsi="Arial" w:cs="Arial"/>
          <w:sz w:val="22"/>
          <w:szCs w:val="22"/>
        </w:rPr>
        <w:t>Primary Care Dementia Data</w:t>
      </w:r>
      <w:r w:rsidRPr="00697184">
        <w:rPr>
          <w:rFonts w:ascii="Arial" w:hAnsi="Arial" w:cs="Arial"/>
          <w:sz w:val="22"/>
          <w:szCs w:val="22"/>
        </w:rPr>
        <w:t xml:space="preserve">. Leeds: NHS England Digital. Available at: </w:t>
      </w:r>
      <w:hyperlink r:id="rId30" w:history="1">
        <w:r w:rsidRPr="00697184">
          <w:rPr>
            <w:rStyle w:val="Hyperlink"/>
            <w:rFonts w:ascii="Arial" w:hAnsi="Arial" w:cs="Arial"/>
            <w:sz w:val="22"/>
            <w:szCs w:val="22"/>
          </w:rPr>
          <w:t>https://digital.nhs.uk/data-and-information/publications/statistical/primary-care-dementia-data</w:t>
        </w:r>
      </w:hyperlink>
      <w:r w:rsidRPr="00697184">
        <w:rPr>
          <w:rFonts w:ascii="Arial" w:hAnsi="Arial" w:cs="Arial"/>
          <w:sz w:val="22"/>
          <w:szCs w:val="22"/>
        </w:rPr>
        <w:t xml:space="preserve"> (Accessed: 1</w:t>
      </w:r>
      <w:r w:rsidR="00186FF5">
        <w:rPr>
          <w:rFonts w:ascii="Arial" w:hAnsi="Arial" w:cs="Arial"/>
          <w:sz w:val="22"/>
          <w:szCs w:val="22"/>
        </w:rPr>
        <w:t>0</w:t>
      </w:r>
      <w:r w:rsidRPr="00697184">
        <w:rPr>
          <w:rFonts w:ascii="Arial" w:hAnsi="Arial" w:cs="Arial"/>
          <w:sz w:val="22"/>
          <w:szCs w:val="22"/>
        </w:rPr>
        <w:t xml:space="preserve"> July 2026).</w:t>
      </w:r>
    </w:p>
    <w:p w14:paraId="72409CDB" w14:textId="068C9053"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lastRenderedPageBreak/>
        <w:t xml:space="preserve">Office for Health Improvement and Disparities (2024) </w:t>
      </w:r>
      <w:r w:rsidRPr="00697184">
        <w:rPr>
          <w:rStyle w:val="Emphasis"/>
          <w:rFonts w:ascii="Arial" w:hAnsi="Arial" w:cs="Arial"/>
          <w:sz w:val="22"/>
          <w:szCs w:val="22"/>
        </w:rPr>
        <w:t>Diabetes profile</w:t>
      </w:r>
      <w:r w:rsidRPr="00697184">
        <w:rPr>
          <w:rFonts w:ascii="Arial" w:hAnsi="Arial" w:cs="Arial"/>
          <w:sz w:val="22"/>
          <w:szCs w:val="22"/>
        </w:rPr>
        <w:t xml:space="preserve">. London: OHID. Available at: </w:t>
      </w:r>
      <w:hyperlink r:id="rId31" w:history="1">
        <w:r w:rsidRPr="00697184">
          <w:rPr>
            <w:rStyle w:val="Hyperlink"/>
            <w:rFonts w:ascii="Arial" w:hAnsi="Arial" w:cs="Arial"/>
            <w:sz w:val="22"/>
            <w:szCs w:val="22"/>
          </w:rPr>
          <w:t>https://fingertips.phe.org.uk/profile/diabetes</w:t>
        </w:r>
      </w:hyperlink>
      <w:r w:rsidRPr="00697184">
        <w:rPr>
          <w:rFonts w:ascii="Arial" w:hAnsi="Arial" w:cs="Arial"/>
          <w:sz w:val="22"/>
          <w:szCs w:val="22"/>
        </w:rPr>
        <w:t xml:space="preserve"> (Accessed: 1</w:t>
      </w:r>
      <w:r w:rsidR="00186FF5">
        <w:rPr>
          <w:rFonts w:ascii="Arial" w:hAnsi="Arial" w:cs="Arial"/>
          <w:sz w:val="22"/>
          <w:szCs w:val="22"/>
        </w:rPr>
        <w:t>4</w:t>
      </w:r>
      <w:r w:rsidRPr="00697184">
        <w:rPr>
          <w:rFonts w:ascii="Arial" w:hAnsi="Arial" w:cs="Arial"/>
          <w:sz w:val="22"/>
          <w:szCs w:val="22"/>
        </w:rPr>
        <w:t xml:space="preserve"> July 2026).</w:t>
      </w:r>
    </w:p>
    <w:p w14:paraId="33CE754C" w14:textId="0B39813D"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Office for National Statistics (2023) </w:t>
      </w:r>
      <w:r w:rsidRPr="00697184">
        <w:rPr>
          <w:rStyle w:val="Emphasis"/>
          <w:rFonts w:ascii="Arial" w:hAnsi="Arial" w:cs="Arial"/>
          <w:sz w:val="22"/>
          <w:szCs w:val="22"/>
        </w:rPr>
        <w:t>Population estimates for the UK</w:t>
      </w:r>
      <w:r w:rsidRPr="00697184">
        <w:rPr>
          <w:rFonts w:ascii="Arial" w:hAnsi="Arial" w:cs="Arial"/>
          <w:sz w:val="22"/>
          <w:szCs w:val="22"/>
        </w:rPr>
        <w:t xml:space="preserve">. Newport: Office for National Statistics. Available at: </w:t>
      </w:r>
      <w:hyperlink r:id="rId32" w:history="1">
        <w:r w:rsidRPr="00697184">
          <w:rPr>
            <w:rStyle w:val="Hyperlink"/>
            <w:rFonts w:ascii="Arial" w:hAnsi="Arial" w:cs="Arial"/>
            <w:sz w:val="22"/>
            <w:szCs w:val="22"/>
          </w:rPr>
          <w:t>https://www.ons.gov.uk/peoplepopulationandcommunity/populationandmigration/populationestimates</w:t>
        </w:r>
      </w:hyperlink>
      <w:r w:rsidRPr="00697184">
        <w:rPr>
          <w:rFonts w:ascii="Arial" w:hAnsi="Arial" w:cs="Arial"/>
          <w:sz w:val="22"/>
          <w:szCs w:val="22"/>
        </w:rPr>
        <w:t xml:space="preserve"> (Accessed: 1</w:t>
      </w:r>
      <w:r w:rsidR="00186FF5">
        <w:rPr>
          <w:rFonts w:ascii="Arial" w:hAnsi="Arial" w:cs="Arial"/>
          <w:sz w:val="22"/>
          <w:szCs w:val="22"/>
        </w:rPr>
        <w:t>7</w:t>
      </w:r>
      <w:r w:rsidRPr="00697184">
        <w:rPr>
          <w:rFonts w:ascii="Arial" w:hAnsi="Arial" w:cs="Arial"/>
          <w:sz w:val="22"/>
          <w:szCs w:val="22"/>
        </w:rPr>
        <w:t xml:space="preserve"> July 2026).</w:t>
      </w:r>
    </w:p>
    <w:p w14:paraId="1276A221" w14:textId="68D5FF8A"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Steele, J. (2009) ‘Minimising barriers to dental care in older people’, </w:t>
      </w:r>
      <w:r w:rsidRPr="00697184">
        <w:rPr>
          <w:rStyle w:val="Emphasis"/>
          <w:rFonts w:ascii="Arial" w:hAnsi="Arial" w:cs="Arial"/>
          <w:sz w:val="22"/>
          <w:szCs w:val="22"/>
        </w:rPr>
        <w:t>British Dental Journal</w:t>
      </w:r>
      <w:r w:rsidRPr="00697184">
        <w:rPr>
          <w:rFonts w:ascii="Arial" w:hAnsi="Arial" w:cs="Arial"/>
          <w:sz w:val="22"/>
          <w:szCs w:val="22"/>
        </w:rPr>
        <w:t xml:space="preserve">, 207, pp.403–407. Available at: </w:t>
      </w:r>
      <w:hyperlink r:id="rId33" w:history="1">
        <w:r w:rsidRPr="00697184">
          <w:rPr>
            <w:rStyle w:val="Hyperlink"/>
            <w:rFonts w:ascii="Arial" w:hAnsi="Arial" w:cs="Arial"/>
            <w:sz w:val="22"/>
            <w:szCs w:val="22"/>
          </w:rPr>
          <w:t>https://doi.org/10.1038/sj.bdj.2009.789</w:t>
        </w:r>
      </w:hyperlink>
      <w:r w:rsidRPr="00697184">
        <w:rPr>
          <w:rFonts w:ascii="Arial" w:hAnsi="Arial" w:cs="Arial"/>
          <w:sz w:val="22"/>
          <w:szCs w:val="22"/>
        </w:rPr>
        <w:t xml:space="preserve"> (Accessed: </w:t>
      </w:r>
      <w:r w:rsidR="00186FF5">
        <w:rPr>
          <w:rFonts w:ascii="Arial" w:hAnsi="Arial" w:cs="Arial"/>
          <w:sz w:val="22"/>
          <w:szCs w:val="22"/>
        </w:rPr>
        <w:t>7</w:t>
      </w:r>
      <w:r w:rsidRPr="00697184">
        <w:rPr>
          <w:rFonts w:ascii="Arial" w:hAnsi="Arial" w:cs="Arial"/>
          <w:sz w:val="22"/>
          <w:szCs w:val="22"/>
        </w:rPr>
        <w:t xml:space="preserve"> July 2026).</w:t>
      </w:r>
    </w:p>
    <w:p w14:paraId="6C368455" w14:textId="48B89E0E"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Sutin, A.R., Stephan, Y., Luchetti, M. and Terracciano, A. (2018) ‘Loneliness and risk of dementia’, </w:t>
      </w:r>
      <w:r w:rsidRPr="00697184">
        <w:rPr>
          <w:rStyle w:val="Emphasis"/>
          <w:rFonts w:ascii="Arial" w:hAnsi="Arial" w:cs="Arial"/>
          <w:sz w:val="22"/>
          <w:szCs w:val="22"/>
        </w:rPr>
        <w:t>The Journals of Gerontology: Series B</w:t>
      </w:r>
      <w:r w:rsidRPr="00697184">
        <w:rPr>
          <w:rFonts w:ascii="Arial" w:hAnsi="Arial" w:cs="Arial"/>
          <w:sz w:val="22"/>
          <w:szCs w:val="22"/>
        </w:rPr>
        <w:t xml:space="preserve">, 73(7), pp.1200–1207. Available at: </w:t>
      </w:r>
      <w:hyperlink r:id="rId34" w:history="1">
        <w:r w:rsidRPr="00697184">
          <w:rPr>
            <w:rStyle w:val="Hyperlink"/>
            <w:rFonts w:ascii="Arial" w:hAnsi="Arial" w:cs="Arial"/>
            <w:sz w:val="22"/>
            <w:szCs w:val="22"/>
          </w:rPr>
          <w:t>https://doi.org/10.1093/geronb/gbx082</w:t>
        </w:r>
      </w:hyperlink>
      <w:r w:rsidRPr="00697184">
        <w:rPr>
          <w:rFonts w:ascii="Arial" w:hAnsi="Arial" w:cs="Arial"/>
          <w:sz w:val="22"/>
          <w:szCs w:val="22"/>
        </w:rPr>
        <w:t xml:space="preserve"> (Accessed: </w:t>
      </w:r>
      <w:r w:rsidR="00186FF5">
        <w:rPr>
          <w:rFonts w:ascii="Arial" w:hAnsi="Arial" w:cs="Arial"/>
          <w:sz w:val="22"/>
          <w:szCs w:val="22"/>
        </w:rPr>
        <w:t>10</w:t>
      </w:r>
      <w:r w:rsidRPr="00697184">
        <w:rPr>
          <w:rFonts w:ascii="Arial" w:hAnsi="Arial" w:cs="Arial"/>
          <w:sz w:val="22"/>
          <w:szCs w:val="22"/>
        </w:rPr>
        <w:t xml:space="preserve"> July 2026).</w:t>
      </w:r>
    </w:p>
    <w:p w14:paraId="027FA180" w14:textId="77777777" w:rsidR="003E70A8"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Tillin, T., Hughes, A.D., Godsland, I.F. et al. (2012) ‘Ethnicity and diabetes risk in South Asian and African-Caribbean populations’, </w:t>
      </w:r>
      <w:r w:rsidRPr="00697184">
        <w:rPr>
          <w:rStyle w:val="Emphasis"/>
          <w:rFonts w:ascii="Arial" w:hAnsi="Arial" w:cs="Arial"/>
          <w:sz w:val="22"/>
          <w:szCs w:val="22"/>
        </w:rPr>
        <w:t>Diabetologia</w:t>
      </w:r>
      <w:r w:rsidRPr="00697184">
        <w:rPr>
          <w:rFonts w:ascii="Arial" w:hAnsi="Arial" w:cs="Arial"/>
          <w:sz w:val="22"/>
          <w:szCs w:val="22"/>
        </w:rPr>
        <w:t xml:space="preserve">, 55, pp.134–143. Available at: </w:t>
      </w:r>
      <w:hyperlink r:id="rId35" w:history="1">
        <w:r w:rsidRPr="00697184">
          <w:rPr>
            <w:rStyle w:val="Hyperlink"/>
            <w:rFonts w:ascii="Arial" w:hAnsi="Arial" w:cs="Arial"/>
            <w:sz w:val="22"/>
            <w:szCs w:val="22"/>
          </w:rPr>
          <w:t>https://doi.org/10.1007/s00125-011-2374-9</w:t>
        </w:r>
      </w:hyperlink>
      <w:r w:rsidRPr="00697184">
        <w:rPr>
          <w:rFonts w:ascii="Arial" w:hAnsi="Arial" w:cs="Arial"/>
          <w:sz w:val="22"/>
          <w:szCs w:val="22"/>
        </w:rPr>
        <w:t xml:space="preserve"> (Accessed: 19 July 2026).</w:t>
      </w:r>
    </w:p>
    <w:p w14:paraId="75635F46"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Valabhji, J., Barron, E., Bradley, D. et al. (2020) ‘Early outcomes from the English National Health Service Diabetes Prevention Programme’, </w:t>
      </w:r>
      <w:r w:rsidRPr="00697184">
        <w:rPr>
          <w:rStyle w:val="Emphasis"/>
          <w:rFonts w:ascii="Arial" w:hAnsi="Arial" w:cs="Arial"/>
          <w:sz w:val="22"/>
          <w:szCs w:val="22"/>
        </w:rPr>
        <w:t>Diabetes Care</w:t>
      </w:r>
      <w:r w:rsidRPr="00697184">
        <w:rPr>
          <w:rFonts w:ascii="Arial" w:hAnsi="Arial" w:cs="Arial"/>
          <w:sz w:val="22"/>
          <w:szCs w:val="22"/>
        </w:rPr>
        <w:t xml:space="preserve">, 43(1), pp.152–160. Available at: </w:t>
      </w:r>
      <w:hyperlink r:id="rId36" w:history="1">
        <w:r w:rsidRPr="00697184">
          <w:rPr>
            <w:rStyle w:val="Hyperlink"/>
            <w:rFonts w:ascii="Arial" w:hAnsi="Arial" w:cs="Arial"/>
            <w:sz w:val="22"/>
            <w:szCs w:val="22"/>
          </w:rPr>
          <w:t>https://doi.org/10.2337/dc19-1425</w:t>
        </w:r>
      </w:hyperlink>
      <w:r w:rsidRPr="00697184">
        <w:rPr>
          <w:rFonts w:ascii="Arial" w:hAnsi="Arial" w:cs="Arial"/>
          <w:sz w:val="22"/>
          <w:szCs w:val="22"/>
        </w:rPr>
        <w:t xml:space="preserve"> (Accessed: 19 July 2026).</w:t>
      </w:r>
    </w:p>
    <w:p w14:paraId="004AEDFB" w14:textId="61E363D6"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Wilkinson, T., Ly, A., </w:t>
      </w:r>
      <w:proofErr w:type="spellStart"/>
      <w:r w:rsidRPr="00697184">
        <w:rPr>
          <w:rFonts w:ascii="Arial" w:hAnsi="Arial" w:cs="Arial"/>
          <w:sz w:val="22"/>
          <w:szCs w:val="22"/>
        </w:rPr>
        <w:t>Schnier</w:t>
      </w:r>
      <w:proofErr w:type="spellEnd"/>
      <w:r w:rsidRPr="00697184">
        <w:rPr>
          <w:rFonts w:ascii="Arial" w:hAnsi="Arial" w:cs="Arial"/>
          <w:sz w:val="22"/>
          <w:szCs w:val="22"/>
        </w:rPr>
        <w:t xml:space="preserve">, C. et al. (2020) ‘New cases of dementia are rising in elderly populations in Wales, UK’, </w:t>
      </w:r>
      <w:r w:rsidRPr="00697184">
        <w:rPr>
          <w:rStyle w:val="Emphasis"/>
          <w:rFonts w:ascii="Arial" w:hAnsi="Arial" w:cs="Arial"/>
          <w:sz w:val="22"/>
          <w:szCs w:val="22"/>
        </w:rPr>
        <w:t>Alzheimer’s &amp; Dementia</w:t>
      </w:r>
      <w:r w:rsidRPr="00697184">
        <w:rPr>
          <w:rFonts w:ascii="Arial" w:hAnsi="Arial" w:cs="Arial"/>
          <w:sz w:val="22"/>
          <w:szCs w:val="22"/>
        </w:rPr>
        <w:t xml:space="preserve">, 16(2), pp.297–307. Available at: </w:t>
      </w:r>
      <w:hyperlink r:id="rId37" w:history="1">
        <w:r w:rsidRPr="00697184">
          <w:rPr>
            <w:rStyle w:val="Hyperlink"/>
            <w:rFonts w:ascii="Arial" w:hAnsi="Arial" w:cs="Arial"/>
            <w:sz w:val="22"/>
            <w:szCs w:val="22"/>
          </w:rPr>
          <w:t>https://doi.org/10.1002/alz.12029</w:t>
        </w:r>
      </w:hyperlink>
      <w:r w:rsidRPr="00697184">
        <w:rPr>
          <w:rFonts w:ascii="Arial" w:hAnsi="Arial" w:cs="Arial"/>
          <w:sz w:val="22"/>
          <w:szCs w:val="22"/>
        </w:rPr>
        <w:t xml:space="preserve"> (Accessed: </w:t>
      </w:r>
      <w:r w:rsidR="00B55BC8">
        <w:rPr>
          <w:rFonts w:ascii="Arial" w:hAnsi="Arial" w:cs="Arial"/>
          <w:sz w:val="22"/>
          <w:szCs w:val="22"/>
        </w:rPr>
        <w:t>10</w:t>
      </w:r>
      <w:r w:rsidRPr="00697184">
        <w:rPr>
          <w:rFonts w:ascii="Arial" w:hAnsi="Arial" w:cs="Arial"/>
          <w:sz w:val="22"/>
          <w:szCs w:val="22"/>
        </w:rPr>
        <w:t xml:space="preserve"> July 2026).</w:t>
      </w:r>
    </w:p>
    <w:p w14:paraId="55986FA7"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World Health Organization (2023) </w:t>
      </w:r>
      <w:r w:rsidRPr="00697184">
        <w:rPr>
          <w:rStyle w:val="Emphasis"/>
          <w:rFonts w:ascii="Arial" w:hAnsi="Arial" w:cs="Arial"/>
          <w:sz w:val="22"/>
          <w:szCs w:val="22"/>
        </w:rPr>
        <w:t>Social determinants of health</w:t>
      </w:r>
      <w:r w:rsidRPr="00697184">
        <w:rPr>
          <w:rFonts w:ascii="Arial" w:hAnsi="Arial" w:cs="Arial"/>
          <w:sz w:val="22"/>
          <w:szCs w:val="22"/>
        </w:rPr>
        <w:t xml:space="preserve">. Geneva: World Health Organization. Available at: </w:t>
      </w:r>
      <w:hyperlink r:id="rId38" w:history="1">
        <w:r w:rsidRPr="00697184">
          <w:rPr>
            <w:rStyle w:val="Hyperlink"/>
            <w:rFonts w:ascii="Arial" w:hAnsi="Arial" w:cs="Arial"/>
            <w:sz w:val="22"/>
            <w:szCs w:val="22"/>
          </w:rPr>
          <w:t>https://www.who.int/health-topics/social-determinants-of-health</w:t>
        </w:r>
      </w:hyperlink>
      <w:r w:rsidRPr="00697184">
        <w:rPr>
          <w:rFonts w:ascii="Arial" w:hAnsi="Arial" w:cs="Arial"/>
          <w:sz w:val="22"/>
          <w:szCs w:val="22"/>
        </w:rPr>
        <w:t xml:space="preserve"> (Accessed: 19 July 2026).</w:t>
      </w:r>
    </w:p>
    <w:p w14:paraId="54003FB9"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World Health Organization (2024) </w:t>
      </w:r>
      <w:r w:rsidRPr="00697184">
        <w:rPr>
          <w:rStyle w:val="Emphasis"/>
          <w:rFonts w:ascii="Arial" w:hAnsi="Arial" w:cs="Arial"/>
          <w:sz w:val="22"/>
          <w:szCs w:val="22"/>
        </w:rPr>
        <w:t>Diabetes</w:t>
      </w:r>
      <w:r w:rsidRPr="00697184">
        <w:rPr>
          <w:rFonts w:ascii="Arial" w:hAnsi="Arial" w:cs="Arial"/>
          <w:sz w:val="22"/>
          <w:szCs w:val="22"/>
        </w:rPr>
        <w:t xml:space="preserve">. Geneva: World Health Organization. Available at: </w:t>
      </w:r>
      <w:hyperlink r:id="rId39" w:history="1">
        <w:r w:rsidRPr="00697184">
          <w:rPr>
            <w:rStyle w:val="Hyperlink"/>
            <w:rFonts w:ascii="Arial" w:hAnsi="Arial" w:cs="Arial"/>
            <w:sz w:val="22"/>
            <w:szCs w:val="22"/>
          </w:rPr>
          <w:t>https://www.who.int/news-room/fact-sheets/detail/diabetes</w:t>
        </w:r>
      </w:hyperlink>
      <w:r w:rsidRPr="00697184">
        <w:rPr>
          <w:rFonts w:ascii="Arial" w:hAnsi="Arial" w:cs="Arial"/>
          <w:sz w:val="22"/>
          <w:szCs w:val="22"/>
        </w:rPr>
        <w:t xml:space="preserve"> (Accessed: 19 July 2026).</w:t>
      </w:r>
    </w:p>
    <w:p w14:paraId="3C1A7EBC" w14:textId="77777777" w:rsidR="00FE6570" w:rsidRPr="00697184" w:rsidRDefault="00FE6570" w:rsidP="00697184">
      <w:pPr>
        <w:spacing w:line="360" w:lineRule="auto"/>
        <w:rPr>
          <w:rFonts w:ascii="Arial" w:hAnsi="Arial" w:cs="Arial"/>
          <w:color w:val="000000" w:themeColor="text1"/>
          <w:sz w:val="22"/>
          <w:szCs w:val="22"/>
        </w:rPr>
      </w:pPr>
    </w:p>
    <w:sectPr w:rsidR="00FE6570" w:rsidRPr="00697184" w:rsidSect="004304CB">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70"/>
    <w:rsid w:val="000201D2"/>
    <w:rsid w:val="00057AC9"/>
    <w:rsid w:val="0007058D"/>
    <w:rsid w:val="00072198"/>
    <w:rsid w:val="000A1006"/>
    <w:rsid w:val="000C40EB"/>
    <w:rsid w:val="000D0D3E"/>
    <w:rsid w:val="000E56F8"/>
    <w:rsid w:val="001057CF"/>
    <w:rsid w:val="001356C5"/>
    <w:rsid w:val="0015131F"/>
    <w:rsid w:val="00170C1A"/>
    <w:rsid w:val="00172135"/>
    <w:rsid w:val="001766C1"/>
    <w:rsid w:val="00184482"/>
    <w:rsid w:val="00186FF5"/>
    <w:rsid w:val="0019639F"/>
    <w:rsid w:val="00197589"/>
    <w:rsid w:val="001A4350"/>
    <w:rsid w:val="001B1A91"/>
    <w:rsid w:val="001C4A27"/>
    <w:rsid w:val="001C66D6"/>
    <w:rsid w:val="001D2580"/>
    <w:rsid w:val="00204E1F"/>
    <w:rsid w:val="00204FB1"/>
    <w:rsid w:val="00205C9F"/>
    <w:rsid w:val="002109F5"/>
    <w:rsid w:val="00234D0D"/>
    <w:rsid w:val="00260390"/>
    <w:rsid w:val="002C043F"/>
    <w:rsid w:val="002C6342"/>
    <w:rsid w:val="002F7CC7"/>
    <w:rsid w:val="0031049C"/>
    <w:rsid w:val="00323913"/>
    <w:rsid w:val="00333A2E"/>
    <w:rsid w:val="003478D9"/>
    <w:rsid w:val="00365F5C"/>
    <w:rsid w:val="003925A1"/>
    <w:rsid w:val="003A21B6"/>
    <w:rsid w:val="003D2258"/>
    <w:rsid w:val="003D6C5E"/>
    <w:rsid w:val="003E2A4F"/>
    <w:rsid w:val="003E6232"/>
    <w:rsid w:val="003E70A8"/>
    <w:rsid w:val="003F0C65"/>
    <w:rsid w:val="004064E4"/>
    <w:rsid w:val="004206A4"/>
    <w:rsid w:val="00420800"/>
    <w:rsid w:val="004304CB"/>
    <w:rsid w:val="00430FD9"/>
    <w:rsid w:val="0044494A"/>
    <w:rsid w:val="0046089F"/>
    <w:rsid w:val="00461C90"/>
    <w:rsid w:val="004628DC"/>
    <w:rsid w:val="0047733E"/>
    <w:rsid w:val="004858CE"/>
    <w:rsid w:val="004E5CCD"/>
    <w:rsid w:val="004F0D5D"/>
    <w:rsid w:val="004F6CAC"/>
    <w:rsid w:val="004F7010"/>
    <w:rsid w:val="00540040"/>
    <w:rsid w:val="00544C10"/>
    <w:rsid w:val="005468E5"/>
    <w:rsid w:val="00547610"/>
    <w:rsid w:val="00586DBE"/>
    <w:rsid w:val="005B3619"/>
    <w:rsid w:val="005D6A3A"/>
    <w:rsid w:val="005F2B98"/>
    <w:rsid w:val="006053F1"/>
    <w:rsid w:val="006116D5"/>
    <w:rsid w:val="00624AE6"/>
    <w:rsid w:val="006377C9"/>
    <w:rsid w:val="006416A5"/>
    <w:rsid w:val="0066686B"/>
    <w:rsid w:val="00667192"/>
    <w:rsid w:val="006838F7"/>
    <w:rsid w:val="006845FA"/>
    <w:rsid w:val="00693A48"/>
    <w:rsid w:val="00697184"/>
    <w:rsid w:val="006A04B4"/>
    <w:rsid w:val="006A2B14"/>
    <w:rsid w:val="006D7376"/>
    <w:rsid w:val="006D7F58"/>
    <w:rsid w:val="006E6EBC"/>
    <w:rsid w:val="006F6E20"/>
    <w:rsid w:val="0070432A"/>
    <w:rsid w:val="00707F19"/>
    <w:rsid w:val="00715677"/>
    <w:rsid w:val="00740823"/>
    <w:rsid w:val="007B2E56"/>
    <w:rsid w:val="007B36F2"/>
    <w:rsid w:val="007B3963"/>
    <w:rsid w:val="007B67DF"/>
    <w:rsid w:val="007C501D"/>
    <w:rsid w:val="007D18B5"/>
    <w:rsid w:val="007D3589"/>
    <w:rsid w:val="008129F2"/>
    <w:rsid w:val="008147A4"/>
    <w:rsid w:val="00845CB0"/>
    <w:rsid w:val="00847B57"/>
    <w:rsid w:val="00870068"/>
    <w:rsid w:val="008848EF"/>
    <w:rsid w:val="00890574"/>
    <w:rsid w:val="008A6F5C"/>
    <w:rsid w:val="008B6050"/>
    <w:rsid w:val="008E1BED"/>
    <w:rsid w:val="00907F32"/>
    <w:rsid w:val="00921BAD"/>
    <w:rsid w:val="00935135"/>
    <w:rsid w:val="00936EBA"/>
    <w:rsid w:val="00952B97"/>
    <w:rsid w:val="0096425D"/>
    <w:rsid w:val="0096585A"/>
    <w:rsid w:val="00970641"/>
    <w:rsid w:val="00970650"/>
    <w:rsid w:val="009827C3"/>
    <w:rsid w:val="009C1A33"/>
    <w:rsid w:val="009D16AB"/>
    <w:rsid w:val="009D4344"/>
    <w:rsid w:val="009F3CCD"/>
    <w:rsid w:val="009F6CB3"/>
    <w:rsid w:val="00A07C5B"/>
    <w:rsid w:val="00A17677"/>
    <w:rsid w:val="00A17725"/>
    <w:rsid w:val="00A20F3C"/>
    <w:rsid w:val="00A24B7E"/>
    <w:rsid w:val="00A30646"/>
    <w:rsid w:val="00AA0024"/>
    <w:rsid w:val="00AA4242"/>
    <w:rsid w:val="00AB0A64"/>
    <w:rsid w:val="00AD4DFA"/>
    <w:rsid w:val="00B030C0"/>
    <w:rsid w:val="00B1449C"/>
    <w:rsid w:val="00B34AB8"/>
    <w:rsid w:val="00B54ECD"/>
    <w:rsid w:val="00B55BC8"/>
    <w:rsid w:val="00B62DEA"/>
    <w:rsid w:val="00B734A0"/>
    <w:rsid w:val="00BB7E07"/>
    <w:rsid w:val="00BE5366"/>
    <w:rsid w:val="00C03D67"/>
    <w:rsid w:val="00C04E89"/>
    <w:rsid w:val="00C04EB7"/>
    <w:rsid w:val="00C07197"/>
    <w:rsid w:val="00C21F0E"/>
    <w:rsid w:val="00C414EF"/>
    <w:rsid w:val="00C421AC"/>
    <w:rsid w:val="00C74B35"/>
    <w:rsid w:val="00C804B7"/>
    <w:rsid w:val="00C81EE0"/>
    <w:rsid w:val="00C96EB4"/>
    <w:rsid w:val="00CF3C0B"/>
    <w:rsid w:val="00D0109C"/>
    <w:rsid w:val="00D03163"/>
    <w:rsid w:val="00D031BE"/>
    <w:rsid w:val="00D03BF2"/>
    <w:rsid w:val="00D414EC"/>
    <w:rsid w:val="00D44015"/>
    <w:rsid w:val="00D53B2C"/>
    <w:rsid w:val="00D6239A"/>
    <w:rsid w:val="00D94AFD"/>
    <w:rsid w:val="00D96728"/>
    <w:rsid w:val="00D97338"/>
    <w:rsid w:val="00DA07CF"/>
    <w:rsid w:val="00DC4F55"/>
    <w:rsid w:val="00DC5391"/>
    <w:rsid w:val="00E05722"/>
    <w:rsid w:val="00E218A1"/>
    <w:rsid w:val="00E225F6"/>
    <w:rsid w:val="00E2468C"/>
    <w:rsid w:val="00E4050E"/>
    <w:rsid w:val="00E42CD0"/>
    <w:rsid w:val="00E72AA3"/>
    <w:rsid w:val="00E812D2"/>
    <w:rsid w:val="00EA41A6"/>
    <w:rsid w:val="00F02A01"/>
    <w:rsid w:val="00F251E0"/>
    <w:rsid w:val="00F34304"/>
    <w:rsid w:val="00F42C86"/>
    <w:rsid w:val="00F63D00"/>
    <w:rsid w:val="00F663E2"/>
    <w:rsid w:val="00F84FB9"/>
    <w:rsid w:val="00F958EE"/>
    <w:rsid w:val="00FA01D0"/>
    <w:rsid w:val="00FA1426"/>
    <w:rsid w:val="00FB577D"/>
    <w:rsid w:val="00FC257A"/>
    <w:rsid w:val="00FC264C"/>
    <w:rsid w:val="00FC7EA3"/>
    <w:rsid w:val="00FE0AE6"/>
    <w:rsid w:val="00FE6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E64511"/>
  <w15:chartTrackingRefBased/>
  <w15:docId w15:val="{45AC2404-E0A5-D24C-880C-1BB8B17C1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5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65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5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5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5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5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5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5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5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65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5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5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5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570"/>
    <w:rPr>
      <w:rFonts w:eastAsiaTheme="majorEastAsia" w:cstheme="majorBidi"/>
      <w:color w:val="272727" w:themeColor="text1" w:themeTint="D8"/>
    </w:rPr>
  </w:style>
  <w:style w:type="paragraph" w:styleId="Title">
    <w:name w:val="Title"/>
    <w:basedOn w:val="Normal"/>
    <w:next w:val="Normal"/>
    <w:link w:val="TitleChar"/>
    <w:uiPriority w:val="10"/>
    <w:qFormat/>
    <w:rsid w:val="00FE65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5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570"/>
    <w:pPr>
      <w:spacing w:before="160"/>
      <w:jc w:val="center"/>
    </w:pPr>
    <w:rPr>
      <w:i/>
      <w:iCs/>
      <w:color w:val="404040" w:themeColor="text1" w:themeTint="BF"/>
    </w:rPr>
  </w:style>
  <w:style w:type="character" w:customStyle="1" w:styleId="QuoteChar">
    <w:name w:val="Quote Char"/>
    <w:basedOn w:val="DefaultParagraphFont"/>
    <w:link w:val="Quote"/>
    <w:uiPriority w:val="29"/>
    <w:rsid w:val="00FE6570"/>
    <w:rPr>
      <w:i/>
      <w:iCs/>
      <w:color w:val="404040" w:themeColor="text1" w:themeTint="BF"/>
    </w:rPr>
  </w:style>
  <w:style w:type="paragraph" w:styleId="ListParagraph">
    <w:name w:val="List Paragraph"/>
    <w:basedOn w:val="Normal"/>
    <w:uiPriority w:val="34"/>
    <w:qFormat/>
    <w:rsid w:val="00FE6570"/>
    <w:pPr>
      <w:ind w:left="720"/>
      <w:contextualSpacing/>
    </w:pPr>
  </w:style>
  <w:style w:type="character" w:styleId="IntenseEmphasis">
    <w:name w:val="Intense Emphasis"/>
    <w:basedOn w:val="DefaultParagraphFont"/>
    <w:uiPriority w:val="21"/>
    <w:qFormat/>
    <w:rsid w:val="00FE6570"/>
    <w:rPr>
      <w:i/>
      <w:iCs/>
      <w:color w:val="0F4761" w:themeColor="accent1" w:themeShade="BF"/>
    </w:rPr>
  </w:style>
  <w:style w:type="paragraph" w:styleId="IntenseQuote">
    <w:name w:val="Intense Quote"/>
    <w:basedOn w:val="Normal"/>
    <w:next w:val="Normal"/>
    <w:link w:val="IntenseQuoteChar"/>
    <w:uiPriority w:val="30"/>
    <w:qFormat/>
    <w:rsid w:val="00FE65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570"/>
    <w:rPr>
      <w:i/>
      <w:iCs/>
      <w:color w:val="0F4761" w:themeColor="accent1" w:themeShade="BF"/>
    </w:rPr>
  </w:style>
  <w:style w:type="character" w:styleId="IntenseReference">
    <w:name w:val="Intense Reference"/>
    <w:basedOn w:val="DefaultParagraphFont"/>
    <w:uiPriority w:val="32"/>
    <w:qFormat/>
    <w:rsid w:val="00FE6570"/>
    <w:rPr>
      <w:b/>
      <w:bCs/>
      <w:smallCaps/>
      <w:color w:val="0F4761" w:themeColor="accent1" w:themeShade="BF"/>
      <w:spacing w:val="5"/>
    </w:rPr>
  </w:style>
  <w:style w:type="paragraph" w:styleId="NormalWeb">
    <w:name w:val="Normal (Web)"/>
    <w:basedOn w:val="Normal"/>
    <w:uiPriority w:val="99"/>
    <w:semiHidden/>
    <w:unhideWhenUsed/>
    <w:rsid w:val="009C1A3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C1A33"/>
    <w:rPr>
      <w:b/>
      <w:bCs/>
    </w:rPr>
  </w:style>
  <w:style w:type="character" w:styleId="Hyperlink">
    <w:name w:val="Hyperlink"/>
    <w:basedOn w:val="DefaultParagraphFont"/>
    <w:uiPriority w:val="99"/>
    <w:unhideWhenUsed/>
    <w:rsid w:val="00F42C86"/>
    <w:rPr>
      <w:color w:val="467886" w:themeColor="hyperlink"/>
      <w:u w:val="single"/>
    </w:rPr>
  </w:style>
  <w:style w:type="character" w:styleId="UnresolvedMention">
    <w:name w:val="Unresolved Mention"/>
    <w:basedOn w:val="DefaultParagraphFont"/>
    <w:uiPriority w:val="99"/>
    <w:semiHidden/>
    <w:unhideWhenUsed/>
    <w:rsid w:val="00F42C86"/>
    <w:rPr>
      <w:color w:val="605E5C"/>
      <w:shd w:val="clear" w:color="auto" w:fill="E1DFDD"/>
    </w:rPr>
  </w:style>
  <w:style w:type="character" w:styleId="Emphasis">
    <w:name w:val="Emphasis"/>
    <w:basedOn w:val="DefaultParagraphFont"/>
    <w:uiPriority w:val="20"/>
    <w:qFormat/>
    <w:rsid w:val="00C74B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ubh.2024.1477418" TargetMode="External" /><Relationship Id="rId13" Type="http://schemas.openxmlformats.org/officeDocument/2006/relationships/hyperlink" Target="https://ageing-better.org.uk/our-state-ageing-report" TargetMode="External" /><Relationship Id="rId18" Type="http://schemas.openxmlformats.org/officeDocument/2006/relationships/hyperlink" Target="https://doi.org/10.1111/dme.13995" TargetMode="External" /><Relationship Id="rId26" Type="http://schemas.openxmlformats.org/officeDocument/2006/relationships/hyperlink" Target="https://natcen.ac.uk/" TargetMode="External" /><Relationship Id="rId39" Type="http://schemas.openxmlformats.org/officeDocument/2006/relationships/hyperlink" Target="https://www.who.int/news-room/fact-sheets/detail/diabetes" TargetMode="External" /><Relationship Id="rId3" Type="http://schemas.openxmlformats.org/officeDocument/2006/relationships/webSettings" Target="webSettings.xml" /><Relationship Id="rId21" Type="http://schemas.openxmlformats.org/officeDocument/2006/relationships/hyperlink" Target="https://www.jrf.org.uk/uk-poverty-2025" TargetMode="External" /><Relationship Id="rId34" Type="http://schemas.openxmlformats.org/officeDocument/2006/relationships/hyperlink" Target="https://doi.org/10.1093/geronb/gbx082" TargetMode="External" /><Relationship Id="rId7" Type="http://schemas.openxmlformats.org/officeDocument/2006/relationships/hyperlink" Target="https://www.alzheimers.org.uk/about-us/news-and-media/facts-media" TargetMode="External" /><Relationship Id="rId12" Type="http://schemas.openxmlformats.org/officeDocument/2006/relationships/hyperlink" Target="https://www.birminghamsolihull.icb.nhs.uk/news-and-events/news/451m-awarded-boost-community-care-thousands-birmingham?utm_source=chatgpt.com" TargetMode="External" /><Relationship Id="rId17" Type="http://schemas.openxmlformats.org/officeDocument/2006/relationships/hyperlink" Target="https://foundations.uk.com/resources/cold-homes/" TargetMode="External" /><Relationship Id="rId25" Type="http://schemas.openxmlformats.org/officeDocument/2006/relationships/hyperlink" Target="https://www.nice.org.uk/guidance/ng28" TargetMode="External" /><Relationship Id="rId33" Type="http://schemas.openxmlformats.org/officeDocument/2006/relationships/hyperlink" Target="https://doi.org/10.1038/sj.bdj.2009.789" TargetMode="External" /><Relationship Id="rId38" Type="http://schemas.openxmlformats.org/officeDocument/2006/relationships/hyperlink" Target="https://www.who.int/health-topics/social-determinants-of-health" TargetMode="External" /><Relationship Id="rId2" Type="http://schemas.openxmlformats.org/officeDocument/2006/relationships/settings" Target="settings.xml" /><Relationship Id="rId16" Type="http://schemas.openxmlformats.org/officeDocument/2006/relationships/hyperlink" Target="https://www.diabetes.org.uk/about-us/news-and-views/one-five-adults-now-live-diabetes-or-prediabetes-uk" TargetMode="External" /><Relationship Id="rId20" Type="http://schemas.openxmlformats.org/officeDocument/2006/relationships/hyperlink" Target="https://diabetesatlas.org/" TargetMode="External" /><Relationship Id="rId29" Type="http://schemas.openxmlformats.org/officeDocument/2006/relationships/hyperlink" Target="https://digital.nhs.uk/data-and-information/clinical-audits-and-registries/national-diabetes-audit" TargetMode="External" /><Relationship Id="rId41"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ageuk.org.uk/information-advice/health-wellbeing/loneliness/" TargetMode="External" /><Relationship Id="rId11" Type="http://schemas.openxmlformats.org/officeDocument/2006/relationships/hyperlink" Target="https://www.birminghamsolihullics.org.uk/our-initiatives/fairer-futures-fund/locality-partnership-fund?utm_source=chatgpt.com" TargetMode="External" /><Relationship Id="rId24" Type="http://schemas.openxmlformats.org/officeDocument/2006/relationships/hyperlink" Target="https://doi.org/10.1016/j.puhe.2012.05.014" TargetMode="External" /><Relationship Id="rId32" Type="http://schemas.openxmlformats.org/officeDocument/2006/relationships/hyperlink" Target="https://www.ons.gov.uk/peoplepopulationandcommunity/populationandmigration/populationestimates" TargetMode="External" /><Relationship Id="rId37" Type="http://schemas.openxmlformats.org/officeDocument/2006/relationships/hyperlink" Target="https://doi.org/10.1002/alz.12029" TargetMode="External" /><Relationship Id="rId40" Type="http://schemas.openxmlformats.org/officeDocument/2006/relationships/fontTable" Target="fontTable.xml" /><Relationship Id="rId5" Type="http://schemas.openxmlformats.org/officeDocument/2006/relationships/hyperlink" Target="https://www.ageuk.org.uk/discover/2025/older-people-bearing-brunt-of-rundown-health-and-care-system/" TargetMode="External" /><Relationship Id="rId15" Type="http://schemas.openxmlformats.org/officeDocument/2006/relationships/hyperlink" Target="https://www.diabetes.org.uk/about-us/about-our-charity/statistics" TargetMode="External" /><Relationship Id="rId23" Type="http://schemas.openxmlformats.org/officeDocument/2006/relationships/hyperlink" Target="https://www.instituteofhealthequity.org/resources-reports/fair-society-healthy-lives-the-marmot-review" TargetMode="External" /><Relationship Id="rId28" Type="http://schemas.openxmlformats.org/officeDocument/2006/relationships/hyperlink" Target="https://www.longtermplan.nhs.uk/" TargetMode="External" /><Relationship Id="rId36" Type="http://schemas.openxmlformats.org/officeDocument/2006/relationships/hyperlink" Target="https://doi.org/10.2337/dc19-1425" TargetMode="External" /><Relationship Id="rId10" Type="http://schemas.openxmlformats.org/officeDocument/2006/relationships/hyperlink" Target="https://www.birminghamsolihull.icb.nhs.uk/news-and-events/news/grassroots-projects-transform-lives-those-living-diabetes?utm_source=chatgpt.com" TargetMode="External" /><Relationship Id="rId19" Type="http://schemas.openxmlformats.org/officeDocument/2006/relationships/hyperlink" Target="https://www.gov.uk/government/publications/a-connected-society-a-strategy-for-tackling-loneliness" TargetMode="External" /><Relationship Id="rId31" Type="http://schemas.openxmlformats.org/officeDocument/2006/relationships/hyperlink" Target="https://fingertips.phe.org.uk/profile/diabetes" TargetMode="External" /><Relationship Id="rId4" Type="http://schemas.openxmlformats.org/officeDocument/2006/relationships/image" Target="media/image1.jpeg" /><Relationship Id="rId9" Type="http://schemas.openxmlformats.org/officeDocument/2006/relationships/hyperlink" Target="https://doi.org/10.3310/MWKJ5102" TargetMode="External" /><Relationship Id="rId14" Type="http://schemas.openxmlformats.org/officeDocument/2006/relationships/hyperlink" Target="https://www.gov.uk/government/collections/income-related-benefits-estimates-of-take-up" TargetMode="External" /><Relationship Id="rId22" Type="http://schemas.openxmlformats.org/officeDocument/2006/relationships/hyperlink" Target="https://www.kingsfund.org.uk/insight-and-analysis/long-reads" TargetMode="External" /><Relationship Id="rId27" Type="http://schemas.openxmlformats.org/officeDocument/2006/relationships/hyperlink" Target="https://www.nihr.ac.uk" TargetMode="External" /><Relationship Id="rId30" Type="http://schemas.openxmlformats.org/officeDocument/2006/relationships/hyperlink" Target="https://digital.nhs.uk/data-and-information/publications/statistical/primary-care-dementia-data" TargetMode="External" /><Relationship Id="rId35" Type="http://schemas.openxmlformats.org/officeDocument/2006/relationships/hyperlink" Target="https://doi.org/10.1007/s00125-011-2374-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457</TotalTime>
  <Pages>13</Pages>
  <Words>4597</Words>
  <Characters>26206</Characters>
  <Application>Microsoft Office Word</Application>
  <DocSecurity>0</DocSecurity>
  <Lines>218</Lines>
  <Paragraphs>61</Paragraphs>
  <ScaleCrop>false</ScaleCrop>
  <Company/>
  <LinksUpToDate>false</LinksUpToDate>
  <CharactersWithSpaces>30742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191</cp:revision>
  <dcterms:created xsi:type="dcterms:W3CDTF">2026-07-19T08:58:00Z</dcterms:created>
  <dcterms:modified xsi:type="dcterms:W3CDTF">2026-07-19T17:24:00Z</dcterms:modified>
</cp:coreProperties>
</file>