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6AF35C" w14:textId="7643DBFD" w:rsidR="00D077E9" w:rsidRDefault="00E73498" w:rsidP="00D70D02">
      <w:r>
        <w:rPr>
          <w:noProof/>
        </w:rPr>
        <w:drawing>
          <wp:anchor distT="0" distB="0" distL="114300" distR="114300" simplePos="0" relativeHeight="251664384" behindDoc="0" locked="0" layoutInCell="1" allowOverlap="1" wp14:anchorId="54686CB9" wp14:editId="0B08C061">
            <wp:simplePos x="0" y="0"/>
            <wp:positionH relativeFrom="page">
              <wp:align>left</wp:align>
            </wp:positionH>
            <wp:positionV relativeFrom="paragraph">
              <wp:posOffset>-1200785</wp:posOffset>
            </wp:positionV>
            <wp:extent cx="7782608" cy="6786245"/>
            <wp:effectExtent l="0" t="0" r="8890" b="0"/>
            <wp:wrapNone/>
            <wp:docPr id="97793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93530" name=""/>
                    <pic:cNvPicPr/>
                  </pic:nvPicPr>
                  <pic:blipFill rotWithShape="1">
                    <a:blip r:embed="rId7">
                      <a:extLst>
                        <a:ext uri="{28A0092B-C50C-407E-A947-70E740481C1C}">
                          <a14:useLocalDpi xmlns:a14="http://schemas.microsoft.com/office/drawing/2010/main" val="0"/>
                        </a:ext>
                      </a:extLst>
                    </a:blip>
                    <a:srcRect l="69907" t="35256" r="6008" b="27207"/>
                    <a:stretch>
                      <a:fillRect/>
                    </a:stretch>
                  </pic:blipFill>
                  <pic:spPr bwMode="auto">
                    <a:xfrm>
                      <a:off x="0" y="0"/>
                      <a:ext cx="7782608" cy="6786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56506CB5" w14:textId="77777777" w:rsidTr="00D077E9">
        <w:trPr>
          <w:trHeight w:val="1894"/>
        </w:trPr>
        <w:tc>
          <w:tcPr>
            <w:tcW w:w="5580" w:type="dxa"/>
            <w:tcBorders>
              <w:top w:val="nil"/>
              <w:left w:val="nil"/>
              <w:bottom w:val="nil"/>
              <w:right w:val="nil"/>
            </w:tcBorders>
          </w:tcPr>
          <w:p w14:paraId="2A06DC67" w14:textId="637A7FED" w:rsidR="00D077E9" w:rsidRDefault="00D077E9" w:rsidP="00D077E9"/>
          <w:p w14:paraId="644215EF" w14:textId="422BE12A" w:rsidR="00D077E9" w:rsidRDefault="00D077E9" w:rsidP="00D077E9"/>
        </w:tc>
      </w:tr>
      <w:tr w:rsidR="00D077E9" w14:paraId="1FDEE123" w14:textId="77777777" w:rsidTr="00D077E9">
        <w:trPr>
          <w:trHeight w:val="7636"/>
        </w:trPr>
        <w:tc>
          <w:tcPr>
            <w:tcW w:w="5580" w:type="dxa"/>
            <w:tcBorders>
              <w:top w:val="nil"/>
              <w:left w:val="nil"/>
              <w:bottom w:val="nil"/>
              <w:right w:val="nil"/>
            </w:tcBorders>
          </w:tcPr>
          <w:p w14:paraId="66673165" w14:textId="00E98850" w:rsidR="00D077E9" w:rsidRDefault="00E73498" w:rsidP="00D077E9">
            <w:pPr>
              <w:rPr>
                <w:noProof/>
              </w:rPr>
            </w:pPr>
            <w:r>
              <w:rPr>
                <w:noProof/>
              </w:rPr>
              <mc:AlternateContent>
                <mc:Choice Requires="wps">
                  <w:drawing>
                    <wp:anchor distT="0" distB="0" distL="114300" distR="114300" simplePos="0" relativeHeight="251663360" behindDoc="0" locked="0" layoutInCell="1" allowOverlap="1" wp14:anchorId="023545AE" wp14:editId="305F271E">
                      <wp:simplePos x="0" y="0"/>
                      <wp:positionH relativeFrom="column">
                        <wp:posOffset>-5080</wp:posOffset>
                      </wp:positionH>
                      <wp:positionV relativeFrom="paragraph">
                        <wp:posOffset>1031277</wp:posOffset>
                      </wp:positionV>
                      <wp:extent cx="1390918" cy="0"/>
                      <wp:effectExtent l="0" t="19050" r="19050" b="19050"/>
                      <wp:wrapNone/>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33B2E13" id="Straight Connector 5" o:spid="_x0000_s1026" alt="text divider"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4pt,81.2pt" to="109.1pt,8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" strokecolor="#082a75 [3215]" strokeweight="3pt"/>
                  </w:pict>
                </mc:Fallback>
              </mc:AlternateContent>
            </w:r>
          </w:p>
        </w:tc>
      </w:tr>
      <w:tr w:rsidR="00D077E9" w14:paraId="75C90545" w14:textId="77777777" w:rsidTr="00D077E9">
        <w:trPr>
          <w:trHeight w:val="2171"/>
        </w:trPr>
        <w:tc>
          <w:tcPr>
            <w:tcW w:w="5580" w:type="dxa"/>
            <w:tcBorders>
              <w:top w:val="nil"/>
              <w:left w:val="nil"/>
              <w:bottom w:val="nil"/>
              <w:right w:val="nil"/>
            </w:tcBorders>
          </w:tcPr>
          <w:sdt>
            <w:sdtPr>
              <w:id w:val="1080870105"/>
              <w:placeholder>
                <w:docPart w:val="AD82D92768E047D99D1F7294B82EEC30"/>
              </w:placeholder>
              <w15:appearance w15:val="hidden"/>
            </w:sdtPr>
            <w:sdtContent>
              <w:p w14:paraId="446FAF57" w14:textId="4D9BDCAB" w:rsidR="00D077E9" w:rsidRDefault="00CD65A6" w:rsidP="00D077E9">
                <w:r>
                  <w:rPr>
                    <w:noProof/>
                  </w:rPr>
                  <mc:AlternateContent>
                    <mc:Choice Requires="wps">
                      <w:drawing>
                        <wp:anchor distT="0" distB="0" distL="114300" distR="114300" simplePos="0" relativeHeight="251665408" behindDoc="0" locked="0" layoutInCell="1" allowOverlap="1" wp14:anchorId="2E81C4ED" wp14:editId="04D68E5C">
                          <wp:simplePos x="0" y="0"/>
                          <wp:positionH relativeFrom="column">
                            <wp:posOffset>111570</wp:posOffset>
                          </wp:positionH>
                          <wp:positionV relativeFrom="paragraph">
                            <wp:posOffset>-740666</wp:posOffset>
                          </wp:positionV>
                          <wp:extent cx="6068291" cy="2043953"/>
                          <wp:effectExtent l="0" t="0" r="0" b="0"/>
                          <wp:wrapNone/>
                          <wp:docPr id="8" name="Text Box 8"/>
                          <wp:cNvGraphicFramePr/>
                          <a:graphic xmlns:a="http://schemas.openxmlformats.org/drawingml/2006/main">
                            <a:graphicData uri="http://schemas.microsoft.com/office/word/2010/wordprocessingShape">
                              <wps:wsp>
                                <wps:cNvSpPr txBox="1"/>
                                <wps:spPr>
                                  <a:xfrm>
                                    <a:off x="0" y="0"/>
                                    <a:ext cx="6068291" cy="2043953"/>
                                  </a:xfrm>
                                  <a:prstGeom prst="rect">
                                    <a:avLst/>
                                  </a:prstGeom>
                                  <a:noFill/>
                                  <a:ln w="6350">
                                    <a:noFill/>
                                  </a:ln>
                                </wps:spPr>
                                <wps:txbx>
                                  <w:txbxContent>
                                    <w:p w14:paraId="385045E6" w14:textId="2F30F67D" w:rsidR="00D077E9" w:rsidRPr="00CD65A6" w:rsidRDefault="00E73498" w:rsidP="00CD65A6">
                                      <w:pPr>
                                        <w:pStyle w:val="Title"/>
                                        <w:jc w:val="center"/>
                                        <w:rPr>
                                          <w:rFonts w:ascii="Times New Roman" w:hAnsi="Times New Roman" w:cs="Times New Roman"/>
                                          <w:sz w:val="48"/>
                                          <w:szCs w:val="40"/>
                                        </w:rPr>
                                      </w:pPr>
                                      <w:r w:rsidRPr="00CD65A6">
                                        <w:rPr>
                                          <w:rFonts w:ascii="Times New Roman" w:hAnsi="Times New Roman" w:cs="Times New Roman"/>
                                          <w:sz w:val="48"/>
                                          <w:szCs w:val="40"/>
                                        </w:rPr>
                                        <w:t>The Impact of Artificial Technology on Risk Management: A Case Study of Superstruct Entertainment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81C4ED" id="_x0000_t202" coordsize="21600,21600" o:spt="202" path="m,l,21600r21600,l21600,xe">
                          <v:stroke joinstyle="miter"/>
                          <v:path gradientshapeok="t" o:connecttype="rect"/>
                        </v:shapetype>
                        <v:shape id="Text Box 8" o:spid="_x0000_s1026" type="#_x0000_t202" style="position:absolute;margin-left:8.8pt;margin-top:-58.3pt;width:477.8pt;height:160.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" filled="f" stroked="f" strokeweight=".5pt">
                          <v:textbox>
                            <w:txbxContent>
                              <w:p w14:paraId="385045E6" w14:textId="2F30F67D" w:rsidR="00D077E9" w:rsidRPr="00CD65A6" w:rsidRDefault="00E73498" w:rsidP="00CD65A6">
                                <w:pPr>
                                  <w:pStyle w:val="Title"/>
                                  <w:jc w:val="center"/>
                                  <w:rPr>
                                    <w:rFonts w:ascii="Times New Roman" w:hAnsi="Times New Roman" w:cs="Times New Roman"/>
                                    <w:sz w:val="48"/>
                                    <w:szCs w:val="40"/>
                                  </w:rPr>
                                </w:pPr>
                                <w:r w:rsidRPr="00CD65A6">
                                  <w:rPr>
                                    <w:rFonts w:ascii="Times New Roman" w:hAnsi="Times New Roman" w:cs="Times New Roman"/>
                                    <w:sz w:val="48"/>
                                    <w:szCs w:val="40"/>
                                  </w:rPr>
                                  <w:t>The Impact of Artificial Technology on Risk Management: A Case Study of Superstruct Entertainment</w:t>
                                </w:r>
                              </w:p>
                            </w:txbxContent>
                          </v:textbox>
                        </v:shape>
                      </w:pict>
                    </mc:Fallback>
                  </mc:AlternateContent>
                </w:r>
                <w:r w:rsidR="00D077E9" w:rsidRPr="00D86945">
                  <w:rPr>
                    <w:rStyle w:val="SubtitleChar"/>
                    <w:b w:val="0"/>
                  </w:rPr>
                  <w:fldChar w:fldCharType="begin"/>
                </w:r>
                <w:r w:rsidR="00D077E9" w:rsidRPr="00D86945">
                  <w:rPr>
                    <w:rStyle w:val="SubtitleChar"/>
                    <w:b w:val="0"/>
                  </w:rPr>
                  <w:instrText xml:space="preserve"> DATE  \@ "MMMM d"  \* MERGEFORMAT </w:instrText>
                </w:r>
                <w:r w:rsidR="00D077E9" w:rsidRPr="00D86945">
                  <w:rPr>
                    <w:rStyle w:val="SubtitleChar"/>
                    <w:b w:val="0"/>
                  </w:rPr>
                  <w:fldChar w:fldCharType="separate"/>
                </w:r>
                <w:r w:rsidR="009C2583">
                  <w:rPr>
                    <w:rStyle w:val="SubtitleChar"/>
                    <w:b w:val="0"/>
                    <w:noProof/>
                  </w:rPr>
                  <w:t>April 27</w:t>
                </w:r>
                <w:r w:rsidR="00D077E9" w:rsidRPr="00D86945">
                  <w:rPr>
                    <w:rStyle w:val="SubtitleChar"/>
                    <w:b w:val="0"/>
                  </w:rPr>
                  <w:fldChar w:fldCharType="end"/>
                </w:r>
              </w:p>
            </w:sdtContent>
          </w:sdt>
          <w:p w14:paraId="0BA67C38"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05221EEA" wp14:editId="0908A099">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47AB96F"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0CF81B22" w14:textId="61EF70C8" w:rsidR="00D077E9" w:rsidRDefault="00D077E9" w:rsidP="00D077E9">
            <w:pPr>
              <w:rPr>
                <w:noProof/>
                <w:sz w:val="10"/>
                <w:szCs w:val="10"/>
              </w:rPr>
            </w:pPr>
          </w:p>
          <w:p w14:paraId="25358FF7" w14:textId="2D8B90FD" w:rsidR="00D077E9" w:rsidRDefault="00CD65A6" w:rsidP="00D077E9">
            <w:pPr>
              <w:rPr>
                <w:noProof/>
                <w:sz w:val="10"/>
                <w:szCs w:val="10"/>
              </w:rPr>
            </w:pPr>
            <w:r>
              <w:rPr>
                <w:noProof/>
                <w:sz w:val="10"/>
                <w:szCs w:val="10"/>
              </w:rPr>
              <mc:AlternateContent>
                <mc:Choice Requires="wps">
                  <w:drawing>
                    <wp:anchor distT="0" distB="0" distL="114300" distR="114300" simplePos="0" relativeHeight="251666432" behindDoc="0" locked="0" layoutInCell="1" allowOverlap="1" wp14:anchorId="391CB8C0" wp14:editId="410EC2D2">
                      <wp:simplePos x="0" y="0"/>
                      <wp:positionH relativeFrom="column">
                        <wp:posOffset>1429319</wp:posOffset>
                      </wp:positionH>
                      <wp:positionV relativeFrom="paragraph">
                        <wp:posOffset>66040</wp:posOffset>
                      </wp:positionV>
                      <wp:extent cx="3443844" cy="0"/>
                      <wp:effectExtent l="0" t="0" r="0" b="0"/>
                      <wp:wrapNone/>
                      <wp:docPr id="647373439" name="Straight Connector 2"/>
                      <wp:cNvGraphicFramePr/>
                      <a:graphic xmlns:a="http://schemas.openxmlformats.org/drawingml/2006/main">
                        <a:graphicData uri="http://schemas.microsoft.com/office/word/2010/wordprocessingShape">
                          <wps:wsp>
                            <wps:cNvCnPr/>
                            <wps:spPr>
                              <a:xfrm flipH="1">
                                <a:off x="0" y="0"/>
                                <a:ext cx="3443844" cy="0"/>
                              </a:xfrm>
                              <a:prstGeom prst="line">
                                <a:avLst/>
                              </a:prstGeom>
                              <a:ln w="19050">
                                <a:solidFill>
                                  <a:schemeClr val="tx1">
                                    <a:lumMod val="75000"/>
                                    <a:lumOff val="2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CCF4D1" id="Straight Connector 2"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112.55pt,5.2pt" to="383.7pt,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" strokecolor="#2e287f [2429]" strokeweight="1.5pt"/>
                  </w:pict>
                </mc:Fallback>
              </mc:AlternateContent>
            </w:r>
          </w:p>
          <w:p w14:paraId="12E0BB71" w14:textId="5E461133" w:rsidR="00D077E9" w:rsidRDefault="00381B3D" w:rsidP="00D077E9">
            <w:r>
              <w:rPr>
                <w:noProof/>
              </w:rPr>
              <mc:AlternateContent>
                <mc:Choice Requires="wps">
                  <w:drawing>
                    <wp:anchor distT="0" distB="0" distL="114300" distR="114300" simplePos="0" relativeHeight="251667456" behindDoc="0" locked="0" layoutInCell="1" allowOverlap="1" wp14:anchorId="0F47C73A" wp14:editId="56315097">
                      <wp:simplePos x="0" y="0"/>
                      <wp:positionH relativeFrom="column">
                        <wp:posOffset>1489166</wp:posOffset>
                      </wp:positionH>
                      <wp:positionV relativeFrom="paragraph">
                        <wp:posOffset>84619</wp:posOffset>
                      </wp:positionV>
                      <wp:extent cx="3289464" cy="1211283"/>
                      <wp:effectExtent l="0" t="0" r="6350" b="8255"/>
                      <wp:wrapNone/>
                      <wp:docPr id="1268081876" name="Text Box 3"/>
                      <wp:cNvGraphicFramePr/>
                      <a:graphic xmlns:a="http://schemas.openxmlformats.org/drawingml/2006/main">
                        <a:graphicData uri="http://schemas.microsoft.com/office/word/2010/wordprocessingShape">
                          <wps:wsp>
                            <wps:cNvSpPr txBox="1"/>
                            <wps:spPr>
                              <a:xfrm>
                                <a:off x="0" y="0"/>
                                <a:ext cx="3289464" cy="1211283"/>
                              </a:xfrm>
                              <a:prstGeom prst="rect">
                                <a:avLst/>
                              </a:prstGeom>
                              <a:solidFill>
                                <a:schemeClr val="lt1"/>
                              </a:solidFill>
                              <a:ln w="6350">
                                <a:noFill/>
                              </a:ln>
                            </wps:spPr>
                            <wps:txbx>
                              <w:txbxContent>
                                <w:p w14:paraId="4161814B" w14:textId="43F118CF" w:rsidR="00CD65A6" w:rsidRPr="00381B3D" w:rsidRDefault="00CD65A6" w:rsidP="00381B3D">
                                  <w:pPr>
                                    <w:jc w:val="center"/>
                                    <w:rPr>
                                      <w:b w:val="0"/>
                                      <w:bCs/>
                                    </w:rPr>
                                  </w:pPr>
                                  <w:r w:rsidRPr="00381B3D">
                                    <w:rPr>
                                      <w:b w:val="0"/>
                                      <w:bCs/>
                                    </w:rPr>
                                    <w:t>Global Business Challenges (BMMB7006)</w:t>
                                  </w:r>
                                </w:p>
                                <w:p w14:paraId="3AEB7A04" w14:textId="7ACDDB1F" w:rsidR="00CD65A6" w:rsidRPr="00381B3D" w:rsidRDefault="00CD65A6" w:rsidP="00381B3D">
                                  <w:pPr>
                                    <w:jc w:val="center"/>
                                    <w:rPr>
                                      <w:b w:val="0"/>
                                      <w:bCs/>
                                    </w:rPr>
                                  </w:pPr>
                                  <w:r w:rsidRPr="00381B3D">
                                    <w:rPr>
                                      <w:b w:val="0"/>
                                      <w:bCs/>
                                    </w:rPr>
                                    <w:t>Molly Jones – 1900848</w:t>
                                  </w:r>
                                </w:p>
                                <w:p w14:paraId="2114A17E" w14:textId="73954AFE" w:rsidR="00CD65A6" w:rsidRPr="00381B3D" w:rsidRDefault="00CD65A6" w:rsidP="00381B3D">
                                  <w:pPr>
                                    <w:jc w:val="center"/>
                                    <w:rPr>
                                      <w:b w:val="0"/>
                                      <w:bCs/>
                                    </w:rPr>
                                  </w:pPr>
                                  <w:r w:rsidRPr="00381B3D">
                                    <w:rPr>
                                      <w:b w:val="0"/>
                                      <w:bCs/>
                                    </w:rPr>
                                    <w:t>27</w:t>
                                  </w:r>
                                  <w:r w:rsidRPr="00381B3D">
                                    <w:rPr>
                                      <w:b w:val="0"/>
                                      <w:bCs/>
                                      <w:vertAlign w:val="superscript"/>
                                    </w:rPr>
                                    <w:t>th</w:t>
                                  </w:r>
                                  <w:r w:rsidRPr="00381B3D">
                                    <w:rPr>
                                      <w:b w:val="0"/>
                                      <w:bCs/>
                                    </w:rPr>
                                    <w:t xml:space="preserve"> </w:t>
                                  </w:r>
                                  <w:r w:rsidR="00381B3D" w:rsidRPr="00381B3D">
                                    <w:rPr>
                                      <w:b w:val="0"/>
                                      <w:bCs/>
                                    </w:rPr>
                                    <w:t>April</w:t>
                                  </w:r>
                                  <w:r w:rsidRPr="00381B3D">
                                    <w:rPr>
                                      <w:b w:val="0"/>
                                      <w:bCs/>
                                    </w:rPr>
                                    <w:t xml:space="preserve"> 2026</w:t>
                                  </w:r>
                                </w:p>
                                <w:p w14:paraId="101D4753" w14:textId="512E830A" w:rsidR="00CD65A6" w:rsidRPr="00381B3D" w:rsidRDefault="00CD65A6" w:rsidP="00381B3D">
                                  <w:pPr>
                                    <w:jc w:val="center"/>
                                    <w:rPr>
                                      <w:b w:val="0"/>
                                      <w:bCs/>
                                    </w:rPr>
                                  </w:pPr>
                                  <w:r w:rsidRPr="00381B3D">
                                    <w:rPr>
                                      <w:b w:val="0"/>
                                      <w:bCs/>
                                    </w:rPr>
                                    <w:t>University of Wales Trinity Saint David</w:t>
                                  </w:r>
                                </w:p>
                                <w:p w14:paraId="283D154E" w14:textId="77777777" w:rsidR="00CD65A6" w:rsidRDefault="00CD65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47C73A" id="Text Box 3" o:spid="_x0000_s1027" type="#_x0000_t202" style="position:absolute;margin-left:117.25pt;margin-top:6.65pt;width:259pt;height:95.4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" fillcolor="white [3201]" stroked="f" strokeweight=".5pt">
                      <v:textbox>
                        <w:txbxContent>
                          <w:p w14:paraId="4161814B" w14:textId="43F118CF" w:rsidR="00CD65A6" w:rsidRPr="00381B3D" w:rsidRDefault="00CD65A6" w:rsidP="00381B3D">
                            <w:pPr>
                              <w:jc w:val="center"/>
                              <w:rPr>
                                <w:b w:val="0"/>
                                <w:bCs/>
                              </w:rPr>
                            </w:pPr>
                            <w:r w:rsidRPr="00381B3D">
                              <w:rPr>
                                <w:b w:val="0"/>
                                <w:bCs/>
                              </w:rPr>
                              <w:t>Global Business Challenges (BMMB7006)</w:t>
                            </w:r>
                          </w:p>
                          <w:p w14:paraId="3AEB7A04" w14:textId="7ACDDB1F" w:rsidR="00CD65A6" w:rsidRPr="00381B3D" w:rsidRDefault="00CD65A6" w:rsidP="00381B3D">
                            <w:pPr>
                              <w:jc w:val="center"/>
                              <w:rPr>
                                <w:b w:val="0"/>
                                <w:bCs/>
                              </w:rPr>
                            </w:pPr>
                            <w:r w:rsidRPr="00381B3D">
                              <w:rPr>
                                <w:b w:val="0"/>
                                <w:bCs/>
                              </w:rPr>
                              <w:t>Molly Jones – 1900848</w:t>
                            </w:r>
                          </w:p>
                          <w:p w14:paraId="2114A17E" w14:textId="73954AFE" w:rsidR="00CD65A6" w:rsidRPr="00381B3D" w:rsidRDefault="00CD65A6" w:rsidP="00381B3D">
                            <w:pPr>
                              <w:jc w:val="center"/>
                              <w:rPr>
                                <w:b w:val="0"/>
                                <w:bCs/>
                              </w:rPr>
                            </w:pPr>
                            <w:r w:rsidRPr="00381B3D">
                              <w:rPr>
                                <w:b w:val="0"/>
                                <w:bCs/>
                              </w:rPr>
                              <w:t>27</w:t>
                            </w:r>
                            <w:r w:rsidRPr="00381B3D">
                              <w:rPr>
                                <w:b w:val="0"/>
                                <w:bCs/>
                                <w:vertAlign w:val="superscript"/>
                              </w:rPr>
                              <w:t>th</w:t>
                            </w:r>
                            <w:r w:rsidRPr="00381B3D">
                              <w:rPr>
                                <w:b w:val="0"/>
                                <w:bCs/>
                              </w:rPr>
                              <w:t xml:space="preserve"> </w:t>
                            </w:r>
                            <w:r w:rsidR="00381B3D" w:rsidRPr="00381B3D">
                              <w:rPr>
                                <w:b w:val="0"/>
                                <w:bCs/>
                              </w:rPr>
                              <w:t>April</w:t>
                            </w:r>
                            <w:r w:rsidRPr="00381B3D">
                              <w:rPr>
                                <w:b w:val="0"/>
                                <w:bCs/>
                              </w:rPr>
                              <w:t xml:space="preserve"> 2026</w:t>
                            </w:r>
                          </w:p>
                          <w:p w14:paraId="101D4753" w14:textId="512E830A" w:rsidR="00CD65A6" w:rsidRPr="00381B3D" w:rsidRDefault="00CD65A6" w:rsidP="00381B3D">
                            <w:pPr>
                              <w:jc w:val="center"/>
                              <w:rPr>
                                <w:b w:val="0"/>
                                <w:bCs/>
                              </w:rPr>
                            </w:pPr>
                            <w:r w:rsidRPr="00381B3D">
                              <w:rPr>
                                <w:b w:val="0"/>
                                <w:bCs/>
                              </w:rPr>
                              <w:t>University of Wales Trinity Saint David</w:t>
                            </w:r>
                          </w:p>
                          <w:p w14:paraId="283D154E" w14:textId="77777777" w:rsidR="00CD65A6" w:rsidRDefault="00CD65A6"/>
                        </w:txbxContent>
                      </v:textbox>
                    </v:shape>
                  </w:pict>
                </mc:Fallback>
              </mc:AlternateContent>
            </w:r>
            <w:sdt>
              <w:sdtPr>
                <w:id w:val="-1740469667"/>
                <w:placeholder>
                  <w:docPart w:val="2E4145A63F0D426CAB77974ACB9A8E42"/>
                </w:placeholder>
                <w:showingPlcHdr/>
                <w15:appearance w15:val="hidden"/>
              </w:sdtPr>
              <w:sdtContent>
                <w:r w:rsidR="00D077E9">
                  <w:t>COMPANY NAME</w:t>
                </w:r>
              </w:sdtContent>
            </w:sdt>
          </w:p>
          <w:p w14:paraId="5283A72E" w14:textId="77777777" w:rsidR="00D077E9" w:rsidRDefault="00D077E9" w:rsidP="00D077E9">
            <w:r w:rsidRPr="00B231E5">
              <w:t>Authored by:</w:t>
            </w:r>
            <w:r>
              <w:t xml:space="preserve"> </w:t>
            </w:r>
            <w:sdt>
              <w:sdtPr>
                <w:alias w:val="Your Name"/>
                <w:tag w:val="Your Name"/>
                <w:id w:val="-180584491"/>
                <w:placeholder>
                  <w:docPart w:val="9A3C61923AAA46C9A77F7B39627718D4"/>
                </w:placeholder>
                <w:showingPlcHdr/>
                <w:dataBinding w:prefixMappings="xmlns:ns0='http://schemas.microsoft.com/office/2006/coverPageProps' " w:xpath="/ns0:CoverPageProperties[1]/ns0:CompanyFax[1]" w:storeItemID="{55AF091B-3C7A-41E3-B477-F2FDAA23CFDA}"/>
                <w15:appearance w15:val="hidden"/>
                <w:text w:multiLine="1"/>
              </w:sdtPr>
              <w:sdtContent>
                <w:r>
                  <w:t>Your Name</w:t>
                </w:r>
              </w:sdtContent>
            </w:sdt>
          </w:p>
          <w:p w14:paraId="1FB17458" w14:textId="77777777" w:rsidR="00D077E9" w:rsidRPr="00D86945" w:rsidRDefault="00D077E9" w:rsidP="00D077E9">
            <w:pPr>
              <w:rPr>
                <w:noProof/>
                <w:sz w:val="10"/>
                <w:szCs w:val="10"/>
              </w:rPr>
            </w:pPr>
          </w:p>
        </w:tc>
      </w:tr>
    </w:tbl>
    <w:p w14:paraId="3BDC15D6" w14:textId="52324966" w:rsidR="00D077E9" w:rsidRDefault="00CD65A6">
      <w:pPr>
        <w:spacing w:after="200"/>
      </w:pPr>
      <w:r>
        <w:rPr>
          <w:noProof/>
        </w:rPr>
        <mc:AlternateContent>
          <mc:Choice Requires="wps">
            <w:drawing>
              <wp:anchor distT="0" distB="0" distL="114300" distR="114300" simplePos="0" relativeHeight="251662847" behindDoc="0" locked="0" layoutInCell="1" allowOverlap="1" wp14:anchorId="3499E753" wp14:editId="6383C38A">
                <wp:simplePos x="0" y="0"/>
                <wp:positionH relativeFrom="margin">
                  <wp:align>right</wp:align>
                </wp:positionH>
                <wp:positionV relativeFrom="paragraph">
                  <wp:posOffset>5164133</wp:posOffset>
                </wp:positionV>
                <wp:extent cx="6293353" cy="2945015"/>
                <wp:effectExtent l="0" t="0" r="12700" b="27305"/>
                <wp:wrapNone/>
                <wp:docPr id="441909822" name="Rectangle 1"/>
                <wp:cNvGraphicFramePr/>
                <a:graphic xmlns:a="http://schemas.openxmlformats.org/drawingml/2006/main">
                  <a:graphicData uri="http://schemas.microsoft.com/office/word/2010/wordprocessingShape">
                    <wps:wsp>
                      <wps:cNvSpPr/>
                      <wps:spPr>
                        <a:xfrm>
                          <a:off x="0" y="0"/>
                          <a:ext cx="6293353" cy="294501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69BF26" id="Rectangle 1" o:spid="_x0000_s1026" style="position:absolute;margin-left:444.35pt;margin-top:406.6pt;width:495.55pt;height:231.9pt;z-index:25166284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" fillcolor="white [3212]" strokecolor="#000b11 [484]" strokeweight="2pt">
                <w10:wrap anchorx="margin"/>
              </v:rect>
            </w:pict>
          </mc:Fallback>
        </mc:AlternateContent>
      </w:r>
      <w:r w:rsidR="00D077E9">
        <w:rPr>
          <w:noProof/>
        </w:rPr>
        <mc:AlternateContent>
          <mc:Choice Requires="wps">
            <w:drawing>
              <wp:anchor distT="0" distB="0" distL="114300" distR="114300" simplePos="0" relativeHeight="251659264" behindDoc="1" locked="0" layoutInCell="1" allowOverlap="1" wp14:anchorId="69641541" wp14:editId="795454E0">
                <wp:simplePos x="0" y="0"/>
                <wp:positionH relativeFrom="column">
                  <wp:posOffset>-743395</wp:posOffset>
                </wp:positionH>
                <wp:positionV relativeFrom="page">
                  <wp:align>bottom</wp:align>
                </wp:positionV>
                <wp:extent cx="7760970" cy="3623771"/>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623771"/>
                        </a:xfrm>
                        <a:prstGeom prst="rect">
                          <a:avLst/>
                        </a:prstGeom>
                        <a:solidFill>
                          <a:schemeClr val="tx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131A8C9" id="Rectangle 2" o:spid="_x0000_s1026" alt="colored rectangle" style="position:absolute;margin-left:-58.55pt;margin-top:0;width:611.1pt;height:285.35pt;z-index:-251657216;visibility:visible;mso-wrap-style:square;mso-height-percent:0;mso-wrap-distance-left:9pt;mso-wrap-distance-top:0;mso-wrap-distance-right:9pt;mso-wrap-distance-bottom:0;mso-position-horizontal:absolute;mso-position-horizontal-relative:text;mso-position-vertical:bottom;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" fillcolor="#061f57 [2415]" stroked="f" strokeweight="2pt">
                <w10:wrap anchory="page"/>
              </v:rect>
            </w:pict>
          </mc:Fallback>
        </mc:AlternateContent>
      </w:r>
      <w:r w:rsidR="00D077E9">
        <w:br w:type="page"/>
      </w:r>
    </w:p>
    <w:p w14:paraId="51FE1B8D" w14:textId="656979B5" w:rsidR="0087605E" w:rsidRPr="009C2583" w:rsidRDefault="00B23E6D" w:rsidP="00DF027C">
      <w:pPr>
        <w:rPr>
          <w:color w:val="auto"/>
        </w:rPr>
      </w:pPr>
      <w:r w:rsidRPr="009C2583">
        <w:rPr>
          <w:color w:val="auto"/>
        </w:rPr>
        <w:lastRenderedPageBreak/>
        <w:t>Executive Summary</w:t>
      </w:r>
    </w:p>
    <w:p w14:paraId="0BD4B546" w14:textId="77777777" w:rsidR="00B23E6D" w:rsidRPr="00B23E6D" w:rsidRDefault="00B23E6D" w:rsidP="00B23E6D"/>
    <w:p w14:paraId="13340519" w14:textId="677A4F51" w:rsidR="009C2583" w:rsidRPr="009C2583" w:rsidRDefault="009C2583" w:rsidP="009C2583">
      <w:pPr>
        <w:rPr>
          <w:b w:val="0"/>
          <w:bCs/>
          <w:color w:val="auto"/>
          <w:sz w:val="24"/>
          <w:szCs w:val="20"/>
          <w:lang w:val="en-GB"/>
        </w:rPr>
      </w:pPr>
      <w:r>
        <w:rPr>
          <w:b w:val="0"/>
          <w:bCs/>
          <w:color w:val="auto"/>
          <w:sz w:val="24"/>
          <w:szCs w:val="20"/>
          <w:lang w:val="en-GB"/>
        </w:rPr>
        <w:t xml:space="preserve">  </w:t>
      </w:r>
      <w:r w:rsidRPr="009C2583">
        <w:rPr>
          <w:b w:val="0"/>
          <w:bCs/>
          <w:color w:val="auto"/>
          <w:sz w:val="24"/>
          <w:szCs w:val="20"/>
          <w:lang w:val="en-GB"/>
        </w:rPr>
        <w:t>This report examines the impact of artificial intelligence (AI) on risk management within the global festival industry, with a particular focus on Superstruct Entertainment, a multinational organisation operating over 80 events across the UK, Europe and Australia. It considers how AI improves operational efficiency and customer experience, while also creating complex risks linked to governance, ethics, regulation and social inequality.</w:t>
      </w:r>
    </w:p>
    <w:p w14:paraId="4DB45757" w14:textId="2797D568" w:rsidR="009C2583" w:rsidRPr="009C2583" w:rsidRDefault="009C2583" w:rsidP="009C2583">
      <w:pPr>
        <w:rPr>
          <w:b w:val="0"/>
          <w:bCs/>
          <w:color w:val="auto"/>
          <w:sz w:val="24"/>
          <w:szCs w:val="20"/>
          <w:lang w:val="en-GB"/>
        </w:rPr>
      </w:pPr>
      <w:r>
        <w:rPr>
          <w:b w:val="0"/>
          <w:bCs/>
          <w:color w:val="auto"/>
          <w:sz w:val="24"/>
          <w:szCs w:val="20"/>
          <w:lang w:val="en-GB"/>
        </w:rPr>
        <w:t xml:space="preserve">  </w:t>
      </w:r>
      <w:r w:rsidRPr="009C2583">
        <w:rPr>
          <w:b w:val="0"/>
          <w:bCs/>
          <w:color w:val="auto"/>
          <w:sz w:val="24"/>
          <w:szCs w:val="20"/>
          <w:lang w:val="en-GB"/>
        </w:rPr>
        <w:t>AI is increasingly used in the festival industry for functions such as dynamic ticket pricing, fraud detection, crowd management and personalised marketing. These applications support data-driven decision-making, improve safety and increase revenue optimisation. However, they also raise important concerns about transparency, data privacy, algorithmic bias and surveillance, especially in large-scale events where significant amounts of personal data are collected and processed.</w:t>
      </w:r>
    </w:p>
    <w:p w14:paraId="1A87747B" w14:textId="77777777" w:rsidR="009C2583" w:rsidRPr="009C2583" w:rsidRDefault="009C2583" w:rsidP="009C2583">
      <w:pPr>
        <w:rPr>
          <w:b w:val="0"/>
          <w:bCs/>
          <w:color w:val="auto"/>
          <w:sz w:val="24"/>
          <w:szCs w:val="20"/>
          <w:lang w:val="en-GB"/>
        </w:rPr>
      </w:pPr>
      <w:r w:rsidRPr="009C2583">
        <w:rPr>
          <w:b w:val="0"/>
          <w:bCs/>
          <w:color w:val="auto"/>
          <w:sz w:val="24"/>
          <w:szCs w:val="20"/>
          <w:lang w:val="en-GB"/>
        </w:rPr>
        <w:t>The report also highlights that operating across different countries adds further complexity due to variations in regulatory frameworks, including the European Union’s highly regulated AI Act, the United Kingdom’s more flexible principles-based approach, and Australia’s developing governance system. These differences increase compliance challenges and operational risk, requiring organisations to balance innovation with regulatory requirements. In addition, AI adoption may contribute to changes in the labour market by increasing demand for highly skilled technical roles while reducing lower-skilled and gig-based work, which can contribute to greater inequality.</w:t>
      </w:r>
    </w:p>
    <w:p w14:paraId="598C5E49" w14:textId="0B18B060" w:rsidR="009C2583" w:rsidRPr="009C2583" w:rsidRDefault="009C2583" w:rsidP="009C2583">
      <w:pPr>
        <w:rPr>
          <w:b w:val="0"/>
          <w:bCs/>
          <w:color w:val="auto"/>
          <w:sz w:val="24"/>
          <w:szCs w:val="20"/>
          <w:lang w:val="en-GB"/>
        </w:rPr>
      </w:pPr>
      <w:r>
        <w:rPr>
          <w:b w:val="0"/>
          <w:bCs/>
          <w:color w:val="auto"/>
          <w:sz w:val="24"/>
          <w:szCs w:val="20"/>
          <w:lang w:val="en-GB"/>
        </w:rPr>
        <w:t xml:space="preserve">  </w:t>
      </w:r>
      <w:r w:rsidRPr="009C2583">
        <w:rPr>
          <w:b w:val="0"/>
          <w:bCs/>
          <w:color w:val="auto"/>
          <w:sz w:val="24"/>
          <w:szCs w:val="20"/>
          <w:lang w:val="en-GB"/>
        </w:rPr>
        <w:t>AI is described as a “</w:t>
      </w:r>
      <w:r>
        <w:rPr>
          <w:b w:val="0"/>
          <w:bCs/>
          <w:color w:val="auto"/>
          <w:sz w:val="24"/>
          <w:szCs w:val="20"/>
          <w:lang w:val="en-GB"/>
        </w:rPr>
        <w:t>W</w:t>
      </w:r>
      <w:r w:rsidRPr="009C2583">
        <w:rPr>
          <w:b w:val="0"/>
          <w:bCs/>
          <w:color w:val="auto"/>
          <w:sz w:val="24"/>
          <w:szCs w:val="20"/>
          <w:lang w:val="en-GB"/>
        </w:rPr>
        <w:t xml:space="preserve">icked </w:t>
      </w:r>
      <w:r>
        <w:rPr>
          <w:b w:val="0"/>
          <w:bCs/>
          <w:color w:val="auto"/>
          <w:sz w:val="24"/>
          <w:szCs w:val="20"/>
          <w:lang w:val="en-GB"/>
        </w:rPr>
        <w:t>P</w:t>
      </w:r>
      <w:r w:rsidRPr="009C2583">
        <w:rPr>
          <w:b w:val="0"/>
          <w:bCs/>
          <w:color w:val="auto"/>
          <w:sz w:val="24"/>
          <w:szCs w:val="20"/>
          <w:lang w:val="en-GB"/>
        </w:rPr>
        <w:t>roblem” because its impacts are interconnected and often conflicting. Improvements in efficiency can create new ethical, regulatory or social challenges at the same time. This highlights the need for a broad and flexible governance approach rather than isolated or short-term solutions.</w:t>
      </w:r>
    </w:p>
    <w:p w14:paraId="7909FAEC" w14:textId="15509F01" w:rsidR="009C2583" w:rsidRPr="009C2583" w:rsidRDefault="009C2583" w:rsidP="009C2583">
      <w:pPr>
        <w:rPr>
          <w:b w:val="0"/>
          <w:bCs/>
          <w:color w:val="auto"/>
          <w:sz w:val="24"/>
          <w:szCs w:val="20"/>
          <w:lang w:val="en-GB"/>
        </w:rPr>
      </w:pPr>
      <w:r>
        <w:rPr>
          <w:b w:val="0"/>
          <w:bCs/>
          <w:color w:val="auto"/>
          <w:sz w:val="24"/>
          <w:szCs w:val="20"/>
          <w:lang w:val="en-GB"/>
        </w:rPr>
        <w:t xml:space="preserve">  </w:t>
      </w:r>
      <w:r w:rsidRPr="009C2583">
        <w:rPr>
          <w:b w:val="0"/>
          <w:bCs/>
          <w:color w:val="auto"/>
          <w:sz w:val="24"/>
          <w:szCs w:val="20"/>
          <w:lang w:val="en-GB"/>
        </w:rPr>
        <w:t>To address these issues, the report recommends developing a structured AI governance framework led by a Chief AI Ethics and Governance Officer (CAIGO). This would be supported by a phased implementation plan involving three stages: establishing governance foundations, embedding ethical AI practices, and progressing towards industry leadership in responsible AI use. Key actions include introducing risk classification systems, staff training, ethical review boards, transparency reporting, and alignment with Sustainable Development Goals (SDGs), particularly those focused on decent work, innovation, reduced inequalities, and responsible production.</w:t>
      </w:r>
    </w:p>
    <w:p w14:paraId="0EEC18DD" w14:textId="3A21578B" w:rsidR="009C2583" w:rsidRPr="009C2583" w:rsidRDefault="009C2583" w:rsidP="009C2583">
      <w:pPr>
        <w:rPr>
          <w:b w:val="0"/>
          <w:bCs/>
          <w:color w:val="auto"/>
          <w:sz w:val="24"/>
          <w:szCs w:val="20"/>
          <w:lang w:val="en-GB"/>
        </w:rPr>
      </w:pPr>
      <w:r>
        <w:rPr>
          <w:b w:val="0"/>
          <w:bCs/>
          <w:color w:val="auto"/>
          <w:sz w:val="24"/>
          <w:szCs w:val="20"/>
          <w:lang w:val="en-GB"/>
        </w:rPr>
        <w:t xml:space="preserve"> The conclusion of </w:t>
      </w:r>
      <w:r w:rsidRPr="009C2583">
        <w:rPr>
          <w:b w:val="0"/>
          <w:bCs/>
          <w:color w:val="auto"/>
          <w:sz w:val="24"/>
          <w:szCs w:val="20"/>
          <w:lang w:val="en-GB"/>
        </w:rPr>
        <w:t>th</w:t>
      </w:r>
      <w:r>
        <w:rPr>
          <w:b w:val="0"/>
          <w:bCs/>
          <w:color w:val="auto"/>
          <w:sz w:val="24"/>
          <w:szCs w:val="20"/>
          <w:lang w:val="en-GB"/>
        </w:rPr>
        <w:t>is</w:t>
      </w:r>
      <w:r w:rsidRPr="009C2583">
        <w:rPr>
          <w:b w:val="0"/>
          <w:bCs/>
          <w:color w:val="auto"/>
          <w:sz w:val="24"/>
          <w:szCs w:val="20"/>
          <w:lang w:val="en-GB"/>
        </w:rPr>
        <w:t xml:space="preserve"> report </w:t>
      </w:r>
      <w:r>
        <w:rPr>
          <w:b w:val="0"/>
          <w:bCs/>
          <w:color w:val="auto"/>
          <w:sz w:val="24"/>
          <w:szCs w:val="20"/>
          <w:lang w:val="en-GB"/>
        </w:rPr>
        <w:t>is</w:t>
      </w:r>
      <w:r w:rsidRPr="009C2583">
        <w:rPr>
          <w:b w:val="0"/>
          <w:bCs/>
          <w:color w:val="auto"/>
          <w:sz w:val="24"/>
          <w:szCs w:val="20"/>
          <w:lang w:val="en-GB"/>
        </w:rPr>
        <w:t xml:space="preserve"> that while AI offers significant opportunities for Superstruct Entertainment, its successful use depends on strong governance, regulatory awareness and ethical responsibility. A balanced approach is needed to reduce risks, maintain trust with stakeholders, and support long-term competitiveness in a complex global business environment.</w:t>
      </w:r>
    </w:p>
    <w:p w14:paraId="40B895F7" w14:textId="77777777" w:rsidR="00B23E6D" w:rsidRPr="00B23E6D" w:rsidRDefault="00B23E6D" w:rsidP="00B23E6D"/>
    <w:p w14:paraId="23BA0733" w14:textId="77777777" w:rsidR="00B23E6D" w:rsidRPr="00B23E6D" w:rsidRDefault="00B23E6D" w:rsidP="00B23E6D"/>
    <w:p w14:paraId="13D82DBF" w14:textId="77777777" w:rsidR="00B23E6D" w:rsidRPr="00B23E6D" w:rsidRDefault="00B23E6D" w:rsidP="00B23E6D"/>
    <w:p w14:paraId="32EC0D8C" w14:textId="24D07799" w:rsidR="00B23E6D" w:rsidRDefault="00B23E6D" w:rsidP="00B23E6D">
      <w:pPr>
        <w:tabs>
          <w:tab w:val="left" w:pos="2525"/>
        </w:tabs>
      </w:pPr>
      <w:r>
        <w:tab/>
      </w:r>
    </w:p>
    <w:p w14:paraId="5A99EFAB" w14:textId="7B593024" w:rsidR="00B23E6D" w:rsidRPr="00783D74" w:rsidRDefault="00B23E6D" w:rsidP="00B23E6D">
      <w:pPr>
        <w:tabs>
          <w:tab w:val="left" w:pos="2525"/>
        </w:tabs>
        <w:rPr>
          <w:sz w:val="36"/>
          <w:szCs w:val="28"/>
        </w:rPr>
      </w:pPr>
      <w:r w:rsidRPr="00783D74">
        <w:rPr>
          <w:sz w:val="36"/>
          <w:szCs w:val="28"/>
        </w:rPr>
        <w:lastRenderedPageBreak/>
        <w:t>Table of Contents</w:t>
      </w:r>
    </w:p>
    <w:p w14:paraId="0F9DEB87" w14:textId="77777777" w:rsidR="00783D74" w:rsidRDefault="00783D74" w:rsidP="00B23E6D">
      <w:pPr>
        <w:tabs>
          <w:tab w:val="left" w:pos="2525"/>
        </w:tabs>
      </w:pPr>
    </w:p>
    <w:p w14:paraId="6EC41BEA" w14:textId="77777777" w:rsidR="00783D74" w:rsidRDefault="00783D74" w:rsidP="00B23E6D">
      <w:pPr>
        <w:tabs>
          <w:tab w:val="left" w:pos="2525"/>
        </w:tabs>
      </w:pPr>
    </w:p>
    <w:p w14:paraId="2E157313" w14:textId="60417BAA" w:rsidR="00B23E6D" w:rsidRPr="00C102C4" w:rsidRDefault="009572E9" w:rsidP="00B23E6D">
      <w:pPr>
        <w:tabs>
          <w:tab w:val="left" w:pos="2525"/>
        </w:tabs>
        <w:rPr>
          <w:color w:val="auto"/>
        </w:rPr>
      </w:pPr>
      <w:r w:rsidRPr="00C102C4">
        <w:rPr>
          <w:color w:val="auto"/>
        </w:rPr>
        <w:t>Intro</w:t>
      </w:r>
      <w:r w:rsidR="00783D74" w:rsidRPr="00C102C4">
        <w:rPr>
          <w:color w:val="auto"/>
        </w:rPr>
        <w:t>duction………………………………………………………………………………………………</w:t>
      </w:r>
      <w:r w:rsidR="006F0AC8">
        <w:rPr>
          <w:color w:val="auto"/>
        </w:rPr>
        <w:t>…</w:t>
      </w:r>
      <w:r w:rsidR="00783D74" w:rsidRPr="00C102C4">
        <w:rPr>
          <w:color w:val="auto"/>
        </w:rPr>
        <w:t>………….</w:t>
      </w:r>
      <w:r w:rsidR="009C2583">
        <w:rPr>
          <w:color w:val="auto"/>
        </w:rPr>
        <w:t>4</w:t>
      </w:r>
    </w:p>
    <w:p w14:paraId="7FC9123E" w14:textId="59903E3C" w:rsidR="009572E9" w:rsidRPr="00C102C4" w:rsidRDefault="009572E9" w:rsidP="00B23E6D">
      <w:pPr>
        <w:tabs>
          <w:tab w:val="left" w:pos="2525"/>
        </w:tabs>
        <w:rPr>
          <w:color w:val="auto"/>
        </w:rPr>
      </w:pPr>
      <w:r w:rsidRPr="00C102C4">
        <w:rPr>
          <w:color w:val="auto"/>
        </w:rPr>
        <w:t>Global Business Context</w:t>
      </w:r>
      <w:r w:rsidR="00783D74" w:rsidRPr="00C102C4">
        <w:rPr>
          <w:color w:val="auto"/>
        </w:rPr>
        <w:t>………………………………………………………………………………………..</w:t>
      </w:r>
      <w:r w:rsidR="009C2583">
        <w:rPr>
          <w:color w:val="auto"/>
        </w:rPr>
        <w:t>4-</w:t>
      </w:r>
      <w:r w:rsidR="006F0AC8">
        <w:rPr>
          <w:color w:val="auto"/>
        </w:rPr>
        <w:t>6</w:t>
      </w:r>
    </w:p>
    <w:p w14:paraId="3A849BDB" w14:textId="509E3BF6" w:rsidR="00783D74" w:rsidRPr="00C102C4" w:rsidRDefault="00783D74" w:rsidP="00783D74">
      <w:pPr>
        <w:tabs>
          <w:tab w:val="left" w:pos="2525"/>
        </w:tabs>
        <w:rPr>
          <w:b w:val="0"/>
          <w:bCs/>
          <w:color w:val="auto"/>
          <w:lang w:val="en-GB"/>
        </w:rPr>
      </w:pPr>
      <w:r w:rsidRPr="00C102C4">
        <w:rPr>
          <w:bCs/>
          <w:color w:val="auto"/>
        </w:rPr>
        <w:t>The Macro Environment of Artificial Intelligence in Global Business………………</w:t>
      </w:r>
      <w:r w:rsidR="006F0AC8">
        <w:rPr>
          <w:bCs/>
          <w:color w:val="auto"/>
        </w:rPr>
        <w:t>..</w:t>
      </w:r>
      <w:r w:rsidRPr="00C102C4">
        <w:rPr>
          <w:bCs/>
          <w:color w:val="auto"/>
        </w:rPr>
        <w:t>…….</w:t>
      </w:r>
      <w:r w:rsidR="006F0AC8">
        <w:rPr>
          <w:bCs/>
          <w:color w:val="auto"/>
        </w:rPr>
        <w:t>6-7</w:t>
      </w:r>
    </w:p>
    <w:p w14:paraId="43F4F1BB" w14:textId="726830AA" w:rsidR="00783D74" w:rsidRPr="00C102C4" w:rsidRDefault="00783D74" w:rsidP="00783D74">
      <w:pPr>
        <w:tabs>
          <w:tab w:val="left" w:pos="2525"/>
        </w:tabs>
        <w:rPr>
          <w:color w:val="auto"/>
        </w:rPr>
      </w:pPr>
      <w:r w:rsidRPr="00C102C4">
        <w:rPr>
          <w:color w:val="auto"/>
        </w:rPr>
        <w:t>AI in the Festival Events Industry…………………………………………………………………</w:t>
      </w:r>
      <w:r w:rsidR="006F0AC8">
        <w:rPr>
          <w:color w:val="auto"/>
        </w:rPr>
        <w:t>….</w:t>
      </w:r>
      <w:r w:rsidRPr="00C102C4">
        <w:rPr>
          <w:color w:val="auto"/>
        </w:rPr>
        <w:t>…….</w:t>
      </w:r>
      <w:r w:rsidR="006F0AC8">
        <w:rPr>
          <w:color w:val="auto"/>
        </w:rPr>
        <w:t>7-8</w:t>
      </w:r>
    </w:p>
    <w:p w14:paraId="26EA6FEC" w14:textId="6680D1AF" w:rsidR="00783D74" w:rsidRPr="00C102C4" w:rsidRDefault="00783D74" w:rsidP="00783D74">
      <w:pPr>
        <w:rPr>
          <w:color w:val="auto"/>
        </w:rPr>
      </w:pPr>
      <w:r w:rsidRPr="00C102C4">
        <w:rPr>
          <w:color w:val="auto"/>
        </w:rPr>
        <w:t>Artificial Intelligence as a “Wicked Problem” in Global Festival Operations………</w:t>
      </w:r>
      <w:r w:rsidR="006F0AC8">
        <w:rPr>
          <w:color w:val="auto"/>
        </w:rPr>
        <w:t>.</w:t>
      </w:r>
      <w:r w:rsidRPr="00C102C4">
        <w:rPr>
          <w:color w:val="auto"/>
        </w:rPr>
        <w:t>..</w:t>
      </w:r>
      <w:r w:rsidR="006F0AC8">
        <w:rPr>
          <w:color w:val="auto"/>
        </w:rPr>
        <w:t>9-10</w:t>
      </w:r>
    </w:p>
    <w:p w14:paraId="6D0E5C40" w14:textId="10A2370D" w:rsidR="00783D74" w:rsidRPr="00C102C4" w:rsidRDefault="00783D74" w:rsidP="00783D74">
      <w:pPr>
        <w:rPr>
          <w:color w:val="auto"/>
        </w:rPr>
      </w:pPr>
      <w:r w:rsidRPr="00C102C4">
        <w:rPr>
          <w:color w:val="auto"/>
        </w:rPr>
        <w:t>Risk Analysis: AI in a Multi-Jurisdictional Context………………………………………………</w:t>
      </w:r>
      <w:r w:rsidR="006F0AC8">
        <w:rPr>
          <w:color w:val="auto"/>
        </w:rPr>
        <w:t>10-12</w:t>
      </w:r>
    </w:p>
    <w:p w14:paraId="5AF5F909" w14:textId="2BE28245" w:rsidR="00783D74" w:rsidRDefault="00783D74" w:rsidP="00783D74">
      <w:pPr>
        <w:rPr>
          <w:bCs/>
          <w:color w:val="auto"/>
          <w:lang w:val="en-GB"/>
        </w:rPr>
      </w:pPr>
      <w:r w:rsidRPr="00C102C4">
        <w:rPr>
          <w:bCs/>
          <w:color w:val="auto"/>
          <w:lang w:val="en-GB"/>
        </w:rPr>
        <w:t>Recommendations and Implementation Plan…………</w:t>
      </w:r>
      <w:r w:rsidR="006F0AC8">
        <w:rPr>
          <w:bCs/>
          <w:color w:val="auto"/>
          <w:lang w:val="en-GB"/>
        </w:rPr>
        <w:t>.</w:t>
      </w:r>
      <w:r w:rsidRPr="00C102C4">
        <w:rPr>
          <w:bCs/>
          <w:color w:val="auto"/>
          <w:lang w:val="en-GB"/>
        </w:rPr>
        <w:t>…………………………………………</w:t>
      </w:r>
      <w:r w:rsidR="006F0AC8">
        <w:rPr>
          <w:bCs/>
          <w:color w:val="auto"/>
          <w:lang w:val="en-GB"/>
        </w:rPr>
        <w:t>12-14</w:t>
      </w:r>
    </w:p>
    <w:p w14:paraId="67BA2465" w14:textId="77777777" w:rsidR="006F0AC8" w:rsidRPr="006F0AC8" w:rsidRDefault="006F0AC8" w:rsidP="006F0AC8">
      <w:pPr>
        <w:rPr>
          <w:bCs/>
          <w:color w:val="auto"/>
          <w:sz w:val="24"/>
          <w:szCs w:val="20"/>
          <w:lang w:val="en-GB"/>
        </w:rPr>
      </w:pPr>
      <w:r w:rsidRPr="006F0AC8">
        <w:rPr>
          <w:bCs/>
          <w:color w:val="auto"/>
          <w:sz w:val="24"/>
          <w:szCs w:val="20"/>
          <w:lang w:val="en-GB"/>
        </w:rPr>
        <w:t>7.1  Recommendation - Governance Strategic Oversight</w:t>
      </w:r>
    </w:p>
    <w:p w14:paraId="4E0993E3" w14:textId="11AEF911" w:rsidR="006F0AC8" w:rsidRPr="006F0AC8" w:rsidRDefault="006F0AC8" w:rsidP="00783D74">
      <w:pPr>
        <w:rPr>
          <w:bCs/>
          <w:color w:val="auto"/>
          <w:sz w:val="24"/>
          <w:szCs w:val="24"/>
          <w:lang w:val="en-GB"/>
        </w:rPr>
      </w:pPr>
      <w:r w:rsidRPr="006F0AC8">
        <w:rPr>
          <w:bCs/>
          <w:color w:val="auto"/>
          <w:sz w:val="24"/>
          <w:szCs w:val="24"/>
          <w:lang w:val="en-GB"/>
        </w:rPr>
        <w:t>7.2 Strategic Justification</w:t>
      </w:r>
    </w:p>
    <w:p w14:paraId="4DDA60AE" w14:textId="7B1C046F" w:rsidR="00783D74" w:rsidRPr="00C102C4" w:rsidRDefault="00783D74" w:rsidP="00783D74">
      <w:pPr>
        <w:rPr>
          <w:bCs/>
          <w:color w:val="auto"/>
          <w:lang w:val="en-GB"/>
        </w:rPr>
      </w:pPr>
      <w:r w:rsidRPr="00C102C4">
        <w:rPr>
          <w:bCs/>
          <w:color w:val="auto"/>
          <w:lang w:val="en-GB"/>
        </w:rPr>
        <w:t>Conclusion…………………………………………………………………………………………………………</w:t>
      </w:r>
      <w:r w:rsidR="006F0AC8">
        <w:rPr>
          <w:bCs/>
          <w:color w:val="auto"/>
          <w:lang w:val="en-GB"/>
        </w:rPr>
        <w:t>….</w:t>
      </w:r>
      <w:r w:rsidRPr="00C102C4">
        <w:rPr>
          <w:bCs/>
          <w:color w:val="auto"/>
          <w:lang w:val="en-GB"/>
        </w:rPr>
        <w:t>.</w:t>
      </w:r>
      <w:r w:rsidR="006F0AC8">
        <w:rPr>
          <w:bCs/>
          <w:color w:val="auto"/>
          <w:lang w:val="en-GB"/>
        </w:rPr>
        <w:t>15</w:t>
      </w:r>
    </w:p>
    <w:p w14:paraId="1A07B601" w14:textId="30681968" w:rsidR="00783D74" w:rsidRPr="00C102C4" w:rsidRDefault="00783D74" w:rsidP="00783D74">
      <w:pPr>
        <w:rPr>
          <w:bCs/>
          <w:color w:val="auto"/>
          <w:lang w:val="en-GB"/>
        </w:rPr>
      </w:pPr>
      <w:r w:rsidRPr="00C102C4">
        <w:rPr>
          <w:bCs/>
          <w:color w:val="auto"/>
          <w:lang w:val="en-GB"/>
        </w:rPr>
        <w:t>Bibliography…………………………………………………………………………………………………</w:t>
      </w:r>
      <w:r w:rsidR="006F0AC8">
        <w:rPr>
          <w:bCs/>
          <w:color w:val="auto"/>
          <w:lang w:val="en-GB"/>
        </w:rPr>
        <w:t>..</w:t>
      </w:r>
      <w:r w:rsidRPr="00C102C4">
        <w:rPr>
          <w:bCs/>
          <w:color w:val="auto"/>
          <w:lang w:val="en-GB"/>
        </w:rPr>
        <w:t>….</w:t>
      </w:r>
      <w:r w:rsidR="006F0AC8">
        <w:rPr>
          <w:bCs/>
          <w:color w:val="auto"/>
          <w:lang w:val="en-GB"/>
        </w:rPr>
        <w:t>16-19</w:t>
      </w:r>
    </w:p>
    <w:p w14:paraId="21AAC128" w14:textId="77777777" w:rsidR="00B23E6D" w:rsidRDefault="00B23E6D" w:rsidP="00B23E6D">
      <w:pPr>
        <w:tabs>
          <w:tab w:val="left" w:pos="2525"/>
        </w:tabs>
      </w:pPr>
    </w:p>
    <w:p w14:paraId="38701344" w14:textId="77777777" w:rsidR="00B23E6D" w:rsidRDefault="00B23E6D" w:rsidP="00B23E6D">
      <w:pPr>
        <w:tabs>
          <w:tab w:val="left" w:pos="2525"/>
        </w:tabs>
      </w:pPr>
    </w:p>
    <w:p w14:paraId="18C5D5E3" w14:textId="77777777" w:rsidR="00B23E6D" w:rsidRDefault="00B23E6D" w:rsidP="00B23E6D">
      <w:pPr>
        <w:tabs>
          <w:tab w:val="left" w:pos="2525"/>
        </w:tabs>
      </w:pPr>
    </w:p>
    <w:p w14:paraId="584FF70E" w14:textId="77777777" w:rsidR="00B23E6D" w:rsidRDefault="00B23E6D" w:rsidP="00B23E6D">
      <w:pPr>
        <w:tabs>
          <w:tab w:val="left" w:pos="2525"/>
        </w:tabs>
      </w:pPr>
    </w:p>
    <w:p w14:paraId="53EA0986" w14:textId="77777777" w:rsidR="00B23E6D" w:rsidRDefault="00B23E6D" w:rsidP="00B23E6D">
      <w:pPr>
        <w:tabs>
          <w:tab w:val="left" w:pos="2525"/>
        </w:tabs>
      </w:pPr>
    </w:p>
    <w:p w14:paraId="3C1C03A0" w14:textId="77777777" w:rsidR="00B23E6D" w:rsidRDefault="00B23E6D" w:rsidP="00B23E6D">
      <w:pPr>
        <w:tabs>
          <w:tab w:val="left" w:pos="2525"/>
        </w:tabs>
      </w:pPr>
    </w:p>
    <w:p w14:paraId="0D394A79" w14:textId="77777777" w:rsidR="00B23E6D" w:rsidRDefault="00B23E6D" w:rsidP="00B23E6D">
      <w:pPr>
        <w:tabs>
          <w:tab w:val="left" w:pos="2525"/>
        </w:tabs>
      </w:pPr>
    </w:p>
    <w:p w14:paraId="6DF61EB3" w14:textId="77777777" w:rsidR="00B23E6D" w:rsidRDefault="00B23E6D" w:rsidP="00B23E6D">
      <w:pPr>
        <w:tabs>
          <w:tab w:val="left" w:pos="2525"/>
        </w:tabs>
      </w:pPr>
    </w:p>
    <w:p w14:paraId="4B1E0264" w14:textId="77777777" w:rsidR="00B23E6D" w:rsidRDefault="00B23E6D" w:rsidP="00B23E6D">
      <w:pPr>
        <w:tabs>
          <w:tab w:val="left" w:pos="2525"/>
        </w:tabs>
      </w:pPr>
    </w:p>
    <w:p w14:paraId="376AA2DF" w14:textId="77777777" w:rsidR="00B23E6D" w:rsidRDefault="00B23E6D" w:rsidP="00B23E6D">
      <w:pPr>
        <w:tabs>
          <w:tab w:val="left" w:pos="2525"/>
        </w:tabs>
      </w:pPr>
    </w:p>
    <w:p w14:paraId="6FA46E30" w14:textId="77777777" w:rsidR="00B23E6D" w:rsidRDefault="00B23E6D" w:rsidP="00B23E6D">
      <w:pPr>
        <w:tabs>
          <w:tab w:val="left" w:pos="2525"/>
        </w:tabs>
      </w:pPr>
    </w:p>
    <w:p w14:paraId="0FEC3216" w14:textId="77777777" w:rsidR="00B23E6D" w:rsidRDefault="00B23E6D" w:rsidP="00B23E6D">
      <w:pPr>
        <w:tabs>
          <w:tab w:val="left" w:pos="2525"/>
        </w:tabs>
      </w:pPr>
    </w:p>
    <w:p w14:paraId="7DB2E2F2" w14:textId="77777777" w:rsidR="00B23E6D" w:rsidRDefault="00B23E6D" w:rsidP="00B23E6D">
      <w:pPr>
        <w:tabs>
          <w:tab w:val="left" w:pos="2525"/>
        </w:tabs>
      </w:pPr>
    </w:p>
    <w:p w14:paraId="2B7C40BC" w14:textId="77777777" w:rsidR="00B23E6D" w:rsidRDefault="00B23E6D" w:rsidP="00B23E6D">
      <w:pPr>
        <w:tabs>
          <w:tab w:val="left" w:pos="2525"/>
        </w:tabs>
      </w:pPr>
    </w:p>
    <w:p w14:paraId="2D137C43" w14:textId="77777777" w:rsidR="00B23E6D" w:rsidRDefault="00B23E6D" w:rsidP="00B23E6D">
      <w:pPr>
        <w:tabs>
          <w:tab w:val="left" w:pos="2525"/>
        </w:tabs>
      </w:pPr>
    </w:p>
    <w:p w14:paraId="21F29372" w14:textId="77777777" w:rsidR="00B23E6D" w:rsidRDefault="00B23E6D" w:rsidP="00B23E6D">
      <w:pPr>
        <w:tabs>
          <w:tab w:val="left" w:pos="2525"/>
        </w:tabs>
      </w:pPr>
    </w:p>
    <w:p w14:paraId="507E3805" w14:textId="77777777" w:rsidR="00B23E6D" w:rsidRDefault="00B23E6D" w:rsidP="00B23E6D">
      <w:pPr>
        <w:tabs>
          <w:tab w:val="left" w:pos="2525"/>
        </w:tabs>
      </w:pPr>
    </w:p>
    <w:p w14:paraId="1DB491EA" w14:textId="77777777" w:rsidR="00B23E6D" w:rsidRDefault="00B23E6D" w:rsidP="00B23E6D">
      <w:pPr>
        <w:tabs>
          <w:tab w:val="left" w:pos="2525"/>
        </w:tabs>
      </w:pPr>
    </w:p>
    <w:p w14:paraId="64392A26" w14:textId="77777777" w:rsidR="00B23E6D" w:rsidRDefault="00B23E6D" w:rsidP="00B23E6D">
      <w:pPr>
        <w:tabs>
          <w:tab w:val="left" w:pos="2525"/>
        </w:tabs>
      </w:pPr>
    </w:p>
    <w:p w14:paraId="6CA18206" w14:textId="77777777" w:rsidR="00B23E6D" w:rsidRDefault="00B23E6D" w:rsidP="00B23E6D">
      <w:pPr>
        <w:tabs>
          <w:tab w:val="left" w:pos="2525"/>
        </w:tabs>
      </w:pPr>
    </w:p>
    <w:p w14:paraId="02A46DEF" w14:textId="77777777" w:rsidR="00B23E6D" w:rsidRDefault="00B23E6D" w:rsidP="00B23E6D">
      <w:pPr>
        <w:tabs>
          <w:tab w:val="left" w:pos="2525"/>
        </w:tabs>
      </w:pPr>
    </w:p>
    <w:p w14:paraId="527F0FE5" w14:textId="6F91AA9E" w:rsidR="00F91F73" w:rsidRPr="00F91F73" w:rsidRDefault="00F91F73" w:rsidP="00F91F73">
      <w:pPr>
        <w:pStyle w:val="ListParagraph"/>
        <w:numPr>
          <w:ilvl w:val="0"/>
          <w:numId w:val="12"/>
        </w:numPr>
        <w:rPr>
          <w:color w:val="auto"/>
        </w:rPr>
      </w:pPr>
      <w:r w:rsidRPr="00F91F73">
        <w:rPr>
          <w:color w:val="auto"/>
        </w:rPr>
        <w:t xml:space="preserve">Introduction </w:t>
      </w:r>
    </w:p>
    <w:p w14:paraId="61841DB3" w14:textId="77777777" w:rsidR="00F91F73" w:rsidRDefault="00F91F73" w:rsidP="00F91F73">
      <w:pPr>
        <w:rPr>
          <w:color w:val="auto"/>
        </w:rPr>
      </w:pPr>
    </w:p>
    <w:p w14:paraId="5B5C1D71" w14:textId="77777777" w:rsidR="00A43D1F" w:rsidRDefault="00F91F73" w:rsidP="00F91F73">
      <w:pPr>
        <w:rPr>
          <w:b w:val="0"/>
          <w:bCs/>
          <w:color w:val="auto"/>
          <w:sz w:val="24"/>
          <w:szCs w:val="20"/>
        </w:rPr>
      </w:pPr>
      <w:r w:rsidRPr="00F91F73">
        <w:rPr>
          <w:b w:val="0"/>
          <w:bCs/>
          <w:color w:val="auto"/>
          <w:sz w:val="24"/>
          <w:szCs w:val="20"/>
        </w:rPr>
        <w:t xml:space="preserve">  </w:t>
      </w:r>
      <w:r w:rsidRPr="00F91F73">
        <w:rPr>
          <w:b w:val="0"/>
          <w:bCs/>
          <w:color w:val="auto"/>
          <w:sz w:val="24"/>
          <w:szCs w:val="20"/>
        </w:rPr>
        <w:t xml:space="preserve">The rapid expansion of artificial intelligence (AI) is reshaping the global events industry, enabling organisations to enhance operational efficiency, improve customer engagement, and optimise decision-making processes (Davenport and Ronanki, 2018). These advanced technologies allow companies to deliver increasingly personalised experiences and operate at greater levels of efficiency (Dwivedi et al., 2021). However, alongside these opportunities, AI introduces complex and interconnected risks, particularly in relation to data governance, ethical considerations, and regulatory compliance (Floridi et al., 2018). These challenges are especially significant for multinational organisations operating across diverse regulatory and socio-cultural environments. </w:t>
      </w:r>
    </w:p>
    <w:p w14:paraId="56685E74" w14:textId="77777777" w:rsidR="00A43D1F" w:rsidRDefault="00A43D1F" w:rsidP="00F91F73">
      <w:pPr>
        <w:rPr>
          <w:b w:val="0"/>
          <w:bCs/>
          <w:color w:val="auto"/>
          <w:sz w:val="24"/>
          <w:szCs w:val="20"/>
        </w:rPr>
      </w:pPr>
      <w:r>
        <w:rPr>
          <w:b w:val="0"/>
          <w:bCs/>
          <w:color w:val="auto"/>
          <w:sz w:val="24"/>
          <w:szCs w:val="20"/>
        </w:rPr>
        <w:t xml:space="preserve">  </w:t>
      </w:r>
      <w:r w:rsidR="00F91F73" w:rsidRPr="00F91F73">
        <w:rPr>
          <w:b w:val="0"/>
          <w:bCs/>
          <w:color w:val="auto"/>
          <w:sz w:val="24"/>
          <w:szCs w:val="20"/>
        </w:rPr>
        <w:t xml:space="preserve">This report examines these dynamics through the case of Superstruct Entertainment, a global festival operator managing over 80 events across the United Kingdom, Europe, and Australia. The geographical spread of its operations exposes the organisation to varying regulatory frameworks and differing societal expectations regarding data use and technological governance. As a result, AI adoption represents not only </w:t>
      </w:r>
      <w:proofErr w:type="gramStart"/>
      <w:r w:rsidR="00F91F73" w:rsidRPr="00F91F73">
        <w:rPr>
          <w:b w:val="0"/>
          <w:bCs/>
          <w:color w:val="auto"/>
          <w:sz w:val="24"/>
          <w:szCs w:val="20"/>
        </w:rPr>
        <w:t>an operational</w:t>
      </w:r>
      <w:proofErr w:type="gramEnd"/>
      <w:r w:rsidR="00F91F73" w:rsidRPr="00F91F73">
        <w:rPr>
          <w:b w:val="0"/>
          <w:bCs/>
          <w:color w:val="auto"/>
          <w:sz w:val="24"/>
          <w:szCs w:val="20"/>
        </w:rPr>
        <w:t xml:space="preserve"> enhancement, but a strategic issue with significant organisational implications. </w:t>
      </w:r>
    </w:p>
    <w:p w14:paraId="20F0C759" w14:textId="77777777" w:rsidR="00A43D1F" w:rsidRDefault="00A43D1F" w:rsidP="00F91F73">
      <w:pPr>
        <w:rPr>
          <w:b w:val="0"/>
          <w:bCs/>
          <w:color w:val="auto"/>
          <w:sz w:val="24"/>
          <w:szCs w:val="20"/>
        </w:rPr>
      </w:pPr>
      <w:r>
        <w:rPr>
          <w:b w:val="0"/>
          <w:bCs/>
          <w:color w:val="auto"/>
          <w:sz w:val="24"/>
          <w:szCs w:val="20"/>
        </w:rPr>
        <w:t xml:space="preserve">  </w:t>
      </w:r>
      <w:r w:rsidR="00F91F73" w:rsidRPr="00F91F73">
        <w:rPr>
          <w:b w:val="0"/>
          <w:bCs/>
          <w:color w:val="auto"/>
          <w:sz w:val="24"/>
          <w:szCs w:val="20"/>
        </w:rPr>
        <w:t>As a result, the implementation of AI within such a context is not simply a technical or operational decision, but a strategic challenge with wider organisational implications. The integration of AI within multinational festival operations can be understood as a “wicked problem”—one that is difficult to resolve due to competing stakeholder interests, evolving regulations, and unintended consequences (Rittel and Webber, 1973), characterised by competing stakeholder interests, evolving regulatory environments, and unintended consequences. While AI offers clear benefits in efficiency and customer experience, it simultaneously generates ethical concerns, regulatory tensions, and labour market disruptions (Jarrahi, 2018).</w:t>
      </w:r>
    </w:p>
    <w:p w14:paraId="1A9EA987" w14:textId="77777777" w:rsidR="00A43D1F" w:rsidRDefault="00A43D1F" w:rsidP="00F91F73">
      <w:pPr>
        <w:rPr>
          <w:b w:val="0"/>
          <w:bCs/>
          <w:color w:val="auto"/>
          <w:sz w:val="24"/>
          <w:szCs w:val="20"/>
        </w:rPr>
      </w:pPr>
      <w:r>
        <w:rPr>
          <w:b w:val="0"/>
          <w:bCs/>
          <w:color w:val="auto"/>
          <w:sz w:val="24"/>
          <w:szCs w:val="20"/>
        </w:rPr>
        <w:t xml:space="preserve">  </w:t>
      </w:r>
      <w:r w:rsidR="00F91F73" w:rsidRPr="00F91F73">
        <w:rPr>
          <w:b w:val="0"/>
          <w:bCs/>
          <w:color w:val="auto"/>
          <w:sz w:val="24"/>
          <w:szCs w:val="20"/>
        </w:rPr>
        <w:t xml:space="preserve">This highlights the complexity of balancing innovation with responsibility in a global business environment. Therefore, the aim of this report is to critically evaluate the impact of AI on risk management within Superstruct Entertainment, with a focus on key areas such as data governance, ethical AI use, and regulatory differences between the United Kingdom and the European Union. In doing so, the report will consider wider global economic, regulatory, and societal factors, before developing strategic and actionable recommendations, alongside an implementation plan, to support responsible and future-focused AI adoption. </w:t>
      </w:r>
    </w:p>
    <w:p w14:paraId="7A837E52" w14:textId="77777777" w:rsidR="00A43D1F" w:rsidRDefault="00A43D1F" w:rsidP="00F91F73">
      <w:pPr>
        <w:rPr>
          <w:b w:val="0"/>
          <w:bCs/>
          <w:color w:val="auto"/>
          <w:sz w:val="24"/>
          <w:szCs w:val="20"/>
        </w:rPr>
      </w:pPr>
    </w:p>
    <w:p w14:paraId="7A48C2C8" w14:textId="54655F00" w:rsidR="00A43D1F" w:rsidRPr="00A43D1F" w:rsidRDefault="00F91F73" w:rsidP="00A43D1F">
      <w:pPr>
        <w:pStyle w:val="ListParagraph"/>
        <w:numPr>
          <w:ilvl w:val="0"/>
          <w:numId w:val="12"/>
        </w:numPr>
        <w:rPr>
          <w:color w:val="auto"/>
          <w:sz w:val="24"/>
          <w:szCs w:val="20"/>
        </w:rPr>
      </w:pPr>
      <w:r w:rsidRPr="00A43D1F">
        <w:rPr>
          <w:color w:val="auto"/>
        </w:rPr>
        <w:t xml:space="preserve">Global Business Context </w:t>
      </w:r>
    </w:p>
    <w:p w14:paraId="42C4B1EF" w14:textId="77777777" w:rsidR="00A43D1F" w:rsidRDefault="00A43D1F" w:rsidP="00A43D1F">
      <w:pPr>
        <w:rPr>
          <w:b w:val="0"/>
          <w:bCs/>
          <w:color w:val="auto"/>
          <w:sz w:val="24"/>
          <w:szCs w:val="20"/>
        </w:rPr>
      </w:pPr>
    </w:p>
    <w:p w14:paraId="4E7A06A2"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The operating environment of multinational organisations is shaped by globalisation, which facilitates the cross-border movement of capital, technology, and labour (Stiglitz, 2012). For </w:t>
      </w:r>
      <w:r w:rsidR="00F91F73" w:rsidRPr="00A43D1F">
        <w:rPr>
          <w:b w:val="0"/>
          <w:bCs/>
          <w:color w:val="auto"/>
          <w:sz w:val="24"/>
          <w:szCs w:val="20"/>
        </w:rPr>
        <w:lastRenderedPageBreak/>
        <w:t xml:space="preserve">Superstruct Entertainment, global expansion enables access to new markets, diversified revenue streams, and a broader talent pool. However, these opportunities are accompanied by increased complexity in managing operations across diverse institutional environments, particularly in relation to governance, labour practices, and ethical decision-making. A key structural feature of globalisation is inequality, defined as the uneven distribution of wealth, opportunities, and living standards both between and within countries (Milanovic, 2016). </w:t>
      </w:r>
    </w:p>
    <w:p w14:paraId="2F65CEBC"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Within the global festival industry, disparities are evident between high-income markets and emerging economies. Events held in countries such as the United Kingdom benefit from established infrastructure, higher consumer spending power, and greater technological integration, while festivals in lower-income regions may face financial and logistical constraints. These differences influence not only revenue generation but also the capacity to adopt advanced technologies such as AI. </w:t>
      </w:r>
    </w:p>
    <w:p w14:paraId="3868D9DB"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Inequality is also reflected within domestic labour markets. Highly skilled roles in data analytics, AI development, and digital marketing offer relatively high wages and job security, whereas many roles within the festival industry are temporary, seasonal, or gig based. Research from the University of Wood et al. (2023) highlights the precarious nature of gig economy employment, finding that 52% of UK gig workers earn below the minimum wage, with many also reporting high levels of financial insecurity and work-related anxiety at 76%. This reflects broader global trends in which the benefits of economic integration are unevenly distributed (Piketty, 2014). These structural inequalities create strategic tensions for multinational organisations. On one hand, firms are </w:t>
      </w:r>
      <w:r w:rsidRPr="00A43D1F">
        <w:rPr>
          <w:b w:val="0"/>
          <w:bCs/>
          <w:color w:val="auto"/>
          <w:sz w:val="24"/>
          <w:szCs w:val="20"/>
        </w:rPr>
        <w:t>incentivized</w:t>
      </w:r>
      <w:r w:rsidR="00F91F73" w:rsidRPr="00A43D1F">
        <w:rPr>
          <w:b w:val="0"/>
          <w:bCs/>
          <w:color w:val="auto"/>
          <w:sz w:val="24"/>
          <w:szCs w:val="20"/>
        </w:rPr>
        <w:t xml:space="preserve"> to pursue cost efficiency and operational flexibility. On the other, they face increasing pressure to demonstrate corporate social responsibility (CSR), particularly in relation to fair labour practices and inclusive growth. This tension is particularly relevant in the context of technological adoption, where efficiency gains may come at the expense of workforce stability.</w:t>
      </w:r>
    </w:p>
    <w:p w14:paraId="61145608"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 Cultural diversity further complicates the global business environment. Festivals are deeply embedded in local cultures, traditions, and social norms, meaning that consumer expectations vary significantly across regions. Attitudes towards data privacy, surveillance, and digital technologies differ between countries, requiring organisations to adapt their practices accordingly. Cultural intelligence (Earley and Ang, 2003) therefore becomes a critical capability, enabling organisations to navigate these differences effectively. Failure to align with local expectations may result in reputational damage, reduced consumer trust, and operational challenges (Edelman, 2024).</w:t>
      </w:r>
    </w:p>
    <w:p w14:paraId="16DFDED0" w14:textId="07BF47F5"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 These dynamics can be interpreted through the PESTLE framework, which highlights how political and legal variation, economic inequality, evolving social expectations, technological advancement, and environmental pressures collectively shape the global operating environment (Johnson et al., 2020). However, while PESTLE provides a useful structure for categorising external influences, its descriptive and nature</w:t>
      </w:r>
      <w:r>
        <w:rPr>
          <w:b w:val="0"/>
          <w:bCs/>
          <w:color w:val="auto"/>
          <w:sz w:val="24"/>
          <w:szCs w:val="20"/>
        </w:rPr>
        <w:t xml:space="preserve"> of compartments</w:t>
      </w:r>
      <w:r w:rsidR="00F91F73" w:rsidRPr="00A43D1F">
        <w:rPr>
          <w:b w:val="0"/>
          <w:bCs/>
          <w:color w:val="auto"/>
          <w:sz w:val="24"/>
          <w:szCs w:val="20"/>
        </w:rPr>
        <w:t xml:space="preserve"> limits its analytical depth. The framework assumes that factors operate independently, whereas in reality they are highly interconnected—for example, economic inequality shapes social expectations, while legal frameworks influence technological adoption. Furthermore, its static perspective makes it less suited to rapidly evolving environments </w:t>
      </w:r>
      <w:r w:rsidR="00F91F73" w:rsidRPr="00A43D1F">
        <w:rPr>
          <w:b w:val="0"/>
          <w:bCs/>
          <w:color w:val="auto"/>
          <w:sz w:val="24"/>
          <w:szCs w:val="20"/>
        </w:rPr>
        <w:lastRenderedPageBreak/>
        <w:t>such as AI, where conditions shift continuously. As a result, PESTLE is most effective when used as a starting point for analysis rather than a comprehensive explanatory model. Overall, the global business context in which Superstruct Entertainment operates is characterised by complexity and constant change. These underlying pressures form the foundation upon which AI is introduced, meaning that the impact of AI cannot be understood in isolation, but must be analysed in relation to broader global dynamics.</w:t>
      </w:r>
    </w:p>
    <w:p w14:paraId="5FABF54C" w14:textId="77777777" w:rsidR="00A43D1F" w:rsidRDefault="00A43D1F" w:rsidP="00A43D1F">
      <w:pPr>
        <w:rPr>
          <w:b w:val="0"/>
          <w:bCs/>
          <w:color w:val="auto"/>
          <w:sz w:val="24"/>
          <w:szCs w:val="20"/>
        </w:rPr>
      </w:pPr>
    </w:p>
    <w:p w14:paraId="6C59AB5B" w14:textId="470FB646" w:rsidR="00A43D1F" w:rsidRPr="00A43D1F" w:rsidRDefault="00F91F73" w:rsidP="00A43D1F">
      <w:pPr>
        <w:pStyle w:val="ListParagraph"/>
        <w:numPr>
          <w:ilvl w:val="0"/>
          <w:numId w:val="12"/>
        </w:numPr>
        <w:rPr>
          <w:color w:val="auto"/>
        </w:rPr>
      </w:pPr>
      <w:r w:rsidRPr="00A43D1F">
        <w:rPr>
          <w:color w:val="auto"/>
        </w:rPr>
        <w:t xml:space="preserve">The Macro Environment of Artificial Intelligence in Global Business </w:t>
      </w:r>
    </w:p>
    <w:p w14:paraId="34BB1B2E" w14:textId="77777777" w:rsidR="00A43D1F" w:rsidRDefault="00A43D1F" w:rsidP="00A43D1F">
      <w:pPr>
        <w:rPr>
          <w:b w:val="0"/>
          <w:bCs/>
          <w:color w:val="auto"/>
          <w:sz w:val="24"/>
          <w:szCs w:val="20"/>
        </w:rPr>
      </w:pPr>
    </w:p>
    <w:p w14:paraId="19A4879F"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Artificial intelligence acts as a transformative force within the global business environment, reshaping how organisations respond to existing economic, regulatory, and societal pressures (Raisch and Krakowski, 2021). Rather than simply enhancing individual processes, AI increasingly influences organisational strategy, competitive dynamics, and long-term decision-making. From an economic perspective, AI enables significant productivity gains through automation and advanced data analytics (Davenport and Ronanki, 2018). Organisations can optimise forecasting, streamline operations, and reduce costs, leading to improved efficiency and profitability. The integration of machine learning and predictive analytics allows firms to make more accurate and timely decisions, enhancing their ability to respond to market changes (McKinsey &amp; Company, 2023). However, these benefits are not evenly distributed. AI contributes to structural changes in labour markets, increasing demand for high-skilled roles while reducing the need for routine or manual tasks (Autor, 2015; Frey and Osborne, 2017). This dynamic reinforces existing inequalities and raises questions about the long-term sustainability of current employment models.</w:t>
      </w:r>
    </w:p>
    <w:p w14:paraId="57A3DF8B"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 Regulatory developments further shape the macro environment of AI. Governments are increasingly focused on balancing innovation with risk management, leading to the emergence of diverse regulatory approaches. The European Union has taken a proactive stance through the EU AI Act, which introduces a risk-based framework emphasising transparency, accountability, and oversight (European Commission, 2024). In contrast, the United Kingdom adopts a more flexible, principles-based approach, encouraging innovation while maintaining regulatory guidance (UK DSIT, 2023). Australia’s approach remains less centralised, relying on existing data protection laws and ethical guidelines (Australian Government, 2023).</w:t>
      </w:r>
    </w:p>
    <w:p w14:paraId="64B66C57"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 This divergence creates a fragmented regulatory landscape, requiring multinational organisations to navigate multiple, and sometimes conflicting, frameworks. The influence of stricter regulatory policies, particularly within the EU, often extends beyond regional boundaries, shaping global business practices through what is commonly referred to as the Institutional Theory (Bradford, 2020). As a result, organisations may adopt higher standards across all operations to reduce complexity and risk. But, while institutional theory provides a useful explanation of how organisations respond to external environments, it tends to portray firms as largely reactive. This limits its ability to capture the strategic role of AI, where organisations actively shape their competitive position through technological investment and innovation. In this context, the resource-based view (RBV) offers a </w:t>
      </w:r>
      <w:r w:rsidR="00F91F73" w:rsidRPr="00A43D1F">
        <w:rPr>
          <w:b w:val="0"/>
          <w:bCs/>
          <w:color w:val="auto"/>
          <w:sz w:val="24"/>
          <w:szCs w:val="20"/>
        </w:rPr>
        <w:lastRenderedPageBreak/>
        <w:t xml:space="preserve">complementary perspective, highlighting how internal capabilities such as data analytics and AI systems can generate competitive advantage (Barney, 1991). However, RBV also has some limitations. It tends to view resources as stable over time, which is not realistic in fast-changing technological environments like AI. In practice, AI systems and capabilities need to be constantly updated and adapted, meaning that simply having these resources is not enough to maintain a competitive advantage. Instead, organisations need the ability to continuously adjust and improve how these resources are used. For this reason, dynamic capabilities theory may provide a more relevant perspective, as it focuses on how organisations adapt to ongoing technological change. </w:t>
      </w:r>
    </w:p>
    <w:p w14:paraId="17B6597A"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Social factors play an equally important role. Public awareness of AI-related issues, including data privacy, surveillance, and algorithmic bias, has increased significantly in recent years. Consumers now expect organisations to demonstrate transparency and ethical responsibility in their use of technology (Edelman, 2024). Trust has therefore become a critical component of organisational success, particularly in industries that rely heavily on customer engagement and brand perception. At the same time, technological advancements introduce new risks. Increased reliance on AI systems creates vulnerabilities related to cybersecurity, system failures, and technological dependency (World Economic Forum, 2024). These risks highlight the importance of resilience and contingency planning, as disruptions can have immediate and far-reaching consequences.</w:t>
      </w:r>
    </w:p>
    <w:p w14:paraId="54DFC277"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 Overall, AI reshapes the macro environment by intensifying existing pressures and introducing new complexities. Organisations must therefore adopt a strategic approach that balances innovation with responsibility, ensuring that AI adoption aligns with broader economic, regulatory, and societal expectations.</w:t>
      </w:r>
    </w:p>
    <w:p w14:paraId="1976EDED" w14:textId="77777777" w:rsidR="00A43D1F" w:rsidRDefault="00A43D1F" w:rsidP="00A43D1F">
      <w:pPr>
        <w:rPr>
          <w:b w:val="0"/>
          <w:bCs/>
          <w:color w:val="auto"/>
          <w:sz w:val="24"/>
          <w:szCs w:val="20"/>
        </w:rPr>
      </w:pPr>
    </w:p>
    <w:p w14:paraId="4E5D7576" w14:textId="77777777" w:rsidR="00A43D1F" w:rsidRPr="00A43D1F" w:rsidRDefault="00F91F73" w:rsidP="00A43D1F">
      <w:pPr>
        <w:pStyle w:val="ListParagraph"/>
        <w:numPr>
          <w:ilvl w:val="0"/>
          <w:numId w:val="12"/>
        </w:numPr>
        <w:rPr>
          <w:color w:val="auto"/>
        </w:rPr>
      </w:pPr>
      <w:r w:rsidRPr="00A43D1F">
        <w:rPr>
          <w:color w:val="auto"/>
        </w:rPr>
        <w:t>AI in the Festival Events Industry</w:t>
      </w:r>
    </w:p>
    <w:p w14:paraId="39203F59"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 The global festival industry has transformed from the adaptation of AI, especially with enabling organisations to enhance their operational efficiency, customer experience and decision-making abilities (Davenport and Ronanki, 2018; Dwivedi et al., 2021). As a multinational festival operator, Superstruct Entertainment has had to learn the strengths of AI as part of their strategic resources and support the management of large-scale events across numerous diverse geographical and cultural contexts (Raisch and Krakowski, 2021). But as briefly highlighted, these technologies can introduce complex risks that must be carefully managed by hierarchy and trained to employees (Floridi et al., 2018). This section will delve deeper into these complexities. </w:t>
      </w:r>
    </w:p>
    <w:p w14:paraId="0ADD0740"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One of the applications of AI used most within the festival industry is ticketing and pricing strategies (Chen et al., 2019). These systems give companies the ability to analyse historical data and trends through real-time demand patterns and </w:t>
      </w:r>
      <w:proofErr w:type="gramStart"/>
      <w:r w:rsidR="00F91F73" w:rsidRPr="00A43D1F">
        <w:rPr>
          <w:b w:val="0"/>
          <w:bCs/>
          <w:color w:val="auto"/>
          <w:sz w:val="24"/>
          <w:szCs w:val="20"/>
        </w:rPr>
        <w:t xml:space="preserve">the </w:t>
      </w:r>
      <w:r w:rsidRPr="00A43D1F">
        <w:rPr>
          <w:b w:val="0"/>
          <w:bCs/>
          <w:color w:val="auto"/>
          <w:sz w:val="24"/>
          <w:szCs w:val="20"/>
        </w:rPr>
        <w:t>optimi</w:t>
      </w:r>
      <w:r>
        <w:rPr>
          <w:b w:val="0"/>
          <w:bCs/>
          <w:color w:val="auto"/>
          <w:sz w:val="24"/>
          <w:szCs w:val="20"/>
        </w:rPr>
        <w:t>se</w:t>
      </w:r>
      <w:proofErr w:type="gramEnd"/>
      <w:r>
        <w:rPr>
          <w:b w:val="0"/>
          <w:bCs/>
          <w:color w:val="auto"/>
          <w:sz w:val="24"/>
          <w:szCs w:val="20"/>
        </w:rPr>
        <w:t xml:space="preserve"> </w:t>
      </w:r>
      <w:r w:rsidR="00F91F73" w:rsidRPr="00A43D1F">
        <w:rPr>
          <w:b w:val="0"/>
          <w:bCs/>
          <w:color w:val="auto"/>
          <w:sz w:val="24"/>
          <w:szCs w:val="20"/>
        </w:rPr>
        <w:t xml:space="preserve">their sales through dynamic pricing and check a demand forecast (Talluri and Van Ryzin, 2004). These capabilities will allow organisations to maximise their revenue and reduce risks of unsold capacity (Phillips, 2021). While this provides a competitive advantage, it also introduces concerns around transparency and fairness (Calo, 2017). </w:t>
      </w:r>
    </w:p>
    <w:p w14:paraId="6D2F5B0D"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A real-world example can be seen with Ticketmaster, where dynamic pricing practices during high-demand events have led to significant consumer backlash, with customers criticising sudden price </w:t>
      </w:r>
      <w:r w:rsidR="00F91F73" w:rsidRPr="00A43D1F">
        <w:rPr>
          <w:b w:val="0"/>
          <w:bCs/>
          <w:color w:val="auto"/>
          <w:sz w:val="24"/>
          <w:szCs w:val="20"/>
        </w:rPr>
        <w:lastRenderedPageBreak/>
        <w:t xml:space="preserve">increases and lack of transparency (BBC News, 2023). This demonstrates how AI-driven efficiency can conflict with consumer expectations, ultimately creating reputational risk. </w:t>
      </w:r>
    </w:p>
    <w:p w14:paraId="2A4F0772"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AI is also a useful tool to detect fraudulent transactions and users, and this will improve security on ticket platforms (Ngai et al., 2011). A resource-based point of view will suggest that having these capabilities will represent valuable and potentially rare organisational resources and this will give the company that competitive advantage (Barney, 1991). But as mentioned in the PESTLE analysis, the raising concern regarding data governance, transparency and fairness with pricing algorithms is not completely understood by consumers (Calo, 2017). </w:t>
      </w:r>
    </w:p>
    <w:p w14:paraId="37CD7FEC"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Festival operators also utilises AI in crowd management and safety operations by using predictive analytics for supporting crowd density monitoring, anticipate potential safety risks and improve emergency response planning (Helbing et al., 2015). Using these systems can enhance operational efficiency and reduce likelihood of incidents in large-scale events. But having this technology requires extensive data collection like location tracking and sometimes biometric data which could be unethical to some regions to surveillance and privacy (Zuboff, 2019). This would create a global issue for societal expectations regarding data use (Mittelstadt et al., 2016). Moving onto marketing and customer engagement, AI creates highly personalised experience for the person browsing through data insights. </w:t>
      </w:r>
    </w:p>
    <w:p w14:paraId="0A6DD37C"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Festival organisers can analyse consumer behaviour by giving targeted adverts, recommendations on artists and tailor event experiences through preferences (Huang and Rust, 2021). Chatbots will also be available on festival websites to enhance user experience to provide real-time assistance when employees are more difficult to reach (Luo et al., 2019) but this feature also relies too heavily on personal data collection increasing the risk of misuse and breaches, and each differing regulatory region must be considered (Martin, 2019). While operator’s are glad for these advantages, the growing reliance on AI has broader socio-economic implications they must consider more as they relate to inequality. What is meant by this </w:t>
      </w:r>
      <w:r w:rsidRPr="00A43D1F">
        <w:rPr>
          <w:b w:val="0"/>
          <w:bCs/>
          <w:color w:val="auto"/>
          <w:sz w:val="24"/>
          <w:szCs w:val="20"/>
        </w:rPr>
        <w:t>is that</w:t>
      </w:r>
      <w:r w:rsidR="00F91F73" w:rsidRPr="00A43D1F">
        <w:rPr>
          <w:b w:val="0"/>
          <w:bCs/>
          <w:color w:val="auto"/>
          <w:sz w:val="24"/>
          <w:szCs w:val="20"/>
        </w:rPr>
        <w:t xml:space="preserve"> having the automation</w:t>
      </w:r>
      <w:r>
        <w:rPr>
          <w:b w:val="0"/>
          <w:bCs/>
          <w:color w:val="auto"/>
          <w:sz w:val="24"/>
          <w:szCs w:val="20"/>
        </w:rPr>
        <w:t>,</w:t>
      </w:r>
      <w:r w:rsidR="00F91F73" w:rsidRPr="00A43D1F">
        <w:rPr>
          <w:b w:val="0"/>
          <w:bCs/>
          <w:color w:val="auto"/>
          <w:sz w:val="24"/>
          <w:szCs w:val="20"/>
        </w:rPr>
        <w:t xml:space="preserve"> certain functions could reduce the need for lower-skilled </w:t>
      </w:r>
      <w:proofErr w:type="gramStart"/>
      <w:r w:rsidR="00F91F73" w:rsidRPr="00A43D1F">
        <w:rPr>
          <w:b w:val="0"/>
          <w:bCs/>
          <w:color w:val="auto"/>
          <w:sz w:val="24"/>
          <w:szCs w:val="20"/>
        </w:rPr>
        <w:t>job</w:t>
      </w:r>
      <w:proofErr w:type="gramEnd"/>
      <w:r w:rsidR="00F91F73" w:rsidRPr="00A43D1F">
        <w:rPr>
          <w:b w:val="0"/>
          <w:bCs/>
          <w:color w:val="auto"/>
          <w:sz w:val="24"/>
          <w:szCs w:val="20"/>
        </w:rPr>
        <w:t xml:space="preserve"> and </w:t>
      </w:r>
      <w:proofErr w:type="gramStart"/>
      <w:r w:rsidR="00F91F73" w:rsidRPr="00A43D1F">
        <w:rPr>
          <w:b w:val="0"/>
          <w:bCs/>
          <w:color w:val="auto"/>
          <w:sz w:val="24"/>
          <w:szCs w:val="20"/>
        </w:rPr>
        <w:t>needing</w:t>
      </w:r>
      <w:proofErr w:type="gramEnd"/>
      <w:r w:rsidR="00F91F73" w:rsidRPr="00A43D1F">
        <w:rPr>
          <w:b w:val="0"/>
          <w:bCs/>
          <w:color w:val="auto"/>
          <w:sz w:val="24"/>
          <w:szCs w:val="20"/>
        </w:rPr>
        <w:t xml:space="preserve"> an extensive increase in highly skilled technical positions (Frey and Osborne, 2017). Therefore, </w:t>
      </w:r>
      <w:r w:rsidRPr="00A43D1F">
        <w:rPr>
          <w:b w:val="0"/>
          <w:bCs/>
          <w:color w:val="auto"/>
          <w:sz w:val="24"/>
          <w:szCs w:val="20"/>
        </w:rPr>
        <w:t>there is a widening</w:t>
      </w:r>
      <w:r w:rsidR="00F91F73" w:rsidRPr="00A43D1F">
        <w:rPr>
          <w:b w:val="0"/>
          <w:bCs/>
          <w:color w:val="auto"/>
          <w:sz w:val="24"/>
          <w:szCs w:val="20"/>
        </w:rPr>
        <w:t xml:space="preserve"> gap between well-paid professionals that are involved in data analytics and technology management against temporary or gig-based workers who often have lower wages and job insecurity. This results in AI also affecting labour dynamics as well as the operational processes or even AI eliminating these jobs completely (Autor, 2015; Piketty, 2014). </w:t>
      </w:r>
    </w:p>
    <w:p w14:paraId="031568A9"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A term that can be used in global business for this situation is called the “Wicked Problem”, which is the interconnected nature of a solution also causing significant issues (Rittel and Webber, 1973). Rittel and Webber (1973) explain</w:t>
      </w:r>
      <w:r>
        <w:rPr>
          <w:b w:val="0"/>
          <w:bCs/>
          <w:color w:val="auto"/>
          <w:sz w:val="24"/>
          <w:szCs w:val="20"/>
        </w:rPr>
        <w:t>s</w:t>
      </w:r>
      <w:r w:rsidR="00F91F73" w:rsidRPr="00A43D1F">
        <w:rPr>
          <w:b w:val="0"/>
          <w:bCs/>
          <w:color w:val="auto"/>
          <w:sz w:val="24"/>
          <w:szCs w:val="20"/>
        </w:rPr>
        <w:t xml:space="preserve"> that an attempt to solve one issue may generate unintended consequences elsewhere. This provides a critical foundation for the analysis of AI-related risks in global festival operations. For a multinational operator such as Superstruct Entertainment, AI represents a critical strategic capability that supports the management of large-scale events across diverse geographical and cultural contexts (Raisch and Krakowski, 2021). However, the value of these </w:t>
      </w:r>
      <w:r w:rsidR="00F91F73" w:rsidRPr="00A43D1F">
        <w:rPr>
          <w:b w:val="0"/>
          <w:bCs/>
          <w:color w:val="auto"/>
          <w:sz w:val="24"/>
          <w:szCs w:val="20"/>
        </w:rPr>
        <w:lastRenderedPageBreak/>
        <w:t xml:space="preserve">technologies lies not only in their functionality, but in how effectively their risks are managed (Floridi et al., 2018). </w:t>
      </w:r>
    </w:p>
    <w:p w14:paraId="69D06D4A" w14:textId="77777777" w:rsidR="00A43D1F" w:rsidRDefault="00A43D1F" w:rsidP="00A43D1F">
      <w:pPr>
        <w:rPr>
          <w:b w:val="0"/>
          <w:bCs/>
          <w:color w:val="auto"/>
          <w:sz w:val="24"/>
          <w:szCs w:val="20"/>
        </w:rPr>
      </w:pPr>
    </w:p>
    <w:p w14:paraId="6E2E560C" w14:textId="02A7F2D0" w:rsidR="00A43D1F" w:rsidRDefault="00F91F73" w:rsidP="00A43D1F">
      <w:pPr>
        <w:pStyle w:val="ListParagraph"/>
        <w:numPr>
          <w:ilvl w:val="0"/>
          <w:numId w:val="12"/>
        </w:numPr>
        <w:rPr>
          <w:color w:val="auto"/>
        </w:rPr>
      </w:pPr>
      <w:r w:rsidRPr="00A43D1F">
        <w:rPr>
          <w:color w:val="auto"/>
        </w:rPr>
        <w:t xml:space="preserve">Artificial Intelligence as a “Wicked Problem” in Global Festival Operations </w:t>
      </w:r>
    </w:p>
    <w:p w14:paraId="4CE63E59" w14:textId="77777777" w:rsidR="00A43D1F" w:rsidRPr="00A43D1F" w:rsidRDefault="00A43D1F" w:rsidP="00A43D1F">
      <w:pPr>
        <w:rPr>
          <w:color w:val="auto"/>
        </w:rPr>
      </w:pPr>
    </w:p>
    <w:p w14:paraId="25902C6E"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The increasing use of AI within multinational organisations can be classified as a “wicked problem” due to its inherent trade-offs and uncertainties (Rittel and Webber, 1973). Wicked problems are defined as issues that are difficult or impossible to fully resolve because of incomplete information, multiple stakeholders, and conflicting outcomes. Attempts to address one aspect of such problems often generate new challenges elsewhere, highlighting their interconnected nature. Within this context, the implementation of AI in global festival operations presents a clear example of this complexity. For Superstruct Entertainment, AI offers significant operational and strategic benefits. Technologies such as predictive analytics, automated ticketing systems, and personalised marketing enhances efficiency, improve customer experience, and support data-driven decision-making (Davenport and Ronanki, 2018; Dwivedi et al., 2021).</w:t>
      </w:r>
    </w:p>
    <w:p w14:paraId="1B36A148"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 From a resource-based perspective, these capabilities represent valuable organisational assets that can strengthen competitive advantage (Barney, 1991). However, these benefits are accompanied by important trade-offs. From an economic perspective, AI adoption may contribute to the restructuring of employment, increasing reliance on temporary or gig-based roles while reducing the need for routine labour (Frey and Osborne, 2017). This may widen income inequality and reinforce labour market segmentation, particularly across regions such as the UK, EU, and Australia where employment conditions and protections vary (Autor, 2015; Piketty, 2014).</w:t>
      </w:r>
    </w:p>
    <w:p w14:paraId="39E4259A"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 Ethically, the use of algorithmic systems in areas such as marketing and security raises concerns regarding fairness, transparency, and accountability (Floridi et al., 2018). Automated decision-making processes may unintentionally reinforce existing biases or exclude certain groups, particularly where datasets are incomplete or unrepresentative (Mittelstadt et al., 2016). In addition, the use of monitoring and surveillance technologies within festival environments creates tension between enhancing safety and protecting individual privacy (Zuboff, 2019). These concerns extend beyond regulatory compliance and require organisations to consider broader societal expectations. </w:t>
      </w:r>
    </w:p>
    <w:p w14:paraId="2063AB5F"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From a regulatory perspective, variation between jurisdictions further complicates AI implementation. The stricter regulatory framework within the European Union contrasts with the more flexible approaches adopted in the United Kingdom and Australia, requiring organisations to continuously adapt their systems to meet differing standards (European Commission, 2024; UK DSIT, 2023). While stricter regulations may improve accountability and consumer protection, they can also increase compliance costs and limit flexibility. Conversely, less prescriptive approaches may encourage innovation but create uncertainty and potential gaps in governance. This divergence increases operational complexity and heightens the risk of non-compliance across multinational operations (Kostova and Roth. 2002). </w:t>
      </w:r>
    </w:p>
    <w:p w14:paraId="01D0B6A8" w14:textId="77777777" w:rsidR="00A43D1F" w:rsidRDefault="00A43D1F" w:rsidP="00A43D1F">
      <w:pPr>
        <w:rPr>
          <w:b w:val="0"/>
          <w:bCs/>
          <w:color w:val="auto"/>
          <w:sz w:val="24"/>
          <w:szCs w:val="20"/>
        </w:rPr>
      </w:pPr>
      <w:r>
        <w:rPr>
          <w:b w:val="0"/>
          <w:bCs/>
          <w:color w:val="auto"/>
          <w:sz w:val="24"/>
          <w:szCs w:val="20"/>
        </w:rPr>
        <w:lastRenderedPageBreak/>
        <w:t xml:space="preserve">  </w:t>
      </w:r>
      <w:r w:rsidR="00F91F73" w:rsidRPr="00A43D1F">
        <w:rPr>
          <w:b w:val="0"/>
          <w:bCs/>
          <w:color w:val="auto"/>
          <w:sz w:val="24"/>
          <w:szCs w:val="20"/>
        </w:rPr>
        <w:t xml:space="preserve">Operationally, reliance on AI systems introduces new forms of vulnerability. Large-scale festival environments depend on real-time decision-making and coordinated logistics, meaning that failures in AI systems—such as technical errors, inaccurate predictions, or cyber disruptions—can result in immediate and significant consequences. These may include safety risks, financial losses, and reputational damage, highlighting the importance of reliability and effective oversight in AI deployment (World Economic Forum, 2024). </w:t>
      </w:r>
    </w:p>
    <w:p w14:paraId="4A01C934" w14:textId="77777777" w:rsidR="00A43D1F" w:rsidRDefault="00A43D1F"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Socially, public expectations around data privacy and ethical business practices continue to increase. Consumers across different regions may hold varying levels of trust in AI technologies, requiring organisations to balance innovation with maintaining consumer confidence (Edelman, 2024). Failure to meet these expectations may result in reputational damage, particularly in experience-based industries where brand perception plays a critical role</w:t>
      </w:r>
      <w:r>
        <w:rPr>
          <w:b w:val="0"/>
          <w:bCs/>
          <w:color w:val="auto"/>
          <w:sz w:val="24"/>
          <w:szCs w:val="20"/>
        </w:rPr>
        <w:t xml:space="preserve"> and can be affected live</w:t>
      </w:r>
      <w:r w:rsidR="00F91F73" w:rsidRPr="00A43D1F">
        <w:rPr>
          <w:b w:val="0"/>
          <w:bCs/>
          <w:color w:val="auto"/>
          <w:sz w:val="24"/>
          <w:szCs w:val="20"/>
        </w:rPr>
        <w:t xml:space="preserve">. </w:t>
      </w:r>
    </w:p>
    <w:p w14:paraId="21A54913" w14:textId="77777777" w:rsidR="00301602" w:rsidRDefault="00A43D1F" w:rsidP="00A43D1F">
      <w:pPr>
        <w:rPr>
          <w:b w:val="0"/>
          <w:bCs/>
          <w:color w:val="auto"/>
          <w:sz w:val="24"/>
          <w:szCs w:val="20"/>
        </w:rPr>
      </w:pPr>
      <w:r>
        <w:rPr>
          <w:b w:val="0"/>
          <w:bCs/>
          <w:color w:val="auto"/>
          <w:sz w:val="24"/>
          <w:szCs w:val="20"/>
        </w:rPr>
        <w:t xml:space="preserve">  T</w:t>
      </w:r>
      <w:r w:rsidR="00F91F73" w:rsidRPr="00A43D1F">
        <w:rPr>
          <w:b w:val="0"/>
          <w:bCs/>
          <w:color w:val="auto"/>
          <w:sz w:val="24"/>
          <w:szCs w:val="20"/>
        </w:rPr>
        <w:t xml:space="preserve">hese interconnected challenges demonstrate that addressing one dimension of AI adoption may create unintended consequences in another. For example, improving efficiency through automation may </w:t>
      </w:r>
      <w:r w:rsidR="00301602">
        <w:rPr>
          <w:b w:val="0"/>
          <w:bCs/>
          <w:color w:val="auto"/>
          <w:sz w:val="24"/>
          <w:szCs w:val="20"/>
        </w:rPr>
        <w:t>worsen</w:t>
      </w:r>
      <w:r w:rsidR="00F91F73" w:rsidRPr="00A43D1F">
        <w:rPr>
          <w:b w:val="0"/>
          <w:bCs/>
          <w:color w:val="auto"/>
          <w:sz w:val="24"/>
          <w:szCs w:val="20"/>
        </w:rPr>
        <w:t xml:space="preserve"> inequality, while strengthening regulatory compliance may reduce flexibility and increase costs. This reinforces the classification of AI as a wicked problem, requiring organisations such as Superstruct Entertainment to adopt a holistic, adaptive, and strategically balanced approach when implementing AI across global operations. </w:t>
      </w:r>
    </w:p>
    <w:p w14:paraId="228C967B" w14:textId="77777777" w:rsidR="00301602" w:rsidRDefault="00301602" w:rsidP="00A43D1F">
      <w:pPr>
        <w:rPr>
          <w:b w:val="0"/>
          <w:bCs/>
          <w:color w:val="auto"/>
          <w:sz w:val="24"/>
          <w:szCs w:val="20"/>
        </w:rPr>
      </w:pPr>
      <w:r>
        <w:rPr>
          <w:b w:val="0"/>
          <w:bCs/>
          <w:color w:val="auto"/>
          <w:sz w:val="24"/>
          <w:szCs w:val="20"/>
        </w:rPr>
        <w:t xml:space="preserve">  </w:t>
      </w:r>
      <w:r w:rsidR="00F91F73" w:rsidRPr="00A43D1F">
        <w:rPr>
          <w:b w:val="0"/>
          <w:bCs/>
          <w:color w:val="auto"/>
          <w:sz w:val="24"/>
          <w:szCs w:val="20"/>
        </w:rPr>
        <w:t xml:space="preserve">A Wicked Problem’s abstract nature limits its practical applicability, as it does not provide clear guidance for decision-making or implementation. Framing AI solely as a wicked problem risks implying that challenges are unmanageable, rather than requiring structured responses. Therefore, while the concept effectively captures the complexity of AI adoption, it must be complemented by more practical frameworks, such as risk management and governance models, which enable organisations to translate complexity into actionable strategies. </w:t>
      </w:r>
    </w:p>
    <w:p w14:paraId="695A58E4" w14:textId="77777777" w:rsidR="00301602" w:rsidRDefault="00301602" w:rsidP="00A43D1F">
      <w:pPr>
        <w:rPr>
          <w:b w:val="0"/>
          <w:bCs/>
          <w:color w:val="auto"/>
          <w:sz w:val="24"/>
          <w:szCs w:val="20"/>
        </w:rPr>
      </w:pPr>
    </w:p>
    <w:p w14:paraId="5B0E01DD" w14:textId="77777777" w:rsidR="00301602" w:rsidRPr="00301602" w:rsidRDefault="00F91F73" w:rsidP="00301602">
      <w:pPr>
        <w:pStyle w:val="ListParagraph"/>
        <w:numPr>
          <w:ilvl w:val="0"/>
          <w:numId w:val="12"/>
        </w:numPr>
        <w:rPr>
          <w:color w:val="auto"/>
        </w:rPr>
      </w:pPr>
      <w:r w:rsidRPr="00301602">
        <w:rPr>
          <w:color w:val="auto"/>
        </w:rPr>
        <w:t xml:space="preserve">Risk Analysis: AI in a Multi-Jurisdictional Context </w:t>
      </w:r>
    </w:p>
    <w:p w14:paraId="3BD9C44E" w14:textId="77777777" w:rsidR="00301602" w:rsidRDefault="00301602" w:rsidP="00301602">
      <w:pPr>
        <w:rPr>
          <w:b w:val="0"/>
          <w:bCs/>
          <w:color w:val="auto"/>
          <w:sz w:val="24"/>
          <w:szCs w:val="20"/>
        </w:rPr>
      </w:pPr>
      <w:r>
        <w:rPr>
          <w:b w:val="0"/>
          <w:bCs/>
          <w:color w:val="auto"/>
          <w:sz w:val="24"/>
          <w:szCs w:val="20"/>
        </w:rPr>
        <w:t xml:space="preserve">  </w:t>
      </w:r>
      <w:r w:rsidR="00F91F73" w:rsidRPr="00301602">
        <w:rPr>
          <w:b w:val="0"/>
          <w:bCs/>
          <w:color w:val="auto"/>
          <w:sz w:val="24"/>
          <w:szCs w:val="20"/>
        </w:rPr>
        <w:t xml:space="preserve">The adoption of artificial intelligence (AI) introduces a range of interconnected risks for multinational organisations, particularly when operating across jurisdictions with differing regulatory frameworks (Binns, 2018; Cath et al., 2018). For Superstruct Entertainment, these risks are amplified by its presence in the United Kingdom, the European Union, and Australia, where variations in legal standards, enforcement, and societal expectations create additional complexity in managing AI systems effectively. </w:t>
      </w:r>
    </w:p>
    <w:p w14:paraId="125135F8" w14:textId="77777777" w:rsidR="00301602" w:rsidRDefault="00301602" w:rsidP="00301602">
      <w:pPr>
        <w:rPr>
          <w:b w:val="0"/>
          <w:bCs/>
          <w:color w:val="auto"/>
          <w:sz w:val="24"/>
          <w:szCs w:val="20"/>
        </w:rPr>
      </w:pPr>
      <w:r>
        <w:rPr>
          <w:b w:val="0"/>
          <w:bCs/>
          <w:color w:val="auto"/>
          <w:sz w:val="24"/>
          <w:szCs w:val="20"/>
        </w:rPr>
        <w:t xml:space="preserve">  </w:t>
      </w:r>
      <w:r w:rsidR="00F91F73" w:rsidRPr="00301602">
        <w:rPr>
          <w:b w:val="0"/>
          <w:bCs/>
          <w:color w:val="auto"/>
          <w:sz w:val="24"/>
          <w:szCs w:val="20"/>
        </w:rPr>
        <w:t xml:space="preserve">From an institutional theory perspective, these differences reflect the need for organisations to adapt to diverse regulatory, cultural, and normative pressures in order to maintain legitimacy across markets (Scott, 2014). A primary area of risk relates to data governance and privacy. AI systems rely heavily on the collection and processing of large volumes of personal data, particularly within festival environments where customer information is used for ticketing, marketing, and crowd management (Kitchin, 2017). In the European Union, strict regulatory requirements under the EU AI Act impose high standards for transparency, accountability, and risk classification (Veale and Borgesius, 2021). This creates a compliance-intensive environment. In contrast, the United Kingdom adopts a more </w:t>
      </w:r>
      <w:r w:rsidR="00F91F73" w:rsidRPr="00301602">
        <w:rPr>
          <w:b w:val="0"/>
          <w:bCs/>
          <w:color w:val="auto"/>
          <w:sz w:val="24"/>
          <w:szCs w:val="20"/>
        </w:rPr>
        <w:lastRenderedPageBreak/>
        <w:t xml:space="preserve">flexible, principles-based approach, guided by bodies such as the Information Commissioner's Office, allowing for greater innovation but also increasing uncertainty in interpretation (Edwards, 2022). Australia presents a less centralised model, relying on existing privacy laws and evolving ethical guidelines, which may reduce immediate compliance pressure but increase ambiguity (Tucker, 2019). This variation illustrates the “Brussels Effect,” where stricter EU regulations can influence global practices, effectively setting a benchmark that multinational firms may adopt across all operations to reduce complexity (Bradford, 2020). Operational risks are also significant in the context of AI-driven festival management. Systems used for ticketing, crowd monitoring, and predictive analytics must function accurately in real time. Any failure—whether due to technical error, inaccurate data, or cyber threats—can result in immediate consequences, including safety risks, financial losses, and reputational damage (Amodei et al., 2016). </w:t>
      </w:r>
    </w:p>
    <w:p w14:paraId="03319B92" w14:textId="77777777" w:rsidR="00301602" w:rsidRDefault="00301602" w:rsidP="00301602">
      <w:pPr>
        <w:rPr>
          <w:b w:val="0"/>
          <w:bCs/>
          <w:color w:val="auto"/>
          <w:sz w:val="24"/>
          <w:szCs w:val="20"/>
        </w:rPr>
      </w:pPr>
      <w:r>
        <w:rPr>
          <w:b w:val="0"/>
          <w:bCs/>
          <w:color w:val="auto"/>
          <w:sz w:val="24"/>
          <w:szCs w:val="20"/>
        </w:rPr>
        <w:t xml:space="preserve">  </w:t>
      </w:r>
      <w:r w:rsidR="00F91F73" w:rsidRPr="00301602">
        <w:rPr>
          <w:b w:val="0"/>
          <w:bCs/>
          <w:color w:val="auto"/>
          <w:sz w:val="24"/>
          <w:szCs w:val="20"/>
        </w:rPr>
        <w:t xml:space="preserve">From </w:t>
      </w:r>
      <w:r w:rsidRPr="00301602">
        <w:rPr>
          <w:b w:val="0"/>
          <w:bCs/>
          <w:color w:val="auto"/>
          <w:sz w:val="24"/>
          <w:szCs w:val="20"/>
        </w:rPr>
        <w:t>an</w:t>
      </w:r>
      <w:r w:rsidR="00F91F73" w:rsidRPr="00301602">
        <w:rPr>
          <w:b w:val="0"/>
          <w:bCs/>
          <w:color w:val="auto"/>
          <w:sz w:val="24"/>
          <w:szCs w:val="20"/>
        </w:rPr>
        <w:t xml:space="preserve"> RBV, while AI capabilities can provide competitive advantage, their value depends on effective management and reliability. Poorly governed AI systems may therefore transform from strategic assets into sources of operational vulnerability (Makadok, 2001). Ethical risks further complicate AI adoption. The use of algorithmic decision-making in areas such as marketing and security raises concerns around bias, fairness, and transparency (O’Neil, 2016). These concerns are not universally interpreted, as cultural expectations differ across regions. Stakeholder theory highlights that organisations must balance the interests of multiple groups, including customers, employees, and regulators (Donaldson and Preston, 1995). In this context, focusing solely on efficiency may conflict with societal expectations around fairness and inclusivity, increasing the risk of stakeholder dissatisfaction and reputational harm (Phillips et al., 2003). However, stakeholder theory has notable limitations in this context. While it highlights the importance of multiple perspectives, it offers limited guidance on how organisations should prioritise competing interests in practice (Phillips et al., 2003). In reality, trade-offs are unavoidable, particularly in </w:t>
      </w:r>
      <w:proofErr w:type="gramStart"/>
      <w:r w:rsidR="00F91F73" w:rsidRPr="00301602">
        <w:rPr>
          <w:b w:val="0"/>
          <w:bCs/>
          <w:color w:val="auto"/>
          <w:sz w:val="24"/>
          <w:szCs w:val="20"/>
        </w:rPr>
        <w:t>AI adoption</w:t>
      </w:r>
      <w:proofErr w:type="gramEnd"/>
      <w:r w:rsidR="00F91F73" w:rsidRPr="00301602">
        <w:rPr>
          <w:b w:val="0"/>
          <w:bCs/>
          <w:color w:val="auto"/>
          <w:sz w:val="24"/>
          <w:szCs w:val="20"/>
        </w:rPr>
        <w:t xml:space="preserve">, where decisions that improve efficiency may conflict with ethical or social expectations. As a result, the framework can be seen as overly broad and difficult to apply in complex, high-pressure environments such as large-scale festival operations. </w:t>
      </w:r>
    </w:p>
    <w:p w14:paraId="0A9F36EB" w14:textId="77777777" w:rsidR="00301602" w:rsidRDefault="00301602" w:rsidP="00301602">
      <w:pPr>
        <w:rPr>
          <w:b w:val="0"/>
          <w:bCs/>
          <w:color w:val="auto"/>
          <w:sz w:val="24"/>
          <w:szCs w:val="20"/>
        </w:rPr>
      </w:pPr>
      <w:r>
        <w:rPr>
          <w:b w:val="0"/>
          <w:bCs/>
          <w:color w:val="auto"/>
          <w:sz w:val="24"/>
          <w:szCs w:val="20"/>
        </w:rPr>
        <w:t xml:space="preserve">  </w:t>
      </w:r>
      <w:r w:rsidR="00F91F73" w:rsidRPr="00301602">
        <w:rPr>
          <w:b w:val="0"/>
          <w:bCs/>
          <w:color w:val="auto"/>
          <w:sz w:val="24"/>
          <w:szCs w:val="20"/>
        </w:rPr>
        <w:t xml:space="preserve">An alternative perspective can be found in legitimacy theory, which suggests that organisations prioritise actions that maintain social acceptance and public trust (Suchman, 1995). This may provide a more realistic explanation of organisational behaviour, as firms are likely to focus on meeting the expectations of the most influential stakeholders, particularly regulators and consumers. However, despite its limitations, stakeholder theory remains valuable as a guiding framework, as it encourages organisations to consider a wider range of impacts rather than focusing solely on financial or regulatory outcomes. Therefore, it is most effective when used alongside other perspectives to support more balanced and practical decision-making. Reputational risk is particularly significant within the festival industry, where brand perception and consumer trust are central to success. </w:t>
      </w:r>
    </w:p>
    <w:p w14:paraId="6F7BE6E5" w14:textId="77777777" w:rsidR="00301602" w:rsidRDefault="00301602" w:rsidP="00301602">
      <w:pPr>
        <w:rPr>
          <w:b w:val="0"/>
          <w:bCs/>
          <w:color w:val="auto"/>
          <w:sz w:val="24"/>
          <w:szCs w:val="20"/>
        </w:rPr>
      </w:pPr>
      <w:r>
        <w:rPr>
          <w:b w:val="0"/>
          <w:bCs/>
          <w:color w:val="auto"/>
          <w:sz w:val="24"/>
          <w:szCs w:val="20"/>
        </w:rPr>
        <w:t xml:space="preserve">  </w:t>
      </w:r>
      <w:r w:rsidR="00F91F73" w:rsidRPr="00301602">
        <w:rPr>
          <w:b w:val="0"/>
          <w:bCs/>
          <w:color w:val="auto"/>
          <w:sz w:val="24"/>
          <w:szCs w:val="20"/>
        </w:rPr>
        <w:t>As public awareness of AI-related issues increases, organisations are expected to demonstrate responsible and transparent use of technology (Gillespie, 2018). Failure to meet these expectations—</w:t>
      </w:r>
      <w:r w:rsidR="00F91F73" w:rsidRPr="00301602">
        <w:rPr>
          <w:b w:val="0"/>
          <w:bCs/>
          <w:color w:val="auto"/>
          <w:sz w:val="24"/>
          <w:szCs w:val="20"/>
        </w:rPr>
        <w:lastRenderedPageBreak/>
        <w:t xml:space="preserve">whether through data misuse or lack of accountability—can lead to a loss of consumer trust across multiple markets. </w:t>
      </w:r>
    </w:p>
    <w:p w14:paraId="7B7A9ADC" w14:textId="77777777" w:rsidR="00301602" w:rsidRDefault="00301602" w:rsidP="00301602">
      <w:pPr>
        <w:rPr>
          <w:b w:val="0"/>
          <w:bCs/>
          <w:color w:val="auto"/>
          <w:sz w:val="24"/>
          <w:szCs w:val="20"/>
        </w:rPr>
      </w:pPr>
      <w:r>
        <w:rPr>
          <w:b w:val="0"/>
          <w:bCs/>
          <w:color w:val="auto"/>
          <w:sz w:val="24"/>
          <w:szCs w:val="20"/>
        </w:rPr>
        <w:t xml:space="preserve">  </w:t>
      </w:r>
      <w:r w:rsidR="00F91F73" w:rsidRPr="00301602">
        <w:rPr>
          <w:b w:val="0"/>
          <w:bCs/>
          <w:color w:val="auto"/>
          <w:sz w:val="24"/>
          <w:szCs w:val="20"/>
        </w:rPr>
        <w:t xml:space="preserve">Finally, regulatory divergence across the UK, EU, and Australia introduces strategic risk. Organisations must balance the need for standardisation in AI systems with the requirement to adapt to local regulations and expectations. This creates a tension between efficiency and compliance, reinforcing the complexity of operating globally. From an institutional perspective, failure to align with local norms and regulations may result in loss of legitimacy, while over-standardisation may reduce flexibility and innovation (DiMaggio and Powell, 1983). The risks that are overall associated with AI adoption for Superstruct Entertainment are multi-dimensional and deeply interconnected. </w:t>
      </w:r>
      <w:r>
        <w:rPr>
          <w:b w:val="0"/>
          <w:bCs/>
          <w:color w:val="auto"/>
          <w:sz w:val="24"/>
          <w:szCs w:val="20"/>
        </w:rPr>
        <w:t xml:space="preserve"> </w:t>
      </w:r>
    </w:p>
    <w:p w14:paraId="6D32B32F" w14:textId="373577CE" w:rsidR="00B23E6D" w:rsidRPr="00301602" w:rsidRDefault="00301602" w:rsidP="00301602">
      <w:pPr>
        <w:rPr>
          <w:b w:val="0"/>
          <w:bCs/>
          <w:color w:val="auto"/>
          <w:sz w:val="24"/>
          <w:szCs w:val="20"/>
        </w:rPr>
      </w:pPr>
      <w:r>
        <w:rPr>
          <w:b w:val="0"/>
          <w:bCs/>
          <w:color w:val="auto"/>
          <w:sz w:val="24"/>
          <w:szCs w:val="20"/>
        </w:rPr>
        <w:t xml:space="preserve">  </w:t>
      </w:r>
      <w:r w:rsidR="00F91F73" w:rsidRPr="00301602">
        <w:rPr>
          <w:b w:val="0"/>
          <w:bCs/>
          <w:color w:val="auto"/>
          <w:sz w:val="24"/>
          <w:szCs w:val="20"/>
        </w:rPr>
        <w:t>The variation in regulatory approaches across key markets not only increases the complexity of compliance but also amplifies operational, ethical, and reputational risks. This highlights the need for a coordinated and strategically informed approach to AI governance, ensuring that the organisation can adapt to diverse environments while maintaining consistency in its standards and values. While AI governance frameworks provide structure, their effectiveness remains limited by rapid technological change and inconsistent global enforcement, raising questions about their long-term viability (Whittlestone et al., 2019).</w:t>
      </w:r>
      <w:r w:rsidR="00F91F73" w:rsidRPr="00301602">
        <w:rPr>
          <w:color w:val="auto"/>
          <w:sz w:val="24"/>
          <w:szCs w:val="20"/>
        </w:rPr>
        <w:t xml:space="preserve"> </w:t>
      </w:r>
    </w:p>
    <w:p w14:paraId="6C3A595F" w14:textId="77777777" w:rsidR="00F91F73" w:rsidRDefault="00F91F73" w:rsidP="00F91F73"/>
    <w:p w14:paraId="62C63ADC" w14:textId="3B51685C" w:rsidR="005A6F91" w:rsidRPr="00D631FC" w:rsidRDefault="00363756" w:rsidP="005A6F91">
      <w:pPr>
        <w:rPr>
          <w:bCs/>
          <w:color w:val="auto"/>
          <w:lang w:val="en-GB"/>
        </w:rPr>
      </w:pPr>
      <w:r w:rsidRPr="00D631FC">
        <w:rPr>
          <w:bCs/>
          <w:color w:val="auto"/>
          <w:lang w:val="en-GB"/>
        </w:rPr>
        <w:t xml:space="preserve">7. </w:t>
      </w:r>
      <w:r w:rsidR="005A6F91" w:rsidRPr="00D631FC">
        <w:rPr>
          <w:bCs/>
          <w:color w:val="auto"/>
          <w:lang w:val="en-GB"/>
        </w:rPr>
        <w:t>Recommendations and Implementation Plan</w:t>
      </w:r>
    </w:p>
    <w:p w14:paraId="66E664BE" w14:textId="106B20D3" w:rsidR="005A6F91" w:rsidRPr="00D631FC" w:rsidRDefault="00301602" w:rsidP="005A6F91">
      <w:pPr>
        <w:rPr>
          <w:bCs/>
          <w:color w:val="auto"/>
          <w:lang w:val="en-GB"/>
        </w:rPr>
      </w:pPr>
      <w:r>
        <w:rPr>
          <w:bCs/>
          <w:color w:val="auto"/>
          <w:lang w:val="en-GB"/>
        </w:rPr>
        <w:t xml:space="preserve">  </w:t>
      </w:r>
    </w:p>
    <w:p w14:paraId="045A4F70" w14:textId="2A8CF711" w:rsidR="00CD3DA8" w:rsidRPr="00D631FC" w:rsidRDefault="00951949" w:rsidP="005A6F91">
      <w:pPr>
        <w:rPr>
          <w:b w:val="0"/>
          <w:color w:val="auto"/>
          <w:sz w:val="24"/>
          <w:szCs w:val="20"/>
        </w:rPr>
      </w:pPr>
      <w:r w:rsidRPr="00D631FC">
        <w:rPr>
          <w:b w:val="0"/>
          <w:color w:val="auto"/>
          <w:sz w:val="24"/>
          <w:szCs w:val="20"/>
        </w:rPr>
        <w:t xml:space="preserve">  </w:t>
      </w:r>
      <w:r w:rsidR="00CD3DA8" w:rsidRPr="00D631FC">
        <w:rPr>
          <w:b w:val="0"/>
          <w:color w:val="auto"/>
          <w:sz w:val="24"/>
          <w:szCs w:val="20"/>
        </w:rPr>
        <w:t>In response to the risks identified, there are many recommendations that Superstruct Entertainment must adopt to create a structured approach to AI governance that globally aligns with each country. Given the complexity of operating across the UK, European Union and Australia there must be a coordinated strategy implemented to ensure compliance, ethical responsibility and remaining sustainable long-term. This approach should be delivered through a phased implementation plan to balance cost, feasibility and impact.</w:t>
      </w:r>
    </w:p>
    <w:p w14:paraId="38BF1B7D" w14:textId="77777777" w:rsidR="00363756" w:rsidRPr="00D631FC" w:rsidRDefault="00363756" w:rsidP="005A6F91">
      <w:pPr>
        <w:rPr>
          <w:b w:val="0"/>
          <w:color w:val="auto"/>
          <w:sz w:val="24"/>
          <w:szCs w:val="20"/>
        </w:rPr>
      </w:pPr>
    </w:p>
    <w:p w14:paraId="77BFD9AD" w14:textId="6B61F140" w:rsidR="005A6F91" w:rsidRPr="00D631FC" w:rsidRDefault="00363756" w:rsidP="005A6F91">
      <w:pPr>
        <w:rPr>
          <w:b w:val="0"/>
          <w:color w:val="auto"/>
          <w:sz w:val="24"/>
          <w:szCs w:val="20"/>
          <w:lang w:val="en-GB"/>
        </w:rPr>
      </w:pPr>
      <w:r w:rsidRPr="00D631FC">
        <w:rPr>
          <w:b w:val="0"/>
          <w:color w:val="auto"/>
          <w:sz w:val="24"/>
          <w:szCs w:val="20"/>
          <w:lang w:val="en-GB"/>
        </w:rPr>
        <w:t>7.1</w:t>
      </w:r>
      <w:r w:rsidR="00951949" w:rsidRPr="00D631FC">
        <w:rPr>
          <w:b w:val="0"/>
          <w:color w:val="auto"/>
          <w:sz w:val="24"/>
          <w:szCs w:val="20"/>
          <w:lang w:val="en-GB"/>
        </w:rPr>
        <w:t xml:space="preserve">  Recommendation </w:t>
      </w:r>
      <w:r w:rsidR="006F0AC8">
        <w:rPr>
          <w:b w:val="0"/>
          <w:color w:val="auto"/>
          <w:sz w:val="24"/>
          <w:szCs w:val="20"/>
          <w:lang w:val="en-GB"/>
        </w:rPr>
        <w:t>-</w:t>
      </w:r>
      <w:r w:rsidR="00951949" w:rsidRPr="00D631FC">
        <w:rPr>
          <w:b w:val="0"/>
          <w:color w:val="auto"/>
          <w:sz w:val="24"/>
          <w:szCs w:val="20"/>
          <w:lang w:val="en-GB"/>
        </w:rPr>
        <w:t xml:space="preserve"> Governance Strategic Oversight</w:t>
      </w:r>
    </w:p>
    <w:p w14:paraId="5FBEB089" w14:textId="745EF308" w:rsidR="00951949" w:rsidRPr="00D631FC" w:rsidRDefault="00951949" w:rsidP="005A6F91">
      <w:pPr>
        <w:rPr>
          <w:b w:val="0"/>
          <w:color w:val="auto"/>
          <w:sz w:val="24"/>
          <w:szCs w:val="20"/>
          <w:lang w:val="en-GB"/>
        </w:rPr>
      </w:pPr>
      <w:r w:rsidRPr="00D631FC">
        <w:rPr>
          <w:b w:val="0"/>
          <w:color w:val="auto"/>
          <w:sz w:val="24"/>
          <w:szCs w:val="20"/>
          <w:lang w:val="en-GB"/>
        </w:rPr>
        <w:t xml:space="preserve">As the company is of large-scale and has to handle different countries legislation, it is recommended to establish a Chief AI Ethics and Governance Officer (CAIGO) role/s. this person will be responsible for overseeing how AI is implemented across all markets. </w:t>
      </w:r>
      <w:r w:rsidR="0087611F" w:rsidRPr="00D631FC">
        <w:rPr>
          <w:b w:val="0"/>
          <w:color w:val="auto"/>
          <w:sz w:val="24"/>
          <w:szCs w:val="20"/>
          <w:lang w:val="en-GB"/>
        </w:rPr>
        <w:t>This role would ensure that all regulatory requirements are met and changes to new legislation are inhabited where systems no longer follow, including the EU AI Act and from the Information Commissioner’s Office of Australian regulatory frameworks. A model that this recommendation aligns with is Fiduciary Duties (…). To break this down, Fiduciary Duties are:</w:t>
      </w:r>
    </w:p>
    <w:p w14:paraId="4E410732" w14:textId="7C8FC5C5" w:rsidR="0087611F" w:rsidRPr="00D631FC" w:rsidRDefault="0087611F" w:rsidP="0087611F">
      <w:pPr>
        <w:pStyle w:val="ListParagraph"/>
        <w:numPr>
          <w:ilvl w:val="0"/>
          <w:numId w:val="10"/>
        </w:numPr>
        <w:rPr>
          <w:b w:val="0"/>
          <w:color w:val="auto"/>
          <w:sz w:val="24"/>
          <w:szCs w:val="20"/>
          <w:lang w:val="en-GB"/>
        </w:rPr>
      </w:pPr>
      <w:r w:rsidRPr="00D631FC">
        <w:rPr>
          <w:b w:val="0"/>
          <w:color w:val="auto"/>
          <w:sz w:val="24"/>
          <w:szCs w:val="20"/>
          <w:lang w:val="en-GB"/>
        </w:rPr>
        <w:t>Duty of Care: this role would carefully ensure the company is informed and be risk-aware when decision making</w:t>
      </w:r>
    </w:p>
    <w:p w14:paraId="6B8D5EE6" w14:textId="79B87681" w:rsidR="0087611F" w:rsidRPr="00D631FC" w:rsidRDefault="0087611F" w:rsidP="0087611F">
      <w:pPr>
        <w:pStyle w:val="ListParagraph"/>
        <w:numPr>
          <w:ilvl w:val="0"/>
          <w:numId w:val="10"/>
        </w:numPr>
        <w:rPr>
          <w:b w:val="0"/>
          <w:color w:val="auto"/>
          <w:sz w:val="24"/>
          <w:szCs w:val="20"/>
          <w:lang w:val="en-GB"/>
        </w:rPr>
      </w:pPr>
      <w:r w:rsidRPr="00D631FC">
        <w:rPr>
          <w:b w:val="0"/>
          <w:color w:val="auto"/>
          <w:sz w:val="24"/>
          <w:szCs w:val="20"/>
          <w:lang w:val="en-GB"/>
        </w:rPr>
        <w:t>Duty of Loyalty: can prioritise stakeholder interests over short-term gains and mitigate an appearance of spoilt and insensitive behaviour for long-term growth</w:t>
      </w:r>
    </w:p>
    <w:p w14:paraId="0BEC15AF" w14:textId="09D787F1" w:rsidR="0087611F" w:rsidRPr="00D631FC" w:rsidRDefault="0087611F" w:rsidP="0087611F">
      <w:pPr>
        <w:pStyle w:val="ListParagraph"/>
        <w:numPr>
          <w:ilvl w:val="0"/>
          <w:numId w:val="10"/>
        </w:numPr>
        <w:rPr>
          <w:b w:val="0"/>
          <w:color w:val="auto"/>
          <w:sz w:val="24"/>
          <w:szCs w:val="20"/>
          <w:lang w:val="en-GB"/>
        </w:rPr>
      </w:pPr>
      <w:r w:rsidRPr="00D631FC">
        <w:rPr>
          <w:b w:val="0"/>
          <w:color w:val="auto"/>
          <w:sz w:val="24"/>
          <w:szCs w:val="20"/>
          <w:lang w:val="en-GB"/>
        </w:rPr>
        <w:lastRenderedPageBreak/>
        <w:t>Duty of Obedience: create confidence in operating multinational as compliance with legal and regulatory standards are secure. Failure to implement such oversight could expose the organisation to legal, financial and reputational consequences.</w:t>
      </w:r>
    </w:p>
    <w:p w14:paraId="6BC73C43" w14:textId="2E507E5B" w:rsidR="00911E7A" w:rsidRPr="00D631FC" w:rsidRDefault="00911E7A" w:rsidP="00911E7A">
      <w:pPr>
        <w:rPr>
          <w:b w:val="0"/>
          <w:color w:val="auto"/>
          <w:sz w:val="24"/>
          <w:szCs w:val="20"/>
          <w:lang w:val="en-GB"/>
        </w:rPr>
      </w:pPr>
      <w:r w:rsidRPr="00D631FC">
        <w:rPr>
          <w:b w:val="0"/>
          <w:color w:val="auto"/>
          <w:sz w:val="24"/>
          <w:szCs w:val="20"/>
          <w:lang w:val="en-GB"/>
        </w:rPr>
        <w:t>Phased Implementation Plan – Foundation (0-6 Months)</w:t>
      </w:r>
    </w:p>
    <w:p w14:paraId="05A7216D" w14:textId="3685FF69" w:rsidR="00DF46A1" w:rsidRPr="00D631FC" w:rsidRDefault="00911E7A" w:rsidP="005A6F91">
      <w:pPr>
        <w:rPr>
          <w:b w:val="0"/>
          <w:color w:val="auto"/>
          <w:sz w:val="24"/>
          <w:szCs w:val="20"/>
          <w:lang w:val="en-GB"/>
        </w:rPr>
      </w:pPr>
      <w:r w:rsidRPr="00D631FC">
        <w:rPr>
          <w:b w:val="0"/>
          <w:color w:val="auto"/>
          <w:sz w:val="24"/>
          <w:szCs w:val="20"/>
          <w:lang w:val="en-GB"/>
        </w:rPr>
        <w:t xml:space="preserve">  The initial p</w:t>
      </w:r>
      <w:r w:rsidR="00DA5EB4" w:rsidRPr="00D631FC">
        <w:rPr>
          <w:b w:val="0"/>
          <w:color w:val="auto"/>
          <w:sz w:val="24"/>
          <w:szCs w:val="20"/>
          <w:lang w:val="en-GB"/>
        </w:rPr>
        <w:t xml:space="preserve">hase should focus on establishing </w:t>
      </w:r>
      <w:r w:rsidR="00EC4C5F" w:rsidRPr="00D631FC">
        <w:rPr>
          <w:b w:val="0"/>
          <w:color w:val="auto"/>
          <w:sz w:val="24"/>
          <w:szCs w:val="20"/>
          <w:lang w:val="en-GB"/>
        </w:rPr>
        <w:t xml:space="preserve">strong governance and understanding current AI usage. Key actions would be to conduct a full AI inventory and data audit across all operations. A strong investigation </w:t>
      </w:r>
      <w:r w:rsidR="00F23B3F" w:rsidRPr="00D631FC">
        <w:rPr>
          <w:b w:val="0"/>
          <w:color w:val="auto"/>
          <w:sz w:val="24"/>
          <w:szCs w:val="20"/>
          <w:lang w:val="en-GB"/>
        </w:rPr>
        <w:t>should be made to identify regulatory gaps between the UK, EU and Australia to produce the different strategies that suit each legislation</w:t>
      </w:r>
      <w:r w:rsidR="00DF46A1" w:rsidRPr="00D631FC">
        <w:rPr>
          <w:b w:val="0"/>
          <w:color w:val="auto"/>
          <w:sz w:val="24"/>
          <w:szCs w:val="20"/>
          <w:lang w:val="en-GB"/>
        </w:rPr>
        <w:t xml:space="preserve"> and aligns with international standards. This can be done by introducing mandatory </w:t>
      </w:r>
      <w:r w:rsidR="00C5196C" w:rsidRPr="00D631FC">
        <w:rPr>
          <w:b w:val="0"/>
          <w:color w:val="auto"/>
          <w:sz w:val="24"/>
          <w:szCs w:val="20"/>
          <w:lang w:val="en-GB"/>
        </w:rPr>
        <w:t xml:space="preserve">staff training on ethical AI and compliance to key performance indicators (KPI) and 100% of AI systems before use should be identified and risk-classified. </w:t>
      </w:r>
    </w:p>
    <w:p w14:paraId="68E8F541" w14:textId="5AAC7495" w:rsidR="00FF05C4" w:rsidRPr="00D631FC" w:rsidRDefault="00FF05C4" w:rsidP="005A6F91">
      <w:pPr>
        <w:rPr>
          <w:b w:val="0"/>
          <w:color w:val="auto"/>
          <w:sz w:val="24"/>
          <w:szCs w:val="20"/>
          <w:lang w:val="en-GB"/>
        </w:rPr>
      </w:pPr>
      <w:r w:rsidRPr="00D631FC">
        <w:rPr>
          <w:b w:val="0"/>
          <w:color w:val="auto"/>
          <w:sz w:val="24"/>
          <w:szCs w:val="20"/>
          <w:lang w:val="en-GB"/>
        </w:rPr>
        <w:t>Completion of staff training across all regions including training programme, consultancy and internal audits = £150,000 - £300,000</w:t>
      </w:r>
    </w:p>
    <w:p w14:paraId="2FFDA97D" w14:textId="5A330AEA" w:rsidR="005A6F91" w:rsidRPr="00D631FC" w:rsidRDefault="00FF05C4" w:rsidP="005A6F91">
      <w:pPr>
        <w:rPr>
          <w:b w:val="0"/>
          <w:bCs/>
          <w:color w:val="auto"/>
          <w:sz w:val="24"/>
          <w:szCs w:val="24"/>
          <w:lang w:val="en-GB"/>
        </w:rPr>
      </w:pPr>
      <w:r w:rsidRPr="00D631FC">
        <w:rPr>
          <w:b w:val="0"/>
          <w:bCs/>
          <w:color w:val="auto"/>
          <w:sz w:val="24"/>
          <w:szCs w:val="24"/>
          <w:lang w:val="en-GB"/>
        </w:rPr>
        <w:t xml:space="preserve"> Phase 2 would be to Build (7-18 Months) and this phase will focus on </w:t>
      </w:r>
      <w:r w:rsidR="00554335" w:rsidRPr="00D631FC">
        <w:rPr>
          <w:b w:val="0"/>
          <w:bCs/>
          <w:color w:val="auto"/>
          <w:sz w:val="24"/>
          <w:szCs w:val="24"/>
          <w:lang w:val="en-GB"/>
        </w:rPr>
        <w:t>embedding responsible AI practices into operations effectively. Key actions needed to take place will be:</w:t>
      </w:r>
    </w:p>
    <w:p w14:paraId="0F644B65" w14:textId="594A3524" w:rsidR="00554335" w:rsidRPr="00D631FC" w:rsidRDefault="00554335" w:rsidP="00554335">
      <w:pPr>
        <w:pStyle w:val="ListParagraph"/>
        <w:numPr>
          <w:ilvl w:val="0"/>
          <w:numId w:val="10"/>
        </w:numPr>
        <w:rPr>
          <w:b w:val="0"/>
          <w:bCs/>
          <w:color w:val="auto"/>
          <w:sz w:val="24"/>
          <w:szCs w:val="24"/>
          <w:lang w:val="en-GB"/>
        </w:rPr>
      </w:pPr>
      <w:r w:rsidRPr="00D631FC">
        <w:rPr>
          <w:b w:val="0"/>
          <w:bCs/>
          <w:color w:val="auto"/>
          <w:sz w:val="24"/>
          <w:szCs w:val="24"/>
          <w:lang w:val="en-GB"/>
        </w:rPr>
        <w:t>Establishing an AI Ethics Review Board</w:t>
      </w:r>
    </w:p>
    <w:p w14:paraId="14AE5474" w14:textId="2CC4A341" w:rsidR="00554335" w:rsidRPr="00D631FC" w:rsidRDefault="00554335" w:rsidP="00554335">
      <w:pPr>
        <w:pStyle w:val="ListParagraph"/>
        <w:numPr>
          <w:ilvl w:val="0"/>
          <w:numId w:val="10"/>
        </w:numPr>
        <w:rPr>
          <w:b w:val="0"/>
          <w:bCs/>
          <w:color w:val="auto"/>
          <w:sz w:val="24"/>
          <w:szCs w:val="24"/>
          <w:lang w:val="en-GB"/>
        </w:rPr>
      </w:pPr>
      <w:r w:rsidRPr="00D631FC">
        <w:rPr>
          <w:b w:val="0"/>
          <w:bCs/>
          <w:color w:val="auto"/>
          <w:sz w:val="24"/>
          <w:szCs w:val="24"/>
          <w:lang w:val="en-GB"/>
        </w:rPr>
        <w:t>Implementing risk classification systems that align with EU standards</w:t>
      </w:r>
    </w:p>
    <w:p w14:paraId="3C35ECCA" w14:textId="54D99ACB" w:rsidR="00554335" w:rsidRPr="00D631FC" w:rsidRDefault="00554335" w:rsidP="00554335">
      <w:pPr>
        <w:pStyle w:val="ListParagraph"/>
        <w:numPr>
          <w:ilvl w:val="0"/>
          <w:numId w:val="10"/>
        </w:numPr>
        <w:rPr>
          <w:b w:val="0"/>
          <w:bCs/>
          <w:color w:val="auto"/>
          <w:sz w:val="24"/>
          <w:szCs w:val="24"/>
          <w:lang w:val="en-GB"/>
        </w:rPr>
      </w:pPr>
      <w:r w:rsidRPr="00D631FC">
        <w:rPr>
          <w:b w:val="0"/>
          <w:bCs/>
          <w:color w:val="auto"/>
          <w:sz w:val="24"/>
          <w:szCs w:val="24"/>
          <w:lang w:val="en-GB"/>
        </w:rPr>
        <w:t>Have employees to undergo conformity assessments for AI tools</w:t>
      </w:r>
    </w:p>
    <w:p w14:paraId="10691565" w14:textId="6649BE43" w:rsidR="00554335" w:rsidRPr="00D631FC" w:rsidRDefault="00554335" w:rsidP="00554335">
      <w:pPr>
        <w:pStyle w:val="ListParagraph"/>
        <w:numPr>
          <w:ilvl w:val="0"/>
          <w:numId w:val="10"/>
        </w:numPr>
        <w:rPr>
          <w:b w:val="0"/>
          <w:bCs/>
          <w:color w:val="auto"/>
          <w:sz w:val="24"/>
          <w:szCs w:val="24"/>
          <w:lang w:val="en-GB"/>
        </w:rPr>
      </w:pPr>
      <w:r w:rsidRPr="00D631FC">
        <w:rPr>
          <w:b w:val="0"/>
          <w:bCs/>
          <w:color w:val="auto"/>
          <w:sz w:val="24"/>
          <w:szCs w:val="24"/>
          <w:lang w:val="en-GB"/>
        </w:rPr>
        <w:t>Launch a consumer trust campaign that focuses on transparency and data use to show that customers are in safe hands</w:t>
      </w:r>
    </w:p>
    <w:p w14:paraId="5E45B767" w14:textId="6EEB417D" w:rsidR="00554335" w:rsidRPr="00D631FC" w:rsidRDefault="000A27B0" w:rsidP="00554335">
      <w:pPr>
        <w:pStyle w:val="ListParagraph"/>
        <w:numPr>
          <w:ilvl w:val="0"/>
          <w:numId w:val="10"/>
        </w:numPr>
        <w:rPr>
          <w:b w:val="0"/>
          <w:bCs/>
          <w:color w:val="auto"/>
          <w:sz w:val="24"/>
          <w:szCs w:val="24"/>
          <w:lang w:val="en-GB"/>
        </w:rPr>
      </w:pPr>
      <w:r w:rsidRPr="00D631FC">
        <w:rPr>
          <w:b w:val="0"/>
          <w:bCs/>
          <w:color w:val="auto"/>
          <w:sz w:val="24"/>
          <w:szCs w:val="24"/>
          <w:lang w:val="en-GB"/>
        </w:rPr>
        <w:t>Begin publishing Responsible AI Reports annually</w:t>
      </w:r>
    </w:p>
    <w:p w14:paraId="6C20FED2" w14:textId="608D8C26" w:rsidR="000A27B0" w:rsidRPr="00D631FC" w:rsidRDefault="000A27B0" w:rsidP="000A27B0">
      <w:pPr>
        <w:rPr>
          <w:b w:val="0"/>
          <w:bCs/>
          <w:color w:val="auto"/>
          <w:sz w:val="24"/>
          <w:szCs w:val="24"/>
          <w:lang w:val="en-GB"/>
        </w:rPr>
      </w:pPr>
      <w:r w:rsidRPr="00D631FC">
        <w:rPr>
          <w:b w:val="0"/>
          <w:bCs/>
          <w:color w:val="auto"/>
          <w:sz w:val="24"/>
          <w:szCs w:val="24"/>
          <w:lang w:val="en-GB"/>
        </w:rPr>
        <w:t>KPI’s for these actions would be a reduction in compliance risks due to issues being raised in the audits and an increase in customer trust metrics – results can be calculated by producing survey-based scores and performance feedback platforms.</w:t>
      </w:r>
    </w:p>
    <w:p w14:paraId="2EA086E4" w14:textId="4C7A8293" w:rsidR="005A6F91" w:rsidRPr="00D631FC" w:rsidRDefault="005A6F91" w:rsidP="005A6F91">
      <w:pPr>
        <w:rPr>
          <w:b w:val="0"/>
          <w:bCs/>
          <w:color w:val="auto"/>
          <w:sz w:val="24"/>
          <w:szCs w:val="24"/>
          <w:lang w:val="en-GB"/>
        </w:rPr>
      </w:pPr>
      <w:r w:rsidRPr="00D631FC">
        <w:rPr>
          <w:b w:val="0"/>
          <w:bCs/>
          <w:color w:val="auto"/>
          <w:sz w:val="24"/>
          <w:szCs w:val="24"/>
          <w:lang w:val="en-GB"/>
        </w:rPr>
        <w:t>Estimated Cost</w:t>
      </w:r>
      <w:r w:rsidR="000A27B0" w:rsidRPr="00D631FC">
        <w:rPr>
          <w:b w:val="0"/>
          <w:bCs/>
          <w:color w:val="auto"/>
          <w:sz w:val="24"/>
          <w:szCs w:val="24"/>
          <w:lang w:val="en-GB"/>
        </w:rPr>
        <w:t xml:space="preserve"> for these system upgrades, governance structures and reporting platforms</w:t>
      </w:r>
      <w:r w:rsidRPr="00D631FC">
        <w:rPr>
          <w:b w:val="0"/>
          <w:bCs/>
          <w:color w:val="auto"/>
          <w:sz w:val="24"/>
          <w:szCs w:val="24"/>
          <w:lang w:val="en-GB"/>
        </w:rPr>
        <w:t>: £300,000–£600,000</w:t>
      </w:r>
      <w:r w:rsidRPr="00D631FC">
        <w:rPr>
          <w:b w:val="0"/>
          <w:bCs/>
          <w:color w:val="auto"/>
          <w:sz w:val="24"/>
          <w:szCs w:val="24"/>
          <w:lang w:val="en-GB"/>
        </w:rPr>
        <w:br/>
      </w:r>
      <w:r w:rsidR="000A27B0" w:rsidRPr="00D631FC">
        <w:rPr>
          <w:b w:val="0"/>
          <w:bCs/>
          <w:color w:val="auto"/>
          <w:sz w:val="24"/>
          <w:szCs w:val="24"/>
          <w:lang w:val="en-GB"/>
        </w:rPr>
        <w:t xml:space="preserve">  Phase 3 would be creating a lead position within the festival industry for responsible AI. What is meant by this is being the company that’s incorporated AI most professionally and has a clear confidence in the training and understanding made to continue </w:t>
      </w:r>
      <w:r w:rsidR="0050536E" w:rsidRPr="00D631FC">
        <w:rPr>
          <w:b w:val="0"/>
          <w:bCs/>
          <w:color w:val="auto"/>
          <w:sz w:val="24"/>
          <w:szCs w:val="24"/>
          <w:lang w:val="en-GB"/>
        </w:rPr>
        <w:t xml:space="preserve">adjusting and developing with the future (19-24 Months). </w:t>
      </w:r>
    </w:p>
    <w:p w14:paraId="2B10510A" w14:textId="77777777" w:rsidR="0050536E" w:rsidRPr="00D631FC" w:rsidRDefault="0050536E" w:rsidP="005A6F91">
      <w:pPr>
        <w:rPr>
          <w:b w:val="0"/>
          <w:bCs/>
          <w:color w:val="auto"/>
          <w:sz w:val="24"/>
          <w:szCs w:val="24"/>
          <w:lang w:val="en-GB"/>
        </w:rPr>
      </w:pPr>
      <w:r w:rsidRPr="00D631FC">
        <w:rPr>
          <w:b w:val="0"/>
          <w:bCs/>
          <w:color w:val="auto"/>
          <w:sz w:val="24"/>
          <w:szCs w:val="24"/>
          <w:lang w:val="en-GB"/>
        </w:rPr>
        <w:t>Key actions:</w:t>
      </w:r>
    </w:p>
    <w:p w14:paraId="39A7D868" w14:textId="75866040" w:rsidR="005A6F91" w:rsidRPr="00D631FC" w:rsidRDefault="0050536E" w:rsidP="0050536E">
      <w:pPr>
        <w:pStyle w:val="ListParagraph"/>
        <w:numPr>
          <w:ilvl w:val="0"/>
          <w:numId w:val="10"/>
        </w:numPr>
        <w:rPr>
          <w:b w:val="0"/>
          <w:bCs/>
          <w:color w:val="auto"/>
          <w:sz w:val="24"/>
          <w:szCs w:val="24"/>
          <w:lang w:val="en-GB"/>
        </w:rPr>
      </w:pPr>
      <w:r w:rsidRPr="00D631FC">
        <w:rPr>
          <w:b w:val="0"/>
          <w:bCs/>
          <w:color w:val="auto"/>
          <w:sz w:val="24"/>
          <w:szCs w:val="24"/>
          <w:lang w:val="en-GB"/>
        </w:rPr>
        <w:t xml:space="preserve"> </w:t>
      </w:r>
      <w:r w:rsidR="005A6F91" w:rsidRPr="00D631FC">
        <w:rPr>
          <w:b w:val="0"/>
          <w:bCs/>
          <w:color w:val="auto"/>
          <w:sz w:val="24"/>
          <w:szCs w:val="24"/>
          <w:lang w:val="en-GB"/>
        </w:rPr>
        <w:t xml:space="preserve">Full AI architecture rollout across </w:t>
      </w:r>
      <w:r w:rsidRPr="00D631FC">
        <w:rPr>
          <w:b w:val="0"/>
          <w:bCs/>
          <w:color w:val="auto"/>
          <w:sz w:val="24"/>
          <w:szCs w:val="24"/>
          <w:lang w:val="en-GB"/>
        </w:rPr>
        <w:t>each</w:t>
      </w:r>
      <w:r w:rsidR="005A6F91" w:rsidRPr="00D631FC">
        <w:rPr>
          <w:b w:val="0"/>
          <w:bCs/>
          <w:color w:val="auto"/>
          <w:sz w:val="24"/>
          <w:szCs w:val="24"/>
          <w:lang w:val="en-GB"/>
        </w:rPr>
        <w:t xml:space="preserve"> regions </w:t>
      </w:r>
    </w:p>
    <w:p w14:paraId="7725CEAB" w14:textId="77777777" w:rsidR="005A6F91" w:rsidRPr="00D631FC" w:rsidRDefault="005A6F91" w:rsidP="0050536E">
      <w:pPr>
        <w:pStyle w:val="ListParagraph"/>
        <w:numPr>
          <w:ilvl w:val="0"/>
          <w:numId w:val="10"/>
        </w:numPr>
        <w:rPr>
          <w:b w:val="0"/>
          <w:bCs/>
          <w:color w:val="auto"/>
          <w:sz w:val="24"/>
          <w:szCs w:val="24"/>
          <w:lang w:val="en-GB"/>
        </w:rPr>
      </w:pPr>
      <w:r w:rsidRPr="00D631FC">
        <w:rPr>
          <w:b w:val="0"/>
          <w:bCs/>
          <w:color w:val="auto"/>
          <w:sz w:val="24"/>
          <w:szCs w:val="24"/>
          <w:lang w:val="en-GB"/>
        </w:rPr>
        <w:t xml:space="preserve">External evaluation and certification of AI systems </w:t>
      </w:r>
    </w:p>
    <w:p w14:paraId="00765B81" w14:textId="544C7B3F" w:rsidR="005A6F91" w:rsidRPr="00D631FC" w:rsidRDefault="005A6F91" w:rsidP="0050536E">
      <w:pPr>
        <w:pStyle w:val="ListParagraph"/>
        <w:numPr>
          <w:ilvl w:val="0"/>
          <w:numId w:val="10"/>
        </w:numPr>
        <w:rPr>
          <w:b w:val="0"/>
          <w:bCs/>
          <w:color w:val="auto"/>
          <w:sz w:val="24"/>
          <w:szCs w:val="24"/>
          <w:lang w:val="en-GB"/>
        </w:rPr>
      </w:pPr>
      <w:r w:rsidRPr="00D631FC">
        <w:rPr>
          <w:b w:val="0"/>
          <w:bCs/>
          <w:color w:val="auto"/>
          <w:sz w:val="24"/>
          <w:szCs w:val="24"/>
          <w:lang w:val="en-GB"/>
        </w:rPr>
        <w:t xml:space="preserve">Integration of AI strategy into long-term business planning </w:t>
      </w:r>
    </w:p>
    <w:p w14:paraId="57A10E32" w14:textId="65FBF9D3" w:rsidR="005A6F91" w:rsidRPr="00D631FC" w:rsidRDefault="005A6F91" w:rsidP="0050536E">
      <w:pPr>
        <w:pStyle w:val="ListParagraph"/>
        <w:numPr>
          <w:ilvl w:val="0"/>
          <w:numId w:val="10"/>
        </w:numPr>
        <w:rPr>
          <w:b w:val="0"/>
          <w:bCs/>
          <w:color w:val="auto"/>
          <w:sz w:val="24"/>
          <w:szCs w:val="24"/>
          <w:lang w:val="en-GB"/>
        </w:rPr>
      </w:pPr>
      <w:r w:rsidRPr="00D631FC">
        <w:rPr>
          <w:b w:val="0"/>
          <w:bCs/>
          <w:color w:val="auto"/>
          <w:sz w:val="24"/>
          <w:szCs w:val="24"/>
          <w:lang w:val="en-GB"/>
        </w:rPr>
        <w:t xml:space="preserve">Alignment with global sustainability initiatives </w:t>
      </w:r>
      <w:r w:rsidR="0050536E" w:rsidRPr="00D631FC">
        <w:rPr>
          <w:b w:val="0"/>
          <w:bCs/>
          <w:color w:val="auto"/>
          <w:sz w:val="24"/>
          <w:szCs w:val="24"/>
          <w:lang w:val="en-GB"/>
        </w:rPr>
        <w:t>to support the Sustainable Development Goals</w:t>
      </w:r>
    </w:p>
    <w:p w14:paraId="269D3BC7" w14:textId="428E4EEA" w:rsidR="005A6F91" w:rsidRPr="00D631FC" w:rsidRDefault="0050536E" w:rsidP="0050536E">
      <w:pPr>
        <w:rPr>
          <w:b w:val="0"/>
          <w:bCs/>
          <w:color w:val="auto"/>
          <w:sz w:val="24"/>
          <w:szCs w:val="24"/>
          <w:lang w:val="en-GB"/>
        </w:rPr>
      </w:pPr>
      <w:r w:rsidRPr="00D631FC">
        <w:rPr>
          <w:b w:val="0"/>
          <w:bCs/>
          <w:color w:val="auto"/>
          <w:sz w:val="24"/>
          <w:szCs w:val="24"/>
          <w:lang w:val="en-GB"/>
        </w:rPr>
        <w:t>And the KPI’s for the lead would be achieving external certification for legitimacy and confidence and a measurable improvement in operational efficiency and the reduction in risk.</w:t>
      </w:r>
      <w:r w:rsidR="005A6F91" w:rsidRPr="00D631FC">
        <w:rPr>
          <w:b w:val="0"/>
          <w:bCs/>
          <w:color w:val="auto"/>
          <w:sz w:val="24"/>
          <w:szCs w:val="24"/>
          <w:lang w:val="en-GB"/>
        </w:rPr>
        <w:t xml:space="preserve"> </w:t>
      </w:r>
    </w:p>
    <w:p w14:paraId="790B03FA" w14:textId="1BC514F4" w:rsidR="005A6F91" w:rsidRPr="00D631FC" w:rsidRDefault="005A6F91" w:rsidP="005A6F91">
      <w:pPr>
        <w:rPr>
          <w:b w:val="0"/>
          <w:bCs/>
          <w:color w:val="auto"/>
          <w:sz w:val="24"/>
          <w:szCs w:val="24"/>
          <w:lang w:val="en-GB"/>
        </w:rPr>
      </w:pPr>
      <w:r w:rsidRPr="00D631FC">
        <w:rPr>
          <w:b w:val="0"/>
          <w:bCs/>
          <w:color w:val="auto"/>
          <w:sz w:val="24"/>
          <w:szCs w:val="24"/>
          <w:lang w:val="en-GB"/>
        </w:rPr>
        <w:t>Estimated Co</w:t>
      </w:r>
      <w:r w:rsidR="0050536E" w:rsidRPr="00D631FC">
        <w:rPr>
          <w:b w:val="0"/>
          <w:bCs/>
          <w:color w:val="auto"/>
          <w:sz w:val="24"/>
          <w:szCs w:val="24"/>
          <w:lang w:val="en-GB"/>
        </w:rPr>
        <w:t>s</w:t>
      </w:r>
      <w:r w:rsidRPr="00D631FC">
        <w:rPr>
          <w:b w:val="0"/>
          <w:bCs/>
          <w:color w:val="auto"/>
          <w:sz w:val="24"/>
          <w:szCs w:val="24"/>
          <w:lang w:val="en-GB"/>
        </w:rPr>
        <w:t>t: £200,000–£400,000</w:t>
      </w:r>
    </w:p>
    <w:p w14:paraId="36A480FC" w14:textId="0ABA9B34" w:rsidR="005A6F91" w:rsidRPr="00D631FC" w:rsidRDefault="005A6F91" w:rsidP="005A6F91">
      <w:pPr>
        <w:rPr>
          <w:b w:val="0"/>
          <w:bCs/>
          <w:color w:val="auto"/>
          <w:sz w:val="24"/>
          <w:szCs w:val="24"/>
          <w:lang w:val="en-GB"/>
        </w:rPr>
      </w:pPr>
    </w:p>
    <w:p w14:paraId="41607428" w14:textId="21501EBA" w:rsidR="00FF05C4" w:rsidRPr="00D631FC" w:rsidRDefault="00FF05C4" w:rsidP="00FF05C4">
      <w:pPr>
        <w:rPr>
          <w:b w:val="0"/>
          <w:color w:val="auto"/>
          <w:sz w:val="24"/>
          <w:szCs w:val="20"/>
          <w:lang w:val="en-GB"/>
        </w:rPr>
      </w:pPr>
      <w:r w:rsidRPr="00D631FC">
        <w:rPr>
          <w:b w:val="0"/>
          <w:color w:val="auto"/>
          <w:sz w:val="24"/>
          <w:szCs w:val="20"/>
          <w:lang w:val="en-GB"/>
        </w:rPr>
        <w:lastRenderedPageBreak/>
        <w:t xml:space="preserve">Ticking points from the Sustainable Development Goals (SDG) in the recommendations as this framework is ultimately the best model created </w:t>
      </w:r>
      <w:r w:rsidRPr="00A31C08">
        <w:rPr>
          <w:b w:val="0"/>
          <w:color w:val="auto"/>
          <w:sz w:val="24"/>
          <w:szCs w:val="20"/>
          <w:lang w:val="en-GB"/>
        </w:rPr>
        <w:t xml:space="preserve">by the United Nations to end poverty, protect the planet and ensure prosperity for all by 2030 </w:t>
      </w:r>
      <w:r w:rsidR="00A31C08" w:rsidRPr="00A31C08">
        <w:rPr>
          <w:b w:val="0"/>
          <w:color w:val="auto"/>
          <w:sz w:val="24"/>
          <w:szCs w:val="20"/>
        </w:rPr>
        <w:t>(United Nations, 2015)</w:t>
      </w:r>
      <w:r w:rsidRPr="00A31C08">
        <w:rPr>
          <w:b w:val="0"/>
          <w:color w:val="auto"/>
          <w:sz w:val="24"/>
          <w:szCs w:val="20"/>
          <w:lang w:val="en-GB"/>
        </w:rPr>
        <w:t>.</w:t>
      </w:r>
      <w:r w:rsidRPr="00D631FC">
        <w:rPr>
          <w:b w:val="0"/>
          <w:color w:val="auto"/>
          <w:sz w:val="24"/>
          <w:szCs w:val="20"/>
          <w:lang w:val="en-GB"/>
        </w:rPr>
        <w:t xml:space="preserve"> </w:t>
      </w:r>
      <w:r w:rsidR="0050536E" w:rsidRPr="00D631FC">
        <w:rPr>
          <w:b w:val="0"/>
          <w:color w:val="auto"/>
          <w:sz w:val="24"/>
          <w:szCs w:val="20"/>
          <w:lang w:val="en-GB"/>
        </w:rPr>
        <w:t>The integration of sustainability and Corporate Social Responsibility (CSR) for AI should align with these SDG’s especially:</w:t>
      </w:r>
    </w:p>
    <w:tbl>
      <w:tblPr>
        <w:tblStyle w:val="TableGrid"/>
        <w:tblW w:w="0" w:type="auto"/>
        <w:tblLook w:val="04A0" w:firstRow="1" w:lastRow="0" w:firstColumn="1" w:lastColumn="0" w:noHBand="0" w:noVBand="1"/>
      </w:tblPr>
      <w:tblGrid>
        <w:gridCol w:w="5382"/>
        <w:gridCol w:w="4544"/>
      </w:tblGrid>
      <w:tr w:rsidR="0050536E" w:rsidRPr="00D631FC" w14:paraId="5DC86C04" w14:textId="77777777" w:rsidTr="0050536E">
        <w:tc>
          <w:tcPr>
            <w:tcW w:w="5382" w:type="dxa"/>
          </w:tcPr>
          <w:p w14:paraId="469326E4" w14:textId="08C2B8D3" w:rsidR="0050536E" w:rsidRPr="00D631FC" w:rsidRDefault="0050536E" w:rsidP="00FF05C4">
            <w:pPr>
              <w:rPr>
                <w:b w:val="0"/>
                <w:color w:val="auto"/>
                <w:sz w:val="24"/>
                <w:szCs w:val="20"/>
                <w:lang w:val="en-GB"/>
              </w:rPr>
            </w:pPr>
            <w:r w:rsidRPr="00D631FC">
              <w:rPr>
                <w:b w:val="0"/>
                <w:color w:val="auto"/>
                <w:sz w:val="24"/>
                <w:szCs w:val="20"/>
                <w:lang w:val="en-GB"/>
              </w:rPr>
              <w:t>Goal</w:t>
            </w:r>
          </w:p>
        </w:tc>
        <w:tc>
          <w:tcPr>
            <w:tcW w:w="4544" w:type="dxa"/>
          </w:tcPr>
          <w:p w14:paraId="1647DBD0" w14:textId="19EF56F8" w:rsidR="0050536E" w:rsidRPr="00D631FC" w:rsidRDefault="0050536E" w:rsidP="00FF05C4">
            <w:pPr>
              <w:rPr>
                <w:b w:val="0"/>
                <w:color w:val="auto"/>
                <w:sz w:val="24"/>
                <w:szCs w:val="20"/>
                <w:lang w:val="en-GB"/>
              </w:rPr>
            </w:pPr>
            <w:r w:rsidRPr="00D631FC">
              <w:rPr>
                <w:b w:val="0"/>
                <w:color w:val="auto"/>
                <w:sz w:val="24"/>
                <w:szCs w:val="20"/>
                <w:lang w:val="en-GB"/>
              </w:rPr>
              <w:t>Action</w:t>
            </w:r>
          </w:p>
        </w:tc>
      </w:tr>
      <w:tr w:rsidR="0050536E" w:rsidRPr="00D631FC" w14:paraId="1240BC79" w14:textId="77777777" w:rsidTr="0050536E">
        <w:tc>
          <w:tcPr>
            <w:tcW w:w="5382" w:type="dxa"/>
          </w:tcPr>
          <w:p w14:paraId="6CE4AACB" w14:textId="1AB65810" w:rsidR="0050536E" w:rsidRPr="00D631FC" w:rsidRDefault="0050536E" w:rsidP="00FF05C4">
            <w:pPr>
              <w:rPr>
                <w:b w:val="0"/>
                <w:color w:val="auto"/>
                <w:sz w:val="24"/>
                <w:szCs w:val="20"/>
                <w:lang w:val="en-GB"/>
              </w:rPr>
            </w:pPr>
            <w:r w:rsidRPr="00D631FC">
              <w:rPr>
                <w:b w:val="0"/>
                <w:color w:val="auto"/>
                <w:sz w:val="24"/>
                <w:szCs w:val="20"/>
                <w:lang w:val="en-GB"/>
              </w:rPr>
              <w:t>SDG 8 – Decent Work and Economic Growth</w:t>
            </w:r>
          </w:p>
        </w:tc>
        <w:tc>
          <w:tcPr>
            <w:tcW w:w="4544" w:type="dxa"/>
          </w:tcPr>
          <w:p w14:paraId="1B7929AE" w14:textId="141ED2EF" w:rsidR="0050536E" w:rsidRPr="00D631FC" w:rsidRDefault="0050536E" w:rsidP="00FF05C4">
            <w:pPr>
              <w:rPr>
                <w:b w:val="0"/>
                <w:color w:val="auto"/>
                <w:sz w:val="24"/>
                <w:szCs w:val="20"/>
                <w:lang w:val="en-GB"/>
              </w:rPr>
            </w:pPr>
            <w:r w:rsidRPr="00D631FC">
              <w:rPr>
                <w:b w:val="0"/>
                <w:color w:val="auto"/>
                <w:sz w:val="24"/>
                <w:szCs w:val="20"/>
                <w:lang w:val="en-GB"/>
              </w:rPr>
              <w:t>Ensure fair labour practices despite automation</w:t>
            </w:r>
          </w:p>
        </w:tc>
      </w:tr>
      <w:tr w:rsidR="0050536E" w:rsidRPr="00D631FC" w14:paraId="5C684375" w14:textId="77777777" w:rsidTr="0050536E">
        <w:tc>
          <w:tcPr>
            <w:tcW w:w="5382" w:type="dxa"/>
          </w:tcPr>
          <w:p w14:paraId="588B33A4" w14:textId="1C58F6CE" w:rsidR="0050536E" w:rsidRPr="00D631FC" w:rsidRDefault="0050536E" w:rsidP="00FF05C4">
            <w:pPr>
              <w:rPr>
                <w:b w:val="0"/>
                <w:color w:val="auto"/>
                <w:sz w:val="24"/>
                <w:szCs w:val="20"/>
                <w:lang w:val="en-GB"/>
              </w:rPr>
            </w:pPr>
            <w:r w:rsidRPr="00D631FC">
              <w:rPr>
                <w:b w:val="0"/>
                <w:color w:val="auto"/>
                <w:sz w:val="24"/>
                <w:szCs w:val="20"/>
                <w:lang w:val="en-GB"/>
              </w:rPr>
              <w:t>SDG 9 – Industry, Innovation and Infrastructure</w:t>
            </w:r>
          </w:p>
        </w:tc>
        <w:tc>
          <w:tcPr>
            <w:tcW w:w="4544" w:type="dxa"/>
          </w:tcPr>
          <w:p w14:paraId="6F48F191" w14:textId="1DEB1E0C" w:rsidR="0050536E" w:rsidRPr="00D631FC" w:rsidRDefault="0050536E" w:rsidP="00FF05C4">
            <w:pPr>
              <w:rPr>
                <w:b w:val="0"/>
                <w:color w:val="auto"/>
                <w:sz w:val="24"/>
                <w:szCs w:val="20"/>
                <w:lang w:val="en-GB"/>
              </w:rPr>
            </w:pPr>
            <w:r w:rsidRPr="00D631FC">
              <w:rPr>
                <w:b w:val="0"/>
                <w:color w:val="auto"/>
                <w:sz w:val="24"/>
                <w:szCs w:val="20"/>
                <w:lang w:val="en-GB"/>
              </w:rPr>
              <w:t>Promote responsible innovation only</w:t>
            </w:r>
          </w:p>
        </w:tc>
      </w:tr>
      <w:tr w:rsidR="0050536E" w:rsidRPr="00D631FC" w14:paraId="243AEF09" w14:textId="77777777" w:rsidTr="0050536E">
        <w:tc>
          <w:tcPr>
            <w:tcW w:w="5382" w:type="dxa"/>
          </w:tcPr>
          <w:p w14:paraId="26F0BC0B" w14:textId="22D1480F" w:rsidR="0050536E" w:rsidRPr="00D631FC" w:rsidRDefault="0050536E" w:rsidP="00FF05C4">
            <w:pPr>
              <w:rPr>
                <w:b w:val="0"/>
                <w:color w:val="auto"/>
                <w:sz w:val="24"/>
                <w:szCs w:val="20"/>
                <w:lang w:val="en-GB"/>
              </w:rPr>
            </w:pPr>
            <w:r w:rsidRPr="00D631FC">
              <w:rPr>
                <w:b w:val="0"/>
                <w:color w:val="auto"/>
                <w:sz w:val="24"/>
                <w:szCs w:val="20"/>
                <w:lang w:val="en-GB"/>
              </w:rPr>
              <w:t>SDG 10 – Reduced Inequalities</w:t>
            </w:r>
          </w:p>
        </w:tc>
        <w:tc>
          <w:tcPr>
            <w:tcW w:w="4544" w:type="dxa"/>
          </w:tcPr>
          <w:p w14:paraId="7C6AB1FB" w14:textId="725F7346" w:rsidR="0050536E" w:rsidRPr="00D631FC" w:rsidRDefault="0050536E" w:rsidP="00FF05C4">
            <w:pPr>
              <w:rPr>
                <w:b w:val="0"/>
                <w:color w:val="auto"/>
                <w:sz w:val="24"/>
                <w:szCs w:val="20"/>
                <w:lang w:val="en-GB"/>
              </w:rPr>
            </w:pPr>
            <w:r w:rsidRPr="00D631FC">
              <w:rPr>
                <w:b w:val="0"/>
                <w:color w:val="auto"/>
                <w:sz w:val="24"/>
                <w:szCs w:val="20"/>
                <w:lang w:val="en-GB"/>
              </w:rPr>
              <w:t xml:space="preserve">Minimising </w:t>
            </w:r>
            <w:r w:rsidR="00363756" w:rsidRPr="00D631FC">
              <w:rPr>
                <w:b w:val="0"/>
                <w:color w:val="auto"/>
                <w:sz w:val="24"/>
                <w:szCs w:val="20"/>
                <w:lang w:val="en-GB"/>
              </w:rPr>
              <w:t>inequality created by technological change</w:t>
            </w:r>
          </w:p>
        </w:tc>
      </w:tr>
      <w:tr w:rsidR="0050536E" w:rsidRPr="00D631FC" w14:paraId="20CBFE00" w14:textId="77777777" w:rsidTr="0050536E">
        <w:tc>
          <w:tcPr>
            <w:tcW w:w="5382" w:type="dxa"/>
          </w:tcPr>
          <w:p w14:paraId="03F0E1B3" w14:textId="44E7F006" w:rsidR="0050536E" w:rsidRPr="00D631FC" w:rsidRDefault="0050536E" w:rsidP="00FF05C4">
            <w:pPr>
              <w:rPr>
                <w:b w:val="0"/>
                <w:color w:val="auto"/>
                <w:sz w:val="24"/>
                <w:szCs w:val="20"/>
                <w:lang w:val="en-GB"/>
              </w:rPr>
            </w:pPr>
            <w:r w:rsidRPr="00D631FC">
              <w:rPr>
                <w:b w:val="0"/>
                <w:color w:val="auto"/>
                <w:sz w:val="24"/>
                <w:szCs w:val="20"/>
                <w:lang w:val="en-GB"/>
              </w:rPr>
              <w:t>SDG 12 – Responsible Consumption and Production</w:t>
            </w:r>
          </w:p>
        </w:tc>
        <w:tc>
          <w:tcPr>
            <w:tcW w:w="4544" w:type="dxa"/>
          </w:tcPr>
          <w:p w14:paraId="4B0F30B2" w14:textId="33416036" w:rsidR="0050536E" w:rsidRPr="00D631FC" w:rsidRDefault="00363756" w:rsidP="00FF05C4">
            <w:pPr>
              <w:rPr>
                <w:b w:val="0"/>
                <w:color w:val="auto"/>
                <w:sz w:val="24"/>
                <w:szCs w:val="20"/>
                <w:lang w:val="en-GB"/>
              </w:rPr>
            </w:pPr>
            <w:r w:rsidRPr="00D631FC">
              <w:rPr>
                <w:b w:val="0"/>
                <w:color w:val="auto"/>
                <w:sz w:val="24"/>
                <w:szCs w:val="20"/>
                <w:lang w:val="en-GB"/>
              </w:rPr>
              <w:t xml:space="preserve">Ensuring ethical use of data and resources </w:t>
            </w:r>
          </w:p>
        </w:tc>
      </w:tr>
    </w:tbl>
    <w:p w14:paraId="6C6CE795" w14:textId="77777777" w:rsidR="003E6D0E" w:rsidRDefault="003E6D0E" w:rsidP="003E6D0E">
      <w:pPr>
        <w:rPr>
          <w:b w:val="0"/>
          <w:bCs/>
          <w:color w:val="auto"/>
          <w:sz w:val="24"/>
          <w:szCs w:val="24"/>
          <w:lang w:val="en-GB"/>
        </w:rPr>
      </w:pPr>
      <w:r w:rsidRPr="003E6D0E">
        <w:rPr>
          <w:b w:val="0"/>
          <w:bCs/>
          <w:color w:val="auto"/>
          <w:sz w:val="24"/>
          <w:szCs w:val="24"/>
          <w:lang w:val="en-GB"/>
        </w:rPr>
        <w:t>While these goals provide a framework for responsible development, challenges remain in achieving them fully, particularly due to global inequality, regulatory differences, and the rapid pace of technological change (United Nations, 2015; Milanovic, 2016).</w:t>
      </w:r>
    </w:p>
    <w:p w14:paraId="53A38BF5" w14:textId="77777777" w:rsidR="003E6D0E" w:rsidRPr="003E6D0E" w:rsidRDefault="003E6D0E" w:rsidP="003E6D0E">
      <w:pPr>
        <w:rPr>
          <w:b w:val="0"/>
          <w:bCs/>
          <w:color w:val="auto"/>
          <w:sz w:val="24"/>
          <w:szCs w:val="24"/>
          <w:lang w:val="en-GB"/>
        </w:rPr>
      </w:pPr>
    </w:p>
    <w:p w14:paraId="28FD2DCD" w14:textId="77777777" w:rsidR="003E6D0E" w:rsidRPr="003E6D0E" w:rsidRDefault="003E6D0E" w:rsidP="003E6D0E">
      <w:pPr>
        <w:rPr>
          <w:bCs/>
          <w:color w:val="auto"/>
          <w:sz w:val="24"/>
          <w:szCs w:val="24"/>
          <w:lang w:val="en-GB"/>
        </w:rPr>
      </w:pPr>
      <w:r w:rsidRPr="003E6D0E">
        <w:rPr>
          <w:bCs/>
          <w:color w:val="auto"/>
          <w:sz w:val="24"/>
          <w:szCs w:val="24"/>
          <w:lang w:val="en-GB"/>
        </w:rPr>
        <w:t>7.2 Strategic Justification</w:t>
      </w:r>
    </w:p>
    <w:p w14:paraId="13D2CFE4" w14:textId="740EB4BA" w:rsidR="003E6D0E" w:rsidRPr="003E6D0E" w:rsidRDefault="003E6D0E" w:rsidP="003E6D0E">
      <w:pPr>
        <w:rPr>
          <w:b w:val="0"/>
          <w:bCs/>
          <w:color w:val="auto"/>
          <w:sz w:val="24"/>
          <w:szCs w:val="24"/>
          <w:lang w:val="en-GB"/>
        </w:rPr>
      </w:pPr>
      <w:r>
        <w:rPr>
          <w:b w:val="0"/>
          <w:bCs/>
          <w:color w:val="auto"/>
          <w:sz w:val="24"/>
          <w:szCs w:val="24"/>
          <w:lang w:val="en-GB"/>
        </w:rPr>
        <w:t xml:space="preserve">  </w:t>
      </w:r>
      <w:r w:rsidRPr="003E6D0E">
        <w:rPr>
          <w:b w:val="0"/>
          <w:bCs/>
          <w:color w:val="auto"/>
          <w:sz w:val="24"/>
          <w:szCs w:val="24"/>
          <w:lang w:val="en-GB"/>
        </w:rPr>
        <w:t>These recommendations are supported by key theoretical perspectives. From a resource-based view, developing strong AI governance capabilities will enhance long-term competitive advantage, as organisations that build internal capabilities in data, knowledge, and trust are more likely to sustain superior performance (Barney, 1991; Teece, 2018). This aligns with the idea that investing in governance structures and ethical AI practices can strengthen organisational reputation and contribute to a more loyal customer base.</w:t>
      </w:r>
    </w:p>
    <w:p w14:paraId="197E1D12" w14:textId="4E3CAF51" w:rsidR="003E6D0E" w:rsidRPr="003E6D0E" w:rsidRDefault="003E6D0E" w:rsidP="003E6D0E">
      <w:pPr>
        <w:rPr>
          <w:b w:val="0"/>
          <w:bCs/>
          <w:color w:val="auto"/>
          <w:sz w:val="24"/>
          <w:szCs w:val="24"/>
          <w:lang w:val="en-GB"/>
        </w:rPr>
      </w:pPr>
      <w:r>
        <w:rPr>
          <w:b w:val="0"/>
          <w:bCs/>
          <w:color w:val="auto"/>
          <w:sz w:val="24"/>
          <w:szCs w:val="24"/>
          <w:lang w:val="en-GB"/>
        </w:rPr>
        <w:t xml:space="preserve">  </w:t>
      </w:r>
      <w:r w:rsidRPr="003E6D0E">
        <w:rPr>
          <w:b w:val="0"/>
          <w:bCs/>
          <w:color w:val="auto"/>
          <w:sz w:val="24"/>
          <w:szCs w:val="24"/>
          <w:lang w:val="en-GB"/>
        </w:rPr>
        <w:t>Stakeholder Theory reinforces the need to balance efficiency with ethical responsibility, suggesting that organisations must consider the interests of multiple groups, including customers, employees, and regulators, rather than focusing solely on profit maximisation (Freeman, 1984). Similarly, Institutional Theory highlights that adapting to regulatory differences across markets is crucial for maintaining legitimacy and ensuring long-term success in global operations (Scott, 2014).</w:t>
      </w:r>
    </w:p>
    <w:p w14:paraId="162DFAB5" w14:textId="77777777" w:rsidR="003E6D0E" w:rsidRPr="003E6D0E" w:rsidRDefault="003E6D0E" w:rsidP="003E6D0E">
      <w:pPr>
        <w:rPr>
          <w:b w:val="0"/>
          <w:bCs/>
          <w:color w:val="auto"/>
          <w:sz w:val="24"/>
          <w:szCs w:val="24"/>
          <w:lang w:val="en-GB"/>
        </w:rPr>
      </w:pPr>
      <w:r w:rsidRPr="003E6D0E">
        <w:rPr>
          <w:b w:val="0"/>
          <w:bCs/>
          <w:color w:val="auto"/>
          <w:sz w:val="24"/>
          <w:szCs w:val="24"/>
          <w:lang w:val="en-GB"/>
        </w:rPr>
        <w:t>Furthermore, this approach reflects the “Brussels Effect,” where aligning with stricter European Union regulations may allow organisations to standardise practices globally. This reduces complexity and future regulatory risk by adopting the highest legislative standard across all markets (Bradford, 2020).</w:t>
      </w:r>
    </w:p>
    <w:p w14:paraId="7CF7A9F2" w14:textId="764BFE75" w:rsidR="003E6D0E" w:rsidRPr="003E6D0E" w:rsidRDefault="003E6D0E" w:rsidP="003E6D0E">
      <w:pPr>
        <w:rPr>
          <w:b w:val="0"/>
          <w:bCs/>
          <w:color w:val="auto"/>
          <w:sz w:val="24"/>
          <w:szCs w:val="24"/>
          <w:lang w:val="en-GB"/>
        </w:rPr>
      </w:pPr>
      <w:r>
        <w:rPr>
          <w:b w:val="0"/>
          <w:bCs/>
          <w:color w:val="auto"/>
          <w:sz w:val="24"/>
          <w:szCs w:val="24"/>
          <w:lang w:val="en-GB"/>
        </w:rPr>
        <w:t xml:space="preserve">  </w:t>
      </w:r>
      <w:r w:rsidRPr="003E6D0E">
        <w:rPr>
          <w:b w:val="0"/>
          <w:bCs/>
          <w:color w:val="auto"/>
          <w:sz w:val="24"/>
          <w:szCs w:val="24"/>
          <w:lang w:val="en-GB"/>
        </w:rPr>
        <w:t>The overall impact of adopting these structured and phased approaches is that Superstruct Entertainment can reduce regulatory and compliance risks across regions, strengthen consumer trust, and enhance brand reputation. In addition, responsible AI adoption can improve operational efficiency while positioning the organisation as a leader in ethical and sustainable business practices (Porter and Kramer, 2011).</w:t>
      </w:r>
    </w:p>
    <w:p w14:paraId="7253BF03" w14:textId="0095B82D" w:rsidR="004673FB" w:rsidRPr="00D631FC" w:rsidRDefault="003E6D0E" w:rsidP="005A6F91">
      <w:pPr>
        <w:rPr>
          <w:b w:val="0"/>
          <w:bCs/>
          <w:color w:val="auto"/>
          <w:sz w:val="24"/>
          <w:szCs w:val="24"/>
          <w:lang w:val="en-GB"/>
        </w:rPr>
      </w:pPr>
      <w:r>
        <w:rPr>
          <w:b w:val="0"/>
          <w:bCs/>
          <w:color w:val="auto"/>
          <w:sz w:val="24"/>
          <w:szCs w:val="24"/>
          <w:lang w:val="en-GB"/>
        </w:rPr>
        <w:t xml:space="preserve">  </w:t>
      </w:r>
      <w:r w:rsidRPr="003E6D0E">
        <w:rPr>
          <w:b w:val="0"/>
          <w:bCs/>
          <w:color w:val="auto"/>
          <w:sz w:val="24"/>
          <w:szCs w:val="24"/>
          <w:lang w:val="en-GB"/>
        </w:rPr>
        <w:t>Ultimately, this strategy is designed to futureproof the organisation by embedding resilience and accountability into its operations. It ensures that AI is not only used as a tool for innovation and efficiency, but is also integrated within governance frameworks that support long-term responsibility and global competitiveness (Floridi et al., 2018; NIST, 2023).</w:t>
      </w:r>
    </w:p>
    <w:p w14:paraId="51A1BA84" w14:textId="4963D466" w:rsidR="005A6F91" w:rsidRPr="00D631FC" w:rsidRDefault="005A6F91" w:rsidP="005A6F91">
      <w:pPr>
        <w:rPr>
          <w:color w:val="auto"/>
          <w:szCs w:val="28"/>
          <w:lang w:val="en-GB"/>
        </w:rPr>
      </w:pPr>
      <w:r w:rsidRPr="00D631FC">
        <w:rPr>
          <w:color w:val="auto"/>
          <w:szCs w:val="28"/>
          <w:lang w:val="en-GB"/>
        </w:rPr>
        <w:lastRenderedPageBreak/>
        <w:t>Conclusion</w:t>
      </w:r>
    </w:p>
    <w:p w14:paraId="03CBF352" w14:textId="77777777" w:rsidR="007A0118" w:rsidRDefault="007A0118" w:rsidP="005A6F91">
      <w:pPr>
        <w:rPr>
          <w:color w:val="auto"/>
          <w:szCs w:val="28"/>
          <w:lang w:val="en-GB"/>
        </w:rPr>
      </w:pPr>
    </w:p>
    <w:p w14:paraId="2AB13EA1" w14:textId="323B425F" w:rsidR="005A6F91" w:rsidRDefault="007A0118" w:rsidP="005A6F91">
      <w:pPr>
        <w:rPr>
          <w:b w:val="0"/>
          <w:bCs/>
          <w:color w:val="auto"/>
          <w:sz w:val="24"/>
          <w:szCs w:val="24"/>
        </w:rPr>
      </w:pPr>
      <w:r>
        <w:rPr>
          <w:color w:val="auto"/>
          <w:szCs w:val="28"/>
          <w:lang w:val="en-GB"/>
        </w:rPr>
        <w:t xml:space="preserve">  </w:t>
      </w:r>
      <w:r>
        <w:rPr>
          <w:b w:val="0"/>
          <w:bCs/>
          <w:color w:val="auto"/>
          <w:sz w:val="24"/>
          <w:szCs w:val="24"/>
          <w:lang w:val="en-GB"/>
        </w:rPr>
        <w:t xml:space="preserve">This report has critically evaluated the impact that AI has on risk management within the festival industry and for Superstruct Entertainment </w:t>
      </w:r>
      <w:r w:rsidR="00841805">
        <w:rPr>
          <w:b w:val="0"/>
          <w:bCs/>
          <w:color w:val="auto"/>
          <w:sz w:val="24"/>
          <w:szCs w:val="24"/>
          <w:lang w:val="en-GB"/>
        </w:rPr>
        <w:t xml:space="preserve">as it highlights both the opportunities and challenges associated with its adoption in a multinational context. While AI can offer significant benefits in improving operational efficiency, </w:t>
      </w:r>
      <w:r w:rsidR="00841805" w:rsidRPr="00841805">
        <w:rPr>
          <w:b w:val="0"/>
          <w:bCs/>
          <w:color w:val="auto"/>
          <w:sz w:val="24"/>
          <w:szCs w:val="24"/>
          <w:lang w:val="en-GB"/>
        </w:rPr>
        <w:t xml:space="preserve">enhancing customer experience and supporting data-driven decision making, it can also introduce complex and interconnected risks that cannot be </w:t>
      </w:r>
      <w:r w:rsidR="00841805" w:rsidRPr="00841805">
        <w:rPr>
          <w:b w:val="0"/>
          <w:bCs/>
          <w:color w:val="auto"/>
          <w:sz w:val="24"/>
          <w:szCs w:val="24"/>
        </w:rPr>
        <w:t>solved independently without affecting other areas.</w:t>
      </w:r>
    </w:p>
    <w:p w14:paraId="6681E05C" w14:textId="65CAD168" w:rsidR="00841805" w:rsidRDefault="00841805" w:rsidP="005A6F91">
      <w:pPr>
        <w:rPr>
          <w:b w:val="0"/>
          <w:bCs/>
          <w:color w:val="auto"/>
          <w:sz w:val="24"/>
          <w:szCs w:val="24"/>
        </w:rPr>
      </w:pPr>
      <w:r>
        <w:rPr>
          <w:b w:val="0"/>
          <w:bCs/>
          <w:color w:val="auto"/>
          <w:sz w:val="24"/>
          <w:szCs w:val="24"/>
        </w:rPr>
        <w:t>The analysis demonstrates that operating across the UK, EU and Australia can expose varying regulatory frameworks, cultural expectations and ethical standards. Having these differences can increase the complexity of AI governance and reinforce the importance of adaptability in managing compliance and risk. This is why the reports classifies the feature as a “Wicked Problem”, as it reflects the inherent trade-offs that are involved attempting to improve efficiency or innovation but can generate ethical concerns, crossing some regions regulations or creating social inequalities.</w:t>
      </w:r>
    </w:p>
    <w:p w14:paraId="68F1B53D" w14:textId="5DB7B802" w:rsidR="005A6F91" w:rsidRPr="003E4580" w:rsidRDefault="00841805" w:rsidP="005A6F91">
      <w:pPr>
        <w:rPr>
          <w:b w:val="0"/>
          <w:bCs/>
          <w:color w:val="auto"/>
          <w:sz w:val="24"/>
          <w:szCs w:val="24"/>
          <w:lang w:val="en-GB"/>
        </w:rPr>
      </w:pPr>
      <w:r>
        <w:rPr>
          <w:b w:val="0"/>
          <w:bCs/>
          <w:color w:val="auto"/>
          <w:sz w:val="24"/>
          <w:szCs w:val="24"/>
        </w:rPr>
        <w:t xml:space="preserve">  To place a strategic perspective on the case, it is clear that AI must be viewed as more than an operational tool, but a core factor that can shape the whole of future organisational success. This </w:t>
      </w:r>
      <w:r w:rsidR="00BC3219">
        <w:rPr>
          <w:b w:val="0"/>
          <w:bCs/>
          <w:color w:val="auto"/>
          <w:sz w:val="24"/>
          <w:szCs w:val="24"/>
        </w:rPr>
        <w:t xml:space="preserve">explains why a forward-thinking approach is suggested for AI implementation as the risks of reputational impact from spanning data governance, reliability and ethical considerations can appear quite quickly. All recommendations outlined in this report provide a structured phased pathway for achieving these obstacles. Through establishing governance </w:t>
      </w:r>
      <w:r w:rsidR="00BC3219" w:rsidRPr="003E4580">
        <w:rPr>
          <w:b w:val="0"/>
          <w:bCs/>
          <w:color w:val="auto"/>
          <w:sz w:val="24"/>
          <w:szCs w:val="24"/>
        </w:rPr>
        <w:t>mechanisms, implemen</w:t>
      </w:r>
      <w:r w:rsidR="004807F6" w:rsidRPr="003E4580">
        <w:rPr>
          <w:b w:val="0"/>
          <w:bCs/>
          <w:color w:val="auto"/>
          <w:sz w:val="24"/>
          <w:szCs w:val="24"/>
        </w:rPr>
        <w:t xml:space="preserve">tation plans and alignment with the Sustainable Development </w:t>
      </w:r>
      <w:r w:rsidR="004807F6" w:rsidRPr="00A31C08">
        <w:rPr>
          <w:b w:val="0"/>
          <w:bCs/>
          <w:color w:val="auto"/>
          <w:sz w:val="24"/>
          <w:szCs w:val="24"/>
        </w:rPr>
        <w:t>Goals, Superstruct Entertainment will inhabit responsible AI practices into its operation</w:t>
      </w:r>
      <w:r w:rsidR="003F1C72" w:rsidRPr="00A31C08">
        <w:rPr>
          <w:b w:val="0"/>
          <w:bCs/>
          <w:color w:val="auto"/>
          <w:sz w:val="24"/>
          <w:szCs w:val="24"/>
        </w:rPr>
        <w:t xml:space="preserve"> </w:t>
      </w:r>
      <w:r w:rsidR="003E4580" w:rsidRPr="00A31C08">
        <w:rPr>
          <w:b w:val="0"/>
          <w:bCs/>
          <w:color w:val="auto"/>
          <w:sz w:val="24"/>
          <w:szCs w:val="24"/>
        </w:rPr>
        <w:t xml:space="preserve">and strengthen stakeholder trust, ensure regulatory compliance and </w:t>
      </w:r>
      <w:r w:rsidR="005A6F91" w:rsidRPr="00A31C08">
        <w:rPr>
          <w:b w:val="0"/>
          <w:bCs/>
          <w:color w:val="auto"/>
          <w:sz w:val="24"/>
          <w:szCs w:val="24"/>
          <w:lang w:val="en-GB"/>
        </w:rPr>
        <w:t>enhance its competitive position within the global festival industry.</w:t>
      </w:r>
      <w:r w:rsidR="003E4580" w:rsidRPr="00A31C08">
        <w:rPr>
          <w:b w:val="0"/>
          <w:bCs/>
          <w:color w:val="auto"/>
          <w:sz w:val="24"/>
          <w:szCs w:val="24"/>
          <w:lang w:val="en-GB"/>
        </w:rPr>
        <w:t xml:space="preserve"> </w:t>
      </w:r>
      <w:r w:rsidR="00A31C08" w:rsidRPr="00A31C08">
        <w:rPr>
          <w:b w:val="0"/>
          <w:bCs/>
          <w:color w:val="auto"/>
          <w:sz w:val="24"/>
          <w:szCs w:val="24"/>
        </w:rPr>
        <w:t>However, despite providing a structured global framework, achieving the SDGs remains challenging due to inequalities, regulatory differences, and technological disruption</w:t>
      </w:r>
      <w:r w:rsidR="00A31C08">
        <w:rPr>
          <w:b w:val="0"/>
          <w:bCs/>
          <w:color w:val="auto"/>
          <w:sz w:val="24"/>
          <w:szCs w:val="24"/>
        </w:rPr>
        <w:t xml:space="preserve">. But for Superstruct Entertainment, to ensure </w:t>
      </w:r>
      <w:r w:rsidR="003E4580" w:rsidRPr="003E4580">
        <w:rPr>
          <w:b w:val="0"/>
          <w:bCs/>
          <w:color w:val="auto"/>
          <w:sz w:val="24"/>
          <w:szCs w:val="24"/>
          <w:lang w:val="en-GB"/>
        </w:rPr>
        <w:t xml:space="preserve">successful integration will depend solely on the organisations ability to balance innovation and responsibility; this process will mitigate risk and position itself as a leader in the industry as the most ethical and sustainable in AI adoption within an increasingly </w:t>
      </w:r>
      <w:r w:rsidR="005A6F91" w:rsidRPr="003E4580">
        <w:rPr>
          <w:b w:val="0"/>
          <w:bCs/>
          <w:color w:val="auto"/>
          <w:sz w:val="24"/>
          <w:szCs w:val="24"/>
          <w:lang w:val="en-GB"/>
        </w:rPr>
        <w:t>complex global business environment.</w:t>
      </w:r>
    </w:p>
    <w:p w14:paraId="49AC1C52" w14:textId="77777777" w:rsidR="005A6F91" w:rsidRPr="007A0118" w:rsidRDefault="005A6F91" w:rsidP="005A6F91">
      <w:pPr>
        <w:rPr>
          <w:color w:val="EE0000"/>
          <w:sz w:val="24"/>
          <w:szCs w:val="24"/>
          <w:lang w:val="en-GB"/>
        </w:rPr>
      </w:pPr>
    </w:p>
    <w:p w14:paraId="14D289DB" w14:textId="77777777" w:rsidR="00B23E6D" w:rsidRDefault="00B23E6D" w:rsidP="00B23E6D">
      <w:pPr>
        <w:tabs>
          <w:tab w:val="left" w:pos="2674"/>
        </w:tabs>
      </w:pPr>
    </w:p>
    <w:p w14:paraId="73C07F3F" w14:textId="77777777" w:rsidR="00B23E6D" w:rsidRDefault="00B23E6D" w:rsidP="00B23E6D">
      <w:pPr>
        <w:tabs>
          <w:tab w:val="left" w:pos="2674"/>
        </w:tabs>
      </w:pPr>
    </w:p>
    <w:p w14:paraId="07F54754" w14:textId="77777777" w:rsidR="00B23E6D" w:rsidRDefault="00B23E6D" w:rsidP="00B23E6D">
      <w:pPr>
        <w:tabs>
          <w:tab w:val="left" w:pos="2674"/>
        </w:tabs>
      </w:pPr>
    </w:p>
    <w:p w14:paraId="053D6329" w14:textId="77777777" w:rsidR="00B23E6D" w:rsidRDefault="00B23E6D" w:rsidP="00B23E6D">
      <w:pPr>
        <w:tabs>
          <w:tab w:val="left" w:pos="2674"/>
        </w:tabs>
      </w:pPr>
    </w:p>
    <w:p w14:paraId="09D45B1C" w14:textId="77777777" w:rsidR="00B23E6D" w:rsidRDefault="00B23E6D" w:rsidP="00B23E6D">
      <w:pPr>
        <w:tabs>
          <w:tab w:val="left" w:pos="2674"/>
        </w:tabs>
      </w:pPr>
    </w:p>
    <w:p w14:paraId="2F04E381" w14:textId="77777777" w:rsidR="006F0AC8" w:rsidRDefault="006F0AC8" w:rsidP="00B23E6D">
      <w:pPr>
        <w:tabs>
          <w:tab w:val="left" w:pos="2674"/>
        </w:tabs>
      </w:pPr>
    </w:p>
    <w:p w14:paraId="1BCFAD78" w14:textId="77777777" w:rsidR="006F0AC8" w:rsidRDefault="006F0AC8" w:rsidP="00B23E6D">
      <w:pPr>
        <w:tabs>
          <w:tab w:val="left" w:pos="2674"/>
        </w:tabs>
      </w:pPr>
    </w:p>
    <w:p w14:paraId="3F196AA9" w14:textId="77777777" w:rsidR="006F0AC8" w:rsidRDefault="006F0AC8" w:rsidP="00B23E6D">
      <w:pPr>
        <w:tabs>
          <w:tab w:val="left" w:pos="2674"/>
        </w:tabs>
      </w:pPr>
    </w:p>
    <w:p w14:paraId="6F8C4DB1" w14:textId="4924D6B2" w:rsidR="00B23E6D" w:rsidRPr="009C2583" w:rsidRDefault="009C2583" w:rsidP="00B23E6D">
      <w:pPr>
        <w:tabs>
          <w:tab w:val="left" w:pos="2674"/>
        </w:tabs>
        <w:rPr>
          <w:color w:val="auto"/>
        </w:rPr>
      </w:pPr>
      <w:r w:rsidRPr="009C2583">
        <w:rPr>
          <w:color w:val="auto"/>
        </w:rPr>
        <w:lastRenderedPageBreak/>
        <w:t>Bibliography</w:t>
      </w:r>
    </w:p>
    <w:p w14:paraId="1FA8E1C8" w14:textId="77777777" w:rsidR="009C2583" w:rsidRDefault="009C2583" w:rsidP="00B23E6D">
      <w:pPr>
        <w:tabs>
          <w:tab w:val="left" w:pos="2674"/>
        </w:tabs>
      </w:pPr>
    </w:p>
    <w:p w14:paraId="7AB7FEBB" w14:textId="69492B23" w:rsidR="009C2583" w:rsidRPr="009C2583" w:rsidRDefault="009C2583" w:rsidP="009C2583">
      <w:pPr>
        <w:tabs>
          <w:tab w:val="left" w:pos="2674"/>
        </w:tabs>
        <w:rPr>
          <w:b w:val="0"/>
          <w:bCs/>
          <w:color w:val="auto"/>
          <w:sz w:val="24"/>
          <w:szCs w:val="20"/>
        </w:rPr>
      </w:pPr>
      <w:r w:rsidRPr="009C2583">
        <w:rPr>
          <w:b w:val="0"/>
          <w:bCs/>
          <w:color w:val="auto"/>
          <w:sz w:val="24"/>
          <w:szCs w:val="20"/>
          <w:lang w:val="en-GB"/>
        </w:rPr>
        <w:t xml:space="preserve">Amodei, D. et al. (2016) </w:t>
      </w:r>
      <w:r w:rsidRPr="009C2583">
        <w:rPr>
          <w:b w:val="0"/>
          <w:bCs/>
          <w:i/>
          <w:iCs/>
          <w:color w:val="auto"/>
          <w:sz w:val="24"/>
          <w:szCs w:val="20"/>
          <w:lang w:val="en-GB"/>
        </w:rPr>
        <w:t>Concrete Problems in AI Safety</w:t>
      </w:r>
      <w:r w:rsidRPr="009C2583">
        <w:rPr>
          <w:b w:val="0"/>
          <w:bCs/>
          <w:color w:val="auto"/>
          <w:sz w:val="24"/>
          <w:szCs w:val="20"/>
          <w:lang w:val="en-GB"/>
        </w:rPr>
        <w:t xml:space="preserve">. Available at: </w:t>
      </w:r>
      <w:hyperlink r:id="rId8" w:tgtFrame="_new" w:history="1">
        <w:r w:rsidRPr="009C2583">
          <w:rPr>
            <w:rStyle w:val="Hyperlink"/>
            <w:b w:val="0"/>
            <w:bCs/>
            <w:color w:val="auto"/>
            <w:sz w:val="24"/>
            <w:szCs w:val="20"/>
            <w:lang w:val="en-GB"/>
          </w:rPr>
          <w:t>https://arxiv.org/abs/1606.06565</w:t>
        </w:r>
      </w:hyperlink>
      <w:r w:rsidRPr="009C2583">
        <w:rPr>
          <w:b w:val="0"/>
          <w:bCs/>
          <w:color w:val="auto"/>
          <w:sz w:val="24"/>
          <w:szCs w:val="20"/>
          <w:lang w:val="en-GB"/>
        </w:rPr>
        <w:t xml:space="preserve"> (Access</w:t>
      </w:r>
      <w:r>
        <w:rPr>
          <w:b w:val="0"/>
          <w:bCs/>
          <w:color w:val="auto"/>
          <w:sz w:val="24"/>
          <w:szCs w:val="20"/>
          <w:lang w:val="en-GB"/>
        </w:rPr>
        <w:t>ed Date:</w:t>
      </w:r>
      <w:r w:rsidRPr="009C2583">
        <w:rPr>
          <w:b w:val="0"/>
          <w:bCs/>
          <w:color w:val="auto"/>
          <w:sz w:val="24"/>
          <w:szCs w:val="20"/>
          <w:lang w:val="en-GB"/>
        </w:rPr>
        <w:t xml:space="preserve"> 27</w:t>
      </w:r>
      <w:r>
        <w:rPr>
          <w:b w:val="0"/>
          <w:bCs/>
          <w:color w:val="auto"/>
          <w:sz w:val="24"/>
          <w:szCs w:val="20"/>
          <w:lang w:val="en-GB"/>
        </w:rPr>
        <w:t>/04/</w:t>
      </w:r>
      <w:r w:rsidRPr="009C2583">
        <w:rPr>
          <w:b w:val="0"/>
          <w:bCs/>
          <w:color w:val="auto"/>
          <w:sz w:val="24"/>
          <w:szCs w:val="20"/>
          <w:lang w:val="en-GB"/>
        </w:rPr>
        <w:t>2026).</w:t>
      </w:r>
    </w:p>
    <w:p w14:paraId="7FB43A00" w14:textId="77777777"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Autor, D.H. (2015) ‘Why are there still so many jobs?’, </w:t>
      </w:r>
      <w:r w:rsidRPr="009C2583">
        <w:rPr>
          <w:b w:val="0"/>
          <w:bCs/>
          <w:i/>
          <w:iCs/>
          <w:color w:val="auto"/>
          <w:sz w:val="24"/>
          <w:szCs w:val="20"/>
          <w:lang w:val="en-GB"/>
        </w:rPr>
        <w:t>Journal of Economic Perspectives</w:t>
      </w:r>
      <w:r w:rsidRPr="009C2583">
        <w:rPr>
          <w:b w:val="0"/>
          <w:bCs/>
          <w:color w:val="auto"/>
          <w:sz w:val="24"/>
          <w:szCs w:val="20"/>
          <w:lang w:val="en-GB"/>
        </w:rPr>
        <w:t>, 29(3), pp. 3–30. Available at: https://www.aeaweb.org/articles?id=10.1257/jep.29.3.3 (Accessed: 27 April 2026).</w:t>
      </w:r>
    </w:p>
    <w:p w14:paraId="40220BC2" w14:textId="32D403C1"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Australian Government (2023) </w:t>
      </w:r>
      <w:r w:rsidRPr="009C2583">
        <w:rPr>
          <w:b w:val="0"/>
          <w:bCs/>
          <w:i/>
          <w:iCs/>
          <w:color w:val="auto"/>
          <w:sz w:val="24"/>
          <w:szCs w:val="20"/>
          <w:lang w:val="en-GB"/>
        </w:rPr>
        <w:t>Australia’s AI Ethics Framework</w:t>
      </w:r>
      <w:r w:rsidRPr="009C2583">
        <w:rPr>
          <w:b w:val="0"/>
          <w:bCs/>
          <w:color w:val="auto"/>
          <w:sz w:val="24"/>
          <w:szCs w:val="20"/>
          <w:lang w:val="en-GB"/>
        </w:rPr>
        <w:t xml:space="preserve">. Available at: </w:t>
      </w:r>
      <w:hyperlink r:id="rId9" w:history="1">
        <w:r w:rsidRPr="003738FE">
          <w:rPr>
            <w:rStyle w:val="Hyperlink"/>
            <w:b w:val="0"/>
            <w:bCs/>
            <w:sz w:val="24"/>
            <w:szCs w:val="20"/>
            <w:lang w:val="en-GB"/>
          </w:rPr>
          <w:t>https://www.industry.gov.au/data-and-publications/australias-artificial-intelligence-ethics-framework</w:t>
        </w:r>
      </w:hyperlink>
      <w:r>
        <w:rPr>
          <w:b w:val="0"/>
          <w:bCs/>
          <w:color w:val="auto"/>
          <w:sz w:val="24"/>
          <w:szCs w:val="20"/>
          <w:lang w:val="en-GB"/>
        </w:rPr>
        <w:t xml:space="preserve"> </w:t>
      </w:r>
      <w:r w:rsidRPr="009C2583">
        <w:rPr>
          <w:b w:val="0"/>
          <w:bCs/>
          <w:color w:val="auto"/>
          <w:sz w:val="24"/>
          <w:szCs w:val="20"/>
          <w:lang w:val="en-GB"/>
        </w:rPr>
        <w:t>(Accessed</w:t>
      </w:r>
      <w:r>
        <w:rPr>
          <w:b w:val="0"/>
          <w:bCs/>
          <w:color w:val="auto"/>
          <w:sz w:val="24"/>
          <w:szCs w:val="20"/>
          <w:lang w:val="en-GB"/>
        </w:rPr>
        <w:t xml:space="preserve"> Date: 01/04/</w:t>
      </w:r>
      <w:r w:rsidRPr="009C2583">
        <w:rPr>
          <w:b w:val="0"/>
          <w:bCs/>
          <w:color w:val="auto"/>
          <w:sz w:val="24"/>
          <w:szCs w:val="20"/>
          <w:lang w:val="en-GB"/>
        </w:rPr>
        <w:t>2026).</w:t>
      </w:r>
    </w:p>
    <w:p w14:paraId="7529F1C2" w14:textId="489D4F48"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Barney, J. (1991) ‘Firm resources and sustained competitive advantage’, </w:t>
      </w:r>
      <w:r w:rsidRPr="009C2583">
        <w:rPr>
          <w:b w:val="0"/>
          <w:bCs/>
          <w:i/>
          <w:iCs/>
          <w:color w:val="auto"/>
          <w:sz w:val="24"/>
          <w:szCs w:val="20"/>
          <w:lang w:val="en-GB"/>
        </w:rPr>
        <w:t>Journal of Management</w:t>
      </w:r>
      <w:r w:rsidRPr="009C2583">
        <w:rPr>
          <w:b w:val="0"/>
          <w:bCs/>
          <w:color w:val="auto"/>
          <w:sz w:val="24"/>
          <w:szCs w:val="20"/>
          <w:lang w:val="en-GB"/>
        </w:rPr>
        <w:t xml:space="preserve">, 17(1), pp. 99–120. Available at: </w:t>
      </w:r>
      <w:hyperlink r:id="rId10" w:tgtFrame="_new" w:history="1">
        <w:r w:rsidRPr="009C2583">
          <w:rPr>
            <w:rStyle w:val="Hyperlink"/>
            <w:b w:val="0"/>
            <w:bCs/>
            <w:color w:val="auto"/>
            <w:sz w:val="24"/>
            <w:szCs w:val="20"/>
            <w:lang w:val="en-GB"/>
          </w:rPr>
          <w:t>https://journals.sagepub.com/doi/10.1177/014920639101700108</w:t>
        </w:r>
      </w:hyperlink>
      <w:r w:rsidRPr="009C2583">
        <w:rPr>
          <w:b w:val="0"/>
          <w:bCs/>
          <w:color w:val="auto"/>
          <w:sz w:val="24"/>
          <w:szCs w:val="20"/>
          <w:lang w:val="en-GB"/>
        </w:rPr>
        <w:t xml:space="preserve"> (Accessed</w:t>
      </w:r>
      <w:r>
        <w:rPr>
          <w:b w:val="0"/>
          <w:bCs/>
          <w:color w:val="auto"/>
          <w:sz w:val="24"/>
          <w:szCs w:val="20"/>
          <w:lang w:val="en-GB"/>
        </w:rPr>
        <w:t xml:space="preserve"> Date: 01/04/</w:t>
      </w:r>
      <w:r w:rsidRPr="009C2583">
        <w:rPr>
          <w:b w:val="0"/>
          <w:bCs/>
          <w:color w:val="auto"/>
          <w:sz w:val="24"/>
          <w:szCs w:val="20"/>
          <w:lang w:val="en-GB"/>
        </w:rPr>
        <w:t>2026).</w:t>
      </w:r>
    </w:p>
    <w:p w14:paraId="652C88F9" w14:textId="77777777"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Binns, R. (2018) ‘Fairness in machine learning’, </w:t>
      </w:r>
      <w:r w:rsidRPr="009C2583">
        <w:rPr>
          <w:b w:val="0"/>
          <w:bCs/>
          <w:i/>
          <w:iCs/>
          <w:color w:val="auto"/>
          <w:sz w:val="24"/>
          <w:szCs w:val="20"/>
          <w:lang w:val="en-GB"/>
        </w:rPr>
        <w:t>Proceedings of Machine Learning Research</w:t>
      </w:r>
      <w:r w:rsidRPr="009C2583">
        <w:rPr>
          <w:b w:val="0"/>
          <w:bCs/>
          <w:color w:val="auto"/>
          <w:sz w:val="24"/>
          <w:szCs w:val="20"/>
          <w:lang w:val="en-GB"/>
        </w:rPr>
        <w:t>, 81, pp. 1–11. Available at: http://proceedings.mlr.press/v81/binns18a.html (Accessed: 27 April 2026).</w:t>
      </w:r>
    </w:p>
    <w:p w14:paraId="788FAF11" w14:textId="306F4069"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Brynjolfsson, E. and McAfee, A. (2017) </w:t>
      </w:r>
      <w:r w:rsidRPr="009C2583">
        <w:rPr>
          <w:b w:val="0"/>
          <w:bCs/>
          <w:i/>
          <w:iCs/>
          <w:color w:val="auto"/>
          <w:sz w:val="24"/>
          <w:szCs w:val="20"/>
          <w:lang w:val="en-GB"/>
        </w:rPr>
        <w:t>Machine, Platform, Crowd</w:t>
      </w:r>
      <w:r w:rsidRPr="009C2583">
        <w:rPr>
          <w:b w:val="0"/>
          <w:bCs/>
          <w:color w:val="auto"/>
          <w:sz w:val="24"/>
          <w:szCs w:val="20"/>
          <w:lang w:val="en-GB"/>
        </w:rPr>
        <w:t xml:space="preserve">. New York: W.W. Norton. Available at: </w:t>
      </w:r>
      <w:hyperlink r:id="rId11" w:anchor="v=onepage&amp;q=Brynjolfsson%2C%20E.%20and%20McAfee%2C%20A.%20(2017)%20Machine%2C%20Platform%2C%20Crowd&amp;f=false" w:history="1">
        <w:r w:rsidR="00CF37B8" w:rsidRPr="00CF37B8">
          <w:rPr>
            <w:rStyle w:val="Hyperlink"/>
            <w:bCs/>
            <w:sz w:val="24"/>
            <w:szCs w:val="20"/>
          </w:rPr>
          <w:t>Digital Transformation and Organizational Agility: Leadership, Strategy, and ... - Google Books</w:t>
        </w:r>
      </w:hyperlink>
      <w:r w:rsidRPr="009C2583">
        <w:rPr>
          <w:b w:val="0"/>
          <w:bCs/>
          <w:color w:val="auto"/>
          <w:sz w:val="24"/>
          <w:szCs w:val="20"/>
          <w:lang w:val="en-GB"/>
        </w:rPr>
        <w:t xml:space="preserve"> (Accessed</w:t>
      </w:r>
      <w:r>
        <w:rPr>
          <w:b w:val="0"/>
          <w:bCs/>
          <w:color w:val="auto"/>
          <w:sz w:val="24"/>
          <w:szCs w:val="20"/>
          <w:lang w:val="en-GB"/>
        </w:rPr>
        <w:t xml:space="preserve"> Date: 20/04/</w:t>
      </w:r>
      <w:r w:rsidRPr="009C2583">
        <w:rPr>
          <w:b w:val="0"/>
          <w:bCs/>
          <w:color w:val="auto"/>
          <w:sz w:val="24"/>
          <w:szCs w:val="20"/>
          <w:lang w:val="en-GB"/>
        </w:rPr>
        <w:t>2026).</w:t>
      </w:r>
    </w:p>
    <w:p w14:paraId="3B3C0D9F" w14:textId="4C428445"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Calo, R. (2017) ‘Artificial intelligence policy’, </w:t>
      </w:r>
      <w:r w:rsidRPr="009C2583">
        <w:rPr>
          <w:b w:val="0"/>
          <w:bCs/>
          <w:i/>
          <w:iCs/>
          <w:color w:val="auto"/>
          <w:sz w:val="24"/>
          <w:szCs w:val="20"/>
          <w:lang w:val="en-GB"/>
        </w:rPr>
        <w:t>UCLA Law Review</w:t>
      </w:r>
      <w:r w:rsidRPr="009C2583">
        <w:rPr>
          <w:b w:val="0"/>
          <w:bCs/>
          <w:color w:val="auto"/>
          <w:sz w:val="24"/>
          <w:szCs w:val="20"/>
          <w:lang w:val="en-GB"/>
        </w:rPr>
        <w:t xml:space="preserve">, 51. Available at: </w:t>
      </w:r>
      <w:hyperlink r:id="rId12" w:history="1">
        <w:r w:rsidR="00CF37B8" w:rsidRPr="003738FE">
          <w:rPr>
            <w:rStyle w:val="Hyperlink"/>
            <w:b w:val="0"/>
            <w:bCs/>
            <w:sz w:val="24"/>
            <w:szCs w:val="20"/>
            <w:lang w:val="en-GB"/>
          </w:rPr>
          <w:t>https://www.uclalawreview.org/artificial-intelligence-policy/</w:t>
        </w:r>
      </w:hyperlink>
      <w:r w:rsidR="00CF37B8">
        <w:rPr>
          <w:b w:val="0"/>
          <w:bCs/>
          <w:color w:val="auto"/>
          <w:sz w:val="24"/>
          <w:szCs w:val="20"/>
          <w:lang w:val="en-GB"/>
        </w:rPr>
        <w:t xml:space="preserve"> </w:t>
      </w:r>
      <w:r w:rsidRPr="009C2583">
        <w:rPr>
          <w:b w:val="0"/>
          <w:bCs/>
          <w:color w:val="auto"/>
          <w:sz w:val="24"/>
          <w:szCs w:val="20"/>
          <w:lang w:val="en-GB"/>
        </w:rPr>
        <w:t>(Accessed</w:t>
      </w:r>
      <w:r>
        <w:rPr>
          <w:b w:val="0"/>
          <w:bCs/>
          <w:color w:val="auto"/>
          <w:sz w:val="24"/>
          <w:szCs w:val="20"/>
          <w:lang w:val="en-GB"/>
        </w:rPr>
        <w:t xml:space="preserve"> Date: 04/04/</w:t>
      </w:r>
      <w:r w:rsidRPr="009C2583">
        <w:rPr>
          <w:b w:val="0"/>
          <w:bCs/>
          <w:color w:val="auto"/>
          <w:sz w:val="24"/>
          <w:szCs w:val="20"/>
          <w:lang w:val="en-GB"/>
        </w:rPr>
        <w:t>2026).</w:t>
      </w:r>
    </w:p>
    <w:p w14:paraId="5BFC435B" w14:textId="0C0FB0A8" w:rsidR="00CF37B8"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Cath, C. et al. (2018) ‘Artificial intelligence and the good society’, </w:t>
      </w:r>
      <w:r w:rsidRPr="009C2583">
        <w:rPr>
          <w:b w:val="0"/>
          <w:bCs/>
          <w:i/>
          <w:iCs/>
          <w:color w:val="auto"/>
          <w:sz w:val="24"/>
          <w:szCs w:val="20"/>
          <w:lang w:val="en-GB"/>
        </w:rPr>
        <w:t>Science and Engineering Ethics</w:t>
      </w:r>
      <w:r w:rsidRPr="009C2583">
        <w:rPr>
          <w:b w:val="0"/>
          <w:bCs/>
          <w:color w:val="auto"/>
          <w:sz w:val="24"/>
          <w:szCs w:val="20"/>
          <w:lang w:val="en-GB"/>
        </w:rPr>
        <w:t xml:space="preserve">, 24(2), pp. 505–528. Available at: </w:t>
      </w:r>
      <w:hyperlink r:id="rId13" w:history="1">
        <w:r w:rsidR="00CF37B8" w:rsidRPr="003738FE">
          <w:rPr>
            <w:rStyle w:val="Hyperlink"/>
            <w:b w:val="0"/>
            <w:bCs/>
            <w:sz w:val="24"/>
            <w:szCs w:val="20"/>
            <w:lang w:val="en-GB"/>
          </w:rPr>
          <w:t>https://link.springer.com/article/10.1007/s11948-017-9901-5</w:t>
        </w:r>
      </w:hyperlink>
    </w:p>
    <w:p w14:paraId="09E35CB7" w14:textId="1FFB8FD1"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(Accessed</w:t>
      </w:r>
      <w:r>
        <w:rPr>
          <w:b w:val="0"/>
          <w:bCs/>
          <w:color w:val="auto"/>
          <w:sz w:val="24"/>
          <w:szCs w:val="20"/>
          <w:lang w:val="en-GB"/>
        </w:rPr>
        <w:t xml:space="preserve"> Date: 04/04/</w:t>
      </w:r>
      <w:r w:rsidRPr="009C2583">
        <w:rPr>
          <w:b w:val="0"/>
          <w:bCs/>
          <w:color w:val="auto"/>
          <w:sz w:val="24"/>
          <w:szCs w:val="20"/>
          <w:lang w:val="en-GB"/>
        </w:rPr>
        <w:t>2026).</w:t>
      </w:r>
    </w:p>
    <w:p w14:paraId="726884AF" w14:textId="0B83A7B8" w:rsidR="009C2583" w:rsidRPr="009C2583" w:rsidRDefault="009C2583" w:rsidP="009C2583">
      <w:pPr>
        <w:tabs>
          <w:tab w:val="left" w:pos="2674"/>
        </w:tabs>
        <w:rPr>
          <w:b w:val="0"/>
          <w:bCs/>
          <w:color w:val="auto"/>
          <w:sz w:val="24"/>
          <w:szCs w:val="20"/>
        </w:rPr>
      </w:pPr>
      <w:r w:rsidRPr="009C2583">
        <w:rPr>
          <w:b w:val="0"/>
          <w:bCs/>
          <w:color w:val="auto"/>
          <w:sz w:val="24"/>
          <w:szCs w:val="20"/>
          <w:lang w:val="en-GB"/>
        </w:rPr>
        <w:t xml:space="preserve">Chen, Y. et al. (2019) ‘The role of marketing in social media’, </w:t>
      </w:r>
      <w:r w:rsidRPr="009C2583">
        <w:rPr>
          <w:b w:val="0"/>
          <w:bCs/>
          <w:i/>
          <w:iCs/>
          <w:color w:val="auto"/>
          <w:sz w:val="24"/>
          <w:szCs w:val="20"/>
          <w:lang w:val="en-GB"/>
        </w:rPr>
        <w:t>Journal of Interactive Marketing</w:t>
      </w:r>
      <w:r w:rsidRPr="009C2583">
        <w:rPr>
          <w:b w:val="0"/>
          <w:bCs/>
          <w:color w:val="auto"/>
          <w:sz w:val="24"/>
          <w:szCs w:val="20"/>
          <w:lang w:val="en-GB"/>
        </w:rPr>
        <w:t xml:space="preserve">, 25(2), pp. 85–94. Available at: </w:t>
      </w:r>
      <w:hyperlink r:id="rId14" w:tgtFrame="_new" w:history="1">
        <w:r w:rsidRPr="009C2583">
          <w:rPr>
            <w:rStyle w:val="Hyperlink"/>
            <w:b w:val="0"/>
            <w:bCs/>
            <w:color w:val="auto"/>
            <w:sz w:val="24"/>
            <w:szCs w:val="20"/>
            <w:lang w:val="en-GB"/>
          </w:rPr>
          <w:t>https://www.sciencedirect.com</w:t>
        </w:r>
      </w:hyperlink>
      <w:r w:rsidRPr="009C2583">
        <w:rPr>
          <w:b w:val="0"/>
          <w:bCs/>
          <w:color w:val="auto"/>
          <w:sz w:val="24"/>
          <w:szCs w:val="20"/>
          <w:lang w:val="en-GB"/>
        </w:rPr>
        <w:t xml:space="preserve"> (Accesse</w:t>
      </w:r>
      <w:r>
        <w:rPr>
          <w:b w:val="0"/>
          <w:bCs/>
          <w:color w:val="auto"/>
          <w:sz w:val="24"/>
          <w:szCs w:val="20"/>
          <w:lang w:val="en-GB"/>
        </w:rPr>
        <w:t>d Date: 10/04/</w:t>
      </w:r>
      <w:r w:rsidRPr="009C2583">
        <w:rPr>
          <w:b w:val="0"/>
          <w:bCs/>
          <w:color w:val="auto"/>
          <w:sz w:val="24"/>
          <w:szCs w:val="20"/>
          <w:lang w:val="en-GB"/>
        </w:rPr>
        <w:t>2026).</w:t>
      </w:r>
    </w:p>
    <w:p w14:paraId="2EB73439" w14:textId="488DE325" w:rsidR="009C2583" w:rsidRPr="009C2583" w:rsidRDefault="009C2583" w:rsidP="009C2583">
      <w:pPr>
        <w:tabs>
          <w:tab w:val="left" w:pos="2674"/>
        </w:tabs>
        <w:rPr>
          <w:b w:val="0"/>
          <w:bCs/>
          <w:color w:val="auto"/>
          <w:sz w:val="24"/>
          <w:szCs w:val="20"/>
        </w:rPr>
      </w:pPr>
      <w:r w:rsidRPr="009C2583">
        <w:rPr>
          <w:b w:val="0"/>
          <w:bCs/>
          <w:color w:val="auto"/>
          <w:sz w:val="24"/>
          <w:szCs w:val="20"/>
          <w:lang w:val="en-GB"/>
        </w:rPr>
        <w:t xml:space="preserve">Davenport, T.H. and Ronanki, R. (2018) ‘Artificial intelligence for the real world’, </w:t>
      </w:r>
      <w:r w:rsidRPr="009C2583">
        <w:rPr>
          <w:b w:val="0"/>
          <w:bCs/>
          <w:i/>
          <w:iCs/>
          <w:color w:val="auto"/>
          <w:sz w:val="24"/>
          <w:szCs w:val="20"/>
          <w:lang w:val="en-GB"/>
        </w:rPr>
        <w:t>Harvard Business Review</w:t>
      </w:r>
      <w:r w:rsidRPr="009C2583">
        <w:rPr>
          <w:b w:val="0"/>
          <w:bCs/>
          <w:color w:val="auto"/>
          <w:sz w:val="24"/>
          <w:szCs w:val="20"/>
          <w:lang w:val="en-GB"/>
        </w:rPr>
        <w:t xml:space="preserve">. Available at: </w:t>
      </w:r>
      <w:hyperlink r:id="rId15" w:tgtFrame="_new" w:history="1">
        <w:r w:rsidRPr="009C2583">
          <w:rPr>
            <w:rStyle w:val="Hyperlink"/>
            <w:b w:val="0"/>
            <w:bCs/>
            <w:color w:val="auto"/>
            <w:sz w:val="24"/>
            <w:szCs w:val="20"/>
            <w:lang w:val="en-GB"/>
          </w:rPr>
          <w:t>https://hbr.org/2018/01/artificial-intelligence-for-the-real-world</w:t>
        </w:r>
      </w:hyperlink>
      <w:r>
        <w:rPr>
          <w:b w:val="0"/>
          <w:bCs/>
          <w:color w:val="auto"/>
          <w:sz w:val="24"/>
          <w:szCs w:val="20"/>
        </w:rPr>
        <w:t xml:space="preserve"> </w:t>
      </w:r>
      <w:r w:rsidRPr="009C2583">
        <w:rPr>
          <w:b w:val="0"/>
          <w:bCs/>
          <w:color w:val="auto"/>
          <w:sz w:val="24"/>
          <w:szCs w:val="20"/>
          <w:lang w:val="en-GB"/>
        </w:rPr>
        <w:t>(Accessed</w:t>
      </w:r>
      <w:r>
        <w:rPr>
          <w:b w:val="0"/>
          <w:bCs/>
          <w:color w:val="auto"/>
          <w:sz w:val="24"/>
          <w:szCs w:val="20"/>
          <w:lang w:val="en-GB"/>
        </w:rPr>
        <w:t xml:space="preserve"> Date: 11/04/</w:t>
      </w:r>
      <w:r w:rsidRPr="009C2583">
        <w:rPr>
          <w:b w:val="0"/>
          <w:bCs/>
          <w:color w:val="auto"/>
          <w:sz w:val="24"/>
          <w:szCs w:val="20"/>
          <w:lang w:val="en-GB"/>
        </w:rPr>
        <w:t>2026).</w:t>
      </w:r>
    </w:p>
    <w:p w14:paraId="455B31EB" w14:textId="135A1124" w:rsidR="009C2583" w:rsidRPr="009C2583" w:rsidRDefault="009C2583" w:rsidP="009C2583">
      <w:pPr>
        <w:tabs>
          <w:tab w:val="left" w:pos="2674"/>
        </w:tabs>
        <w:rPr>
          <w:b w:val="0"/>
          <w:bCs/>
          <w:color w:val="auto"/>
          <w:sz w:val="24"/>
          <w:szCs w:val="20"/>
        </w:rPr>
      </w:pPr>
      <w:r w:rsidRPr="009C2583">
        <w:rPr>
          <w:b w:val="0"/>
          <w:bCs/>
          <w:color w:val="auto"/>
          <w:sz w:val="24"/>
          <w:szCs w:val="20"/>
          <w:lang w:val="en-GB"/>
        </w:rPr>
        <w:t xml:space="preserve">DiMaggio, P.J. and Powell, W.W. (1983) ‘The iron cage revisited’, </w:t>
      </w:r>
      <w:r w:rsidRPr="009C2583">
        <w:rPr>
          <w:b w:val="0"/>
          <w:bCs/>
          <w:i/>
          <w:iCs/>
          <w:color w:val="auto"/>
          <w:sz w:val="24"/>
          <w:szCs w:val="20"/>
          <w:lang w:val="en-GB"/>
        </w:rPr>
        <w:t>American Sociological Review</w:t>
      </w:r>
      <w:r w:rsidRPr="009C2583">
        <w:rPr>
          <w:b w:val="0"/>
          <w:bCs/>
          <w:color w:val="auto"/>
          <w:sz w:val="24"/>
          <w:szCs w:val="20"/>
          <w:lang w:val="en-GB"/>
        </w:rPr>
        <w:t xml:space="preserve">, 48(2), pp. 147–160. Available at: </w:t>
      </w:r>
      <w:hyperlink r:id="rId16" w:tgtFrame="_new" w:history="1">
        <w:r w:rsidRPr="009C2583">
          <w:rPr>
            <w:rStyle w:val="Hyperlink"/>
            <w:b w:val="0"/>
            <w:bCs/>
            <w:color w:val="auto"/>
            <w:sz w:val="24"/>
            <w:szCs w:val="20"/>
            <w:lang w:val="en-GB"/>
          </w:rPr>
          <w:t>https://www.jstor.org/stable/2095101</w:t>
        </w:r>
      </w:hyperlink>
      <w:r w:rsidRPr="009C2583">
        <w:rPr>
          <w:b w:val="0"/>
          <w:bCs/>
          <w:color w:val="auto"/>
          <w:sz w:val="24"/>
          <w:szCs w:val="20"/>
          <w:lang w:val="en-GB"/>
        </w:rPr>
        <w:t xml:space="preserve"> (Accessed</w:t>
      </w:r>
      <w:r>
        <w:rPr>
          <w:b w:val="0"/>
          <w:bCs/>
          <w:color w:val="auto"/>
          <w:sz w:val="24"/>
          <w:szCs w:val="20"/>
          <w:lang w:val="en-GB"/>
        </w:rPr>
        <w:t xml:space="preserve"> Date: 20/04/</w:t>
      </w:r>
      <w:r w:rsidRPr="009C2583">
        <w:rPr>
          <w:b w:val="0"/>
          <w:bCs/>
          <w:color w:val="auto"/>
          <w:sz w:val="24"/>
          <w:szCs w:val="20"/>
          <w:lang w:val="en-GB"/>
        </w:rPr>
        <w:t>2026).</w:t>
      </w:r>
    </w:p>
    <w:p w14:paraId="5696DB96" w14:textId="09342D81"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Donaldson, T. and Preston, L.E. (1995) ‘The stakeholder theory of the corporation’, </w:t>
      </w:r>
      <w:r w:rsidRPr="009C2583">
        <w:rPr>
          <w:b w:val="0"/>
          <w:bCs/>
          <w:i/>
          <w:iCs/>
          <w:color w:val="auto"/>
          <w:sz w:val="24"/>
          <w:szCs w:val="20"/>
          <w:lang w:val="en-GB"/>
        </w:rPr>
        <w:t>Academy of Management Review</w:t>
      </w:r>
      <w:r w:rsidRPr="009C2583">
        <w:rPr>
          <w:b w:val="0"/>
          <w:bCs/>
          <w:color w:val="auto"/>
          <w:sz w:val="24"/>
          <w:szCs w:val="20"/>
          <w:lang w:val="en-GB"/>
        </w:rPr>
        <w:t xml:space="preserve">, 20(1), pp. 65–91. Available at: </w:t>
      </w:r>
      <w:hyperlink r:id="rId17" w:tgtFrame="_new" w:history="1">
        <w:r w:rsidRPr="009C2583">
          <w:rPr>
            <w:rStyle w:val="Hyperlink"/>
            <w:b w:val="0"/>
            <w:bCs/>
            <w:color w:val="auto"/>
            <w:sz w:val="24"/>
            <w:szCs w:val="20"/>
            <w:lang w:val="en-GB"/>
          </w:rPr>
          <w:t>https://www.jstor.org/stable/258887</w:t>
        </w:r>
      </w:hyperlink>
      <w:r w:rsidRPr="009C2583">
        <w:rPr>
          <w:b w:val="0"/>
          <w:bCs/>
          <w:color w:val="auto"/>
          <w:sz w:val="24"/>
          <w:szCs w:val="20"/>
          <w:lang w:val="en-GB"/>
        </w:rPr>
        <w:t xml:space="preserve"> (Accessed</w:t>
      </w:r>
      <w:r>
        <w:rPr>
          <w:b w:val="0"/>
          <w:bCs/>
          <w:color w:val="auto"/>
          <w:sz w:val="24"/>
          <w:szCs w:val="20"/>
          <w:lang w:val="en-GB"/>
        </w:rPr>
        <w:t xml:space="preserve"> Date: 20/04/</w:t>
      </w:r>
      <w:r w:rsidRPr="009C2583">
        <w:rPr>
          <w:b w:val="0"/>
          <w:bCs/>
          <w:color w:val="auto"/>
          <w:sz w:val="24"/>
          <w:szCs w:val="20"/>
          <w:lang w:val="en-GB"/>
        </w:rPr>
        <w:t>2026).</w:t>
      </w:r>
    </w:p>
    <w:p w14:paraId="7472F3D0" w14:textId="36F0CF9D" w:rsidR="009C2583" w:rsidRPr="009C2583" w:rsidRDefault="009C2583" w:rsidP="009C2583">
      <w:pPr>
        <w:tabs>
          <w:tab w:val="left" w:pos="2674"/>
        </w:tabs>
        <w:rPr>
          <w:b w:val="0"/>
          <w:bCs/>
          <w:color w:val="auto"/>
          <w:sz w:val="24"/>
          <w:szCs w:val="20"/>
        </w:rPr>
      </w:pPr>
      <w:r w:rsidRPr="009C2583">
        <w:rPr>
          <w:b w:val="0"/>
          <w:bCs/>
          <w:color w:val="auto"/>
          <w:sz w:val="24"/>
          <w:szCs w:val="20"/>
          <w:lang w:val="en-GB"/>
        </w:rPr>
        <w:t xml:space="preserve">Dwivedi, Y.K. et al. (2021) ‘Artificial intelligence (AI): Multidisciplinary perspectives’, </w:t>
      </w:r>
      <w:r w:rsidRPr="009C2583">
        <w:rPr>
          <w:b w:val="0"/>
          <w:bCs/>
          <w:i/>
          <w:iCs/>
          <w:color w:val="auto"/>
          <w:sz w:val="24"/>
          <w:szCs w:val="20"/>
          <w:lang w:val="en-GB"/>
        </w:rPr>
        <w:t>International Journal of Information Management</w:t>
      </w:r>
      <w:r w:rsidRPr="009C2583">
        <w:rPr>
          <w:b w:val="0"/>
          <w:bCs/>
          <w:color w:val="auto"/>
          <w:sz w:val="24"/>
          <w:szCs w:val="20"/>
          <w:lang w:val="en-GB"/>
        </w:rPr>
        <w:t xml:space="preserve">, 57. Available at: </w:t>
      </w:r>
      <w:hyperlink r:id="rId18" w:tgtFrame="_new" w:history="1">
        <w:r w:rsidRPr="009C2583">
          <w:rPr>
            <w:rStyle w:val="Hyperlink"/>
            <w:b w:val="0"/>
            <w:bCs/>
            <w:color w:val="auto"/>
            <w:sz w:val="24"/>
            <w:szCs w:val="20"/>
            <w:lang w:val="en-GB"/>
          </w:rPr>
          <w:t>https://doi.org/10.1016/j.ijinfomgt.2019.08.002</w:t>
        </w:r>
      </w:hyperlink>
      <w:r w:rsidRPr="009C2583">
        <w:rPr>
          <w:b w:val="0"/>
          <w:bCs/>
          <w:color w:val="auto"/>
          <w:sz w:val="24"/>
          <w:szCs w:val="20"/>
          <w:lang w:val="en-GB"/>
        </w:rPr>
        <w:t xml:space="preserve"> (Accessed</w:t>
      </w:r>
      <w:r>
        <w:rPr>
          <w:b w:val="0"/>
          <w:bCs/>
          <w:color w:val="auto"/>
          <w:sz w:val="24"/>
          <w:szCs w:val="20"/>
          <w:lang w:val="en-GB"/>
        </w:rPr>
        <w:t xml:space="preserve"> Date: 21/04/</w:t>
      </w:r>
      <w:r w:rsidRPr="009C2583">
        <w:rPr>
          <w:b w:val="0"/>
          <w:bCs/>
          <w:color w:val="auto"/>
          <w:sz w:val="24"/>
          <w:szCs w:val="20"/>
          <w:lang w:val="en-GB"/>
        </w:rPr>
        <w:t>2026).</w:t>
      </w:r>
    </w:p>
    <w:p w14:paraId="79006919" w14:textId="026B190D"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Earley, P.C. and Ang, S. (2003) </w:t>
      </w:r>
      <w:r w:rsidRPr="009C2583">
        <w:rPr>
          <w:b w:val="0"/>
          <w:bCs/>
          <w:i/>
          <w:iCs/>
          <w:color w:val="auto"/>
          <w:sz w:val="24"/>
          <w:szCs w:val="20"/>
          <w:lang w:val="en-GB"/>
        </w:rPr>
        <w:t>Cultural Intelligence</w:t>
      </w:r>
      <w:r w:rsidRPr="009C2583">
        <w:rPr>
          <w:b w:val="0"/>
          <w:bCs/>
          <w:color w:val="auto"/>
          <w:sz w:val="24"/>
          <w:szCs w:val="20"/>
          <w:lang w:val="en-GB"/>
        </w:rPr>
        <w:t xml:space="preserve">. Stanford: Stanford University Press. Available at: </w:t>
      </w:r>
      <w:hyperlink r:id="rId19" w:anchor="v=onepage&amp;q=Earley%2C%20P.C.%20and%20Ang%2C%20S.%20(2003)%20Cultural%20Intelligence.%20Stanford%3A%20Stanford%20University%20Press&amp;f=false" w:history="1">
        <w:r w:rsidR="00CF37B8" w:rsidRPr="00CF37B8">
          <w:rPr>
            <w:rStyle w:val="Hyperlink"/>
            <w:bCs/>
            <w:sz w:val="24"/>
            <w:szCs w:val="20"/>
          </w:rPr>
          <w:t>Cultural Intelligence: Individual Interactions Across Cultures - P. Christopher Earley, Soon Ang - Google Books</w:t>
        </w:r>
      </w:hyperlink>
      <w:r w:rsidRPr="009C2583">
        <w:rPr>
          <w:b w:val="0"/>
          <w:bCs/>
          <w:color w:val="auto"/>
          <w:sz w:val="24"/>
          <w:szCs w:val="20"/>
          <w:lang w:val="en-GB"/>
        </w:rPr>
        <w:t xml:space="preserve"> (Accessed</w:t>
      </w:r>
      <w:r>
        <w:rPr>
          <w:b w:val="0"/>
          <w:bCs/>
          <w:color w:val="auto"/>
          <w:sz w:val="24"/>
          <w:szCs w:val="20"/>
          <w:lang w:val="en-GB"/>
        </w:rPr>
        <w:t xml:space="preserve"> Date: 21/04/</w:t>
      </w:r>
      <w:r w:rsidRPr="009C2583">
        <w:rPr>
          <w:b w:val="0"/>
          <w:bCs/>
          <w:color w:val="auto"/>
          <w:sz w:val="24"/>
          <w:szCs w:val="20"/>
          <w:lang w:val="en-GB"/>
        </w:rPr>
        <w:t>2026).</w:t>
      </w:r>
    </w:p>
    <w:p w14:paraId="1FCCCBB6" w14:textId="3026BF69"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lastRenderedPageBreak/>
        <w:t xml:space="preserve">Edelman (2024) </w:t>
      </w:r>
      <w:r w:rsidRPr="009C2583">
        <w:rPr>
          <w:b w:val="0"/>
          <w:bCs/>
          <w:i/>
          <w:iCs/>
          <w:color w:val="auto"/>
          <w:sz w:val="24"/>
          <w:szCs w:val="20"/>
          <w:lang w:val="en-GB"/>
        </w:rPr>
        <w:t>Edelman Trust Barometer</w:t>
      </w:r>
      <w:r w:rsidRPr="009C2583">
        <w:rPr>
          <w:b w:val="0"/>
          <w:bCs/>
          <w:color w:val="auto"/>
          <w:sz w:val="24"/>
          <w:szCs w:val="20"/>
          <w:lang w:val="en-GB"/>
        </w:rPr>
        <w:t xml:space="preserve">. Available at: </w:t>
      </w:r>
      <w:hyperlink r:id="rId20" w:tgtFrame="_new" w:history="1">
        <w:r w:rsidRPr="009C2583">
          <w:rPr>
            <w:rStyle w:val="Hyperlink"/>
            <w:b w:val="0"/>
            <w:bCs/>
            <w:color w:val="auto"/>
            <w:sz w:val="24"/>
            <w:szCs w:val="20"/>
            <w:lang w:val="en-GB"/>
          </w:rPr>
          <w:t>https://www.edelman.com/trust</w:t>
        </w:r>
      </w:hyperlink>
      <w:r w:rsidRPr="009C2583">
        <w:rPr>
          <w:b w:val="0"/>
          <w:bCs/>
          <w:color w:val="auto"/>
          <w:sz w:val="24"/>
          <w:szCs w:val="20"/>
          <w:lang w:val="en-GB"/>
        </w:rPr>
        <w:t xml:space="preserve"> (Accessed</w:t>
      </w:r>
      <w:r>
        <w:rPr>
          <w:b w:val="0"/>
          <w:bCs/>
          <w:color w:val="auto"/>
          <w:sz w:val="24"/>
          <w:szCs w:val="20"/>
          <w:lang w:val="en-GB"/>
        </w:rPr>
        <w:t xml:space="preserve"> Date: </w:t>
      </w:r>
      <w:r w:rsidRPr="009C2583">
        <w:rPr>
          <w:b w:val="0"/>
          <w:bCs/>
          <w:color w:val="auto"/>
          <w:sz w:val="24"/>
          <w:szCs w:val="20"/>
          <w:lang w:val="en-GB"/>
        </w:rPr>
        <w:t>27</w:t>
      </w:r>
      <w:r>
        <w:rPr>
          <w:b w:val="0"/>
          <w:bCs/>
          <w:color w:val="auto"/>
          <w:sz w:val="24"/>
          <w:szCs w:val="20"/>
          <w:lang w:val="en-GB"/>
        </w:rPr>
        <w:t>/04/</w:t>
      </w:r>
      <w:r w:rsidRPr="009C2583">
        <w:rPr>
          <w:b w:val="0"/>
          <w:bCs/>
          <w:color w:val="auto"/>
          <w:sz w:val="24"/>
          <w:szCs w:val="20"/>
          <w:lang w:val="en-GB"/>
        </w:rPr>
        <w:t>2026).</w:t>
      </w:r>
    </w:p>
    <w:p w14:paraId="0EAFC0B0" w14:textId="01879A12"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Edwards, L. (2022) ‘Regulating AI in Europe’, </w:t>
      </w:r>
      <w:r w:rsidRPr="009C2583">
        <w:rPr>
          <w:b w:val="0"/>
          <w:bCs/>
          <w:i/>
          <w:iCs/>
          <w:color w:val="auto"/>
          <w:sz w:val="24"/>
          <w:szCs w:val="20"/>
          <w:lang w:val="en-GB"/>
        </w:rPr>
        <w:t>European Journal of Law and Technology</w:t>
      </w:r>
      <w:r w:rsidRPr="009C2583">
        <w:rPr>
          <w:b w:val="0"/>
          <w:bCs/>
          <w:color w:val="auto"/>
          <w:sz w:val="24"/>
          <w:szCs w:val="20"/>
          <w:lang w:val="en-GB"/>
        </w:rPr>
        <w:t xml:space="preserve">. Available at: </w:t>
      </w:r>
      <w:hyperlink r:id="rId21" w:tgtFrame="_new" w:history="1">
        <w:r w:rsidRPr="009C2583">
          <w:rPr>
            <w:rStyle w:val="Hyperlink"/>
            <w:b w:val="0"/>
            <w:bCs/>
            <w:color w:val="auto"/>
            <w:sz w:val="24"/>
            <w:szCs w:val="20"/>
            <w:lang w:val="en-GB"/>
          </w:rPr>
          <w:t>https://ejlt.org</w:t>
        </w:r>
      </w:hyperlink>
      <w:r w:rsidRPr="009C2583">
        <w:rPr>
          <w:b w:val="0"/>
          <w:bCs/>
          <w:color w:val="auto"/>
          <w:sz w:val="24"/>
          <w:szCs w:val="20"/>
          <w:lang w:val="en-GB"/>
        </w:rPr>
        <w:t xml:space="preserve"> (Accessed</w:t>
      </w:r>
      <w:r>
        <w:rPr>
          <w:b w:val="0"/>
          <w:bCs/>
          <w:color w:val="auto"/>
          <w:sz w:val="24"/>
          <w:szCs w:val="20"/>
          <w:lang w:val="en-GB"/>
        </w:rPr>
        <w:t xml:space="preserve"> Date:</w:t>
      </w:r>
      <w:r w:rsidRPr="009C2583">
        <w:rPr>
          <w:b w:val="0"/>
          <w:bCs/>
          <w:color w:val="auto"/>
          <w:sz w:val="24"/>
          <w:szCs w:val="20"/>
          <w:lang w:val="en-GB"/>
        </w:rPr>
        <w:t xml:space="preserve"> 27 April 2026).</w:t>
      </w:r>
    </w:p>
    <w:p w14:paraId="077FE2ED" w14:textId="6FEDE7DA"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European Commission (2024) </w:t>
      </w:r>
      <w:r w:rsidRPr="009C2583">
        <w:rPr>
          <w:b w:val="0"/>
          <w:bCs/>
          <w:i/>
          <w:iCs/>
          <w:color w:val="auto"/>
          <w:sz w:val="24"/>
          <w:szCs w:val="20"/>
          <w:lang w:val="en-GB"/>
        </w:rPr>
        <w:t>EU Artificial Intelligence Act</w:t>
      </w:r>
      <w:r w:rsidRPr="009C2583">
        <w:rPr>
          <w:b w:val="0"/>
          <w:bCs/>
          <w:color w:val="auto"/>
          <w:sz w:val="24"/>
          <w:szCs w:val="20"/>
          <w:lang w:val="en-GB"/>
        </w:rPr>
        <w:t xml:space="preserve">. Available at: </w:t>
      </w:r>
      <w:hyperlink r:id="rId22" w:tgtFrame="_new" w:history="1">
        <w:r w:rsidRPr="009C2583">
          <w:rPr>
            <w:rStyle w:val="Hyperlink"/>
            <w:b w:val="0"/>
            <w:bCs/>
            <w:color w:val="auto"/>
            <w:sz w:val="24"/>
            <w:szCs w:val="20"/>
            <w:lang w:val="en-GB"/>
          </w:rPr>
          <w:t>https://digital-strategy.ec.europa.eu/en/policies/european-approach-artificial-intelligence</w:t>
        </w:r>
      </w:hyperlink>
      <w:r w:rsidRPr="009C2583">
        <w:rPr>
          <w:b w:val="0"/>
          <w:bCs/>
          <w:color w:val="auto"/>
          <w:sz w:val="24"/>
          <w:szCs w:val="20"/>
          <w:lang w:val="en-GB"/>
        </w:rPr>
        <w:t xml:space="preserve"> (Accessed</w:t>
      </w:r>
      <w:r>
        <w:rPr>
          <w:b w:val="0"/>
          <w:bCs/>
          <w:color w:val="auto"/>
          <w:sz w:val="24"/>
          <w:szCs w:val="20"/>
          <w:lang w:val="en-GB"/>
        </w:rPr>
        <w:t xml:space="preserve"> Date: 01/04/</w:t>
      </w:r>
      <w:r w:rsidRPr="009C2583">
        <w:rPr>
          <w:b w:val="0"/>
          <w:bCs/>
          <w:color w:val="auto"/>
          <w:sz w:val="24"/>
          <w:szCs w:val="20"/>
          <w:lang w:val="en-GB"/>
        </w:rPr>
        <w:t>2026).</w:t>
      </w:r>
    </w:p>
    <w:p w14:paraId="50316069" w14:textId="586434A1"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Floridi, L. et al. (2018) ‘AI4People—An ethical framework’, </w:t>
      </w:r>
      <w:r w:rsidRPr="009C2583">
        <w:rPr>
          <w:b w:val="0"/>
          <w:bCs/>
          <w:i/>
          <w:iCs/>
          <w:color w:val="auto"/>
          <w:sz w:val="24"/>
          <w:szCs w:val="20"/>
          <w:lang w:val="en-GB"/>
        </w:rPr>
        <w:t>Minds and Machines</w:t>
      </w:r>
      <w:r w:rsidRPr="009C2583">
        <w:rPr>
          <w:b w:val="0"/>
          <w:bCs/>
          <w:color w:val="auto"/>
          <w:sz w:val="24"/>
          <w:szCs w:val="20"/>
          <w:lang w:val="en-GB"/>
        </w:rPr>
        <w:t xml:space="preserve">, 28(4), pp. 689–707. Available at: </w:t>
      </w:r>
      <w:hyperlink r:id="rId23" w:tgtFrame="_new" w:history="1">
        <w:r w:rsidRPr="009C2583">
          <w:rPr>
            <w:rStyle w:val="Hyperlink"/>
            <w:b w:val="0"/>
            <w:bCs/>
            <w:color w:val="auto"/>
            <w:sz w:val="24"/>
            <w:szCs w:val="20"/>
            <w:lang w:val="en-GB"/>
          </w:rPr>
          <w:t>https://link.springer.com/article/10.1007/s11023-018-9482-5</w:t>
        </w:r>
      </w:hyperlink>
      <w:r w:rsidRPr="009C2583">
        <w:rPr>
          <w:b w:val="0"/>
          <w:bCs/>
          <w:color w:val="auto"/>
          <w:sz w:val="24"/>
          <w:szCs w:val="20"/>
          <w:lang w:val="en-GB"/>
        </w:rPr>
        <w:t xml:space="preserve"> (Accessed</w:t>
      </w:r>
      <w:r>
        <w:rPr>
          <w:b w:val="0"/>
          <w:bCs/>
          <w:color w:val="auto"/>
          <w:sz w:val="24"/>
          <w:szCs w:val="20"/>
          <w:lang w:val="en-GB"/>
        </w:rPr>
        <w:t xml:space="preserve"> Date: 04/04/</w:t>
      </w:r>
      <w:r w:rsidRPr="009C2583">
        <w:rPr>
          <w:b w:val="0"/>
          <w:bCs/>
          <w:color w:val="auto"/>
          <w:sz w:val="24"/>
          <w:szCs w:val="20"/>
          <w:lang w:val="en-GB"/>
        </w:rPr>
        <w:t>2026).</w:t>
      </w:r>
    </w:p>
    <w:p w14:paraId="114C6C79" w14:textId="4FC02B98"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Freeman, R.E. (1984) </w:t>
      </w:r>
      <w:r w:rsidRPr="009C2583">
        <w:rPr>
          <w:b w:val="0"/>
          <w:bCs/>
          <w:i/>
          <w:iCs/>
          <w:color w:val="auto"/>
          <w:sz w:val="24"/>
          <w:szCs w:val="20"/>
          <w:lang w:val="en-GB"/>
        </w:rPr>
        <w:t>Strategic Management: A Stakeholder Approach</w:t>
      </w:r>
      <w:r w:rsidRPr="009C2583">
        <w:rPr>
          <w:b w:val="0"/>
          <w:bCs/>
          <w:color w:val="auto"/>
          <w:sz w:val="24"/>
          <w:szCs w:val="20"/>
          <w:lang w:val="en-GB"/>
        </w:rPr>
        <w:t xml:space="preserve">. Boston: Pitman. Available at: </w:t>
      </w:r>
      <w:hyperlink r:id="rId24" w:anchor="v=onepage&amp;q&amp;f=false" w:history="1">
        <w:r w:rsidR="00CF37B8" w:rsidRPr="00CF37B8">
          <w:rPr>
            <w:rStyle w:val="Hyperlink"/>
            <w:bCs/>
            <w:sz w:val="24"/>
            <w:szCs w:val="20"/>
          </w:rPr>
          <w:t>Strategic Management: A Stakeholder Approach - R. Edward Freeman - Google Books</w:t>
        </w:r>
      </w:hyperlink>
      <w:r w:rsidRPr="009C2583">
        <w:rPr>
          <w:b w:val="0"/>
          <w:bCs/>
          <w:color w:val="auto"/>
          <w:sz w:val="24"/>
          <w:szCs w:val="20"/>
          <w:lang w:val="en-GB"/>
        </w:rPr>
        <w:t xml:space="preserve"> (Accessed</w:t>
      </w:r>
      <w:r>
        <w:rPr>
          <w:b w:val="0"/>
          <w:bCs/>
          <w:color w:val="auto"/>
          <w:sz w:val="24"/>
          <w:szCs w:val="20"/>
          <w:lang w:val="en-GB"/>
        </w:rPr>
        <w:t xml:space="preserve"> Date: 10/04/</w:t>
      </w:r>
      <w:r w:rsidRPr="009C2583">
        <w:rPr>
          <w:b w:val="0"/>
          <w:bCs/>
          <w:color w:val="auto"/>
          <w:sz w:val="24"/>
          <w:szCs w:val="20"/>
          <w:lang w:val="en-GB"/>
        </w:rPr>
        <w:t>2026).</w:t>
      </w:r>
    </w:p>
    <w:p w14:paraId="3BEA06A5" w14:textId="5A1D07F0"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Frey, C.B. and Osborne, M.A. (2017) ‘The future of employment’, </w:t>
      </w:r>
      <w:r w:rsidRPr="009C2583">
        <w:rPr>
          <w:b w:val="0"/>
          <w:bCs/>
          <w:i/>
          <w:iCs/>
          <w:color w:val="auto"/>
          <w:sz w:val="24"/>
          <w:szCs w:val="20"/>
          <w:lang w:val="en-GB"/>
        </w:rPr>
        <w:t>Technological Forecasting and Social Change</w:t>
      </w:r>
      <w:r w:rsidRPr="009C2583">
        <w:rPr>
          <w:b w:val="0"/>
          <w:bCs/>
          <w:color w:val="auto"/>
          <w:sz w:val="24"/>
          <w:szCs w:val="20"/>
          <w:lang w:val="en-GB"/>
        </w:rPr>
        <w:t xml:space="preserve">, 114, pp. 254–280. Available at: </w:t>
      </w:r>
      <w:hyperlink r:id="rId25" w:tgtFrame="_new" w:history="1">
        <w:r w:rsidRPr="009C2583">
          <w:rPr>
            <w:rStyle w:val="Hyperlink"/>
            <w:b w:val="0"/>
            <w:bCs/>
            <w:color w:val="auto"/>
            <w:sz w:val="24"/>
            <w:szCs w:val="20"/>
            <w:lang w:val="en-GB"/>
          </w:rPr>
          <w:t>https://doi.org/10.1016/j.techfore.2016.08.019</w:t>
        </w:r>
      </w:hyperlink>
      <w:r w:rsidRPr="009C2583">
        <w:rPr>
          <w:b w:val="0"/>
          <w:bCs/>
          <w:color w:val="auto"/>
          <w:sz w:val="24"/>
          <w:szCs w:val="20"/>
          <w:lang w:val="en-GB"/>
        </w:rPr>
        <w:t xml:space="preserve"> (Accessed</w:t>
      </w:r>
      <w:r>
        <w:rPr>
          <w:b w:val="0"/>
          <w:bCs/>
          <w:color w:val="auto"/>
          <w:sz w:val="24"/>
          <w:szCs w:val="20"/>
          <w:lang w:val="en-GB"/>
        </w:rPr>
        <w:t xml:space="preserve"> Date: 21/04/2026</w:t>
      </w:r>
      <w:r w:rsidRPr="009C2583">
        <w:rPr>
          <w:b w:val="0"/>
          <w:bCs/>
          <w:color w:val="auto"/>
          <w:sz w:val="24"/>
          <w:szCs w:val="20"/>
          <w:lang w:val="en-GB"/>
        </w:rPr>
        <w:t>).</w:t>
      </w:r>
    </w:p>
    <w:p w14:paraId="1C0DB39F" w14:textId="71709E0F"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Gillespie, T. (2018) </w:t>
      </w:r>
      <w:r w:rsidRPr="009C2583">
        <w:rPr>
          <w:b w:val="0"/>
          <w:bCs/>
          <w:i/>
          <w:iCs/>
          <w:color w:val="auto"/>
          <w:sz w:val="24"/>
          <w:szCs w:val="20"/>
          <w:lang w:val="en-GB"/>
        </w:rPr>
        <w:t>Custodians of the Internet</w:t>
      </w:r>
      <w:r w:rsidRPr="009C2583">
        <w:rPr>
          <w:b w:val="0"/>
          <w:bCs/>
          <w:color w:val="auto"/>
          <w:sz w:val="24"/>
          <w:szCs w:val="20"/>
          <w:lang w:val="en-GB"/>
        </w:rPr>
        <w:t xml:space="preserve">. New Haven: Yale University Press. Available at: </w:t>
      </w:r>
      <w:hyperlink r:id="rId26" w:anchor="v=onepage&amp;q=Gillespie%2C%20T.%20(2018)%20Custodians%20of%20the%20Internet.&amp;f=false" w:history="1">
        <w:r w:rsidR="00CF37B8" w:rsidRPr="00CF37B8">
          <w:rPr>
            <w:rStyle w:val="Hyperlink"/>
            <w:bCs/>
            <w:sz w:val="24"/>
            <w:szCs w:val="20"/>
          </w:rPr>
          <w:t>Custodians of the Internet: Platforms, Content Moderation, and the Hidden ... - Tarleton Gillespie - Google Books</w:t>
        </w:r>
      </w:hyperlink>
      <w:r w:rsidRPr="009C2583">
        <w:rPr>
          <w:b w:val="0"/>
          <w:bCs/>
          <w:color w:val="auto"/>
          <w:sz w:val="24"/>
          <w:szCs w:val="20"/>
          <w:lang w:val="en-GB"/>
        </w:rPr>
        <w:t xml:space="preserve"> (Accessed</w:t>
      </w:r>
      <w:r w:rsidR="00CF37B8">
        <w:rPr>
          <w:b w:val="0"/>
          <w:bCs/>
          <w:color w:val="auto"/>
          <w:sz w:val="24"/>
          <w:szCs w:val="20"/>
          <w:lang w:val="en-GB"/>
        </w:rPr>
        <w:t xml:space="preserve"> Date: </w:t>
      </w:r>
      <w:r w:rsidRPr="009C2583">
        <w:rPr>
          <w:b w:val="0"/>
          <w:bCs/>
          <w:color w:val="auto"/>
          <w:sz w:val="24"/>
          <w:szCs w:val="20"/>
          <w:lang w:val="en-GB"/>
        </w:rPr>
        <w:t>27</w:t>
      </w:r>
      <w:r w:rsidR="00CF37B8">
        <w:rPr>
          <w:b w:val="0"/>
          <w:bCs/>
          <w:color w:val="auto"/>
          <w:sz w:val="24"/>
          <w:szCs w:val="20"/>
          <w:lang w:val="en-GB"/>
        </w:rPr>
        <w:t>/04/</w:t>
      </w:r>
      <w:r w:rsidRPr="009C2583">
        <w:rPr>
          <w:b w:val="0"/>
          <w:bCs/>
          <w:color w:val="auto"/>
          <w:sz w:val="24"/>
          <w:szCs w:val="20"/>
          <w:lang w:val="en-GB"/>
        </w:rPr>
        <w:t>2026).</w:t>
      </w:r>
    </w:p>
    <w:p w14:paraId="54B09FC5" w14:textId="323C495D"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Helbing, D. et al. (2015) ‘Dynamics of crowd disasters’, </w:t>
      </w:r>
      <w:r w:rsidRPr="009C2583">
        <w:rPr>
          <w:b w:val="0"/>
          <w:bCs/>
          <w:i/>
          <w:iCs/>
          <w:color w:val="auto"/>
          <w:sz w:val="24"/>
          <w:szCs w:val="20"/>
          <w:lang w:val="en-GB"/>
        </w:rPr>
        <w:t>Physical Review E</w:t>
      </w:r>
      <w:r w:rsidRPr="009C2583">
        <w:rPr>
          <w:b w:val="0"/>
          <w:bCs/>
          <w:color w:val="auto"/>
          <w:sz w:val="24"/>
          <w:szCs w:val="20"/>
          <w:lang w:val="en-GB"/>
        </w:rPr>
        <w:t xml:space="preserve">. Available at: </w:t>
      </w:r>
      <w:hyperlink r:id="rId27" w:tgtFrame="_new" w:history="1">
        <w:r w:rsidRPr="009C2583">
          <w:rPr>
            <w:rStyle w:val="Hyperlink"/>
            <w:b w:val="0"/>
            <w:bCs/>
            <w:color w:val="auto"/>
            <w:sz w:val="24"/>
            <w:szCs w:val="20"/>
            <w:lang w:val="en-GB"/>
          </w:rPr>
          <w:t>https://journals.aps.org</w:t>
        </w:r>
      </w:hyperlink>
      <w:r w:rsidRPr="009C2583">
        <w:rPr>
          <w:b w:val="0"/>
          <w:bCs/>
          <w:color w:val="auto"/>
          <w:sz w:val="24"/>
          <w:szCs w:val="20"/>
          <w:lang w:val="en-GB"/>
        </w:rPr>
        <w:t xml:space="preserve"> (Accessed</w:t>
      </w:r>
      <w:r w:rsidR="00CF37B8">
        <w:rPr>
          <w:b w:val="0"/>
          <w:bCs/>
          <w:color w:val="auto"/>
          <w:sz w:val="24"/>
          <w:szCs w:val="20"/>
          <w:lang w:val="en-GB"/>
        </w:rPr>
        <w:t xml:space="preserve"> Date: 27/04/</w:t>
      </w:r>
      <w:r w:rsidRPr="009C2583">
        <w:rPr>
          <w:b w:val="0"/>
          <w:bCs/>
          <w:color w:val="auto"/>
          <w:sz w:val="24"/>
          <w:szCs w:val="20"/>
          <w:lang w:val="en-GB"/>
        </w:rPr>
        <w:t xml:space="preserve"> 2026).</w:t>
      </w:r>
    </w:p>
    <w:p w14:paraId="16EE2D93" w14:textId="77777777"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Huang, M.H. and Rust, R.T. (2021) ‘Artificial intelligence in service’, </w:t>
      </w:r>
      <w:r w:rsidRPr="009C2583">
        <w:rPr>
          <w:b w:val="0"/>
          <w:bCs/>
          <w:i/>
          <w:iCs/>
          <w:color w:val="auto"/>
          <w:sz w:val="24"/>
          <w:szCs w:val="20"/>
          <w:lang w:val="en-GB"/>
        </w:rPr>
        <w:t>Journal of Service Research</w:t>
      </w:r>
      <w:r w:rsidRPr="009C2583">
        <w:rPr>
          <w:b w:val="0"/>
          <w:bCs/>
          <w:color w:val="auto"/>
          <w:sz w:val="24"/>
          <w:szCs w:val="20"/>
          <w:lang w:val="en-GB"/>
        </w:rPr>
        <w:t xml:space="preserve">. Available at: </w:t>
      </w:r>
      <w:hyperlink r:id="rId28" w:tgtFrame="_new" w:history="1">
        <w:r w:rsidRPr="009C2583">
          <w:rPr>
            <w:rStyle w:val="Hyperlink"/>
            <w:b w:val="0"/>
            <w:bCs/>
            <w:color w:val="auto"/>
            <w:sz w:val="24"/>
            <w:szCs w:val="20"/>
            <w:lang w:val="en-GB"/>
          </w:rPr>
          <w:t>https://journals.sagepub.com</w:t>
        </w:r>
      </w:hyperlink>
      <w:r w:rsidRPr="009C2583">
        <w:rPr>
          <w:b w:val="0"/>
          <w:bCs/>
          <w:color w:val="auto"/>
          <w:sz w:val="24"/>
          <w:szCs w:val="20"/>
          <w:lang w:val="en-GB"/>
        </w:rPr>
        <w:t xml:space="preserve"> (Accessed: 27 April 2026).</w:t>
      </w:r>
    </w:p>
    <w:p w14:paraId="4A570E2F" w14:textId="3FE551EE"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Jarrahi, M.H. (2018) ‘Artificial intelligence and the future of work’, </w:t>
      </w:r>
      <w:r w:rsidRPr="009C2583">
        <w:rPr>
          <w:b w:val="0"/>
          <w:bCs/>
          <w:i/>
          <w:iCs/>
          <w:color w:val="auto"/>
          <w:sz w:val="24"/>
          <w:szCs w:val="20"/>
          <w:lang w:val="en-GB"/>
        </w:rPr>
        <w:t>Business Horizons</w:t>
      </w:r>
      <w:r w:rsidRPr="009C2583">
        <w:rPr>
          <w:b w:val="0"/>
          <w:bCs/>
          <w:color w:val="auto"/>
          <w:sz w:val="24"/>
          <w:szCs w:val="20"/>
          <w:lang w:val="en-GB"/>
        </w:rPr>
        <w:t xml:space="preserve">, 61(4), pp. 577–586. Available at: </w:t>
      </w:r>
      <w:hyperlink r:id="rId29" w:tgtFrame="_new" w:history="1">
        <w:r w:rsidRPr="009C2583">
          <w:rPr>
            <w:rStyle w:val="Hyperlink"/>
            <w:b w:val="0"/>
            <w:bCs/>
            <w:color w:val="auto"/>
            <w:sz w:val="24"/>
            <w:szCs w:val="20"/>
            <w:lang w:val="en-GB"/>
          </w:rPr>
          <w:t>https://doi.org/10.1016/j.bushor.2018.03.007</w:t>
        </w:r>
      </w:hyperlink>
      <w:r w:rsidRPr="009C2583">
        <w:rPr>
          <w:b w:val="0"/>
          <w:bCs/>
          <w:color w:val="auto"/>
          <w:sz w:val="24"/>
          <w:szCs w:val="20"/>
          <w:lang w:val="en-GB"/>
        </w:rPr>
        <w:t xml:space="preserve"> (Accessed</w:t>
      </w:r>
      <w:r w:rsidR="00CF37B8">
        <w:rPr>
          <w:b w:val="0"/>
          <w:bCs/>
          <w:color w:val="auto"/>
          <w:sz w:val="24"/>
          <w:szCs w:val="20"/>
          <w:lang w:val="en-GB"/>
        </w:rPr>
        <w:t xml:space="preserve"> Date: 21/04/</w:t>
      </w:r>
      <w:r w:rsidRPr="009C2583">
        <w:rPr>
          <w:b w:val="0"/>
          <w:bCs/>
          <w:color w:val="auto"/>
          <w:sz w:val="24"/>
          <w:szCs w:val="20"/>
          <w:lang w:val="en-GB"/>
        </w:rPr>
        <w:t>2026).</w:t>
      </w:r>
    </w:p>
    <w:p w14:paraId="08C7FA3E" w14:textId="77777777"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Johnson, G. et al. (2020) </w:t>
      </w:r>
      <w:r w:rsidRPr="009C2583">
        <w:rPr>
          <w:b w:val="0"/>
          <w:bCs/>
          <w:i/>
          <w:iCs/>
          <w:color w:val="auto"/>
          <w:sz w:val="24"/>
          <w:szCs w:val="20"/>
          <w:lang w:val="en-GB"/>
        </w:rPr>
        <w:t>Exploring Corporate Strategy</w:t>
      </w:r>
      <w:r w:rsidRPr="009C2583">
        <w:rPr>
          <w:b w:val="0"/>
          <w:bCs/>
          <w:color w:val="auto"/>
          <w:sz w:val="24"/>
          <w:szCs w:val="20"/>
          <w:lang w:val="en-GB"/>
        </w:rPr>
        <w:t>. 12th edn. Harlow: Pearson.</w:t>
      </w:r>
    </w:p>
    <w:p w14:paraId="7AD7D5D7" w14:textId="4F3367F3"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Kitchin, R. (2017) ‘Thinking critically about algorithms’, </w:t>
      </w:r>
      <w:r w:rsidRPr="009C2583">
        <w:rPr>
          <w:b w:val="0"/>
          <w:bCs/>
          <w:i/>
          <w:iCs/>
          <w:color w:val="auto"/>
          <w:sz w:val="24"/>
          <w:szCs w:val="20"/>
          <w:lang w:val="en-GB"/>
        </w:rPr>
        <w:t>Information, Communication &amp; Society</w:t>
      </w:r>
      <w:r w:rsidRPr="009C2583">
        <w:rPr>
          <w:b w:val="0"/>
          <w:bCs/>
          <w:color w:val="auto"/>
          <w:sz w:val="24"/>
          <w:szCs w:val="20"/>
          <w:lang w:val="en-GB"/>
        </w:rPr>
        <w:t xml:space="preserve">, 20(1), pp. 14–29. Available at: </w:t>
      </w:r>
      <w:hyperlink r:id="rId30" w:tgtFrame="_new" w:history="1">
        <w:r w:rsidRPr="009C2583">
          <w:rPr>
            <w:rStyle w:val="Hyperlink"/>
            <w:b w:val="0"/>
            <w:bCs/>
            <w:color w:val="auto"/>
            <w:sz w:val="24"/>
            <w:szCs w:val="20"/>
            <w:lang w:val="en-GB"/>
          </w:rPr>
          <w:t>https://doi.org/10.1080/1369118X.2016.1154087</w:t>
        </w:r>
      </w:hyperlink>
      <w:r w:rsidRPr="009C2583">
        <w:rPr>
          <w:b w:val="0"/>
          <w:bCs/>
          <w:color w:val="auto"/>
          <w:sz w:val="24"/>
          <w:szCs w:val="20"/>
          <w:lang w:val="en-GB"/>
        </w:rPr>
        <w:t xml:space="preserve"> (Accessed</w:t>
      </w:r>
      <w:r w:rsidR="00CF37B8">
        <w:rPr>
          <w:b w:val="0"/>
          <w:bCs/>
          <w:color w:val="auto"/>
          <w:sz w:val="24"/>
          <w:szCs w:val="20"/>
          <w:lang w:val="en-GB"/>
        </w:rPr>
        <w:t xml:space="preserve"> Date: 21/04/</w:t>
      </w:r>
      <w:r w:rsidRPr="009C2583">
        <w:rPr>
          <w:b w:val="0"/>
          <w:bCs/>
          <w:color w:val="auto"/>
          <w:sz w:val="24"/>
          <w:szCs w:val="20"/>
          <w:lang w:val="en-GB"/>
        </w:rPr>
        <w:t>2026).</w:t>
      </w:r>
    </w:p>
    <w:p w14:paraId="45339796" w14:textId="155AF925"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Kostova, T. and Roth, K. (2002) ‘Adoption of organisational practices’, </w:t>
      </w:r>
      <w:r w:rsidRPr="009C2583">
        <w:rPr>
          <w:b w:val="0"/>
          <w:bCs/>
          <w:i/>
          <w:iCs/>
          <w:color w:val="auto"/>
          <w:sz w:val="24"/>
          <w:szCs w:val="20"/>
          <w:lang w:val="en-GB"/>
        </w:rPr>
        <w:t>Academy of Management Journal</w:t>
      </w:r>
      <w:r w:rsidRPr="009C2583">
        <w:rPr>
          <w:b w:val="0"/>
          <w:bCs/>
          <w:color w:val="auto"/>
          <w:sz w:val="24"/>
          <w:szCs w:val="20"/>
          <w:lang w:val="en-GB"/>
        </w:rPr>
        <w:t>, 45(1), pp. 215–233. Available at: https://doi.org/10.5465/3069293 (Accessed</w:t>
      </w:r>
      <w:r w:rsidR="00CF37B8">
        <w:rPr>
          <w:b w:val="0"/>
          <w:bCs/>
          <w:color w:val="auto"/>
          <w:sz w:val="24"/>
          <w:szCs w:val="20"/>
          <w:lang w:val="en-GB"/>
        </w:rPr>
        <w:t xml:space="preserve"> Date: 11/04/</w:t>
      </w:r>
      <w:r w:rsidRPr="009C2583">
        <w:rPr>
          <w:b w:val="0"/>
          <w:bCs/>
          <w:color w:val="auto"/>
          <w:sz w:val="24"/>
          <w:szCs w:val="20"/>
          <w:lang w:val="en-GB"/>
        </w:rPr>
        <w:t>2026).</w:t>
      </w:r>
    </w:p>
    <w:p w14:paraId="674B2058" w14:textId="267BE571"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Luo, X. et al. (2019) ‘Machines vs humans’, </w:t>
      </w:r>
      <w:r w:rsidRPr="009C2583">
        <w:rPr>
          <w:b w:val="0"/>
          <w:bCs/>
          <w:i/>
          <w:iCs/>
          <w:color w:val="auto"/>
          <w:sz w:val="24"/>
          <w:szCs w:val="20"/>
          <w:lang w:val="en-GB"/>
        </w:rPr>
        <w:t>Marketing Science</w:t>
      </w:r>
      <w:r w:rsidRPr="009C2583">
        <w:rPr>
          <w:b w:val="0"/>
          <w:bCs/>
          <w:color w:val="auto"/>
          <w:sz w:val="24"/>
          <w:szCs w:val="20"/>
          <w:lang w:val="en-GB"/>
        </w:rPr>
        <w:t>, 38(6), pp. 937–947.</w:t>
      </w:r>
    </w:p>
    <w:p w14:paraId="4824BB6A" w14:textId="77777777"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Makadok, R. (2001) ‘Toward a synthesis of RBV’, </w:t>
      </w:r>
      <w:r w:rsidRPr="009C2583">
        <w:rPr>
          <w:b w:val="0"/>
          <w:bCs/>
          <w:i/>
          <w:iCs/>
          <w:color w:val="auto"/>
          <w:sz w:val="24"/>
          <w:szCs w:val="20"/>
          <w:lang w:val="en-GB"/>
        </w:rPr>
        <w:t>Strategic Management Journal</w:t>
      </w:r>
      <w:r w:rsidRPr="009C2583">
        <w:rPr>
          <w:b w:val="0"/>
          <w:bCs/>
          <w:color w:val="auto"/>
          <w:sz w:val="24"/>
          <w:szCs w:val="20"/>
          <w:lang w:val="en-GB"/>
        </w:rPr>
        <w:t xml:space="preserve">, 22(5), pp. 387–401. Available at: </w:t>
      </w:r>
      <w:hyperlink r:id="rId31" w:tgtFrame="_new" w:history="1">
        <w:r w:rsidRPr="009C2583">
          <w:rPr>
            <w:rStyle w:val="Hyperlink"/>
            <w:b w:val="0"/>
            <w:bCs/>
            <w:color w:val="auto"/>
            <w:sz w:val="24"/>
            <w:szCs w:val="20"/>
            <w:lang w:val="en-GB"/>
          </w:rPr>
          <w:t>https://doi.org/10.1002/smj.158</w:t>
        </w:r>
      </w:hyperlink>
      <w:r w:rsidRPr="009C2583">
        <w:rPr>
          <w:b w:val="0"/>
          <w:bCs/>
          <w:color w:val="auto"/>
          <w:sz w:val="24"/>
          <w:szCs w:val="20"/>
          <w:lang w:val="en-GB"/>
        </w:rPr>
        <w:t xml:space="preserve"> (Accessed: 27 April 2026).</w:t>
      </w:r>
    </w:p>
    <w:p w14:paraId="4436BD7B" w14:textId="1FC29AC7"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Martin, K. (2019) ‘Ethical implications of algorithms’, </w:t>
      </w:r>
      <w:r w:rsidRPr="009C2583">
        <w:rPr>
          <w:b w:val="0"/>
          <w:bCs/>
          <w:i/>
          <w:iCs/>
          <w:color w:val="auto"/>
          <w:sz w:val="24"/>
          <w:szCs w:val="20"/>
          <w:lang w:val="en-GB"/>
        </w:rPr>
        <w:t>Journal of Business Ethics</w:t>
      </w:r>
      <w:r w:rsidRPr="009C2583">
        <w:rPr>
          <w:b w:val="0"/>
          <w:bCs/>
          <w:color w:val="auto"/>
          <w:sz w:val="24"/>
          <w:szCs w:val="20"/>
          <w:lang w:val="en-GB"/>
        </w:rPr>
        <w:t>, 160(4), pp. 835–850. Available at: https://doi.org/10.1007/s10551-018-3942-4 (Accessed</w:t>
      </w:r>
      <w:r w:rsidR="00CF37B8">
        <w:rPr>
          <w:b w:val="0"/>
          <w:bCs/>
          <w:color w:val="auto"/>
          <w:sz w:val="24"/>
          <w:szCs w:val="20"/>
          <w:lang w:val="en-GB"/>
        </w:rPr>
        <w:t xml:space="preserve"> Date: 10/04/</w:t>
      </w:r>
      <w:r w:rsidRPr="009C2583">
        <w:rPr>
          <w:b w:val="0"/>
          <w:bCs/>
          <w:color w:val="auto"/>
          <w:sz w:val="24"/>
          <w:szCs w:val="20"/>
          <w:lang w:val="en-GB"/>
        </w:rPr>
        <w:t>2026).</w:t>
      </w:r>
    </w:p>
    <w:p w14:paraId="030FE7B6" w14:textId="73D2A8F5"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lastRenderedPageBreak/>
        <w:t xml:space="preserve">Milanovic, B. (2016) </w:t>
      </w:r>
      <w:r w:rsidRPr="009C2583">
        <w:rPr>
          <w:b w:val="0"/>
          <w:bCs/>
          <w:i/>
          <w:iCs/>
          <w:color w:val="auto"/>
          <w:sz w:val="24"/>
          <w:szCs w:val="20"/>
          <w:lang w:val="en-GB"/>
        </w:rPr>
        <w:t>Global Inequality</w:t>
      </w:r>
      <w:r w:rsidRPr="009C2583">
        <w:rPr>
          <w:b w:val="0"/>
          <w:bCs/>
          <w:color w:val="auto"/>
          <w:sz w:val="24"/>
          <w:szCs w:val="20"/>
          <w:lang w:val="en-GB"/>
        </w:rPr>
        <w:t xml:space="preserve">. Cambridge, MA: Harvard University Press. Available at: </w:t>
      </w:r>
      <w:hyperlink r:id="rId32" w:anchor="v=onepage&amp;q=Milanovic%2C%20B.%20(2016)%20Global%20Inequality.&amp;f=false" w:history="1">
        <w:r w:rsidR="00CF37B8" w:rsidRPr="00CF37B8">
          <w:rPr>
            <w:rStyle w:val="Hyperlink"/>
            <w:bCs/>
            <w:sz w:val="24"/>
            <w:szCs w:val="20"/>
          </w:rPr>
          <w:t>Global Inequality: A New Approach for the Age of Globalization - Branko Milanovic - Google Books</w:t>
        </w:r>
      </w:hyperlink>
      <w:r w:rsidRPr="009C2583">
        <w:rPr>
          <w:b w:val="0"/>
          <w:bCs/>
          <w:color w:val="auto"/>
          <w:sz w:val="24"/>
          <w:szCs w:val="20"/>
          <w:lang w:val="en-GB"/>
        </w:rPr>
        <w:t xml:space="preserve"> (Accessed</w:t>
      </w:r>
      <w:r w:rsidR="00CF37B8">
        <w:rPr>
          <w:b w:val="0"/>
          <w:bCs/>
          <w:color w:val="auto"/>
          <w:sz w:val="24"/>
          <w:szCs w:val="20"/>
          <w:lang w:val="en-GB"/>
        </w:rPr>
        <w:t xml:space="preserve"> Date:</w:t>
      </w:r>
      <w:r w:rsidRPr="009C2583">
        <w:rPr>
          <w:b w:val="0"/>
          <w:bCs/>
          <w:color w:val="auto"/>
          <w:sz w:val="24"/>
          <w:szCs w:val="20"/>
          <w:lang w:val="en-GB"/>
        </w:rPr>
        <w:t xml:space="preserve"> 27</w:t>
      </w:r>
      <w:r w:rsidR="00CF37B8">
        <w:rPr>
          <w:b w:val="0"/>
          <w:bCs/>
          <w:color w:val="auto"/>
          <w:sz w:val="24"/>
          <w:szCs w:val="20"/>
          <w:lang w:val="en-GB"/>
        </w:rPr>
        <w:t>/04/</w:t>
      </w:r>
      <w:r w:rsidRPr="009C2583">
        <w:rPr>
          <w:b w:val="0"/>
          <w:bCs/>
          <w:color w:val="auto"/>
          <w:sz w:val="24"/>
          <w:szCs w:val="20"/>
          <w:lang w:val="en-GB"/>
        </w:rPr>
        <w:t>2026).</w:t>
      </w:r>
    </w:p>
    <w:p w14:paraId="1438E44C" w14:textId="4DF899B8"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Mittelstadt, B.D. et al. (2016) ‘Ethics of algorithms’, </w:t>
      </w:r>
      <w:r w:rsidRPr="009C2583">
        <w:rPr>
          <w:b w:val="0"/>
          <w:bCs/>
          <w:i/>
          <w:iCs/>
          <w:color w:val="auto"/>
          <w:sz w:val="24"/>
          <w:szCs w:val="20"/>
          <w:lang w:val="en-GB"/>
        </w:rPr>
        <w:t>Big Data &amp; Society</w:t>
      </w:r>
      <w:r w:rsidRPr="009C2583">
        <w:rPr>
          <w:b w:val="0"/>
          <w:bCs/>
          <w:color w:val="auto"/>
          <w:sz w:val="24"/>
          <w:szCs w:val="20"/>
          <w:lang w:val="en-GB"/>
        </w:rPr>
        <w:t xml:space="preserve">. </w:t>
      </w:r>
    </w:p>
    <w:p w14:paraId="659AED69" w14:textId="552DF89E"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Ngai, E.W.T. et al. (2011) ‘Fraud detection’, </w:t>
      </w:r>
      <w:r w:rsidRPr="009C2583">
        <w:rPr>
          <w:b w:val="0"/>
          <w:bCs/>
          <w:i/>
          <w:iCs/>
          <w:color w:val="auto"/>
          <w:sz w:val="24"/>
          <w:szCs w:val="20"/>
          <w:lang w:val="en-GB"/>
        </w:rPr>
        <w:t>Decision Support Systems</w:t>
      </w:r>
      <w:r w:rsidRPr="009C2583">
        <w:rPr>
          <w:b w:val="0"/>
          <w:bCs/>
          <w:color w:val="auto"/>
          <w:sz w:val="24"/>
          <w:szCs w:val="20"/>
          <w:lang w:val="en-GB"/>
        </w:rPr>
        <w:t>, 50(3), pp. 559–569</w:t>
      </w:r>
    </w:p>
    <w:p w14:paraId="0392AFA9" w14:textId="285A1E5A"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NIST (2023) </w:t>
      </w:r>
      <w:r w:rsidRPr="009C2583">
        <w:rPr>
          <w:b w:val="0"/>
          <w:bCs/>
          <w:i/>
          <w:iCs/>
          <w:color w:val="auto"/>
          <w:sz w:val="24"/>
          <w:szCs w:val="20"/>
          <w:lang w:val="en-GB"/>
        </w:rPr>
        <w:t>AI Risk Management Framework</w:t>
      </w:r>
      <w:r w:rsidRPr="009C2583">
        <w:rPr>
          <w:b w:val="0"/>
          <w:bCs/>
          <w:color w:val="auto"/>
          <w:sz w:val="24"/>
          <w:szCs w:val="20"/>
          <w:lang w:val="en-GB"/>
        </w:rPr>
        <w:t xml:space="preserve">. Available at: </w:t>
      </w:r>
      <w:hyperlink r:id="rId33" w:tgtFrame="_new" w:history="1">
        <w:r w:rsidRPr="009C2583">
          <w:rPr>
            <w:rStyle w:val="Hyperlink"/>
            <w:b w:val="0"/>
            <w:bCs/>
            <w:color w:val="auto"/>
            <w:sz w:val="24"/>
            <w:szCs w:val="20"/>
            <w:lang w:val="en-GB"/>
          </w:rPr>
          <w:t>https://www.nist.gov/itl/ai-risk-management-framework</w:t>
        </w:r>
      </w:hyperlink>
      <w:r w:rsidRPr="009C2583">
        <w:rPr>
          <w:b w:val="0"/>
          <w:bCs/>
          <w:color w:val="auto"/>
          <w:sz w:val="24"/>
          <w:szCs w:val="20"/>
          <w:lang w:val="en-GB"/>
        </w:rPr>
        <w:t xml:space="preserve"> (Accessed</w:t>
      </w:r>
      <w:r w:rsidR="00CF37B8">
        <w:rPr>
          <w:b w:val="0"/>
          <w:bCs/>
          <w:color w:val="auto"/>
          <w:sz w:val="24"/>
          <w:szCs w:val="20"/>
          <w:lang w:val="en-GB"/>
        </w:rPr>
        <w:t xml:space="preserve"> Date: 27/04/</w:t>
      </w:r>
      <w:r w:rsidRPr="009C2583">
        <w:rPr>
          <w:b w:val="0"/>
          <w:bCs/>
          <w:color w:val="auto"/>
          <w:sz w:val="24"/>
          <w:szCs w:val="20"/>
          <w:lang w:val="en-GB"/>
        </w:rPr>
        <w:t>2026).</w:t>
      </w:r>
    </w:p>
    <w:p w14:paraId="2D69AA0E" w14:textId="244B2DA0"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O’Neil, C. (2016) </w:t>
      </w:r>
      <w:r w:rsidRPr="009C2583">
        <w:rPr>
          <w:b w:val="0"/>
          <w:bCs/>
          <w:i/>
          <w:iCs/>
          <w:color w:val="auto"/>
          <w:sz w:val="24"/>
          <w:szCs w:val="20"/>
          <w:lang w:val="en-GB"/>
        </w:rPr>
        <w:t>Weapons of Math Destruction</w:t>
      </w:r>
      <w:r w:rsidRPr="009C2583">
        <w:rPr>
          <w:b w:val="0"/>
          <w:bCs/>
          <w:color w:val="auto"/>
          <w:sz w:val="24"/>
          <w:szCs w:val="20"/>
          <w:lang w:val="en-GB"/>
        </w:rPr>
        <w:t xml:space="preserve">. New York: Crown. </w:t>
      </w:r>
    </w:p>
    <w:p w14:paraId="49ADB5C0" w14:textId="70B33D96"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Phillips, R. (2021) </w:t>
      </w:r>
      <w:r w:rsidRPr="009C2583">
        <w:rPr>
          <w:b w:val="0"/>
          <w:bCs/>
          <w:i/>
          <w:iCs/>
          <w:color w:val="auto"/>
          <w:sz w:val="24"/>
          <w:szCs w:val="20"/>
          <w:lang w:val="en-GB"/>
        </w:rPr>
        <w:t>Pricing and Revenue Optimization</w:t>
      </w:r>
      <w:r w:rsidRPr="009C2583">
        <w:rPr>
          <w:b w:val="0"/>
          <w:bCs/>
          <w:color w:val="auto"/>
          <w:sz w:val="24"/>
          <w:szCs w:val="20"/>
          <w:lang w:val="en-GB"/>
        </w:rPr>
        <w:t xml:space="preserve">. Available at: </w:t>
      </w:r>
      <w:hyperlink r:id="rId34" w:history="1">
        <w:r w:rsidR="00F91F73" w:rsidRPr="00F91F73">
          <w:rPr>
            <w:rStyle w:val="Hyperlink"/>
            <w:bCs/>
            <w:sz w:val="24"/>
            <w:szCs w:val="20"/>
          </w:rPr>
          <w:t>Pricing and Revenue Optimization - Second Edition</w:t>
        </w:r>
      </w:hyperlink>
      <w:r w:rsidR="00F91F73" w:rsidRPr="00F91F73">
        <w:rPr>
          <w:b w:val="0"/>
          <w:bCs/>
          <w:color w:val="auto"/>
          <w:sz w:val="24"/>
          <w:szCs w:val="20"/>
          <w:lang w:val="en-GB"/>
        </w:rPr>
        <w:t xml:space="preserve"> </w:t>
      </w:r>
      <w:r w:rsidRPr="009C2583">
        <w:rPr>
          <w:b w:val="0"/>
          <w:bCs/>
          <w:color w:val="auto"/>
          <w:sz w:val="24"/>
          <w:szCs w:val="20"/>
          <w:lang w:val="en-GB"/>
        </w:rPr>
        <w:t>(Accessed</w:t>
      </w:r>
      <w:r w:rsidR="00F91F73">
        <w:rPr>
          <w:b w:val="0"/>
          <w:bCs/>
          <w:color w:val="auto"/>
          <w:sz w:val="24"/>
          <w:szCs w:val="20"/>
          <w:lang w:val="en-GB"/>
        </w:rPr>
        <w:t xml:space="preserve"> Date:</w:t>
      </w:r>
      <w:r w:rsidRPr="009C2583">
        <w:rPr>
          <w:b w:val="0"/>
          <w:bCs/>
          <w:color w:val="auto"/>
          <w:sz w:val="24"/>
          <w:szCs w:val="20"/>
          <w:lang w:val="en-GB"/>
        </w:rPr>
        <w:t xml:space="preserve"> 27</w:t>
      </w:r>
      <w:r w:rsidR="00CF37B8">
        <w:rPr>
          <w:b w:val="0"/>
          <w:bCs/>
          <w:color w:val="auto"/>
          <w:sz w:val="24"/>
          <w:szCs w:val="20"/>
          <w:lang w:val="en-GB"/>
        </w:rPr>
        <w:t>/04/</w:t>
      </w:r>
      <w:r w:rsidRPr="009C2583">
        <w:rPr>
          <w:b w:val="0"/>
          <w:bCs/>
          <w:color w:val="auto"/>
          <w:sz w:val="24"/>
          <w:szCs w:val="20"/>
          <w:lang w:val="en-GB"/>
        </w:rPr>
        <w:t>2026).</w:t>
      </w:r>
    </w:p>
    <w:p w14:paraId="28225859" w14:textId="580D58DF"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Phillips, R. et al. (2003) ‘What stakeholder theory is not’, </w:t>
      </w:r>
      <w:r w:rsidRPr="009C2583">
        <w:rPr>
          <w:b w:val="0"/>
          <w:bCs/>
          <w:i/>
          <w:iCs/>
          <w:color w:val="auto"/>
          <w:sz w:val="24"/>
          <w:szCs w:val="20"/>
          <w:lang w:val="en-GB"/>
        </w:rPr>
        <w:t>Business Ethics Quarterly</w:t>
      </w:r>
      <w:r w:rsidRPr="009C2583">
        <w:rPr>
          <w:b w:val="0"/>
          <w:bCs/>
          <w:color w:val="auto"/>
          <w:sz w:val="24"/>
          <w:szCs w:val="20"/>
          <w:lang w:val="en-GB"/>
        </w:rPr>
        <w:t>, 13(4), pp. 479–502.</w:t>
      </w:r>
    </w:p>
    <w:p w14:paraId="48A420C1" w14:textId="4D4BAE89"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Piketty, T. (2014) </w:t>
      </w:r>
      <w:r w:rsidRPr="009C2583">
        <w:rPr>
          <w:b w:val="0"/>
          <w:bCs/>
          <w:i/>
          <w:iCs/>
          <w:color w:val="auto"/>
          <w:sz w:val="24"/>
          <w:szCs w:val="20"/>
          <w:lang w:val="en-GB"/>
        </w:rPr>
        <w:t>Capital in the Twenty-First Century</w:t>
      </w:r>
      <w:r w:rsidRPr="009C2583">
        <w:rPr>
          <w:b w:val="0"/>
          <w:bCs/>
          <w:color w:val="auto"/>
          <w:sz w:val="24"/>
          <w:szCs w:val="20"/>
          <w:lang w:val="en-GB"/>
        </w:rPr>
        <w:t xml:space="preserve">. Cambridge, MA: Harvard University Press. </w:t>
      </w:r>
    </w:p>
    <w:p w14:paraId="5B895E75" w14:textId="731021F3" w:rsidR="009C2583" w:rsidRPr="00F91F73" w:rsidRDefault="009C2583" w:rsidP="009C2583">
      <w:pPr>
        <w:tabs>
          <w:tab w:val="left" w:pos="2674"/>
        </w:tabs>
        <w:rPr>
          <w:b w:val="0"/>
          <w:bCs/>
          <w:color w:val="auto"/>
          <w:sz w:val="24"/>
          <w:szCs w:val="20"/>
        </w:rPr>
      </w:pPr>
      <w:r w:rsidRPr="009C2583">
        <w:rPr>
          <w:b w:val="0"/>
          <w:bCs/>
          <w:color w:val="auto"/>
          <w:sz w:val="24"/>
          <w:szCs w:val="20"/>
          <w:lang w:val="en-GB"/>
        </w:rPr>
        <w:t xml:space="preserve">Porter, M.E. and Kramer, M.R. (2011) ‘Creating shared value’, </w:t>
      </w:r>
      <w:r w:rsidRPr="009C2583">
        <w:rPr>
          <w:b w:val="0"/>
          <w:bCs/>
          <w:i/>
          <w:iCs/>
          <w:color w:val="auto"/>
          <w:sz w:val="24"/>
          <w:szCs w:val="20"/>
          <w:lang w:val="en-GB"/>
        </w:rPr>
        <w:t>Harvard Business Review</w:t>
      </w:r>
      <w:r w:rsidRPr="009C2583">
        <w:rPr>
          <w:b w:val="0"/>
          <w:bCs/>
          <w:color w:val="auto"/>
          <w:sz w:val="24"/>
          <w:szCs w:val="20"/>
          <w:lang w:val="en-GB"/>
        </w:rPr>
        <w:t xml:space="preserve">. Available at: </w:t>
      </w:r>
      <w:hyperlink r:id="rId35" w:tgtFrame="_new" w:history="1">
        <w:r w:rsidRPr="009C2583">
          <w:rPr>
            <w:rStyle w:val="Hyperlink"/>
            <w:b w:val="0"/>
            <w:bCs/>
            <w:color w:val="auto"/>
            <w:sz w:val="24"/>
            <w:szCs w:val="20"/>
            <w:lang w:val="en-GB"/>
          </w:rPr>
          <w:t>https://hbr.org/2011/01/the-big-idea-creating-shared-value</w:t>
        </w:r>
      </w:hyperlink>
      <w:r w:rsidRPr="009C2583">
        <w:rPr>
          <w:b w:val="0"/>
          <w:bCs/>
          <w:color w:val="auto"/>
          <w:sz w:val="24"/>
          <w:szCs w:val="20"/>
          <w:lang w:val="en-GB"/>
        </w:rPr>
        <w:t xml:space="preserve"> (Accessed</w:t>
      </w:r>
      <w:r w:rsidR="00CF37B8">
        <w:rPr>
          <w:b w:val="0"/>
          <w:bCs/>
          <w:color w:val="auto"/>
          <w:sz w:val="24"/>
          <w:szCs w:val="20"/>
          <w:lang w:val="en-GB"/>
        </w:rPr>
        <w:t xml:space="preserve"> Date: 10/4/2026).</w:t>
      </w:r>
    </w:p>
    <w:p w14:paraId="3FF9A03F" w14:textId="3C81D2E8"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Raisch, S. and Krakowski, S. (2021) ‘Artificial intelligence and management’, </w:t>
      </w:r>
      <w:r w:rsidRPr="009C2583">
        <w:rPr>
          <w:b w:val="0"/>
          <w:bCs/>
          <w:i/>
          <w:iCs/>
          <w:color w:val="auto"/>
          <w:sz w:val="24"/>
          <w:szCs w:val="20"/>
          <w:lang w:val="en-GB"/>
        </w:rPr>
        <w:t>Academy of Management Review</w:t>
      </w:r>
      <w:r w:rsidRPr="009C2583">
        <w:rPr>
          <w:b w:val="0"/>
          <w:bCs/>
          <w:color w:val="auto"/>
          <w:sz w:val="24"/>
          <w:szCs w:val="20"/>
          <w:lang w:val="en-GB"/>
        </w:rPr>
        <w:t>. Available at: https://doi.org/10.5465/amr.2019.0148 (Accessed</w:t>
      </w:r>
      <w:r w:rsidR="00CF37B8">
        <w:rPr>
          <w:b w:val="0"/>
          <w:bCs/>
          <w:color w:val="auto"/>
          <w:sz w:val="24"/>
          <w:szCs w:val="20"/>
          <w:lang w:val="en-GB"/>
        </w:rPr>
        <w:t xml:space="preserve"> Date: 10/04/</w:t>
      </w:r>
      <w:r w:rsidRPr="009C2583">
        <w:rPr>
          <w:b w:val="0"/>
          <w:bCs/>
          <w:color w:val="auto"/>
          <w:sz w:val="24"/>
          <w:szCs w:val="20"/>
          <w:lang w:val="en-GB"/>
        </w:rPr>
        <w:t>2026).</w:t>
      </w:r>
    </w:p>
    <w:p w14:paraId="66856062" w14:textId="09A48885"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Rittel, H.W.J. and Webber, M.M. (1973) ‘Dilemmas in a general theory of planning’, </w:t>
      </w:r>
      <w:r w:rsidRPr="009C2583">
        <w:rPr>
          <w:b w:val="0"/>
          <w:bCs/>
          <w:i/>
          <w:iCs/>
          <w:color w:val="auto"/>
          <w:sz w:val="24"/>
          <w:szCs w:val="20"/>
          <w:lang w:val="en-GB"/>
        </w:rPr>
        <w:t>Policy Sciences</w:t>
      </w:r>
      <w:r w:rsidRPr="009C2583">
        <w:rPr>
          <w:b w:val="0"/>
          <w:bCs/>
          <w:color w:val="auto"/>
          <w:sz w:val="24"/>
          <w:szCs w:val="20"/>
          <w:lang w:val="en-GB"/>
        </w:rPr>
        <w:t xml:space="preserve">, 4(2), pp. 155–169. Available at: </w:t>
      </w:r>
      <w:hyperlink r:id="rId36" w:tgtFrame="_new" w:history="1">
        <w:r w:rsidRPr="009C2583">
          <w:rPr>
            <w:rStyle w:val="Hyperlink"/>
            <w:b w:val="0"/>
            <w:bCs/>
            <w:color w:val="auto"/>
            <w:sz w:val="24"/>
            <w:szCs w:val="20"/>
            <w:lang w:val="en-GB"/>
          </w:rPr>
          <w:t>https://doi.org/10.1007/BF01405730</w:t>
        </w:r>
      </w:hyperlink>
      <w:r w:rsidRPr="009C2583">
        <w:rPr>
          <w:b w:val="0"/>
          <w:bCs/>
          <w:color w:val="auto"/>
          <w:sz w:val="24"/>
          <w:szCs w:val="20"/>
          <w:lang w:val="en-GB"/>
        </w:rPr>
        <w:t xml:space="preserve"> (Accessed</w:t>
      </w:r>
      <w:r w:rsidR="00CF37B8">
        <w:rPr>
          <w:b w:val="0"/>
          <w:bCs/>
          <w:color w:val="auto"/>
          <w:sz w:val="24"/>
          <w:szCs w:val="20"/>
          <w:lang w:val="en-GB"/>
        </w:rPr>
        <w:t xml:space="preserve"> Date: 04/04/</w:t>
      </w:r>
      <w:r w:rsidRPr="009C2583">
        <w:rPr>
          <w:b w:val="0"/>
          <w:bCs/>
          <w:color w:val="auto"/>
          <w:sz w:val="24"/>
          <w:szCs w:val="20"/>
          <w:lang w:val="en-GB"/>
        </w:rPr>
        <w:t>2026).</w:t>
      </w:r>
    </w:p>
    <w:p w14:paraId="25CF8517" w14:textId="081607FF"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Scott, W.R. (2014) </w:t>
      </w:r>
      <w:r w:rsidRPr="009C2583">
        <w:rPr>
          <w:b w:val="0"/>
          <w:bCs/>
          <w:i/>
          <w:iCs/>
          <w:color w:val="auto"/>
          <w:sz w:val="24"/>
          <w:szCs w:val="20"/>
          <w:lang w:val="en-GB"/>
        </w:rPr>
        <w:t>Institutions and Organizations</w:t>
      </w:r>
      <w:r w:rsidRPr="009C2583">
        <w:rPr>
          <w:b w:val="0"/>
          <w:bCs/>
          <w:color w:val="auto"/>
          <w:sz w:val="24"/>
          <w:szCs w:val="20"/>
          <w:lang w:val="en-GB"/>
        </w:rPr>
        <w:t xml:space="preserve">. 4th edn. </w:t>
      </w:r>
    </w:p>
    <w:p w14:paraId="25319601" w14:textId="6FC81269"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Stiglitz, J.E. (2012) </w:t>
      </w:r>
      <w:r w:rsidRPr="009C2583">
        <w:rPr>
          <w:b w:val="0"/>
          <w:bCs/>
          <w:i/>
          <w:iCs/>
          <w:color w:val="auto"/>
          <w:sz w:val="24"/>
          <w:szCs w:val="20"/>
          <w:lang w:val="en-GB"/>
        </w:rPr>
        <w:t>Globalization and Its Discontents Revisited</w:t>
      </w:r>
      <w:r w:rsidRPr="009C2583">
        <w:rPr>
          <w:b w:val="0"/>
          <w:bCs/>
          <w:color w:val="auto"/>
          <w:sz w:val="24"/>
          <w:szCs w:val="20"/>
          <w:lang w:val="en-GB"/>
        </w:rPr>
        <w:t xml:space="preserve">. New York: W.W. Norton. Available at: </w:t>
      </w:r>
      <w:hyperlink r:id="rId37" w:history="1">
        <w:r w:rsidR="00F91F73" w:rsidRPr="00F91F73">
          <w:rPr>
            <w:rStyle w:val="Hyperlink"/>
            <w:bCs/>
            <w:sz w:val="24"/>
            <w:szCs w:val="20"/>
          </w:rPr>
          <w:t>Stiglitz-Freedom-to-Choose.pdf</w:t>
        </w:r>
      </w:hyperlink>
      <w:r w:rsidRPr="009C2583">
        <w:rPr>
          <w:b w:val="0"/>
          <w:bCs/>
          <w:color w:val="auto"/>
          <w:sz w:val="24"/>
          <w:szCs w:val="20"/>
          <w:lang w:val="en-GB"/>
        </w:rPr>
        <w:t xml:space="preserve"> (Accessed: 27 April 2026).</w:t>
      </w:r>
    </w:p>
    <w:p w14:paraId="7A54653F" w14:textId="70305ECC"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Suchman, M.C. (1995) ‘Managing legitimacy’, </w:t>
      </w:r>
      <w:r w:rsidRPr="009C2583">
        <w:rPr>
          <w:b w:val="0"/>
          <w:bCs/>
          <w:i/>
          <w:iCs/>
          <w:color w:val="auto"/>
          <w:sz w:val="24"/>
          <w:szCs w:val="20"/>
          <w:lang w:val="en-GB"/>
        </w:rPr>
        <w:t>Academy of Management Review</w:t>
      </w:r>
      <w:r w:rsidRPr="009C2583">
        <w:rPr>
          <w:b w:val="0"/>
          <w:bCs/>
          <w:color w:val="auto"/>
          <w:sz w:val="24"/>
          <w:szCs w:val="20"/>
          <w:lang w:val="en-GB"/>
        </w:rPr>
        <w:t xml:space="preserve">, 20(3), pp. 571–610. Available at: </w:t>
      </w:r>
      <w:hyperlink r:id="rId38" w:tgtFrame="_new" w:history="1">
        <w:r w:rsidRPr="009C2583">
          <w:rPr>
            <w:rStyle w:val="Hyperlink"/>
            <w:b w:val="0"/>
            <w:bCs/>
            <w:color w:val="auto"/>
            <w:sz w:val="24"/>
            <w:szCs w:val="20"/>
            <w:lang w:val="en-GB"/>
          </w:rPr>
          <w:t>https://doi.org/10.5465/amr.1995.9508080331</w:t>
        </w:r>
      </w:hyperlink>
      <w:r w:rsidRPr="009C2583">
        <w:rPr>
          <w:b w:val="0"/>
          <w:bCs/>
          <w:color w:val="auto"/>
          <w:sz w:val="24"/>
          <w:szCs w:val="20"/>
          <w:lang w:val="en-GB"/>
        </w:rPr>
        <w:t xml:space="preserve"> (Accessed</w:t>
      </w:r>
      <w:r w:rsidR="00F91F73">
        <w:rPr>
          <w:b w:val="0"/>
          <w:bCs/>
          <w:color w:val="auto"/>
          <w:sz w:val="24"/>
          <w:szCs w:val="20"/>
          <w:lang w:val="en-GB"/>
        </w:rPr>
        <w:t xml:space="preserve"> Date: 27/04/</w:t>
      </w:r>
      <w:r w:rsidRPr="009C2583">
        <w:rPr>
          <w:b w:val="0"/>
          <w:bCs/>
          <w:color w:val="auto"/>
          <w:sz w:val="24"/>
          <w:szCs w:val="20"/>
          <w:lang w:val="en-GB"/>
        </w:rPr>
        <w:t>2026).</w:t>
      </w:r>
    </w:p>
    <w:p w14:paraId="12BD2DA2" w14:textId="440793B3"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Talluri, K.T. and Van Ryzin, G.J. (2004) </w:t>
      </w:r>
      <w:r w:rsidRPr="009C2583">
        <w:rPr>
          <w:b w:val="0"/>
          <w:bCs/>
          <w:i/>
          <w:iCs/>
          <w:color w:val="auto"/>
          <w:sz w:val="24"/>
          <w:szCs w:val="20"/>
          <w:lang w:val="en-GB"/>
        </w:rPr>
        <w:t>The Theory and Practice of Revenue Management</w:t>
      </w:r>
      <w:r w:rsidRPr="009C2583">
        <w:rPr>
          <w:b w:val="0"/>
          <w:bCs/>
          <w:color w:val="auto"/>
          <w:sz w:val="24"/>
          <w:szCs w:val="20"/>
          <w:lang w:val="en-GB"/>
        </w:rPr>
        <w:t xml:space="preserve">. Available at: </w:t>
      </w:r>
      <w:hyperlink r:id="rId39" w:anchor="v=onepage&amp;q=Talluri%2C%20K.T.%20and%20Van%20Ryzin%2C%20G.J.%20(2004)%20The%20Theory%20and%20Practice%20of%20Revenue%20Management&amp;f=false" w:history="1">
        <w:r w:rsidR="00F91F73" w:rsidRPr="00F91F73">
          <w:rPr>
            <w:rStyle w:val="Hyperlink"/>
            <w:bCs/>
            <w:sz w:val="24"/>
            <w:szCs w:val="20"/>
          </w:rPr>
          <w:t>The Theory and Practice of Revenue Management - Kalyan T. Talluri, Garrett J. van Ryzin - Google Books</w:t>
        </w:r>
      </w:hyperlink>
      <w:r w:rsidRPr="009C2583">
        <w:rPr>
          <w:b w:val="0"/>
          <w:bCs/>
          <w:color w:val="auto"/>
          <w:sz w:val="24"/>
          <w:szCs w:val="20"/>
          <w:lang w:val="en-GB"/>
        </w:rPr>
        <w:t xml:space="preserve"> (Accessed</w:t>
      </w:r>
      <w:r w:rsidR="00F91F73">
        <w:rPr>
          <w:b w:val="0"/>
          <w:bCs/>
          <w:color w:val="auto"/>
          <w:sz w:val="24"/>
          <w:szCs w:val="20"/>
          <w:lang w:val="en-GB"/>
        </w:rPr>
        <w:t xml:space="preserve"> Date: </w:t>
      </w:r>
      <w:r w:rsidRPr="009C2583">
        <w:rPr>
          <w:b w:val="0"/>
          <w:bCs/>
          <w:color w:val="auto"/>
          <w:sz w:val="24"/>
          <w:szCs w:val="20"/>
          <w:lang w:val="en-GB"/>
        </w:rPr>
        <w:t>27</w:t>
      </w:r>
      <w:r w:rsidR="00F91F73">
        <w:rPr>
          <w:b w:val="0"/>
          <w:bCs/>
          <w:color w:val="auto"/>
          <w:sz w:val="24"/>
          <w:szCs w:val="20"/>
          <w:lang w:val="en-GB"/>
        </w:rPr>
        <w:t>/04/</w:t>
      </w:r>
      <w:r w:rsidRPr="009C2583">
        <w:rPr>
          <w:b w:val="0"/>
          <w:bCs/>
          <w:color w:val="auto"/>
          <w:sz w:val="24"/>
          <w:szCs w:val="20"/>
          <w:lang w:val="en-GB"/>
        </w:rPr>
        <w:t>2026).</w:t>
      </w:r>
    </w:p>
    <w:p w14:paraId="7E8C4A2F" w14:textId="20964D79"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Teece, D.J. (2018) ‘Business models and dynamic capabilities’, </w:t>
      </w:r>
      <w:r w:rsidRPr="009C2583">
        <w:rPr>
          <w:b w:val="0"/>
          <w:bCs/>
          <w:i/>
          <w:iCs/>
          <w:color w:val="auto"/>
          <w:sz w:val="24"/>
          <w:szCs w:val="20"/>
          <w:lang w:val="en-GB"/>
        </w:rPr>
        <w:t>Long Range Planning</w:t>
      </w:r>
      <w:r w:rsidRPr="009C2583">
        <w:rPr>
          <w:b w:val="0"/>
          <w:bCs/>
          <w:color w:val="auto"/>
          <w:sz w:val="24"/>
          <w:szCs w:val="20"/>
          <w:lang w:val="en-GB"/>
        </w:rPr>
        <w:t xml:space="preserve">, 51(1), pp. 40–49. Available at: </w:t>
      </w:r>
      <w:hyperlink r:id="rId40" w:tgtFrame="_new" w:history="1">
        <w:r w:rsidRPr="009C2583">
          <w:rPr>
            <w:rStyle w:val="Hyperlink"/>
            <w:b w:val="0"/>
            <w:bCs/>
            <w:color w:val="auto"/>
            <w:sz w:val="24"/>
            <w:szCs w:val="20"/>
            <w:lang w:val="en-GB"/>
          </w:rPr>
          <w:t>https://doi.org/10.1016/j.lrp.2017.06.007</w:t>
        </w:r>
      </w:hyperlink>
      <w:r w:rsidRPr="009C2583">
        <w:rPr>
          <w:b w:val="0"/>
          <w:bCs/>
          <w:color w:val="auto"/>
          <w:sz w:val="24"/>
          <w:szCs w:val="20"/>
          <w:lang w:val="en-GB"/>
        </w:rPr>
        <w:t xml:space="preserve"> (Accessed</w:t>
      </w:r>
      <w:r w:rsidR="00F91F73">
        <w:rPr>
          <w:b w:val="0"/>
          <w:bCs/>
          <w:color w:val="auto"/>
          <w:sz w:val="24"/>
          <w:szCs w:val="20"/>
          <w:lang w:val="en-GB"/>
        </w:rPr>
        <w:t xml:space="preserve"> Date: 11/04/</w:t>
      </w:r>
      <w:r w:rsidRPr="009C2583">
        <w:rPr>
          <w:b w:val="0"/>
          <w:bCs/>
          <w:color w:val="auto"/>
          <w:sz w:val="24"/>
          <w:szCs w:val="20"/>
          <w:lang w:val="en-GB"/>
        </w:rPr>
        <w:t>2026).</w:t>
      </w:r>
    </w:p>
    <w:p w14:paraId="6706DEF7" w14:textId="48812910"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Tucker, C. (2019) ‘Privacy, algorithms, and AI’, </w:t>
      </w:r>
      <w:r w:rsidRPr="009C2583">
        <w:rPr>
          <w:b w:val="0"/>
          <w:bCs/>
          <w:i/>
          <w:iCs/>
          <w:color w:val="auto"/>
          <w:sz w:val="24"/>
          <w:szCs w:val="20"/>
          <w:lang w:val="en-GB"/>
        </w:rPr>
        <w:t>The Economics of Artificial Intelligence</w:t>
      </w:r>
      <w:r w:rsidRPr="009C2583">
        <w:rPr>
          <w:b w:val="0"/>
          <w:bCs/>
          <w:color w:val="auto"/>
          <w:sz w:val="24"/>
          <w:szCs w:val="20"/>
          <w:lang w:val="en-GB"/>
        </w:rPr>
        <w:t xml:space="preserve">. Available at: </w:t>
      </w:r>
      <w:hyperlink r:id="rId41" w:tgtFrame="_new" w:history="1">
        <w:r w:rsidRPr="009C2583">
          <w:rPr>
            <w:rStyle w:val="Hyperlink"/>
            <w:b w:val="0"/>
            <w:bCs/>
            <w:color w:val="auto"/>
            <w:sz w:val="24"/>
            <w:szCs w:val="20"/>
            <w:lang w:val="en-GB"/>
          </w:rPr>
          <w:t>https://www.nber.org</w:t>
        </w:r>
      </w:hyperlink>
      <w:r w:rsidRPr="009C2583">
        <w:rPr>
          <w:b w:val="0"/>
          <w:bCs/>
          <w:color w:val="auto"/>
          <w:sz w:val="24"/>
          <w:szCs w:val="20"/>
          <w:lang w:val="en-GB"/>
        </w:rPr>
        <w:t xml:space="preserve"> (Accessed</w:t>
      </w:r>
      <w:r w:rsidR="00F91F73">
        <w:rPr>
          <w:b w:val="0"/>
          <w:bCs/>
          <w:color w:val="auto"/>
          <w:sz w:val="24"/>
          <w:szCs w:val="20"/>
          <w:lang w:val="en-GB"/>
        </w:rPr>
        <w:t xml:space="preserve"> Date: 04/04/</w:t>
      </w:r>
      <w:r w:rsidRPr="009C2583">
        <w:rPr>
          <w:b w:val="0"/>
          <w:bCs/>
          <w:color w:val="auto"/>
          <w:sz w:val="24"/>
          <w:szCs w:val="20"/>
          <w:lang w:val="en-GB"/>
        </w:rPr>
        <w:t>2026).</w:t>
      </w:r>
    </w:p>
    <w:p w14:paraId="0DA4872B" w14:textId="393DE323" w:rsidR="009C2583" w:rsidRPr="00F91F73" w:rsidRDefault="009C2583" w:rsidP="009C2583">
      <w:pPr>
        <w:tabs>
          <w:tab w:val="left" w:pos="2674"/>
        </w:tabs>
        <w:rPr>
          <w:b w:val="0"/>
          <w:bCs/>
          <w:color w:val="auto"/>
          <w:sz w:val="24"/>
          <w:szCs w:val="20"/>
        </w:rPr>
      </w:pPr>
      <w:r w:rsidRPr="009C2583">
        <w:rPr>
          <w:b w:val="0"/>
          <w:bCs/>
          <w:color w:val="auto"/>
          <w:sz w:val="24"/>
          <w:szCs w:val="20"/>
          <w:lang w:val="en-GB"/>
        </w:rPr>
        <w:t xml:space="preserve">UK DSIT (2023) </w:t>
      </w:r>
      <w:r w:rsidRPr="009C2583">
        <w:rPr>
          <w:b w:val="0"/>
          <w:bCs/>
          <w:i/>
          <w:iCs/>
          <w:color w:val="auto"/>
          <w:sz w:val="24"/>
          <w:szCs w:val="20"/>
          <w:lang w:val="en-GB"/>
        </w:rPr>
        <w:t>AI Regulation Policy Paper</w:t>
      </w:r>
      <w:r w:rsidRPr="009C2583">
        <w:rPr>
          <w:b w:val="0"/>
          <w:bCs/>
          <w:color w:val="auto"/>
          <w:sz w:val="24"/>
          <w:szCs w:val="20"/>
          <w:lang w:val="en-GB"/>
        </w:rPr>
        <w:t xml:space="preserve">. Available at: </w:t>
      </w:r>
      <w:hyperlink r:id="rId42" w:tgtFrame="_new" w:history="1">
        <w:r w:rsidRPr="009C2583">
          <w:rPr>
            <w:rStyle w:val="Hyperlink"/>
            <w:b w:val="0"/>
            <w:bCs/>
            <w:color w:val="auto"/>
            <w:sz w:val="24"/>
            <w:szCs w:val="20"/>
            <w:lang w:val="en-GB"/>
          </w:rPr>
          <w:t>https://www.gov.uk/government/publications/ai-regulation-a-pro-innovation-approach</w:t>
        </w:r>
      </w:hyperlink>
      <w:r w:rsidRPr="009C2583">
        <w:rPr>
          <w:b w:val="0"/>
          <w:bCs/>
          <w:color w:val="auto"/>
          <w:sz w:val="24"/>
          <w:szCs w:val="20"/>
          <w:lang w:val="en-GB"/>
        </w:rPr>
        <w:t xml:space="preserve"> (Accessed</w:t>
      </w:r>
      <w:r w:rsidR="00F91F73">
        <w:rPr>
          <w:b w:val="0"/>
          <w:bCs/>
          <w:color w:val="auto"/>
          <w:sz w:val="24"/>
          <w:szCs w:val="20"/>
          <w:lang w:val="en-GB"/>
        </w:rPr>
        <w:t xml:space="preserve"> Date: 11/04/</w:t>
      </w:r>
      <w:r w:rsidRPr="009C2583">
        <w:rPr>
          <w:b w:val="0"/>
          <w:bCs/>
          <w:color w:val="auto"/>
          <w:sz w:val="24"/>
          <w:szCs w:val="20"/>
          <w:lang w:val="en-GB"/>
        </w:rPr>
        <w:t>2026).</w:t>
      </w:r>
    </w:p>
    <w:p w14:paraId="7BE24380" w14:textId="4E92B127"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United Nations (2015) </w:t>
      </w:r>
      <w:r w:rsidRPr="009C2583">
        <w:rPr>
          <w:b w:val="0"/>
          <w:bCs/>
          <w:i/>
          <w:iCs/>
          <w:color w:val="auto"/>
          <w:sz w:val="24"/>
          <w:szCs w:val="20"/>
          <w:lang w:val="en-GB"/>
        </w:rPr>
        <w:t>Sustainable Development Goals</w:t>
      </w:r>
      <w:r w:rsidRPr="009C2583">
        <w:rPr>
          <w:b w:val="0"/>
          <w:bCs/>
          <w:color w:val="auto"/>
          <w:sz w:val="24"/>
          <w:szCs w:val="20"/>
          <w:lang w:val="en-GB"/>
        </w:rPr>
        <w:t xml:space="preserve">. Available at: </w:t>
      </w:r>
      <w:hyperlink r:id="rId43" w:tgtFrame="_new" w:history="1">
        <w:r w:rsidRPr="009C2583">
          <w:rPr>
            <w:rStyle w:val="Hyperlink"/>
            <w:b w:val="0"/>
            <w:bCs/>
            <w:color w:val="auto"/>
            <w:sz w:val="24"/>
            <w:szCs w:val="20"/>
            <w:lang w:val="en-GB"/>
          </w:rPr>
          <w:t>https://sdgs.un.org/goals</w:t>
        </w:r>
      </w:hyperlink>
      <w:r w:rsidRPr="009C2583">
        <w:rPr>
          <w:b w:val="0"/>
          <w:bCs/>
          <w:color w:val="auto"/>
          <w:sz w:val="24"/>
          <w:szCs w:val="20"/>
          <w:lang w:val="en-GB"/>
        </w:rPr>
        <w:t xml:space="preserve"> (Accessed</w:t>
      </w:r>
      <w:r w:rsidR="00F91F73">
        <w:rPr>
          <w:b w:val="0"/>
          <w:bCs/>
          <w:color w:val="auto"/>
          <w:sz w:val="24"/>
          <w:szCs w:val="20"/>
          <w:lang w:val="en-GB"/>
        </w:rPr>
        <w:t xml:space="preserve"> Date: 21/04/</w:t>
      </w:r>
      <w:r w:rsidRPr="009C2583">
        <w:rPr>
          <w:b w:val="0"/>
          <w:bCs/>
          <w:color w:val="auto"/>
          <w:sz w:val="24"/>
          <w:szCs w:val="20"/>
          <w:lang w:val="en-GB"/>
        </w:rPr>
        <w:t>2026).</w:t>
      </w:r>
    </w:p>
    <w:p w14:paraId="32447F42" w14:textId="26D1BA25"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Veale, M. and Borgesius, F.Z. (2021) ‘EU AI Act analysis’, </w:t>
      </w:r>
      <w:r w:rsidRPr="009C2583">
        <w:rPr>
          <w:b w:val="0"/>
          <w:bCs/>
          <w:i/>
          <w:iCs/>
          <w:color w:val="auto"/>
          <w:sz w:val="24"/>
          <w:szCs w:val="20"/>
          <w:lang w:val="en-GB"/>
        </w:rPr>
        <w:t>Computer Law Review International</w:t>
      </w:r>
      <w:r w:rsidRPr="009C2583">
        <w:rPr>
          <w:b w:val="0"/>
          <w:bCs/>
          <w:color w:val="auto"/>
          <w:sz w:val="24"/>
          <w:szCs w:val="20"/>
          <w:lang w:val="en-GB"/>
        </w:rPr>
        <w:t xml:space="preserve">. Available at: </w:t>
      </w:r>
      <w:hyperlink r:id="rId44" w:tgtFrame="_new" w:history="1">
        <w:r w:rsidRPr="009C2583">
          <w:rPr>
            <w:rStyle w:val="Hyperlink"/>
            <w:b w:val="0"/>
            <w:bCs/>
            <w:color w:val="auto"/>
            <w:sz w:val="24"/>
            <w:szCs w:val="20"/>
            <w:lang w:val="en-GB"/>
          </w:rPr>
          <w:t>https://doi.org/10.9785/cri-2021-220402</w:t>
        </w:r>
      </w:hyperlink>
      <w:r w:rsidRPr="009C2583">
        <w:rPr>
          <w:b w:val="0"/>
          <w:bCs/>
          <w:color w:val="auto"/>
          <w:sz w:val="24"/>
          <w:szCs w:val="20"/>
          <w:lang w:val="en-GB"/>
        </w:rPr>
        <w:t xml:space="preserve"> (Accessed</w:t>
      </w:r>
      <w:r w:rsidR="00F91F73">
        <w:rPr>
          <w:b w:val="0"/>
          <w:bCs/>
          <w:color w:val="auto"/>
          <w:sz w:val="24"/>
          <w:szCs w:val="20"/>
          <w:lang w:val="en-GB"/>
        </w:rPr>
        <w:t xml:space="preserve"> Date: 20/04/</w:t>
      </w:r>
      <w:r w:rsidRPr="009C2583">
        <w:rPr>
          <w:b w:val="0"/>
          <w:bCs/>
          <w:color w:val="auto"/>
          <w:sz w:val="24"/>
          <w:szCs w:val="20"/>
          <w:lang w:val="en-GB"/>
        </w:rPr>
        <w:t>2026).</w:t>
      </w:r>
    </w:p>
    <w:p w14:paraId="08D2E743" w14:textId="104DC2EA"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lastRenderedPageBreak/>
        <w:t xml:space="preserve">Whittlestone, J. et al. (2019) ‘Ethical and societal implications of algorithms’, </w:t>
      </w:r>
      <w:r w:rsidRPr="009C2583">
        <w:rPr>
          <w:b w:val="0"/>
          <w:bCs/>
          <w:i/>
          <w:iCs/>
          <w:color w:val="auto"/>
          <w:sz w:val="24"/>
          <w:szCs w:val="20"/>
          <w:lang w:val="en-GB"/>
        </w:rPr>
        <w:t>FAT Conference</w:t>
      </w:r>
      <w:r w:rsidRPr="009C2583">
        <w:rPr>
          <w:b w:val="0"/>
          <w:bCs/>
          <w:color w:val="auto"/>
          <w:sz w:val="24"/>
          <w:szCs w:val="20"/>
          <w:lang w:val="en-GB"/>
        </w:rPr>
        <w:t xml:space="preserve">. Available at: </w:t>
      </w:r>
      <w:hyperlink r:id="rId45" w:tgtFrame="_new" w:history="1">
        <w:r w:rsidRPr="009C2583">
          <w:rPr>
            <w:rStyle w:val="Hyperlink"/>
            <w:b w:val="0"/>
            <w:bCs/>
            <w:color w:val="auto"/>
            <w:sz w:val="24"/>
            <w:szCs w:val="20"/>
            <w:lang w:val="en-GB"/>
          </w:rPr>
          <w:t>https://arxiv.org</w:t>
        </w:r>
      </w:hyperlink>
      <w:r w:rsidRPr="009C2583">
        <w:rPr>
          <w:b w:val="0"/>
          <w:bCs/>
          <w:color w:val="auto"/>
          <w:sz w:val="24"/>
          <w:szCs w:val="20"/>
          <w:lang w:val="en-GB"/>
        </w:rPr>
        <w:t xml:space="preserve"> (Accessed</w:t>
      </w:r>
      <w:r w:rsidR="00F91F73">
        <w:rPr>
          <w:b w:val="0"/>
          <w:bCs/>
          <w:color w:val="auto"/>
          <w:sz w:val="24"/>
          <w:szCs w:val="20"/>
          <w:lang w:val="en-GB"/>
        </w:rPr>
        <w:t xml:space="preserve"> Date: 21/04/</w:t>
      </w:r>
      <w:r w:rsidRPr="009C2583">
        <w:rPr>
          <w:b w:val="0"/>
          <w:bCs/>
          <w:color w:val="auto"/>
          <w:sz w:val="24"/>
          <w:szCs w:val="20"/>
          <w:lang w:val="en-GB"/>
        </w:rPr>
        <w:t>2026).</w:t>
      </w:r>
    </w:p>
    <w:p w14:paraId="1DFEB87A" w14:textId="5C6F804C"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Wood, A.J. et al. (2019) ‘Good gig, bad gig’, </w:t>
      </w:r>
      <w:r w:rsidRPr="009C2583">
        <w:rPr>
          <w:b w:val="0"/>
          <w:bCs/>
          <w:i/>
          <w:iCs/>
          <w:color w:val="auto"/>
          <w:sz w:val="24"/>
          <w:szCs w:val="20"/>
          <w:lang w:val="en-GB"/>
        </w:rPr>
        <w:t>Work, Employment and Society</w:t>
      </w:r>
      <w:r w:rsidRPr="009C2583">
        <w:rPr>
          <w:b w:val="0"/>
          <w:bCs/>
          <w:color w:val="auto"/>
          <w:sz w:val="24"/>
          <w:szCs w:val="20"/>
          <w:lang w:val="en-GB"/>
        </w:rPr>
        <w:t xml:space="preserve">, 33(1), pp. 56–75. Available at: </w:t>
      </w:r>
      <w:hyperlink r:id="rId46" w:tgtFrame="_new" w:history="1">
        <w:r w:rsidRPr="009C2583">
          <w:rPr>
            <w:rStyle w:val="Hyperlink"/>
            <w:b w:val="0"/>
            <w:bCs/>
            <w:color w:val="auto"/>
            <w:sz w:val="24"/>
            <w:szCs w:val="20"/>
            <w:lang w:val="en-GB"/>
          </w:rPr>
          <w:t>https://journals.sagepub.com/doi/10.1177/0950017018785616</w:t>
        </w:r>
      </w:hyperlink>
      <w:r w:rsidRPr="009C2583">
        <w:rPr>
          <w:b w:val="0"/>
          <w:bCs/>
          <w:color w:val="auto"/>
          <w:sz w:val="24"/>
          <w:szCs w:val="20"/>
          <w:lang w:val="en-GB"/>
        </w:rPr>
        <w:t xml:space="preserve"> (Accessed</w:t>
      </w:r>
      <w:r w:rsidR="00F91F73">
        <w:rPr>
          <w:b w:val="0"/>
          <w:bCs/>
          <w:color w:val="auto"/>
          <w:sz w:val="24"/>
          <w:szCs w:val="20"/>
          <w:lang w:val="en-GB"/>
        </w:rPr>
        <w:t xml:space="preserve"> Date: 11/04/</w:t>
      </w:r>
      <w:r w:rsidRPr="009C2583">
        <w:rPr>
          <w:b w:val="0"/>
          <w:bCs/>
          <w:color w:val="auto"/>
          <w:sz w:val="24"/>
          <w:szCs w:val="20"/>
          <w:lang w:val="en-GB"/>
        </w:rPr>
        <w:t>2026).</w:t>
      </w:r>
    </w:p>
    <w:p w14:paraId="4FF7F091" w14:textId="59FA9037"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World Economic Forum (2024) </w:t>
      </w:r>
      <w:r w:rsidRPr="009C2583">
        <w:rPr>
          <w:b w:val="0"/>
          <w:bCs/>
          <w:i/>
          <w:iCs/>
          <w:color w:val="auto"/>
          <w:sz w:val="24"/>
          <w:szCs w:val="20"/>
          <w:lang w:val="en-GB"/>
        </w:rPr>
        <w:t>Global Risks Report</w:t>
      </w:r>
      <w:r w:rsidRPr="009C2583">
        <w:rPr>
          <w:b w:val="0"/>
          <w:bCs/>
          <w:color w:val="auto"/>
          <w:sz w:val="24"/>
          <w:szCs w:val="20"/>
          <w:lang w:val="en-GB"/>
        </w:rPr>
        <w:t>. Available at: https://www.weforum.org/reports/global-risks-report-2024 (Accessed</w:t>
      </w:r>
      <w:r w:rsidR="00F91F73">
        <w:rPr>
          <w:b w:val="0"/>
          <w:bCs/>
          <w:color w:val="auto"/>
          <w:sz w:val="24"/>
          <w:szCs w:val="20"/>
          <w:lang w:val="en-GB"/>
        </w:rPr>
        <w:t>: 11/04/</w:t>
      </w:r>
      <w:r w:rsidRPr="009C2583">
        <w:rPr>
          <w:b w:val="0"/>
          <w:bCs/>
          <w:color w:val="auto"/>
          <w:sz w:val="24"/>
          <w:szCs w:val="20"/>
          <w:lang w:val="en-GB"/>
        </w:rPr>
        <w:t>2026).</w:t>
      </w:r>
    </w:p>
    <w:p w14:paraId="75D4D91E" w14:textId="3A85582B" w:rsidR="009C2583" w:rsidRPr="009C2583" w:rsidRDefault="009C2583" w:rsidP="009C2583">
      <w:pPr>
        <w:tabs>
          <w:tab w:val="left" w:pos="2674"/>
        </w:tabs>
        <w:rPr>
          <w:b w:val="0"/>
          <w:bCs/>
          <w:color w:val="auto"/>
          <w:sz w:val="24"/>
          <w:szCs w:val="20"/>
          <w:lang w:val="en-GB"/>
        </w:rPr>
      </w:pPr>
      <w:r w:rsidRPr="009C2583">
        <w:rPr>
          <w:b w:val="0"/>
          <w:bCs/>
          <w:color w:val="auto"/>
          <w:sz w:val="24"/>
          <w:szCs w:val="20"/>
          <w:lang w:val="en-GB"/>
        </w:rPr>
        <w:t xml:space="preserve">Zuboff, S. (2019) </w:t>
      </w:r>
      <w:r w:rsidRPr="009C2583">
        <w:rPr>
          <w:b w:val="0"/>
          <w:bCs/>
          <w:i/>
          <w:iCs/>
          <w:color w:val="auto"/>
          <w:sz w:val="24"/>
          <w:szCs w:val="20"/>
          <w:lang w:val="en-GB"/>
        </w:rPr>
        <w:t>The Age of Surveillance Capitalism</w:t>
      </w:r>
      <w:r w:rsidRPr="009C2583">
        <w:rPr>
          <w:b w:val="0"/>
          <w:bCs/>
          <w:color w:val="auto"/>
          <w:sz w:val="24"/>
          <w:szCs w:val="20"/>
          <w:lang w:val="en-GB"/>
        </w:rPr>
        <w:t xml:space="preserve">. London: Profile Books. </w:t>
      </w:r>
    </w:p>
    <w:p w14:paraId="69DF11DB" w14:textId="72340D0A" w:rsidR="00B23E6D" w:rsidRPr="00B23E6D" w:rsidRDefault="00B23E6D" w:rsidP="00B23E6D">
      <w:pPr>
        <w:tabs>
          <w:tab w:val="left" w:pos="2674"/>
        </w:tabs>
      </w:pPr>
    </w:p>
    <w:sectPr w:rsidR="00B23E6D" w:rsidRPr="00B23E6D" w:rsidSect="00DF027C">
      <w:headerReference w:type="default" r:id="rId47"/>
      <w:footerReference w:type="default" r:id="rId48"/>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139814" w14:textId="77777777" w:rsidR="00501E6B" w:rsidRDefault="00501E6B">
      <w:r>
        <w:separator/>
      </w:r>
    </w:p>
    <w:p w14:paraId="3ABE18E6" w14:textId="77777777" w:rsidR="00501E6B" w:rsidRDefault="00501E6B"/>
  </w:endnote>
  <w:endnote w:type="continuationSeparator" w:id="0">
    <w:p w14:paraId="5E73CE92" w14:textId="77777777" w:rsidR="00501E6B" w:rsidRDefault="00501E6B">
      <w:r>
        <w:continuationSeparator/>
      </w:r>
    </w:p>
    <w:p w14:paraId="1BC8A81C" w14:textId="77777777" w:rsidR="00501E6B" w:rsidRDefault="00501E6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8748919"/>
      <w:docPartObj>
        <w:docPartGallery w:val="Page Numbers (Bottom of Page)"/>
        <w:docPartUnique/>
      </w:docPartObj>
    </w:sdtPr>
    <w:sdtEndPr>
      <w:rPr>
        <w:noProof/>
      </w:rPr>
    </w:sdtEndPr>
    <w:sdtContent>
      <w:p w14:paraId="5991FBBD"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507360BE"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B98FA" w14:textId="77777777" w:rsidR="00501E6B" w:rsidRDefault="00501E6B">
      <w:r>
        <w:separator/>
      </w:r>
    </w:p>
    <w:p w14:paraId="674890F9" w14:textId="77777777" w:rsidR="00501E6B" w:rsidRDefault="00501E6B"/>
  </w:footnote>
  <w:footnote w:type="continuationSeparator" w:id="0">
    <w:p w14:paraId="0E4B886F" w14:textId="77777777" w:rsidR="00501E6B" w:rsidRDefault="00501E6B">
      <w:r>
        <w:continuationSeparator/>
      </w:r>
    </w:p>
    <w:p w14:paraId="02BDB569" w14:textId="77777777" w:rsidR="00501E6B" w:rsidRDefault="00501E6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7E7EDB42" w14:textId="77777777" w:rsidTr="00D077E9">
      <w:trPr>
        <w:trHeight w:val="978"/>
      </w:trPr>
      <w:tc>
        <w:tcPr>
          <w:tcW w:w="9990" w:type="dxa"/>
          <w:tcBorders>
            <w:top w:val="nil"/>
            <w:left w:val="nil"/>
            <w:bottom w:val="single" w:sz="36" w:space="0" w:color="34ABA2" w:themeColor="accent3"/>
            <w:right w:val="nil"/>
          </w:tcBorders>
        </w:tcPr>
        <w:p w14:paraId="0549E264" w14:textId="77777777" w:rsidR="00D077E9" w:rsidRDefault="00D077E9">
          <w:pPr>
            <w:pStyle w:val="Header"/>
          </w:pPr>
        </w:p>
      </w:tc>
    </w:tr>
  </w:tbl>
  <w:p w14:paraId="63AE775F"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20436"/>
    <w:multiLevelType w:val="hybridMultilevel"/>
    <w:tmpl w:val="03369F0C"/>
    <w:lvl w:ilvl="0" w:tplc="9AEA9F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59565F"/>
    <w:multiLevelType w:val="multilevel"/>
    <w:tmpl w:val="A5064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3136CC"/>
    <w:multiLevelType w:val="multilevel"/>
    <w:tmpl w:val="F63C0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AB0570"/>
    <w:multiLevelType w:val="multilevel"/>
    <w:tmpl w:val="8F621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8044C1"/>
    <w:multiLevelType w:val="multilevel"/>
    <w:tmpl w:val="D1040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F75063"/>
    <w:multiLevelType w:val="multilevel"/>
    <w:tmpl w:val="757C7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574844"/>
    <w:multiLevelType w:val="hybridMultilevel"/>
    <w:tmpl w:val="84926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20191D"/>
    <w:multiLevelType w:val="multilevel"/>
    <w:tmpl w:val="411C1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D7693B"/>
    <w:multiLevelType w:val="multilevel"/>
    <w:tmpl w:val="96002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1C2734"/>
    <w:multiLevelType w:val="multilevel"/>
    <w:tmpl w:val="680CF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9C33BC"/>
    <w:multiLevelType w:val="multilevel"/>
    <w:tmpl w:val="E21A9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07797B"/>
    <w:multiLevelType w:val="hybridMultilevel"/>
    <w:tmpl w:val="2C4CD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3524369">
    <w:abstractNumId w:val="10"/>
  </w:num>
  <w:num w:numId="2" w16cid:durableId="1854101919">
    <w:abstractNumId w:val="8"/>
  </w:num>
  <w:num w:numId="3" w16cid:durableId="1708096738">
    <w:abstractNumId w:val="9"/>
  </w:num>
  <w:num w:numId="4" w16cid:durableId="1251894856">
    <w:abstractNumId w:val="5"/>
  </w:num>
  <w:num w:numId="5" w16cid:durableId="1807042071">
    <w:abstractNumId w:val="4"/>
  </w:num>
  <w:num w:numId="6" w16cid:durableId="894586790">
    <w:abstractNumId w:val="3"/>
  </w:num>
  <w:num w:numId="7" w16cid:durableId="676539959">
    <w:abstractNumId w:val="7"/>
  </w:num>
  <w:num w:numId="8" w16cid:durableId="1844974079">
    <w:abstractNumId w:val="2"/>
  </w:num>
  <w:num w:numId="9" w16cid:durableId="1505708202">
    <w:abstractNumId w:val="1"/>
  </w:num>
  <w:num w:numId="10" w16cid:durableId="168327551">
    <w:abstractNumId w:val="0"/>
  </w:num>
  <w:num w:numId="11" w16cid:durableId="1739357933">
    <w:abstractNumId w:val="11"/>
  </w:num>
  <w:num w:numId="12" w16cid:durableId="3613665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498"/>
    <w:rsid w:val="0002482E"/>
    <w:rsid w:val="00035B02"/>
    <w:rsid w:val="00035F47"/>
    <w:rsid w:val="00043AEF"/>
    <w:rsid w:val="00047A55"/>
    <w:rsid w:val="00050324"/>
    <w:rsid w:val="0005081D"/>
    <w:rsid w:val="000A0150"/>
    <w:rsid w:val="000A27B0"/>
    <w:rsid w:val="000A2953"/>
    <w:rsid w:val="000E63C9"/>
    <w:rsid w:val="00100F96"/>
    <w:rsid w:val="00102000"/>
    <w:rsid w:val="00113823"/>
    <w:rsid w:val="00116ACF"/>
    <w:rsid w:val="00121473"/>
    <w:rsid w:val="00130E9D"/>
    <w:rsid w:val="00150A6D"/>
    <w:rsid w:val="00150B14"/>
    <w:rsid w:val="00176D64"/>
    <w:rsid w:val="001859B8"/>
    <w:rsid w:val="00185B35"/>
    <w:rsid w:val="001A66CE"/>
    <w:rsid w:val="001B762B"/>
    <w:rsid w:val="001C1334"/>
    <w:rsid w:val="001E5E74"/>
    <w:rsid w:val="001E7B66"/>
    <w:rsid w:val="001F1AD9"/>
    <w:rsid w:val="001F2BC8"/>
    <w:rsid w:val="001F5F6B"/>
    <w:rsid w:val="001F7263"/>
    <w:rsid w:val="00221BD9"/>
    <w:rsid w:val="00243EBC"/>
    <w:rsid w:val="00246A35"/>
    <w:rsid w:val="00262FE4"/>
    <w:rsid w:val="00263F06"/>
    <w:rsid w:val="00284348"/>
    <w:rsid w:val="002C0561"/>
    <w:rsid w:val="002C21E7"/>
    <w:rsid w:val="002F29F6"/>
    <w:rsid w:val="002F51F5"/>
    <w:rsid w:val="00301602"/>
    <w:rsid w:val="00312137"/>
    <w:rsid w:val="003175F0"/>
    <w:rsid w:val="00317E5A"/>
    <w:rsid w:val="00330359"/>
    <w:rsid w:val="0033762F"/>
    <w:rsid w:val="00346B1A"/>
    <w:rsid w:val="00351D54"/>
    <w:rsid w:val="00363756"/>
    <w:rsid w:val="00366C7E"/>
    <w:rsid w:val="00381B3D"/>
    <w:rsid w:val="00384EA3"/>
    <w:rsid w:val="003A22B3"/>
    <w:rsid w:val="003A39A1"/>
    <w:rsid w:val="003C2191"/>
    <w:rsid w:val="003C3C74"/>
    <w:rsid w:val="003D1C7F"/>
    <w:rsid w:val="003D3863"/>
    <w:rsid w:val="003E4580"/>
    <w:rsid w:val="003E6D0E"/>
    <w:rsid w:val="003F1C72"/>
    <w:rsid w:val="004028D7"/>
    <w:rsid w:val="004110DE"/>
    <w:rsid w:val="004162BC"/>
    <w:rsid w:val="00422DCE"/>
    <w:rsid w:val="0044030C"/>
    <w:rsid w:val="0044085A"/>
    <w:rsid w:val="004673FB"/>
    <w:rsid w:val="004807F6"/>
    <w:rsid w:val="004A4120"/>
    <w:rsid w:val="004B21A5"/>
    <w:rsid w:val="004B648F"/>
    <w:rsid w:val="004D4C4E"/>
    <w:rsid w:val="004F515D"/>
    <w:rsid w:val="00501E6B"/>
    <w:rsid w:val="005037F0"/>
    <w:rsid w:val="0050536E"/>
    <w:rsid w:val="00516A86"/>
    <w:rsid w:val="00525261"/>
    <w:rsid w:val="005275F6"/>
    <w:rsid w:val="00543D71"/>
    <w:rsid w:val="00543FE1"/>
    <w:rsid w:val="00554335"/>
    <w:rsid w:val="00571CC0"/>
    <w:rsid w:val="00572102"/>
    <w:rsid w:val="005A6F91"/>
    <w:rsid w:val="005B263E"/>
    <w:rsid w:val="005C637B"/>
    <w:rsid w:val="005D03F7"/>
    <w:rsid w:val="005D1EE2"/>
    <w:rsid w:val="005F1BB0"/>
    <w:rsid w:val="005F37C2"/>
    <w:rsid w:val="006018CE"/>
    <w:rsid w:val="00623DAC"/>
    <w:rsid w:val="00656C4D"/>
    <w:rsid w:val="00665A26"/>
    <w:rsid w:val="006C0AD8"/>
    <w:rsid w:val="006C309D"/>
    <w:rsid w:val="006D5E2D"/>
    <w:rsid w:val="006E1904"/>
    <w:rsid w:val="006E5716"/>
    <w:rsid w:val="006F0AC8"/>
    <w:rsid w:val="00711F08"/>
    <w:rsid w:val="00714AA7"/>
    <w:rsid w:val="007237B9"/>
    <w:rsid w:val="007302B3"/>
    <w:rsid w:val="00730733"/>
    <w:rsid w:val="00730E3A"/>
    <w:rsid w:val="00736AAF"/>
    <w:rsid w:val="00747C7C"/>
    <w:rsid w:val="00753806"/>
    <w:rsid w:val="00765B2A"/>
    <w:rsid w:val="00783A34"/>
    <w:rsid w:val="00783D74"/>
    <w:rsid w:val="00787337"/>
    <w:rsid w:val="00792346"/>
    <w:rsid w:val="007A0118"/>
    <w:rsid w:val="007C6B52"/>
    <w:rsid w:val="007D16C5"/>
    <w:rsid w:val="007D54DF"/>
    <w:rsid w:val="007E1414"/>
    <w:rsid w:val="008016D6"/>
    <w:rsid w:val="008138D4"/>
    <w:rsid w:val="00823131"/>
    <w:rsid w:val="00833686"/>
    <w:rsid w:val="00841805"/>
    <w:rsid w:val="00862FE4"/>
    <w:rsid w:val="0086389A"/>
    <w:rsid w:val="00863ECC"/>
    <w:rsid w:val="0087605E"/>
    <w:rsid w:val="0087611F"/>
    <w:rsid w:val="00885C5B"/>
    <w:rsid w:val="008A5473"/>
    <w:rsid w:val="008B1FEE"/>
    <w:rsid w:val="00902CD0"/>
    <w:rsid w:val="00903C32"/>
    <w:rsid w:val="009051F0"/>
    <w:rsid w:val="00911E7A"/>
    <w:rsid w:val="009130B7"/>
    <w:rsid w:val="00916B16"/>
    <w:rsid w:val="009173B9"/>
    <w:rsid w:val="00931EDC"/>
    <w:rsid w:val="0093335D"/>
    <w:rsid w:val="0093613E"/>
    <w:rsid w:val="00943026"/>
    <w:rsid w:val="00951949"/>
    <w:rsid w:val="009572E9"/>
    <w:rsid w:val="00966B81"/>
    <w:rsid w:val="00974F7F"/>
    <w:rsid w:val="00984EE0"/>
    <w:rsid w:val="0098564C"/>
    <w:rsid w:val="009C2583"/>
    <w:rsid w:val="009C3A15"/>
    <w:rsid w:val="009C7720"/>
    <w:rsid w:val="009F0F7D"/>
    <w:rsid w:val="00A06298"/>
    <w:rsid w:val="00A23AFA"/>
    <w:rsid w:val="00A31B3E"/>
    <w:rsid w:val="00A31C08"/>
    <w:rsid w:val="00A42456"/>
    <w:rsid w:val="00A43D1F"/>
    <w:rsid w:val="00A532F3"/>
    <w:rsid w:val="00A71F40"/>
    <w:rsid w:val="00A8489E"/>
    <w:rsid w:val="00AC29F3"/>
    <w:rsid w:val="00AF0BAB"/>
    <w:rsid w:val="00B231E5"/>
    <w:rsid w:val="00B23E6D"/>
    <w:rsid w:val="00B25C17"/>
    <w:rsid w:val="00B41AAC"/>
    <w:rsid w:val="00B707F5"/>
    <w:rsid w:val="00BC3219"/>
    <w:rsid w:val="00BE32F1"/>
    <w:rsid w:val="00C02B87"/>
    <w:rsid w:val="00C05093"/>
    <w:rsid w:val="00C102C4"/>
    <w:rsid w:val="00C16B7F"/>
    <w:rsid w:val="00C4086D"/>
    <w:rsid w:val="00C5196C"/>
    <w:rsid w:val="00C71078"/>
    <w:rsid w:val="00C77E87"/>
    <w:rsid w:val="00CA1896"/>
    <w:rsid w:val="00CB5B28"/>
    <w:rsid w:val="00CD3DA8"/>
    <w:rsid w:val="00CD65A6"/>
    <w:rsid w:val="00CF37B8"/>
    <w:rsid w:val="00CF5371"/>
    <w:rsid w:val="00CF7ED3"/>
    <w:rsid w:val="00D0323A"/>
    <w:rsid w:val="00D0559F"/>
    <w:rsid w:val="00D077E9"/>
    <w:rsid w:val="00D1769B"/>
    <w:rsid w:val="00D42CB7"/>
    <w:rsid w:val="00D5413D"/>
    <w:rsid w:val="00D570A9"/>
    <w:rsid w:val="00D631FC"/>
    <w:rsid w:val="00D70D02"/>
    <w:rsid w:val="00D770C7"/>
    <w:rsid w:val="00D86945"/>
    <w:rsid w:val="00D86EE3"/>
    <w:rsid w:val="00D90290"/>
    <w:rsid w:val="00DA18C6"/>
    <w:rsid w:val="00DA5EB4"/>
    <w:rsid w:val="00DD152F"/>
    <w:rsid w:val="00DD445A"/>
    <w:rsid w:val="00DD4D9E"/>
    <w:rsid w:val="00DE213F"/>
    <w:rsid w:val="00DF027C"/>
    <w:rsid w:val="00DF46A1"/>
    <w:rsid w:val="00E00A32"/>
    <w:rsid w:val="00E22271"/>
    <w:rsid w:val="00E22ACD"/>
    <w:rsid w:val="00E26268"/>
    <w:rsid w:val="00E43F56"/>
    <w:rsid w:val="00E620B0"/>
    <w:rsid w:val="00E71613"/>
    <w:rsid w:val="00E73498"/>
    <w:rsid w:val="00E75E5B"/>
    <w:rsid w:val="00E77397"/>
    <w:rsid w:val="00E80A43"/>
    <w:rsid w:val="00E81B40"/>
    <w:rsid w:val="00E8221E"/>
    <w:rsid w:val="00EC4C5F"/>
    <w:rsid w:val="00EF555B"/>
    <w:rsid w:val="00F027BB"/>
    <w:rsid w:val="00F11DCF"/>
    <w:rsid w:val="00F162EA"/>
    <w:rsid w:val="00F23B3F"/>
    <w:rsid w:val="00F41052"/>
    <w:rsid w:val="00F52D27"/>
    <w:rsid w:val="00F714B0"/>
    <w:rsid w:val="00F778B4"/>
    <w:rsid w:val="00F83527"/>
    <w:rsid w:val="00F91F73"/>
    <w:rsid w:val="00FD583F"/>
    <w:rsid w:val="00FD7488"/>
    <w:rsid w:val="00FF05C4"/>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AF4AAD"/>
  <w15:docId w15:val="{3EA4674D-D028-4DFB-B3C1-1506452D5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NormalWeb">
    <w:name w:val="Normal (Web)"/>
    <w:basedOn w:val="Normal"/>
    <w:uiPriority w:val="99"/>
    <w:semiHidden/>
    <w:unhideWhenUsed/>
    <w:rsid w:val="00E75E5B"/>
    <w:rPr>
      <w:rFonts w:ascii="Times New Roman" w:hAnsi="Times New Roman" w:cs="Times New Roman"/>
      <w:sz w:val="24"/>
      <w:szCs w:val="24"/>
    </w:rPr>
  </w:style>
  <w:style w:type="paragraph" w:styleId="ListParagraph">
    <w:name w:val="List Paragraph"/>
    <w:basedOn w:val="Normal"/>
    <w:uiPriority w:val="34"/>
    <w:unhideWhenUsed/>
    <w:qFormat/>
    <w:rsid w:val="0087611F"/>
    <w:pPr>
      <w:ind w:left="720"/>
      <w:contextualSpacing/>
    </w:pPr>
  </w:style>
  <w:style w:type="character" w:styleId="Hyperlink">
    <w:name w:val="Hyperlink"/>
    <w:basedOn w:val="DefaultParagraphFont"/>
    <w:uiPriority w:val="99"/>
    <w:unhideWhenUsed/>
    <w:rsid w:val="009C2583"/>
    <w:rPr>
      <w:color w:val="3592CF" w:themeColor="hyperlink"/>
      <w:u w:val="single"/>
    </w:rPr>
  </w:style>
  <w:style w:type="character" w:styleId="UnresolvedMention">
    <w:name w:val="Unresolved Mention"/>
    <w:basedOn w:val="DefaultParagraphFont"/>
    <w:uiPriority w:val="99"/>
    <w:semiHidden/>
    <w:unhideWhenUsed/>
    <w:rsid w:val="009C25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11948-017-9901-5" TargetMode="External"/><Relationship Id="rId18" Type="http://schemas.openxmlformats.org/officeDocument/2006/relationships/hyperlink" Target="https://doi.org/10.1016/j.ijinfomgt.2019.08.002" TargetMode="External"/><Relationship Id="rId26" Type="http://schemas.openxmlformats.org/officeDocument/2006/relationships/hyperlink" Target="https://books.google.co.uk/books?hl=en&amp;lr=&amp;id=-RteDwAAQBAJ&amp;oi=fnd&amp;pg=PA1&amp;dq=Gillespie,+T.+(2018)+Custodians+of+the+Internet.+&amp;ots=fmfUEhPbSl&amp;sig=YAdo22uv1EkUbMNpgM9zBeWNx7Q&amp;redir_esc=y" TargetMode="External"/><Relationship Id="rId39" Type="http://schemas.openxmlformats.org/officeDocument/2006/relationships/hyperlink" Target="https://books.google.co.uk/books?hl=en&amp;lr=&amp;id=GhdDbEM-_5oC&amp;oi=fnd&amp;pg=PR5&amp;dq=Talluri,+K.T.+and+Van+Ryzin,+G.J.+(2004)+The+Theory+and+Practice+of+Revenue+Management&amp;ots=wK6RTHx3J-&amp;sig=bfhZd9RJJezO4XRPyL6Iv0wg2x8&amp;redir_esc=y" TargetMode="External"/><Relationship Id="rId3" Type="http://schemas.openxmlformats.org/officeDocument/2006/relationships/settings" Target="settings.xml"/><Relationship Id="rId21" Type="http://schemas.openxmlformats.org/officeDocument/2006/relationships/hyperlink" Target="https://ejlt.org" TargetMode="External"/><Relationship Id="rId34" Type="http://schemas.openxmlformats.org/officeDocument/2006/relationships/hyperlink" Target="https://www.degruyterbrill.com/document/doi/10.1515/9781503614260/html" TargetMode="External"/><Relationship Id="rId42" Type="http://schemas.openxmlformats.org/officeDocument/2006/relationships/hyperlink" Target="https://www.gov.uk/government/publications/ai-regulation-a-pro-innovation-approach" TargetMode="External"/><Relationship Id="rId47" Type="http://schemas.openxmlformats.org/officeDocument/2006/relationships/header" Target="header1.xml"/><Relationship Id="rId50"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www.uclalawreview.org/artificial-intelligence-policy/" TargetMode="External"/><Relationship Id="rId17" Type="http://schemas.openxmlformats.org/officeDocument/2006/relationships/hyperlink" Target="https://www.jstor.org/stable/258887" TargetMode="External"/><Relationship Id="rId25" Type="http://schemas.openxmlformats.org/officeDocument/2006/relationships/hyperlink" Target="https://doi.org/10.1016/j.techfore.2016.08.019" TargetMode="External"/><Relationship Id="rId33" Type="http://schemas.openxmlformats.org/officeDocument/2006/relationships/hyperlink" Target="https://www.nist.gov/itl/ai-risk-management-framework" TargetMode="External"/><Relationship Id="rId38" Type="http://schemas.openxmlformats.org/officeDocument/2006/relationships/hyperlink" Target="https://doi.org/10.5465/amr.1995.9508080331" TargetMode="External"/><Relationship Id="rId46" Type="http://schemas.openxmlformats.org/officeDocument/2006/relationships/hyperlink" Target="https://journals.sagepub.com/doi/10.1177/0950017018785616" TargetMode="External"/><Relationship Id="rId2" Type="http://schemas.openxmlformats.org/officeDocument/2006/relationships/styles" Target="styles.xml"/><Relationship Id="rId16" Type="http://schemas.openxmlformats.org/officeDocument/2006/relationships/hyperlink" Target="https://www.jstor.org/stable/2095101" TargetMode="External"/><Relationship Id="rId20" Type="http://schemas.openxmlformats.org/officeDocument/2006/relationships/hyperlink" Target="https://www.edelman.com/trust" TargetMode="External"/><Relationship Id="rId29" Type="http://schemas.openxmlformats.org/officeDocument/2006/relationships/hyperlink" Target="https://doi.org/10.1016/j.bushor.2018.03.007" TargetMode="External"/><Relationship Id="rId41" Type="http://schemas.openxmlformats.org/officeDocument/2006/relationships/hyperlink" Target="https://www.nber.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64bTEQAAQBAJ&amp;newbks=0&amp;printsec=frontcover&amp;pg=PA256&amp;dq=Brynjolfsson,+E.+and+McAfee,+A.+(2017)+Machine,+Platform,+Crowd&amp;hl=en&amp;source=newbks_fb&amp;redir_esc=y" TargetMode="External"/><Relationship Id="rId24" Type="http://schemas.openxmlformats.org/officeDocument/2006/relationships/hyperlink" Target="https://books.google.co.uk/books?hl=en&amp;lr=&amp;id=NpmA_qEiOpkC&amp;oi=fnd&amp;pg=PR5&amp;dq=Freeman,+R.E.+(1984)+Strategic+Management:+A+Stakeholder+Approach&amp;ots=62imF9O3UN&amp;sig=fDPC-dnvUaOOcS95D5o5YhXD-PM&amp;redir_esc=y" TargetMode="External"/><Relationship Id="rId32" Type="http://schemas.openxmlformats.org/officeDocument/2006/relationships/hyperlink" Target="https://books.google.co.uk/books?hl=en&amp;lr=&amp;id=ggnbCwAAQBAJ&amp;oi=fnd&amp;pg=PP1&amp;dq=Milanovic,+B.+(2016)+Global+Inequality.+&amp;ots=AyBUTf3asK&amp;sig=P9CvtWXkrv4PFSERt8UtFJNjm14&amp;redir_esc=y" TargetMode="External"/><Relationship Id="rId37" Type="http://schemas.openxmlformats.org/officeDocument/2006/relationships/hyperlink" Target="https://www.anthrocervone.org/development/wp-content/uploads/2015/07/Stiglitz-Freedom-to-Choose.pdf" TargetMode="External"/><Relationship Id="rId40" Type="http://schemas.openxmlformats.org/officeDocument/2006/relationships/hyperlink" Target="https://doi.org/10.1016/j.lrp.2017.06.007" TargetMode="External"/><Relationship Id="rId45" Type="http://schemas.openxmlformats.org/officeDocument/2006/relationships/hyperlink" Target="https://arxiv.org" TargetMode="External"/><Relationship Id="rId5" Type="http://schemas.openxmlformats.org/officeDocument/2006/relationships/footnotes" Target="footnotes.xml"/><Relationship Id="rId15" Type="http://schemas.openxmlformats.org/officeDocument/2006/relationships/hyperlink" Target="https://hbr.org/2018/01/artificial-intelligence-for-the-real-world" TargetMode="External"/><Relationship Id="rId23" Type="http://schemas.openxmlformats.org/officeDocument/2006/relationships/hyperlink" Target="https://link.springer.com/article/10.1007/s11023-018-9482-5" TargetMode="External"/><Relationship Id="rId28" Type="http://schemas.openxmlformats.org/officeDocument/2006/relationships/hyperlink" Target="https://journals.sagepub.com" TargetMode="External"/><Relationship Id="rId36" Type="http://schemas.openxmlformats.org/officeDocument/2006/relationships/hyperlink" Target="https://doi.org/10.1007/BF01405730" TargetMode="External"/><Relationship Id="rId49" Type="http://schemas.openxmlformats.org/officeDocument/2006/relationships/fontTable" Target="fontTable.xml"/><Relationship Id="rId10" Type="http://schemas.openxmlformats.org/officeDocument/2006/relationships/hyperlink" Target="https://journals.sagepub.com/doi/10.1177/014920639101700108" TargetMode="External"/><Relationship Id="rId19" Type="http://schemas.openxmlformats.org/officeDocument/2006/relationships/hyperlink" Target="https://books.google.co.uk/books?hl=en&amp;lr=&amp;id=g0PSkiOT8ggC&amp;oi=fnd&amp;pg=PR9&amp;dq=Earley,+P.C.+and+Ang,+S.+(2003)+Cultural+Intelligence.+Stanford:+Stanford+University+Press&amp;ots=OuypkDabzc&amp;sig=gNJ6DW2Vb6I4_hSw1TcDDzlQLw4&amp;redir_esc=y" TargetMode="External"/><Relationship Id="rId31" Type="http://schemas.openxmlformats.org/officeDocument/2006/relationships/hyperlink" Target="https://doi.org/10.1002/smj.158" TargetMode="External"/><Relationship Id="rId44" Type="http://schemas.openxmlformats.org/officeDocument/2006/relationships/hyperlink" Target="https://doi.org/10.9785/cri-2021-220402" TargetMode="External"/><Relationship Id="rId4" Type="http://schemas.openxmlformats.org/officeDocument/2006/relationships/webSettings" Target="webSettings.xml"/><Relationship Id="rId9" Type="http://schemas.openxmlformats.org/officeDocument/2006/relationships/hyperlink" Target="https://www.industry.gov.au/data-and-publications/australias-artificial-intelligence-ethics-framework" TargetMode="External"/><Relationship Id="rId14" Type="http://schemas.openxmlformats.org/officeDocument/2006/relationships/hyperlink" Target="https://www.sciencedirect.com" TargetMode="External"/><Relationship Id="rId22" Type="http://schemas.openxmlformats.org/officeDocument/2006/relationships/hyperlink" Target="https://digital-strategy.ec.europa.eu/en/policies/european-approach-artificial-intelligence" TargetMode="External"/><Relationship Id="rId27" Type="http://schemas.openxmlformats.org/officeDocument/2006/relationships/hyperlink" Target="https://journals.aps.org" TargetMode="External"/><Relationship Id="rId30" Type="http://schemas.openxmlformats.org/officeDocument/2006/relationships/hyperlink" Target="https://doi.org/10.1080/1369118X.2016.1154087" TargetMode="External"/><Relationship Id="rId35" Type="http://schemas.openxmlformats.org/officeDocument/2006/relationships/hyperlink" Target="https://hbr.org/2011/01/the-big-idea-creating-shared-value" TargetMode="External"/><Relationship Id="rId43" Type="http://schemas.openxmlformats.org/officeDocument/2006/relationships/hyperlink" Target="https://sdgs.un.org/goals" TargetMode="External"/><Relationship Id="rId48" Type="http://schemas.openxmlformats.org/officeDocument/2006/relationships/footer" Target="footer1.xml"/><Relationship Id="rId8" Type="http://schemas.openxmlformats.org/officeDocument/2006/relationships/hyperlink" Target="https://arxiv.org/abs/1606.06565" TargetMode="External"/><Relationship Id="rId51"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olly\AppData\Roaming\Microsoft\Templates\Metro%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D82D92768E047D99D1F7294B82EEC30"/>
        <w:category>
          <w:name w:val="General"/>
          <w:gallery w:val="placeholder"/>
        </w:category>
        <w:types>
          <w:type w:val="bbPlcHdr"/>
        </w:types>
        <w:behaviors>
          <w:behavior w:val="content"/>
        </w:behaviors>
        <w:guid w:val="{3F4C711F-14F7-40C3-A873-921EE18FC3F4}"/>
      </w:docPartPr>
      <w:docPartBody>
        <w:p w:rsidR="004E30B7" w:rsidRDefault="00000000">
          <w:pPr>
            <w:pStyle w:val="AD82D92768E047D99D1F7294B82EEC30"/>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April 8</w:t>
          </w:r>
          <w:r w:rsidRPr="00D86945">
            <w:rPr>
              <w:rStyle w:val="SubtitleChar"/>
              <w:b/>
            </w:rPr>
            <w:fldChar w:fldCharType="end"/>
          </w:r>
        </w:p>
      </w:docPartBody>
    </w:docPart>
    <w:docPart>
      <w:docPartPr>
        <w:name w:val="2E4145A63F0D426CAB77974ACB9A8E42"/>
        <w:category>
          <w:name w:val="General"/>
          <w:gallery w:val="placeholder"/>
        </w:category>
        <w:types>
          <w:type w:val="bbPlcHdr"/>
        </w:types>
        <w:behaviors>
          <w:behavior w:val="content"/>
        </w:behaviors>
        <w:guid w:val="{8A191BDB-5C60-4407-840A-777AB5E9B3F6}"/>
      </w:docPartPr>
      <w:docPartBody>
        <w:p w:rsidR="004E30B7" w:rsidRDefault="00000000">
          <w:pPr>
            <w:pStyle w:val="2E4145A63F0D426CAB77974ACB9A8E42"/>
          </w:pPr>
          <w:r>
            <w:t>COMPANY NAME</w:t>
          </w:r>
        </w:p>
      </w:docPartBody>
    </w:docPart>
    <w:docPart>
      <w:docPartPr>
        <w:name w:val="9A3C61923AAA46C9A77F7B39627718D4"/>
        <w:category>
          <w:name w:val="General"/>
          <w:gallery w:val="placeholder"/>
        </w:category>
        <w:types>
          <w:type w:val="bbPlcHdr"/>
        </w:types>
        <w:behaviors>
          <w:behavior w:val="content"/>
        </w:behaviors>
        <w:guid w:val="{4158C5D1-C51B-4C5B-828B-85277D2CECDD}"/>
      </w:docPartPr>
      <w:docPartBody>
        <w:p w:rsidR="004E30B7" w:rsidRDefault="00000000">
          <w:pPr>
            <w:pStyle w:val="9A3C61923AAA46C9A77F7B39627718D4"/>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554"/>
    <w:rsid w:val="00043AEF"/>
    <w:rsid w:val="000A2953"/>
    <w:rsid w:val="00121473"/>
    <w:rsid w:val="001859B8"/>
    <w:rsid w:val="00346B1A"/>
    <w:rsid w:val="00351D54"/>
    <w:rsid w:val="003E7AAD"/>
    <w:rsid w:val="004E30B7"/>
    <w:rsid w:val="005B0EEA"/>
    <w:rsid w:val="005B3700"/>
    <w:rsid w:val="006F49F7"/>
    <w:rsid w:val="00787771"/>
    <w:rsid w:val="008016D6"/>
    <w:rsid w:val="008138D4"/>
    <w:rsid w:val="00833686"/>
    <w:rsid w:val="009E4E23"/>
    <w:rsid w:val="00A44158"/>
    <w:rsid w:val="00AB09CF"/>
    <w:rsid w:val="00B06554"/>
    <w:rsid w:val="00B5280B"/>
    <w:rsid w:val="00BD4FF0"/>
    <w:rsid w:val="00C16B7F"/>
    <w:rsid w:val="00F71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0E2841" w:themeColor="text2"/>
      <w:spacing w:val="20"/>
      <w:kern w:val="0"/>
      <w:sz w:val="32"/>
      <w:szCs w:val="22"/>
      <w:lang w:val="en-US" w:eastAsia="en-US"/>
      <w14:ligatures w14:val="none"/>
    </w:rPr>
  </w:style>
  <w:style w:type="character" w:customStyle="1" w:styleId="SubtitleChar">
    <w:name w:val="Subtitle Char"/>
    <w:basedOn w:val="DefaultParagraphFont"/>
    <w:link w:val="Subtitle"/>
    <w:uiPriority w:val="2"/>
    <w:rPr>
      <w:caps/>
      <w:color w:val="0E2841" w:themeColor="text2"/>
      <w:spacing w:val="20"/>
      <w:kern w:val="0"/>
      <w:sz w:val="32"/>
      <w:szCs w:val="22"/>
      <w:lang w:val="en-US" w:eastAsia="en-US"/>
      <w14:ligatures w14:val="none"/>
    </w:rPr>
  </w:style>
  <w:style w:type="paragraph" w:customStyle="1" w:styleId="AD82D92768E047D99D1F7294B82EEC30">
    <w:name w:val="AD82D92768E047D99D1F7294B82EEC30"/>
  </w:style>
  <w:style w:type="paragraph" w:customStyle="1" w:styleId="2E4145A63F0D426CAB77974ACB9A8E42">
    <w:name w:val="2E4145A63F0D426CAB77974ACB9A8E42"/>
  </w:style>
  <w:style w:type="paragraph" w:customStyle="1" w:styleId="9A3C61923AAA46C9A77F7B39627718D4">
    <w:name w:val="9A3C61923AAA46C9A77F7B39627718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Metro report.dotx</Template>
  <TotalTime>6102</TotalTime>
  <Pages>19</Pages>
  <Words>8344</Words>
  <Characters>47566</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jones</dc:creator>
  <cp:keywords/>
  <dc:description/>
  <cp:lastModifiedBy>Molly Jones (1900848)</cp:lastModifiedBy>
  <cp:revision>3</cp:revision>
  <cp:lastPrinted>2006-08-01T17:47:00Z</cp:lastPrinted>
  <dcterms:created xsi:type="dcterms:W3CDTF">2026-04-08T17:54:00Z</dcterms:created>
  <dcterms:modified xsi:type="dcterms:W3CDTF">2026-04-27T17:24:00Z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