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7A4EF" w14:textId="77777777" w:rsidR="00F40B81" w:rsidRDefault="00F40B81" w:rsidP="00F40B81">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HARMONY: THEORY AND PRACTICE</w:t>
      </w:r>
    </w:p>
    <w:p w14:paraId="75BF4867" w14:textId="77777777" w:rsidR="00F40B81" w:rsidRDefault="00F40B81" w:rsidP="00F40B81">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NICK CAMPION</w:t>
      </w:r>
    </w:p>
    <w:p w14:paraId="4649809E" w14:textId="77777777" w:rsidR="00F40B81" w:rsidRDefault="00F40B81" w:rsidP="00F40B81">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WEEK 8: INTERCONNECTIONS</w:t>
      </w:r>
    </w:p>
    <w:p w14:paraId="0CD80824" w14:textId="77777777" w:rsidR="00F40B81" w:rsidRDefault="00F40B81" w:rsidP="00F40B81">
      <w:pPr>
        <w:shd w:val="clear" w:color="auto" w:fill="FFFFFF"/>
        <w:spacing w:line="240" w:lineRule="auto"/>
        <w:contextualSpacing/>
        <w:rPr>
          <w:rFonts w:ascii="Arial" w:eastAsia="Times New Roman" w:hAnsi="Arial" w:cs="Arial"/>
          <w:b/>
          <w:bCs/>
          <w:color w:val="222222"/>
          <w:kern w:val="0"/>
          <w:lang w:eastAsia="en-GB"/>
          <w14:ligatures w14:val="none"/>
        </w:rPr>
      </w:pPr>
    </w:p>
    <w:p w14:paraId="56BCFF47" w14:textId="77777777" w:rsidR="00F40B81" w:rsidRDefault="00F40B81" w:rsidP="00F40B81">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NICK CAMPION</w:t>
      </w:r>
    </w:p>
    <w:p w14:paraId="2B9A3B75" w14:textId="77777777" w:rsidR="00F40B81" w:rsidRDefault="00F40B81" w:rsidP="00F40B81">
      <w:pPr>
        <w:shd w:val="clear" w:color="auto" w:fill="FFFFFF"/>
        <w:spacing w:line="240" w:lineRule="auto"/>
        <w:contextualSpacing/>
        <w:rPr>
          <w:rFonts w:ascii="Arial" w:eastAsia="Times New Roman" w:hAnsi="Arial" w:cs="Arial"/>
          <w:color w:val="222222"/>
          <w:kern w:val="0"/>
          <w:lang w:eastAsia="en-GB"/>
          <w14:ligatures w14:val="none"/>
        </w:rPr>
      </w:pPr>
    </w:p>
    <w:p w14:paraId="56E7CA39" w14:textId="77777777" w:rsidR="00F40B81" w:rsidRDefault="00F40B81" w:rsidP="00F40B81">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Tasks for this week.</w:t>
      </w:r>
    </w:p>
    <w:p w14:paraId="1545DAEE" w14:textId="77777777" w:rsidR="00F40B81" w:rsidRDefault="00F40B81" w:rsidP="00F40B81">
      <w:pPr>
        <w:pStyle w:val="ListParagraph"/>
        <w:numPr>
          <w:ilvl w:val="0"/>
          <w:numId w:val="2"/>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Download the Required Reading:</w:t>
      </w:r>
    </w:p>
    <w:p w14:paraId="33EC975B" w14:textId="77777777" w:rsidR="00F40B81" w:rsidRDefault="00F40B81" w:rsidP="00F40B81">
      <w:pPr>
        <w:pStyle w:val="ListParagraph"/>
        <w:numPr>
          <w:ilvl w:val="0"/>
          <w:numId w:val="2"/>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Post on the Forum</w:t>
      </w:r>
    </w:p>
    <w:p w14:paraId="16774F0F" w14:textId="77777777" w:rsidR="00F40B81" w:rsidRDefault="00F40B81" w:rsidP="00F40B81">
      <w:pPr>
        <w:pStyle w:val="ListParagraph"/>
        <w:numPr>
          <w:ilvl w:val="0"/>
          <w:numId w:val="2"/>
        </w:num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color w:val="222222"/>
          <w:kern w:val="0"/>
          <w:lang w:eastAsia="en-GB"/>
          <w14:ligatures w14:val="none"/>
        </w:rPr>
        <w:t xml:space="preserve">Work on your second </w:t>
      </w:r>
      <w:proofErr w:type="gramStart"/>
      <w:r>
        <w:rPr>
          <w:rFonts w:ascii="Arial" w:eastAsia="Times New Roman" w:hAnsi="Arial" w:cs="Arial"/>
          <w:color w:val="222222"/>
          <w:kern w:val="0"/>
          <w:lang w:eastAsia="en-GB"/>
          <w14:ligatures w14:val="none"/>
        </w:rPr>
        <w:t>essay</w:t>
      </w:r>
      <w:proofErr w:type="gramEnd"/>
    </w:p>
    <w:p w14:paraId="7A20B37C" w14:textId="77777777" w:rsidR="00F40B81" w:rsidRDefault="00F40B81" w:rsidP="00F40B81">
      <w:pPr>
        <w:pStyle w:val="ListParagraph"/>
        <w:shd w:val="clear" w:color="auto" w:fill="FFFFFF"/>
        <w:spacing w:line="240" w:lineRule="auto"/>
        <w:rPr>
          <w:rFonts w:ascii="Arial" w:eastAsia="Times New Roman" w:hAnsi="Arial" w:cs="Arial"/>
          <w:b/>
          <w:bCs/>
          <w:color w:val="222222"/>
          <w:kern w:val="0"/>
          <w:lang w:eastAsia="en-GB"/>
          <w14:ligatures w14:val="none"/>
        </w:rPr>
      </w:pPr>
    </w:p>
    <w:p w14:paraId="53928F5C" w14:textId="77777777" w:rsidR="00F40B81" w:rsidRDefault="00F40B81" w:rsidP="00F40B81">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INTRODUCTION</w:t>
      </w:r>
    </w:p>
    <w:p w14:paraId="3892AB3E"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r>
        <w:rPr>
          <w:rFonts w:ascii="Arial" w:eastAsia="Times New Roman" w:hAnsi="Arial" w:cs="Arial"/>
          <w:color w:val="222222"/>
          <w:kern w:val="0"/>
          <w:shd w:val="clear" w:color="auto" w:fill="FFFFFF"/>
          <w:lang w:eastAsia="en-GB"/>
          <w14:ligatures w14:val="none"/>
        </w:rPr>
        <w:t>This week we focus on modern theories on the interconnectivity of all things. Connection is a fundamental proposition of most world views, although it’s not universal. It is also a principle of Harmony as stated by David Cadman, and evident in many of the traditional texts we have looked at.</w:t>
      </w:r>
    </w:p>
    <w:p w14:paraId="6DC035CC"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p>
    <w:p w14:paraId="01DCCFDE"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r>
        <w:rPr>
          <w:rFonts w:ascii="Arial" w:eastAsia="Times New Roman" w:hAnsi="Arial" w:cs="Arial"/>
          <w:color w:val="222222"/>
          <w:kern w:val="0"/>
          <w:shd w:val="clear" w:color="auto" w:fill="FFFFFF"/>
          <w:lang w:eastAsia="en-GB"/>
          <w14:ligatures w14:val="none"/>
        </w:rPr>
        <w:t xml:space="preserve">In the European worldview, for example, the concept of the existence of the soul as separate to the physical world was embedded in Christian discourse and justified by both Christian theology and Platonism, even though until the 17th century, the entire natural world was conceived of as a single interlocking organism (based in the natural philosophy of Aristotle). The beginning of the experimental method in science in the 17th century (although the term did not acquire its modern meaning until the 1820s) began the process of reductionism, according to which it was thought that the natural world could be under understood best by examining individual phenomena in isolation. Thanks to the success of the experimental method reductionism thereby became the norm. </w:t>
      </w:r>
    </w:p>
    <w:p w14:paraId="0F1F3BC3"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p>
    <w:p w14:paraId="3C445F97"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The well-known Cartesian split, by which the philosopher, Rene Descartes (1596-1650) clarified the Platonic and Christian separation of soul and body into an absolute distinction between mind and body. The new Cartesian theory of mind, combined with the experimental method had wide consequences.</w:t>
      </w:r>
    </w:p>
    <w:p w14:paraId="2613F3BB"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p>
    <w:p w14:paraId="667A1889" w14:textId="77777777" w:rsidR="00F40B81" w:rsidRDefault="00F40B81" w:rsidP="00F40B81">
      <w:pPr>
        <w:spacing w:after="0" w:line="240" w:lineRule="auto"/>
        <w:rPr>
          <w:rFonts w:ascii="Arial" w:eastAsia="Times New Roman" w:hAnsi="Arial" w:cs="Arial"/>
          <w:kern w:val="0"/>
          <w:lang w:eastAsia="en-GB"/>
          <w14:ligatures w14:val="none"/>
        </w:rPr>
      </w:pPr>
      <w:r>
        <w:rPr>
          <w:rFonts w:ascii="Arial" w:eastAsia="Times New Roman" w:hAnsi="Arial" w:cs="Arial"/>
          <w:color w:val="222222"/>
          <w:kern w:val="0"/>
          <w:shd w:val="clear" w:color="auto" w:fill="FFFFFF"/>
          <w:lang w:eastAsia="en-GB"/>
          <w14:ligatures w14:val="none"/>
        </w:rPr>
        <w:t xml:space="preserve">In medicine the idea that a physical ailment could be treated in isolation to the rest of the body, became standard, and pharmacologists looked for the individual active ingredient in a substance, rather than considering that active ingredients might work as part of wider complex systems. This is not to say that individual drug treatments and the treatment of individual ailments cannot be useful and effective. It is just that, in some cases they may be dangerous or ineffective, unless wider contexts are </w:t>
      </w:r>
      <w:proofErr w:type="gramStart"/>
      <w:r>
        <w:rPr>
          <w:rFonts w:ascii="Arial" w:eastAsia="Times New Roman" w:hAnsi="Arial" w:cs="Arial"/>
          <w:color w:val="222222"/>
          <w:kern w:val="0"/>
          <w:shd w:val="clear" w:color="auto" w:fill="FFFFFF"/>
          <w:lang w:eastAsia="en-GB"/>
          <w14:ligatures w14:val="none"/>
        </w:rPr>
        <w:t>taken into account</w:t>
      </w:r>
      <w:proofErr w:type="gramEnd"/>
      <w:r>
        <w:rPr>
          <w:rFonts w:ascii="Arial" w:eastAsia="Times New Roman" w:hAnsi="Arial" w:cs="Arial"/>
          <w:color w:val="222222"/>
          <w:kern w:val="0"/>
          <w:shd w:val="clear" w:color="auto" w:fill="FFFFFF"/>
          <w:lang w:eastAsia="en-GB"/>
          <w14:ligatures w14:val="none"/>
        </w:rPr>
        <w:t>. Neither should we slip into an anti-science position. Empiricism, the reliance on verifiable evidence, is central to physical ecology and climate science.</w:t>
      </w:r>
      <w:r>
        <w:rPr>
          <w:rStyle w:val="FootnoteReference"/>
          <w:rFonts w:ascii="Arial" w:eastAsia="Times New Roman" w:hAnsi="Arial" w:cs="Arial"/>
          <w:color w:val="222222"/>
          <w:kern w:val="0"/>
          <w:shd w:val="clear" w:color="auto" w:fill="FFFFFF"/>
          <w:lang w:eastAsia="en-GB"/>
          <w14:ligatures w14:val="none"/>
        </w:rPr>
        <w:footnoteReference w:id="1"/>
      </w:r>
      <w:r>
        <w:rPr>
          <w:rFonts w:ascii="Arial" w:eastAsia="Times New Roman" w:hAnsi="Arial" w:cs="Arial"/>
          <w:color w:val="222222"/>
          <w:kern w:val="0"/>
          <w:shd w:val="clear" w:color="auto" w:fill="FFFFFF"/>
          <w:lang w:eastAsia="en-GB"/>
          <w14:ligatures w14:val="none"/>
        </w:rPr>
        <w:t xml:space="preserve"> The argument is instead that empirical studies should consider whole systems rather than isolated ones.</w:t>
      </w:r>
    </w:p>
    <w:p w14:paraId="750C242C"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6DD4951B"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What we might call a philosophy of disconnection, rather than interconnection, is pervasive. Casual Pollution of the environment remains a huge problem, </w:t>
      </w:r>
      <w:proofErr w:type="gramStart"/>
      <w:r>
        <w:rPr>
          <w:rFonts w:ascii="Arial" w:eastAsia="Times New Roman" w:hAnsi="Arial" w:cs="Arial"/>
          <w:color w:val="222222"/>
          <w:kern w:val="0"/>
          <w:lang w:eastAsia="en-GB"/>
          <w14:ligatures w14:val="none"/>
        </w:rPr>
        <w:t>in spite of</w:t>
      </w:r>
      <w:proofErr w:type="gramEnd"/>
      <w:r>
        <w:rPr>
          <w:rFonts w:ascii="Arial" w:eastAsia="Times New Roman" w:hAnsi="Arial" w:cs="Arial"/>
          <w:color w:val="222222"/>
          <w:kern w:val="0"/>
          <w:lang w:eastAsia="en-GB"/>
          <w14:ligatures w14:val="none"/>
        </w:rPr>
        <w:t xml:space="preserve"> some remedial measures. The excessive use of chemical fertilisers, pesticides and antibiotic drugs in agriculture remains a serious issue. Underlying all the motives behind these phenomena, </w:t>
      </w:r>
      <w:r>
        <w:rPr>
          <w:rFonts w:ascii="Arial" w:eastAsia="Times New Roman" w:hAnsi="Arial" w:cs="Arial"/>
          <w:color w:val="222222"/>
          <w:kern w:val="0"/>
          <w:lang w:eastAsia="en-GB"/>
          <w14:ligatures w14:val="none"/>
        </w:rPr>
        <w:lastRenderedPageBreak/>
        <w:t>which in some cases might be well-intentioned (the desire to feed the world), lies a worldview in which such destructive activities do not matter because, if the world is disconnected, then one can cause a problem in one place without it, causing a problem in another. Neither should we fall into the trap of imagining that these are western problems: they occur in many cultures.</w:t>
      </w:r>
    </w:p>
    <w:p w14:paraId="0F692705"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500AA82F"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The philosophy of disconnection is countered by a series of modern world views, which all have interconnection as their fundamental proposition, and therefore provide a modern basis for the theory of Harmony. This week, we will introduce some of these theories. You are not expected to become an expert in all of them, but any one of them can assist you in providing theoretical context for a wider understanding of Harmony and your second essay. </w:t>
      </w:r>
    </w:p>
    <w:p w14:paraId="43E2E3D9"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724BCE53"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There may be other models you can consider. For example, you may wish to explore issues arising from astronomical cycles, seasonal, </w:t>
      </w:r>
      <w:proofErr w:type="gramStart"/>
      <w:r>
        <w:rPr>
          <w:rFonts w:ascii="Arial" w:eastAsia="Times New Roman" w:hAnsi="Arial" w:cs="Arial"/>
          <w:color w:val="222222"/>
          <w:kern w:val="0"/>
          <w:lang w:eastAsia="en-GB"/>
          <w14:ligatures w14:val="none"/>
        </w:rPr>
        <w:t>solar</w:t>
      </w:r>
      <w:proofErr w:type="gramEnd"/>
      <w:r>
        <w:rPr>
          <w:rFonts w:ascii="Arial" w:eastAsia="Times New Roman" w:hAnsi="Arial" w:cs="Arial"/>
          <w:color w:val="222222"/>
          <w:kern w:val="0"/>
          <w:lang w:eastAsia="en-GB"/>
          <w14:ligatures w14:val="none"/>
        </w:rPr>
        <w:t xml:space="preserve"> and lunar, which exert a profound rhythmic effect on nature across our planet.</w:t>
      </w:r>
    </w:p>
    <w:p w14:paraId="613745D4"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207EC3A3"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There is no required reading this week, as you are free to explore and experiment, and each area is optional. There is no reading for the Forum as you should focus on your second essay. </w:t>
      </w:r>
    </w:p>
    <w:p w14:paraId="3A241417" w14:textId="77777777" w:rsidR="00F40B81" w:rsidRDefault="00F40B81" w:rsidP="00F40B81">
      <w:pPr>
        <w:spacing w:line="240" w:lineRule="auto"/>
        <w:rPr>
          <w:rFonts w:ascii="Arial" w:hAnsi="Arial" w:cs="Arial"/>
          <w:b/>
          <w:bCs/>
        </w:rPr>
      </w:pPr>
    </w:p>
    <w:p w14:paraId="152381F6" w14:textId="77777777" w:rsidR="00F40B81" w:rsidRDefault="00F40B81" w:rsidP="00F40B81">
      <w:pPr>
        <w:spacing w:line="240" w:lineRule="auto"/>
        <w:rPr>
          <w:rFonts w:ascii="Arial" w:hAnsi="Arial" w:cs="Arial"/>
          <w:b/>
          <w:bCs/>
        </w:rPr>
      </w:pPr>
      <w:r>
        <w:rPr>
          <w:rFonts w:ascii="Arial" w:hAnsi="Arial" w:cs="Arial"/>
          <w:b/>
          <w:bCs/>
        </w:rPr>
        <w:t>HOW TO USE THIS WEEK’S MATERIAL</w:t>
      </w:r>
    </w:p>
    <w:p w14:paraId="0E3D7869" w14:textId="77777777" w:rsidR="00F40B81" w:rsidRDefault="00F40B81" w:rsidP="00F40B81">
      <w:pPr>
        <w:spacing w:line="240" w:lineRule="auto"/>
        <w:contextualSpacing/>
        <w:rPr>
          <w:rFonts w:ascii="Arial" w:hAnsi="Arial" w:cs="Arial"/>
        </w:rPr>
      </w:pPr>
      <w:r>
        <w:rPr>
          <w:rFonts w:ascii="Arial" w:hAnsi="Arial" w:cs="Arial"/>
        </w:rPr>
        <w:t xml:space="preserve">We covered traditional philosophies and world views in weeks 1-3. However, we need to be aware of the range of modern models and worldviews which assume the interconnectivity of all things, a key Harmony principle. This week’s reading therefore allows you to be self-directed. You are not expected to read on every area but to be selective and consider what might help contextualise material in your second essay. </w:t>
      </w:r>
    </w:p>
    <w:p w14:paraId="674116E7" w14:textId="77777777" w:rsidR="00F40B81" w:rsidRDefault="00F40B81" w:rsidP="00F40B81">
      <w:pPr>
        <w:spacing w:line="240" w:lineRule="auto"/>
        <w:contextualSpacing/>
        <w:rPr>
          <w:rFonts w:ascii="Arial" w:hAnsi="Arial" w:cs="Arial"/>
          <w:b/>
          <w:bCs/>
        </w:rPr>
      </w:pPr>
    </w:p>
    <w:p w14:paraId="4718960D" w14:textId="77777777" w:rsidR="00F40B81" w:rsidRDefault="00F40B81" w:rsidP="00F40B81">
      <w:pPr>
        <w:spacing w:line="240" w:lineRule="auto"/>
        <w:contextualSpacing/>
        <w:rPr>
          <w:rFonts w:ascii="Arial" w:hAnsi="Arial" w:cs="Arial"/>
          <w:b/>
          <w:bCs/>
        </w:rPr>
      </w:pPr>
      <w:r>
        <w:rPr>
          <w:rFonts w:ascii="Arial" w:hAnsi="Arial" w:cs="Arial"/>
          <w:b/>
          <w:bCs/>
        </w:rPr>
        <w:t>CHAOS THEORY</w:t>
      </w:r>
    </w:p>
    <w:p w14:paraId="15414D69" w14:textId="77777777" w:rsidR="00F40B81" w:rsidRDefault="00F40B81" w:rsidP="00F40B81">
      <w:pPr>
        <w:spacing w:line="240" w:lineRule="auto"/>
        <w:contextualSpacing/>
        <w:rPr>
          <w:rFonts w:ascii="Arial" w:eastAsia="Times New Roman" w:hAnsi="Arial" w:cs="Arial"/>
          <w:color w:val="222222"/>
          <w:kern w:val="0"/>
          <w:lang w:eastAsia="en-GB"/>
          <w14:ligatures w14:val="none"/>
        </w:rPr>
      </w:pPr>
    </w:p>
    <w:p w14:paraId="05438313" w14:textId="77777777" w:rsidR="00F40B81" w:rsidRDefault="00F40B81" w:rsidP="00F40B81">
      <w:pPr>
        <w:spacing w:line="240" w:lineRule="auto"/>
        <w:contextualSpacing/>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Chaos Theory postulates that behaviour in deterministic systems can vary and therefore become unpredictable</w:t>
      </w:r>
      <w:r>
        <w:rPr>
          <w:rFonts w:ascii="Arial" w:eastAsia="Times New Roman" w:hAnsi="Arial" w:cs="Arial"/>
          <w:color w:val="4D5156"/>
          <w:kern w:val="0"/>
          <w:lang w:eastAsia="en-GB"/>
          <w14:ligatures w14:val="none"/>
        </w:rPr>
        <w:t>. </w:t>
      </w:r>
      <w:r>
        <w:rPr>
          <w:rFonts w:ascii="Arial" w:eastAsia="Times New Roman" w:hAnsi="Arial" w:cs="Arial"/>
          <w:color w:val="222222"/>
          <w:kern w:val="0"/>
          <w:lang w:eastAsia="en-GB"/>
          <w14:ligatures w14:val="none"/>
        </w:rPr>
        <w:t xml:space="preserve">It has various origins, one of which was the demonstration by Henri </w:t>
      </w:r>
      <w:proofErr w:type="spellStart"/>
      <w:r>
        <w:rPr>
          <w:rFonts w:ascii="Arial" w:eastAsia="Times New Roman" w:hAnsi="Arial" w:cs="Arial"/>
          <w:color w:val="222222"/>
          <w:kern w:val="0"/>
          <w:lang w:eastAsia="en-GB"/>
          <w14:ligatures w14:val="none"/>
        </w:rPr>
        <w:t>Poincaré</w:t>
      </w:r>
      <w:proofErr w:type="spellEnd"/>
      <w:r>
        <w:rPr>
          <w:rFonts w:ascii="Arial" w:eastAsia="Times New Roman" w:hAnsi="Arial" w:cs="Arial"/>
          <w:color w:val="222222"/>
          <w:kern w:val="0"/>
          <w:lang w:eastAsia="en-GB"/>
          <w14:ligatures w14:val="none"/>
        </w:rPr>
        <w:t xml:space="preserve"> (1854-1912) that the stability of the solar system cannot be demonstrated.</w:t>
      </w:r>
      <w:r>
        <w:rPr>
          <w:rStyle w:val="FootnoteReference"/>
          <w:rFonts w:ascii="Arial" w:eastAsia="Times New Roman" w:hAnsi="Arial" w:cs="Arial"/>
          <w:color w:val="222222"/>
          <w:kern w:val="0"/>
          <w:lang w:eastAsia="en-GB"/>
          <w14:ligatures w14:val="none"/>
        </w:rPr>
        <w:footnoteReference w:id="2"/>
      </w:r>
      <w:r>
        <w:rPr>
          <w:rFonts w:ascii="Arial" w:eastAsia="Times New Roman" w:hAnsi="Arial" w:cs="Arial"/>
          <w:color w:val="222222"/>
          <w:kern w:val="0"/>
          <w:lang w:eastAsia="en-GB"/>
          <w14:ligatures w14:val="none"/>
        </w:rPr>
        <w:t xml:space="preserve"> </w:t>
      </w:r>
      <w:proofErr w:type="spellStart"/>
      <w:r>
        <w:rPr>
          <w:rFonts w:ascii="Arial" w:eastAsia="Times New Roman" w:hAnsi="Arial" w:cs="Arial"/>
          <w:color w:val="222222"/>
          <w:kern w:val="0"/>
          <w:lang w:eastAsia="en-GB"/>
          <w14:ligatures w14:val="none"/>
        </w:rPr>
        <w:t>Poincaré</w:t>
      </w:r>
      <w:proofErr w:type="spellEnd"/>
      <w:r>
        <w:rPr>
          <w:rFonts w:ascii="Arial" w:eastAsia="Times New Roman" w:hAnsi="Arial" w:cs="Arial"/>
          <w:color w:val="222222"/>
          <w:kern w:val="0"/>
          <w:lang w:eastAsia="en-GB"/>
          <w14:ligatures w14:val="none"/>
        </w:rPr>
        <w:t xml:space="preserve"> modified the Newtonian concept that there are immutable physical laws, and therefore deterministic processes, by pointing out that systems can be modified by often very minor occurrences elsewhere. All systems are therefore inherently unstable. </w:t>
      </w:r>
    </w:p>
    <w:p w14:paraId="0A081FC9" w14:textId="77777777" w:rsidR="00F40B81" w:rsidRDefault="00F40B81" w:rsidP="00F40B81">
      <w:pPr>
        <w:pStyle w:val="ListBullet"/>
        <w:numPr>
          <w:ilvl w:val="0"/>
          <w:numId w:val="0"/>
        </w:numPr>
        <w:tabs>
          <w:tab w:val="left" w:pos="720"/>
        </w:tabs>
        <w:rPr>
          <w:lang w:eastAsia="en-GB"/>
        </w:rPr>
      </w:pPr>
      <w:r>
        <w:rPr>
          <w:rFonts w:ascii="Arial" w:hAnsi="Arial" w:cs="Arial"/>
          <w:lang w:eastAsia="en-GB"/>
        </w:rPr>
        <w:t>The major modern theorist is Edward Lorenz, who in 1961 discovered that predictions of future states taken from measurements taken in the middle of a process differed from those taken at the beginning, and that, contrary to previous assumptions, such small differences could produce significant effects.</w:t>
      </w:r>
      <w:r>
        <w:rPr>
          <w:rStyle w:val="FootnoteReference"/>
          <w:rFonts w:ascii="Arial" w:eastAsia="Times New Roman" w:hAnsi="Arial" w:cs="Arial"/>
          <w:color w:val="222222"/>
          <w:kern w:val="0"/>
          <w:lang w:eastAsia="en-GB"/>
          <w14:ligatures w14:val="none"/>
        </w:rPr>
        <w:footnoteReference w:id="3"/>
      </w:r>
      <w:r>
        <w:rPr>
          <w:rFonts w:ascii="Arial" w:hAnsi="Arial" w:cs="Arial"/>
          <w:lang w:eastAsia="en-GB"/>
        </w:rPr>
        <w:t xml:space="preserve"> Lorenz concluded that long-range weather forecasting is therefore impossible. This phenomenon is described in the so-called Butterfly Effect in which </w:t>
      </w:r>
      <w:r>
        <w:rPr>
          <w:rFonts w:ascii="Arial" w:hAnsi="Arial" w:cs="Arial"/>
          <w:lang w:eastAsia="en-GB"/>
        </w:rPr>
        <w:lastRenderedPageBreak/>
        <w:t>a butterfly flapping its wings in Brazil can theoretically cause a tornado in Texas.</w:t>
      </w:r>
      <w:r>
        <w:rPr>
          <w:rStyle w:val="FootnoteReference"/>
          <w:rFonts w:ascii="Arial" w:eastAsia="Times New Roman" w:hAnsi="Arial" w:cs="Arial"/>
          <w:color w:val="222222"/>
          <w:kern w:val="0"/>
          <w:lang w:eastAsia="en-GB"/>
          <w14:ligatures w14:val="none"/>
        </w:rPr>
        <w:footnoteReference w:id="4"/>
      </w:r>
      <w:r>
        <w:rPr>
          <w:rFonts w:ascii="Arial" w:hAnsi="Arial" w:cs="Arial"/>
          <w:lang w:eastAsia="en-GB"/>
        </w:rPr>
        <w:t xml:space="preserve">  Along with the Butterfly Effect, the key explanatory/descriptive model associated with Chaos is the fractal, a geometrical pattern which scales down at infinitely small levels. A well-known representation of fractals is the Mandelbrot Set. From the Fractal Foundation the key characteristics of Chaos Theory are: </w:t>
      </w:r>
    </w:p>
    <w:p w14:paraId="74B8181D"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The Butterfly Effect: This effect grants the power to cause a hurricane in China to a butterfly flapping its wings in New Mexico. It may take a very long time, but the connection is real. If the butterfly had not flapped its wings at just the right point in space/time, the hurricane would not have happened. A more rigorous way to express this is that small changes in the initial conditions lead to drastic changes in the results. Our lives are an ongoing demonstration of this principle. Who knows what the long-term effects of teaching millions of kids about chaos and fractals will be?</w:t>
      </w:r>
    </w:p>
    <w:p w14:paraId="55821648" w14:textId="77777777" w:rsidR="00F40B81" w:rsidRDefault="00F40B81" w:rsidP="00F40B81">
      <w:pPr>
        <w:pStyle w:val="ListParagraph"/>
        <w:shd w:val="clear" w:color="auto" w:fill="FFFFFF"/>
        <w:spacing w:after="0" w:line="240" w:lineRule="auto"/>
        <w:ind w:left="1080"/>
        <w:textAlignment w:val="baseline"/>
        <w:rPr>
          <w:rFonts w:ascii="Arial" w:eastAsia="Times New Roman" w:hAnsi="Arial" w:cs="Arial"/>
          <w:color w:val="333333"/>
          <w:kern w:val="0"/>
          <w:lang w:eastAsia="en-GB"/>
          <w14:ligatures w14:val="none"/>
        </w:rPr>
      </w:pPr>
    </w:p>
    <w:p w14:paraId="7A9DAAD5"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 xml:space="preserve">Unpredictability: Because we can never know all the initial conditions of a complex system in sufficient (i.e. perfect) detail, we cannot hope to predict the </w:t>
      </w:r>
      <w:proofErr w:type="gramStart"/>
      <w:r>
        <w:rPr>
          <w:rFonts w:ascii="Arial" w:eastAsia="Times New Roman" w:hAnsi="Arial" w:cs="Arial"/>
          <w:color w:val="333333"/>
          <w:kern w:val="0"/>
          <w:lang w:eastAsia="en-GB"/>
          <w14:ligatures w14:val="none"/>
        </w:rPr>
        <w:t>ultimate fate</w:t>
      </w:r>
      <w:proofErr w:type="gramEnd"/>
      <w:r>
        <w:rPr>
          <w:rFonts w:ascii="Arial" w:eastAsia="Times New Roman" w:hAnsi="Arial" w:cs="Arial"/>
          <w:color w:val="333333"/>
          <w:kern w:val="0"/>
          <w:lang w:eastAsia="en-GB"/>
          <w14:ligatures w14:val="none"/>
        </w:rPr>
        <w:t xml:space="preserve"> of a complex system. Even slight errors in measuring the state of a system will be amplified dramatically, rendering any prediction useless. Since it is impossible to measure the effects of all the butterflies (etc) in the World, accurate long-range weather prediction will always remain impossible.</w:t>
      </w:r>
    </w:p>
    <w:p w14:paraId="0DAFB60D" w14:textId="77777777" w:rsidR="00F40B81" w:rsidRDefault="00F40B81" w:rsidP="00F40B81">
      <w:pPr>
        <w:shd w:val="clear" w:color="auto" w:fill="FFFFFF"/>
        <w:spacing w:after="0" w:line="240" w:lineRule="auto"/>
        <w:textAlignment w:val="baseline"/>
        <w:rPr>
          <w:rFonts w:ascii="Arial" w:eastAsia="Times New Roman" w:hAnsi="Arial" w:cs="Arial"/>
          <w:color w:val="333333"/>
          <w:kern w:val="0"/>
          <w:lang w:eastAsia="en-GB"/>
          <w14:ligatures w14:val="none"/>
        </w:rPr>
      </w:pPr>
    </w:p>
    <w:p w14:paraId="28E7D030"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Order / Disorder Chaos is not simply disorder. Chaos explores the transitions between order and disorder, which often occur in surprising ways.</w:t>
      </w:r>
    </w:p>
    <w:p w14:paraId="602A9581" w14:textId="77777777" w:rsidR="00F40B81" w:rsidRDefault="00F40B81" w:rsidP="00F40B81">
      <w:pPr>
        <w:shd w:val="clear" w:color="auto" w:fill="FFFFFF"/>
        <w:spacing w:after="0" w:line="240" w:lineRule="auto"/>
        <w:textAlignment w:val="baseline"/>
        <w:rPr>
          <w:rFonts w:ascii="Arial" w:eastAsia="Times New Roman" w:hAnsi="Arial" w:cs="Arial"/>
          <w:color w:val="333333"/>
          <w:kern w:val="0"/>
          <w:lang w:eastAsia="en-GB"/>
          <w14:ligatures w14:val="none"/>
        </w:rPr>
      </w:pPr>
    </w:p>
    <w:p w14:paraId="5CB66E6C"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Mixing: Turbulence ensures that two adjacent points in a complex system will eventually end up in very different positions after some time has elapsed. Examples: Two neighbouring water molecules may end up in different parts of the ocean or even in different oceans. A group of helium balloons that launch together will eventually land in drastically different places. Mixing is thorough because turbulence occurs at all scales. It is also nonlinear: fluids cannot be unmixed.</w:t>
      </w:r>
    </w:p>
    <w:p w14:paraId="5DB7090A" w14:textId="77777777" w:rsidR="00F40B81" w:rsidRDefault="00F40B81" w:rsidP="00F40B81">
      <w:pPr>
        <w:shd w:val="clear" w:color="auto" w:fill="FFFFFF"/>
        <w:spacing w:after="0" w:line="240" w:lineRule="auto"/>
        <w:textAlignment w:val="baseline"/>
        <w:rPr>
          <w:rFonts w:ascii="Arial" w:eastAsia="Times New Roman" w:hAnsi="Arial" w:cs="Arial"/>
          <w:color w:val="333333"/>
          <w:kern w:val="0"/>
          <w:lang w:eastAsia="en-GB"/>
          <w14:ligatures w14:val="none"/>
        </w:rPr>
      </w:pPr>
    </w:p>
    <w:p w14:paraId="51E29C60"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Feedback: Systems often become chaotic when there is feedback present. A good example is the behaviour of the stock market. As the value of a stock rises or falls, people are inclined to buy or sell that stock. This in turn further affects the price of the stock, causing it to rise or fall chaotically.</w:t>
      </w:r>
    </w:p>
    <w:p w14:paraId="7D95DD3F" w14:textId="77777777" w:rsidR="00F40B81" w:rsidRDefault="00F40B81" w:rsidP="00F40B81">
      <w:pPr>
        <w:shd w:val="clear" w:color="auto" w:fill="FFFFFF"/>
        <w:spacing w:after="0" w:line="240" w:lineRule="auto"/>
        <w:textAlignment w:val="baseline"/>
        <w:rPr>
          <w:rFonts w:ascii="Arial" w:eastAsia="Times New Roman" w:hAnsi="Arial" w:cs="Arial"/>
          <w:color w:val="333333"/>
          <w:kern w:val="0"/>
          <w:lang w:eastAsia="en-GB"/>
          <w14:ligatures w14:val="none"/>
        </w:rPr>
      </w:pPr>
    </w:p>
    <w:p w14:paraId="7955B9F0" w14:textId="77777777" w:rsidR="00F40B81" w:rsidRDefault="00F40B81" w:rsidP="00F40B81">
      <w:pPr>
        <w:pStyle w:val="ListParagraph"/>
        <w:numPr>
          <w:ilvl w:val="0"/>
          <w:numId w:val="3"/>
        </w:numPr>
        <w:shd w:val="clear" w:color="auto" w:fill="FFFFFF"/>
        <w:spacing w:after="0" w:line="240" w:lineRule="auto"/>
        <w:textAlignment w:val="baseline"/>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 xml:space="preserve">Fractals: A fractal is a never-ending pattern. Fractals are infinitely complex patterns that are self-similar across different scales. They are created by repeating a simple process over and over in an ongoing feedback loop. Driven by recursion, fractals are images of dynamic systems – the pictures of Chaos. Geometrically, they exist in between our familiar dimensions. Fractal patterns are extremely </w:t>
      </w:r>
      <w:proofErr w:type="gramStart"/>
      <w:r>
        <w:rPr>
          <w:rFonts w:ascii="Arial" w:eastAsia="Times New Roman" w:hAnsi="Arial" w:cs="Arial"/>
          <w:color w:val="333333"/>
          <w:kern w:val="0"/>
          <w:lang w:eastAsia="en-GB"/>
          <w14:ligatures w14:val="none"/>
        </w:rPr>
        <w:t>familiar, since</w:t>
      </w:r>
      <w:proofErr w:type="gramEnd"/>
      <w:r>
        <w:rPr>
          <w:rFonts w:ascii="Arial" w:eastAsia="Times New Roman" w:hAnsi="Arial" w:cs="Arial"/>
          <w:color w:val="333333"/>
          <w:kern w:val="0"/>
          <w:lang w:eastAsia="en-GB"/>
          <w14:ligatures w14:val="none"/>
        </w:rPr>
        <w:t xml:space="preserve"> nature is full of fractals. For instance: trees, rivers, coastlines, mountains, clouds, seashells, hurricanes, etc.</w:t>
      </w:r>
      <w:r>
        <w:rPr>
          <w:rStyle w:val="FootnoteReference"/>
          <w:rFonts w:ascii="Arial" w:eastAsia="Times New Roman" w:hAnsi="Arial" w:cs="Arial"/>
          <w:color w:val="333333"/>
          <w:kern w:val="0"/>
          <w:lang w:eastAsia="en-GB"/>
          <w14:ligatures w14:val="none"/>
        </w:rPr>
        <w:footnoteReference w:id="5"/>
      </w:r>
    </w:p>
    <w:p w14:paraId="68CB165C" w14:textId="77777777" w:rsidR="00F40B81" w:rsidRDefault="00F40B81" w:rsidP="00F40B81">
      <w:pPr>
        <w:spacing w:line="240" w:lineRule="auto"/>
        <w:rPr>
          <w:rFonts w:ascii="Arial" w:eastAsia="Times New Roman" w:hAnsi="Arial" w:cs="Arial"/>
          <w:color w:val="222222"/>
          <w:kern w:val="0"/>
          <w:lang w:eastAsia="en-GB"/>
          <w14:ligatures w14:val="none"/>
        </w:rPr>
      </w:pPr>
    </w:p>
    <w:p w14:paraId="5225B019" w14:textId="77777777" w:rsidR="00F40B81" w:rsidRDefault="00F40B81" w:rsidP="00F40B81">
      <w:pPr>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Chaos theory is a key factor in climate science, as the possibility of feedback loops introduces significant uncertainty into predications. </w:t>
      </w:r>
    </w:p>
    <w:p w14:paraId="0AE17F69"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If Chaos Theory is related to </w:t>
      </w:r>
      <w:proofErr w:type="gramStart"/>
      <w:r>
        <w:rPr>
          <w:rFonts w:ascii="Arial" w:eastAsia="Times New Roman" w:hAnsi="Arial" w:cs="Arial"/>
          <w:color w:val="222222"/>
          <w:kern w:val="0"/>
          <w:lang w:eastAsia="en-GB"/>
          <w14:ligatures w14:val="none"/>
        </w:rPr>
        <w:t>Harmony</w:t>
      </w:r>
      <w:proofErr w:type="gramEnd"/>
      <w:r>
        <w:rPr>
          <w:rFonts w:ascii="Arial" w:eastAsia="Times New Roman" w:hAnsi="Arial" w:cs="Arial"/>
          <w:color w:val="222222"/>
          <w:kern w:val="0"/>
          <w:lang w:eastAsia="en-GB"/>
          <w14:ligatures w14:val="none"/>
        </w:rPr>
        <w:t xml:space="preserve"> then the following connections may be suggested:</w:t>
      </w:r>
    </w:p>
    <w:p w14:paraId="07E187D6" w14:textId="77777777" w:rsidR="00F40B81" w:rsidRDefault="00F40B81" w:rsidP="00F40B81">
      <w:pPr>
        <w:pStyle w:val="ListParagraph"/>
        <w:spacing w:after="0" w:line="240" w:lineRule="auto"/>
        <w:rPr>
          <w:rFonts w:ascii="Arial" w:eastAsia="Times New Roman" w:hAnsi="Arial" w:cs="Arial"/>
          <w:color w:val="222222"/>
          <w:kern w:val="0"/>
          <w:lang w:eastAsia="en-GB"/>
          <w14:ligatures w14:val="none"/>
        </w:rPr>
      </w:pPr>
    </w:p>
    <w:p w14:paraId="7224C20E"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That a small action in one place can cause effects in another reinforces the need for individual responsibility.</w:t>
      </w:r>
    </w:p>
    <w:p w14:paraId="07357E76" w14:textId="77777777" w:rsidR="00F40B81" w:rsidRDefault="00F40B81" w:rsidP="00F40B81">
      <w:pPr>
        <w:spacing w:after="0" w:line="240" w:lineRule="auto"/>
        <w:rPr>
          <w:rFonts w:ascii="Arial" w:eastAsia="Times New Roman" w:hAnsi="Arial" w:cs="Arial"/>
          <w:color w:val="222222"/>
          <w:kern w:val="0"/>
          <w:lang w:eastAsia="en-GB"/>
          <w14:ligatures w14:val="none"/>
        </w:rPr>
      </w:pPr>
    </w:p>
    <w:p w14:paraId="2A413395"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Unpredictability allows for human agency, to influence systems.</w:t>
      </w:r>
    </w:p>
    <w:p w14:paraId="2264B63E"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The order/disorder relationship provides a parallel with the Empedoclean Love/Strife binary and the Chinese Yin/Yang binary.</w:t>
      </w:r>
    </w:p>
    <w:p w14:paraId="0CB03D92" w14:textId="77777777" w:rsidR="00F40B81" w:rsidRDefault="00F40B81" w:rsidP="00F40B81">
      <w:pPr>
        <w:spacing w:after="0" w:line="240" w:lineRule="auto"/>
        <w:ind w:left="360"/>
        <w:rPr>
          <w:rFonts w:ascii="Arial" w:eastAsia="Times New Roman" w:hAnsi="Arial" w:cs="Arial"/>
          <w:color w:val="222222"/>
          <w:kern w:val="0"/>
          <w:lang w:eastAsia="en-GB"/>
          <w14:ligatures w14:val="none"/>
        </w:rPr>
      </w:pPr>
    </w:p>
    <w:p w14:paraId="6036C3BB"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Mixing emphasises the importance of relationality.</w:t>
      </w:r>
    </w:p>
    <w:p w14:paraId="2FFFD7E4" w14:textId="77777777" w:rsidR="00F40B81" w:rsidRDefault="00F40B81" w:rsidP="00F40B81">
      <w:pPr>
        <w:spacing w:after="0" w:line="240" w:lineRule="auto"/>
        <w:rPr>
          <w:rFonts w:ascii="Arial" w:eastAsia="Times New Roman" w:hAnsi="Arial" w:cs="Arial"/>
          <w:color w:val="222222"/>
          <w:kern w:val="0"/>
          <w:lang w:eastAsia="en-GB"/>
          <w14:ligatures w14:val="none"/>
        </w:rPr>
      </w:pPr>
    </w:p>
    <w:p w14:paraId="050A2272"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Feedback loops emphasise the need for careful understanding of volatile situations.</w:t>
      </w:r>
    </w:p>
    <w:p w14:paraId="70D81001" w14:textId="77777777" w:rsidR="00F40B81" w:rsidRDefault="00F40B81" w:rsidP="00F40B81">
      <w:pPr>
        <w:spacing w:after="0" w:line="240" w:lineRule="auto"/>
        <w:rPr>
          <w:rFonts w:ascii="Arial" w:eastAsia="Times New Roman" w:hAnsi="Arial" w:cs="Arial"/>
          <w:color w:val="222222"/>
          <w:kern w:val="0"/>
          <w:lang w:eastAsia="en-GB"/>
          <w14:ligatures w14:val="none"/>
        </w:rPr>
      </w:pPr>
    </w:p>
    <w:p w14:paraId="2BEAF717" w14:textId="77777777" w:rsidR="00F40B81" w:rsidRDefault="00F40B81" w:rsidP="00F40B81">
      <w:pPr>
        <w:pStyle w:val="ListParagraph"/>
        <w:numPr>
          <w:ilvl w:val="0"/>
          <w:numId w:val="4"/>
        </w:num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Fractals reinforce the classical concept of the Macrocosm and the Microcosm, in which different scales of existence embody the same patterns.</w:t>
      </w:r>
    </w:p>
    <w:p w14:paraId="70160997" w14:textId="77777777" w:rsidR="00F40B81" w:rsidRDefault="00F40B81" w:rsidP="00F40B81">
      <w:pPr>
        <w:spacing w:line="240" w:lineRule="auto"/>
        <w:rPr>
          <w:rFonts w:ascii="Arial" w:eastAsia="Times New Roman" w:hAnsi="Arial" w:cs="Arial"/>
          <w:color w:val="222222"/>
          <w:kern w:val="0"/>
          <w:lang w:eastAsia="en-GB"/>
          <w14:ligatures w14:val="none"/>
        </w:rPr>
      </w:pPr>
    </w:p>
    <w:p w14:paraId="187AD6B3" w14:textId="77777777" w:rsidR="00F40B81" w:rsidRDefault="00F40B81" w:rsidP="00F40B81">
      <w:pPr>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 xml:space="preserve">Attractors </w:t>
      </w:r>
    </w:p>
    <w:p w14:paraId="3B8B59C9" w14:textId="77777777" w:rsidR="00F40B81" w:rsidRDefault="00F40B81" w:rsidP="00F40B81">
      <w:pPr>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An attractor is a future state or set of states to which a system tends to evolve. In Chaos theory, a Lorenz Attractor is the future state to which chaotic systems tend to evolve, so the tornado in Texas may be the attractor of the Butterfly flapping its wings. The term Strange Attractor is also used, as applied to Fractals. The attractor is described by detailed mathematical formulae. However, as the Butterfly Effect makes clear, Attractors have significant effects in our lives. The question then becomes how far our own mental states are chaotic. For example: </w:t>
      </w:r>
    </w:p>
    <w:p w14:paraId="6C0035CE" w14:textId="77777777" w:rsidR="00F40B81" w:rsidRDefault="00F40B81" w:rsidP="00F40B81">
      <w:pPr>
        <w:spacing w:line="240" w:lineRule="auto"/>
        <w:ind w:left="720"/>
        <w:rPr>
          <w:rFonts w:ascii="Arial" w:hAnsi="Arial" w:cs="Arial"/>
          <w:color w:val="2C2D30"/>
        </w:rPr>
      </w:pPr>
      <w:r>
        <w:rPr>
          <w:rFonts w:ascii="Arial" w:hAnsi="Arial" w:cs="Arial"/>
          <w:color w:val="2C2D30"/>
        </w:rPr>
        <w:t>we can imagine your style of being mathematically as a configuration of strange attractors in a three-dimensional graph of your mental states. How you are who you are equals the way your momentary mental states will gravitate to the valleys in the configuration of mental states by which a mathematician would represent—quite simply—you.</w:t>
      </w:r>
      <w:r>
        <w:rPr>
          <w:rStyle w:val="FootnoteReference"/>
          <w:rFonts w:ascii="Arial" w:hAnsi="Arial" w:cs="Arial"/>
          <w:color w:val="2C2D30"/>
        </w:rPr>
        <w:footnoteReference w:id="6"/>
      </w:r>
    </w:p>
    <w:p w14:paraId="5F1D0C1B" w14:textId="77777777" w:rsidR="00F40B81" w:rsidRDefault="00F40B81" w:rsidP="00F40B81">
      <w:pPr>
        <w:pStyle w:val="FootnoteText"/>
        <w:rPr>
          <w:rFonts w:ascii="Arial" w:hAnsi="Arial" w:cs="Arial"/>
          <w:color w:val="282828"/>
          <w:sz w:val="22"/>
          <w:szCs w:val="22"/>
          <w:shd w:val="clear" w:color="auto" w:fill="FFFFFF"/>
        </w:rPr>
      </w:pPr>
      <w:r>
        <w:rPr>
          <w:rFonts w:ascii="Arial" w:hAnsi="Arial" w:cs="Arial"/>
          <w:color w:val="282828"/>
          <w:sz w:val="22"/>
          <w:szCs w:val="22"/>
          <w:shd w:val="clear" w:color="auto" w:fill="FFFFFF"/>
        </w:rPr>
        <w:t>A further question is how Chaos Theory may be applied to social systems. For example:</w:t>
      </w:r>
    </w:p>
    <w:p w14:paraId="786653C7" w14:textId="77777777" w:rsidR="00F40B81" w:rsidRDefault="00F40B81" w:rsidP="00F40B81">
      <w:pPr>
        <w:pStyle w:val="FootnoteText"/>
        <w:rPr>
          <w:rFonts w:ascii="Arial" w:hAnsi="Arial" w:cs="Arial"/>
          <w:color w:val="282828"/>
          <w:sz w:val="22"/>
          <w:szCs w:val="22"/>
          <w:shd w:val="clear" w:color="auto" w:fill="FFFFFF"/>
        </w:rPr>
      </w:pPr>
    </w:p>
    <w:p w14:paraId="08A8EFAF" w14:textId="77777777" w:rsidR="00F40B81" w:rsidRDefault="00F40B81" w:rsidP="00F40B81">
      <w:pPr>
        <w:pStyle w:val="FootnoteText"/>
        <w:ind w:left="720"/>
        <w:rPr>
          <w:rFonts w:ascii="Arial" w:hAnsi="Arial" w:cs="Arial"/>
          <w:b/>
          <w:bCs/>
          <w:sz w:val="22"/>
          <w:szCs w:val="22"/>
        </w:rPr>
      </w:pPr>
      <w:r>
        <w:rPr>
          <w:rFonts w:ascii="Arial" w:hAnsi="Arial" w:cs="Arial"/>
          <w:color w:val="282828"/>
          <w:sz w:val="22"/>
          <w:szCs w:val="22"/>
          <w:shd w:val="clear" w:color="auto" w:fill="FFFFFF"/>
        </w:rPr>
        <w:t xml:space="preserve">The first chaos theorists discovered that complex systems often go through a kind of cycle, even though specific situations are rarely duplicated or repeated. For example, say there is a city of 10,000 people. </w:t>
      </w:r>
      <w:proofErr w:type="gramStart"/>
      <w:r>
        <w:rPr>
          <w:rFonts w:ascii="Arial" w:hAnsi="Arial" w:cs="Arial"/>
          <w:color w:val="282828"/>
          <w:sz w:val="22"/>
          <w:szCs w:val="22"/>
          <w:shd w:val="clear" w:color="auto" w:fill="FFFFFF"/>
        </w:rPr>
        <w:t>In order to</w:t>
      </w:r>
      <w:proofErr w:type="gramEnd"/>
      <w:r>
        <w:rPr>
          <w:rFonts w:ascii="Arial" w:hAnsi="Arial" w:cs="Arial"/>
          <w:color w:val="282828"/>
          <w:sz w:val="22"/>
          <w:szCs w:val="22"/>
          <w:shd w:val="clear" w:color="auto" w:fill="FFFFFF"/>
        </w:rPr>
        <w:t xml:space="preserve"> accommodate these people, a supermarket is built, two swimming pools are installed, a library is erected, and three churches go up. In this case, these accommodations please everybody and equilibrium are achieved. Then a company decides to open a factory on the outskirts of town, opening jobs for 10,000 more people. The town then expands to accommodate 20,000 people instead of 10,000. Another supermarket is added, as are two more swimming pools, another library, and three more churches. The equilibrium is thus maintained. Chaos theorists study this equilibrium, the factors that </w:t>
      </w:r>
      <w:r>
        <w:rPr>
          <w:rFonts w:ascii="Arial" w:hAnsi="Arial" w:cs="Arial"/>
          <w:color w:val="282828"/>
          <w:sz w:val="22"/>
          <w:szCs w:val="22"/>
          <w:shd w:val="clear" w:color="auto" w:fill="FFFFFF"/>
        </w:rPr>
        <w:lastRenderedPageBreak/>
        <w:t>affect this type of cycle, and what happens (what the outcomes are) when the equilibrium is broken.</w:t>
      </w:r>
      <w:r>
        <w:rPr>
          <w:rStyle w:val="FootnoteReference"/>
          <w:rFonts w:ascii="Arial" w:hAnsi="Arial" w:cs="Arial"/>
          <w:color w:val="282828"/>
          <w:sz w:val="22"/>
          <w:szCs w:val="22"/>
          <w:shd w:val="clear" w:color="auto" w:fill="FFFFFF"/>
        </w:rPr>
        <w:footnoteReference w:id="7"/>
      </w:r>
    </w:p>
    <w:p w14:paraId="53FFBFC0" w14:textId="77777777" w:rsidR="00F40B81" w:rsidRDefault="00F40B81" w:rsidP="00F40B81">
      <w:pPr>
        <w:pStyle w:val="FootnoteText"/>
        <w:rPr>
          <w:rFonts w:ascii="Arial" w:hAnsi="Arial" w:cs="Arial"/>
          <w:b/>
          <w:bCs/>
          <w:sz w:val="22"/>
          <w:szCs w:val="22"/>
        </w:rPr>
      </w:pPr>
    </w:p>
    <w:p w14:paraId="156C04EA" w14:textId="77777777" w:rsidR="00F40B81" w:rsidRDefault="00F40B81" w:rsidP="00F40B81">
      <w:pPr>
        <w:pStyle w:val="FootnoteText"/>
        <w:rPr>
          <w:rFonts w:ascii="Arial" w:hAnsi="Arial" w:cs="Arial"/>
          <w:color w:val="333333"/>
          <w:sz w:val="22"/>
          <w:szCs w:val="22"/>
          <w:shd w:val="clear" w:color="auto" w:fill="FCFCFC"/>
        </w:rPr>
      </w:pPr>
      <w:r>
        <w:rPr>
          <w:rFonts w:ascii="Arial" w:hAnsi="Arial" w:cs="Arial"/>
          <w:color w:val="333333"/>
          <w:sz w:val="22"/>
          <w:szCs w:val="22"/>
          <w:shd w:val="clear" w:color="auto" w:fill="FCFCFC"/>
        </w:rPr>
        <w:t>The significance for Harmony is clear: policy decisions need to take apparently unintended consequences into account. An action now precipitates further actions later. This then leads us into political affairs and international relations.</w:t>
      </w:r>
      <w:r>
        <w:rPr>
          <w:rStyle w:val="FootnoteReference"/>
          <w:rFonts w:ascii="Arial" w:hAnsi="Arial" w:cs="Arial"/>
          <w:color w:val="333333"/>
          <w:sz w:val="22"/>
          <w:szCs w:val="22"/>
          <w:shd w:val="clear" w:color="auto" w:fill="FCFCFC"/>
        </w:rPr>
        <w:footnoteReference w:id="8"/>
      </w:r>
      <w:r>
        <w:rPr>
          <w:rFonts w:ascii="Arial" w:hAnsi="Arial" w:cs="Arial"/>
          <w:color w:val="333333"/>
          <w:sz w:val="22"/>
          <w:szCs w:val="22"/>
          <w:shd w:val="clear" w:color="auto" w:fill="FCFCFC"/>
        </w:rPr>
        <w:t xml:space="preserve"> And from there the focus becomes how each one of us acts in the understanding that our actions are part of much larger systems, and that our actions have future consequences.</w:t>
      </w:r>
    </w:p>
    <w:p w14:paraId="6C054884" w14:textId="77777777" w:rsidR="00F40B81" w:rsidRDefault="00F40B81" w:rsidP="00F40B81">
      <w:pPr>
        <w:pStyle w:val="FootnoteText"/>
        <w:rPr>
          <w:rFonts w:ascii="Arial" w:hAnsi="Arial" w:cs="Arial"/>
          <w:color w:val="333333"/>
          <w:sz w:val="22"/>
          <w:szCs w:val="22"/>
          <w:shd w:val="clear" w:color="auto" w:fill="FCFCFC"/>
        </w:rPr>
      </w:pPr>
    </w:p>
    <w:p w14:paraId="21BBE30C" w14:textId="77777777" w:rsidR="00F40B81" w:rsidRDefault="00F40B81" w:rsidP="00F40B81">
      <w:pPr>
        <w:pStyle w:val="FootnoteText"/>
        <w:rPr>
          <w:rFonts w:ascii="Arial" w:hAnsi="Arial" w:cs="Arial"/>
          <w:b/>
          <w:bCs/>
          <w:sz w:val="22"/>
          <w:szCs w:val="22"/>
        </w:rPr>
      </w:pPr>
      <w:r>
        <w:rPr>
          <w:rFonts w:ascii="Arial" w:hAnsi="Arial" w:cs="Arial"/>
          <w:b/>
          <w:bCs/>
          <w:sz w:val="22"/>
          <w:szCs w:val="22"/>
        </w:rPr>
        <w:t>Chaos Theory: Reading</w:t>
      </w:r>
    </w:p>
    <w:p w14:paraId="4001F6D6" w14:textId="77777777" w:rsidR="00F40B81" w:rsidRDefault="00F40B81" w:rsidP="00F40B81">
      <w:pPr>
        <w:pStyle w:val="FootnoteText"/>
        <w:rPr>
          <w:rFonts w:ascii="Arial" w:hAnsi="Arial" w:cs="Arial"/>
          <w:b/>
          <w:bCs/>
          <w:sz w:val="22"/>
          <w:szCs w:val="22"/>
        </w:rPr>
      </w:pPr>
    </w:p>
    <w:p w14:paraId="2667416A" w14:textId="77777777" w:rsidR="00F40B81" w:rsidRDefault="00F40B81" w:rsidP="00F40B81">
      <w:pPr>
        <w:pStyle w:val="FootnoteText"/>
        <w:rPr>
          <w:rFonts w:ascii="Arial" w:hAnsi="Arial" w:cs="Arial"/>
          <w:sz w:val="22"/>
          <w:szCs w:val="22"/>
        </w:rPr>
      </w:pPr>
      <w:r>
        <w:rPr>
          <w:rFonts w:ascii="Arial" w:hAnsi="Arial" w:cs="Arial"/>
          <w:sz w:val="22"/>
          <w:szCs w:val="22"/>
        </w:rPr>
        <w:t>There is a huge amount of material about Chaos online, from popular websites to academic papers so if this area interests you, search for appropriate material. Much of the academic reading is highly technical.</w:t>
      </w:r>
    </w:p>
    <w:p w14:paraId="624558E5" w14:textId="77777777" w:rsidR="00F40B81" w:rsidRDefault="00F40B81" w:rsidP="00F40B81">
      <w:pPr>
        <w:pStyle w:val="FootnoteText"/>
        <w:rPr>
          <w:rFonts w:ascii="Arial" w:hAnsi="Arial" w:cs="Arial"/>
          <w:sz w:val="22"/>
          <w:szCs w:val="22"/>
        </w:rPr>
      </w:pPr>
    </w:p>
    <w:p w14:paraId="19703DC8" w14:textId="77777777" w:rsidR="00F40B81" w:rsidRDefault="00F40B81" w:rsidP="00F40B81">
      <w:pPr>
        <w:pStyle w:val="FootnoteText"/>
        <w:rPr>
          <w:rFonts w:ascii="Arial" w:hAnsi="Arial" w:cs="Arial"/>
          <w:sz w:val="22"/>
          <w:szCs w:val="22"/>
        </w:rPr>
      </w:pPr>
      <w:r>
        <w:rPr>
          <w:rFonts w:ascii="Arial" w:hAnsi="Arial" w:cs="Arial"/>
          <w:sz w:val="22"/>
          <w:szCs w:val="22"/>
        </w:rPr>
        <w:t>‘Chaos Theory’, https://www.sciencedirect.com/topics/earth-and-planetary-sciences/chaos-theory</w:t>
      </w:r>
    </w:p>
    <w:p w14:paraId="01FEED6A" w14:textId="77777777" w:rsidR="00F40B81" w:rsidRDefault="00F40B81" w:rsidP="00F40B81">
      <w:pPr>
        <w:pStyle w:val="FootnoteText"/>
        <w:rPr>
          <w:rFonts w:ascii="Arial" w:hAnsi="Arial" w:cs="Arial"/>
          <w:sz w:val="22"/>
          <w:szCs w:val="22"/>
        </w:rPr>
      </w:pPr>
      <w:r>
        <w:rPr>
          <w:rFonts w:ascii="Arial" w:hAnsi="Arial" w:cs="Arial"/>
          <w:sz w:val="22"/>
          <w:szCs w:val="22"/>
        </w:rPr>
        <w:t>This website leads into a variety of academic papers on Chaos.</w:t>
      </w:r>
    </w:p>
    <w:p w14:paraId="2BE6A120" w14:textId="77777777" w:rsidR="00F40B81" w:rsidRDefault="00F40B81" w:rsidP="00F40B81">
      <w:pPr>
        <w:pStyle w:val="FootnoteText"/>
        <w:rPr>
          <w:rFonts w:ascii="Arial" w:hAnsi="Arial" w:cs="Arial"/>
          <w:sz w:val="22"/>
          <w:szCs w:val="22"/>
        </w:rPr>
      </w:pPr>
    </w:p>
    <w:p w14:paraId="49C00325" w14:textId="77777777" w:rsidR="00F40B81" w:rsidRDefault="00F40B81" w:rsidP="00F40B81">
      <w:pPr>
        <w:pStyle w:val="FootnoteText"/>
        <w:rPr>
          <w:rFonts w:ascii="Arial" w:hAnsi="Arial" w:cs="Arial"/>
          <w:sz w:val="22"/>
          <w:szCs w:val="22"/>
        </w:rPr>
      </w:pPr>
      <w:r>
        <w:rPr>
          <w:rFonts w:ascii="Arial" w:hAnsi="Arial" w:cs="Arial"/>
          <w:sz w:val="22"/>
          <w:szCs w:val="22"/>
        </w:rPr>
        <w:t xml:space="preserve">Bishop, Robert, "Chaos", The Stanford </w:t>
      </w:r>
      <w:proofErr w:type="spellStart"/>
      <w:r>
        <w:rPr>
          <w:rFonts w:ascii="Arial" w:hAnsi="Arial" w:cs="Arial"/>
          <w:sz w:val="22"/>
          <w:szCs w:val="22"/>
        </w:rPr>
        <w:t>Encyclopedia</w:t>
      </w:r>
      <w:proofErr w:type="spellEnd"/>
      <w:r>
        <w:rPr>
          <w:rFonts w:ascii="Arial" w:hAnsi="Arial" w:cs="Arial"/>
          <w:sz w:val="22"/>
          <w:szCs w:val="22"/>
        </w:rPr>
        <w:t xml:space="preserve"> of Philosophy (Spring 2017 Edition), Edward N. Zalta (ed.), URL = &lt;https://plato.stanford.edu/archives/spr2017/entries/chaos/&gt;.</w:t>
      </w:r>
    </w:p>
    <w:p w14:paraId="66458DF6" w14:textId="77777777" w:rsidR="00F40B81" w:rsidRDefault="00F40B81" w:rsidP="00F40B81">
      <w:pPr>
        <w:pStyle w:val="FootnoteText"/>
        <w:rPr>
          <w:rFonts w:ascii="Arial" w:hAnsi="Arial" w:cs="Arial"/>
          <w:sz w:val="22"/>
          <w:szCs w:val="22"/>
        </w:rPr>
      </w:pPr>
    </w:p>
    <w:p w14:paraId="1564094F" w14:textId="77777777" w:rsidR="00F40B81" w:rsidRDefault="00F40B81" w:rsidP="00F40B81">
      <w:pPr>
        <w:pStyle w:val="FootnoteText"/>
        <w:rPr>
          <w:rFonts w:ascii="Arial" w:hAnsi="Arial" w:cs="Arial"/>
          <w:sz w:val="22"/>
          <w:szCs w:val="22"/>
        </w:rPr>
      </w:pPr>
      <w:proofErr w:type="spellStart"/>
      <w:r>
        <w:rPr>
          <w:rFonts w:ascii="Arial" w:hAnsi="Arial" w:cs="Arial"/>
          <w:sz w:val="22"/>
          <w:szCs w:val="22"/>
        </w:rPr>
        <w:t>Gleick</w:t>
      </w:r>
      <w:proofErr w:type="spellEnd"/>
      <w:r>
        <w:rPr>
          <w:rFonts w:ascii="Arial" w:hAnsi="Arial" w:cs="Arial"/>
          <w:sz w:val="22"/>
          <w:szCs w:val="22"/>
        </w:rPr>
        <w:t xml:space="preserve">, James, Chaos: The Amazing Science of the Unpredictable (London: Vintage 1998). </w:t>
      </w:r>
    </w:p>
    <w:p w14:paraId="39C5E79A" w14:textId="77777777" w:rsidR="00F40B81" w:rsidRDefault="00F40B81" w:rsidP="00F40B81">
      <w:pPr>
        <w:pStyle w:val="FootnoteText"/>
        <w:rPr>
          <w:rFonts w:ascii="Arial" w:hAnsi="Arial" w:cs="Arial"/>
          <w:sz w:val="22"/>
          <w:szCs w:val="22"/>
        </w:rPr>
      </w:pPr>
      <w:r>
        <w:rPr>
          <w:rFonts w:ascii="Arial" w:hAnsi="Arial" w:cs="Arial"/>
          <w:sz w:val="22"/>
          <w:szCs w:val="22"/>
        </w:rPr>
        <w:t xml:space="preserve">This is the book which popularised Chaos Theory in the 1990s. The University library contains hard-copy only. If this is not </w:t>
      </w:r>
      <w:proofErr w:type="gramStart"/>
      <w:r>
        <w:rPr>
          <w:rFonts w:ascii="Arial" w:hAnsi="Arial" w:cs="Arial"/>
          <w:sz w:val="22"/>
          <w:szCs w:val="22"/>
        </w:rPr>
        <w:t>accessible</w:t>
      </w:r>
      <w:proofErr w:type="gramEnd"/>
      <w:r>
        <w:rPr>
          <w:rFonts w:ascii="Arial" w:hAnsi="Arial" w:cs="Arial"/>
          <w:sz w:val="22"/>
          <w:szCs w:val="22"/>
        </w:rPr>
        <w:t xml:space="preserve"> then It is well worth finding a copy if you wish to pursue this area.</w:t>
      </w:r>
    </w:p>
    <w:p w14:paraId="7852D8DB" w14:textId="77777777" w:rsidR="00F40B81" w:rsidRDefault="00F40B81" w:rsidP="00F40B81">
      <w:pPr>
        <w:pStyle w:val="FootnoteText"/>
        <w:rPr>
          <w:rFonts w:ascii="Arial" w:hAnsi="Arial" w:cs="Arial"/>
          <w:sz w:val="22"/>
          <w:szCs w:val="22"/>
        </w:rPr>
      </w:pPr>
    </w:p>
    <w:p w14:paraId="1D564891" w14:textId="77777777" w:rsidR="00F40B81" w:rsidRDefault="00F40B81" w:rsidP="00F40B81">
      <w:pPr>
        <w:pStyle w:val="FootnoteText"/>
        <w:rPr>
          <w:rFonts w:ascii="Arial" w:hAnsi="Arial" w:cs="Arial"/>
          <w:sz w:val="22"/>
          <w:szCs w:val="22"/>
        </w:rPr>
      </w:pPr>
      <w:r>
        <w:rPr>
          <w:rFonts w:ascii="Arial" w:hAnsi="Arial" w:cs="Arial"/>
          <w:sz w:val="22"/>
          <w:szCs w:val="22"/>
        </w:rPr>
        <w:t>Lorenz, Edward, ‘Predictability: Does the Flap of a Butterfly's Wings in Brazil Set Off a Tornado in Texas?’ Presented before the American Association for the Advancement of Science, December 29, 1972, https://mathsciencehistory.com/wp-content/uploads/2020/03/132_kap6_lorenz_artikel_the_butterfly_effect.pdf</w:t>
      </w:r>
    </w:p>
    <w:p w14:paraId="122A91A9" w14:textId="77777777" w:rsidR="00F40B81" w:rsidRDefault="00F40B81" w:rsidP="00F40B81">
      <w:pPr>
        <w:pStyle w:val="FootnoteText"/>
        <w:rPr>
          <w:rFonts w:ascii="Arial" w:hAnsi="Arial" w:cs="Arial"/>
          <w:sz w:val="22"/>
          <w:szCs w:val="22"/>
        </w:rPr>
      </w:pPr>
    </w:p>
    <w:p w14:paraId="0622AF9A" w14:textId="77777777" w:rsidR="00F40B81" w:rsidRDefault="00F40B81" w:rsidP="00F40B81">
      <w:pPr>
        <w:pStyle w:val="FootnoteText"/>
        <w:rPr>
          <w:rFonts w:ascii="Arial" w:hAnsi="Arial" w:cs="Arial"/>
          <w:sz w:val="22"/>
          <w:szCs w:val="22"/>
        </w:rPr>
      </w:pPr>
      <w:r>
        <w:rPr>
          <w:rFonts w:ascii="Arial" w:hAnsi="Arial" w:cs="Arial"/>
          <w:sz w:val="22"/>
          <w:szCs w:val="22"/>
        </w:rPr>
        <w:t xml:space="preserve">Lorenz, Edward, </w:t>
      </w:r>
      <w:r>
        <w:rPr>
          <w:rFonts w:ascii="Arial" w:hAnsi="Arial" w:cs="Arial"/>
          <w:i/>
          <w:iCs/>
          <w:sz w:val="22"/>
          <w:szCs w:val="22"/>
        </w:rPr>
        <w:t>The Essence of Chaos</w:t>
      </w:r>
      <w:r>
        <w:rPr>
          <w:rFonts w:ascii="Arial" w:hAnsi="Arial" w:cs="Arial"/>
          <w:sz w:val="22"/>
          <w:szCs w:val="22"/>
        </w:rPr>
        <w:t xml:space="preserve"> (London: UCL Press, 1994).</w:t>
      </w:r>
    </w:p>
    <w:p w14:paraId="7BB76B0D" w14:textId="77777777" w:rsidR="00F40B81" w:rsidRDefault="00F40B81" w:rsidP="00F40B81">
      <w:pPr>
        <w:pStyle w:val="FootnoteText"/>
        <w:rPr>
          <w:rFonts w:ascii="Arial" w:hAnsi="Arial" w:cs="Arial"/>
          <w:sz w:val="22"/>
          <w:szCs w:val="22"/>
        </w:rPr>
      </w:pPr>
      <w:r>
        <w:rPr>
          <w:rFonts w:ascii="Arial" w:hAnsi="Arial" w:cs="Arial"/>
          <w:sz w:val="22"/>
          <w:szCs w:val="22"/>
        </w:rPr>
        <w:t>This is Lorenz’s major book. It is available only in hard copy in the University Library so is available to borrow.</w:t>
      </w:r>
    </w:p>
    <w:p w14:paraId="4692D632" w14:textId="77777777" w:rsidR="00F40B81" w:rsidRDefault="00F40B81" w:rsidP="00F40B81">
      <w:pPr>
        <w:pStyle w:val="FootnoteText"/>
        <w:rPr>
          <w:rFonts w:ascii="Arial" w:hAnsi="Arial" w:cs="Arial"/>
          <w:sz w:val="22"/>
          <w:szCs w:val="22"/>
        </w:rPr>
      </w:pPr>
    </w:p>
    <w:p w14:paraId="0A301B67" w14:textId="77777777" w:rsidR="00F40B81" w:rsidRDefault="00F40B81" w:rsidP="00F40B81">
      <w:pPr>
        <w:pStyle w:val="FootnoteText"/>
        <w:rPr>
          <w:rFonts w:ascii="Arial" w:hAnsi="Arial" w:cs="Arial"/>
          <w:sz w:val="22"/>
          <w:szCs w:val="22"/>
        </w:rPr>
      </w:pPr>
      <w:r>
        <w:rPr>
          <w:rFonts w:ascii="Arial" w:hAnsi="Arial" w:cs="Arial"/>
          <w:sz w:val="22"/>
          <w:szCs w:val="22"/>
        </w:rPr>
        <w:t>May, Robert M, Stability and Complexity in Model Ecosystems. Princeton University Press, 1974. JSTOR, https://doi.org/10.2307/j.ctvs32rq4.</w:t>
      </w:r>
    </w:p>
    <w:p w14:paraId="7297ECB9" w14:textId="77777777" w:rsidR="00F40B81" w:rsidRDefault="00F40B81" w:rsidP="00F40B81">
      <w:pPr>
        <w:pStyle w:val="FootnoteText"/>
        <w:rPr>
          <w:rFonts w:ascii="Arial" w:hAnsi="Arial" w:cs="Arial"/>
          <w:sz w:val="22"/>
          <w:szCs w:val="22"/>
        </w:rPr>
      </w:pPr>
    </w:p>
    <w:p w14:paraId="496158C9" w14:textId="77777777" w:rsidR="00F40B81" w:rsidRDefault="00F40B81" w:rsidP="00F40B81">
      <w:pPr>
        <w:pStyle w:val="FootnoteText"/>
        <w:rPr>
          <w:rFonts w:ascii="Arial" w:hAnsi="Arial" w:cs="Arial"/>
          <w:sz w:val="22"/>
          <w:szCs w:val="22"/>
        </w:rPr>
      </w:pPr>
    </w:p>
    <w:p w14:paraId="3698004B" w14:textId="77777777" w:rsidR="00F40B81" w:rsidRDefault="00F40B81" w:rsidP="00F40B81">
      <w:pPr>
        <w:pStyle w:val="FootnoteText"/>
        <w:rPr>
          <w:rFonts w:ascii="Arial" w:hAnsi="Arial" w:cs="Arial"/>
          <w:b/>
          <w:bCs/>
          <w:sz w:val="22"/>
          <w:szCs w:val="22"/>
        </w:rPr>
      </w:pPr>
      <w:r>
        <w:rPr>
          <w:rFonts w:ascii="Arial" w:hAnsi="Arial" w:cs="Arial"/>
          <w:b/>
          <w:bCs/>
          <w:sz w:val="22"/>
          <w:szCs w:val="22"/>
        </w:rPr>
        <w:lastRenderedPageBreak/>
        <w:t>COMPLEXITY THEORY</w:t>
      </w:r>
    </w:p>
    <w:p w14:paraId="00501EF5" w14:textId="77777777" w:rsidR="00F40B81" w:rsidRDefault="00F40B81" w:rsidP="00F40B81">
      <w:pPr>
        <w:pStyle w:val="FootnoteText"/>
        <w:rPr>
          <w:rFonts w:ascii="Arial" w:hAnsi="Arial" w:cs="Arial"/>
          <w:sz w:val="22"/>
          <w:szCs w:val="22"/>
        </w:rPr>
      </w:pPr>
    </w:p>
    <w:p w14:paraId="1CC04B16" w14:textId="77777777" w:rsidR="00F40B81" w:rsidRDefault="00F40B81" w:rsidP="00F40B81">
      <w:pPr>
        <w:pStyle w:val="FootnoteText"/>
        <w:rPr>
          <w:rFonts w:ascii="Arial" w:hAnsi="Arial" w:cs="Arial"/>
          <w:sz w:val="22"/>
          <w:szCs w:val="22"/>
        </w:rPr>
      </w:pPr>
      <w:r>
        <w:rPr>
          <w:rFonts w:ascii="Arial" w:hAnsi="Arial" w:cs="Arial"/>
          <w:sz w:val="22"/>
          <w:szCs w:val="22"/>
        </w:rPr>
        <w:t xml:space="preserve">Complexity relies heavily on mathematical analysis to identify patterns in systems. In practice there is a significant overlap in the literature with Chaos Theory. Much of the literature is too mathematical for our remit, </w:t>
      </w:r>
      <w:proofErr w:type="gramStart"/>
      <w:r>
        <w:rPr>
          <w:rFonts w:ascii="Arial" w:hAnsi="Arial" w:cs="Arial"/>
          <w:sz w:val="22"/>
          <w:szCs w:val="22"/>
        </w:rPr>
        <w:t>purposes</w:t>
      </w:r>
      <w:proofErr w:type="gramEnd"/>
      <w:r>
        <w:rPr>
          <w:rFonts w:ascii="Arial" w:hAnsi="Arial" w:cs="Arial"/>
          <w:sz w:val="22"/>
          <w:szCs w:val="22"/>
        </w:rPr>
        <w:t xml:space="preserve"> and expectations in this programme. The following selection of reading features a few examples on business and economics as an example of one practical application of Complexity Theory. Complexity economics was developed from the 1980s onwards by a team at the Santa Fe Institute led by the economist and complexity theorist W. Brian Arthur. As defined by Arthur,</w:t>
      </w:r>
    </w:p>
    <w:p w14:paraId="180D59AC" w14:textId="77777777" w:rsidR="00F40B81" w:rsidRDefault="00F40B81" w:rsidP="00F40B81">
      <w:pPr>
        <w:pStyle w:val="FootnoteText"/>
        <w:rPr>
          <w:rFonts w:ascii="Arial" w:hAnsi="Arial" w:cs="Arial"/>
          <w:sz w:val="22"/>
          <w:szCs w:val="22"/>
        </w:rPr>
      </w:pPr>
    </w:p>
    <w:p w14:paraId="5335D2B5" w14:textId="77777777" w:rsidR="00F40B81" w:rsidRDefault="00F40B81" w:rsidP="00F40B81">
      <w:pPr>
        <w:pStyle w:val="FootnoteText"/>
        <w:rPr>
          <w:rFonts w:ascii="Arial" w:hAnsi="Arial" w:cs="Arial"/>
          <w:sz w:val="22"/>
          <w:szCs w:val="22"/>
        </w:rPr>
      </w:pPr>
      <w:r>
        <w:rPr>
          <w:rFonts w:ascii="Arial" w:hAnsi="Arial" w:cs="Arial"/>
          <w:sz w:val="22"/>
          <w:szCs w:val="22"/>
        </w:rPr>
        <w:t xml:space="preserve">Conventional economics thus studies consistent patterns—patterns in behavioural equilibrium, patterns that would induce no further reaction. </w:t>
      </w:r>
      <w:proofErr w:type="gramStart"/>
      <w:r>
        <w:rPr>
          <w:rFonts w:ascii="Arial" w:hAnsi="Arial" w:cs="Arial"/>
          <w:sz w:val="22"/>
          <w:szCs w:val="22"/>
        </w:rPr>
        <w:t>Economists at the Santa Fe Institute, Stanford, MIT, Chicago, and other institutions,</w:t>
      </w:r>
      <w:proofErr w:type="gramEnd"/>
      <w:r>
        <w:rPr>
          <w:rFonts w:ascii="Arial" w:hAnsi="Arial" w:cs="Arial"/>
          <w:sz w:val="22"/>
          <w:szCs w:val="22"/>
        </w:rPr>
        <w:t xml:space="preserve"> are now broadening this equilibrium approach by turning to the question of how actions, strategies, or expectations might react in general to – might endogenously change with – the aggregate patterns these create [1]. The result, complexity economics, is not an adjunct to standard economic theory, but theory at a more general, out-of-equilibrium level. </w:t>
      </w:r>
    </w:p>
    <w:p w14:paraId="52E13E92" w14:textId="77777777" w:rsidR="00F40B81" w:rsidRDefault="00F40B81" w:rsidP="00F40B81">
      <w:pPr>
        <w:pStyle w:val="FootnoteText"/>
        <w:rPr>
          <w:rFonts w:ascii="Arial" w:hAnsi="Arial" w:cs="Arial"/>
          <w:sz w:val="22"/>
          <w:szCs w:val="22"/>
        </w:rPr>
      </w:pPr>
    </w:p>
    <w:p w14:paraId="262A588F" w14:textId="77777777" w:rsidR="00F40B81" w:rsidRDefault="00F40B81" w:rsidP="00F40B81">
      <w:pPr>
        <w:pStyle w:val="FootnoteText"/>
        <w:rPr>
          <w:rFonts w:ascii="Arial" w:hAnsi="Arial" w:cs="Arial"/>
          <w:sz w:val="22"/>
          <w:szCs w:val="22"/>
        </w:rPr>
      </w:pPr>
      <w:r>
        <w:rPr>
          <w:rFonts w:ascii="Arial" w:hAnsi="Arial" w:cs="Arial"/>
          <w:sz w:val="22"/>
          <w:szCs w:val="22"/>
        </w:rPr>
        <w:t xml:space="preserve">Complexity theory is concerned with revealing mathematical models, and therefore the enduring role of the Pythagorean/Platonic model of the universe. It lacks Harmony theories concern with ethics, but is </w:t>
      </w:r>
      <w:proofErr w:type="gramStart"/>
      <w:r>
        <w:rPr>
          <w:rFonts w:ascii="Arial" w:hAnsi="Arial" w:cs="Arial"/>
          <w:sz w:val="22"/>
          <w:szCs w:val="22"/>
        </w:rPr>
        <w:t>important  precisely</w:t>
      </w:r>
      <w:proofErr w:type="gramEnd"/>
      <w:r>
        <w:rPr>
          <w:rFonts w:ascii="Arial" w:hAnsi="Arial" w:cs="Arial"/>
          <w:sz w:val="22"/>
          <w:szCs w:val="22"/>
        </w:rPr>
        <w:t xml:space="preserve"> because it shares Harmony’s concern with mathematical and geometrical order. </w:t>
      </w:r>
    </w:p>
    <w:p w14:paraId="4194208B" w14:textId="77777777" w:rsidR="00F40B81" w:rsidRDefault="00F40B81" w:rsidP="00F40B81">
      <w:pPr>
        <w:pStyle w:val="FootnoteText"/>
        <w:rPr>
          <w:rFonts w:ascii="Arial" w:hAnsi="Arial" w:cs="Arial"/>
          <w:sz w:val="22"/>
          <w:szCs w:val="22"/>
        </w:rPr>
      </w:pPr>
    </w:p>
    <w:p w14:paraId="6AB14FFB" w14:textId="77777777" w:rsidR="00F40B81" w:rsidRDefault="00F40B81" w:rsidP="00F40B81">
      <w:pPr>
        <w:pStyle w:val="FootnoteText"/>
        <w:rPr>
          <w:rFonts w:ascii="Arial" w:hAnsi="Arial" w:cs="Arial"/>
          <w:b/>
          <w:bCs/>
          <w:sz w:val="22"/>
          <w:szCs w:val="22"/>
        </w:rPr>
      </w:pPr>
      <w:r>
        <w:rPr>
          <w:rFonts w:ascii="Arial" w:hAnsi="Arial" w:cs="Arial"/>
          <w:b/>
          <w:bCs/>
          <w:sz w:val="22"/>
          <w:szCs w:val="22"/>
        </w:rPr>
        <w:t>Complexity Theory Reading</w:t>
      </w:r>
    </w:p>
    <w:p w14:paraId="2F564812" w14:textId="77777777" w:rsidR="00F40B81" w:rsidRDefault="00F40B81" w:rsidP="00F40B81">
      <w:pPr>
        <w:pStyle w:val="FootnoteText"/>
        <w:rPr>
          <w:rFonts w:ascii="Arial" w:hAnsi="Arial" w:cs="Arial"/>
          <w:b/>
          <w:bCs/>
          <w:sz w:val="22"/>
          <w:szCs w:val="22"/>
        </w:rPr>
      </w:pPr>
    </w:p>
    <w:p w14:paraId="1C17A5FF" w14:textId="77777777" w:rsidR="00F40B81" w:rsidRDefault="00F40B81" w:rsidP="00F40B81">
      <w:pPr>
        <w:pStyle w:val="FootnoteText"/>
        <w:rPr>
          <w:rFonts w:ascii="Arial" w:hAnsi="Arial" w:cs="Arial"/>
          <w:sz w:val="22"/>
          <w:szCs w:val="22"/>
        </w:rPr>
      </w:pPr>
      <w:r>
        <w:rPr>
          <w:rFonts w:ascii="Arial" w:hAnsi="Arial" w:cs="Arial"/>
          <w:sz w:val="22"/>
          <w:szCs w:val="22"/>
        </w:rPr>
        <w:t>Much of the reading is highly technical but the following are some suggestions. The area is easy to pursue online.</w:t>
      </w:r>
    </w:p>
    <w:p w14:paraId="5247D7BD" w14:textId="77777777" w:rsidR="00F40B81" w:rsidRDefault="00F40B81" w:rsidP="00F40B81">
      <w:pPr>
        <w:pStyle w:val="FootnoteText"/>
        <w:rPr>
          <w:rFonts w:ascii="Arial" w:hAnsi="Arial" w:cs="Arial"/>
          <w:sz w:val="22"/>
          <w:szCs w:val="22"/>
        </w:rPr>
      </w:pPr>
    </w:p>
    <w:p w14:paraId="292C5F07" w14:textId="77777777" w:rsidR="00F40B81" w:rsidRDefault="00F40B81" w:rsidP="00F40B81">
      <w:pPr>
        <w:pStyle w:val="FootnoteText"/>
        <w:rPr>
          <w:rFonts w:ascii="Arial" w:hAnsi="Arial" w:cs="Arial"/>
          <w:sz w:val="22"/>
          <w:szCs w:val="22"/>
        </w:rPr>
      </w:pPr>
      <w:r>
        <w:rPr>
          <w:rFonts w:ascii="Arial" w:hAnsi="Arial" w:cs="Arial"/>
          <w:sz w:val="22"/>
          <w:szCs w:val="22"/>
        </w:rPr>
        <w:t xml:space="preserve">W. Brian Arthur </w:t>
      </w:r>
      <w:r>
        <w:rPr>
          <w:rFonts w:ascii="Arial" w:hAnsi="Arial" w:cs="Arial"/>
          <w:i/>
          <w:iCs/>
          <w:sz w:val="22"/>
          <w:szCs w:val="22"/>
        </w:rPr>
        <w:t>Complexity and the Economy</w:t>
      </w:r>
      <w:r>
        <w:rPr>
          <w:rFonts w:ascii="Arial" w:hAnsi="Arial" w:cs="Arial"/>
          <w:sz w:val="22"/>
          <w:szCs w:val="22"/>
        </w:rPr>
        <w:t>, (Oxford: Oxford Economic Press, 2015).</w:t>
      </w:r>
    </w:p>
    <w:p w14:paraId="26466291" w14:textId="77777777" w:rsidR="00F40B81" w:rsidRDefault="00F40B81" w:rsidP="00F40B81">
      <w:pPr>
        <w:pStyle w:val="FootnoteText"/>
        <w:rPr>
          <w:rFonts w:ascii="Arial" w:hAnsi="Arial" w:cs="Arial"/>
          <w:sz w:val="22"/>
          <w:szCs w:val="22"/>
        </w:rPr>
      </w:pPr>
    </w:p>
    <w:p w14:paraId="7540120A" w14:textId="77777777" w:rsidR="00F40B81" w:rsidRDefault="00F40B81" w:rsidP="00F40B81">
      <w:pPr>
        <w:pStyle w:val="FootnoteText"/>
        <w:rPr>
          <w:rFonts w:ascii="Arial" w:hAnsi="Arial" w:cs="Arial"/>
          <w:sz w:val="22"/>
          <w:szCs w:val="22"/>
        </w:rPr>
      </w:pPr>
      <w:r>
        <w:rPr>
          <w:rFonts w:ascii="Arial" w:hAnsi="Arial" w:cs="Arial"/>
          <w:sz w:val="22"/>
          <w:szCs w:val="22"/>
        </w:rPr>
        <w:t>W. Brian Arthur, ‘Complexity and the Economy’, Science, 1999, Vol.284 (5411), p.107-109</w:t>
      </w:r>
    </w:p>
    <w:p w14:paraId="360100C5" w14:textId="77777777" w:rsidR="00F40B81" w:rsidRDefault="00F40B81" w:rsidP="00F40B81">
      <w:pPr>
        <w:pStyle w:val="FootnoteText"/>
        <w:rPr>
          <w:rFonts w:ascii="Arial" w:hAnsi="Arial" w:cs="Arial"/>
          <w:sz w:val="22"/>
          <w:szCs w:val="22"/>
        </w:rPr>
      </w:pPr>
      <w:r>
        <w:rPr>
          <w:rFonts w:ascii="Arial" w:hAnsi="Arial" w:cs="Arial"/>
          <w:sz w:val="22"/>
          <w:szCs w:val="22"/>
        </w:rPr>
        <w:t>https://sites.santafe.edu/~wbarthur/Papers/EconandComplex_Web.pdf</w:t>
      </w:r>
    </w:p>
    <w:p w14:paraId="5F875836" w14:textId="77777777" w:rsidR="00F40B81" w:rsidRDefault="00F40B81" w:rsidP="00F40B81">
      <w:pPr>
        <w:pStyle w:val="FootnoteText"/>
        <w:rPr>
          <w:rFonts w:ascii="Arial" w:hAnsi="Arial" w:cs="Arial"/>
          <w:sz w:val="22"/>
          <w:szCs w:val="22"/>
        </w:rPr>
      </w:pPr>
    </w:p>
    <w:p w14:paraId="664FF6DE" w14:textId="77777777" w:rsidR="00F40B81" w:rsidRDefault="00F40B81" w:rsidP="00F40B81">
      <w:pPr>
        <w:pStyle w:val="FootnoteText"/>
        <w:rPr>
          <w:rFonts w:ascii="Arial" w:hAnsi="Arial" w:cs="Arial"/>
          <w:sz w:val="22"/>
          <w:szCs w:val="22"/>
        </w:rPr>
      </w:pPr>
      <w:r>
        <w:rPr>
          <w:rFonts w:ascii="Arial" w:hAnsi="Arial" w:cs="Arial"/>
          <w:sz w:val="22"/>
          <w:szCs w:val="22"/>
        </w:rPr>
        <w:t xml:space="preserve">Arthur, W. Brian, Foundations of complexity economics. Nat Rev Phys. 2021;3(2):136-145. </w:t>
      </w:r>
      <w:proofErr w:type="spellStart"/>
      <w:r>
        <w:rPr>
          <w:rFonts w:ascii="Arial" w:hAnsi="Arial" w:cs="Arial"/>
          <w:sz w:val="22"/>
          <w:szCs w:val="22"/>
        </w:rPr>
        <w:t>doi</w:t>
      </w:r>
      <w:proofErr w:type="spellEnd"/>
      <w:r>
        <w:rPr>
          <w:rFonts w:ascii="Arial" w:hAnsi="Arial" w:cs="Arial"/>
          <w:sz w:val="22"/>
          <w:szCs w:val="22"/>
        </w:rPr>
        <w:t xml:space="preserve">: 10.1038/s42254-020-00273-3. </w:t>
      </w:r>
      <w:proofErr w:type="spellStart"/>
      <w:r>
        <w:rPr>
          <w:rFonts w:ascii="Arial" w:hAnsi="Arial" w:cs="Arial"/>
          <w:sz w:val="22"/>
          <w:szCs w:val="22"/>
        </w:rPr>
        <w:t>Epub</w:t>
      </w:r>
      <w:proofErr w:type="spellEnd"/>
      <w:r>
        <w:rPr>
          <w:rFonts w:ascii="Arial" w:hAnsi="Arial" w:cs="Arial"/>
          <w:sz w:val="22"/>
          <w:szCs w:val="22"/>
        </w:rPr>
        <w:t xml:space="preserve"> 2021 Jan 29. PMID: 33728407; PMCID: PMC7844781.</w:t>
      </w:r>
    </w:p>
    <w:p w14:paraId="24BE8807" w14:textId="77777777" w:rsidR="00F40B81" w:rsidRDefault="00F40B81" w:rsidP="00F40B81">
      <w:pPr>
        <w:pStyle w:val="FootnoteText"/>
        <w:rPr>
          <w:rFonts w:ascii="Arial" w:hAnsi="Arial" w:cs="Arial"/>
          <w:sz w:val="22"/>
          <w:szCs w:val="22"/>
        </w:rPr>
      </w:pPr>
    </w:p>
    <w:p w14:paraId="3C75452B" w14:textId="77777777" w:rsidR="00F40B81" w:rsidRDefault="00F40B81" w:rsidP="00F40B81">
      <w:pPr>
        <w:pStyle w:val="FootnoteText"/>
        <w:rPr>
          <w:rFonts w:ascii="Arial" w:hAnsi="Arial" w:cs="Arial"/>
          <w:sz w:val="22"/>
          <w:szCs w:val="22"/>
        </w:rPr>
      </w:pPr>
      <w:r>
        <w:rPr>
          <w:rFonts w:ascii="Arial" w:hAnsi="Arial" w:cs="Arial"/>
          <w:sz w:val="22"/>
          <w:szCs w:val="22"/>
        </w:rPr>
        <w:t>Davies, Paul and John Gribbin, The Matter Myth: Beyond Chaos and Complexity, London: Viking, 1992</w:t>
      </w:r>
    </w:p>
    <w:p w14:paraId="79EB472D" w14:textId="77777777" w:rsidR="00F40B81" w:rsidRDefault="00F40B81" w:rsidP="00F40B81">
      <w:pPr>
        <w:pStyle w:val="FootnoteText"/>
        <w:rPr>
          <w:rFonts w:ascii="Arial" w:hAnsi="Arial" w:cs="Arial"/>
          <w:sz w:val="22"/>
          <w:szCs w:val="22"/>
        </w:rPr>
      </w:pPr>
      <w:r>
        <w:rPr>
          <w:rFonts w:ascii="Arial" w:hAnsi="Arial" w:cs="Arial"/>
          <w:sz w:val="22"/>
          <w:szCs w:val="22"/>
        </w:rPr>
        <w:t>This is a seminal work by two astrophysicists. It is not in the University library but worth finding a second-hand copy.</w:t>
      </w:r>
    </w:p>
    <w:p w14:paraId="52169144" w14:textId="77777777" w:rsidR="00F40B81" w:rsidRDefault="00F40B81" w:rsidP="00F40B81">
      <w:pPr>
        <w:pStyle w:val="FootnoteText"/>
        <w:rPr>
          <w:rFonts w:ascii="Arial" w:hAnsi="Arial" w:cs="Arial"/>
          <w:sz w:val="22"/>
          <w:szCs w:val="22"/>
        </w:rPr>
      </w:pPr>
    </w:p>
    <w:p w14:paraId="46CFCAB9" w14:textId="77777777" w:rsidR="00F40B81" w:rsidRDefault="00F40B81" w:rsidP="00F40B81">
      <w:pPr>
        <w:pStyle w:val="FootnoteText"/>
        <w:rPr>
          <w:rFonts w:ascii="Arial" w:hAnsi="Arial" w:cs="Arial"/>
          <w:sz w:val="22"/>
          <w:szCs w:val="22"/>
        </w:rPr>
      </w:pPr>
      <w:r>
        <w:rPr>
          <w:rFonts w:ascii="Arial" w:hAnsi="Arial" w:cs="Arial"/>
          <w:sz w:val="22"/>
          <w:szCs w:val="22"/>
        </w:rPr>
        <w:t xml:space="preserve">Johnson, Steven, Emergence </w:t>
      </w:r>
      <w:proofErr w:type="gramStart"/>
      <w:r>
        <w:rPr>
          <w:rFonts w:ascii="Arial" w:hAnsi="Arial" w:cs="Arial"/>
          <w:sz w:val="22"/>
          <w:szCs w:val="22"/>
        </w:rPr>
        <w:t>The</w:t>
      </w:r>
      <w:proofErr w:type="gramEnd"/>
      <w:r>
        <w:rPr>
          <w:rFonts w:ascii="Arial" w:hAnsi="Arial" w:cs="Arial"/>
          <w:sz w:val="22"/>
          <w:szCs w:val="22"/>
        </w:rPr>
        <w:t xml:space="preserve"> Connected Lives of Ants, Brains, Cities, and Software (New York: Scribner, 2012)</w:t>
      </w:r>
    </w:p>
    <w:p w14:paraId="2CA10010" w14:textId="77777777" w:rsidR="00F40B81" w:rsidRDefault="00F40B81" w:rsidP="00F40B81">
      <w:pPr>
        <w:pStyle w:val="FootnoteText"/>
        <w:rPr>
          <w:rFonts w:ascii="Arial" w:hAnsi="Arial" w:cs="Arial"/>
          <w:sz w:val="22"/>
          <w:szCs w:val="22"/>
        </w:rPr>
      </w:pPr>
      <w:r>
        <w:rPr>
          <w:rFonts w:ascii="Arial" w:hAnsi="Arial" w:cs="Arial"/>
          <w:sz w:val="22"/>
          <w:szCs w:val="22"/>
        </w:rPr>
        <w:t>NB: We do not currently hold this book in the library but there are many reviews commenting on it.</w:t>
      </w:r>
    </w:p>
    <w:p w14:paraId="378C2C05" w14:textId="77777777" w:rsidR="00F40B81" w:rsidRDefault="00F40B81" w:rsidP="00F40B81">
      <w:pPr>
        <w:spacing w:before="100" w:beforeAutospacing="1" w:after="100" w:afterAutospacing="1" w:line="240" w:lineRule="auto"/>
        <w:textAlignment w:val="baseline"/>
        <w:outlineLvl w:val="0"/>
        <w:rPr>
          <w:rFonts w:ascii="Arial" w:eastAsia="Times New Roman" w:hAnsi="Arial" w:cs="Arial"/>
          <w:color w:val="1A1A1A"/>
          <w:kern w:val="0"/>
          <w:lang w:eastAsia="en-GB"/>
          <w14:ligatures w14:val="none"/>
        </w:rPr>
      </w:pPr>
      <w:r>
        <w:rPr>
          <w:rFonts w:ascii="Arial" w:eastAsia="Times New Roman" w:hAnsi="Arial" w:cs="Arial"/>
          <w:color w:val="1D1B1B"/>
          <w:kern w:val="36"/>
          <w:lang w:eastAsia="en-GB"/>
          <w14:ligatures w14:val="none"/>
        </w:rPr>
        <w:t xml:space="preserve">Orlando, Giuseppe and Giovanna </w:t>
      </w:r>
      <w:proofErr w:type="spellStart"/>
      <w:r>
        <w:rPr>
          <w:rFonts w:ascii="Arial" w:eastAsia="Times New Roman" w:hAnsi="Arial" w:cs="Arial"/>
          <w:color w:val="1D1B1B"/>
          <w:kern w:val="36"/>
          <w:lang w:eastAsia="en-GB"/>
          <w14:ligatures w14:val="none"/>
        </w:rPr>
        <w:t>Zimatore</w:t>
      </w:r>
      <w:proofErr w:type="spellEnd"/>
      <w:r>
        <w:rPr>
          <w:rFonts w:ascii="Arial" w:eastAsia="Times New Roman" w:hAnsi="Arial" w:cs="Arial"/>
          <w:color w:val="1D1B1B"/>
          <w:kern w:val="36"/>
          <w:lang w:eastAsia="en-GB"/>
          <w14:ligatures w14:val="none"/>
        </w:rPr>
        <w:t xml:space="preserve">, ‘Business cycle </w:t>
      </w:r>
      <w:proofErr w:type="spellStart"/>
      <w:r>
        <w:rPr>
          <w:rFonts w:ascii="Arial" w:eastAsia="Times New Roman" w:hAnsi="Arial" w:cs="Arial"/>
          <w:color w:val="1D1B1B"/>
          <w:kern w:val="36"/>
          <w:lang w:eastAsia="en-GB"/>
          <w14:ligatures w14:val="none"/>
        </w:rPr>
        <w:t>modeling</w:t>
      </w:r>
      <w:proofErr w:type="spellEnd"/>
      <w:r>
        <w:rPr>
          <w:rFonts w:ascii="Arial" w:eastAsia="Times New Roman" w:hAnsi="Arial" w:cs="Arial"/>
          <w:color w:val="1D1B1B"/>
          <w:kern w:val="36"/>
          <w:lang w:eastAsia="en-GB"/>
          <w14:ligatures w14:val="none"/>
        </w:rPr>
        <w:t xml:space="preserve"> between financial crises and black swans: Ornstein–</w:t>
      </w:r>
      <w:proofErr w:type="spellStart"/>
      <w:r>
        <w:rPr>
          <w:rFonts w:ascii="Arial" w:eastAsia="Times New Roman" w:hAnsi="Arial" w:cs="Arial"/>
          <w:color w:val="1D1B1B"/>
          <w:kern w:val="36"/>
          <w:lang w:eastAsia="en-GB"/>
          <w14:ligatures w14:val="none"/>
        </w:rPr>
        <w:t>Uhlenbeck</w:t>
      </w:r>
      <w:proofErr w:type="spellEnd"/>
      <w:r>
        <w:rPr>
          <w:rFonts w:ascii="Arial" w:eastAsia="Times New Roman" w:hAnsi="Arial" w:cs="Arial"/>
          <w:color w:val="1D1B1B"/>
          <w:kern w:val="36"/>
          <w:lang w:eastAsia="en-GB"/>
          <w14:ligatures w14:val="none"/>
        </w:rPr>
        <w:t xml:space="preserve"> stochastic process vs Kaldor deterministic chaotic model’, Chaos: </w:t>
      </w:r>
      <w:r>
        <w:rPr>
          <w:rFonts w:ascii="Arial" w:hAnsi="Arial" w:cs="Arial"/>
          <w:color w:val="222222"/>
          <w:shd w:val="clear" w:color="auto" w:fill="FFFFFF"/>
        </w:rPr>
        <w:t>An interdisciplinary journal of non-linear science</w:t>
      </w:r>
      <w:r>
        <w:rPr>
          <w:rFonts w:ascii="Arial" w:eastAsia="Times New Roman" w:hAnsi="Arial" w:cs="Arial"/>
          <w:color w:val="1D1B1B"/>
          <w:kern w:val="36"/>
          <w:lang w:eastAsia="en-GB"/>
          <w14:ligatures w14:val="none"/>
        </w:rPr>
        <w:t xml:space="preserve">, Vol 30, no 8, 2020, </w:t>
      </w:r>
      <w:hyperlink r:id="rId7" w:tgtFrame="_blank" w:history="1">
        <w:r>
          <w:rPr>
            <w:rStyle w:val="Hyperlink"/>
            <w:rFonts w:ascii="Arial" w:eastAsia="Times New Roman" w:hAnsi="Arial" w:cs="Arial"/>
            <w:color w:val="0066CC"/>
            <w:kern w:val="0"/>
            <w:bdr w:val="none" w:sz="0" w:space="0" w:color="auto" w:frame="1"/>
            <w:lang w:eastAsia="en-GB"/>
            <w14:ligatures w14:val="none"/>
          </w:rPr>
          <w:t>https://doi.org/10.1063/5.0015916</w:t>
        </w:r>
      </w:hyperlink>
    </w:p>
    <w:p w14:paraId="17819D3A" w14:textId="77777777" w:rsidR="00F40B81" w:rsidRDefault="00F40B81" w:rsidP="00F40B81">
      <w:pPr>
        <w:shd w:val="clear" w:color="auto" w:fill="FFFFFF"/>
        <w:spacing w:line="240" w:lineRule="auto"/>
        <w:contextualSpacing/>
        <w:rPr>
          <w:rFonts w:ascii="Arial" w:eastAsia="Times New Roman" w:hAnsi="Arial" w:cs="Arial"/>
          <w:color w:val="131314"/>
          <w:lang w:eastAsia="en-GB"/>
        </w:rPr>
      </w:pPr>
      <w:r>
        <w:rPr>
          <w:rFonts w:ascii="Arial" w:eastAsia="MS Mincho" w:hAnsi="Arial" w:cs="Arial"/>
        </w:rPr>
        <w:t>Sammut-Bonnici, Tanya, ‘</w:t>
      </w:r>
      <w:r>
        <w:rPr>
          <w:rFonts w:ascii="Arial" w:eastAsia="Times New Roman" w:hAnsi="Arial" w:cs="Arial"/>
          <w:color w:val="131314"/>
          <w:lang w:eastAsia="en-GB"/>
        </w:rPr>
        <w:t>Complexity Theory</w:t>
      </w:r>
      <w:r>
        <w:rPr>
          <w:rFonts w:ascii="Arial" w:hAnsi="Arial" w:cs="Arial"/>
          <w:color w:val="131314"/>
          <w:lang w:eastAsia="en-GB"/>
        </w:rPr>
        <w:t>’, in</w:t>
      </w:r>
      <w:r>
        <w:rPr>
          <w:rFonts w:ascii="Arial" w:hAnsi="Arial" w:cs="Arial"/>
          <w:b/>
          <w:bCs/>
          <w:color w:val="131314"/>
          <w:lang w:eastAsia="en-GB"/>
        </w:rPr>
        <w:t xml:space="preserve"> </w:t>
      </w:r>
      <w:r>
        <w:rPr>
          <w:rFonts w:ascii="Arial" w:eastAsia="Times New Roman" w:hAnsi="Arial" w:cs="Arial"/>
          <w:i/>
          <w:iCs/>
          <w:color w:val="131314"/>
          <w:lang w:eastAsia="en-GB"/>
        </w:rPr>
        <w:t xml:space="preserve">Wiley Encyclopaedia of Management </w:t>
      </w:r>
      <w:r>
        <w:rPr>
          <w:rFonts w:ascii="Arial" w:eastAsia="Times New Roman" w:hAnsi="Arial" w:cs="Arial"/>
          <w:color w:val="131314"/>
          <w:lang w:eastAsia="en-GB"/>
        </w:rPr>
        <w:t xml:space="preserve">(London: John Wiley, 2015), </w:t>
      </w:r>
    </w:p>
    <w:p w14:paraId="627972A4" w14:textId="77777777" w:rsidR="00F40B81" w:rsidRDefault="00F40B81" w:rsidP="00F40B81">
      <w:pPr>
        <w:spacing w:line="240" w:lineRule="auto"/>
        <w:contextualSpacing/>
        <w:rPr>
          <w:rFonts w:ascii="Arial" w:hAnsi="Arial" w:cs="Arial"/>
        </w:rPr>
      </w:pPr>
      <w:hyperlink r:id="rId8" w:history="1">
        <w:r>
          <w:rPr>
            <w:rStyle w:val="Hyperlink"/>
            <w:rFonts w:ascii="Arial" w:hAnsi="Arial" w:cs="Arial"/>
          </w:rPr>
          <w:t>https://www.researchgate.net/publication/272353040_Complexity_Theory</w:t>
        </w:r>
      </w:hyperlink>
    </w:p>
    <w:p w14:paraId="682FDCBC" w14:textId="77777777" w:rsidR="00F40B81" w:rsidRDefault="00F40B81" w:rsidP="00F40B81">
      <w:pPr>
        <w:spacing w:line="240" w:lineRule="auto"/>
        <w:contextualSpacing/>
        <w:rPr>
          <w:rFonts w:ascii="Arial" w:hAnsi="Arial" w:cs="Arial"/>
          <w:kern w:val="0"/>
          <w14:ligatures w14:val="none"/>
        </w:rPr>
      </w:pPr>
    </w:p>
    <w:p w14:paraId="0F340C5D" w14:textId="77777777" w:rsidR="00F40B81" w:rsidRDefault="00F40B81" w:rsidP="00F40B81">
      <w:pPr>
        <w:shd w:val="clear" w:color="auto" w:fill="FFFFFF"/>
        <w:spacing w:line="240" w:lineRule="auto"/>
        <w:rPr>
          <w:rFonts w:ascii="Arial" w:eastAsia="Times New Roman" w:hAnsi="Arial" w:cs="Arial"/>
          <w:b/>
          <w:bCs/>
          <w:color w:val="3A3A3A"/>
          <w:lang w:eastAsia="en-GB"/>
        </w:rPr>
      </w:pPr>
    </w:p>
    <w:p w14:paraId="5ACB0D1F" w14:textId="77777777" w:rsidR="00F40B81" w:rsidRDefault="00F40B81" w:rsidP="00F40B81">
      <w:pPr>
        <w:shd w:val="clear" w:color="auto" w:fill="FFFFFF"/>
        <w:spacing w:line="240" w:lineRule="auto"/>
        <w:rPr>
          <w:rFonts w:ascii="Arial" w:eastAsia="Times New Roman" w:hAnsi="Arial" w:cs="Arial"/>
          <w:b/>
          <w:bCs/>
          <w:color w:val="3A3A3A"/>
          <w:lang w:eastAsia="en-GB"/>
        </w:rPr>
      </w:pPr>
      <w:r>
        <w:rPr>
          <w:rFonts w:ascii="Arial" w:eastAsia="Times New Roman" w:hAnsi="Arial" w:cs="Arial"/>
          <w:b/>
          <w:bCs/>
          <w:lang w:eastAsia="en-GB"/>
        </w:rPr>
        <w:t>THE ONTOLOGICAL TURN</w:t>
      </w:r>
    </w:p>
    <w:p w14:paraId="3AC34716" w14:textId="77777777" w:rsidR="00F40B81" w:rsidRDefault="00F40B81" w:rsidP="00F40B81">
      <w:pPr>
        <w:rPr>
          <w:rFonts w:ascii="Arial" w:hAnsi="Arial" w:cs="Arial"/>
        </w:rPr>
      </w:pPr>
      <w:r>
        <w:rPr>
          <w:rFonts w:ascii="Arial" w:hAnsi="Arial" w:cs="Arial"/>
        </w:rPr>
        <w:t xml:space="preserve">Ontology is the study of being. The Ontological Turn is an anthropological concept which challenges Anthropocentrism, the idea that human beings are the centre of </w:t>
      </w:r>
      <w:proofErr w:type="gramStart"/>
      <w:r>
        <w:rPr>
          <w:rFonts w:ascii="Arial" w:hAnsi="Arial" w:cs="Arial"/>
        </w:rPr>
        <w:t>existence</w:t>
      </w:r>
      <w:proofErr w:type="gramEnd"/>
      <w:r>
        <w:rPr>
          <w:rFonts w:ascii="Arial" w:hAnsi="Arial" w:cs="Arial"/>
        </w:rPr>
        <w:t xml:space="preserve"> and all other things can be imagined as less than human and can be studied as fixed categories:</w:t>
      </w:r>
    </w:p>
    <w:p w14:paraId="708AF540" w14:textId="77777777" w:rsidR="00F40B81" w:rsidRDefault="00F40B81" w:rsidP="00F40B81">
      <w:pPr>
        <w:ind w:left="720"/>
        <w:rPr>
          <w:rFonts w:ascii="Arial" w:hAnsi="Arial" w:cs="Arial"/>
        </w:rPr>
      </w:pPr>
      <w:r>
        <w:rPr>
          <w:rFonts w:ascii="Arial" w:hAnsi="Arial" w:cs="Arial"/>
          <w:color w:val="222222"/>
          <w:shd w:val="clear" w:color="auto" w:fill="FFFFFF"/>
        </w:rPr>
        <w:t xml:space="preserve">Proponents of the ontological turn argue that ‘culture’ carries with it significant metaphysical baggage. </w:t>
      </w:r>
      <w:proofErr w:type="gramStart"/>
      <w:r>
        <w:rPr>
          <w:rFonts w:ascii="Arial" w:hAnsi="Arial" w:cs="Arial"/>
          <w:color w:val="222222"/>
          <w:shd w:val="clear" w:color="auto" w:fill="FFFFFF"/>
        </w:rPr>
        <w:t>In particular, they</w:t>
      </w:r>
      <w:proofErr w:type="gramEnd"/>
      <w:r>
        <w:rPr>
          <w:rFonts w:ascii="Arial" w:hAnsi="Arial" w:cs="Arial"/>
          <w:color w:val="222222"/>
          <w:shd w:val="clear" w:color="auto" w:fill="FFFFFF"/>
        </w:rPr>
        <w:t xml:space="preserve"> point out that it implies that although human beings may differ in their ideas about or viewpoints on the world and other material or natural objects, such objects themselves do not vary with these ideas. ‘Cultures’ may differ, but nature does not. The ontological turn proposes that we dispense with these metaphysical implications, in favour of a radical methodological openness to difference of all kinds, be it </w:t>
      </w:r>
      <w:proofErr w:type="gramStart"/>
      <w:r>
        <w:rPr>
          <w:rFonts w:ascii="Arial" w:hAnsi="Arial" w:cs="Arial"/>
          <w:color w:val="222222"/>
          <w:shd w:val="clear" w:color="auto" w:fill="FFFFFF"/>
        </w:rPr>
        <w:t>what</w:t>
      </w:r>
      <w:proofErr w:type="gramEnd"/>
      <w:r>
        <w:rPr>
          <w:rFonts w:ascii="Arial" w:hAnsi="Arial" w:cs="Arial"/>
          <w:color w:val="222222"/>
          <w:shd w:val="clear" w:color="auto" w:fill="FFFFFF"/>
        </w:rPr>
        <w:t xml:space="preserve"> we would call cultural and epistemological or natural and, indeed, ontological. This entry surveys some of the reasons proponents of this approach have given for adopting it, describes some examples of its use, and discusses some critiques of it, before concluding by pointing to the importance of the questions it raises for anthropology.</w:t>
      </w:r>
      <w:r>
        <w:rPr>
          <w:rStyle w:val="FootnoteReference"/>
          <w:rFonts w:ascii="Arial" w:hAnsi="Arial" w:cs="Arial"/>
          <w:color w:val="222222"/>
          <w:shd w:val="clear" w:color="auto" w:fill="FFFFFF"/>
        </w:rPr>
        <w:footnoteReference w:id="9"/>
      </w:r>
    </w:p>
    <w:p w14:paraId="1DEF856C"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r>
        <w:rPr>
          <w:rFonts w:ascii="Arial" w:eastAsia="Times New Roman" w:hAnsi="Arial" w:cs="Arial"/>
          <w:color w:val="222222"/>
          <w:kern w:val="0"/>
          <w:shd w:val="clear" w:color="auto" w:fill="FFFFFF"/>
          <w:lang w:eastAsia="en-GB"/>
          <w14:ligatures w14:val="none"/>
        </w:rPr>
        <w:t xml:space="preserve">The ontological turn argues that </w:t>
      </w:r>
      <w:proofErr w:type="spellStart"/>
      <w:r>
        <w:rPr>
          <w:rFonts w:ascii="Arial" w:eastAsia="Times New Roman" w:hAnsi="Arial" w:cs="Arial"/>
          <w:color w:val="222222"/>
          <w:kern w:val="0"/>
          <w:shd w:val="clear" w:color="auto" w:fill="FFFFFF"/>
          <w:lang w:eastAsia="en-GB"/>
          <w14:ligatures w14:val="none"/>
        </w:rPr>
        <w:t>any thing</w:t>
      </w:r>
      <w:proofErr w:type="spellEnd"/>
      <w:r>
        <w:rPr>
          <w:rFonts w:ascii="Arial" w:eastAsia="Times New Roman" w:hAnsi="Arial" w:cs="Arial"/>
          <w:color w:val="222222"/>
          <w:kern w:val="0"/>
          <w:shd w:val="clear" w:color="auto" w:fill="FFFFFF"/>
          <w:lang w:eastAsia="en-GB"/>
          <w14:ligatures w14:val="none"/>
        </w:rPr>
        <w:t>, whether classified as animate or inanimate, can occupy the centre point of existence. A common analogy is that what appears to be a pile of mud on a riverbank to a human being is a palace to a hippopotamus. We can experience sitting in a garden or a forest or a field, watching the birds going about their business. For the birds the hunt for food or the building of nests is what matters to them, and in the daily course of events human beings are by and large and irrelevant. Birds may have completely different perceptions of our built environment to the ones that we have. Our houses provide locations for birds to build their nests and they have no concern at all for any role, function or use which we apply to a house.</w:t>
      </w:r>
    </w:p>
    <w:p w14:paraId="08DE4CBD" w14:textId="77777777" w:rsidR="00F40B81" w:rsidRDefault="00F40B81" w:rsidP="00F40B81">
      <w:pPr>
        <w:spacing w:after="0" w:line="240" w:lineRule="auto"/>
        <w:rPr>
          <w:rFonts w:ascii="Arial" w:eastAsia="Times New Roman" w:hAnsi="Arial" w:cs="Arial"/>
          <w:color w:val="222222"/>
          <w:kern w:val="0"/>
          <w:shd w:val="clear" w:color="auto" w:fill="FFFFFF"/>
          <w:lang w:eastAsia="en-GB"/>
          <w14:ligatures w14:val="none"/>
        </w:rPr>
      </w:pPr>
    </w:p>
    <w:p w14:paraId="5332B398" w14:textId="77777777" w:rsidR="00F40B81" w:rsidRDefault="00F40B81" w:rsidP="00F40B81">
      <w:pPr>
        <w:spacing w:after="0" w:line="240" w:lineRule="auto"/>
        <w:rPr>
          <w:rFonts w:ascii="Arial" w:eastAsia="Times New Roman" w:hAnsi="Arial" w:cs="Arial"/>
          <w:kern w:val="0"/>
          <w:lang w:eastAsia="en-GB"/>
          <w14:ligatures w14:val="none"/>
        </w:rPr>
      </w:pPr>
      <w:r>
        <w:rPr>
          <w:rFonts w:ascii="Arial" w:eastAsia="Times New Roman" w:hAnsi="Arial" w:cs="Arial"/>
          <w:color w:val="222222"/>
          <w:kern w:val="0"/>
          <w:shd w:val="clear" w:color="auto" w:fill="FFFFFF"/>
          <w:lang w:eastAsia="en-GB"/>
          <w14:ligatures w14:val="none"/>
        </w:rPr>
        <w:t>The Ontological Turn is further supported by recent research into plant intelligence.</w:t>
      </w:r>
      <w:r>
        <w:rPr>
          <w:rStyle w:val="FootnoteReference"/>
          <w:rFonts w:ascii="Arial" w:eastAsia="Times New Roman" w:hAnsi="Arial" w:cs="Arial"/>
          <w:color w:val="222222"/>
          <w:kern w:val="0"/>
          <w:shd w:val="clear" w:color="auto" w:fill="FFFFFF"/>
          <w:lang w:eastAsia="en-GB"/>
          <w14:ligatures w14:val="none"/>
        </w:rPr>
        <w:footnoteReference w:id="10"/>
      </w:r>
      <w:r>
        <w:rPr>
          <w:rFonts w:ascii="Arial" w:eastAsia="Times New Roman" w:hAnsi="Arial" w:cs="Arial"/>
          <w:color w:val="222222"/>
          <w:kern w:val="0"/>
          <w:shd w:val="clear" w:color="auto" w:fill="FFFFFF"/>
          <w:lang w:eastAsia="en-GB"/>
          <w14:ligatures w14:val="none"/>
        </w:rPr>
        <w:t xml:space="preserve"> </w:t>
      </w:r>
    </w:p>
    <w:p w14:paraId="5B20AC41"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0F7D11E2"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The implication of the ontological turn goes further than this. Every phenomenon in the world can be perceived as the starting point of a chain of events, or a chaotic system, or as the centre of its own existence. A metal artefact that a human might have made consists of individual atoms themselves might be billions of years old and have had their own trajectory through the universe.</w:t>
      </w:r>
    </w:p>
    <w:p w14:paraId="4C23BD87"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122AC740"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The implication of the ontological turn is that our world is completely non-hierarchical and, as much as human beings might like to think that they are in control, they are participants in </w:t>
      </w:r>
      <w:r>
        <w:rPr>
          <w:rFonts w:ascii="Arial" w:eastAsia="Times New Roman" w:hAnsi="Arial" w:cs="Arial"/>
          <w:color w:val="222222"/>
          <w:kern w:val="0"/>
          <w:lang w:eastAsia="en-GB"/>
          <w14:ligatures w14:val="none"/>
        </w:rPr>
        <w:lastRenderedPageBreak/>
        <w:t>much larger systems. They may have agency and act as full participants, but they are still embedded in much larger systems.</w:t>
      </w:r>
    </w:p>
    <w:p w14:paraId="0E2AA89C"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p>
    <w:p w14:paraId="159331A8" w14:textId="77777777" w:rsidR="00F40B81" w:rsidRDefault="00F40B81" w:rsidP="00F40B81">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Such a worldview is entirely compatible with Harmony as an ontology of interconnections, and with Deep Ecology, in which human existence is entirely embedded in the rest of natural existence.</w:t>
      </w:r>
    </w:p>
    <w:p w14:paraId="4AE4AA5C" w14:textId="77777777" w:rsidR="00F40B81" w:rsidRDefault="00F40B81" w:rsidP="00F40B81">
      <w:pPr>
        <w:shd w:val="clear" w:color="auto" w:fill="FFFFFF"/>
        <w:spacing w:after="0" w:line="240" w:lineRule="auto"/>
        <w:rPr>
          <w:rFonts w:ascii="Arial" w:hAnsi="Arial" w:cs="Arial"/>
          <w:b/>
          <w:bCs/>
          <w:color w:val="222222"/>
          <w:shd w:val="clear" w:color="auto" w:fill="FFFFFF"/>
        </w:rPr>
      </w:pPr>
    </w:p>
    <w:p w14:paraId="41686B55" w14:textId="77777777" w:rsidR="00F40B81" w:rsidRDefault="00F40B81" w:rsidP="00F40B81">
      <w:pPr>
        <w:rPr>
          <w:rFonts w:ascii="Arial" w:hAnsi="Arial" w:cs="Arial"/>
          <w:b/>
          <w:bCs/>
          <w:color w:val="222222"/>
          <w:shd w:val="clear" w:color="auto" w:fill="FFFFFF"/>
        </w:rPr>
      </w:pPr>
      <w:r>
        <w:rPr>
          <w:rFonts w:ascii="Arial" w:hAnsi="Arial" w:cs="Arial"/>
          <w:b/>
          <w:bCs/>
          <w:color w:val="222222"/>
          <w:shd w:val="clear" w:color="auto" w:fill="FFFFFF"/>
        </w:rPr>
        <w:t>The Ontological Turn: Reading</w:t>
      </w:r>
    </w:p>
    <w:p w14:paraId="5DEA6289" w14:textId="77777777" w:rsidR="00F40B81" w:rsidRDefault="00F40B81" w:rsidP="00F40B81">
      <w:pPr>
        <w:rPr>
          <w:rFonts w:ascii="Arial" w:hAnsi="Arial" w:cs="Arial"/>
          <w:color w:val="222222"/>
          <w:shd w:val="clear" w:color="auto" w:fill="FFFFFF"/>
        </w:rPr>
      </w:pPr>
      <w:r>
        <w:rPr>
          <w:rFonts w:ascii="Arial" w:hAnsi="Arial" w:cs="Arial"/>
          <w:color w:val="222222"/>
          <w:shd w:val="clear" w:color="auto" w:fill="FFFFFF"/>
        </w:rPr>
        <w:t>The reading is extensive, though not huge, and the following is indicative.</w:t>
      </w:r>
    </w:p>
    <w:p w14:paraId="03D306A1" w14:textId="77777777" w:rsidR="00F40B81" w:rsidRDefault="00F40B81" w:rsidP="00F40B81">
      <w:pPr>
        <w:rPr>
          <w:rFonts w:ascii="Arial" w:hAnsi="Arial" w:cs="Arial"/>
        </w:rPr>
      </w:pPr>
      <w:r>
        <w:rPr>
          <w:rFonts w:ascii="Arial" w:hAnsi="Arial" w:cs="Arial"/>
          <w:color w:val="222222"/>
          <w:shd w:val="clear" w:color="auto" w:fill="FFFFFF"/>
        </w:rPr>
        <w:t>Heywood, Paolo. (2017) 2023. “Ontological turn, the”. In </w:t>
      </w:r>
      <w:r>
        <w:rPr>
          <w:rFonts w:ascii="Arial" w:hAnsi="Arial" w:cs="Arial"/>
          <w:i/>
          <w:iCs/>
          <w:color w:val="222222"/>
          <w:shd w:val="clear" w:color="auto" w:fill="FFFFFF"/>
        </w:rPr>
        <w:t xml:space="preserve">The Open </w:t>
      </w:r>
      <w:proofErr w:type="spellStart"/>
      <w:r>
        <w:rPr>
          <w:rFonts w:ascii="Arial" w:hAnsi="Arial" w:cs="Arial"/>
          <w:i/>
          <w:iCs/>
          <w:color w:val="222222"/>
          <w:shd w:val="clear" w:color="auto" w:fill="FFFFFF"/>
        </w:rPr>
        <w:t>Encyclopedia</w:t>
      </w:r>
      <w:proofErr w:type="spellEnd"/>
      <w:r>
        <w:rPr>
          <w:rFonts w:ascii="Arial" w:hAnsi="Arial" w:cs="Arial"/>
          <w:i/>
          <w:iCs/>
          <w:color w:val="222222"/>
          <w:shd w:val="clear" w:color="auto" w:fill="FFFFFF"/>
        </w:rPr>
        <w:t xml:space="preserve"> of Anthropology</w:t>
      </w:r>
      <w:r>
        <w:rPr>
          <w:rFonts w:ascii="Arial" w:hAnsi="Arial" w:cs="Arial"/>
          <w:color w:val="222222"/>
          <w:shd w:val="clear" w:color="auto" w:fill="FFFFFF"/>
        </w:rPr>
        <w:t>, edited by Felix Stein. Facsimile of the first edition in </w:t>
      </w:r>
      <w:r>
        <w:rPr>
          <w:rFonts w:ascii="Arial" w:hAnsi="Arial" w:cs="Arial"/>
          <w:i/>
          <w:iCs/>
          <w:color w:val="222222"/>
          <w:shd w:val="clear" w:color="auto" w:fill="FFFFFF"/>
        </w:rPr>
        <w:t xml:space="preserve">The Cambridge </w:t>
      </w:r>
      <w:proofErr w:type="spellStart"/>
      <w:r>
        <w:rPr>
          <w:rFonts w:ascii="Arial" w:hAnsi="Arial" w:cs="Arial"/>
          <w:i/>
          <w:iCs/>
          <w:color w:val="222222"/>
          <w:shd w:val="clear" w:color="auto" w:fill="FFFFFF"/>
        </w:rPr>
        <w:t>Encyclopedia</w:t>
      </w:r>
      <w:proofErr w:type="spellEnd"/>
      <w:r>
        <w:rPr>
          <w:rFonts w:ascii="Arial" w:hAnsi="Arial" w:cs="Arial"/>
          <w:i/>
          <w:iCs/>
          <w:color w:val="222222"/>
          <w:shd w:val="clear" w:color="auto" w:fill="FFFFFF"/>
        </w:rPr>
        <w:t xml:space="preserve"> of Anthropology</w:t>
      </w:r>
      <w:r>
        <w:rPr>
          <w:rFonts w:ascii="Arial" w:hAnsi="Arial" w:cs="Arial"/>
          <w:color w:val="222222"/>
          <w:shd w:val="clear" w:color="auto" w:fill="FFFFFF"/>
        </w:rPr>
        <w:t>. Online: </w:t>
      </w:r>
      <w:hyperlink r:id="rId9" w:tgtFrame="_new" w:history="1">
        <w:r>
          <w:rPr>
            <w:rStyle w:val="Hyperlink"/>
            <w:rFonts w:ascii="Arial" w:hAnsi="Arial" w:cs="Arial"/>
            <w:color w:val="008CCF"/>
            <w:shd w:val="clear" w:color="auto" w:fill="FFFFFF"/>
          </w:rPr>
          <w:t>http://doi.org/10.29164/17ontology</w:t>
        </w:r>
      </w:hyperlink>
    </w:p>
    <w:p w14:paraId="51B1EE55" w14:textId="77777777" w:rsidR="00F40B81" w:rsidRDefault="00F40B81" w:rsidP="00F40B81">
      <w:pPr>
        <w:rPr>
          <w:rFonts w:ascii="Arial" w:hAnsi="Arial" w:cs="Arial"/>
          <w:kern w:val="0"/>
          <w14:ligatures w14:val="none"/>
        </w:rPr>
      </w:pPr>
      <w:r>
        <w:rPr>
          <w:rFonts w:ascii="Arial" w:hAnsi="Arial" w:cs="Arial"/>
        </w:rPr>
        <w:t xml:space="preserve">Holbraad, Martin and Morten Axel Pedersen, </w:t>
      </w:r>
      <w:r>
        <w:rPr>
          <w:rFonts w:ascii="Arial" w:hAnsi="Arial" w:cs="Arial"/>
          <w:i/>
          <w:iCs/>
        </w:rPr>
        <w:t xml:space="preserve">The Ontological Turn: </w:t>
      </w:r>
      <w:proofErr w:type="gramStart"/>
      <w:r>
        <w:rPr>
          <w:rFonts w:ascii="Arial" w:hAnsi="Arial" w:cs="Arial"/>
          <w:i/>
          <w:iCs/>
        </w:rPr>
        <w:t>an</w:t>
      </w:r>
      <w:proofErr w:type="gramEnd"/>
      <w:r>
        <w:rPr>
          <w:rFonts w:ascii="Arial" w:hAnsi="Arial" w:cs="Arial"/>
          <w:i/>
          <w:iCs/>
        </w:rPr>
        <w:t xml:space="preserve"> Anthropological Exposition </w:t>
      </w:r>
      <w:r>
        <w:rPr>
          <w:rFonts w:ascii="Arial" w:hAnsi="Arial" w:cs="Arial"/>
        </w:rPr>
        <w:t>(Cambridge: Cambridge University Press, 2017).</w:t>
      </w:r>
    </w:p>
    <w:p w14:paraId="32111449" w14:textId="77777777" w:rsidR="00F40B81" w:rsidRDefault="00F40B81" w:rsidP="00F40B81">
      <w:pPr>
        <w:rPr>
          <w:rFonts w:ascii="Arial" w:hAnsi="Arial" w:cs="Arial"/>
        </w:rPr>
      </w:pPr>
      <w:r>
        <w:rPr>
          <w:rFonts w:ascii="Arial" w:hAnsi="Arial" w:cs="Arial"/>
        </w:rPr>
        <w:t>NB: We do not currently hold this book in the library but there are many reviews commenting on it.</w:t>
      </w:r>
    </w:p>
    <w:p w14:paraId="54441374"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r>
        <w:rPr>
          <w:rFonts w:ascii="Arial" w:eastAsia="Times New Roman" w:hAnsi="Arial" w:cs="Arial"/>
          <w:color w:val="3A3A3A"/>
          <w:lang w:eastAsia="en-GB"/>
        </w:rPr>
        <w:t>Hemmings, Clare, ‘Cultural Theory and the Ontological Turn’, Cultural Studies, 2005, Vol.19 (5), p.548-567</w:t>
      </w:r>
    </w:p>
    <w:p w14:paraId="52AB284C" w14:textId="77777777" w:rsidR="00F40B81" w:rsidRDefault="00F40B81" w:rsidP="00F40B81">
      <w:pPr>
        <w:shd w:val="clear" w:color="auto" w:fill="FFFFFF"/>
        <w:spacing w:line="240" w:lineRule="auto"/>
        <w:contextualSpacing/>
        <w:outlineLvl w:val="2"/>
        <w:rPr>
          <w:rFonts w:ascii="Arial" w:eastAsia="Times New Roman" w:hAnsi="Arial" w:cs="Arial"/>
          <w:b/>
          <w:bCs/>
          <w:color w:val="44707B"/>
          <w:lang w:eastAsia="en-GB"/>
        </w:rPr>
      </w:pPr>
    </w:p>
    <w:p w14:paraId="0B35DFAD"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r>
        <w:rPr>
          <w:rFonts w:ascii="Arial" w:eastAsia="Times New Roman" w:hAnsi="Arial" w:cs="Arial"/>
          <w:color w:val="3A3A3A"/>
          <w:lang w:eastAsia="en-GB"/>
        </w:rPr>
        <w:t xml:space="preserve">Pickering, Andrew, ‘The Ontological Turn: Taking Different Worlds Seriously’, </w:t>
      </w:r>
      <w:r>
        <w:rPr>
          <w:rFonts w:ascii="Arial" w:eastAsia="Times New Roman" w:hAnsi="Arial" w:cs="Arial"/>
          <w:i/>
          <w:iCs/>
          <w:color w:val="3A3A3A"/>
          <w:lang w:eastAsia="en-GB"/>
        </w:rPr>
        <w:t>Social Analysis</w:t>
      </w:r>
      <w:r>
        <w:rPr>
          <w:rFonts w:ascii="Arial" w:eastAsia="Times New Roman" w:hAnsi="Arial" w:cs="Arial"/>
          <w:color w:val="3A3A3A"/>
          <w:lang w:eastAsia="en-GB"/>
        </w:rPr>
        <w:t>, 2017, Vol.61 (2), p.134-150.</w:t>
      </w:r>
    </w:p>
    <w:p w14:paraId="2CD2B130"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p>
    <w:p w14:paraId="29E440E7"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proofErr w:type="spellStart"/>
      <w:r>
        <w:rPr>
          <w:rFonts w:ascii="Arial" w:eastAsia="Times New Roman" w:hAnsi="Arial" w:cs="Arial"/>
          <w:color w:val="3A3A3A"/>
          <w:lang w:eastAsia="en-GB"/>
        </w:rPr>
        <w:t>Sivado</w:t>
      </w:r>
      <w:proofErr w:type="spellEnd"/>
      <w:r>
        <w:rPr>
          <w:rFonts w:ascii="Arial" w:eastAsia="Times New Roman" w:hAnsi="Arial" w:cs="Arial"/>
          <w:color w:val="3A3A3A"/>
          <w:lang w:eastAsia="en-GB"/>
        </w:rPr>
        <w:t xml:space="preserve">, </w:t>
      </w:r>
      <w:proofErr w:type="spellStart"/>
      <w:r>
        <w:rPr>
          <w:rFonts w:ascii="Arial" w:eastAsia="Times New Roman" w:hAnsi="Arial" w:cs="Arial"/>
          <w:color w:val="3A3A3A"/>
          <w:lang w:eastAsia="en-GB"/>
        </w:rPr>
        <w:t>Akos</w:t>
      </w:r>
      <w:proofErr w:type="spellEnd"/>
      <w:r>
        <w:rPr>
          <w:rFonts w:ascii="Arial" w:eastAsia="Times New Roman" w:hAnsi="Arial" w:cs="Arial"/>
          <w:color w:val="3A3A3A"/>
          <w:lang w:eastAsia="en-GB"/>
        </w:rPr>
        <w:t xml:space="preserve">, ‘Ways to be Understood: </w:t>
      </w:r>
      <w:proofErr w:type="gramStart"/>
      <w:r>
        <w:rPr>
          <w:rFonts w:ascii="Arial" w:eastAsia="Times New Roman" w:hAnsi="Arial" w:cs="Arial"/>
          <w:color w:val="3A3A3A"/>
          <w:lang w:eastAsia="en-GB"/>
        </w:rPr>
        <w:t>the</w:t>
      </w:r>
      <w:proofErr w:type="gramEnd"/>
      <w:r>
        <w:rPr>
          <w:rFonts w:ascii="Arial" w:eastAsia="Times New Roman" w:hAnsi="Arial" w:cs="Arial"/>
          <w:color w:val="3A3A3A"/>
          <w:lang w:eastAsia="en-GB"/>
        </w:rPr>
        <w:t xml:space="preserve"> Ontological Turn and Interpretative Social Science, </w:t>
      </w:r>
      <w:r>
        <w:rPr>
          <w:rFonts w:ascii="Arial" w:eastAsia="Times New Roman" w:hAnsi="Arial" w:cs="Arial"/>
          <w:i/>
          <w:iCs/>
          <w:color w:val="3A3A3A"/>
          <w:lang w:eastAsia="en-GB"/>
        </w:rPr>
        <w:t>Philosophy of the Social Sciences,</w:t>
      </w:r>
      <w:r>
        <w:rPr>
          <w:rFonts w:ascii="Arial" w:eastAsia="Times New Roman" w:hAnsi="Arial" w:cs="Arial"/>
          <w:color w:val="3A3A3A"/>
          <w:lang w:eastAsia="en-GB"/>
        </w:rPr>
        <w:t xml:space="preserve"> 2020, Vol.50 (6), p.565-585</w:t>
      </w:r>
    </w:p>
    <w:p w14:paraId="349A95D1" w14:textId="77777777" w:rsidR="00F40B81" w:rsidRDefault="00F40B81" w:rsidP="00F40B81">
      <w:pPr>
        <w:spacing w:line="240" w:lineRule="auto"/>
        <w:rPr>
          <w:rFonts w:ascii="Arial" w:hAnsi="Arial" w:cs="Arial"/>
          <w:b/>
          <w:bCs/>
        </w:rPr>
      </w:pPr>
    </w:p>
    <w:p w14:paraId="297239BC" w14:textId="77777777" w:rsidR="00F40B81" w:rsidRDefault="00F40B81" w:rsidP="00F40B81">
      <w:pPr>
        <w:spacing w:line="240" w:lineRule="auto"/>
        <w:rPr>
          <w:rFonts w:ascii="Arial" w:hAnsi="Arial" w:cs="Arial"/>
          <w:b/>
          <w:bCs/>
        </w:rPr>
      </w:pPr>
      <w:r>
        <w:rPr>
          <w:rFonts w:ascii="Arial" w:hAnsi="Arial" w:cs="Arial"/>
          <w:b/>
          <w:bCs/>
        </w:rPr>
        <w:t>PROCESS PHILOSOPHY</w:t>
      </w:r>
    </w:p>
    <w:p w14:paraId="1E1DADBA" w14:textId="77777777" w:rsidR="00F40B81" w:rsidRDefault="00F40B81" w:rsidP="00F40B81">
      <w:pPr>
        <w:spacing w:line="240" w:lineRule="auto"/>
        <w:rPr>
          <w:rFonts w:ascii="Arial" w:hAnsi="Arial" w:cs="Arial"/>
          <w:color w:val="000000"/>
          <w:shd w:val="clear" w:color="auto" w:fill="FFFFFF"/>
        </w:rPr>
      </w:pPr>
      <w:r>
        <w:rPr>
          <w:rFonts w:ascii="Arial" w:hAnsi="Arial" w:cs="Arial"/>
        </w:rPr>
        <w:t xml:space="preserve">Process Philosophy is based in the concept that all things are in a process of constant change and that there can be no fixed state. Its earliest literary evidence is in the work of </w:t>
      </w:r>
      <w:proofErr w:type="gramStart"/>
      <w:r>
        <w:rPr>
          <w:rFonts w:ascii="Arial" w:hAnsi="Arial" w:cs="Arial"/>
        </w:rPr>
        <w:t>Heraclitus, and</w:t>
      </w:r>
      <w:proofErr w:type="gramEnd"/>
      <w:r>
        <w:rPr>
          <w:rFonts w:ascii="Arial" w:hAnsi="Arial" w:cs="Arial"/>
        </w:rPr>
        <w:t xml:space="preserve"> articulated by Plato in his concept of Becoming. The world occupied by changing, physical forms, including human beings, is the world of 'Becoming', in which everything is constantly becoming something else. If everything is in a permanent state of change, the entire cosmos of Becoming from the greatest part to the smallest is different from one moment to the next. From this perspective, any definite objective knowledge about the universe is impossible because what is true one moment is no longer true the next. Truth is only possible if we can access the eternal, unchanging realities of Being. If </w:t>
      </w:r>
      <w:proofErr w:type="gramStart"/>
      <w:r>
        <w:rPr>
          <w:rFonts w:ascii="Arial" w:hAnsi="Arial" w:cs="Arial"/>
        </w:rPr>
        <w:t>Being</w:t>
      </w:r>
      <w:proofErr w:type="gramEnd"/>
      <w:r>
        <w:rPr>
          <w:rFonts w:ascii="Arial" w:hAnsi="Arial" w:cs="Arial"/>
        </w:rPr>
        <w:t xml:space="preserve"> was unchanging eternity then time, in Benjamin </w:t>
      </w:r>
      <w:r>
        <w:rPr>
          <w:rFonts w:ascii="Arial" w:hAnsi="Arial" w:cs="Arial"/>
          <w:color w:val="000000"/>
          <w:shd w:val="clear" w:color="auto" w:fill="FFFFFF"/>
        </w:rPr>
        <w:t>Jowett’s translation of the Timaeus (37 c-e), is ‘the moving image of eternity’.</w:t>
      </w:r>
      <w:r>
        <w:rPr>
          <w:rFonts w:ascii="Arial" w:hAnsi="Arial" w:cs="Arial"/>
        </w:rPr>
        <w:t xml:space="preserve"> Or in R.G. Bury’s translation:</w:t>
      </w:r>
    </w:p>
    <w:p w14:paraId="739E7688" w14:textId="77777777" w:rsidR="00F40B81" w:rsidRDefault="00F40B81" w:rsidP="00F40B81">
      <w:pPr>
        <w:ind w:left="720"/>
        <w:rPr>
          <w:rFonts w:ascii="Arial" w:hAnsi="Arial" w:cs="Arial"/>
          <w:lang w:eastAsia="en-GB"/>
        </w:rPr>
      </w:pPr>
      <w:r>
        <w:rPr>
          <w:rFonts w:ascii="Arial" w:hAnsi="Arial" w:cs="Arial"/>
          <w:lang w:eastAsia="en-GB"/>
        </w:rPr>
        <w:t>Wherefore He planned to make a movable image of Eternity, and, as He set in order the Heaven, of that Eternity which abides in unity He made an eternal image moving according to number, even that which we have named Time.</w:t>
      </w:r>
      <w:r>
        <w:rPr>
          <w:rStyle w:val="FootnoteReference"/>
          <w:rFonts w:ascii="Arial" w:hAnsi="Arial" w:cs="Arial"/>
          <w:lang w:eastAsia="en-GB"/>
        </w:rPr>
        <w:footnoteReference w:id="11"/>
      </w:r>
    </w:p>
    <w:p w14:paraId="213647EE" w14:textId="77777777" w:rsidR="00F40B81" w:rsidRDefault="00F40B81" w:rsidP="00F40B81">
      <w:pPr>
        <w:rPr>
          <w:rFonts w:ascii="Arial" w:hAnsi="Arial" w:cs="Arial"/>
          <w:lang w:eastAsia="en-GB"/>
        </w:rPr>
      </w:pPr>
      <w:r>
        <w:rPr>
          <w:rFonts w:ascii="Arial" w:hAnsi="Arial" w:cs="Arial"/>
          <w:lang w:eastAsia="en-GB"/>
        </w:rPr>
        <w:t xml:space="preserve">Becoming and </w:t>
      </w:r>
      <w:proofErr w:type="gramStart"/>
      <w:r>
        <w:rPr>
          <w:rFonts w:ascii="Arial" w:hAnsi="Arial" w:cs="Arial"/>
          <w:lang w:eastAsia="en-GB"/>
        </w:rPr>
        <w:t>Being</w:t>
      </w:r>
      <w:proofErr w:type="gramEnd"/>
      <w:r>
        <w:rPr>
          <w:rFonts w:ascii="Arial" w:hAnsi="Arial" w:cs="Arial"/>
          <w:lang w:eastAsia="en-GB"/>
        </w:rPr>
        <w:t xml:space="preserve"> are contrasted.</w:t>
      </w:r>
    </w:p>
    <w:p w14:paraId="3A722724" w14:textId="77777777" w:rsidR="00F40B81" w:rsidRDefault="00F40B81" w:rsidP="00F40B81">
      <w:pPr>
        <w:ind w:left="720"/>
        <w:rPr>
          <w:rFonts w:ascii="Arial" w:hAnsi="Arial" w:cs="Arial"/>
        </w:rPr>
      </w:pPr>
      <w:r>
        <w:rPr>
          <w:rFonts w:ascii="Arial" w:hAnsi="Arial" w:cs="Arial"/>
        </w:rPr>
        <w:t xml:space="preserve">‘What is that which is Existent always and has no Becoming? And what is that which is Becoming always and never is Existent? Now the one of these [Being] is </w:t>
      </w:r>
      <w:r>
        <w:rPr>
          <w:rFonts w:ascii="Arial" w:hAnsi="Arial" w:cs="Arial"/>
        </w:rPr>
        <w:lastRenderedPageBreak/>
        <w:t xml:space="preserve">apprehensible by thought with the aid of reasoning since it is ever uniformly existent; whereas the other [Becoming] is an object of opinion with the aid of unreasoning sensation, since it becomes and perishes and is never </w:t>
      </w:r>
      <w:proofErr w:type="gramStart"/>
      <w:r>
        <w:rPr>
          <w:rFonts w:ascii="Arial" w:hAnsi="Arial" w:cs="Arial"/>
        </w:rPr>
        <w:t>really existent</w:t>
      </w:r>
      <w:proofErr w:type="gramEnd"/>
      <w:r>
        <w:rPr>
          <w:rFonts w:ascii="Arial" w:hAnsi="Arial" w:cs="Arial"/>
        </w:rPr>
        <w:t>’.</w:t>
      </w:r>
      <w:r>
        <w:rPr>
          <w:rStyle w:val="FootnoteReference"/>
          <w:rFonts w:ascii="Arial" w:hAnsi="Arial" w:cs="Arial"/>
        </w:rPr>
        <w:footnoteReference w:id="12"/>
      </w:r>
      <w:r>
        <w:rPr>
          <w:rFonts w:ascii="Arial" w:hAnsi="Arial" w:cs="Arial"/>
        </w:rPr>
        <w:t xml:space="preserve"> </w:t>
      </w:r>
    </w:p>
    <w:p w14:paraId="485453F7" w14:textId="77777777" w:rsidR="00F40B81" w:rsidRDefault="00F40B81" w:rsidP="00F40B81">
      <w:pPr>
        <w:rPr>
          <w:rFonts w:ascii="Arial" w:hAnsi="Arial" w:cs="Arial"/>
        </w:rPr>
      </w:pPr>
      <w:r>
        <w:rPr>
          <w:rFonts w:ascii="Arial" w:hAnsi="Arial" w:cs="Arial"/>
        </w:rPr>
        <w:t xml:space="preserve">In this worldview, in our world we can never attain the eternal, unchanging state of Being, even if we can glimpse it in the (almost) perfect motion of the stars. The geometrical truths which form the basis of Harmony emerge from Harmony. In the human world everything is in a constant state of change. In Plato’s system the purpose of personal development and social organisation is </w:t>
      </w:r>
      <w:proofErr w:type="gramStart"/>
      <w:r>
        <w:rPr>
          <w:rFonts w:ascii="Arial" w:hAnsi="Arial" w:cs="Arial"/>
        </w:rPr>
        <w:t>to</w:t>
      </w:r>
      <w:proofErr w:type="gramEnd"/>
      <w:r>
        <w:rPr>
          <w:rFonts w:ascii="Arial" w:hAnsi="Arial" w:cs="Arial"/>
        </w:rPr>
        <w:t xml:space="preserve"> </w:t>
      </w:r>
      <w:commentRangeStart w:id="0"/>
      <w:r>
        <w:rPr>
          <w:rFonts w:ascii="Arial" w:hAnsi="Arial" w:cs="Arial"/>
        </w:rPr>
        <w:t>main</w:t>
      </w:r>
      <w:commentRangeEnd w:id="0"/>
      <w:r>
        <w:rPr>
          <w:rStyle w:val="CommentReference"/>
        </w:rPr>
        <w:commentReference w:id="0"/>
      </w:r>
      <w:r>
        <w:rPr>
          <w:rFonts w:ascii="Arial" w:hAnsi="Arial" w:cs="Arial"/>
        </w:rPr>
        <w:t xml:space="preserve"> Harmony as far as possible in view of the tendency towards Disharmony which is a constant risk of the constant change of Becoming.</w:t>
      </w:r>
    </w:p>
    <w:p w14:paraId="6625F3EF" w14:textId="77777777" w:rsidR="00F40B81" w:rsidRDefault="00F40B81" w:rsidP="00F40B81">
      <w:pPr>
        <w:rPr>
          <w:rFonts w:ascii="Arial" w:hAnsi="Arial" w:cs="Arial"/>
        </w:rPr>
      </w:pPr>
      <w:r>
        <w:rPr>
          <w:rFonts w:ascii="Arial" w:hAnsi="Arial" w:cs="Arial"/>
        </w:rPr>
        <w:t xml:space="preserve">The leading modern exponent of Process Philosophy is Alfred North Whitehead, whose 1924 book, </w:t>
      </w:r>
      <w:r>
        <w:rPr>
          <w:rFonts w:ascii="Arial" w:hAnsi="Arial" w:cs="Arial"/>
          <w:i/>
          <w:iCs/>
        </w:rPr>
        <w:t>Process and Reality</w:t>
      </w:r>
      <w:r>
        <w:rPr>
          <w:rFonts w:ascii="Arial" w:hAnsi="Arial" w:cs="Arial"/>
        </w:rPr>
        <w:t xml:space="preserve"> established the concept in its most recent form. Like Plato’s Becoming, Process Philosophy has immediate consequences for our self-understanding. As applied to individual lives </w:t>
      </w:r>
    </w:p>
    <w:p w14:paraId="590C036C" w14:textId="77777777" w:rsidR="00F40B81" w:rsidRDefault="00F40B81" w:rsidP="00F40B81">
      <w:pPr>
        <w:spacing w:line="240" w:lineRule="auto"/>
        <w:ind w:left="720"/>
        <w:rPr>
          <w:rFonts w:ascii="Arial" w:hAnsi="Arial" w:cs="Arial"/>
          <w:color w:val="1A1A1A"/>
          <w:shd w:val="clear" w:color="auto" w:fill="FFFFFF"/>
        </w:rPr>
      </w:pPr>
      <w:r>
        <w:rPr>
          <w:rFonts w:ascii="Arial" w:hAnsi="Arial" w:cs="Arial"/>
          <w:color w:val="1A1A1A"/>
          <w:shd w:val="clear" w:color="auto" w:fill="FFFFFF"/>
        </w:rPr>
        <w:t xml:space="preserve">Perhaps the clearest example for the progress that a </w:t>
      </w:r>
      <w:proofErr w:type="spellStart"/>
      <w:r>
        <w:rPr>
          <w:rFonts w:ascii="Arial" w:hAnsi="Arial" w:cs="Arial"/>
          <w:color w:val="1A1A1A"/>
          <w:shd w:val="clear" w:color="auto" w:fill="FFFFFF"/>
        </w:rPr>
        <w:t>processist</w:t>
      </w:r>
      <w:proofErr w:type="spellEnd"/>
      <w:r>
        <w:rPr>
          <w:rFonts w:ascii="Arial" w:hAnsi="Arial" w:cs="Arial"/>
          <w:color w:val="1A1A1A"/>
          <w:shd w:val="clear" w:color="auto" w:fill="FFFFFF"/>
        </w:rPr>
        <w:t xml:space="preserve"> approach can bring to longstanding tasks of philosophy is in the theory of selfhood and personhood. Whatever cultural notions of ‘person’ and ‘self’ we may have acquired, our immediate self-awareness reveals us to ourselves as engaged in doings and </w:t>
      </w:r>
      <w:commentRangeStart w:id="1"/>
      <w:proofErr w:type="spellStart"/>
      <w:r>
        <w:rPr>
          <w:rFonts w:ascii="Arial" w:hAnsi="Arial" w:cs="Arial"/>
          <w:color w:val="1A1A1A"/>
          <w:shd w:val="clear" w:color="auto" w:fill="FFFFFF"/>
        </w:rPr>
        <w:t>undergoings</w:t>
      </w:r>
      <w:commentRangeEnd w:id="1"/>
      <w:proofErr w:type="spellEnd"/>
      <w:r>
        <w:rPr>
          <w:rStyle w:val="CommentReference"/>
        </w:rPr>
        <w:commentReference w:id="1"/>
      </w:r>
      <w:r>
        <w:rPr>
          <w:rFonts w:ascii="Arial" w:hAnsi="Arial" w:cs="Arial"/>
          <w:color w:val="1A1A1A"/>
          <w:shd w:val="clear" w:color="auto" w:fill="FFFFFF"/>
        </w:rPr>
        <w:t>. What we find ourselves to be doing and undergoing we understand as belonging to a space of possible occurrences. We notice patterns in what might possibly be going on with us, and some of these patterns we use to identify ourselves: in terms of our talents, skills, capabilities, traits, dispositions, habits, inclinations, and tendencies to action and inaction. It is integral to your self-awareness at this moment that your reading is </w:t>
      </w:r>
      <w:r>
        <w:rPr>
          <w:rStyle w:val="Emphasis"/>
          <w:rFonts w:ascii="Arial" w:hAnsi="Arial" w:cs="Arial"/>
          <w:color w:val="1A1A1A"/>
          <w:shd w:val="clear" w:color="auto" w:fill="FFFFFF"/>
        </w:rPr>
        <w:t>yours</w:t>
      </w:r>
      <w:r>
        <w:rPr>
          <w:rFonts w:ascii="Arial" w:hAnsi="Arial" w:cs="Arial"/>
          <w:color w:val="1A1A1A"/>
          <w:shd w:val="clear" w:color="auto" w:fill="FFFFFF"/>
        </w:rPr>
        <w:t>, the reading of a self that is the same over time. But the sameness of this self we experience not as the sameness of a time-invariant thing but as the sameness of an ‘operation’ of integration—an ongoing unification of experienced patterns in ways that enable a first-person perspective.</w:t>
      </w:r>
      <w:r>
        <w:rPr>
          <w:rStyle w:val="FootnoteReference"/>
          <w:rFonts w:ascii="Arial" w:hAnsi="Arial" w:cs="Arial"/>
          <w:color w:val="1A1A1A"/>
          <w:shd w:val="clear" w:color="auto" w:fill="FFFFFF"/>
        </w:rPr>
        <w:footnoteReference w:id="13"/>
      </w:r>
      <w:r>
        <w:rPr>
          <w:rFonts w:ascii="Arial" w:hAnsi="Arial" w:cs="Arial"/>
          <w:color w:val="1A1A1A"/>
          <w:shd w:val="clear" w:color="auto" w:fill="FFFFFF"/>
        </w:rPr>
        <w:t> </w:t>
      </w:r>
    </w:p>
    <w:p w14:paraId="3CEC19C8" w14:textId="77777777" w:rsidR="00F40B81" w:rsidRDefault="00F40B81" w:rsidP="00F40B81">
      <w:pPr>
        <w:spacing w:line="240" w:lineRule="auto"/>
        <w:rPr>
          <w:rFonts w:ascii="Arial" w:hAnsi="Arial" w:cs="Arial"/>
          <w:color w:val="1A1A1A"/>
        </w:rPr>
      </w:pPr>
      <w:r>
        <w:rPr>
          <w:rFonts w:ascii="Arial" w:hAnsi="Arial" w:cs="Arial"/>
          <w:color w:val="1A1A1A"/>
        </w:rPr>
        <w:t>As applied to Harmony, then, the question is how we navigate perpetual change in our own lives and the world around us.</w:t>
      </w:r>
    </w:p>
    <w:p w14:paraId="48A5D570" w14:textId="77777777" w:rsidR="00F40B81" w:rsidRDefault="00F40B81" w:rsidP="00F40B81">
      <w:pPr>
        <w:spacing w:line="240" w:lineRule="auto"/>
        <w:rPr>
          <w:rFonts w:ascii="Arial" w:hAnsi="Arial" w:cs="Arial"/>
          <w:b/>
          <w:bCs/>
        </w:rPr>
      </w:pPr>
      <w:r>
        <w:rPr>
          <w:rFonts w:ascii="Arial" w:hAnsi="Arial" w:cs="Arial"/>
          <w:b/>
          <w:bCs/>
        </w:rPr>
        <w:t>Process Philosophy Reading</w:t>
      </w:r>
    </w:p>
    <w:p w14:paraId="1CFA03FB" w14:textId="77777777" w:rsidR="00F40B81" w:rsidRDefault="00F40B81" w:rsidP="00F40B81">
      <w:pPr>
        <w:spacing w:line="240" w:lineRule="auto"/>
        <w:contextualSpacing/>
        <w:rPr>
          <w:rFonts w:ascii="Arial" w:hAnsi="Arial" w:cs="Arial"/>
        </w:rPr>
      </w:pPr>
      <w:r>
        <w:rPr>
          <w:rFonts w:ascii="Arial" w:hAnsi="Arial" w:cs="Arial"/>
        </w:rPr>
        <w:t xml:space="preserve">Whitehead, Alfred North. </w:t>
      </w:r>
      <w:r>
        <w:rPr>
          <w:rFonts w:ascii="Arial" w:hAnsi="Arial" w:cs="Arial"/>
          <w:i/>
        </w:rPr>
        <w:t xml:space="preserve">Process and Reality </w:t>
      </w:r>
      <w:r>
        <w:rPr>
          <w:rFonts w:ascii="Arial" w:hAnsi="Arial" w:cs="Arial"/>
          <w:iCs/>
        </w:rPr>
        <w:t>(</w:t>
      </w:r>
      <w:r>
        <w:rPr>
          <w:rFonts w:ascii="Arial" w:hAnsi="Arial" w:cs="Arial"/>
        </w:rPr>
        <w:t>London: Free Press, 1979 [1924]).</w:t>
      </w:r>
    </w:p>
    <w:p w14:paraId="3E7762F0" w14:textId="77777777" w:rsidR="00F40B81" w:rsidRDefault="00F40B81" w:rsidP="00F40B81">
      <w:pPr>
        <w:spacing w:line="240" w:lineRule="auto"/>
        <w:contextualSpacing/>
        <w:rPr>
          <w:rFonts w:ascii="Arial" w:hAnsi="Arial" w:cs="Arial"/>
          <w:color w:val="000000"/>
        </w:rPr>
      </w:pPr>
      <w:r>
        <w:rPr>
          <w:rFonts w:ascii="Arial" w:hAnsi="Arial" w:cs="Arial"/>
        </w:rPr>
        <w:t>This is not in the University Library although there are useful commentaries on it.</w:t>
      </w:r>
    </w:p>
    <w:p w14:paraId="051B7838" w14:textId="77777777" w:rsidR="00F40B81" w:rsidRDefault="00F40B81" w:rsidP="00F40B81">
      <w:pPr>
        <w:spacing w:line="240" w:lineRule="auto"/>
        <w:contextualSpacing/>
        <w:rPr>
          <w:rFonts w:ascii="Arial" w:hAnsi="Arial" w:cs="Arial"/>
          <w:color w:val="1A1A1A"/>
        </w:rPr>
      </w:pPr>
    </w:p>
    <w:p w14:paraId="09DFA675" w14:textId="77777777" w:rsidR="00F40B81" w:rsidRDefault="00F40B81" w:rsidP="00F40B81">
      <w:pPr>
        <w:spacing w:line="240" w:lineRule="auto"/>
        <w:contextualSpacing/>
        <w:rPr>
          <w:rFonts w:ascii="Arial" w:hAnsi="Arial" w:cs="Arial"/>
          <w:color w:val="1A1A1A"/>
          <w:shd w:val="clear" w:color="auto" w:fill="FFFFFF"/>
        </w:rPr>
      </w:pPr>
      <w:r>
        <w:rPr>
          <w:rFonts w:ascii="Arial" w:hAnsi="Arial" w:cs="Arial"/>
          <w:color w:val="1A1A1A"/>
        </w:rPr>
        <w:t>Seibt, Johanna, "Process Philosophy", </w:t>
      </w:r>
      <w:r>
        <w:rPr>
          <w:rStyle w:val="Emphasis"/>
          <w:rFonts w:ascii="Arial" w:hAnsi="Arial" w:cs="Arial"/>
          <w:color w:val="1A1A1A"/>
        </w:rPr>
        <w:t xml:space="preserve">The Stanford </w:t>
      </w:r>
      <w:proofErr w:type="spellStart"/>
      <w:r>
        <w:rPr>
          <w:rStyle w:val="Emphasis"/>
          <w:rFonts w:ascii="Arial" w:hAnsi="Arial" w:cs="Arial"/>
          <w:color w:val="1A1A1A"/>
        </w:rPr>
        <w:t>Encyclopedia</w:t>
      </w:r>
      <w:proofErr w:type="spellEnd"/>
      <w:r>
        <w:rPr>
          <w:rStyle w:val="Emphasis"/>
          <w:rFonts w:ascii="Arial" w:hAnsi="Arial" w:cs="Arial"/>
          <w:color w:val="1A1A1A"/>
        </w:rPr>
        <w:t xml:space="preserve"> of Philosophy </w:t>
      </w:r>
      <w:r>
        <w:rPr>
          <w:rFonts w:ascii="Arial" w:hAnsi="Arial" w:cs="Arial"/>
          <w:color w:val="1A1A1A"/>
        </w:rPr>
        <w:t>(Winter 2023 Edition), Edward N. Zalta &amp; Uri Nodelman (eds.), URL = &lt;https://plato.stanford.edu/archives/win2023/entries/process-philosophy/&gt;.</w:t>
      </w:r>
    </w:p>
    <w:p w14:paraId="64018D20" w14:textId="77777777" w:rsidR="00F40B81" w:rsidRDefault="00F40B81" w:rsidP="00F40B81">
      <w:pPr>
        <w:spacing w:line="240" w:lineRule="auto"/>
        <w:rPr>
          <w:rFonts w:ascii="Arial" w:hAnsi="Arial" w:cs="Arial"/>
          <w:b/>
          <w:bCs/>
        </w:rPr>
      </w:pPr>
    </w:p>
    <w:p w14:paraId="2A8FEE6D" w14:textId="77777777" w:rsidR="00F40B81" w:rsidRDefault="00F40B81" w:rsidP="00F40B81">
      <w:pPr>
        <w:spacing w:line="240" w:lineRule="auto"/>
        <w:rPr>
          <w:rFonts w:ascii="Arial" w:hAnsi="Arial" w:cs="Arial"/>
          <w:b/>
          <w:bCs/>
        </w:rPr>
      </w:pPr>
      <w:r>
        <w:rPr>
          <w:rFonts w:ascii="Arial" w:hAnsi="Arial" w:cs="Arial"/>
          <w:b/>
          <w:bCs/>
        </w:rPr>
        <w:t>RELATIONALITY</w:t>
      </w:r>
    </w:p>
    <w:p w14:paraId="6EBA915A" w14:textId="77777777" w:rsidR="00F40B81" w:rsidRDefault="00F40B81" w:rsidP="00F40B81">
      <w:pPr>
        <w:spacing w:line="240" w:lineRule="auto"/>
        <w:rPr>
          <w:rFonts w:ascii="Arial" w:hAnsi="Arial" w:cs="Arial"/>
        </w:rPr>
      </w:pPr>
      <w:r>
        <w:rPr>
          <w:rFonts w:ascii="Arial" w:hAnsi="Arial" w:cs="Arial"/>
        </w:rPr>
        <w:t>It is increasingly understood across different areas of academia that all things, whether classified as animate or inanimate, only exist in relation to other things:</w:t>
      </w:r>
    </w:p>
    <w:p w14:paraId="06672E06" w14:textId="77777777" w:rsidR="00F40B81" w:rsidRDefault="00F40B81" w:rsidP="00F40B81">
      <w:pPr>
        <w:spacing w:after="0" w:line="240" w:lineRule="auto"/>
        <w:ind w:left="720"/>
        <w:contextualSpacing/>
        <w:rPr>
          <w:rFonts w:ascii="Arial" w:hAnsi="Arial" w:cs="Arial"/>
          <w:b/>
          <w:bCs/>
        </w:rPr>
      </w:pPr>
      <w:r>
        <w:rPr>
          <w:rFonts w:ascii="Arial" w:hAnsi="Arial" w:cs="Arial"/>
          <w:color w:val="000000"/>
          <w:shd w:val="clear" w:color="auto" w:fill="FFFFFF"/>
        </w:rPr>
        <w:t xml:space="preserve">Relational means indicating relation(s) or relationship; concerning the way in which two or more people or things are connected. It would follow, therefore, that </w:t>
      </w:r>
      <w:r>
        <w:rPr>
          <w:rFonts w:ascii="Arial" w:hAnsi="Arial" w:cs="Arial"/>
          <w:color w:val="000000"/>
          <w:shd w:val="clear" w:color="auto" w:fill="FFFFFF"/>
        </w:rPr>
        <w:lastRenderedPageBreak/>
        <w:t>relationality means ‘being related to’; ‘in a relationship’; ‘connectedness’; but try Yeung (2005) </w:t>
      </w:r>
      <w:r>
        <w:rPr>
          <w:rFonts w:ascii="Arial" w:hAnsi="Arial" w:cs="Arial"/>
          <w:i/>
          <w:iCs/>
          <w:color w:val="000000"/>
          <w:shd w:val="clear" w:color="auto" w:fill="FFFFFF"/>
        </w:rPr>
        <w:t>TIBG</w:t>
      </w:r>
      <w:r>
        <w:rPr>
          <w:rFonts w:ascii="Arial" w:hAnsi="Arial" w:cs="Arial"/>
          <w:color w:val="000000"/>
          <w:shd w:val="clear" w:color="auto" w:fill="FFFFFF"/>
        </w:rPr>
        <w:t> </w:t>
      </w:r>
      <w:r>
        <w:rPr>
          <w:rFonts w:ascii="Arial" w:hAnsi="Arial" w:cs="Arial"/>
          <w:b/>
          <w:bCs/>
          <w:color w:val="000000"/>
          <w:shd w:val="clear" w:color="auto" w:fill="FFFFFF"/>
        </w:rPr>
        <w:t>30</w:t>
      </w:r>
      <w:r>
        <w:rPr>
          <w:rFonts w:ascii="Arial" w:hAnsi="Arial" w:cs="Arial"/>
          <w:color w:val="000000"/>
          <w:shd w:val="clear" w:color="auto" w:fill="FFFFFF"/>
        </w:rPr>
        <w:t xml:space="preserve">, 1, who describes relationality as an ‘essential quality embedded in an iterative process of drawing interconnections between two or more discrete categories and phenomena that may not necessarily be </w:t>
      </w:r>
      <w:proofErr w:type="gramStart"/>
      <w:r>
        <w:rPr>
          <w:rFonts w:ascii="Arial" w:hAnsi="Arial" w:cs="Arial"/>
          <w:color w:val="000000"/>
          <w:shd w:val="clear" w:color="auto" w:fill="FFFFFF"/>
        </w:rPr>
        <w:t>binaries’</w:t>
      </w:r>
      <w:proofErr w:type="gramEnd"/>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14"/>
      </w:r>
    </w:p>
    <w:p w14:paraId="3F5D4744" w14:textId="77777777" w:rsidR="00F40B81" w:rsidRDefault="00F40B81" w:rsidP="00F40B81">
      <w:pPr>
        <w:shd w:val="clear" w:color="auto" w:fill="FFFFFF"/>
        <w:spacing w:line="240" w:lineRule="auto"/>
        <w:contextualSpacing/>
        <w:rPr>
          <w:rFonts w:ascii="Arial" w:hAnsi="Arial" w:cs="Arial"/>
          <w:lang w:eastAsia="en-GB"/>
        </w:rPr>
      </w:pPr>
    </w:p>
    <w:p w14:paraId="7883C02F" w14:textId="77777777" w:rsidR="00F40B81" w:rsidRDefault="00F40B81" w:rsidP="00F40B81">
      <w:pPr>
        <w:shd w:val="clear" w:color="auto" w:fill="FFFFFF"/>
        <w:spacing w:line="240" w:lineRule="auto"/>
        <w:contextualSpacing/>
        <w:rPr>
          <w:rFonts w:ascii="Arial" w:hAnsi="Arial" w:cs="Arial"/>
          <w:lang w:eastAsia="en-GB"/>
        </w:rPr>
      </w:pPr>
      <w:r>
        <w:rPr>
          <w:rFonts w:ascii="Arial" w:hAnsi="Arial" w:cs="Arial"/>
          <w:lang w:eastAsia="en-GB"/>
        </w:rPr>
        <w:t>The resonance between relationality and Harmony as founded in interconnections is clear.</w:t>
      </w:r>
    </w:p>
    <w:p w14:paraId="7170CC06" w14:textId="77777777" w:rsidR="00F40B81" w:rsidRDefault="00F40B81" w:rsidP="00F40B81">
      <w:pPr>
        <w:shd w:val="clear" w:color="auto" w:fill="FFFFFF"/>
        <w:spacing w:line="240" w:lineRule="auto"/>
        <w:contextualSpacing/>
        <w:rPr>
          <w:rFonts w:ascii="Arial" w:hAnsi="Arial" w:cs="Arial"/>
          <w:lang w:eastAsia="en-GB"/>
        </w:rPr>
      </w:pPr>
    </w:p>
    <w:p w14:paraId="0F4FF340" w14:textId="77777777" w:rsidR="00F40B81" w:rsidRDefault="00F40B81" w:rsidP="00F40B81">
      <w:pPr>
        <w:shd w:val="clear" w:color="auto" w:fill="FFFFFF"/>
        <w:spacing w:line="240" w:lineRule="auto"/>
        <w:contextualSpacing/>
        <w:rPr>
          <w:rFonts w:ascii="Arial" w:hAnsi="Arial" w:cs="Arial"/>
          <w:b/>
          <w:bCs/>
          <w:lang w:eastAsia="en-GB"/>
        </w:rPr>
      </w:pPr>
      <w:r>
        <w:rPr>
          <w:rFonts w:ascii="Arial" w:hAnsi="Arial" w:cs="Arial"/>
          <w:b/>
          <w:bCs/>
          <w:lang w:eastAsia="en-GB"/>
        </w:rPr>
        <w:t>Relationality Reading</w:t>
      </w:r>
    </w:p>
    <w:p w14:paraId="0933957A" w14:textId="77777777" w:rsidR="00F40B81" w:rsidRDefault="00F40B81" w:rsidP="00F40B81">
      <w:pPr>
        <w:shd w:val="clear" w:color="auto" w:fill="FFFFFF"/>
        <w:spacing w:line="240" w:lineRule="auto"/>
        <w:contextualSpacing/>
        <w:rPr>
          <w:rFonts w:ascii="Arial" w:hAnsi="Arial" w:cs="Arial"/>
          <w:lang w:eastAsia="en-GB"/>
        </w:rPr>
      </w:pPr>
    </w:p>
    <w:p w14:paraId="1AFA17C7" w14:textId="77777777" w:rsidR="00F40B81" w:rsidRDefault="00F40B81" w:rsidP="00F40B81">
      <w:pPr>
        <w:shd w:val="clear" w:color="auto" w:fill="FFFFFF"/>
        <w:spacing w:line="240" w:lineRule="auto"/>
        <w:contextualSpacing/>
        <w:rPr>
          <w:rFonts w:ascii="Arial" w:hAnsi="Arial" w:cs="Arial"/>
          <w:lang w:eastAsia="en-GB"/>
        </w:rPr>
      </w:pPr>
      <w:r>
        <w:rPr>
          <w:rFonts w:ascii="Arial" w:hAnsi="Arial" w:cs="Arial"/>
          <w:lang w:eastAsia="en-GB"/>
        </w:rPr>
        <w:t xml:space="preserve">Benjamin, Andrew. </w:t>
      </w:r>
      <w:r>
        <w:rPr>
          <w:rFonts w:ascii="Arial" w:hAnsi="Arial" w:cs="Arial"/>
          <w:i/>
          <w:lang w:eastAsia="en-GB"/>
        </w:rPr>
        <w:t>Towards a Relational Ontology: Philosophy’s Other Possibility</w:t>
      </w:r>
      <w:r>
        <w:rPr>
          <w:rFonts w:ascii="Arial" w:hAnsi="Arial" w:cs="Arial"/>
          <w:lang w:eastAsia="en-GB"/>
        </w:rPr>
        <w:t>. Albany, NY: SUNY Press, 2015.</w:t>
      </w:r>
    </w:p>
    <w:p w14:paraId="076EF873"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p>
    <w:p w14:paraId="473E0E5F"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r>
        <w:rPr>
          <w:rFonts w:ascii="Arial" w:eastAsia="Times New Roman" w:hAnsi="Arial" w:cs="Arial"/>
          <w:color w:val="3A3A3A"/>
          <w:lang w:eastAsia="en-GB"/>
        </w:rPr>
        <w:t>Cooper, Robert, ‘Relationality’, </w:t>
      </w:r>
      <w:r>
        <w:rPr>
          <w:rFonts w:ascii="Arial" w:eastAsia="Times New Roman" w:hAnsi="Arial" w:cs="Arial"/>
          <w:i/>
          <w:iCs/>
          <w:color w:val="3A3A3A"/>
          <w:lang w:eastAsia="en-GB"/>
        </w:rPr>
        <w:t>Organization Studies</w:t>
      </w:r>
      <w:r>
        <w:rPr>
          <w:rFonts w:ascii="Arial" w:eastAsia="Times New Roman" w:hAnsi="Arial" w:cs="Arial"/>
          <w:color w:val="3A3A3A"/>
          <w:lang w:eastAsia="en-GB"/>
        </w:rPr>
        <w:t>, 2005, Vol.26 (11), p.1689</w:t>
      </w:r>
    </w:p>
    <w:p w14:paraId="32BA2E00" w14:textId="77777777" w:rsidR="00F40B81" w:rsidRDefault="00F40B81" w:rsidP="00F40B81">
      <w:pPr>
        <w:shd w:val="clear" w:color="auto" w:fill="FFFFFF"/>
        <w:spacing w:line="240" w:lineRule="auto"/>
        <w:contextualSpacing/>
        <w:outlineLvl w:val="2"/>
        <w:rPr>
          <w:rFonts w:ascii="Arial" w:eastAsia="Times New Roman" w:hAnsi="Arial" w:cs="Arial"/>
          <w:b/>
          <w:bCs/>
          <w:color w:val="44707B"/>
          <w:lang w:eastAsia="en-GB"/>
        </w:rPr>
      </w:pPr>
    </w:p>
    <w:p w14:paraId="2B838786" w14:textId="77777777" w:rsidR="00F40B81" w:rsidRDefault="00F40B81" w:rsidP="00F40B81">
      <w:pPr>
        <w:shd w:val="clear" w:color="auto" w:fill="FFFFFF"/>
        <w:spacing w:line="240" w:lineRule="auto"/>
        <w:contextualSpacing/>
        <w:rPr>
          <w:rFonts w:ascii="Arial" w:eastAsia="Times New Roman" w:hAnsi="Arial" w:cs="Arial"/>
          <w:color w:val="3A3A3A"/>
          <w:lang w:eastAsia="en-GB"/>
        </w:rPr>
      </w:pPr>
      <w:proofErr w:type="spellStart"/>
      <w:r>
        <w:rPr>
          <w:rFonts w:ascii="Arial" w:eastAsia="Times New Roman" w:hAnsi="Arial" w:cs="Arial"/>
          <w:color w:val="3A3A3A"/>
          <w:lang w:eastAsia="en-GB"/>
        </w:rPr>
        <w:t>Drichel</w:t>
      </w:r>
      <w:proofErr w:type="spellEnd"/>
      <w:r>
        <w:rPr>
          <w:rFonts w:ascii="Arial" w:eastAsia="Times New Roman" w:hAnsi="Arial" w:cs="Arial"/>
          <w:color w:val="3A3A3A"/>
          <w:lang w:eastAsia="en-GB"/>
        </w:rPr>
        <w:t xml:space="preserve">, Simone, ‘Relationality’, </w:t>
      </w:r>
      <w:r>
        <w:rPr>
          <w:rFonts w:ascii="Arial" w:eastAsia="Times New Roman" w:hAnsi="Arial" w:cs="Arial"/>
          <w:i/>
          <w:iCs/>
          <w:color w:val="3A3A3A"/>
          <w:lang w:eastAsia="en-GB"/>
        </w:rPr>
        <w:t>Journal of Theoretical Humanities</w:t>
      </w:r>
      <w:r>
        <w:rPr>
          <w:rFonts w:ascii="Arial" w:eastAsia="Times New Roman" w:hAnsi="Arial" w:cs="Arial"/>
          <w:color w:val="3A3A3A"/>
          <w:lang w:eastAsia="en-GB"/>
        </w:rPr>
        <w:t>, 2019, Vol.24 (3), p.1-2</w:t>
      </w:r>
    </w:p>
    <w:p w14:paraId="6FF2EB21" w14:textId="77777777" w:rsidR="00F40B81" w:rsidRDefault="00F40B81" w:rsidP="00F40B81">
      <w:pPr>
        <w:spacing w:line="240" w:lineRule="auto"/>
        <w:rPr>
          <w:rFonts w:ascii="Arial" w:hAnsi="Arial" w:cs="Arial"/>
        </w:rPr>
      </w:pPr>
    </w:p>
    <w:p w14:paraId="55334DD1" w14:textId="77777777" w:rsidR="00F40B81" w:rsidRDefault="00F40B81" w:rsidP="00F40B81">
      <w:pPr>
        <w:spacing w:line="240" w:lineRule="auto"/>
        <w:rPr>
          <w:rFonts w:ascii="Arial" w:hAnsi="Arial" w:cs="Arial"/>
          <w:b/>
          <w:bCs/>
        </w:rPr>
      </w:pPr>
      <w:r>
        <w:rPr>
          <w:rFonts w:ascii="Arial" w:hAnsi="Arial" w:cs="Arial"/>
          <w:b/>
          <w:bCs/>
        </w:rPr>
        <w:t>RHYZOME THEORY</w:t>
      </w:r>
    </w:p>
    <w:p w14:paraId="2C3D3C72" w14:textId="77777777" w:rsidR="00F40B81" w:rsidRDefault="00F40B81" w:rsidP="00F40B81">
      <w:pPr>
        <w:autoSpaceDE w:val="0"/>
        <w:autoSpaceDN w:val="0"/>
        <w:adjustRightInd w:val="0"/>
        <w:spacing w:before="120"/>
        <w:rPr>
          <w:rFonts w:ascii="Arial" w:hAnsi="Arial" w:cs="Arial"/>
          <w:kern w:val="0"/>
          <w14:ligatures w14:val="none"/>
        </w:rPr>
      </w:pPr>
      <w:proofErr w:type="spellStart"/>
      <w:r>
        <w:rPr>
          <w:rFonts w:ascii="Arial" w:hAnsi="Arial" w:cs="Arial"/>
        </w:rPr>
        <w:t>Rhyzome</w:t>
      </w:r>
      <w:proofErr w:type="spellEnd"/>
      <w:r>
        <w:rPr>
          <w:rFonts w:ascii="Arial" w:hAnsi="Arial" w:cs="Arial"/>
        </w:rPr>
        <w:t xml:space="preserve"> Theory was developed by Gilles Deleuze and Félix </w:t>
      </w:r>
      <w:proofErr w:type="spellStart"/>
      <w:r>
        <w:rPr>
          <w:rFonts w:ascii="Arial" w:hAnsi="Arial" w:cs="Arial"/>
        </w:rPr>
        <w:t>Guattari</w:t>
      </w:r>
      <w:proofErr w:type="spellEnd"/>
      <w:r>
        <w:rPr>
          <w:rFonts w:ascii="Arial" w:hAnsi="Arial" w:cs="Arial"/>
        </w:rPr>
        <w:t xml:space="preserve"> in their book, </w:t>
      </w:r>
      <w:r>
        <w:rPr>
          <w:rFonts w:ascii="Arial" w:hAnsi="Arial" w:cs="Arial"/>
          <w:i/>
          <w:iCs/>
        </w:rPr>
        <w:t>A Thousand Plateaus.</w:t>
      </w:r>
      <w:r>
        <w:rPr>
          <w:rFonts w:ascii="Arial" w:hAnsi="Arial" w:cs="Arial"/>
        </w:rPr>
        <w:t xml:space="preserve"> Their fundamental proposition is that the natural world, which includes the human world can be modelled as a rhizome. A rhizome is a horizontal root system that sends up shoots from any part of its network. </w:t>
      </w:r>
      <w:r>
        <w:rPr>
          <w:rFonts w:ascii="Arial" w:hAnsi="Arial" w:cs="Arial"/>
          <w:kern w:val="0"/>
          <w14:ligatures w14:val="none"/>
        </w:rPr>
        <w:t xml:space="preserve">Deleuze and </w:t>
      </w:r>
      <w:proofErr w:type="spellStart"/>
      <w:r>
        <w:rPr>
          <w:rFonts w:ascii="Arial" w:hAnsi="Arial" w:cs="Arial"/>
          <w:kern w:val="0"/>
          <w14:ligatures w14:val="none"/>
        </w:rPr>
        <w:t>Guattari</w:t>
      </w:r>
      <w:proofErr w:type="spellEnd"/>
      <w:r>
        <w:rPr>
          <w:rFonts w:ascii="Arial" w:hAnsi="Arial" w:cs="Arial"/>
          <w:kern w:val="0"/>
          <w14:ligatures w14:val="none"/>
        </w:rPr>
        <w:t xml:space="preserve"> argue that human society is therefore modelled on the same </w:t>
      </w:r>
      <w:proofErr w:type="gramStart"/>
      <w:r>
        <w:rPr>
          <w:rFonts w:ascii="Arial" w:hAnsi="Arial" w:cs="Arial"/>
          <w:kern w:val="0"/>
          <w14:ligatures w14:val="none"/>
        </w:rPr>
        <w:t>principles, and</w:t>
      </w:r>
      <w:proofErr w:type="gramEnd"/>
      <w:r>
        <w:rPr>
          <w:rFonts w:ascii="Arial" w:hAnsi="Arial" w:cs="Arial"/>
          <w:kern w:val="0"/>
          <w14:ligatures w14:val="none"/>
        </w:rPr>
        <w:t xml:space="preserve"> is therefore non-hierarchical and has no centre. As in the ontological turn, any part of existence can be the centre of </w:t>
      </w:r>
      <w:proofErr w:type="gramStart"/>
      <w:r>
        <w:rPr>
          <w:rFonts w:ascii="Arial" w:hAnsi="Arial" w:cs="Arial"/>
          <w:kern w:val="0"/>
          <w14:ligatures w14:val="none"/>
        </w:rPr>
        <w:t>existence</w:t>
      </w:r>
      <w:proofErr w:type="gramEnd"/>
      <w:r>
        <w:rPr>
          <w:rFonts w:ascii="Arial" w:hAnsi="Arial" w:cs="Arial"/>
          <w:kern w:val="0"/>
          <w14:ligatures w14:val="none"/>
        </w:rPr>
        <w:t xml:space="preserve"> and everything is interconnected. Again, the resonance with Harmony is clear.</w:t>
      </w:r>
    </w:p>
    <w:p w14:paraId="44449C02" w14:textId="77777777" w:rsidR="00F40B81" w:rsidRDefault="00F40B81" w:rsidP="00F40B81">
      <w:pPr>
        <w:autoSpaceDE w:val="0"/>
        <w:autoSpaceDN w:val="0"/>
        <w:adjustRightInd w:val="0"/>
        <w:spacing w:before="120"/>
        <w:rPr>
          <w:rFonts w:ascii="Arial" w:hAnsi="Arial" w:cs="Arial"/>
          <w:b/>
          <w:bCs/>
          <w:kern w:val="0"/>
          <w14:ligatures w14:val="none"/>
        </w:rPr>
      </w:pPr>
      <w:proofErr w:type="spellStart"/>
      <w:r>
        <w:rPr>
          <w:rFonts w:ascii="Arial" w:hAnsi="Arial" w:cs="Arial"/>
          <w:b/>
          <w:bCs/>
          <w:kern w:val="0"/>
          <w14:ligatures w14:val="none"/>
        </w:rPr>
        <w:t>Rhyzome</w:t>
      </w:r>
      <w:proofErr w:type="spellEnd"/>
      <w:r>
        <w:rPr>
          <w:rFonts w:ascii="Arial" w:hAnsi="Arial" w:cs="Arial"/>
          <w:b/>
          <w:bCs/>
          <w:kern w:val="0"/>
          <w14:ligatures w14:val="none"/>
        </w:rPr>
        <w:t xml:space="preserve"> Theory Reading</w:t>
      </w:r>
    </w:p>
    <w:p w14:paraId="1721D438" w14:textId="77777777" w:rsidR="00F40B81" w:rsidRDefault="00F40B81" w:rsidP="00F40B81">
      <w:pPr>
        <w:autoSpaceDE w:val="0"/>
        <w:autoSpaceDN w:val="0"/>
        <w:adjustRightInd w:val="0"/>
        <w:spacing w:before="120"/>
        <w:rPr>
          <w:rFonts w:ascii="Arial" w:hAnsi="Arial" w:cs="Arial"/>
        </w:rPr>
      </w:pPr>
      <w:r>
        <w:rPr>
          <w:rFonts w:ascii="Arial" w:hAnsi="Arial" w:cs="Arial"/>
          <w:color w:val="000000"/>
          <w:spacing w:val="-5"/>
          <w:shd w:val="clear" w:color="auto" w:fill="FFFFFF"/>
        </w:rPr>
        <w:t xml:space="preserve">Adkins, Brent, </w:t>
      </w:r>
      <w:r>
        <w:rPr>
          <w:rFonts w:ascii="Arial" w:hAnsi="Arial" w:cs="Arial"/>
          <w:i/>
          <w:iCs/>
          <w:color w:val="000000"/>
          <w:spacing w:val="-5"/>
          <w:shd w:val="clear" w:color="auto" w:fill="FFFFFF"/>
        </w:rPr>
        <w:t xml:space="preserve">Deleuze and </w:t>
      </w:r>
      <w:proofErr w:type="spellStart"/>
      <w:r>
        <w:rPr>
          <w:rFonts w:ascii="Arial" w:hAnsi="Arial" w:cs="Arial"/>
          <w:i/>
          <w:iCs/>
          <w:color w:val="000000"/>
          <w:spacing w:val="-5"/>
          <w:shd w:val="clear" w:color="auto" w:fill="FFFFFF"/>
        </w:rPr>
        <w:t>Guattari’s</w:t>
      </w:r>
      <w:proofErr w:type="spellEnd"/>
      <w:r>
        <w:rPr>
          <w:rFonts w:ascii="Arial" w:hAnsi="Arial" w:cs="Arial"/>
          <w:i/>
          <w:iCs/>
          <w:color w:val="000000"/>
          <w:spacing w:val="-5"/>
          <w:shd w:val="clear" w:color="auto" w:fill="FFFFFF"/>
        </w:rPr>
        <w:t xml:space="preserve"> </w:t>
      </w:r>
      <w:proofErr w:type="gramStart"/>
      <w:r>
        <w:rPr>
          <w:rFonts w:ascii="Arial" w:hAnsi="Arial" w:cs="Arial"/>
          <w:i/>
          <w:iCs/>
          <w:color w:val="000000"/>
          <w:spacing w:val="-5"/>
          <w:shd w:val="clear" w:color="auto" w:fill="FFFFFF"/>
        </w:rPr>
        <w:t>A</w:t>
      </w:r>
      <w:proofErr w:type="gramEnd"/>
      <w:r>
        <w:rPr>
          <w:rFonts w:ascii="Arial" w:hAnsi="Arial" w:cs="Arial"/>
          <w:i/>
          <w:iCs/>
          <w:color w:val="000000"/>
          <w:spacing w:val="-5"/>
          <w:shd w:val="clear" w:color="auto" w:fill="FFFFFF"/>
        </w:rPr>
        <w:t xml:space="preserve"> Thousand Plateaus: A Critical Introduction and Guide</w:t>
      </w:r>
      <w:r>
        <w:rPr>
          <w:rFonts w:ascii="Arial" w:hAnsi="Arial" w:cs="Arial"/>
          <w:color w:val="000000"/>
          <w:spacing w:val="-5"/>
          <w:shd w:val="clear" w:color="auto" w:fill="FFFFFF"/>
        </w:rPr>
        <w:t xml:space="preserve"> (Edinburgh: Edinburgh University Press, 2015). </w:t>
      </w:r>
      <w:r>
        <w:rPr>
          <w:rFonts w:ascii="Arial" w:hAnsi="Arial" w:cs="Arial"/>
          <w:i/>
          <w:iCs/>
          <w:color w:val="000000"/>
          <w:spacing w:val="-5"/>
          <w:shd w:val="clear" w:color="auto" w:fill="FFFFFF"/>
        </w:rPr>
        <w:t>JSTOR</w:t>
      </w:r>
      <w:r>
        <w:rPr>
          <w:rFonts w:ascii="Arial" w:hAnsi="Arial" w:cs="Arial"/>
          <w:color w:val="000000"/>
          <w:spacing w:val="-5"/>
          <w:shd w:val="clear" w:color="auto" w:fill="FFFFFF"/>
        </w:rPr>
        <w:t>, http://www.jstor.org/stable/10.3366/j.ctt1g0b18p. Accessed 13 Feb. 2024.</w:t>
      </w:r>
      <w:r>
        <w:rPr>
          <w:rFonts w:ascii="Arial" w:hAnsi="Arial" w:cs="Arial"/>
        </w:rPr>
        <w:t xml:space="preserve"> </w:t>
      </w:r>
    </w:p>
    <w:p w14:paraId="07D71382" w14:textId="77777777" w:rsidR="00F40B81" w:rsidRDefault="00F40B81" w:rsidP="00F40B81">
      <w:pPr>
        <w:autoSpaceDE w:val="0"/>
        <w:autoSpaceDN w:val="0"/>
        <w:adjustRightInd w:val="0"/>
        <w:spacing w:before="120"/>
        <w:rPr>
          <w:rFonts w:ascii="Arial" w:hAnsi="Arial" w:cs="Arial"/>
        </w:rPr>
      </w:pPr>
      <w:r>
        <w:rPr>
          <w:rFonts w:ascii="Arial" w:hAnsi="Arial" w:cs="Arial"/>
        </w:rPr>
        <w:t xml:space="preserve">Deleuze, Gilles and Félix </w:t>
      </w:r>
      <w:proofErr w:type="spellStart"/>
      <w:r>
        <w:rPr>
          <w:rFonts w:ascii="Arial" w:hAnsi="Arial" w:cs="Arial"/>
        </w:rPr>
        <w:t>Guattari</w:t>
      </w:r>
      <w:proofErr w:type="spellEnd"/>
      <w:r>
        <w:rPr>
          <w:rFonts w:ascii="Arial" w:hAnsi="Arial" w:cs="Arial"/>
        </w:rPr>
        <w:t xml:space="preserve">, </w:t>
      </w:r>
      <w:r>
        <w:rPr>
          <w:rFonts w:ascii="Arial" w:hAnsi="Arial" w:cs="Arial"/>
          <w:i/>
          <w:iCs/>
        </w:rPr>
        <w:t xml:space="preserve">A Thousand Plateaus </w:t>
      </w:r>
      <w:r>
        <w:rPr>
          <w:rFonts w:ascii="Arial" w:hAnsi="Arial" w:cs="Arial"/>
        </w:rPr>
        <w:t xml:space="preserve">(London: Bloomsbury 1999 [1988]). This is not in the University library. You should obtain a copy if you choose to pursue this area. Otherwise, Adkins summary is </w:t>
      </w:r>
      <w:proofErr w:type="spellStart"/>
      <w:r>
        <w:rPr>
          <w:rFonts w:ascii="Arial" w:hAnsi="Arial" w:cs="Arial"/>
        </w:rPr>
        <w:t>fineb</w:t>
      </w:r>
      <w:proofErr w:type="spellEnd"/>
      <w:r>
        <w:rPr>
          <w:rFonts w:ascii="Arial" w:hAnsi="Arial" w:cs="Arial"/>
        </w:rPr>
        <w:t>,</w:t>
      </w:r>
    </w:p>
    <w:p w14:paraId="61140750" w14:textId="77777777" w:rsidR="00F40B81" w:rsidRDefault="00F40B81" w:rsidP="00F40B81">
      <w:pPr>
        <w:spacing w:line="240" w:lineRule="auto"/>
        <w:rPr>
          <w:rFonts w:ascii="Arial" w:hAnsi="Arial" w:cs="Arial"/>
          <w:color w:val="1A1A1A"/>
          <w:kern w:val="0"/>
        </w:rPr>
      </w:pPr>
      <w:r>
        <w:rPr>
          <w:rFonts w:ascii="Arial" w:hAnsi="Arial" w:cs="Arial"/>
          <w:color w:val="1A1A1A"/>
        </w:rPr>
        <w:t xml:space="preserve">Smith, Daniel, John </w:t>
      </w:r>
      <w:proofErr w:type="spellStart"/>
      <w:r>
        <w:rPr>
          <w:rFonts w:ascii="Arial" w:hAnsi="Arial" w:cs="Arial"/>
          <w:color w:val="1A1A1A"/>
        </w:rPr>
        <w:t>Protevi</w:t>
      </w:r>
      <w:proofErr w:type="spellEnd"/>
      <w:r>
        <w:rPr>
          <w:rFonts w:ascii="Arial" w:hAnsi="Arial" w:cs="Arial"/>
          <w:color w:val="1A1A1A"/>
        </w:rPr>
        <w:t>, and Daniela Voss, "Gilles Deleuze", </w:t>
      </w:r>
      <w:r>
        <w:rPr>
          <w:rStyle w:val="Emphasis"/>
          <w:rFonts w:ascii="Arial" w:hAnsi="Arial" w:cs="Arial"/>
          <w:color w:val="1A1A1A"/>
        </w:rPr>
        <w:t xml:space="preserve">The Stanford </w:t>
      </w:r>
      <w:proofErr w:type="spellStart"/>
      <w:r>
        <w:rPr>
          <w:rStyle w:val="Emphasis"/>
          <w:rFonts w:ascii="Arial" w:hAnsi="Arial" w:cs="Arial"/>
          <w:color w:val="1A1A1A"/>
        </w:rPr>
        <w:t>Encyclopedia</w:t>
      </w:r>
      <w:proofErr w:type="spellEnd"/>
      <w:r>
        <w:rPr>
          <w:rStyle w:val="Emphasis"/>
          <w:rFonts w:ascii="Arial" w:hAnsi="Arial" w:cs="Arial"/>
          <w:color w:val="1A1A1A"/>
        </w:rPr>
        <w:t xml:space="preserve"> of Philosophy </w:t>
      </w:r>
      <w:r>
        <w:rPr>
          <w:rFonts w:ascii="Arial" w:hAnsi="Arial" w:cs="Arial"/>
          <w:color w:val="1A1A1A"/>
        </w:rPr>
        <w:t>(Summer 2023 Edition), Edward N. Zalta &amp; Uri Nodelman (eds.), URL = &lt;https://plato.stanford.edu/archives/sum2023/entries/deleuze/&gt;.</w:t>
      </w:r>
    </w:p>
    <w:p w14:paraId="586984E4" w14:textId="77777777" w:rsidR="00F40B81" w:rsidRDefault="00F40B81" w:rsidP="00F40B81">
      <w:pPr>
        <w:spacing w:line="240" w:lineRule="auto"/>
        <w:rPr>
          <w:rFonts w:ascii="Arial" w:hAnsi="Arial" w:cs="Arial"/>
        </w:rPr>
      </w:pPr>
      <w:r>
        <w:rPr>
          <w:rFonts w:ascii="Arial" w:hAnsi="Arial" w:cs="Arial"/>
          <w:color w:val="1A1A1A"/>
        </w:rPr>
        <w:t>See the section on ‘A Thousand Plateaus’</w:t>
      </w:r>
    </w:p>
    <w:p w14:paraId="631C1031" w14:textId="77777777" w:rsidR="00F40B81" w:rsidRDefault="00F40B81" w:rsidP="00F40B81">
      <w:pPr>
        <w:autoSpaceDE w:val="0"/>
        <w:autoSpaceDN w:val="0"/>
        <w:adjustRightInd w:val="0"/>
        <w:spacing w:before="120"/>
        <w:rPr>
          <w:rFonts w:ascii="Arial" w:eastAsia="Times New Roman" w:hAnsi="Arial" w:cs="Arial"/>
          <w:color w:val="111111"/>
          <w:spacing w:val="-15"/>
          <w:kern w:val="36"/>
          <w:lang w:eastAsia="en-GB"/>
          <w14:ligatures w14:val="none"/>
        </w:rPr>
      </w:pPr>
      <w:r>
        <w:rPr>
          <w:rFonts w:ascii="Arial" w:hAnsi="Arial" w:cs="Arial"/>
        </w:rPr>
        <w:t xml:space="preserve">A simple summary is available at </w:t>
      </w:r>
      <w:r>
        <w:rPr>
          <w:rFonts w:ascii="Arial" w:eastAsia="Times New Roman" w:hAnsi="Arial" w:cs="Arial"/>
          <w:color w:val="111111"/>
          <w:spacing w:val="-15"/>
          <w:kern w:val="36"/>
          <w:lang w:eastAsia="en-GB"/>
          <w14:ligatures w14:val="none"/>
        </w:rPr>
        <w:t xml:space="preserve">Nasrullah </w:t>
      </w:r>
      <w:proofErr w:type="spellStart"/>
      <w:r>
        <w:rPr>
          <w:rFonts w:ascii="Arial" w:eastAsia="Times New Roman" w:hAnsi="Arial" w:cs="Arial"/>
          <w:color w:val="111111"/>
          <w:spacing w:val="-15"/>
          <w:kern w:val="36"/>
          <w:lang w:eastAsia="en-GB"/>
          <w14:ligatures w14:val="none"/>
        </w:rPr>
        <w:t>Mambrol</w:t>
      </w:r>
      <w:proofErr w:type="spellEnd"/>
      <w:r>
        <w:rPr>
          <w:rFonts w:ascii="Arial" w:eastAsia="Times New Roman" w:hAnsi="Arial" w:cs="Arial"/>
          <w:color w:val="111111"/>
          <w:spacing w:val="-15"/>
          <w:kern w:val="36"/>
          <w:lang w:eastAsia="en-GB"/>
          <w14:ligatures w14:val="none"/>
        </w:rPr>
        <w:t xml:space="preserve">, ‘The Philosophical Concept of Rhizome’, Literary Theory and Criticism, 26 April 2017, </w:t>
      </w:r>
      <w:hyperlink r:id="rId14" w:history="1">
        <w:r>
          <w:rPr>
            <w:rStyle w:val="Hyperlink"/>
            <w:rFonts w:ascii="Arial" w:eastAsia="Times New Roman" w:hAnsi="Arial" w:cs="Arial"/>
            <w:spacing w:val="-15"/>
            <w:kern w:val="36"/>
            <w:lang w:eastAsia="en-GB"/>
            <w14:ligatures w14:val="none"/>
          </w:rPr>
          <w:t>https://literariness.org/2017/04/26/the-philosophical-concept-of-rhizome/</w:t>
        </w:r>
      </w:hyperlink>
      <w:r>
        <w:rPr>
          <w:rFonts w:ascii="Arial" w:eastAsia="Times New Roman" w:hAnsi="Arial" w:cs="Arial"/>
          <w:color w:val="111111"/>
          <w:spacing w:val="-15"/>
          <w:kern w:val="36"/>
          <w:lang w:eastAsia="en-GB"/>
          <w14:ligatures w14:val="none"/>
        </w:rPr>
        <w:t xml:space="preserve"> [accessed 13 Feb. 2024).</w:t>
      </w:r>
    </w:p>
    <w:p w14:paraId="46A6212F" w14:textId="77777777" w:rsidR="00F40B81" w:rsidRDefault="00F40B81" w:rsidP="00F40B81">
      <w:pPr>
        <w:autoSpaceDE w:val="0"/>
        <w:autoSpaceDN w:val="0"/>
        <w:adjustRightInd w:val="0"/>
        <w:spacing w:before="120"/>
        <w:rPr>
          <w:rFonts w:ascii="Arial" w:eastAsia="Times New Roman" w:hAnsi="Arial" w:cs="Arial"/>
          <w:caps/>
          <w:color w:val="111111"/>
          <w:spacing w:val="24"/>
          <w:kern w:val="0"/>
          <w:lang w:eastAsia="en-GB"/>
          <w14:ligatures w14:val="none"/>
        </w:rPr>
      </w:pPr>
    </w:p>
    <w:p w14:paraId="6E53EBCD" w14:textId="77777777" w:rsidR="00F40B81" w:rsidRDefault="00F40B81" w:rsidP="00F40B81">
      <w:pPr>
        <w:spacing w:line="240" w:lineRule="auto"/>
        <w:rPr>
          <w:rFonts w:ascii="Arial" w:hAnsi="Arial" w:cs="Arial"/>
          <w:b/>
          <w:bCs/>
        </w:rPr>
      </w:pPr>
      <w:r>
        <w:rPr>
          <w:rFonts w:ascii="Arial" w:hAnsi="Arial" w:cs="Arial"/>
          <w:b/>
          <w:bCs/>
        </w:rPr>
        <w:t>SUPERSUBSTANTIVLISM</w:t>
      </w:r>
    </w:p>
    <w:p w14:paraId="248A0E9C" w14:textId="77777777" w:rsidR="00F40B81" w:rsidRDefault="00F40B81" w:rsidP="00F40B81">
      <w:pPr>
        <w:spacing w:line="240" w:lineRule="auto"/>
        <w:rPr>
          <w:rFonts w:ascii="Arial" w:hAnsi="Arial" w:cs="Arial"/>
        </w:rPr>
      </w:pPr>
      <w:proofErr w:type="spellStart"/>
      <w:r>
        <w:rPr>
          <w:rFonts w:ascii="Arial" w:hAnsi="Arial" w:cs="Arial"/>
        </w:rPr>
        <w:t>Supersubstantivalism</w:t>
      </w:r>
      <w:proofErr w:type="spellEnd"/>
      <w:r>
        <w:rPr>
          <w:rFonts w:ascii="Arial" w:hAnsi="Arial" w:cs="Arial"/>
        </w:rPr>
        <w:t xml:space="preserve"> argues that material objects are identical to their space-time locations and that matter is therefore secondary to space time. The relevance to Harmony, as argued </w:t>
      </w:r>
      <w:r>
        <w:rPr>
          <w:rFonts w:ascii="Arial" w:hAnsi="Arial" w:cs="Arial"/>
        </w:rPr>
        <w:lastRenderedPageBreak/>
        <w:t xml:space="preserve">by Claudio </w:t>
      </w:r>
      <w:proofErr w:type="spellStart"/>
      <w:r>
        <w:rPr>
          <w:rFonts w:ascii="Arial" w:hAnsi="Arial" w:cs="Arial"/>
        </w:rPr>
        <w:t>Calosi</w:t>
      </w:r>
      <w:proofErr w:type="spellEnd"/>
      <w:r>
        <w:rPr>
          <w:rFonts w:ascii="Arial" w:hAnsi="Arial" w:cs="Arial"/>
        </w:rPr>
        <w:t>, is that the dissolution of material boundaries emphasises interconnectivity between things.</w:t>
      </w:r>
    </w:p>
    <w:p w14:paraId="5F5F4951" w14:textId="77777777" w:rsidR="00F40B81" w:rsidRDefault="00F40B81" w:rsidP="00F40B81">
      <w:pPr>
        <w:spacing w:line="240" w:lineRule="auto"/>
        <w:rPr>
          <w:rFonts w:ascii="Arial" w:hAnsi="Arial" w:cs="Arial"/>
          <w:b/>
          <w:bCs/>
        </w:rPr>
      </w:pPr>
      <w:proofErr w:type="spellStart"/>
      <w:r>
        <w:rPr>
          <w:rFonts w:ascii="Arial" w:hAnsi="Arial" w:cs="Arial"/>
          <w:b/>
          <w:bCs/>
        </w:rPr>
        <w:t>Supersubstantivalism</w:t>
      </w:r>
      <w:proofErr w:type="spellEnd"/>
      <w:r>
        <w:rPr>
          <w:rFonts w:ascii="Arial" w:hAnsi="Arial" w:cs="Arial"/>
          <w:b/>
          <w:bCs/>
        </w:rPr>
        <w:t xml:space="preserve"> Reading </w:t>
      </w:r>
    </w:p>
    <w:p w14:paraId="658C8FAD" w14:textId="77777777" w:rsidR="00F40B81" w:rsidRDefault="00F40B81" w:rsidP="00F40B81">
      <w:pPr>
        <w:shd w:val="clear" w:color="auto" w:fill="FFFFFF"/>
        <w:spacing w:line="240" w:lineRule="auto"/>
        <w:rPr>
          <w:rFonts w:ascii="Arial" w:eastAsia="Times New Roman" w:hAnsi="Arial" w:cs="Arial"/>
          <w:lang w:eastAsia="en-GB"/>
        </w:rPr>
      </w:pPr>
      <w:r>
        <w:rPr>
          <w:rFonts w:ascii="Arial" w:eastAsia="Times New Roman" w:hAnsi="Arial" w:cs="Arial"/>
          <w:lang w:eastAsia="en-GB"/>
        </w:rPr>
        <w:t xml:space="preserve">Reading </w:t>
      </w:r>
      <w:proofErr w:type="spellStart"/>
      <w:r>
        <w:rPr>
          <w:rFonts w:ascii="Arial" w:eastAsia="Times New Roman" w:hAnsi="Arial" w:cs="Arial"/>
          <w:lang w:eastAsia="en-GB"/>
        </w:rPr>
        <w:t>Calosi</w:t>
      </w:r>
      <w:proofErr w:type="spellEnd"/>
      <w:r>
        <w:rPr>
          <w:rFonts w:ascii="Arial" w:eastAsia="Times New Roman" w:hAnsi="Arial" w:cs="Arial"/>
          <w:lang w:eastAsia="en-GB"/>
        </w:rPr>
        <w:t xml:space="preserve">, Claudio. ‘Inheriting Harmony’.  </w:t>
      </w:r>
      <w:r>
        <w:rPr>
          <w:rFonts w:ascii="Arial" w:eastAsia="Times New Roman" w:hAnsi="Arial" w:cs="Arial"/>
          <w:i/>
          <w:iCs/>
          <w:lang w:eastAsia="en-GB"/>
        </w:rPr>
        <w:t>Analysis</w:t>
      </w:r>
      <w:r>
        <w:rPr>
          <w:rFonts w:ascii="Arial" w:eastAsia="Times New Roman" w:hAnsi="Arial" w:cs="Arial"/>
          <w:lang w:eastAsia="en-GB"/>
        </w:rPr>
        <w:t xml:space="preserve"> 82, issue 1 (Jan. 2022): pp. 23–32. Online University Library</w:t>
      </w:r>
    </w:p>
    <w:p w14:paraId="5C70C539" w14:textId="77777777" w:rsidR="00F40B81" w:rsidRDefault="00F40B81" w:rsidP="00F40B81">
      <w:pPr>
        <w:spacing w:line="240" w:lineRule="auto"/>
        <w:rPr>
          <w:rFonts w:ascii="Arial" w:hAnsi="Arial" w:cs="Arial"/>
        </w:rPr>
      </w:pPr>
      <w:r>
        <w:rPr>
          <w:rFonts w:ascii="Arial" w:hAnsi="Arial" w:cs="Arial"/>
          <w:shd w:val="clear" w:color="auto" w:fill="FFFFFF"/>
        </w:rPr>
        <w:t xml:space="preserve">Duerr PM, </w:t>
      </w:r>
      <w:proofErr w:type="spellStart"/>
      <w:r>
        <w:rPr>
          <w:rFonts w:ascii="Arial" w:hAnsi="Arial" w:cs="Arial"/>
          <w:shd w:val="clear" w:color="auto" w:fill="FFFFFF"/>
        </w:rPr>
        <w:t>Calosi</w:t>
      </w:r>
      <w:proofErr w:type="spellEnd"/>
      <w:r>
        <w:rPr>
          <w:rFonts w:ascii="Arial" w:hAnsi="Arial" w:cs="Arial"/>
          <w:shd w:val="clear" w:color="auto" w:fill="FFFFFF"/>
        </w:rPr>
        <w:t xml:space="preserve"> C. The general-relativistic case for super-substantivalism. </w:t>
      </w:r>
      <w:proofErr w:type="spellStart"/>
      <w:r>
        <w:rPr>
          <w:rFonts w:ascii="Arial" w:hAnsi="Arial" w:cs="Arial"/>
          <w:shd w:val="clear" w:color="auto" w:fill="FFFFFF"/>
        </w:rPr>
        <w:t>Synthese</w:t>
      </w:r>
      <w:proofErr w:type="spellEnd"/>
      <w:r>
        <w:rPr>
          <w:rFonts w:ascii="Arial" w:hAnsi="Arial" w:cs="Arial"/>
          <w:shd w:val="clear" w:color="auto" w:fill="FFFFFF"/>
        </w:rPr>
        <w:t xml:space="preserve">. 2021;199(5-6):13789-13822. </w:t>
      </w:r>
      <w:proofErr w:type="spellStart"/>
      <w:r>
        <w:rPr>
          <w:rFonts w:ascii="Arial" w:hAnsi="Arial" w:cs="Arial"/>
          <w:shd w:val="clear" w:color="auto" w:fill="FFFFFF"/>
        </w:rPr>
        <w:t>doi</w:t>
      </w:r>
      <w:proofErr w:type="spellEnd"/>
      <w:r>
        <w:rPr>
          <w:rFonts w:ascii="Arial" w:hAnsi="Arial" w:cs="Arial"/>
          <w:shd w:val="clear" w:color="auto" w:fill="FFFFFF"/>
        </w:rPr>
        <w:t xml:space="preserve">: 10.1007/s11229-021-03398-9. </w:t>
      </w:r>
      <w:proofErr w:type="spellStart"/>
      <w:r>
        <w:rPr>
          <w:rFonts w:ascii="Arial" w:hAnsi="Arial" w:cs="Arial"/>
          <w:shd w:val="clear" w:color="auto" w:fill="FFFFFF"/>
        </w:rPr>
        <w:t>Epub</w:t>
      </w:r>
      <w:proofErr w:type="spellEnd"/>
      <w:r>
        <w:rPr>
          <w:rFonts w:ascii="Arial" w:hAnsi="Arial" w:cs="Arial"/>
          <w:shd w:val="clear" w:color="auto" w:fill="FFFFFF"/>
        </w:rPr>
        <w:t xml:space="preserve"> 2021 Oct 16. PMID: 35058665; PMCID: PMC8727394.</w:t>
      </w:r>
    </w:p>
    <w:p w14:paraId="6D4B12B1" w14:textId="77777777" w:rsidR="00F40B81" w:rsidRDefault="00F40B81" w:rsidP="00F40B81">
      <w:pPr>
        <w:spacing w:line="240" w:lineRule="auto"/>
        <w:rPr>
          <w:rFonts w:ascii="Arial" w:hAnsi="Arial" w:cs="Arial"/>
          <w:b/>
          <w:bCs/>
        </w:rPr>
      </w:pPr>
    </w:p>
    <w:p w14:paraId="7418FB38" w14:textId="77777777" w:rsidR="00F40B81" w:rsidRDefault="00F40B81" w:rsidP="00F40B81">
      <w:pPr>
        <w:spacing w:line="240" w:lineRule="auto"/>
        <w:rPr>
          <w:rFonts w:ascii="Arial" w:hAnsi="Arial" w:cs="Arial"/>
          <w:b/>
          <w:bCs/>
        </w:rPr>
      </w:pPr>
      <w:r>
        <w:rPr>
          <w:rFonts w:ascii="Arial" w:hAnsi="Arial" w:cs="Arial"/>
          <w:b/>
          <w:bCs/>
        </w:rPr>
        <w:t>SYSTEMS THEORY</w:t>
      </w:r>
    </w:p>
    <w:p w14:paraId="7D6A9B56" w14:textId="77777777" w:rsidR="00F40B81" w:rsidRDefault="00F40B81" w:rsidP="00F40B81">
      <w:pPr>
        <w:spacing w:line="240" w:lineRule="auto"/>
        <w:rPr>
          <w:rFonts w:ascii="Arial" w:hAnsi="Arial" w:cs="Arial"/>
        </w:rPr>
      </w:pPr>
      <w:r>
        <w:rPr>
          <w:rFonts w:ascii="Arial" w:hAnsi="Arial" w:cs="Arial"/>
        </w:rPr>
        <w:t xml:space="preserve">Systems Theory proposes that individuals, their lives, beliefs, socio-economic </w:t>
      </w:r>
      <w:proofErr w:type="gramStart"/>
      <w:r>
        <w:rPr>
          <w:rFonts w:ascii="Arial" w:hAnsi="Arial" w:cs="Arial"/>
        </w:rPr>
        <w:t>backgrounds</w:t>
      </w:r>
      <w:proofErr w:type="gramEnd"/>
      <w:r>
        <w:rPr>
          <w:rFonts w:ascii="Arial" w:hAnsi="Arial" w:cs="Arial"/>
        </w:rPr>
        <w:t xml:space="preserve"> and all other possible characteristics are networked with the whole of society in complex patterns. The theory originates in the sociological theories of such influential thinkers as Herbert Spencer and Emile Durkheim. In that Systems Theory emphasises the role of interconnections it is clearly compatible with Harmony.</w:t>
      </w:r>
    </w:p>
    <w:p w14:paraId="7DD62627" w14:textId="77777777" w:rsidR="00F40B81" w:rsidRDefault="00F40B81" w:rsidP="00F40B81">
      <w:pPr>
        <w:spacing w:line="240" w:lineRule="auto"/>
        <w:rPr>
          <w:rFonts w:ascii="Arial" w:hAnsi="Arial" w:cs="Arial"/>
          <w:color w:val="333333"/>
          <w:shd w:val="clear" w:color="auto" w:fill="FCFCFC"/>
        </w:rPr>
      </w:pPr>
      <w:proofErr w:type="spellStart"/>
      <w:r>
        <w:rPr>
          <w:rFonts w:ascii="Arial" w:hAnsi="Arial" w:cs="Arial"/>
          <w:color w:val="333333"/>
          <w:shd w:val="clear" w:color="auto" w:fill="FCFCFC"/>
        </w:rPr>
        <w:t>Akahori</w:t>
      </w:r>
      <w:proofErr w:type="spellEnd"/>
      <w:r>
        <w:rPr>
          <w:rFonts w:ascii="Arial" w:hAnsi="Arial" w:cs="Arial"/>
          <w:color w:val="333333"/>
          <w:shd w:val="clear" w:color="auto" w:fill="FCFCFC"/>
        </w:rPr>
        <w:t xml:space="preserve">, S., ‘Social Systems Theory’, in Metcalf, G.S., Kijima, K., Deguchi, H. (eds) Handbook of Systems Sciences (Singapore: Springer, 2021) </w:t>
      </w:r>
      <w:hyperlink r:id="rId15" w:history="1">
        <w:r>
          <w:rPr>
            <w:rStyle w:val="Hyperlink"/>
            <w:rFonts w:ascii="Arial" w:hAnsi="Arial" w:cs="Arial"/>
            <w:shd w:val="clear" w:color="auto" w:fill="FCFCFC"/>
          </w:rPr>
          <w:t>https://doi.org/10.1007/978-981-15-0720-5_69</w:t>
        </w:r>
      </w:hyperlink>
    </w:p>
    <w:p w14:paraId="1B82A65F" w14:textId="77777777" w:rsidR="00F40B81" w:rsidRDefault="00F40B81" w:rsidP="00F40B81">
      <w:pPr>
        <w:spacing w:line="240" w:lineRule="auto"/>
        <w:rPr>
          <w:rFonts w:ascii="Arial" w:hAnsi="Arial" w:cs="Arial"/>
        </w:rPr>
      </w:pPr>
      <w:r>
        <w:rPr>
          <w:rFonts w:ascii="Arial" w:hAnsi="Arial" w:cs="Arial"/>
          <w:color w:val="000000"/>
          <w:spacing w:val="-5"/>
          <w:shd w:val="clear" w:color="auto" w:fill="FFFFFF"/>
        </w:rPr>
        <w:t xml:space="preserve">Von </w:t>
      </w:r>
      <w:proofErr w:type="spellStart"/>
      <w:r>
        <w:rPr>
          <w:rFonts w:ascii="Arial" w:hAnsi="Arial" w:cs="Arial"/>
          <w:color w:val="000000"/>
          <w:spacing w:val="-5"/>
          <w:shd w:val="clear" w:color="auto" w:fill="FFFFFF"/>
        </w:rPr>
        <w:t>Bertalanffy</w:t>
      </w:r>
      <w:proofErr w:type="spellEnd"/>
      <w:r>
        <w:rPr>
          <w:rFonts w:ascii="Arial" w:hAnsi="Arial" w:cs="Arial"/>
          <w:color w:val="000000"/>
          <w:spacing w:val="-5"/>
          <w:shd w:val="clear" w:color="auto" w:fill="FFFFFF"/>
        </w:rPr>
        <w:t>, Ludwig. “The History and Status of General Systems Theory.” </w:t>
      </w:r>
      <w:r>
        <w:rPr>
          <w:rFonts w:ascii="Arial" w:hAnsi="Arial" w:cs="Arial"/>
          <w:i/>
          <w:iCs/>
          <w:color w:val="000000"/>
          <w:spacing w:val="-5"/>
          <w:shd w:val="clear" w:color="auto" w:fill="FFFFFF"/>
        </w:rPr>
        <w:t>The Academy of Management Journal</w:t>
      </w:r>
      <w:r>
        <w:rPr>
          <w:rFonts w:ascii="Arial" w:hAnsi="Arial" w:cs="Arial"/>
          <w:color w:val="000000"/>
          <w:spacing w:val="-5"/>
          <w:shd w:val="clear" w:color="auto" w:fill="FFFFFF"/>
        </w:rPr>
        <w:t>, vol. 15, no. 4, 1972, pp. 407–26. </w:t>
      </w:r>
      <w:r>
        <w:rPr>
          <w:rFonts w:ascii="Arial" w:hAnsi="Arial" w:cs="Arial"/>
          <w:i/>
          <w:iCs/>
          <w:color w:val="000000"/>
          <w:spacing w:val="-5"/>
          <w:shd w:val="clear" w:color="auto" w:fill="FFFFFF"/>
        </w:rPr>
        <w:t>JSTOR</w:t>
      </w:r>
      <w:r>
        <w:rPr>
          <w:rFonts w:ascii="Arial" w:hAnsi="Arial" w:cs="Arial"/>
          <w:color w:val="000000"/>
          <w:spacing w:val="-5"/>
          <w:shd w:val="clear" w:color="auto" w:fill="FFFFFF"/>
        </w:rPr>
        <w:t>, https://doi.org/10.2307/255139.</w:t>
      </w:r>
    </w:p>
    <w:p w14:paraId="7E355C41" w14:textId="77777777" w:rsidR="00F40B81" w:rsidRDefault="00F40B81" w:rsidP="00F40B81">
      <w:pPr>
        <w:shd w:val="clear" w:color="auto" w:fill="FFFFFF"/>
        <w:spacing w:line="240" w:lineRule="auto"/>
        <w:contextualSpacing/>
        <w:rPr>
          <w:rFonts w:ascii="Arial" w:hAnsi="Arial" w:cs="Arial"/>
        </w:rPr>
      </w:pPr>
      <w:r>
        <w:rPr>
          <w:rFonts w:ascii="Arial" w:hAnsi="Arial" w:cs="Arial"/>
          <w:shd w:val="clear" w:color="auto" w:fill="FCFCFC"/>
        </w:rPr>
        <w:t xml:space="preserve">Wierzbicki, A.P. (2015). Systems Theory, Theory of Chaos, Emergence. In: </w:t>
      </w:r>
      <w:proofErr w:type="spellStart"/>
      <w:r>
        <w:rPr>
          <w:rFonts w:ascii="Arial" w:hAnsi="Arial" w:cs="Arial"/>
          <w:shd w:val="clear" w:color="auto" w:fill="FCFCFC"/>
        </w:rPr>
        <w:t>Technen</w:t>
      </w:r>
      <w:proofErr w:type="spellEnd"/>
      <w:r>
        <w:rPr>
          <w:rFonts w:ascii="Arial" w:hAnsi="Arial" w:cs="Arial"/>
          <w:shd w:val="clear" w:color="auto" w:fill="FCFCFC"/>
        </w:rPr>
        <w:t>: Elements of Recent History of Information Technologies with Epistemological Conclusions. Intelligent Systems Reference Library, vol 71. Springer, Cham. https://doi.org/10.1007/978-3-319-09033-7_10</w:t>
      </w:r>
    </w:p>
    <w:p w14:paraId="60213055" w14:textId="77777777" w:rsidR="00F40B81" w:rsidRDefault="00F40B81" w:rsidP="00F40B81">
      <w:pPr>
        <w:shd w:val="clear" w:color="auto" w:fill="FFFFFF"/>
        <w:spacing w:line="240" w:lineRule="auto"/>
        <w:contextualSpacing/>
        <w:rPr>
          <w:rFonts w:ascii="Arial" w:eastAsia="MS Mincho" w:hAnsi="Arial" w:cs="Arial"/>
        </w:rPr>
      </w:pPr>
    </w:p>
    <w:p w14:paraId="74481D7E" w14:textId="77777777" w:rsidR="00F40B81" w:rsidRDefault="00F40B81" w:rsidP="00F40B81">
      <w:pPr>
        <w:shd w:val="clear" w:color="auto" w:fill="FFFFFF"/>
        <w:spacing w:line="240" w:lineRule="auto"/>
        <w:contextualSpacing/>
        <w:rPr>
          <w:rFonts w:ascii="Arial" w:eastAsia="MS Mincho" w:hAnsi="Arial" w:cs="Arial"/>
        </w:rPr>
      </w:pPr>
    </w:p>
    <w:p w14:paraId="0DA06B34" w14:textId="77777777" w:rsidR="00F40B81" w:rsidRDefault="00F40B81" w:rsidP="00F40B81">
      <w:pPr>
        <w:spacing w:line="240" w:lineRule="auto"/>
        <w:contextualSpacing/>
        <w:rPr>
          <w:rFonts w:ascii="Arial" w:hAnsi="Arial" w:cs="Arial"/>
          <w:b/>
          <w:bCs/>
          <w:kern w:val="0"/>
          <w14:ligatures w14:val="none"/>
        </w:rPr>
      </w:pPr>
      <w:r>
        <w:rPr>
          <w:rFonts w:ascii="Arial" w:hAnsi="Arial" w:cs="Arial"/>
          <w:b/>
          <w:bCs/>
          <w:kern w:val="0"/>
          <w14:ligatures w14:val="none"/>
        </w:rPr>
        <w:t>A FINAL THOUGHT</w:t>
      </w:r>
    </w:p>
    <w:p w14:paraId="5E3D6A41" w14:textId="77777777" w:rsidR="00F40B81" w:rsidRDefault="00F40B81" w:rsidP="00F40B81">
      <w:pPr>
        <w:spacing w:line="240" w:lineRule="auto"/>
        <w:contextualSpacing/>
        <w:rPr>
          <w:rFonts w:ascii="Arial" w:hAnsi="Arial" w:cs="Arial"/>
          <w:kern w:val="0"/>
          <w14:ligatures w14:val="none"/>
        </w:rPr>
      </w:pPr>
    </w:p>
    <w:p w14:paraId="75221A93" w14:textId="77777777" w:rsidR="00F40B81" w:rsidRDefault="00F40B81" w:rsidP="00F40B81">
      <w:pPr>
        <w:spacing w:line="240" w:lineRule="auto"/>
        <w:contextualSpacing/>
        <w:rPr>
          <w:rFonts w:ascii="Arial" w:hAnsi="Arial" w:cs="Arial"/>
          <w:kern w:val="0"/>
          <w14:ligatures w14:val="none"/>
        </w:rPr>
      </w:pPr>
      <w:r>
        <w:rPr>
          <w:rFonts w:ascii="Arial" w:hAnsi="Arial" w:cs="Arial"/>
          <w:kern w:val="0"/>
          <w14:ligatures w14:val="none"/>
        </w:rPr>
        <w:t>Let us conclude this course material with a final thought, repeated from week 4:</w:t>
      </w:r>
    </w:p>
    <w:p w14:paraId="386266E0" w14:textId="77777777" w:rsidR="00F40B81" w:rsidRDefault="00F40B81" w:rsidP="00F40B81">
      <w:pPr>
        <w:spacing w:line="240" w:lineRule="auto"/>
        <w:contextualSpacing/>
        <w:rPr>
          <w:rFonts w:ascii="Arial" w:hAnsi="Arial" w:cs="Arial"/>
          <w:kern w:val="0"/>
          <w14:ligatures w14:val="none"/>
        </w:rPr>
      </w:pPr>
    </w:p>
    <w:p w14:paraId="1E308971" w14:textId="16A5F751" w:rsidR="0035419F" w:rsidRDefault="00F40B81" w:rsidP="00F40B81">
      <w:pPr>
        <w:ind w:left="720"/>
      </w:pPr>
      <w:r>
        <w:rPr>
          <w:rFonts w:ascii="Arial" w:hAnsi="Arial" w:cs="Arial"/>
        </w:rPr>
        <w:t>Humans and nature are intimately and interdependently intertwined. They interact reciprocally over time and affect each other in a relationship, characterised by continuous change. A failure to recognise this, according to Grande (2000, page 354), has resulted in humanity experiencing a crisis “rooted in the increasingly invalid relationship between human beings and the rest of nature” This increasingly disharmonious relationship is contributing to the occurrence of extreme natural events, and to their impacts, being more serious and enduring… We suggest that to stem the tide humanity needs to urgently (re)establish harmonious relationships with nature.</w:t>
      </w:r>
      <w:r>
        <w:rPr>
          <w:rStyle w:val="FootnoteReference"/>
          <w:rFonts w:ascii="Arial" w:hAnsi="Arial" w:cs="Arial"/>
        </w:rPr>
        <w:footnoteReference w:id="15"/>
      </w:r>
    </w:p>
    <w:sectPr w:rsidR="0035419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vid  Cadman" w:date="2024-02-24T13:06:00Z" w:initials="DC">
    <w:p w14:paraId="36F1DE43" w14:textId="77777777" w:rsidR="00F40B81" w:rsidRDefault="00F40B81" w:rsidP="00F40B81">
      <w:r>
        <w:rPr>
          <w:rStyle w:val="CommentReference"/>
        </w:rPr>
        <w:annotationRef/>
      </w:r>
      <w:r>
        <w:rPr>
          <w:sz w:val="20"/>
          <w:szCs w:val="20"/>
        </w:rPr>
        <w:t>I am not sure what this word means, perhaps it is incorrect. Is is meant to be maintain</w:t>
      </w:r>
    </w:p>
  </w:comment>
  <w:comment w:id="1" w:author="David  Cadman" w:date="2024-02-24T13:07:00Z" w:initials="DC">
    <w:p w14:paraId="77E874AC" w14:textId="77777777" w:rsidR="00F40B81" w:rsidRDefault="00F40B81" w:rsidP="00F40B81">
      <w:r>
        <w:rPr>
          <w:rStyle w:val="CommentReference"/>
        </w:rPr>
        <w:annotationRef/>
      </w:r>
      <w:r>
        <w:rPr>
          <w:color w:val="000000"/>
          <w:sz w:val="20"/>
          <w:szCs w:val="20"/>
        </w:rPr>
        <w:t>Should this be undoings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F1DE43" w15:done="0"/>
  <w15:commentEx w15:paraId="77E874A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41BE211" w16cex:dateUtc="2024-03-07T14:57:00Z"/>
  <w16cex:commentExtensible w16cex:durableId="6587978B" w16cex:dateUtc="2024-03-07T14: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F1DE43" w16cid:durableId="141BE211"/>
  <w16cid:commentId w16cid:paraId="77E874AC" w16cid:durableId="6587978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859F6" w14:textId="77777777" w:rsidR="00F40B81" w:rsidRDefault="00F40B81" w:rsidP="00F40B81">
      <w:pPr>
        <w:spacing w:after="0" w:line="240" w:lineRule="auto"/>
      </w:pPr>
      <w:r>
        <w:separator/>
      </w:r>
    </w:p>
  </w:endnote>
  <w:endnote w:type="continuationSeparator" w:id="0">
    <w:p w14:paraId="43880514" w14:textId="77777777" w:rsidR="00F40B81" w:rsidRDefault="00F40B81" w:rsidP="00F40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73140" w14:textId="77777777" w:rsidR="00F40B81" w:rsidRDefault="00F40B81" w:rsidP="00F40B81">
      <w:pPr>
        <w:spacing w:after="0" w:line="240" w:lineRule="auto"/>
      </w:pPr>
      <w:r>
        <w:separator/>
      </w:r>
    </w:p>
  </w:footnote>
  <w:footnote w:type="continuationSeparator" w:id="0">
    <w:p w14:paraId="23002F20" w14:textId="77777777" w:rsidR="00F40B81" w:rsidRDefault="00F40B81" w:rsidP="00F40B81">
      <w:pPr>
        <w:spacing w:after="0" w:line="240" w:lineRule="auto"/>
      </w:pPr>
      <w:r>
        <w:continuationSeparator/>
      </w:r>
    </w:p>
  </w:footnote>
  <w:footnote w:id="1">
    <w:p w14:paraId="2BD0DD80" w14:textId="77777777" w:rsidR="00F40B81" w:rsidRDefault="00F40B81" w:rsidP="00F40B81">
      <w:pPr>
        <w:shd w:val="clear" w:color="auto" w:fill="FFFFFF"/>
        <w:spacing w:after="150" w:line="240" w:lineRule="auto"/>
        <w:rPr>
          <w:rFonts w:ascii="Arial" w:eastAsia="Times New Roman" w:hAnsi="Arial" w:cs="Arial"/>
          <w:color w:val="040E1D"/>
          <w:kern w:val="0"/>
          <w:lang w:eastAsia="en-GB"/>
          <w14:ligatures w14:val="none"/>
        </w:rPr>
      </w:pPr>
      <w:r>
        <w:rPr>
          <w:rStyle w:val="FootnoteReference"/>
        </w:rPr>
        <w:footnoteRef/>
      </w:r>
      <w:r>
        <w:t xml:space="preserve"> </w:t>
      </w:r>
      <w:r>
        <w:rPr>
          <w:rFonts w:ascii="Arial" w:eastAsia="Times New Roman" w:hAnsi="Arial" w:cs="Arial"/>
          <w:color w:val="040E1D"/>
          <w:kern w:val="0"/>
          <w:lang w:eastAsia="en-GB"/>
          <w14:ligatures w14:val="none"/>
        </w:rPr>
        <w:t xml:space="preserve">Lauren Hinkel, </w:t>
      </w:r>
      <w:r>
        <w:rPr>
          <w:rFonts w:ascii="Arial" w:eastAsia="Times New Roman" w:hAnsi="Arial" w:cs="Arial"/>
          <w:color w:val="040E1D"/>
          <w:kern w:val="36"/>
          <w:lang w:eastAsia="en-GB"/>
          <w14:ligatures w14:val="none"/>
        </w:rPr>
        <w:t xml:space="preserve">‘Chaos and climate: </w:t>
      </w:r>
      <w:r>
        <w:rPr>
          <w:rFonts w:ascii="Arial" w:eastAsia="Times New Roman" w:hAnsi="Arial" w:cs="Arial"/>
          <w:color w:val="040E1D"/>
          <w:kern w:val="0"/>
          <w:lang w:eastAsia="en-GB"/>
          <w14:ligatures w14:val="none"/>
        </w:rPr>
        <w:t xml:space="preserve">Celebrating two pioneers of modern meteorology’, MIT School of Science, May 18, 2018, </w:t>
      </w:r>
      <w:hyperlink r:id="rId1" w:history="1">
        <w:r>
          <w:rPr>
            <w:rStyle w:val="Hyperlink"/>
            <w:rFonts w:ascii="Arial" w:eastAsia="Times New Roman" w:hAnsi="Arial" w:cs="Arial"/>
            <w:kern w:val="0"/>
            <w:lang w:eastAsia="en-GB"/>
            <w14:ligatures w14:val="none"/>
          </w:rPr>
          <w:t>https://science.mit.edu/chaos-and-climate/</w:t>
        </w:r>
      </w:hyperlink>
      <w:r>
        <w:rPr>
          <w:rFonts w:ascii="Arial" w:eastAsia="Times New Roman" w:hAnsi="Arial" w:cs="Arial"/>
          <w:color w:val="040E1D"/>
          <w:kern w:val="0"/>
          <w:lang w:eastAsia="en-GB"/>
          <w14:ligatures w14:val="none"/>
        </w:rPr>
        <w:t xml:space="preserve"> [accessed 12 Feb 2024].</w:t>
      </w:r>
    </w:p>
    <w:p w14:paraId="06CE4A73" w14:textId="77777777" w:rsidR="00F40B81" w:rsidRDefault="00F40B81" w:rsidP="00F40B81">
      <w:pPr>
        <w:pStyle w:val="FootnoteText"/>
        <w:rPr>
          <w:rFonts w:ascii="Arial" w:hAnsi="Arial" w:cs="Arial"/>
          <w:sz w:val="22"/>
          <w:szCs w:val="22"/>
        </w:rPr>
      </w:pPr>
    </w:p>
  </w:footnote>
  <w:footnote w:id="2">
    <w:p w14:paraId="330AD42D"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1A1A1A"/>
          <w:sz w:val="22"/>
          <w:szCs w:val="22"/>
        </w:rPr>
        <w:t xml:space="preserve">Heinzmann, Gerhard and David Stump, "Henri </w:t>
      </w:r>
      <w:proofErr w:type="spellStart"/>
      <w:r>
        <w:rPr>
          <w:rFonts w:ascii="Arial" w:hAnsi="Arial" w:cs="Arial"/>
          <w:color w:val="1A1A1A"/>
          <w:sz w:val="22"/>
          <w:szCs w:val="22"/>
        </w:rPr>
        <w:t>Poincaré</w:t>
      </w:r>
      <w:proofErr w:type="spellEnd"/>
      <w:r>
        <w:rPr>
          <w:rFonts w:ascii="Arial" w:hAnsi="Arial" w:cs="Arial"/>
          <w:color w:val="1A1A1A"/>
          <w:sz w:val="22"/>
          <w:szCs w:val="22"/>
        </w:rPr>
        <w:t>", </w:t>
      </w:r>
      <w:r>
        <w:rPr>
          <w:rStyle w:val="Emphasis"/>
          <w:rFonts w:ascii="Arial" w:hAnsi="Arial" w:cs="Arial"/>
          <w:color w:val="1A1A1A"/>
          <w:sz w:val="22"/>
          <w:szCs w:val="22"/>
        </w:rPr>
        <w:t xml:space="preserve">The Stanford </w:t>
      </w:r>
      <w:proofErr w:type="spellStart"/>
      <w:r>
        <w:rPr>
          <w:rStyle w:val="Emphasis"/>
          <w:rFonts w:ascii="Arial" w:hAnsi="Arial" w:cs="Arial"/>
          <w:color w:val="1A1A1A"/>
          <w:sz w:val="22"/>
          <w:szCs w:val="22"/>
        </w:rPr>
        <w:t>Encyclopedia</w:t>
      </w:r>
      <w:proofErr w:type="spellEnd"/>
      <w:r>
        <w:rPr>
          <w:rStyle w:val="Emphasis"/>
          <w:rFonts w:ascii="Arial" w:hAnsi="Arial" w:cs="Arial"/>
          <w:color w:val="1A1A1A"/>
          <w:sz w:val="22"/>
          <w:szCs w:val="22"/>
        </w:rPr>
        <w:t xml:space="preserve"> of Philosophy </w:t>
      </w:r>
      <w:r>
        <w:rPr>
          <w:rFonts w:ascii="Arial" w:hAnsi="Arial" w:cs="Arial"/>
          <w:color w:val="1A1A1A"/>
          <w:sz w:val="22"/>
          <w:szCs w:val="22"/>
        </w:rPr>
        <w:t>(Summer 2022 Edition), Edward N. Zalta (ed.), URL = &lt;https://plato.stanford.edu/archives/sum2022/entries/poincare/&gt;.</w:t>
      </w:r>
    </w:p>
  </w:footnote>
  <w:footnote w:id="3">
    <w:p w14:paraId="417A973E" w14:textId="77777777" w:rsidR="00F40B81" w:rsidRDefault="00F40B81" w:rsidP="00F40B81">
      <w:pPr>
        <w:spacing w:line="240" w:lineRule="auto"/>
        <w:rPr>
          <w:rFonts w:ascii="Arial" w:hAnsi="Arial" w:cs="Arial"/>
        </w:rPr>
      </w:pPr>
    </w:p>
    <w:p w14:paraId="1708F7A6" w14:textId="77777777" w:rsidR="00F40B81" w:rsidRDefault="00F40B81" w:rsidP="00F40B81">
      <w:pPr>
        <w:spacing w:line="240" w:lineRule="auto"/>
        <w:rPr>
          <w:rFonts w:ascii="Arial" w:eastAsia="Times New Roman" w:hAnsi="Arial" w:cs="Arial"/>
          <w:color w:val="B36200"/>
          <w:kern w:val="0"/>
          <w:lang w:eastAsia="en-GB"/>
          <w14:ligatures w14:val="none"/>
        </w:rPr>
      </w:pPr>
      <w:r>
        <w:rPr>
          <w:rStyle w:val="FootnoteReference"/>
          <w:rFonts w:ascii="Arial" w:hAnsi="Arial" w:cs="Arial"/>
        </w:rPr>
        <w:footnoteRef/>
      </w:r>
      <w:r>
        <w:rPr>
          <w:rFonts w:ascii="Arial" w:hAnsi="Arial" w:cs="Arial"/>
        </w:rPr>
        <w:t xml:space="preserve"> </w:t>
      </w:r>
      <w:r>
        <w:rPr>
          <w:rFonts w:ascii="Arial" w:eastAsia="Times New Roman" w:hAnsi="Arial" w:cs="Arial"/>
          <w:color w:val="333333"/>
          <w:kern w:val="36"/>
          <w:lang w:eastAsia="en-GB"/>
          <w14:ligatures w14:val="none"/>
        </w:rPr>
        <w:t>Lorenz, Edward N., ‘Deterministic Nonperiodic Flow’, Journal of the Atmospheric Sciences, Vol. 20, no 2 (March 1963), pp. 130-141.</w:t>
      </w:r>
      <w:r>
        <w:rPr>
          <w:rFonts w:ascii="Arial" w:hAnsi="Arial" w:cs="Arial"/>
          <w:color w:val="050505"/>
        </w:rPr>
        <w:t xml:space="preserve"> </w:t>
      </w:r>
      <w:hyperlink r:id="rId2" w:history="1">
        <w:r>
          <w:rPr>
            <w:rStyle w:val="Hyperlink"/>
            <w:rFonts w:ascii="Arial" w:hAnsi="Arial" w:cs="Arial"/>
          </w:rPr>
          <w:t>file:///C:/Users/User/Dropbox/Downloads/atsc-1520-0469_1963_020_0130_dnf_2_0_co_2.pdf</w:t>
        </w:r>
      </w:hyperlink>
      <w:r>
        <w:rPr>
          <w:rFonts w:ascii="Arial" w:hAnsi="Arial" w:cs="Arial"/>
          <w:color w:val="050505"/>
        </w:rPr>
        <w:t xml:space="preserve">, DOI </w:t>
      </w:r>
      <w:hyperlink r:id="rId3" w:tgtFrame="_blank" w:history="1">
        <w:r>
          <w:rPr>
            <w:rStyle w:val="Hyperlink"/>
            <w:rFonts w:ascii="Arial" w:eastAsia="Times New Roman" w:hAnsi="Arial" w:cs="Arial"/>
            <w:color w:val="B36200"/>
            <w:kern w:val="0"/>
            <w:lang w:eastAsia="en-GB"/>
            <w14:ligatures w14:val="none"/>
          </w:rPr>
          <w:t>https://doi.org/10.1175/1520-0469(1963)020&lt;0130:DNF&gt;2.0.CO;2</w:t>
        </w:r>
      </w:hyperlink>
    </w:p>
    <w:p w14:paraId="4E1151C7" w14:textId="77777777" w:rsidR="00F40B81" w:rsidRDefault="00F40B81" w:rsidP="00F40B81">
      <w:pPr>
        <w:pStyle w:val="FootnoteText"/>
        <w:rPr>
          <w:rFonts w:ascii="Arial" w:hAnsi="Arial" w:cs="Arial"/>
          <w:sz w:val="22"/>
          <w:szCs w:val="22"/>
        </w:rPr>
      </w:pPr>
    </w:p>
  </w:footnote>
  <w:footnote w:id="4">
    <w:p w14:paraId="097B1B29" w14:textId="77777777" w:rsidR="00F40B81" w:rsidRDefault="00F40B81" w:rsidP="00F40B81">
      <w:pPr>
        <w:spacing w:line="240" w:lineRule="auto"/>
        <w:rPr>
          <w:rFonts w:ascii="Arial" w:hAnsi="Arial" w:cs="Arial"/>
          <w:color w:val="1A1A1A"/>
        </w:rPr>
      </w:pPr>
      <w:r>
        <w:rPr>
          <w:rStyle w:val="FootnoteReference"/>
          <w:rFonts w:ascii="Arial" w:hAnsi="Arial" w:cs="Arial"/>
        </w:rPr>
        <w:footnoteRef/>
      </w:r>
      <w:r>
        <w:rPr>
          <w:rFonts w:ascii="Arial" w:hAnsi="Arial" w:cs="Arial"/>
        </w:rPr>
        <w:t xml:space="preserve"> </w:t>
      </w:r>
      <w:r>
        <w:rPr>
          <w:rFonts w:ascii="Arial" w:hAnsi="Arial" w:cs="Arial"/>
          <w:color w:val="050505"/>
        </w:rPr>
        <w:t xml:space="preserve">Lorenz Edward, ‘Predictability: Does the Flap of a Butterfly's Wings in Brazil Set Off a Tornado in Texas?’ </w:t>
      </w:r>
      <w:r>
        <w:rPr>
          <w:rFonts w:ascii="Arial" w:hAnsi="Arial" w:cs="Arial"/>
        </w:rPr>
        <w:t xml:space="preserve">Presented before the American Association for the Advancement of Science, December 29, 1972, </w:t>
      </w:r>
      <w:hyperlink r:id="rId4" w:history="1">
        <w:r>
          <w:rPr>
            <w:rStyle w:val="Hyperlink"/>
            <w:rFonts w:ascii="Arial" w:hAnsi="Arial" w:cs="Arial"/>
          </w:rPr>
          <w:t>https://mathsciencehistory.com/wp-content/uploads/2020/03/132_kap6_lorenz_artikel_the_butterfly_effect.pdf</w:t>
        </w:r>
      </w:hyperlink>
    </w:p>
    <w:p w14:paraId="52CD9B88" w14:textId="77777777" w:rsidR="00F40B81" w:rsidRDefault="00F40B81" w:rsidP="00F40B81">
      <w:pPr>
        <w:pStyle w:val="FootnoteText"/>
        <w:rPr>
          <w:rFonts w:ascii="Arial" w:hAnsi="Arial" w:cs="Arial"/>
          <w:sz w:val="22"/>
          <w:szCs w:val="22"/>
        </w:rPr>
      </w:pPr>
    </w:p>
  </w:footnote>
  <w:footnote w:id="5">
    <w:p w14:paraId="34D48D9E"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The Fractal Foundation, ‘What is Chaos Theory?’, </w:t>
      </w:r>
      <w:hyperlink r:id="rId5" w:history="1">
        <w:r>
          <w:rPr>
            <w:rStyle w:val="Hyperlink"/>
            <w:rFonts w:ascii="Arial" w:hAnsi="Arial" w:cs="Arial"/>
            <w:sz w:val="22"/>
            <w:szCs w:val="22"/>
          </w:rPr>
          <w:t>https://fractalfoundation.org/resources/what-is-chaos-theory/</w:t>
        </w:r>
      </w:hyperlink>
      <w:r>
        <w:rPr>
          <w:rFonts w:ascii="Arial" w:hAnsi="Arial" w:cs="Arial"/>
          <w:sz w:val="22"/>
          <w:szCs w:val="22"/>
        </w:rPr>
        <w:t xml:space="preserve"> [accessed 12 Feb. 2024]</w:t>
      </w:r>
    </w:p>
  </w:footnote>
  <w:footnote w:id="6">
    <w:p w14:paraId="5949BEBD"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Norman N. Holland, ‘How You Are Who You Are--in Chaos Theory’, Psychology Today, 31 August 2010, https://www.psychologytoday.com/us/blog/is-your-brain-culture/201008/how-you-are-who-you-are-in-chaos-theory [accessed 13 Feb. 2024].</w:t>
      </w:r>
    </w:p>
    <w:p w14:paraId="7D27386A" w14:textId="77777777" w:rsidR="00F40B81" w:rsidRDefault="00F40B81" w:rsidP="00F40B81">
      <w:pPr>
        <w:pStyle w:val="FootnoteText"/>
        <w:rPr>
          <w:rFonts w:ascii="Arial" w:hAnsi="Arial" w:cs="Arial"/>
          <w:sz w:val="22"/>
          <w:szCs w:val="22"/>
        </w:rPr>
      </w:pPr>
    </w:p>
  </w:footnote>
  <w:footnote w:id="7">
    <w:p w14:paraId="64AC3FF4" w14:textId="77777777" w:rsidR="00F40B81" w:rsidRDefault="00F40B81" w:rsidP="00F40B81">
      <w:pPr>
        <w:pStyle w:val="FootnoteText"/>
        <w:rPr>
          <w:rFonts w:ascii="Arial" w:hAnsi="Arial" w:cs="Arial"/>
          <w:color w:val="282828"/>
          <w:sz w:val="22"/>
          <w:szCs w:val="22"/>
          <w:shd w:val="clear" w:color="auto" w:fill="FFFFFF"/>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282828"/>
          <w:sz w:val="22"/>
          <w:szCs w:val="22"/>
          <w:shd w:val="clear" w:color="auto" w:fill="FFFFFF"/>
        </w:rPr>
        <w:t xml:space="preserve">Crossman, Ashley. "Chaos Theory." ThoughtCo, Aug. 27, 2020, </w:t>
      </w:r>
      <w:hyperlink r:id="rId6" w:history="1">
        <w:r>
          <w:rPr>
            <w:rStyle w:val="Hyperlink"/>
            <w:rFonts w:ascii="Arial" w:hAnsi="Arial" w:cs="Arial"/>
            <w:sz w:val="22"/>
            <w:szCs w:val="22"/>
            <w:shd w:val="clear" w:color="auto" w:fill="FFFFFF"/>
          </w:rPr>
          <w:t>https://www.thoughtco.com/chaos-theory-3026621</w:t>
        </w:r>
      </w:hyperlink>
      <w:r>
        <w:rPr>
          <w:rFonts w:ascii="Arial" w:hAnsi="Arial" w:cs="Arial"/>
          <w:color w:val="282828"/>
          <w:sz w:val="22"/>
          <w:szCs w:val="22"/>
          <w:shd w:val="clear" w:color="auto" w:fill="FFFFFF"/>
        </w:rPr>
        <w:t xml:space="preserve"> [accessed 13 Feb. 2024].</w:t>
      </w:r>
    </w:p>
    <w:p w14:paraId="3F1E60D0" w14:textId="77777777" w:rsidR="00F40B81" w:rsidRDefault="00F40B81" w:rsidP="00F40B81">
      <w:pPr>
        <w:pStyle w:val="FootnoteText"/>
        <w:rPr>
          <w:rFonts w:ascii="Arial" w:hAnsi="Arial" w:cs="Arial"/>
          <w:sz w:val="22"/>
          <w:szCs w:val="22"/>
        </w:rPr>
      </w:pPr>
    </w:p>
  </w:footnote>
  <w:footnote w:id="8">
    <w:p w14:paraId="0B74D7FE"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333333"/>
          <w:sz w:val="22"/>
          <w:szCs w:val="22"/>
          <w:shd w:val="clear" w:color="auto" w:fill="FCFCFC"/>
        </w:rPr>
        <w:t xml:space="preserve">Ferreira, M.A.M., Filipe, J.A.C.B., Coelho, M.F.P., Pedro, I.C. (2014). Chaos in World Politics: A Reflection. In: Banerjee, S., Erçetin, Ş., Tekin, A. (eds) Chaos Theory in Politics. Understanding Complex Systems. Springer, Dordrecht. </w:t>
      </w:r>
      <w:hyperlink r:id="rId7" w:history="1">
        <w:r>
          <w:rPr>
            <w:rStyle w:val="Hyperlink"/>
            <w:rFonts w:ascii="Arial" w:hAnsi="Arial" w:cs="Arial"/>
            <w:sz w:val="22"/>
            <w:szCs w:val="22"/>
            <w:shd w:val="clear" w:color="auto" w:fill="FCFCFC"/>
          </w:rPr>
          <w:t>https://doi.org/10.1007/978-94-017-8691-1_6</w:t>
        </w:r>
      </w:hyperlink>
      <w:r>
        <w:rPr>
          <w:rFonts w:ascii="Arial" w:hAnsi="Arial" w:cs="Arial"/>
          <w:color w:val="333333"/>
          <w:sz w:val="22"/>
          <w:szCs w:val="22"/>
          <w:shd w:val="clear" w:color="auto" w:fill="FCFCFC"/>
        </w:rPr>
        <w:t xml:space="preserve"> [accessed 13 Feb. 2024]; </w:t>
      </w:r>
      <w:r>
        <w:rPr>
          <w:rFonts w:ascii="Arial" w:hAnsi="Arial" w:cs="Arial"/>
          <w:sz w:val="22"/>
          <w:szCs w:val="22"/>
        </w:rPr>
        <w:t>Keating, Joshua,</w:t>
      </w:r>
      <w:r>
        <w:rPr>
          <w:rFonts w:ascii="Arial" w:hAnsi="Arial" w:cs="Arial"/>
          <w:color w:val="111111"/>
          <w:spacing w:val="-8"/>
          <w:sz w:val="22"/>
          <w:szCs w:val="22"/>
        </w:rPr>
        <w:t xml:space="preserve"> ‘Can chaos theory teach us anything about international relations?’, Foreign Policy, </w:t>
      </w:r>
      <w:hyperlink r:id="rId8" w:history="1">
        <w:r>
          <w:rPr>
            <w:rStyle w:val="Hyperlink"/>
            <w:rFonts w:ascii="Arial" w:hAnsi="Arial" w:cs="Arial"/>
            <w:spacing w:val="-8"/>
            <w:sz w:val="22"/>
            <w:szCs w:val="22"/>
          </w:rPr>
          <w:t>https://foreignpolicy.com/2013/05/23/can-chaos-theory-teach-us-anything-about-international-relations/</w:t>
        </w:r>
      </w:hyperlink>
      <w:r>
        <w:rPr>
          <w:rFonts w:ascii="Arial" w:hAnsi="Arial" w:cs="Arial"/>
          <w:color w:val="111111"/>
          <w:spacing w:val="-8"/>
          <w:sz w:val="22"/>
          <w:szCs w:val="22"/>
        </w:rPr>
        <w:t xml:space="preserve"> </w:t>
      </w:r>
      <w:r>
        <w:rPr>
          <w:rFonts w:ascii="Arial" w:hAnsi="Arial" w:cs="Arial"/>
          <w:color w:val="333333"/>
          <w:sz w:val="22"/>
          <w:szCs w:val="22"/>
          <w:shd w:val="clear" w:color="auto" w:fill="FCFCFC"/>
        </w:rPr>
        <w:t xml:space="preserve">[accessed 13 Feb. 2024]; </w:t>
      </w:r>
      <w:r>
        <w:rPr>
          <w:rFonts w:ascii="Arial" w:hAnsi="Arial" w:cs="Arial"/>
          <w:sz w:val="22"/>
          <w:szCs w:val="22"/>
        </w:rPr>
        <w:t xml:space="preserve">Plaza </w:t>
      </w:r>
      <w:proofErr w:type="spellStart"/>
      <w:r>
        <w:rPr>
          <w:rFonts w:ascii="Arial" w:hAnsi="Arial" w:cs="Arial"/>
          <w:sz w:val="22"/>
          <w:szCs w:val="22"/>
        </w:rPr>
        <w:t>i</w:t>
      </w:r>
      <w:proofErr w:type="spellEnd"/>
      <w:r>
        <w:rPr>
          <w:rFonts w:ascii="Arial" w:hAnsi="Arial" w:cs="Arial"/>
          <w:sz w:val="22"/>
          <w:szCs w:val="22"/>
        </w:rPr>
        <w:t xml:space="preserve"> Font, Joan Pere, and  Dandoy, Régis, ‘Chaos Theory and its Application in Political Science’ paper presented at the IPSA World Congress, </w:t>
      </w:r>
      <w:proofErr w:type="spellStart"/>
      <w:r>
        <w:rPr>
          <w:rFonts w:ascii="Arial" w:hAnsi="Arial" w:cs="Arial"/>
          <w:sz w:val="22"/>
          <w:szCs w:val="22"/>
        </w:rPr>
        <w:t>Fukoka</w:t>
      </w:r>
      <w:proofErr w:type="spellEnd"/>
      <w:r>
        <w:rPr>
          <w:rFonts w:ascii="Arial" w:hAnsi="Arial" w:cs="Arial"/>
          <w:sz w:val="22"/>
          <w:szCs w:val="22"/>
        </w:rPr>
        <w:t>, Japan, July 2006, Research  Gate.</w:t>
      </w:r>
    </w:p>
    <w:p w14:paraId="1C8EE93E" w14:textId="77777777" w:rsidR="00F40B81" w:rsidRDefault="00F40B81" w:rsidP="00F40B81">
      <w:pPr>
        <w:pStyle w:val="FootnoteText"/>
        <w:rPr>
          <w:rFonts w:ascii="Arial" w:hAnsi="Arial" w:cs="Arial"/>
          <w:color w:val="333333"/>
          <w:sz w:val="22"/>
          <w:szCs w:val="22"/>
          <w:shd w:val="clear" w:color="auto" w:fill="FCFCFC"/>
        </w:rPr>
      </w:pPr>
      <w:hyperlink r:id="rId9" w:history="1">
        <w:r>
          <w:rPr>
            <w:rStyle w:val="Hyperlink"/>
            <w:rFonts w:ascii="Arial" w:hAnsi="Arial" w:cs="Arial"/>
            <w:sz w:val="22"/>
            <w:szCs w:val="22"/>
          </w:rPr>
          <w:t>file:///C:/Users/User/Dropbox/Downloads/Plaza_Dandoy_Chaos%20(1).pdf</w:t>
        </w:r>
      </w:hyperlink>
      <w:r>
        <w:rPr>
          <w:rFonts w:ascii="Arial" w:hAnsi="Arial" w:cs="Arial"/>
          <w:sz w:val="22"/>
          <w:szCs w:val="22"/>
        </w:rPr>
        <w:t xml:space="preserve"> </w:t>
      </w:r>
      <w:r>
        <w:rPr>
          <w:rFonts w:ascii="Arial" w:hAnsi="Arial" w:cs="Arial"/>
          <w:color w:val="333333"/>
          <w:sz w:val="22"/>
          <w:szCs w:val="22"/>
          <w:shd w:val="clear" w:color="auto" w:fill="FCFCFC"/>
        </w:rPr>
        <w:t>[accessed 13 Feb. 2024].</w:t>
      </w:r>
    </w:p>
    <w:p w14:paraId="3196AB51" w14:textId="77777777" w:rsidR="00F40B81" w:rsidRDefault="00F40B81" w:rsidP="00F40B81">
      <w:pPr>
        <w:pStyle w:val="FootnoteText"/>
        <w:rPr>
          <w:rFonts w:ascii="Arial" w:hAnsi="Arial" w:cs="Arial"/>
          <w:sz w:val="22"/>
          <w:szCs w:val="22"/>
        </w:rPr>
      </w:pPr>
    </w:p>
  </w:footnote>
  <w:footnote w:id="9">
    <w:p w14:paraId="7C371A50"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222222"/>
          <w:sz w:val="22"/>
          <w:szCs w:val="22"/>
          <w:shd w:val="clear" w:color="auto" w:fill="FFFFFF"/>
        </w:rPr>
        <w:t>Heywood, Paolo. (2017) 2023. “Ontological turn, the”. In </w:t>
      </w:r>
      <w:r>
        <w:rPr>
          <w:rFonts w:ascii="Arial" w:hAnsi="Arial" w:cs="Arial"/>
          <w:i/>
          <w:iCs/>
          <w:color w:val="222222"/>
          <w:sz w:val="22"/>
          <w:szCs w:val="22"/>
          <w:shd w:val="clear" w:color="auto" w:fill="FFFFFF"/>
        </w:rPr>
        <w:t xml:space="preserve">The Open </w:t>
      </w:r>
      <w:proofErr w:type="spellStart"/>
      <w:r>
        <w:rPr>
          <w:rFonts w:ascii="Arial" w:hAnsi="Arial" w:cs="Arial"/>
          <w:i/>
          <w:iCs/>
          <w:color w:val="222222"/>
          <w:sz w:val="22"/>
          <w:szCs w:val="22"/>
          <w:shd w:val="clear" w:color="auto" w:fill="FFFFFF"/>
        </w:rPr>
        <w:t>Encyclopedia</w:t>
      </w:r>
      <w:proofErr w:type="spellEnd"/>
      <w:r>
        <w:rPr>
          <w:rFonts w:ascii="Arial" w:hAnsi="Arial" w:cs="Arial"/>
          <w:i/>
          <w:iCs/>
          <w:color w:val="222222"/>
          <w:sz w:val="22"/>
          <w:szCs w:val="22"/>
          <w:shd w:val="clear" w:color="auto" w:fill="FFFFFF"/>
        </w:rPr>
        <w:t xml:space="preserve"> of Anthropology</w:t>
      </w:r>
      <w:r>
        <w:rPr>
          <w:rFonts w:ascii="Arial" w:hAnsi="Arial" w:cs="Arial"/>
          <w:color w:val="222222"/>
          <w:sz w:val="22"/>
          <w:szCs w:val="22"/>
          <w:shd w:val="clear" w:color="auto" w:fill="FFFFFF"/>
        </w:rPr>
        <w:t>, edited by Felix Stein. Facsimile of the first edition in </w:t>
      </w:r>
      <w:r>
        <w:rPr>
          <w:rFonts w:ascii="Arial" w:hAnsi="Arial" w:cs="Arial"/>
          <w:i/>
          <w:iCs/>
          <w:color w:val="222222"/>
          <w:sz w:val="22"/>
          <w:szCs w:val="22"/>
          <w:shd w:val="clear" w:color="auto" w:fill="FFFFFF"/>
        </w:rPr>
        <w:t xml:space="preserve">The Cambridge </w:t>
      </w:r>
      <w:proofErr w:type="spellStart"/>
      <w:r>
        <w:rPr>
          <w:rFonts w:ascii="Arial" w:hAnsi="Arial" w:cs="Arial"/>
          <w:i/>
          <w:iCs/>
          <w:color w:val="222222"/>
          <w:sz w:val="22"/>
          <w:szCs w:val="22"/>
          <w:shd w:val="clear" w:color="auto" w:fill="FFFFFF"/>
        </w:rPr>
        <w:t>Encyclopedia</w:t>
      </w:r>
      <w:proofErr w:type="spellEnd"/>
      <w:r>
        <w:rPr>
          <w:rFonts w:ascii="Arial" w:hAnsi="Arial" w:cs="Arial"/>
          <w:i/>
          <w:iCs/>
          <w:color w:val="222222"/>
          <w:sz w:val="22"/>
          <w:szCs w:val="22"/>
          <w:shd w:val="clear" w:color="auto" w:fill="FFFFFF"/>
        </w:rPr>
        <w:t xml:space="preserve"> of Anthropology</w:t>
      </w:r>
      <w:r>
        <w:rPr>
          <w:rFonts w:ascii="Arial" w:hAnsi="Arial" w:cs="Arial"/>
          <w:color w:val="222222"/>
          <w:sz w:val="22"/>
          <w:szCs w:val="22"/>
          <w:shd w:val="clear" w:color="auto" w:fill="FFFFFF"/>
        </w:rPr>
        <w:t>. Online: </w:t>
      </w:r>
      <w:hyperlink r:id="rId10" w:tgtFrame="_new" w:history="1">
        <w:r>
          <w:rPr>
            <w:rStyle w:val="Hyperlink"/>
            <w:rFonts w:ascii="Arial" w:hAnsi="Arial" w:cs="Arial"/>
            <w:color w:val="008CCF"/>
            <w:sz w:val="22"/>
            <w:szCs w:val="22"/>
            <w:shd w:val="clear" w:color="auto" w:fill="FFFFFF"/>
          </w:rPr>
          <w:t>http://doi.org/10.29164/17ontology</w:t>
        </w:r>
      </w:hyperlink>
      <w:r>
        <w:rPr>
          <w:rFonts w:ascii="Arial" w:hAnsi="Arial" w:cs="Arial"/>
          <w:sz w:val="22"/>
          <w:szCs w:val="22"/>
        </w:rPr>
        <w:t xml:space="preserve"> [accessed 13 Feb. 2024].</w:t>
      </w:r>
    </w:p>
    <w:p w14:paraId="68F971BC" w14:textId="77777777" w:rsidR="00F40B81" w:rsidRDefault="00F40B81" w:rsidP="00F40B81">
      <w:pPr>
        <w:pStyle w:val="FootnoteText"/>
        <w:rPr>
          <w:rFonts w:ascii="Arial" w:hAnsi="Arial" w:cs="Arial"/>
          <w:sz w:val="22"/>
          <w:szCs w:val="22"/>
        </w:rPr>
      </w:pPr>
    </w:p>
  </w:footnote>
  <w:footnote w:id="10">
    <w:p w14:paraId="448D311B" w14:textId="77777777" w:rsidR="00F40B81" w:rsidRDefault="00F40B81" w:rsidP="00F40B81">
      <w:pPr>
        <w:pStyle w:val="Heading1"/>
        <w:shd w:val="clear" w:color="auto" w:fill="FFFFFF"/>
        <w:spacing w:before="0"/>
        <w:rPr>
          <w:rFonts w:ascii="Arial" w:hAnsi="Arial" w:cs="Arial"/>
          <w:color w:val="000000"/>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505050"/>
          <w:sz w:val="22"/>
          <w:szCs w:val="22"/>
        </w:rPr>
        <w:t>Eduardo Kohn, </w:t>
      </w:r>
      <w:r>
        <w:rPr>
          <w:rFonts w:ascii="Arial" w:hAnsi="Arial" w:cs="Arial"/>
          <w:i/>
          <w:iCs/>
          <w:color w:val="505050"/>
          <w:sz w:val="22"/>
          <w:szCs w:val="22"/>
        </w:rPr>
        <w:t>How Forests Think: Toward an Anthropology Beyond the Human</w:t>
      </w:r>
      <w:r>
        <w:rPr>
          <w:rFonts w:ascii="Arial" w:hAnsi="Arial" w:cs="Arial"/>
          <w:color w:val="505050"/>
          <w:sz w:val="22"/>
          <w:szCs w:val="22"/>
        </w:rPr>
        <w:t xml:space="preserve"> (University of California Press, 2013); </w:t>
      </w:r>
      <w:r>
        <w:rPr>
          <w:rFonts w:ascii="Arial" w:hAnsi="Arial" w:cs="Arial"/>
          <w:color w:val="222222"/>
          <w:kern w:val="0"/>
          <w:sz w:val="22"/>
          <w:szCs w:val="22"/>
        </w:rPr>
        <w:t xml:space="preserve">Gareth Cook, ‘Do Plants Think?’, </w:t>
      </w:r>
      <w:r>
        <w:rPr>
          <w:rFonts w:ascii="Arial" w:hAnsi="Arial" w:cs="Arial"/>
          <w:i/>
          <w:iCs/>
          <w:color w:val="222222"/>
          <w:kern w:val="0"/>
          <w:sz w:val="22"/>
          <w:szCs w:val="22"/>
        </w:rPr>
        <w:t>Scientific American</w:t>
      </w:r>
      <w:r>
        <w:rPr>
          <w:rFonts w:ascii="Arial" w:hAnsi="Arial" w:cs="Arial"/>
          <w:color w:val="222222"/>
          <w:kern w:val="0"/>
          <w:sz w:val="22"/>
          <w:szCs w:val="22"/>
        </w:rPr>
        <w:t>, 5 June 2012,</w:t>
      </w:r>
      <w:r>
        <w:rPr>
          <w:rFonts w:ascii="Arial" w:hAnsi="Arial" w:cs="Arial"/>
          <w:sz w:val="22"/>
          <w:szCs w:val="22"/>
        </w:rPr>
        <w:t xml:space="preserve"> </w:t>
      </w:r>
      <w:hyperlink r:id="rId11" w:history="1">
        <w:r>
          <w:rPr>
            <w:rStyle w:val="Hyperlink"/>
            <w:rFonts w:ascii="Arial" w:hAnsi="Arial" w:cs="Arial"/>
            <w:kern w:val="0"/>
            <w:sz w:val="22"/>
            <w:szCs w:val="22"/>
          </w:rPr>
          <w:t>https://www.scientificamerican.com/article/do-plants-think-daniel-chamovitz/</w:t>
        </w:r>
      </w:hyperlink>
      <w:r>
        <w:rPr>
          <w:rFonts w:ascii="Arial" w:hAnsi="Arial" w:cs="Arial"/>
          <w:color w:val="222222"/>
          <w:kern w:val="0"/>
          <w:sz w:val="22"/>
          <w:szCs w:val="22"/>
        </w:rPr>
        <w:t xml:space="preserve"> [accessed 13 Feb. 2024]; </w:t>
      </w:r>
      <w:r>
        <w:rPr>
          <w:rFonts w:ascii="Arial" w:hAnsi="Arial" w:cs="Arial"/>
          <w:color w:val="000000"/>
          <w:sz w:val="22"/>
          <w:szCs w:val="22"/>
        </w:rPr>
        <w:t xml:space="preserve">Richard Grant, 'Do Trees Talk to Each Other?', Smithsonian Magazine, March 2018, </w:t>
      </w:r>
      <w:hyperlink r:id="rId12" w:history="1">
        <w:r>
          <w:rPr>
            <w:rStyle w:val="Hyperlink"/>
            <w:rFonts w:ascii="Arial" w:hAnsi="Arial" w:cs="Arial"/>
            <w:sz w:val="22"/>
            <w:szCs w:val="22"/>
          </w:rPr>
          <w:t>https://www.smithsonianmag.com/science-nature/the-whispering-trees-180968084/</w:t>
        </w:r>
      </w:hyperlink>
      <w:r>
        <w:rPr>
          <w:rFonts w:ascii="Arial" w:hAnsi="Arial" w:cs="Arial"/>
          <w:color w:val="000000"/>
          <w:sz w:val="22"/>
          <w:szCs w:val="22"/>
        </w:rPr>
        <w:t xml:space="preserve"> </w:t>
      </w:r>
      <w:r>
        <w:rPr>
          <w:rFonts w:ascii="Arial" w:hAnsi="Arial" w:cs="Arial"/>
          <w:color w:val="222222"/>
          <w:kern w:val="0"/>
          <w:sz w:val="22"/>
          <w:szCs w:val="22"/>
        </w:rPr>
        <w:t>[accessed 13 Feb. 2024];</w:t>
      </w:r>
    </w:p>
    <w:p w14:paraId="77A1C3A7" w14:textId="77777777" w:rsidR="00F40B81" w:rsidRDefault="00F40B81" w:rsidP="00F40B81">
      <w:pPr>
        <w:pStyle w:val="FootnoteText"/>
        <w:rPr>
          <w:rFonts w:ascii="Arial" w:hAnsi="Arial" w:cs="Arial"/>
          <w:sz w:val="22"/>
          <w:szCs w:val="22"/>
        </w:rPr>
      </w:pPr>
    </w:p>
  </w:footnote>
  <w:footnote w:id="11">
    <w:p w14:paraId="13DBDE9F" w14:textId="77777777" w:rsidR="00F40B81" w:rsidRDefault="00F40B81" w:rsidP="00F40B81">
      <w:pPr>
        <w:pStyle w:val="PlainText"/>
        <w:spacing w:before="120"/>
        <w:rPr>
          <w:rFonts w:ascii="Arial" w:eastAsia="MS Mincho"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eastAsia="MS Mincho" w:hAnsi="Arial" w:cs="Arial"/>
          <w:sz w:val="22"/>
          <w:szCs w:val="22"/>
        </w:rPr>
        <w:t xml:space="preserve">Plato, </w:t>
      </w:r>
      <w:proofErr w:type="gramStart"/>
      <w:r>
        <w:rPr>
          <w:rFonts w:ascii="Arial" w:eastAsia="MS Mincho" w:hAnsi="Arial" w:cs="Arial"/>
          <w:i/>
          <w:iCs/>
          <w:sz w:val="22"/>
          <w:szCs w:val="22"/>
        </w:rPr>
        <w:t>Timaeus</w:t>
      </w:r>
      <w:r>
        <w:rPr>
          <w:rFonts w:ascii="Arial" w:eastAsia="MS Mincho" w:hAnsi="Arial" w:cs="Arial"/>
          <w:sz w:val="22"/>
          <w:szCs w:val="22"/>
        </w:rPr>
        <w:t>,  trans.</w:t>
      </w:r>
      <w:proofErr w:type="gramEnd"/>
      <w:r>
        <w:rPr>
          <w:rFonts w:ascii="Arial" w:eastAsia="MS Mincho" w:hAnsi="Arial" w:cs="Arial"/>
          <w:sz w:val="22"/>
          <w:szCs w:val="22"/>
        </w:rPr>
        <w:t xml:space="preserve"> R.G. Bury (Cambridge Mass., London: Harvard University Press, 1931), 37D.</w:t>
      </w:r>
    </w:p>
    <w:p w14:paraId="74F84476" w14:textId="77777777" w:rsidR="00F40B81" w:rsidRDefault="00F40B81" w:rsidP="00F40B81">
      <w:pPr>
        <w:pStyle w:val="FootnoteText"/>
        <w:rPr>
          <w:rFonts w:ascii="Arial" w:eastAsia="Times New Roman" w:hAnsi="Arial" w:cs="Arial"/>
          <w:sz w:val="22"/>
          <w:szCs w:val="22"/>
        </w:rPr>
      </w:pPr>
    </w:p>
  </w:footnote>
  <w:footnote w:id="12">
    <w:p w14:paraId="736766BD" w14:textId="77777777" w:rsidR="00F40B81" w:rsidRDefault="00F40B81" w:rsidP="00F40B81">
      <w:pPr>
        <w:pStyle w:val="PlainText"/>
        <w:rPr>
          <w:rFonts w:ascii="Arial" w:eastAsia="MS Mincho"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eastAsia="MS Mincho" w:hAnsi="Arial" w:cs="Arial"/>
          <w:sz w:val="22"/>
          <w:szCs w:val="22"/>
        </w:rPr>
        <w:t xml:space="preserve">Plato, </w:t>
      </w:r>
      <w:proofErr w:type="gramStart"/>
      <w:r>
        <w:rPr>
          <w:rFonts w:ascii="Arial" w:eastAsia="MS Mincho" w:hAnsi="Arial" w:cs="Arial"/>
          <w:i/>
          <w:iCs/>
          <w:sz w:val="22"/>
          <w:szCs w:val="22"/>
        </w:rPr>
        <w:t>Timaeus</w:t>
      </w:r>
      <w:r>
        <w:rPr>
          <w:rFonts w:ascii="Arial" w:eastAsia="MS Mincho" w:hAnsi="Arial" w:cs="Arial"/>
          <w:sz w:val="22"/>
          <w:szCs w:val="22"/>
        </w:rPr>
        <w:t>,  trans.</w:t>
      </w:r>
      <w:proofErr w:type="gramEnd"/>
      <w:r>
        <w:rPr>
          <w:rFonts w:ascii="Arial" w:eastAsia="MS Mincho" w:hAnsi="Arial" w:cs="Arial"/>
          <w:sz w:val="22"/>
          <w:szCs w:val="22"/>
        </w:rPr>
        <w:t xml:space="preserve"> </w:t>
      </w:r>
      <w:proofErr w:type="spellStart"/>
      <w:r>
        <w:rPr>
          <w:rFonts w:ascii="Arial" w:eastAsia="MS Mincho" w:hAnsi="Arial" w:cs="Arial"/>
          <w:sz w:val="22"/>
          <w:szCs w:val="22"/>
        </w:rPr>
        <w:t>R.G.Bury</w:t>
      </w:r>
      <w:proofErr w:type="spellEnd"/>
      <w:r>
        <w:rPr>
          <w:rFonts w:ascii="Arial" w:eastAsia="MS Mincho" w:hAnsi="Arial" w:cs="Arial"/>
          <w:sz w:val="22"/>
          <w:szCs w:val="22"/>
        </w:rPr>
        <w:t>, Cambridge Mass., London: Harvard University Press 1931, 28A.</w:t>
      </w:r>
    </w:p>
    <w:p w14:paraId="60DD54DF" w14:textId="77777777" w:rsidR="00F40B81" w:rsidRDefault="00F40B81" w:rsidP="00F40B81">
      <w:pPr>
        <w:pStyle w:val="PlainText"/>
        <w:rPr>
          <w:rFonts w:ascii="Arial" w:hAnsi="Arial" w:cs="Arial"/>
          <w:sz w:val="22"/>
          <w:szCs w:val="22"/>
        </w:rPr>
      </w:pPr>
    </w:p>
  </w:footnote>
  <w:footnote w:id="13">
    <w:p w14:paraId="260DE4BA"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1A1A1A"/>
          <w:sz w:val="22"/>
          <w:szCs w:val="22"/>
        </w:rPr>
        <w:t>Seibt, Johanna, "Process Philosophy", </w:t>
      </w:r>
      <w:r>
        <w:rPr>
          <w:rStyle w:val="Emphasis"/>
          <w:rFonts w:ascii="Arial" w:hAnsi="Arial" w:cs="Arial"/>
          <w:color w:val="1A1A1A"/>
          <w:sz w:val="22"/>
          <w:szCs w:val="22"/>
        </w:rPr>
        <w:t xml:space="preserve">The Stanford </w:t>
      </w:r>
      <w:proofErr w:type="spellStart"/>
      <w:r>
        <w:rPr>
          <w:rStyle w:val="Emphasis"/>
          <w:rFonts w:ascii="Arial" w:hAnsi="Arial" w:cs="Arial"/>
          <w:color w:val="1A1A1A"/>
          <w:sz w:val="22"/>
          <w:szCs w:val="22"/>
        </w:rPr>
        <w:t>Encyclopedia</w:t>
      </w:r>
      <w:proofErr w:type="spellEnd"/>
      <w:r>
        <w:rPr>
          <w:rStyle w:val="Emphasis"/>
          <w:rFonts w:ascii="Arial" w:hAnsi="Arial" w:cs="Arial"/>
          <w:color w:val="1A1A1A"/>
          <w:sz w:val="22"/>
          <w:szCs w:val="22"/>
        </w:rPr>
        <w:t xml:space="preserve"> of Philosophy </w:t>
      </w:r>
      <w:r>
        <w:rPr>
          <w:rFonts w:ascii="Arial" w:hAnsi="Arial" w:cs="Arial"/>
          <w:color w:val="1A1A1A"/>
          <w:sz w:val="22"/>
          <w:szCs w:val="22"/>
        </w:rPr>
        <w:t>(Winter 2023 Edition), Edward N. Zalta &amp; Uri Nodelman (eds.), URL = &lt;https://plato.stanford.edu/archives/win2023/entries/process-philosophy/&gt;.</w:t>
      </w:r>
    </w:p>
  </w:footnote>
  <w:footnote w:id="14">
    <w:p w14:paraId="7E0C74C1" w14:textId="77777777" w:rsidR="00F40B81" w:rsidRDefault="00F40B81" w:rsidP="00F40B81">
      <w:pPr>
        <w:pStyle w:val="FootnoteText"/>
        <w:rPr>
          <w:rFonts w:ascii="Arial" w:hAnsi="Arial" w:cs="Arial"/>
          <w:sz w:val="22"/>
          <w:szCs w:val="22"/>
        </w:rPr>
      </w:pPr>
    </w:p>
    <w:p w14:paraId="3EE8115D" w14:textId="77777777" w:rsidR="00F40B81" w:rsidRDefault="00F40B81" w:rsidP="00F40B81">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‘Relationality’,  Oxford Reference, </w:t>
      </w:r>
      <w:hyperlink r:id="rId13" w:history="1">
        <w:r>
          <w:rPr>
            <w:rStyle w:val="Hyperlink"/>
            <w:rFonts w:ascii="Arial" w:hAnsi="Arial" w:cs="Arial"/>
            <w:sz w:val="22"/>
            <w:szCs w:val="22"/>
          </w:rPr>
          <w:t>https://www.oxfordreference.com/display/10.1093/oi/authority.20110803100412539</w:t>
        </w:r>
      </w:hyperlink>
      <w:r>
        <w:rPr>
          <w:rFonts w:ascii="Arial" w:hAnsi="Arial" w:cs="Arial"/>
          <w:sz w:val="22"/>
          <w:szCs w:val="22"/>
        </w:rPr>
        <w:t xml:space="preserve"> [accessed 13 Feb. 2024].</w:t>
      </w:r>
    </w:p>
  </w:footnote>
  <w:footnote w:id="15">
    <w:p w14:paraId="67EF035C" w14:textId="77777777" w:rsidR="00F40B81" w:rsidRDefault="00F40B81" w:rsidP="00F40B81">
      <w:pPr>
        <w:rPr>
          <w:rFonts w:ascii="Arial" w:hAnsi="Arial" w:cs="Arial"/>
        </w:rPr>
      </w:pPr>
      <w:r>
        <w:rPr>
          <w:rStyle w:val="FootnoteReference"/>
          <w:rFonts w:ascii="Arial" w:hAnsi="Arial" w:cs="Arial"/>
        </w:rPr>
        <w:footnoteRef/>
      </w:r>
      <w:r>
        <w:rPr>
          <w:rFonts w:ascii="Arial" w:hAnsi="Arial" w:cs="Arial"/>
        </w:rPr>
        <w:t xml:space="preserve"> </w:t>
      </w:r>
      <w:proofErr w:type="spellStart"/>
      <w:r>
        <w:rPr>
          <w:rFonts w:ascii="Arial" w:hAnsi="Arial" w:cs="Arial"/>
        </w:rPr>
        <w:t>Buergelt</w:t>
      </w:r>
      <w:proofErr w:type="spellEnd"/>
      <w:r>
        <w:rPr>
          <w:rFonts w:ascii="Arial" w:hAnsi="Arial" w:cs="Arial"/>
        </w:rPr>
        <w:t xml:space="preserve">, P.T., D. Paton, B. Sithole, KP.S.D.V. </w:t>
      </w:r>
      <w:proofErr w:type="spellStart"/>
      <w:r>
        <w:rPr>
          <w:rFonts w:ascii="Arial" w:hAnsi="Arial" w:cs="Arial"/>
        </w:rPr>
        <w:t>Prasadarao</w:t>
      </w:r>
      <w:proofErr w:type="spellEnd"/>
      <w:r>
        <w:rPr>
          <w:rFonts w:ascii="Arial" w:hAnsi="Arial" w:cs="Arial"/>
        </w:rPr>
        <w:t xml:space="preserve">, L. Campion and J. Campion, ‘Living in Harmony with Nature: Source of Well-Being and Adaptive Capacities A Paradigm Shift’, in D. Paton and D.M. Johnson (eds), </w:t>
      </w:r>
      <w:r>
        <w:rPr>
          <w:rFonts w:ascii="Arial" w:hAnsi="Arial" w:cs="Arial"/>
          <w:i/>
          <w:iCs/>
        </w:rPr>
        <w:t>Disaster Resilience: an Integrated Approach</w:t>
      </w:r>
      <w:r>
        <w:rPr>
          <w:rFonts w:ascii="Arial" w:hAnsi="Arial" w:cs="Arial"/>
        </w:rPr>
        <w:t>, 2</w:t>
      </w:r>
      <w:r>
        <w:rPr>
          <w:rFonts w:ascii="Arial" w:hAnsi="Arial" w:cs="Arial"/>
          <w:vertAlign w:val="superscript"/>
        </w:rPr>
        <w:t>nd</w:t>
      </w:r>
      <w:r>
        <w:rPr>
          <w:rFonts w:ascii="Arial" w:hAnsi="Arial" w:cs="Arial"/>
        </w:rPr>
        <w:t xml:space="preserve"> ed. (</w:t>
      </w:r>
      <w:proofErr w:type="gramStart"/>
      <w:r>
        <w:rPr>
          <w:rFonts w:ascii="Arial" w:hAnsi="Arial" w:cs="Arial"/>
        </w:rPr>
        <w:t>Springfield ,</w:t>
      </w:r>
      <w:proofErr w:type="gramEnd"/>
      <w:r>
        <w:rPr>
          <w:rFonts w:ascii="Arial" w:hAnsi="Arial" w:cs="Arial"/>
        </w:rPr>
        <w:t xml:space="preserve"> Ill: Charles C. Thomas, 2017), pp. 289-307 .</w:t>
      </w:r>
    </w:p>
    <w:p w14:paraId="5760D3CF" w14:textId="77777777" w:rsidR="00F40B81" w:rsidRDefault="00F40B81" w:rsidP="00F40B8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EE4CE1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DC4717"/>
    <w:multiLevelType w:val="hybridMultilevel"/>
    <w:tmpl w:val="2090BD1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56397E24"/>
    <w:multiLevelType w:val="hybridMultilevel"/>
    <w:tmpl w:val="1834E6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87E4EF2"/>
    <w:multiLevelType w:val="hybridMultilevel"/>
    <w:tmpl w:val="2F6462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44229806">
    <w:abstractNumId w:val="0"/>
    <w:lvlOverride w:ilvl="0"/>
  </w:num>
  <w:num w:numId="2" w16cid:durableId="21235673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29943121">
    <w:abstractNumId w:val="1"/>
    <w:lvlOverride w:ilvl="0"/>
    <w:lvlOverride w:ilvl="1"/>
    <w:lvlOverride w:ilvl="2"/>
    <w:lvlOverride w:ilvl="3"/>
    <w:lvlOverride w:ilvl="4"/>
    <w:lvlOverride w:ilvl="5"/>
    <w:lvlOverride w:ilvl="6"/>
    <w:lvlOverride w:ilvl="7"/>
    <w:lvlOverride w:ilvl="8"/>
  </w:num>
  <w:num w:numId="4" w16cid:durableId="792017931">
    <w:abstractNumId w:val="2"/>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Cadman">
    <w15:presenceInfo w15:providerId="AD" w15:userId="S::David@davidcadman.com::2f534a8a-a78d-4a17-8f8d-00caffeb39e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B81"/>
    <w:rsid w:val="000C3E24"/>
    <w:rsid w:val="001859C5"/>
    <w:rsid w:val="0035419F"/>
    <w:rsid w:val="008E6D60"/>
    <w:rsid w:val="00F40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3EAB6"/>
  <w15:chartTrackingRefBased/>
  <w15:docId w15:val="{D18B44D1-C1B1-4E9E-A534-F4066A5E5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B81"/>
    <w:pPr>
      <w:spacing w:line="252" w:lineRule="auto"/>
    </w:pPr>
  </w:style>
  <w:style w:type="paragraph" w:styleId="Heading1">
    <w:name w:val="heading 1"/>
    <w:basedOn w:val="Normal"/>
    <w:next w:val="Normal"/>
    <w:link w:val="Heading1Char"/>
    <w:uiPriority w:val="9"/>
    <w:qFormat/>
    <w:rsid w:val="00F40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B81"/>
    <w:rPr>
      <w:rFonts w:eastAsiaTheme="majorEastAsia" w:cstheme="majorBidi"/>
      <w:color w:val="272727" w:themeColor="text1" w:themeTint="D8"/>
    </w:rPr>
  </w:style>
  <w:style w:type="paragraph" w:styleId="Title">
    <w:name w:val="Title"/>
    <w:basedOn w:val="Normal"/>
    <w:next w:val="Normal"/>
    <w:link w:val="TitleChar"/>
    <w:uiPriority w:val="10"/>
    <w:qFormat/>
    <w:rsid w:val="00F40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B81"/>
    <w:pPr>
      <w:spacing w:before="160"/>
      <w:jc w:val="center"/>
    </w:pPr>
    <w:rPr>
      <w:i/>
      <w:iCs/>
      <w:color w:val="404040" w:themeColor="text1" w:themeTint="BF"/>
    </w:rPr>
  </w:style>
  <w:style w:type="character" w:customStyle="1" w:styleId="QuoteChar">
    <w:name w:val="Quote Char"/>
    <w:basedOn w:val="DefaultParagraphFont"/>
    <w:link w:val="Quote"/>
    <w:uiPriority w:val="29"/>
    <w:rsid w:val="00F40B81"/>
    <w:rPr>
      <w:i/>
      <w:iCs/>
      <w:color w:val="404040" w:themeColor="text1" w:themeTint="BF"/>
    </w:rPr>
  </w:style>
  <w:style w:type="paragraph" w:styleId="ListParagraph">
    <w:name w:val="List Paragraph"/>
    <w:basedOn w:val="Normal"/>
    <w:uiPriority w:val="34"/>
    <w:qFormat/>
    <w:rsid w:val="00F40B81"/>
    <w:pPr>
      <w:ind w:left="720"/>
      <w:contextualSpacing/>
    </w:pPr>
  </w:style>
  <w:style w:type="character" w:styleId="IntenseEmphasis">
    <w:name w:val="Intense Emphasis"/>
    <w:basedOn w:val="DefaultParagraphFont"/>
    <w:uiPriority w:val="21"/>
    <w:qFormat/>
    <w:rsid w:val="00F40B81"/>
    <w:rPr>
      <w:i/>
      <w:iCs/>
      <w:color w:val="0F4761" w:themeColor="accent1" w:themeShade="BF"/>
    </w:rPr>
  </w:style>
  <w:style w:type="paragraph" w:styleId="IntenseQuote">
    <w:name w:val="Intense Quote"/>
    <w:basedOn w:val="Normal"/>
    <w:next w:val="Normal"/>
    <w:link w:val="IntenseQuoteChar"/>
    <w:uiPriority w:val="30"/>
    <w:qFormat/>
    <w:rsid w:val="00F40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B81"/>
    <w:rPr>
      <w:i/>
      <w:iCs/>
      <w:color w:val="0F4761" w:themeColor="accent1" w:themeShade="BF"/>
    </w:rPr>
  </w:style>
  <w:style w:type="character" w:styleId="IntenseReference">
    <w:name w:val="Intense Reference"/>
    <w:basedOn w:val="DefaultParagraphFont"/>
    <w:uiPriority w:val="32"/>
    <w:qFormat/>
    <w:rsid w:val="00F40B81"/>
    <w:rPr>
      <w:b/>
      <w:bCs/>
      <w:smallCaps/>
      <w:color w:val="0F4761" w:themeColor="accent1" w:themeShade="BF"/>
      <w:spacing w:val="5"/>
    </w:rPr>
  </w:style>
  <w:style w:type="character" w:styleId="Hyperlink">
    <w:name w:val="Hyperlink"/>
    <w:basedOn w:val="DefaultParagraphFont"/>
    <w:uiPriority w:val="99"/>
    <w:semiHidden/>
    <w:unhideWhenUsed/>
    <w:rsid w:val="00F40B81"/>
    <w:rPr>
      <w:color w:val="467886" w:themeColor="hyperlink"/>
      <w:u w:val="single"/>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semiHidden/>
    <w:locked/>
    <w:rsid w:val="00F40B81"/>
    <w:rPr>
      <w:kern w:val="0"/>
      <w:sz w:val="20"/>
      <w:szCs w:val="20"/>
      <w14:ligatures w14:val="none"/>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semiHidden/>
    <w:unhideWhenUsed/>
    <w:rsid w:val="00F40B81"/>
    <w:pPr>
      <w:spacing w:after="0" w:line="240" w:lineRule="auto"/>
    </w:pPr>
    <w:rPr>
      <w:kern w:val="0"/>
      <w:sz w:val="20"/>
      <w:szCs w:val="20"/>
      <w14:ligatures w14:val="none"/>
    </w:rPr>
  </w:style>
  <w:style w:type="character" w:customStyle="1" w:styleId="FootnoteTextChar1">
    <w:name w:val="Footnote Text Char1"/>
    <w:basedOn w:val="DefaultParagraphFont"/>
    <w:uiPriority w:val="99"/>
    <w:semiHidden/>
    <w:rsid w:val="00F40B81"/>
    <w:rPr>
      <w:sz w:val="20"/>
      <w:szCs w:val="20"/>
    </w:rPr>
  </w:style>
  <w:style w:type="paragraph" w:styleId="ListBullet">
    <w:name w:val="List Bullet"/>
    <w:basedOn w:val="Normal"/>
    <w:uiPriority w:val="99"/>
    <w:semiHidden/>
    <w:unhideWhenUsed/>
    <w:rsid w:val="00F40B81"/>
    <w:pPr>
      <w:numPr>
        <w:numId w:val="1"/>
      </w:numPr>
      <w:contextualSpacing/>
    </w:pPr>
  </w:style>
  <w:style w:type="paragraph" w:styleId="PlainText">
    <w:name w:val="Plain Text"/>
    <w:basedOn w:val="Normal"/>
    <w:link w:val="PlainTextChar"/>
    <w:semiHidden/>
    <w:unhideWhenUsed/>
    <w:qFormat/>
    <w:rsid w:val="00F40B81"/>
    <w:pPr>
      <w:spacing w:after="0" w:line="240" w:lineRule="auto"/>
    </w:pPr>
    <w:rPr>
      <w:rFonts w:ascii="Courier New" w:eastAsia="Times New Roman" w:hAnsi="Courier New" w:cs="Courier New"/>
      <w:kern w:val="0"/>
      <w:sz w:val="20"/>
      <w:szCs w:val="20"/>
      <w14:ligatures w14:val="none"/>
    </w:rPr>
  </w:style>
  <w:style w:type="character" w:customStyle="1" w:styleId="PlainTextChar">
    <w:name w:val="Plain Text Char"/>
    <w:basedOn w:val="DefaultParagraphFont"/>
    <w:link w:val="PlainText"/>
    <w:semiHidden/>
    <w:rsid w:val="00F40B81"/>
    <w:rPr>
      <w:rFonts w:ascii="Courier New" w:eastAsia="Times New Roman" w:hAnsi="Courier New" w:cs="Courier New"/>
      <w:kern w:val="0"/>
      <w:sz w:val="20"/>
      <w:szCs w:val="20"/>
      <w14:ligatures w14:val="none"/>
    </w:rPr>
  </w:style>
  <w:style w:type="character" w:styleId="FootnoteReference">
    <w:name w:val="footnote reference"/>
    <w:basedOn w:val="DefaultParagraphFont"/>
    <w:uiPriority w:val="99"/>
    <w:semiHidden/>
    <w:unhideWhenUsed/>
    <w:qFormat/>
    <w:rsid w:val="00F40B81"/>
    <w:rPr>
      <w:vertAlign w:val="superscript"/>
    </w:rPr>
  </w:style>
  <w:style w:type="character" w:styleId="CommentReference">
    <w:name w:val="annotation reference"/>
    <w:basedOn w:val="DefaultParagraphFont"/>
    <w:uiPriority w:val="99"/>
    <w:semiHidden/>
    <w:unhideWhenUsed/>
    <w:rsid w:val="00F40B81"/>
    <w:rPr>
      <w:sz w:val="16"/>
      <w:szCs w:val="16"/>
    </w:rPr>
  </w:style>
  <w:style w:type="character" w:styleId="Emphasis">
    <w:name w:val="Emphasis"/>
    <w:basedOn w:val="DefaultParagraphFont"/>
    <w:uiPriority w:val="20"/>
    <w:qFormat/>
    <w:rsid w:val="00F40B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14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2353040_Complexity_Theory" TargetMode="Externa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63/5.0015916" TargetMode="External"/><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hyperlink" Target="https://doi.org/10.1007/978-981-15-0720-5_69" TargetMode="Externa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hyperlink" Target="http://doi.org/10.29164/17ontology" TargetMode="External"/><Relationship Id="rId14" Type="http://schemas.openxmlformats.org/officeDocument/2006/relationships/hyperlink" Target="https://literariness.org/2017/04/26/the-philosophical-concept-of-rhizom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foreignpolicy.com/2013/05/23/can-chaos-theory-teach-us-anything-about-international-relations/" TargetMode="External"/><Relationship Id="rId13" Type="http://schemas.openxmlformats.org/officeDocument/2006/relationships/hyperlink" Target="https://www.oxfordreference.com/display/10.1093/oi/authority.20110803100412539" TargetMode="External"/><Relationship Id="rId3" Type="http://schemas.openxmlformats.org/officeDocument/2006/relationships/hyperlink" Target="https://doi.org/10.1175/1520-0469(1963)020%3C0130:DNF%3E2.0.CO;2" TargetMode="External"/><Relationship Id="rId7" Type="http://schemas.openxmlformats.org/officeDocument/2006/relationships/hyperlink" Target="https://doi.org/10.1007/978-94-017-8691-1_6" TargetMode="External"/><Relationship Id="rId12" Type="http://schemas.openxmlformats.org/officeDocument/2006/relationships/hyperlink" Target="https://www.smithsonianmag.com/science-nature/the-whispering-trees-180968084/" TargetMode="External"/><Relationship Id="rId2" Type="http://schemas.openxmlformats.org/officeDocument/2006/relationships/hyperlink" Target="file:///C:\Users\User\Dropbox\Downloads\atsc-1520-0469_1963_020_0130_dnf_2_0_co_2.pdf" TargetMode="External"/><Relationship Id="rId1" Type="http://schemas.openxmlformats.org/officeDocument/2006/relationships/hyperlink" Target="https://science.mit.edu/chaos-and-climate/" TargetMode="External"/><Relationship Id="rId6" Type="http://schemas.openxmlformats.org/officeDocument/2006/relationships/hyperlink" Target="https://www.thoughtco.com/chaos-theory-3026621" TargetMode="External"/><Relationship Id="rId11" Type="http://schemas.openxmlformats.org/officeDocument/2006/relationships/hyperlink" Target="https://www.scientificamerican.com/article/do-plants-think-daniel-chamovitz/" TargetMode="External"/><Relationship Id="rId5" Type="http://schemas.openxmlformats.org/officeDocument/2006/relationships/hyperlink" Target="https://fractalfoundation.org/resources/what-is-chaos-theory/" TargetMode="External"/><Relationship Id="rId10" Type="http://schemas.openxmlformats.org/officeDocument/2006/relationships/hyperlink" Target="http://doi.org/10.29164/17ontology" TargetMode="External"/><Relationship Id="rId4" Type="http://schemas.openxmlformats.org/officeDocument/2006/relationships/hyperlink" Target="https://mathsciencehistory.com/wp-content/uploads/2020/03/132_kap6_lorenz_artikel_the_butterfly_effect.pdf" TargetMode="External"/><Relationship Id="rId9" Type="http://schemas.openxmlformats.org/officeDocument/2006/relationships/hyperlink" Target="file:///C:\Users\User\Dropbox\Downloads\Plaza_Dandoy_Chaos%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4391</Words>
  <Characters>25029</Characters>
  <Application>Microsoft Office Word</Application>
  <DocSecurity>0</DocSecurity>
  <Lines>208</Lines>
  <Paragraphs>58</Paragraphs>
  <ScaleCrop>false</ScaleCrop>
  <Company/>
  <LinksUpToDate>false</LinksUpToDate>
  <CharactersWithSpaces>29362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1</cp:revision>
  <dcterms:created xsi:type="dcterms:W3CDTF">2024-03-07T14:57:00Z</dcterms:created>
  <dcterms:modified xsi:type="dcterms:W3CDTF">2024-03-07T14:58:00Z</dcterms:modified>
</cp:coreProperties>
</file>