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FC594D" w14:textId="77777777" w:rsidR="00356298" w:rsidRPr="00B66156" w:rsidRDefault="00356298" w:rsidP="00B66156">
      <w:pPr>
        <w:spacing w:line="360" w:lineRule="auto"/>
        <w:rPr>
          <w:rFonts w:ascii="Arial" w:hAnsi="Arial" w:cs="Arial"/>
          <w:b/>
          <w:bCs/>
          <w:sz w:val="24"/>
          <w:szCs w:val="24"/>
        </w:rPr>
      </w:pPr>
      <w:bookmarkStart w:id="0" w:name="_Hlk124770894"/>
      <w:bookmarkEnd w:id="0"/>
    </w:p>
    <w:p w14:paraId="31FAD86F" w14:textId="77777777" w:rsidR="00356298" w:rsidRPr="00B66156" w:rsidRDefault="00356298" w:rsidP="00B66156">
      <w:pPr>
        <w:spacing w:line="360" w:lineRule="auto"/>
        <w:jc w:val="center"/>
        <w:rPr>
          <w:rFonts w:ascii="Arial" w:hAnsi="Arial" w:cs="Arial"/>
          <w:b/>
          <w:sz w:val="24"/>
          <w:szCs w:val="24"/>
        </w:rPr>
      </w:pPr>
      <w:r w:rsidRPr="00B66156">
        <w:rPr>
          <w:rFonts w:ascii="Arial" w:hAnsi="Arial" w:cs="Arial"/>
          <w:b/>
          <w:sz w:val="24"/>
          <w:szCs w:val="24"/>
        </w:rPr>
        <w:t>MA Professional Practice</w:t>
      </w:r>
    </w:p>
    <w:p w14:paraId="7F4DDEBB" w14:textId="77777777" w:rsidR="00356298" w:rsidRPr="00B66156" w:rsidRDefault="00356298" w:rsidP="00B66156">
      <w:pPr>
        <w:spacing w:line="360" w:lineRule="auto"/>
        <w:jc w:val="center"/>
        <w:rPr>
          <w:rFonts w:ascii="Arial" w:hAnsi="Arial" w:cs="Arial"/>
          <w:b/>
          <w:sz w:val="24"/>
          <w:szCs w:val="24"/>
        </w:rPr>
      </w:pPr>
      <w:r w:rsidRPr="00B66156">
        <w:rPr>
          <w:rFonts w:ascii="Arial" w:hAnsi="Arial" w:cs="Arial"/>
          <w:b/>
          <w:sz w:val="24"/>
          <w:szCs w:val="24"/>
        </w:rPr>
        <w:t>Voice Pedagogy</w:t>
      </w:r>
    </w:p>
    <w:p w14:paraId="6966A5EA" w14:textId="77777777" w:rsidR="00356298" w:rsidRPr="00B66156" w:rsidRDefault="00356298" w:rsidP="00B66156">
      <w:pPr>
        <w:spacing w:line="360" w:lineRule="auto"/>
        <w:jc w:val="center"/>
        <w:rPr>
          <w:rFonts w:ascii="Arial" w:hAnsi="Arial" w:cs="Arial"/>
          <w:b/>
          <w:sz w:val="24"/>
          <w:szCs w:val="24"/>
        </w:rPr>
      </w:pPr>
    </w:p>
    <w:p w14:paraId="21F7F71F" w14:textId="77777777" w:rsidR="00356298" w:rsidRPr="00B66156" w:rsidRDefault="00356298" w:rsidP="00B66156">
      <w:pPr>
        <w:spacing w:line="360" w:lineRule="auto"/>
        <w:jc w:val="center"/>
        <w:rPr>
          <w:rFonts w:ascii="Arial" w:hAnsi="Arial" w:cs="Arial"/>
          <w:b/>
          <w:sz w:val="24"/>
          <w:szCs w:val="24"/>
        </w:rPr>
      </w:pPr>
    </w:p>
    <w:p w14:paraId="40D0366E" w14:textId="77777777" w:rsidR="00356298" w:rsidRPr="00B66156" w:rsidRDefault="00356298" w:rsidP="00B66156">
      <w:pPr>
        <w:spacing w:line="360" w:lineRule="auto"/>
        <w:jc w:val="center"/>
        <w:rPr>
          <w:rFonts w:ascii="Arial" w:hAnsi="Arial" w:cs="Arial"/>
          <w:b/>
          <w:sz w:val="24"/>
          <w:szCs w:val="24"/>
        </w:rPr>
      </w:pPr>
    </w:p>
    <w:p w14:paraId="0EC4EF75" w14:textId="77777777" w:rsidR="00356298" w:rsidRPr="00B66156" w:rsidRDefault="00356298" w:rsidP="00B66156">
      <w:pPr>
        <w:spacing w:line="360" w:lineRule="auto"/>
        <w:jc w:val="center"/>
        <w:rPr>
          <w:rFonts w:ascii="Arial" w:hAnsi="Arial" w:cs="Arial"/>
          <w:b/>
          <w:sz w:val="24"/>
          <w:szCs w:val="24"/>
        </w:rPr>
      </w:pPr>
    </w:p>
    <w:p w14:paraId="342318A5" w14:textId="77777777" w:rsidR="00356298" w:rsidRPr="00B66156" w:rsidRDefault="00356298" w:rsidP="00B66156">
      <w:pPr>
        <w:spacing w:line="360" w:lineRule="auto"/>
        <w:jc w:val="center"/>
        <w:rPr>
          <w:rFonts w:ascii="Arial" w:hAnsi="Arial" w:cs="Arial"/>
          <w:b/>
          <w:sz w:val="24"/>
          <w:szCs w:val="24"/>
        </w:rPr>
      </w:pPr>
    </w:p>
    <w:p w14:paraId="4175542C" w14:textId="77777777" w:rsidR="00356298" w:rsidRPr="00B66156" w:rsidRDefault="00356298" w:rsidP="00B66156">
      <w:pPr>
        <w:spacing w:line="360" w:lineRule="auto"/>
        <w:jc w:val="center"/>
        <w:rPr>
          <w:rFonts w:ascii="Arial" w:hAnsi="Arial" w:cs="Arial"/>
          <w:b/>
          <w:sz w:val="24"/>
          <w:szCs w:val="24"/>
        </w:rPr>
      </w:pPr>
      <w:r w:rsidRPr="00B66156">
        <w:rPr>
          <w:rFonts w:ascii="Arial" w:hAnsi="Arial" w:cs="Arial"/>
          <w:b/>
          <w:sz w:val="24"/>
          <w:szCs w:val="24"/>
        </w:rPr>
        <w:t>Module code: BMPF7013</w:t>
      </w:r>
    </w:p>
    <w:p w14:paraId="4D2AFAD8" w14:textId="77777777" w:rsidR="00356298" w:rsidRPr="00B66156" w:rsidRDefault="00356298" w:rsidP="00B66156">
      <w:pPr>
        <w:spacing w:line="360" w:lineRule="auto"/>
        <w:rPr>
          <w:rFonts w:ascii="Arial" w:hAnsi="Arial" w:cs="Arial"/>
          <w:sz w:val="24"/>
          <w:szCs w:val="24"/>
        </w:rPr>
      </w:pPr>
    </w:p>
    <w:p w14:paraId="04E608AA" w14:textId="77777777" w:rsidR="00356298" w:rsidRPr="00B66156" w:rsidRDefault="00356298" w:rsidP="00B66156">
      <w:pPr>
        <w:spacing w:line="360" w:lineRule="auto"/>
        <w:jc w:val="center"/>
        <w:rPr>
          <w:rFonts w:ascii="Arial" w:hAnsi="Arial" w:cs="Arial"/>
          <w:b/>
          <w:sz w:val="24"/>
          <w:szCs w:val="24"/>
        </w:rPr>
      </w:pPr>
      <w:r w:rsidRPr="00B66156">
        <w:rPr>
          <w:rFonts w:ascii="Arial" w:hAnsi="Arial" w:cs="Arial"/>
          <w:b/>
          <w:bCs/>
          <w:sz w:val="24"/>
          <w:szCs w:val="24"/>
        </w:rPr>
        <w:t xml:space="preserve">Module title: </w:t>
      </w:r>
      <w:r w:rsidRPr="00B66156">
        <w:rPr>
          <w:rFonts w:ascii="Arial" w:hAnsi="Arial" w:cs="Arial"/>
          <w:b/>
          <w:sz w:val="24"/>
          <w:szCs w:val="24"/>
        </w:rPr>
        <w:t>Independent Study</w:t>
      </w:r>
    </w:p>
    <w:p w14:paraId="45F2DE4E" w14:textId="77777777" w:rsidR="00356298" w:rsidRPr="00B66156" w:rsidRDefault="00356298" w:rsidP="00B66156">
      <w:pPr>
        <w:spacing w:line="360" w:lineRule="auto"/>
        <w:jc w:val="center"/>
        <w:rPr>
          <w:rFonts w:ascii="Arial" w:hAnsi="Arial" w:cs="Arial"/>
          <w:b/>
          <w:sz w:val="24"/>
          <w:szCs w:val="24"/>
        </w:rPr>
      </w:pPr>
    </w:p>
    <w:p w14:paraId="114742AF" w14:textId="77777777" w:rsidR="00356298" w:rsidRPr="00B66156" w:rsidRDefault="00356298" w:rsidP="00B66156">
      <w:pPr>
        <w:spacing w:line="360" w:lineRule="auto"/>
        <w:jc w:val="center"/>
        <w:rPr>
          <w:rFonts w:ascii="Arial" w:hAnsi="Arial" w:cs="Arial"/>
          <w:b/>
          <w:sz w:val="24"/>
          <w:szCs w:val="24"/>
        </w:rPr>
      </w:pPr>
    </w:p>
    <w:p w14:paraId="75D60013" w14:textId="77777777" w:rsidR="00356298" w:rsidRPr="00B66156" w:rsidRDefault="00356298" w:rsidP="00B66156">
      <w:pPr>
        <w:spacing w:line="360" w:lineRule="auto"/>
        <w:jc w:val="center"/>
        <w:rPr>
          <w:rFonts w:ascii="Arial" w:hAnsi="Arial" w:cs="Arial"/>
          <w:b/>
          <w:sz w:val="24"/>
          <w:szCs w:val="24"/>
        </w:rPr>
      </w:pPr>
    </w:p>
    <w:p w14:paraId="2DCDC433" w14:textId="77777777" w:rsidR="00356298" w:rsidRPr="00B66156" w:rsidRDefault="00356298" w:rsidP="00B66156">
      <w:pPr>
        <w:spacing w:line="360" w:lineRule="auto"/>
        <w:jc w:val="center"/>
        <w:rPr>
          <w:rFonts w:ascii="Arial" w:hAnsi="Arial" w:cs="Arial"/>
          <w:b/>
          <w:sz w:val="24"/>
          <w:szCs w:val="24"/>
        </w:rPr>
      </w:pPr>
    </w:p>
    <w:p w14:paraId="49ECB690" w14:textId="77777777" w:rsidR="00356298" w:rsidRPr="00B66156" w:rsidRDefault="00356298" w:rsidP="00B66156">
      <w:pPr>
        <w:spacing w:line="360" w:lineRule="auto"/>
        <w:jc w:val="center"/>
        <w:rPr>
          <w:rFonts w:ascii="Arial" w:hAnsi="Arial" w:cs="Arial"/>
          <w:b/>
          <w:sz w:val="24"/>
          <w:szCs w:val="24"/>
        </w:rPr>
      </w:pPr>
      <w:r w:rsidRPr="00B66156">
        <w:rPr>
          <w:rFonts w:ascii="Arial" w:hAnsi="Arial" w:cs="Arial"/>
          <w:b/>
          <w:sz w:val="24"/>
          <w:szCs w:val="24"/>
        </w:rPr>
        <w:t>Student: Jon Morris</w:t>
      </w:r>
    </w:p>
    <w:p w14:paraId="19248A95" w14:textId="77777777" w:rsidR="00356298" w:rsidRPr="00B66156" w:rsidRDefault="00356298" w:rsidP="00B66156">
      <w:pPr>
        <w:spacing w:line="360" w:lineRule="auto"/>
        <w:jc w:val="center"/>
        <w:rPr>
          <w:rFonts w:ascii="Arial" w:hAnsi="Arial" w:cs="Arial"/>
          <w:b/>
          <w:sz w:val="24"/>
          <w:szCs w:val="24"/>
        </w:rPr>
      </w:pPr>
      <w:r w:rsidRPr="00B66156">
        <w:rPr>
          <w:rFonts w:ascii="Arial" w:hAnsi="Arial" w:cs="Arial"/>
          <w:b/>
          <w:sz w:val="24"/>
          <w:szCs w:val="24"/>
        </w:rPr>
        <w:t>Student number: 2016633</w:t>
      </w:r>
    </w:p>
    <w:p w14:paraId="29E5288F" w14:textId="77777777" w:rsidR="00356298" w:rsidRPr="00B66156" w:rsidRDefault="00356298" w:rsidP="00B66156">
      <w:pPr>
        <w:spacing w:line="360" w:lineRule="auto"/>
        <w:jc w:val="center"/>
        <w:rPr>
          <w:rFonts w:ascii="Arial" w:hAnsi="Arial" w:cs="Arial"/>
          <w:b/>
          <w:sz w:val="24"/>
          <w:szCs w:val="24"/>
        </w:rPr>
      </w:pPr>
    </w:p>
    <w:p w14:paraId="5751B2CA" w14:textId="77777777" w:rsidR="00356298" w:rsidRPr="00B66156" w:rsidRDefault="00356298" w:rsidP="00B66156">
      <w:pPr>
        <w:spacing w:line="360" w:lineRule="auto"/>
        <w:jc w:val="center"/>
        <w:rPr>
          <w:rFonts w:ascii="Arial" w:hAnsi="Arial" w:cs="Arial"/>
          <w:b/>
          <w:sz w:val="24"/>
          <w:szCs w:val="24"/>
        </w:rPr>
        <w:sectPr w:rsidR="00356298" w:rsidRPr="00B66156" w:rsidSect="00053074">
          <w:headerReference w:type="default" r:id="rId8"/>
          <w:footerReference w:type="default" r:id="rId9"/>
          <w:pgSz w:w="11906" w:h="16838"/>
          <w:pgMar w:top="1440" w:right="1440" w:bottom="1440" w:left="1440" w:header="708" w:footer="708" w:gutter="0"/>
          <w:cols w:space="708"/>
          <w:docGrid w:linePitch="360"/>
        </w:sectPr>
      </w:pPr>
      <w:r w:rsidRPr="00B66156">
        <w:rPr>
          <w:rFonts w:ascii="Arial" w:hAnsi="Arial" w:cs="Arial"/>
          <w:b/>
          <w:sz w:val="24"/>
          <w:szCs w:val="24"/>
        </w:rPr>
        <w:t>MA Individual study plan (Cohort F/ G)</w:t>
      </w:r>
    </w:p>
    <w:p w14:paraId="64E220F4" w14:textId="77777777" w:rsidR="007E3B8B" w:rsidRPr="00B66156" w:rsidRDefault="007E3B8B" w:rsidP="007E3B8B">
      <w:pPr>
        <w:spacing w:line="360" w:lineRule="auto"/>
        <w:jc w:val="center"/>
        <w:rPr>
          <w:rFonts w:ascii="Arial" w:hAnsi="Arial" w:cs="Arial"/>
          <w:b/>
          <w:sz w:val="24"/>
          <w:szCs w:val="24"/>
        </w:rPr>
      </w:pPr>
      <w:r w:rsidRPr="00B66156">
        <w:rPr>
          <w:rFonts w:ascii="Arial" w:hAnsi="Arial" w:cs="Arial"/>
          <w:b/>
          <w:sz w:val="24"/>
          <w:szCs w:val="24"/>
        </w:rPr>
        <w:lastRenderedPageBreak/>
        <w:t>Assignment 1: Portfolio</w:t>
      </w:r>
    </w:p>
    <w:p w14:paraId="7444DC1A" w14:textId="3A49E33D" w:rsidR="00356298" w:rsidRPr="00797004" w:rsidRDefault="00356298" w:rsidP="00B66156">
      <w:pPr>
        <w:spacing w:line="360" w:lineRule="auto"/>
        <w:jc w:val="both"/>
        <w:rPr>
          <w:rFonts w:ascii="Arial" w:hAnsi="Arial" w:cs="Arial"/>
          <w:b/>
          <w:bCs/>
          <w:sz w:val="24"/>
          <w:szCs w:val="24"/>
        </w:rPr>
      </w:pPr>
      <w:r w:rsidRPr="00797004">
        <w:rPr>
          <w:rFonts w:ascii="Arial" w:hAnsi="Arial" w:cs="Arial"/>
          <w:b/>
          <w:bCs/>
          <w:sz w:val="24"/>
          <w:szCs w:val="24"/>
        </w:rPr>
        <w:t>Research question:</w:t>
      </w:r>
    </w:p>
    <w:p w14:paraId="10BCC0CB" w14:textId="77777777" w:rsidR="00356298" w:rsidRPr="00797004" w:rsidRDefault="00356298" w:rsidP="00B66156">
      <w:pPr>
        <w:spacing w:line="360" w:lineRule="auto"/>
        <w:jc w:val="both"/>
        <w:rPr>
          <w:rFonts w:ascii="Arial" w:hAnsi="Arial" w:cs="Arial"/>
          <w:sz w:val="24"/>
          <w:szCs w:val="24"/>
        </w:rPr>
      </w:pPr>
      <w:r w:rsidRPr="00797004">
        <w:rPr>
          <w:rFonts w:ascii="Arial" w:hAnsi="Arial" w:cs="Arial"/>
          <w:sz w:val="24"/>
          <w:szCs w:val="24"/>
        </w:rPr>
        <w:t>How can teaching strategies facilitate the positive development of a student's sense of self-efficacy in singing lessons?</w:t>
      </w:r>
    </w:p>
    <w:p w14:paraId="343CDC3A" w14:textId="77777777" w:rsidR="00356298" w:rsidRPr="00797004" w:rsidRDefault="00356298" w:rsidP="00B66156">
      <w:pPr>
        <w:spacing w:line="360" w:lineRule="auto"/>
        <w:jc w:val="both"/>
        <w:rPr>
          <w:rFonts w:ascii="Arial" w:hAnsi="Arial" w:cs="Arial"/>
          <w:b/>
          <w:bCs/>
          <w:sz w:val="24"/>
          <w:szCs w:val="24"/>
        </w:rPr>
      </w:pPr>
      <w:r w:rsidRPr="00797004">
        <w:rPr>
          <w:rFonts w:ascii="Arial" w:hAnsi="Arial" w:cs="Arial"/>
          <w:b/>
          <w:bCs/>
          <w:sz w:val="24"/>
          <w:szCs w:val="24"/>
        </w:rPr>
        <w:t>Rationale:</w:t>
      </w:r>
    </w:p>
    <w:p w14:paraId="37F35A01" w14:textId="6851102F" w:rsidR="00356298" w:rsidRPr="00797004" w:rsidRDefault="00356298" w:rsidP="00372408">
      <w:pPr>
        <w:spacing w:line="360" w:lineRule="auto"/>
        <w:jc w:val="both"/>
        <w:rPr>
          <w:rFonts w:ascii="Arial" w:hAnsi="Arial" w:cs="Arial"/>
          <w:sz w:val="24"/>
          <w:szCs w:val="24"/>
        </w:rPr>
      </w:pPr>
      <w:r w:rsidRPr="00797004">
        <w:rPr>
          <w:rFonts w:ascii="Arial" w:hAnsi="Arial" w:cs="Arial"/>
          <w:sz w:val="24"/>
          <w:szCs w:val="24"/>
        </w:rPr>
        <w:t xml:space="preserve">The rationale for this study is to develop broader teaching skills which could be applied to </w:t>
      </w:r>
      <w:r w:rsidR="000011D4">
        <w:rPr>
          <w:rFonts w:ascii="Arial" w:hAnsi="Arial" w:cs="Arial"/>
          <w:sz w:val="24"/>
          <w:szCs w:val="24"/>
        </w:rPr>
        <w:t xml:space="preserve">learners of </w:t>
      </w:r>
      <w:r w:rsidRPr="00797004">
        <w:rPr>
          <w:rFonts w:ascii="Arial" w:hAnsi="Arial" w:cs="Arial"/>
          <w:sz w:val="24"/>
          <w:szCs w:val="24"/>
        </w:rPr>
        <w:t xml:space="preserve">any age in my teaching practice. I </w:t>
      </w:r>
      <w:r w:rsidR="005D4A39">
        <w:rPr>
          <w:rFonts w:ascii="Arial" w:hAnsi="Arial" w:cs="Arial"/>
          <w:sz w:val="24"/>
          <w:szCs w:val="24"/>
        </w:rPr>
        <w:t>constantly</w:t>
      </w:r>
      <w:r w:rsidRPr="00797004">
        <w:rPr>
          <w:rFonts w:ascii="Arial" w:hAnsi="Arial" w:cs="Arial"/>
          <w:sz w:val="24"/>
          <w:szCs w:val="24"/>
        </w:rPr>
        <w:t xml:space="preserve"> strive for effective and efficient teaching and learning practices</w:t>
      </w:r>
      <w:r w:rsidR="005B1125">
        <w:rPr>
          <w:rFonts w:ascii="Arial" w:hAnsi="Arial" w:cs="Arial"/>
          <w:sz w:val="24"/>
          <w:szCs w:val="24"/>
        </w:rPr>
        <w:t>;</w:t>
      </w:r>
      <w:r w:rsidRPr="00797004">
        <w:rPr>
          <w:rFonts w:ascii="Arial" w:hAnsi="Arial" w:cs="Arial"/>
          <w:sz w:val="24"/>
          <w:szCs w:val="24"/>
        </w:rPr>
        <w:t xml:space="preserve"> this approach always returns my focus to the student in front of me. It </w:t>
      </w:r>
      <w:r w:rsidR="00F840AC">
        <w:rPr>
          <w:rFonts w:ascii="Arial" w:hAnsi="Arial" w:cs="Arial"/>
          <w:sz w:val="24"/>
          <w:szCs w:val="24"/>
        </w:rPr>
        <w:t>is</w:t>
      </w:r>
      <w:r w:rsidRPr="00797004">
        <w:rPr>
          <w:rFonts w:ascii="Arial" w:hAnsi="Arial" w:cs="Arial"/>
          <w:sz w:val="24"/>
          <w:szCs w:val="24"/>
        </w:rPr>
        <w:t xml:space="preserve"> vital that I understand their perspective so I can form a direction and way of learning which will best help them. Understanding cognitive processes in learners has been highlighted as important in singing lessons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{"citationItems":[{"id":"ITEM-1","itemData":{"ISBN":"9781458443182","abstract":"Bookshelf - book reviews, including that of Spivey, Norman, and Mary Saunders Barton. Cross-Training in the Voice Studio: A Balancing Act.","author":[{"dropping-particle":"","family":"Greschner","given":"Debra","non-dropping-particle":"","parse-names":false,"suffix":""}],"container-title":"Journal of Singing","id":"ITEM-1","issue":"4","issued":{"date-parts":[["2019"]]},"page":"503-506","title":"Review: Helding, Lynn. The Musician’s Mind: Teaching, Learning, and Performance in the Age of Brain Science.","type":"article-journal","volume":"75"},"uris":["http://www.mendeley.com/documents/?uuid=9882a8e0-8782-425d-9612-24816eed74f6"]}],"mendeley":{"formattedCitation":"(Greschner, 2019)","plainTextFormattedCitation":"(Greschner, 2019)","previouslyFormattedCitation":"(Greschner, 2019)"},"properties":{"noteIndex":0},"schema":"https://github.com/citation-style-language/schema/raw/master/csl-citation.json"}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(Greschner, 2019)</w:t>
      </w:r>
      <w:r w:rsidRPr="00797004">
        <w:rPr>
          <w:rFonts w:ascii="Arial" w:hAnsi="Arial" w:cs="Arial"/>
          <w:sz w:val="24"/>
          <w:szCs w:val="24"/>
        </w:rPr>
        <w:fldChar w:fldCharType="end"/>
      </w:r>
      <w:r w:rsidRPr="00797004">
        <w:rPr>
          <w:rFonts w:ascii="Arial" w:hAnsi="Arial" w:cs="Arial"/>
          <w:sz w:val="24"/>
          <w:szCs w:val="24"/>
        </w:rPr>
        <w:t xml:space="preserve">. Teaching strategies around feedback have been shown as vital in motor learning skills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{"citationItems":[{"id":"ITEM-1","itemData":{"ISBN":"10867732","PMID":"85987196","abstract":"The article focuses on the use of feedback and biofeedback in voice studio learning. It states that feedback is only helpful when necessary, with less frequent feedback being more effective. It comments that voice instructors should avoid overloading students with unnecessary information and to wait a few seconds before providing feedback so students can develop the ability to critically evaluate their performances. It talks about differences in prescriptive and descriptive feedback, along with disadvantages of each. It recommends keeping biofeedback in perspective and suggests while it can be beneficial, its use should receive the same consideration as other types of feedback.","author":[{"dropping-particle":"","family":"Maxfield","given":"Lynn","non-dropping-particle":"","parse-names":false,"suffix":""}],"container-title":"Journal of Singing","id":"ITEM-1","issue":"4","issued":{"date-parts":[["2013"]]},"page":"471-478","title":"Improve Your Students' Learning by Improving Your Feedback","type":"article-journal","volume":"69"},"uris":["http://www.mendeley.com/documents/?uuid=666bc0d7-3b6f-4772-b00d-e201036e218f"]},{"id":"ITEM-2","itemData":{"ISBN":"9781124743073","abstract":"Over the past several decades, cognitive and behavioral scientists have been researching the most effective practices for training muscles to produce specific movements consistently and accurately. That research has led to relatively wide acceptance of several best practices for the training of motor skills. One such practice is the reduction in the frequency with which augmented (external) feedback is provided by the instructor/trainer during skill-acquisition. This theory of low-frequency feedback has been examined by research in a wide variety of fields ranging from exercise and sport to voice therapy and rehabilitation. Prior to the study reported here, however, this theory had not been applied to the acquisition of vocal skills associated with classical singing techniques. The current research consisted of an alternating treatment single-subject study, which was conducted on a college campus over the course of a 15-week semester. 8 college voice students (3 male and 5 female) ranging in age from 18 to 25 participated in voice lessons provided by the researcher and aimed at improving the overall quality of the voices of the participants. Over the course of the15 weeks, the instructor alternated between providing a high-frequency feedback (HFF) instruction condition and a low-frequency feedback (LFF) instruction condition. At the beginning of each session, a vocal sample was recorded to test the retention of the skills trained in the previous lesson. Those recordings were evaluated by a panel of five college voice instructors who provided a numerical score (out of a possible 100 pts.) for each sample on the basis of tone quality, breath management, and intonation. The results of this study indicated that three of the eight subjects retained more vocal skill ability during the LFF phases of the study, while the remaining five subjects retained less vocal skill ability during the LFF phases of the study. It was also seen that the three subjects who responded favorably to the LFF instruction condition were also those whose scores were higher throughout the duration of the study. These findings would appear to indicate that an LFF instruction condition may be more beneficial to more experienced or more skilled singers, while an HFF instruction condition may be more beneficial to more novice singers. In the final chapter of this report, several modifications to this study are suggested along with suggestions for future research regarding the application o…","author":[{"dropping-particle":"","family":"Maxfield","given":"Lynn Milo","non-dropping-particle":"","parse-names":false,"suffix":""}],"container-title":"ProQuest Dissertations and Theses","id":"ITEM-2","issued":{"date-parts":[["2011"]]},"page":"191","title":"Application of principles from motor-learning theory to the studio voice lesson: Effects of feedback frequency on retention of classical singing technique","type":"article-journal"},"uris":["http://www.mendeley.com/documents/?uuid=92fbf4bf-1473-452d-8fcc-3f4f51740743"]},{"id":"ITEM-3","itemData":{"DOI":"10.1080/02701367.1994.10607635","ISSN":"21683824","PMID":"7886280","abstract":"The guidance hypothesis (Schmidt, 1991) predicts that the guiding properties of augmented feedback are beneficial for motor learning when used to reduce error, but detrimental when relied upon. Therefore, a heavily guiding form offeedback might be detrimental for learning. In addition, the guidance hypothesis predicts that practice with a high relative frequency of augmented feedback would be detrimental for learning. An experiment is described that crossed two forms offeedback with two levels of relative frequency. Subjects practiced movements to a target with either physical guidance or knowledge of results, and with either a high or faded relative frequency. The high frequency physical guidance condition resulted in the poorest retention, and both high frequency feedback conditions resulted in the least accuracy in transfer. These results provide support for the guidance hypothesis and suggest consideration of the combined effects on learning of the type and relative frequency of augmented feedback and acquisition-test conditions. © 1994 Taylor &amp; Francis Group, LLC.","author":[{"dropping-particle":"","family":"Winstein","given":"Carolee J.","non-dropping-particle":"","parse-names":false,"suffix":""},{"dropping-particle":"","family":"Pohl","given":"Patricia S.","non-dropping-particle":"","parse-names":false,"suffix":""},{"dropping-particle":"","family":"Lewthwaite","given":"Rebecca","non-dropping-particle":"","parse-names":false,"suffix":""}],"container-title":"Research Quarterly for Exercise and Sport","id":"ITEM-3","issue":"4","issued":{"date-parts":[["1994"]]},"page":"316-323","title":"Effects of physical guidance and knowledge of results on motor learning: Support for the guidance hypothesis","type":"article-journal","volume":"65"},"uris":["http://www.mendeley.com/documents/?uuid=d2e39019-aaad-426c-9dfb-158d69ac3dee"]},{"id":"ITEM-4","itemData":{"DOI":"10.1037//0278-7393.16.4.677","ISSN":"0278-7393","author":[{"dropping-particle":"","family":"Winstein","given":"Carolee J.","non-dropping-particle":"","parse-names":false,"suffix":""},{"dropping-particle":"","family":"Schmidt","given":"Richard A.","non-dropping-particle":"","parse-names":false,"suffix":""}],"container-title":"Journal of Experimental Psychology: Learning, Memory, and Cognition","id":"ITEM-4","issue":"4","issued":{"date-parts":[["1990"]]},"page":"677-691","title":"Reduced frequency of knowledge of results enhances motor skill learning.","type":"article-journal","volume":"16"},"uris":["http://www.mendeley.com/documents/?uuid=d92d910f-c036-4fca-be2d-5ffd7eb64382"]}],"mendeley":{"formattedCitation":"(Winstein and Schmidt, 1990; Winstein, Pohl and Lewthwaite, 1994; Maxfield, 2011, 2013)","plainTextFormattedCitation":"(Winstein and Schmidt, 1990; Winstein, Pohl and Lewthwaite, 1994; Maxfield, 2011, 2013)","previouslyFormattedCitation":"(Winstein and Schmidt, 1990; Winstein, Pohl and Lewthwaite, 1994; Maxfield, 2011, 2013)"},"properties":{"noteIndex":0},"schema":"https://github.com/citation-style-language/schema/raw/master/csl-citation.json"}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(Winstein and Schmidt, 1990; Winstein, Pohl and Lewthwaite, 1994; Maxfield, 2011, 2013)</w:t>
      </w:r>
      <w:r w:rsidRPr="00797004">
        <w:rPr>
          <w:rFonts w:ascii="Arial" w:hAnsi="Arial" w:cs="Arial"/>
          <w:sz w:val="24"/>
          <w:szCs w:val="24"/>
        </w:rPr>
        <w:fldChar w:fldCharType="end"/>
      </w:r>
      <w:r w:rsidRPr="00797004">
        <w:rPr>
          <w:rFonts w:ascii="Arial" w:hAnsi="Arial" w:cs="Arial"/>
          <w:sz w:val="24"/>
          <w:szCs w:val="24"/>
        </w:rPr>
        <w:t>.</w:t>
      </w:r>
      <w:r w:rsidR="009D4A50">
        <w:rPr>
          <w:rFonts w:ascii="Arial" w:hAnsi="Arial" w:cs="Arial"/>
          <w:sz w:val="24"/>
          <w:szCs w:val="24"/>
        </w:rPr>
        <w:t xml:space="preserve"> </w:t>
      </w:r>
      <w:r w:rsidRPr="00797004">
        <w:rPr>
          <w:rFonts w:ascii="Arial" w:hAnsi="Arial" w:cs="Arial"/>
          <w:sz w:val="24"/>
          <w:szCs w:val="24"/>
        </w:rPr>
        <w:t xml:space="preserve">Sometimes I have had experiences of a new student recounting feelings of inadequacy surrounding their singing. Sadly, there have been times when some of these students disclose a memory of someone saying something which </w:t>
      </w:r>
      <w:r w:rsidR="004F560D">
        <w:rPr>
          <w:rFonts w:ascii="Arial" w:hAnsi="Arial" w:cs="Arial"/>
          <w:sz w:val="24"/>
          <w:szCs w:val="24"/>
        </w:rPr>
        <w:t>damaged</w:t>
      </w:r>
      <w:r w:rsidR="006652BF">
        <w:rPr>
          <w:rFonts w:ascii="Arial" w:hAnsi="Arial" w:cs="Arial"/>
          <w:sz w:val="24"/>
          <w:szCs w:val="24"/>
        </w:rPr>
        <w:t xml:space="preserve"> their confidence</w:t>
      </w:r>
      <w:r w:rsidR="004F560D">
        <w:rPr>
          <w:rFonts w:ascii="Arial" w:hAnsi="Arial" w:cs="Arial"/>
          <w:sz w:val="24"/>
          <w:szCs w:val="24"/>
        </w:rPr>
        <w:t xml:space="preserve"> in singing</w:t>
      </w:r>
      <w:r w:rsidRPr="00797004">
        <w:rPr>
          <w:rFonts w:ascii="Arial" w:hAnsi="Arial" w:cs="Arial"/>
          <w:sz w:val="24"/>
          <w:szCs w:val="24"/>
        </w:rPr>
        <w:t xml:space="preserve">. </w:t>
      </w:r>
      <w:r w:rsidR="004776F6">
        <w:rPr>
          <w:rFonts w:ascii="Arial" w:hAnsi="Arial" w:cs="Arial"/>
          <w:sz w:val="24"/>
          <w:szCs w:val="24"/>
        </w:rPr>
        <w:t>When a student recounts a story like this,</w:t>
      </w:r>
      <w:r w:rsidRPr="00797004">
        <w:rPr>
          <w:rFonts w:ascii="Arial" w:hAnsi="Arial" w:cs="Arial"/>
          <w:sz w:val="24"/>
          <w:szCs w:val="24"/>
        </w:rPr>
        <w:t xml:space="preserve"> I am aware of the courage it has taken </w:t>
      </w:r>
      <w:r w:rsidR="00014418">
        <w:rPr>
          <w:rFonts w:ascii="Arial" w:hAnsi="Arial" w:cs="Arial"/>
          <w:sz w:val="24"/>
          <w:szCs w:val="24"/>
        </w:rPr>
        <w:t xml:space="preserve">for </w:t>
      </w:r>
      <w:r w:rsidRPr="00797004">
        <w:rPr>
          <w:rFonts w:ascii="Arial" w:hAnsi="Arial" w:cs="Arial"/>
          <w:sz w:val="24"/>
          <w:szCs w:val="24"/>
        </w:rPr>
        <w:t>the</w:t>
      </w:r>
      <w:r w:rsidR="00014418">
        <w:rPr>
          <w:rFonts w:ascii="Arial" w:hAnsi="Arial" w:cs="Arial"/>
          <w:sz w:val="24"/>
          <w:szCs w:val="24"/>
        </w:rPr>
        <w:t xml:space="preserve">m to </w:t>
      </w:r>
      <w:r w:rsidR="007E18C8">
        <w:rPr>
          <w:rFonts w:ascii="Arial" w:hAnsi="Arial" w:cs="Arial"/>
          <w:sz w:val="24"/>
          <w:szCs w:val="24"/>
        </w:rPr>
        <w:t>discuss</w:t>
      </w:r>
      <w:r w:rsidR="00867467">
        <w:rPr>
          <w:rFonts w:ascii="Arial" w:hAnsi="Arial" w:cs="Arial"/>
          <w:sz w:val="24"/>
          <w:szCs w:val="24"/>
        </w:rPr>
        <w:t xml:space="preserve"> it</w:t>
      </w:r>
      <w:r w:rsidRPr="00797004">
        <w:rPr>
          <w:rFonts w:ascii="Arial" w:hAnsi="Arial" w:cs="Arial"/>
          <w:sz w:val="24"/>
          <w:szCs w:val="24"/>
        </w:rPr>
        <w:t xml:space="preserve">. </w:t>
      </w:r>
      <w:r w:rsidR="00515164">
        <w:rPr>
          <w:rFonts w:ascii="Arial" w:hAnsi="Arial" w:cs="Arial"/>
          <w:sz w:val="24"/>
          <w:szCs w:val="24"/>
        </w:rPr>
        <w:t>Sometimes</w:t>
      </w:r>
      <w:r w:rsidRPr="00797004">
        <w:rPr>
          <w:rFonts w:ascii="Arial" w:hAnsi="Arial" w:cs="Arial"/>
          <w:sz w:val="24"/>
          <w:szCs w:val="24"/>
        </w:rPr>
        <w:t xml:space="preserve"> a student says they feel unable to do something which I may have heard evidence that they can</w:t>
      </w:r>
      <w:r w:rsidR="00346B2F">
        <w:rPr>
          <w:rFonts w:ascii="Arial" w:hAnsi="Arial" w:cs="Arial"/>
          <w:sz w:val="24"/>
          <w:szCs w:val="24"/>
        </w:rPr>
        <w:t xml:space="preserve"> or might be able to develop</w:t>
      </w:r>
      <w:r w:rsidR="00FF45C8">
        <w:rPr>
          <w:rFonts w:ascii="Arial" w:hAnsi="Arial" w:cs="Arial"/>
          <w:sz w:val="24"/>
          <w:szCs w:val="24"/>
        </w:rPr>
        <w:t xml:space="preserve"> the skill</w:t>
      </w:r>
      <w:r w:rsidRPr="00797004">
        <w:rPr>
          <w:rFonts w:ascii="Arial" w:hAnsi="Arial" w:cs="Arial"/>
          <w:sz w:val="24"/>
          <w:szCs w:val="24"/>
        </w:rPr>
        <w:t xml:space="preserve">. In these situations, </w:t>
      </w:r>
      <w:r w:rsidR="00FF45C8">
        <w:rPr>
          <w:rFonts w:ascii="Arial" w:hAnsi="Arial" w:cs="Arial"/>
          <w:sz w:val="24"/>
          <w:szCs w:val="24"/>
        </w:rPr>
        <w:t>there</w:t>
      </w:r>
      <w:r w:rsidRPr="00797004">
        <w:rPr>
          <w:rFonts w:ascii="Arial" w:hAnsi="Arial" w:cs="Arial"/>
          <w:sz w:val="24"/>
          <w:szCs w:val="24"/>
        </w:rPr>
        <w:t xml:space="preserve"> seem</w:t>
      </w:r>
      <w:r w:rsidR="00FF45C8">
        <w:rPr>
          <w:rFonts w:ascii="Arial" w:hAnsi="Arial" w:cs="Arial"/>
          <w:sz w:val="24"/>
          <w:szCs w:val="24"/>
        </w:rPr>
        <w:t>s</w:t>
      </w:r>
      <w:r w:rsidRPr="00797004">
        <w:rPr>
          <w:rFonts w:ascii="Arial" w:hAnsi="Arial" w:cs="Arial"/>
          <w:sz w:val="24"/>
          <w:szCs w:val="24"/>
        </w:rPr>
        <w:t xml:space="preserve"> to be </w:t>
      </w:r>
      <w:r w:rsidR="009201E9">
        <w:rPr>
          <w:rFonts w:ascii="Arial" w:hAnsi="Arial" w:cs="Arial"/>
          <w:sz w:val="24"/>
          <w:szCs w:val="24"/>
        </w:rPr>
        <w:t xml:space="preserve">a </w:t>
      </w:r>
      <w:r w:rsidRPr="00797004">
        <w:rPr>
          <w:rFonts w:ascii="Arial" w:hAnsi="Arial" w:cs="Arial"/>
          <w:sz w:val="24"/>
          <w:szCs w:val="24"/>
        </w:rPr>
        <w:t xml:space="preserve">mental barrier stopping </w:t>
      </w:r>
      <w:r w:rsidR="009201E9">
        <w:rPr>
          <w:rFonts w:ascii="Arial" w:hAnsi="Arial" w:cs="Arial"/>
          <w:sz w:val="24"/>
          <w:szCs w:val="24"/>
        </w:rPr>
        <w:t>the</w:t>
      </w:r>
      <w:r w:rsidRPr="00797004">
        <w:rPr>
          <w:rFonts w:ascii="Arial" w:hAnsi="Arial" w:cs="Arial"/>
          <w:sz w:val="24"/>
          <w:szCs w:val="24"/>
        </w:rPr>
        <w:t xml:space="preserve"> singer from attempting something which</w:t>
      </w:r>
      <w:r w:rsidR="009201E9">
        <w:rPr>
          <w:rFonts w:ascii="Arial" w:hAnsi="Arial" w:cs="Arial"/>
          <w:sz w:val="24"/>
          <w:szCs w:val="24"/>
        </w:rPr>
        <w:t>,</w:t>
      </w:r>
      <w:r w:rsidRPr="00797004">
        <w:rPr>
          <w:rFonts w:ascii="Arial" w:hAnsi="Arial" w:cs="Arial"/>
          <w:sz w:val="24"/>
          <w:szCs w:val="24"/>
        </w:rPr>
        <w:t xml:space="preserve"> with practice</w:t>
      </w:r>
      <w:r w:rsidR="009201E9">
        <w:rPr>
          <w:rFonts w:ascii="Arial" w:hAnsi="Arial" w:cs="Arial"/>
          <w:sz w:val="24"/>
          <w:szCs w:val="24"/>
        </w:rPr>
        <w:t>,</w:t>
      </w:r>
      <w:r w:rsidRPr="00797004">
        <w:rPr>
          <w:rFonts w:ascii="Arial" w:hAnsi="Arial" w:cs="Arial"/>
          <w:sz w:val="24"/>
          <w:szCs w:val="24"/>
        </w:rPr>
        <w:t xml:space="preserve"> could build their confidence in singing. I am left wondering ‘How can I help this student enjoy th</w:t>
      </w:r>
      <w:r w:rsidR="007070D3">
        <w:rPr>
          <w:rFonts w:ascii="Arial" w:hAnsi="Arial" w:cs="Arial"/>
          <w:sz w:val="24"/>
          <w:szCs w:val="24"/>
        </w:rPr>
        <w:t>eir</w:t>
      </w:r>
      <w:r w:rsidRPr="00797004">
        <w:rPr>
          <w:rFonts w:ascii="Arial" w:hAnsi="Arial" w:cs="Arial"/>
          <w:sz w:val="24"/>
          <w:szCs w:val="24"/>
        </w:rPr>
        <w:t xml:space="preserve"> lesson?’ or ‘What is the best way I can help?’.</w:t>
      </w:r>
    </w:p>
    <w:p w14:paraId="0DD0979B" w14:textId="77777777" w:rsidR="00356298" w:rsidRPr="00797004" w:rsidRDefault="00356298" w:rsidP="005979D1">
      <w:pPr>
        <w:spacing w:line="360" w:lineRule="auto"/>
        <w:jc w:val="both"/>
        <w:rPr>
          <w:rFonts w:ascii="Arial" w:hAnsi="Arial" w:cs="Arial"/>
          <w:b/>
          <w:bCs/>
          <w:sz w:val="24"/>
          <w:szCs w:val="24"/>
        </w:rPr>
      </w:pPr>
      <w:r w:rsidRPr="00797004">
        <w:rPr>
          <w:rFonts w:ascii="Arial" w:hAnsi="Arial" w:cs="Arial"/>
          <w:b/>
          <w:bCs/>
          <w:sz w:val="24"/>
          <w:szCs w:val="24"/>
        </w:rPr>
        <w:t>Defining the research area:</w:t>
      </w:r>
    </w:p>
    <w:p w14:paraId="1654D47A" w14:textId="6A1630AF" w:rsidR="00C52737" w:rsidRDefault="00356298" w:rsidP="005979D1">
      <w:pPr>
        <w:spacing w:line="360" w:lineRule="auto"/>
        <w:jc w:val="both"/>
        <w:rPr>
          <w:rFonts w:ascii="Arial" w:hAnsi="Arial" w:cs="Arial"/>
          <w:sz w:val="24"/>
          <w:szCs w:val="24"/>
        </w:rPr>
      </w:pPr>
      <w:r w:rsidRPr="00797004">
        <w:rPr>
          <w:rFonts w:ascii="Arial" w:hAnsi="Arial" w:cs="Arial"/>
          <w:sz w:val="24"/>
          <w:szCs w:val="24"/>
        </w:rPr>
        <w:t>An initial literature review was performed to define the area of research</w:t>
      </w:r>
      <w:r w:rsidR="00CA5232">
        <w:rPr>
          <w:rFonts w:ascii="Arial" w:hAnsi="Arial" w:cs="Arial"/>
          <w:sz w:val="24"/>
          <w:szCs w:val="24"/>
        </w:rPr>
        <w:t xml:space="preserve">. This uncovered </w:t>
      </w:r>
      <w:r w:rsidRPr="00797004">
        <w:rPr>
          <w:rFonts w:ascii="Arial" w:hAnsi="Arial" w:cs="Arial"/>
          <w:sz w:val="24"/>
          <w:szCs w:val="24"/>
        </w:rPr>
        <w:t xml:space="preserve">existing material </w:t>
      </w:r>
      <w:r w:rsidR="006829A6">
        <w:rPr>
          <w:rFonts w:ascii="Arial" w:hAnsi="Arial" w:cs="Arial"/>
          <w:sz w:val="24"/>
          <w:szCs w:val="24"/>
        </w:rPr>
        <w:t>relating to</w:t>
      </w:r>
      <w:r w:rsidR="00E47409">
        <w:rPr>
          <w:rFonts w:ascii="Arial" w:hAnsi="Arial" w:cs="Arial"/>
          <w:sz w:val="24"/>
          <w:szCs w:val="24"/>
        </w:rPr>
        <w:t xml:space="preserve"> areas such as: </w:t>
      </w:r>
      <w:r w:rsidRPr="00797004">
        <w:rPr>
          <w:rFonts w:ascii="Arial" w:hAnsi="Arial" w:cs="Arial"/>
          <w:sz w:val="24"/>
          <w:szCs w:val="24"/>
        </w:rPr>
        <w:t xml:space="preserve">effective coaching, goal setting, and forming an individual learning plan. This initial phase allowed the research problem to be refined to fit within the confines of the assignment and my teaching practice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{"citationItems":[{"id":"ITEM-1","itemData":{"author":[{"dropping-particle":"","family":"Walliman","given":"N","non-dropping-particle":"","parse-names":false,"suffix":""}],"id":"ITEM-1","issued":{"date-parts":[["2001"]]},"publisher":"SAGE Publications Ltd","publisher-place":"London","title":"Your Rersearch Project","type":"book"},"uris":["http://www.mendeley.com/documents/?uuid=020a350b-5fff-49ba-be66-90689c5d657b"]}],"mendeley":{"formattedCitation":"(Walliman, 2001)","plainTextFormattedCitation":"(Walliman, 2001)","previouslyFormattedCitation":"(Walliman, 2001)"},"properties":{"noteIndex":0},"schema":"https://github.com/citation-style-language/schema/raw/master/csl-citation.json"}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(Walliman, 2001)</w:t>
      </w:r>
      <w:r w:rsidRPr="00797004">
        <w:rPr>
          <w:rFonts w:ascii="Arial" w:hAnsi="Arial" w:cs="Arial"/>
          <w:sz w:val="24"/>
          <w:szCs w:val="24"/>
        </w:rPr>
        <w:fldChar w:fldCharType="end"/>
      </w:r>
      <w:r w:rsidRPr="00797004">
        <w:rPr>
          <w:rFonts w:ascii="Arial" w:hAnsi="Arial" w:cs="Arial"/>
          <w:sz w:val="24"/>
          <w:szCs w:val="24"/>
        </w:rPr>
        <w:t>. The interaction between student self-efficacy and teaching strategies was chosen</w:t>
      </w:r>
      <w:r w:rsidR="004C2799">
        <w:rPr>
          <w:rFonts w:ascii="Arial" w:hAnsi="Arial" w:cs="Arial"/>
          <w:sz w:val="24"/>
          <w:szCs w:val="24"/>
        </w:rPr>
        <w:t xml:space="preserve"> as the</w:t>
      </w:r>
      <w:r w:rsidRPr="00797004">
        <w:rPr>
          <w:rFonts w:ascii="Arial" w:hAnsi="Arial" w:cs="Arial"/>
          <w:sz w:val="24"/>
          <w:szCs w:val="24"/>
        </w:rPr>
        <w:t xml:space="preserve"> area of study.</w:t>
      </w:r>
      <w:r w:rsidR="00C52737">
        <w:rPr>
          <w:rFonts w:ascii="Arial" w:hAnsi="Arial" w:cs="Arial"/>
          <w:sz w:val="24"/>
          <w:szCs w:val="24"/>
        </w:rPr>
        <w:br w:type="page"/>
      </w:r>
    </w:p>
    <w:p w14:paraId="4F680484" w14:textId="77777777" w:rsidR="00356298" w:rsidRPr="00797004" w:rsidRDefault="00356298" w:rsidP="005979D1">
      <w:pPr>
        <w:spacing w:line="360" w:lineRule="auto"/>
        <w:jc w:val="both"/>
        <w:rPr>
          <w:rFonts w:ascii="Arial" w:hAnsi="Arial" w:cs="Arial"/>
          <w:b/>
          <w:bCs/>
          <w:sz w:val="24"/>
          <w:szCs w:val="24"/>
        </w:rPr>
      </w:pPr>
      <w:r w:rsidRPr="00797004">
        <w:rPr>
          <w:rFonts w:ascii="Arial" w:hAnsi="Arial" w:cs="Arial"/>
          <w:b/>
          <w:bCs/>
          <w:sz w:val="24"/>
          <w:szCs w:val="24"/>
        </w:rPr>
        <w:lastRenderedPageBreak/>
        <w:t>Definitions key to the research question:</w:t>
      </w:r>
    </w:p>
    <w:p w14:paraId="64821EA2" w14:textId="38DFB93A" w:rsidR="00356298" w:rsidRPr="00797004" w:rsidRDefault="00356298" w:rsidP="005979D1">
      <w:pPr>
        <w:spacing w:line="360" w:lineRule="auto"/>
        <w:jc w:val="both"/>
        <w:rPr>
          <w:rFonts w:ascii="Arial" w:hAnsi="Arial" w:cs="Arial"/>
          <w:sz w:val="24"/>
          <w:szCs w:val="24"/>
        </w:rPr>
      </w:pPr>
      <w:r w:rsidRPr="00797004">
        <w:rPr>
          <w:rFonts w:ascii="Arial" w:hAnsi="Arial" w:cs="Arial"/>
          <w:b/>
          <w:bCs/>
          <w:i/>
          <w:iCs/>
          <w:sz w:val="24"/>
          <w:szCs w:val="24"/>
        </w:rPr>
        <w:t>Self-efficacy</w:t>
      </w:r>
      <w:r w:rsidRPr="00797004">
        <w:rPr>
          <w:rFonts w:ascii="Arial" w:hAnsi="Arial" w:cs="Arial"/>
          <w:i/>
          <w:iCs/>
          <w:sz w:val="24"/>
          <w:szCs w:val="24"/>
        </w:rPr>
        <w:t xml:space="preserve"> </w:t>
      </w:r>
      <w:r w:rsidRPr="00797004">
        <w:rPr>
          <w:rFonts w:ascii="Arial" w:hAnsi="Arial" w:cs="Arial"/>
          <w:sz w:val="24"/>
          <w:szCs w:val="24"/>
        </w:rPr>
        <w:t xml:space="preserve">can be defined as a person’s perception and belief in their capability to execute a particular task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{"citationItems":[{"id":"ITEM-1","itemData":{"abstract":"Based on Bandura's theory that those who believe they can do what they set out to do are healthier, more efficient and more successful than those with low self-efficacy expectations. This theory has stimulated programs of research in education, clinicaland developmental psychology, medicine and related fields, athletics and business organization.","author":[{"dropping-particle":"","family":"Bandura","given":"Albert","non-dropping-particle":"","parse-names":false,"suffix":""}],"id":"ITEM-1","issued":{"date-parts":[["1997"]]},"publisher":"W.H.Freeman &amp; Co Ltd","publisher-place":"New York","title":"Self-efficacy : The Exercise of Control.","type":"book"},"uris":["http://www.mendeley.com/documents/?uuid=29014b0e-1932-4150-a247-953655b38468"]}],"mendeley":{"formattedCitation":"(Bandura, 1997)","plainTextFormattedCitation":"(Bandura, 1997)","previouslyFormattedCitation":"(Bandura, 1997)"},"properties":{"noteIndex":0},"schema":"https://github.com/citation-style-language/schema/raw/master/csl-citation.json"}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(Bandura, 1997)</w:t>
      </w:r>
      <w:r w:rsidRPr="00797004">
        <w:rPr>
          <w:rFonts w:ascii="Arial" w:hAnsi="Arial" w:cs="Arial"/>
          <w:sz w:val="24"/>
          <w:szCs w:val="24"/>
        </w:rPr>
        <w:fldChar w:fldCharType="end"/>
      </w:r>
      <w:r w:rsidRPr="00797004">
        <w:rPr>
          <w:rFonts w:ascii="Arial" w:hAnsi="Arial" w:cs="Arial"/>
          <w:sz w:val="24"/>
          <w:szCs w:val="24"/>
        </w:rPr>
        <w:t xml:space="preserve">. Initial research highlighted a related term </w:t>
      </w:r>
      <w:r w:rsidRPr="00797004">
        <w:rPr>
          <w:rFonts w:ascii="Arial" w:hAnsi="Arial" w:cs="Arial"/>
          <w:b/>
          <w:bCs/>
          <w:i/>
          <w:iCs/>
          <w:sz w:val="24"/>
          <w:szCs w:val="24"/>
        </w:rPr>
        <w:t>singing</w:t>
      </w:r>
      <w:r w:rsidRPr="00797004">
        <w:rPr>
          <w:rFonts w:ascii="Arial" w:hAnsi="Arial" w:cs="Arial"/>
          <w:sz w:val="24"/>
          <w:szCs w:val="24"/>
        </w:rPr>
        <w:t xml:space="preserve"> </w:t>
      </w:r>
      <w:r w:rsidRPr="00797004">
        <w:rPr>
          <w:rFonts w:ascii="Arial" w:hAnsi="Arial" w:cs="Arial"/>
          <w:b/>
          <w:bCs/>
          <w:i/>
          <w:iCs/>
          <w:sz w:val="24"/>
          <w:szCs w:val="24"/>
        </w:rPr>
        <w:t>agency</w:t>
      </w:r>
      <w:r w:rsidR="0067715F">
        <w:rPr>
          <w:rFonts w:ascii="Arial" w:hAnsi="Arial" w:cs="Arial"/>
          <w:sz w:val="24"/>
          <w:szCs w:val="24"/>
        </w:rPr>
        <w:t>. This is</w:t>
      </w:r>
      <w:r w:rsidRPr="0001713C">
        <w:rPr>
          <w:rFonts w:ascii="Arial" w:hAnsi="Arial" w:cs="Arial"/>
          <w:sz w:val="24"/>
          <w:szCs w:val="24"/>
        </w:rPr>
        <w:t xml:space="preserve"> </w:t>
      </w:r>
      <w:r w:rsidRPr="00797004">
        <w:rPr>
          <w:rFonts w:ascii="Arial" w:hAnsi="Arial" w:cs="Arial"/>
          <w:sz w:val="24"/>
          <w:szCs w:val="24"/>
        </w:rPr>
        <w:t xml:space="preserve">a person’s belief in their capacity to sing out loud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2021)","plainTextFormattedCitation":"(Hogle, 2021)","previouslyFormattedCitation":"(Hogle, 2021)"},"properties":{"noteIndex":0},"schema":"https://github.com/citation-style-language/schema/raw/master/csl-citation.json"}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(Hogle, 2021)</w:t>
      </w:r>
      <w:r w:rsidRPr="00797004">
        <w:rPr>
          <w:rFonts w:ascii="Arial" w:hAnsi="Arial" w:cs="Arial"/>
          <w:sz w:val="24"/>
          <w:szCs w:val="24"/>
        </w:rPr>
        <w:fldChar w:fldCharType="end"/>
      </w:r>
      <w:r w:rsidRPr="00797004">
        <w:rPr>
          <w:rFonts w:ascii="Arial" w:hAnsi="Arial" w:cs="Arial"/>
          <w:sz w:val="24"/>
          <w:szCs w:val="24"/>
        </w:rPr>
        <w:t>. The research by Hogle discusses the factors at play when adults are uncomfortable singing in the presence of others. The participants in that study had beliefs about their singing which could be viewed as being a sense of low self-efficacy regarding singing or a particular singing skill. Working with this connection the study will broaden slightly to investigate both terms and ways to aid a student in feeling an increase</w:t>
      </w:r>
      <w:r w:rsidR="00CA44C4">
        <w:rPr>
          <w:rFonts w:ascii="Arial" w:hAnsi="Arial" w:cs="Arial"/>
          <w:sz w:val="24"/>
          <w:szCs w:val="24"/>
        </w:rPr>
        <w:t>d</w:t>
      </w:r>
      <w:r w:rsidRPr="00797004">
        <w:rPr>
          <w:rFonts w:ascii="Arial" w:hAnsi="Arial" w:cs="Arial"/>
          <w:sz w:val="24"/>
          <w:szCs w:val="24"/>
        </w:rPr>
        <w:t xml:space="preserve"> sense of ability in both singing self-efficacy and singing agency.</w:t>
      </w:r>
    </w:p>
    <w:p w14:paraId="6EDE0F28" w14:textId="77777777" w:rsidR="00356298" w:rsidRPr="00797004" w:rsidRDefault="00356298" w:rsidP="005979D1">
      <w:pPr>
        <w:spacing w:line="360" w:lineRule="auto"/>
        <w:jc w:val="both"/>
        <w:rPr>
          <w:rFonts w:ascii="Arial" w:hAnsi="Arial" w:cs="Arial"/>
          <w:sz w:val="24"/>
          <w:szCs w:val="24"/>
        </w:rPr>
      </w:pPr>
      <w:r w:rsidRPr="00797004">
        <w:rPr>
          <w:rFonts w:ascii="Arial" w:hAnsi="Arial" w:cs="Arial"/>
          <w:b/>
          <w:bCs/>
          <w:i/>
          <w:iCs/>
          <w:sz w:val="24"/>
          <w:szCs w:val="24"/>
        </w:rPr>
        <w:t xml:space="preserve">Teaching strategies </w:t>
      </w:r>
      <w:r w:rsidRPr="00797004">
        <w:rPr>
          <w:rFonts w:ascii="Arial" w:hAnsi="Arial" w:cs="Arial"/>
          <w:sz w:val="24"/>
          <w:szCs w:val="24"/>
        </w:rPr>
        <w:t xml:space="preserve">can be described as the choices a teacher makes during lessons which impact the learning environment and the student’s cognitive and metacognitive learning processes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{"citationItems":[{"id":"ITEM-1","itemData":{"DOI":"10.1111/bjep.12016","ISSN":"00070998","PMID":"23692533","abstract":"Background: Although the evidence in support of the variability of students' learning strategies has expanded in recent years, less is known about the explanatory base of these individual differences in terms of the joint influences of personal and contextual characteristics. Aims: Previous studies have often investigated how student learning is associated with either personal or contextual factors. This study takes an integrative research perspective into account and examines the joint effects of personality, academic motivation, and teaching strategies on students' learning strategies in a same educational context in first-year higher education. Sample: In this study, 1,126 undergraduate students and 90 lecturers from eight professional bachelor programmes in a university college participated. Methods: Self-report measures were used to measure students' personality, academic motivation, and learning strategies. Students' processing and regulation strategies are mapped using the Inventory of Learning Styles. Key characteristics of more content-focused versus learning-focused teaching strategies were measured. Multivariate multi-level analysis was used to take the nested data structure and interrelatedness of learning strategies into account. Results: Different personality traits (openness, conscientiousness, and neuroticism) and academic motivation (amotivation, autonomous, and controlled motivation) were found to be independently associated with student learning strategies. Besides these student characteristics, also teaching strategies were found to be directly associated with learning strategies. Conclusions: The study makes clear that the impact of teaching strategies on learning strategies in first-year higher education cannot be overlooked nor overinterpreted, due to the importance of students' personality and academic motivation which also partly explain why students learn the way they do. © 2013 The British Psychological Society.","author":[{"dropping-particle":"","family":"Donche","given":"Vincent","non-dropping-particle":"","parse-names":false,"suffix":""},{"dropping-particle":"","family":"Maeyer","given":"Sven","non-dropping-particle":"De","parse-names":false,"suffix":""},{"dropping-particle":"","family":"Coertjens","given":"Liesje","non-dropping-particle":"","parse-names":false,"suffix":""},{"dropping-particle":"","family":"Daal","given":"Tine","non-dropping-particle":"Van","parse-names":false,"suffix":""},{"dropping-particle":"","family":"Petegem","given":"Peter","non-dropping-particle":"Van","parse-names":false,"suffix":""}],"container-title":"British Journal of Educational Psychology","id":"ITEM-1","issue":"2","issued":{"date-parts":[["2013"]]},"page":"238-251","title":"Differential use of learning strategies in first-year higher education: The impact of personality, academic motivation, and teaching strategies","type":"article-journal","volume":"83"},"uris":["http://www.mendeley.com/documents/?uuid=c800d91c-5a61-4ef5-8e5a-1843a9b0f09c"]},{"id":"ITEM-2","itemData":{"DOI":"10.1080/13603116.2017.1414578","ISSN":"14645173","abstract":"Inclusion has a high priority in education policy all over the world and teachers must be able to handle in practice increasing student diversity and the demands for creating an inclusive learning environment. In spite of the enhanced political focus, there is a lack of research focusing on how those teachers working with inclusion can be supported with more tangible and meaningful ways of understanding and developing inclusive classrooms. This article argues that seeing research in inclusion in close connection with research in effective teaching strategies and classroom management will contribute to an enrichment of the two research fields and give teachers and researchers new opportunities for developing more inclusive schools. Based on research focused on teaching strategies that support students’ opportunities for learning, four dimensions of inclusive teaching strategies are presented: a framing, a relational, a didactic and an organisational dimension. In addition, and in order to further understand teachers work with inclusive education in a more structural perspective, light is shed on the complexity that teachers are required to handle in practice. This complexity, among other things, entails dilemmas emerging from different agendas teachers often must handle themselves.","author":[{"dropping-particle":"","family":"Molbaek","given":"Mette","non-dropping-particle":"","parse-names":false,"suffix":""}],"container-title":"International Journal of Inclusive Education","id":"ITEM-2","issue":"10","issued":{"date-parts":[["2018"]]},"page":"1048-1061","publisher":"Taylor &amp; Francis","title":"Inclusive teaching strategies–dimensions and agendas","type":"article-journal","volume":"22"},"uris":["http://www.mendeley.com/documents/?uuid=542f940e-b6ac-4869-8130-c3b6e9be2a28"]}],"mendeley":{"formattedCitation":"(Donche &lt;i&gt;et al.&lt;/i&gt;, 2013; Molbaek, 2018)","plainTextFormattedCitation":"(Donche et al., 2013; Molbaek, 2018)","previouslyFormattedCitation":"(Donche &lt;i&gt;et al.&lt;/i&gt;, 2013; Molbaek, 2018)"},"properties":{"noteIndex":0},"schema":"https://github.com/citation-style-language/schema/raw/master/csl-citation.json"}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 xml:space="preserve">(Donche </w:t>
      </w:r>
      <w:r w:rsidRPr="00797004">
        <w:rPr>
          <w:rFonts w:ascii="Arial" w:hAnsi="Arial" w:cs="Arial"/>
          <w:i/>
          <w:noProof/>
          <w:sz w:val="24"/>
          <w:szCs w:val="24"/>
        </w:rPr>
        <w:t>et al.</w:t>
      </w:r>
      <w:r w:rsidRPr="00797004">
        <w:rPr>
          <w:rFonts w:ascii="Arial" w:hAnsi="Arial" w:cs="Arial"/>
          <w:noProof/>
          <w:sz w:val="24"/>
          <w:szCs w:val="24"/>
        </w:rPr>
        <w:t>, 2013; Molbaek, 2018)</w:t>
      </w:r>
      <w:r w:rsidRPr="00797004">
        <w:rPr>
          <w:rFonts w:ascii="Arial" w:hAnsi="Arial" w:cs="Arial"/>
          <w:sz w:val="24"/>
          <w:szCs w:val="24"/>
        </w:rPr>
        <w:fldChar w:fldCharType="end"/>
      </w:r>
      <w:r w:rsidRPr="00797004">
        <w:rPr>
          <w:rFonts w:ascii="Arial" w:hAnsi="Arial" w:cs="Arial"/>
          <w:sz w:val="24"/>
          <w:szCs w:val="24"/>
        </w:rPr>
        <w:t>.</w:t>
      </w:r>
    </w:p>
    <w:p w14:paraId="6D3C3890" w14:textId="6A7F07F4" w:rsidR="00356298" w:rsidRPr="00797004" w:rsidRDefault="00356298" w:rsidP="008B78ED">
      <w:pPr>
        <w:spacing w:line="360" w:lineRule="auto"/>
        <w:jc w:val="both"/>
        <w:rPr>
          <w:rFonts w:ascii="Arial" w:hAnsi="Arial" w:cs="Arial"/>
          <w:sz w:val="24"/>
          <w:szCs w:val="24"/>
        </w:rPr>
      </w:pPr>
      <w:r w:rsidRPr="00797004">
        <w:rPr>
          <w:rFonts w:ascii="Arial" w:hAnsi="Arial" w:cs="Arial"/>
          <w:sz w:val="24"/>
          <w:szCs w:val="24"/>
        </w:rPr>
        <w:t xml:space="preserve">This research will investigate the domains of singing self-efficacy and singing agency </w:t>
      </w:r>
      <w:r w:rsidR="008C751A">
        <w:rPr>
          <w:rFonts w:ascii="Arial" w:hAnsi="Arial" w:cs="Arial"/>
          <w:sz w:val="24"/>
          <w:szCs w:val="24"/>
        </w:rPr>
        <w:t>in service of</w:t>
      </w:r>
      <w:r w:rsidRPr="00797004">
        <w:rPr>
          <w:rFonts w:ascii="Arial" w:hAnsi="Arial" w:cs="Arial"/>
          <w:sz w:val="24"/>
          <w:szCs w:val="24"/>
        </w:rPr>
        <w:t xml:space="preserve"> clarify</w:t>
      </w:r>
      <w:r w:rsidR="008C751A">
        <w:rPr>
          <w:rFonts w:ascii="Arial" w:hAnsi="Arial" w:cs="Arial"/>
          <w:sz w:val="24"/>
          <w:szCs w:val="24"/>
        </w:rPr>
        <w:t>ing</w:t>
      </w:r>
      <w:r w:rsidRPr="00797004">
        <w:rPr>
          <w:rFonts w:ascii="Arial" w:hAnsi="Arial" w:cs="Arial"/>
          <w:sz w:val="24"/>
          <w:szCs w:val="24"/>
        </w:rPr>
        <w:t xml:space="preserve"> strategies which a singing teacher could employ </w:t>
      </w:r>
      <w:r w:rsidR="00893492">
        <w:rPr>
          <w:rFonts w:ascii="Arial" w:hAnsi="Arial" w:cs="Arial"/>
          <w:sz w:val="24"/>
          <w:szCs w:val="24"/>
        </w:rPr>
        <w:t xml:space="preserve">to </w:t>
      </w:r>
      <w:r w:rsidRPr="00797004">
        <w:rPr>
          <w:rFonts w:ascii="Arial" w:hAnsi="Arial" w:cs="Arial"/>
          <w:sz w:val="24"/>
          <w:szCs w:val="24"/>
        </w:rPr>
        <w:t xml:space="preserve">facilitate positive development of singing self-efficacy. Understanding the concept of self-efficacy and its application to singing lessons would aid keeping each student and their needs as the teacher’s focus </w:t>
      </w:r>
      <w:r w:rsidR="00A472DA">
        <w:rPr>
          <w:rFonts w:ascii="Arial" w:hAnsi="Arial" w:cs="Arial"/>
          <w:sz w:val="24"/>
          <w:szCs w:val="24"/>
        </w:rPr>
        <w:t xml:space="preserve">in </w:t>
      </w:r>
      <w:r w:rsidRPr="00797004">
        <w:rPr>
          <w:rFonts w:ascii="Arial" w:hAnsi="Arial" w:cs="Arial"/>
          <w:sz w:val="24"/>
          <w:szCs w:val="24"/>
        </w:rPr>
        <w:t>each lesson. The knowledge gained could influence teaching choices along with</w:t>
      </w:r>
      <w:r w:rsidR="005076C5">
        <w:rPr>
          <w:rFonts w:ascii="Arial" w:hAnsi="Arial" w:cs="Arial"/>
          <w:sz w:val="24"/>
          <w:szCs w:val="24"/>
        </w:rPr>
        <w:t xml:space="preserve"> </w:t>
      </w:r>
      <w:r w:rsidRPr="00797004">
        <w:rPr>
          <w:rFonts w:ascii="Arial" w:hAnsi="Arial" w:cs="Arial"/>
          <w:sz w:val="24"/>
          <w:szCs w:val="24"/>
        </w:rPr>
        <w:t xml:space="preserve">specific strategies for helping self-efficacy development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{"citationItems":[{"id":"ITEM-1","itemData":{"DOI":"10.1111/bjep.12016","ISSN":"00070998","PMID":"23692533","abstract":"Background: Although the evidence in support of the variability of students' learning strategies has expanded in recent years, less is known about the explanatory base of these individual differences in terms of the joint influences of personal and contextual characteristics. Aims: Previous studies have often investigated how student learning is associated with either personal or contextual factors. This study takes an integrative research perspective into account and examines the joint effects of personality, academic motivation, and teaching strategies on students' learning strategies in a same educational context in first-year higher education. Sample: In this study, 1,126 undergraduate students and 90 lecturers from eight professional bachelor programmes in a university college participated. Methods: Self-report measures were used to measure students' personality, academic motivation, and learning strategies. Students' processing and regulation strategies are mapped using the Inventory of Learning Styles. Key characteristics of more content-focused versus learning-focused teaching strategies were measured. Multivariate multi-level analysis was used to take the nested data structure and interrelatedness of learning strategies into account. Results: Different personality traits (openness, conscientiousness, and neuroticism) and academic motivation (amotivation, autonomous, and controlled motivation) were found to be independently associated with student learning strategies. Besides these student characteristics, also teaching strategies were found to be directly associated with learning strategies. Conclusions: The study makes clear that the impact of teaching strategies on learning strategies in first-year higher education cannot be overlooked nor overinterpreted, due to the importance of students' personality and academic motivation which also partly explain why students learn the way they do. © 2013 The British Psychological Society.","author":[{"dropping-particle":"","family":"Donche","given":"Vincent","non-dropping-particle":"","parse-names":false,"suffix":""},{"dropping-particle":"","family":"Maeyer","given":"Sven","non-dropping-particle":"De","parse-names":false,"suffix":""},{"dropping-particle":"","family":"Coertjens","given":"Liesje","non-dropping-particle":"","parse-names":false,"suffix":""},{"dropping-particle":"","family":"Daal","given":"Tine","non-dropping-particle":"Van","parse-names":false,"suffix":""},{"dropping-particle":"","family":"Petegem","given":"Peter","non-dropping-particle":"Van","parse-names":false,"suffix":""}],"container-title":"British Journal of Educational Psychology","id":"ITEM-1","issue":"2","issued":{"date-parts":[["2013"]]},"page":"238-251","title":"Differential use of learning strategies in first-year higher education: The impact of personality, academic motivation, and teaching strategies","type":"article-journal","volume":"83"},"uris":["http://www.mendeley.com/documents/?uuid=c800d91c-5a61-4ef5-8e5a-1843a9b0f09c"]},{"id":"ITEM-2","itemData":{"DOI":"10.1080/13603116.2017.1414578","ISSN":"14645173","abstract":"Inclusion has a high priority in education policy all over the world and teachers must be able to handle in practice increasing student diversity and the demands for creating an inclusive learning environment. In spite of the enhanced political focus, there is a lack of research focusing on how those teachers working with inclusion can be supported with more tangible and meaningful ways of understanding and developing inclusive classrooms. This article argues that seeing research in inclusion in close connection with research in effective teaching strategies and classroom management will contribute to an enrichment of the two research fields and give teachers and researchers new opportunities for developing more inclusive schools. Based on research focused on teaching strategies that support students’ opportunities for learning, four dimensions of inclusive teaching strategies are presented: a framing, a relational, a didactic and an organisational dimension. In addition, and in order to further understand teachers work with inclusive education in a more structural perspective, light is shed on the complexity that teachers are required to handle in practice. This complexity, among other things, entails dilemmas emerging from different agendas teachers often must handle themselves.","author":[{"dropping-particle":"","family":"Molbaek","given":"Mette","non-dropping-particle":"","parse-names":false,"suffix":""}],"container-title":"International Journal of Inclusive Education","id":"ITEM-2","issue":"10","issued":{"date-parts":[["2018"]]},"page":"1048-1061","publisher":"Taylor &amp; Francis","title":"Inclusive teaching strategies–dimensions and agendas","type":"article-journal","volume":"22"},"uris":["http://www.mendeley.com/documents/?uuid=542f940e-b6ac-4869-8130-c3b6e9be2a28"]}],"mendeley":{"formattedCitation":"(Donche &lt;i&gt;et al.&lt;/i&gt;, 2013; Molbaek, 2018)","plainTextFormattedCitation":"(Donche et al., 2013; Molbaek, 2018)","previouslyFormattedCitation":"(Donche &lt;i&gt;et al.&lt;/i&gt;, 2013; Molbaek, 2018)"},"properties":{"noteIndex":0},"schema":"https://github.com/citation-style-language/schema/raw/master/csl-citation.json"}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 xml:space="preserve">(Donche </w:t>
      </w:r>
      <w:r w:rsidRPr="00797004">
        <w:rPr>
          <w:rFonts w:ascii="Arial" w:hAnsi="Arial" w:cs="Arial"/>
          <w:i/>
          <w:noProof/>
          <w:sz w:val="24"/>
          <w:szCs w:val="24"/>
        </w:rPr>
        <w:t>et al.</w:t>
      </w:r>
      <w:r w:rsidRPr="00797004">
        <w:rPr>
          <w:rFonts w:ascii="Arial" w:hAnsi="Arial" w:cs="Arial"/>
          <w:noProof/>
          <w:sz w:val="24"/>
          <w:szCs w:val="24"/>
        </w:rPr>
        <w:t>, 2013; Molbaek, 2018)</w:t>
      </w:r>
      <w:r w:rsidRPr="00797004">
        <w:rPr>
          <w:rFonts w:ascii="Arial" w:hAnsi="Arial" w:cs="Arial"/>
          <w:sz w:val="24"/>
          <w:szCs w:val="24"/>
        </w:rPr>
        <w:fldChar w:fldCharType="end"/>
      </w:r>
      <w:r w:rsidRPr="00797004">
        <w:rPr>
          <w:rFonts w:ascii="Arial" w:hAnsi="Arial" w:cs="Arial"/>
          <w:sz w:val="24"/>
          <w:szCs w:val="24"/>
        </w:rPr>
        <w:t>.</w:t>
      </w:r>
      <w:r w:rsidR="00F03BC1" w:rsidRPr="00F03BC1">
        <w:rPr>
          <w:rFonts w:ascii="Arial" w:hAnsi="Arial" w:cs="Arial"/>
          <w:sz w:val="24"/>
          <w:szCs w:val="24"/>
        </w:rPr>
        <w:t xml:space="preserve"> </w:t>
      </w:r>
      <w:r w:rsidR="00F03BC1" w:rsidRPr="00797004">
        <w:rPr>
          <w:rFonts w:ascii="Arial" w:hAnsi="Arial" w:cs="Arial"/>
          <w:sz w:val="24"/>
          <w:szCs w:val="24"/>
        </w:rPr>
        <w:t>The outcomes of this research would directly feed into my teaching practice and could be of benefit to all educators and particularly other singing teachers.</w:t>
      </w:r>
    </w:p>
    <w:p w14:paraId="3A52EBD7" w14:textId="77777777" w:rsidR="00356298" w:rsidRPr="00797004" w:rsidRDefault="00356298" w:rsidP="00B66156">
      <w:pPr>
        <w:spacing w:line="360" w:lineRule="auto"/>
        <w:jc w:val="both"/>
        <w:rPr>
          <w:rFonts w:ascii="Arial" w:hAnsi="Arial" w:cs="Arial"/>
          <w:b/>
          <w:bCs/>
          <w:sz w:val="24"/>
          <w:szCs w:val="24"/>
        </w:rPr>
      </w:pPr>
      <w:r w:rsidRPr="00797004">
        <w:rPr>
          <w:rFonts w:ascii="Arial" w:hAnsi="Arial" w:cs="Arial"/>
          <w:b/>
          <w:bCs/>
          <w:sz w:val="24"/>
          <w:szCs w:val="24"/>
        </w:rPr>
        <w:t>Bias acknowledgement:</w:t>
      </w:r>
    </w:p>
    <w:p w14:paraId="1A2E76F1" w14:textId="185DD82B" w:rsidR="00356298" w:rsidRPr="00797004" w:rsidRDefault="00356298" w:rsidP="00B66156">
      <w:pPr>
        <w:spacing w:line="360" w:lineRule="auto"/>
        <w:jc w:val="both"/>
        <w:rPr>
          <w:rFonts w:ascii="Arial" w:hAnsi="Arial" w:cs="Arial"/>
          <w:sz w:val="24"/>
          <w:szCs w:val="24"/>
        </w:rPr>
      </w:pPr>
      <w:r w:rsidRPr="00797004">
        <w:rPr>
          <w:rFonts w:ascii="Arial" w:hAnsi="Arial" w:cs="Arial"/>
          <w:sz w:val="24"/>
          <w:szCs w:val="24"/>
        </w:rPr>
        <w:t>As this research is work</w:t>
      </w:r>
      <w:r w:rsidR="005F369E">
        <w:rPr>
          <w:rFonts w:ascii="Arial" w:hAnsi="Arial" w:cs="Arial"/>
          <w:sz w:val="24"/>
          <w:szCs w:val="24"/>
        </w:rPr>
        <w:t>-</w:t>
      </w:r>
      <w:r w:rsidRPr="00797004">
        <w:rPr>
          <w:rFonts w:ascii="Arial" w:hAnsi="Arial" w:cs="Arial"/>
          <w:sz w:val="24"/>
          <w:szCs w:val="24"/>
        </w:rPr>
        <w:t>based</w:t>
      </w:r>
      <w:r w:rsidR="006A589D">
        <w:rPr>
          <w:rFonts w:ascii="Arial" w:hAnsi="Arial" w:cs="Arial"/>
          <w:sz w:val="24"/>
          <w:szCs w:val="24"/>
        </w:rPr>
        <w:t>,</w:t>
      </w:r>
      <w:r w:rsidRPr="00797004">
        <w:rPr>
          <w:rFonts w:ascii="Arial" w:hAnsi="Arial" w:cs="Arial"/>
          <w:sz w:val="24"/>
          <w:szCs w:val="24"/>
        </w:rPr>
        <w:t xml:space="preserve"> to be conducted by the researcher for application to their workplace, researcher bias is possible and probable</w:t>
      </w:r>
      <w:r w:rsidR="00AF4548">
        <w:rPr>
          <w:rFonts w:ascii="Arial" w:hAnsi="Arial" w:cs="Arial"/>
          <w:sz w:val="24"/>
          <w:szCs w:val="24"/>
        </w:rPr>
        <w:t>. This is because</w:t>
      </w:r>
      <w:r w:rsidRPr="00797004">
        <w:rPr>
          <w:rFonts w:ascii="Arial" w:hAnsi="Arial" w:cs="Arial"/>
          <w:sz w:val="24"/>
          <w:szCs w:val="24"/>
        </w:rPr>
        <w:t xml:space="preserve"> I will inevitably carry with me the lens of my personal and professional experiences</w:t>
      </w:r>
      <w:r w:rsidR="005626F0">
        <w:rPr>
          <w:rFonts w:ascii="Arial" w:hAnsi="Arial" w:cs="Arial"/>
          <w:sz w:val="24"/>
          <w:szCs w:val="24"/>
        </w:rPr>
        <w:t>. This is similar</w:t>
      </w:r>
      <w:r w:rsidR="00474B45">
        <w:rPr>
          <w:rFonts w:ascii="Arial" w:hAnsi="Arial" w:cs="Arial"/>
          <w:sz w:val="24"/>
          <w:szCs w:val="24"/>
        </w:rPr>
        <w:t xml:space="preserve"> to </w:t>
      </w:r>
      <w:r w:rsidRPr="00797004">
        <w:rPr>
          <w:rFonts w:ascii="Arial" w:hAnsi="Arial" w:cs="Arial"/>
          <w:sz w:val="24"/>
          <w:szCs w:val="24"/>
        </w:rPr>
        <w:t xml:space="preserve">the comments of Burnard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{"citationItems":[{"id":"ITEM-1","itemData":{"DOI":"10.1038/sj.bdj.2008.292","ISSN":"00070610","PMID":"18438371","abstract":"This paper provides a pragmatic approach to analysing qualitative data, using actual data from a qualitative dental public health study for demonstration purposes. The paper also critically explores how computers can be used to facilitate this process, the debate about the verification (validation) of qualitative analyses and how to write up and present qualitative research studies. ©British Dental Journal 2008.","author":[{"dropping-particle":"","family":"Burnard","given":"P.","non-dropping-particle":"","parse-names":false,"suffix":""},{"dropping-particle":"","family":"Gill","given":"P.","non-dropping-particle":"","parse-names":false,"suffix":""},{"dropping-particle":"","family":"Stewart","given":"K.","non-dropping-particle":"","parse-names":false,"suffix":""},{"dropping-particle":"","family":"Treasure","given":"E.","non-dropping-particle":"","parse-names":false,"suffix":""},{"dropping-particle":"","family":"Chadwick","given":"B.","non-dropping-particle":"","parse-names":false,"suffix":""}],"container-title":"British Dental Journal","id":"ITEM-1","issue":"8","issued":{"date-parts":[["2008"]]},"page":"429-432","title":"Analysing and presenting qualitative data","type":"article-journal","volume":"204"},"uris":["http://www.mendeley.com/documents/?uuid=40364750-cbf6-4eef-9b76-445c9b7173b1"]}],"mendeley":{"formattedCitation":"(Burnard &lt;i&gt;et al.&lt;/i&gt;, 2008)","manualFormatting":"(2008)","plainTextFormattedCitation":"(Burnard et al., 2008)","previouslyFormattedCitation":"(Burnard &lt;i&gt;et al.&lt;/i&gt;, 2008)"},"properties":{"noteIndex":0},"schema":"https://github.com/citation-style-language/schema/raw/master/csl-citation.json"}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(2008)</w:t>
      </w:r>
      <w:r w:rsidRPr="00797004">
        <w:rPr>
          <w:rFonts w:ascii="Arial" w:hAnsi="Arial" w:cs="Arial"/>
          <w:sz w:val="24"/>
          <w:szCs w:val="24"/>
        </w:rPr>
        <w:fldChar w:fldCharType="end"/>
      </w:r>
      <w:r w:rsidRPr="00797004">
        <w:rPr>
          <w:rFonts w:ascii="Arial" w:hAnsi="Arial" w:cs="Arial"/>
          <w:sz w:val="24"/>
          <w:szCs w:val="24"/>
        </w:rPr>
        <w:t xml:space="preserve"> regarding the peer review process</w:t>
      </w:r>
      <w:r w:rsidR="00474B45">
        <w:rPr>
          <w:rFonts w:ascii="Arial" w:hAnsi="Arial" w:cs="Arial"/>
          <w:sz w:val="24"/>
          <w:szCs w:val="24"/>
        </w:rPr>
        <w:t xml:space="preserve"> and the </w:t>
      </w:r>
      <w:r w:rsidR="007B5ED1">
        <w:rPr>
          <w:rFonts w:ascii="Arial" w:hAnsi="Arial" w:cs="Arial"/>
          <w:sz w:val="24"/>
          <w:szCs w:val="24"/>
        </w:rPr>
        <w:t>perspective of the peer when viewing a document</w:t>
      </w:r>
      <w:r w:rsidRPr="00797004">
        <w:rPr>
          <w:rFonts w:ascii="Arial" w:hAnsi="Arial" w:cs="Arial"/>
          <w:sz w:val="24"/>
          <w:szCs w:val="24"/>
        </w:rPr>
        <w:t xml:space="preserve">. Burnard goes on to highlight the importance of rigour </w:t>
      </w:r>
      <w:r w:rsidR="00DA4B15">
        <w:rPr>
          <w:rFonts w:ascii="Arial" w:hAnsi="Arial" w:cs="Arial"/>
          <w:sz w:val="24"/>
          <w:szCs w:val="24"/>
        </w:rPr>
        <w:t xml:space="preserve">and </w:t>
      </w:r>
      <w:r w:rsidRPr="00797004">
        <w:rPr>
          <w:rFonts w:ascii="Arial" w:hAnsi="Arial" w:cs="Arial"/>
          <w:sz w:val="24"/>
          <w:szCs w:val="24"/>
        </w:rPr>
        <w:t>a systematic approach to data analysis</w:t>
      </w:r>
      <w:r w:rsidR="008B3498">
        <w:rPr>
          <w:rFonts w:ascii="Arial" w:hAnsi="Arial" w:cs="Arial"/>
          <w:sz w:val="24"/>
          <w:szCs w:val="24"/>
        </w:rPr>
        <w:t xml:space="preserve">. </w:t>
      </w:r>
      <w:r w:rsidR="000834D4">
        <w:rPr>
          <w:rFonts w:ascii="Arial" w:hAnsi="Arial" w:cs="Arial"/>
          <w:sz w:val="24"/>
          <w:szCs w:val="24"/>
        </w:rPr>
        <w:t>According to B</w:t>
      </w:r>
      <w:r w:rsidR="000C0CBD">
        <w:rPr>
          <w:rFonts w:ascii="Arial" w:hAnsi="Arial" w:cs="Arial"/>
          <w:sz w:val="24"/>
          <w:szCs w:val="24"/>
        </w:rPr>
        <w:t>urnard</w:t>
      </w:r>
      <w:r w:rsidR="000834D4">
        <w:rPr>
          <w:rFonts w:ascii="Arial" w:hAnsi="Arial" w:cs="Arial"/>
          <w:sz w:val="24"/>
          <w:szCs w:val="24"/>
        </w:rPr>
        <w:t xml:space="preserve"> </w:t>
      </w:r>
      <w:r w:rsidR="000834D4">
        <w:rPr>
          <w:rFonts w:ascii="Arial" w:hAnsi="Arial" w:cs="Arial"/>
          <w:sz w:val="24"/>
          <w:szCs w:val="24"/>
        </w:rPr>
        <w:fldChar w:fldCharType="begin" w:fldLock="1"/>
      </w:r>
      <w:r w:rsidR="00E94501">
        <w:rPr>
          <w:rFonts w:ascii="Arial" w:hAnsi="Arial" w:cs="Arial"/>
          <w:sz w:val="24"/>
          <w:szCs w:val="24"/>
        </w:rPr>
        <w:instrText>ADDIN CSL_CITATION {"citationItems":[{"id":"ITEM-1","itemData":{"DOI":"10.1038/sj.bdj.2008.292","ISSN":"00070610","PMID":"18438371","abstract":"This paper provides a pragmatic approach to analysing qualitative data, using actual data from a qualitative dental public health study for demonstration purposes. The paper also critically explores how computers can be used to facilitate this process, the debate about the verification (validation) of qualitative analyses and how to write up and present qualitative research studies. ©British Dental Journal 2008.","author":[{"dropping-particle":"","family":"Burnard","given":"P.","non-dropping-particle":"","parse-names":false,"suffix":""},{"dropping-particle":"","family":"Gill","given":"P.","non-dropping-particle":"","parse-names":false,"suffix":""},{"dropping-particle":"","family":"Stewart","given":"K.","non-dropping-particle":"","parse-names":false,"suffix":""},{"dropping-particle":"","family":"Treasure","given":"E.","non-dropping-particle":"","parse-names":false,"suffix":""},{"dropping-particle":"","family":"Chadwick","given":"B.","non-dropping-particle":"","parse-names":false,"suffix":""}],"container-title":"British Dental Journal","id":"ITEM-1","issue":"8","issued":{"date-parts":[["2008"]]},"page":"429-432","title":"Analysing and presenting qualitative data","type":"article-journal","volume":"204"},"uris":["http://www.mendeley.com/documents/?uuid=40364750-cbf6-4eef-9b76-445c9b7173b1"]}],"mendeley":{"formattedCitation":"(Burnard &lt;i&gt;et al.&lt;/i&gt;, 2008)","manualFormatting":"(2008)","plainTextFormattedCitation":"(Burnard et al., 2008)"},"properties":{"noteIndex":0},"schema":"https://github.com/citation-style-language/schema/raw/master/csl-citation.json"}</w:instrText>
      </w:r>
      <w:r w:rsidR="000834D4">
        <w:rPr>
          <w:rFonts w:ascii="Arial" w:hAnsi="Arial" w:cs="Arial"/>
          <w:sz w:val="24"/>
          <w:szCs w:val="24"/>
        </w:rPr>
        <w:fldChar w:fldCharType="separate"/>
      </w:r>
      <w:r w:rsidR="000834D4" w:rsidRPr="000834D4">
        <w:rPr>
          <w:rFonts w:ascii="Arial" w:hAnsi="Arial" w:cs="Arial"/>
          <w:noProof/>
          <w:sz w:val="24"/>
          <w:szCs w:val="24"/>
        </w:rPr>
        <w:t>(2008)</w:t>
      </w:r>
      <w:r w:rsidR="000834D4">
        <w:rPr>
          <w:rFonts w:ascii="Arial" w:hAnsi="Arial" w:cs="Arial"/>
          <w:sz w:val="24"/>
          <w:szCs w:val="24"/>
        </w:rPr>
        <w:fldChar w:fldCharType="end"/>
      </w:r>
      <w:r w:rsidR="004F7D9F">
        <w:rPr>
          <w:rFonts w:ascii="Arial" w:hAnsi="Arial" w:cs="Arial"/>
          <w:sz w:val="24"/>
          <w:szCs w:val="24"/>
        </w:rPr>
        <w:t>,</w:t>
      </w:r>
      <w:r w:rsidR="000C0CBD">
        <w:rPr>
          <w:rFonts w:ascii="Arial" w:hAnsi="Arial" w:cs="Arial"/>
          <w:sz w:val="24"/>
          <w:szCs w:val="24"/>
        </w:rPr>
        <w:t xml:space="preserve"> </w:t>
      </w:r>
      <w:r w:rsidR="00E94501">
        <w:rPr>
          <w:rFonts w:ascii="Arial" w:hAnsi="Arial" w:cs="Arial"/>
          <w:sz w:val="24"/>
          <w:szCs w:val="24"/>
        </w:rPr>
        <w:t>these approaches serve to improve the</w:t>
      </w:r>
      <w:r w:rsidRPr="00797004">
        <w:rPr>
          <w:rFonts w:ascii="Arial" w:hAnsi="Arial" w:cs="Arial"/>
          <w:sz w:val="24"/>
          <w:szCs w:val="24"/>
        </w:rPr>
        <w:t xml:space="preserve"> validity</w:t>
      </w:r>
      <w:r w:rsidR="00E94501">
        <w:rPr>
          <w:rFonts w:ascii="Arial" w:hAnsi="Arial" w:cs="Arial"/>
          <w:sz w:val="24"/>
          <w:szCs w:val="24"/>
        </w:rPr>
        <w:t xml:space="preserve"> of the study and</w:t>
      </w:r>
      <w:r w:rsidRPr="00797004">
        <w:rPr>
          <w:rFonts w:ascii="Arial" w:hAnsi="Arial" w:cs="Arial"/>
          <w:sz w:val="24"/>
          <w:szCs w:val="24"/>
        </w:rPr>
        <w:t xml:space="preserve"> conclusion</w:t>
      </w:r>
      <w:r w:rsidR="00AB2717">
        <w:rPr>
          <w:rFonts w:ascii="Arial" w:hAnsi="Arial" w:cs="Arial"/>
          <w:sz w:val="24"/>
          <w:szCs w:val="24"/>
        </w:rPr>
        <w:t>s</w:t>
      </w:r>
      <w:r w:rsidR="00F7161F">
        <w:rPr>
          <w:rFonts w:ascii="Arial" w:hAnsi="Arial" w:cs="Arial"/>
          <w:sz w:val="24"/>
          <w:szCs w:val="24"/>
        </w:rPr>
        <w:t xml:space="preserve"> drawn by the researcher(s)</w:t>
      </w:r>
      <w:r w:rsidRPr="00797004">
        <w:rPr>
          <w:rFonts w:ascii="Arial" w:hAnsi="Arial" w:cs="Arial"/>
          <w:sz w:val="24"/>
          <w:szCs w:val="24"/>
        </w:rPr>
        <w:t xml:space="preserve">. This research will take an approach balancing a </w:t>
      </w:r>
      <w:r w:rsidRPr="00797004">
        <w:rPr>
          <w:rFonts w:ascii="Arial" w:hAnsi="Arial" w:cs="Arial"/>
          <w:sz w:val="24"/>
          <w:szCs w:val="24"/>
        </w:rPr>
        <w:lastRenderedPageBreak/>
        <w:t xml:space="preserve">‘Grounded Theory’ perspective, where the analysis is grounded to the data, while maintaining the creativity and context-dependence </w:t>
      </w:r>
      <w:r w:rsidR="00A36928">
        <w:rPr>
          <w:rFonts w:ascii="Arial" w:hAnsi="Arial" w:cs="Arial"/>
          <w:sz w:val="24"/>
          <w:szCs w:val="24"/>
        </w:rPr>
        <w:t>also</w:t>
      </w:r>
      <w:r w:rsidRPr="00797004">
        <w:rPr>
          <w:rFonts w:ascii="Arial" w:hAnsi="Arial" w:cs="Arial"/>
          <w:sz w:val="24"/>
          <w:szCs w:val="24"/>
        </w:rPr>
        <w:t xml:space="preserve"> associated with qualitative research processes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{"citationItems":[{"id":"ITEM-1","itemData":{"ISBN":"0-7619-6351-0","author":[{"dropping-particle":"","family":"Burton","given":"Dawn","non-dropping-particle":"","parse-names":false,"suffix":""}],"container-title":"Research Training for Social Scientists","id":"ITEM-1","issued":{"date-parts":[["2000"]]},"publisher":"SAGE Publications Ltd","publisher-place":"London","title":"Research Training for Social Scientists","type":"chapter"},"uris":["http://www.mendeley.com/documents/?uuid=9c313fd3-fdd3-4d42-ad09-0f6540f84be4"]}],"mendeley":{"formattedCitation":"(Burton, 2000)","plainTextFormattedCitation":"(Burton, 2000)","previouslyFormattedCitation":"(Burton, 2000)"},"properties":{"noteIndex":0},"schema":"https://github.com/citation-style-language/schema/raw/master/csl-citation.json"}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(Burton, 2000)</w:t>
      </w:r>
      <w:r w:rsidRPr="00797004">
        <w:rPr>
          <w:rFonts w:ascii="Arial" w:hAnsi="Arial" w:cs="Arial"/>
          <w:sz w:val="24"/>
          <w:szCs w:val="24"/>
        </w:rPr>
        <w:fldChar w:fldCharType="end"/>
      </w:r>
      <w:r w:rsidRPr="00797004">
        <w:rPr>
          <w:rFonts w:ascii="Arial" w:hAnsi="Arial" w:cs="Arial"/>
          <w:sz w:val="24"/>
          <w:szCs w:val="24"/>
        </w:rPr>
        <w:t>. The outcome of the research will take the form of a qualitative evidence synthesis using ‘Thematic Analysis’ to achieve th</w:t>
      </w:r>
      <w:r w:rsidR="00220534">
        <w:rPr>
          <w:rFonts w:ascii="Arial" w:hAnsi="Arial" w:cs="Arial"/>
          <w:sz w:val="24"/>
          <w:szCs w:val="24"/>
        </w:rPr>
        <w:t>is</w:t>
      </w:r>
      <w:r w:rsidRPr="00797004">
        <w:rPr>
          <w:rFonts w:ascii="Arial" w:hAnsi="Arial" w:cs="Arial"/>
          <w:sz w:val="24"/>
          <w:szCs w:val="24"/>
        </w:rPr>
        <w:t xml:space="preserve"> balance</w:t>
      </w:r>
      <w:r w:rsidR="00220534">
        <w:rPr>
          <w:rFonts w:ascii="Arial" w:hAnsi="Arial" w:cs="Arial"/>
          <w:sz w:val="24"/>
          <w:szCs w:val="24"/>
        </w:rPr>
        <w:t xml:space="preserve">. It will aim to </w:t>
      </w:r>
      <w:r w:rsidRPr="00797004">
        <w:rPr>
          <w:rFonts w:ascii="Arial" w:hAnsi="Arial" w:cs="Arial"/>
          <w:sz w:val="24"/>
          <w:szCs w:val="24"/>
        </w:rPr>
        <w:t xml:space="preserve">link the analysis to the data while allowing creativity of the researcher </w:t>
      </w:r>
      <w:r w:rsidR="007462B9">
        <w:rPr>
          <w:rFonts w:ascii="Arial" w:hAnsi="Arial" w:cs="Arial"/>
          <w:sz w:val="24"/>
          <w:szCs w:val="24"/>
        </w:rPr>
        <w:t xml:space="preserve">to be present </w:t>
      </w:r>
      <w:r w:rsidRPr="00797004">
        <w:rPr>
          <w:rFonts w:ascii="Arial" w:hAnsi="Arial" w:cs="Arial"/>
          <w:sz w:val="24"/>
          <w:szCs w:val="24"/>
        </w:rPr>
        <w:t xml:space="preserve">in the process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{"citationItems":[{"id":"ITEM-1","itemData":{"DOI":"10.1080/2159676X.2019.1628806","ISSN":"1939845X","abstract":"Since initially writing on thematic analysis in 2006, the popularity of the method we outlined has exploded, the variety of TA approaches have expanded, and, not least, our thinking has developed and shifted. In this reflexive commentary, we look back at some of the unspoken assumptions that informed how we wrote our 2006 paper. We connect some of these un-identified assumptions, and developments in the method over the years, with some conceptual mismatches and confusions we see in published TA studies. In order to facilitate better TA practice, we reflect on how our thinking has evolved–and in some cases sedimented–since the publication of our 2006 paper, and clarify and revise some of the ways we phrased or conceptualised TA, and the elements of, and processes around, a method we now prefer to call reflexive TA.","author":[{"dropping-particle":"","family":"Braun","given":"Virginia","non-dropping-particle":"","parse-names":false,"suffix":""},{"dropping-particle":"","family":"Clarke","given":"Victoria","non-dropping-particle":"","parse-names":false,"suffix":""}],"container-title":"Qualitative Research in Sport, Exercise and Health","id":"ITEM-1","issue":"4","issued":{"date-parts":[["2019"]]},"page":"589-597","publisher":"Routledge","title":"Reflecting on reflexive thematic analysis","type":"article-journal","volume":"11"},"uris":["http://www.mendeley.com/documents/?uuid=e24d767a-9c14-4ae2-b026-6f8fa0177c0e"]},{"id":"ITEM-2","itemData":{"DOI":"10.1191/1478088706qp063oa","ISSN":"14780887","abstract":"Thematic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author":[{"dropping-particle":"","family":"Braun","given":"Virginia","non-dropping-particle":"","parse-names":false,"suffix":""},{"dropping-particle":"","family":"Clarke","given":"Victoria","non-dropping-particle":"","parse-names":false,"suffix":""}],"container-title":"Qualitative Research in Psychology","id":"ITEM-2","issue":"2","issued":{"date-parts":[["2006"]]},"note":"Highlights by: Doc page - Journal page - Topic\n\np3 - p78 Foundational method\np3 - p78 - Epistomological approach\np6 - p81 &amp;quot; &amp;quot; yellow\np6 - p81 &amp;quot; &amp;quot; green\np4 - p79 - Importance of how research is done\np5 - p80 Researcher activer in finding themes (not emerging-passive)\np5 - p80 Researcher position and decisions in the process\n\nTheme - \np7 - p82 theme definition yellow, how many instances to qualify (not defined), \np7 - p82 - researcher judgemnt required\np7 - p82 - prevelence of a theme is not essential yellow\np8 - p83 - Inductive approach \n\nDefinitions:\np4 - p79 - Thematic analysis - Pink highlight\np4 - p79 - Corpus - all data collected for a a project\np4 - p79 Data set - all the data from the corpus being used for a particular analysis\np4 - p79 Data item - each idiviual pice of data collected to form the corpus (i.e. each article)\np4 - p79 Extract - coded chonk of data taken from an extract\np7 - p82 theme definition yellow","page":"77-101","title":"Using thematic analysis in psychology","type":"article-journal","volume":"3"},"uris":["http://www.mendeley.com/documents/?uuid=d79a4bb1-1383-4be0-9dfb-77bad2f80283"]}],"mendeley":{"formattedCitation":"(Braun and Clarke, 2006, 2019)","plainTextFormattedCitation":"(Braun and Clarke, 2006, 2019)","previouslyFormattedCitation":"(Braun and Clarke, 2006, 2019)"},"properties":{"noteIndex":0},"schema":"https://github.com/citation-style-language/schema/raw/master/csl-citation.json"}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(Braun and Clarke, 2006, 2019)</w:t>
      </w:r>
      <w:r w:rsidRPr="00797004">
        <w:rPr>
          <w:rFonts w:ascii="Arial" w:hAnsi="Arial" w:cs="Arial"/>
          <w:sz w:val="24"/>
          <w:szCs w:val="24"/>
        </w:rPr>
        <w:fldChar w:fldCharType="end"/>
      </w:r>
      <w:r w:rsidRPr="00797004">
        <w:rPr>
          <w:rFonts w:ascii="Arial" w:hAnsi="Arial" w:cs="Arial"/>
          <w:sz w:val="24"/>
          <w:szCs w:val="24"/>
        </w:rPr>
        <w:t>. The reflexive notes which form part</w:t>
      </w:r>
      <w:r w:rsidR="001C612E">
        <w:rPr>
          <w:rFonts w:ascii="Arial" w:hAnsi="Arial" w:cs="Arial"/>
          <w:sz w:val="24"/>
          <w:szCs w:val="24"/>
        </w:rPr>
        <w:t xml:space="preserve"> of</w:t>
      </w:r>
      <w:r w:rsidRPr="00797004">
        <w:rPr>
          <w:rFonts w:ascii="Arial" w:hAnsi="Arial" w:cs="Arial"/>
          <w:sz w:val="24"/>
          <w:szCs w:val="24"/>
        </w:rPr>
        <w:t xml:space="preserve"> the thematic analysis </w:t>
      </w:r>
      <w:r w:rsidR="00CC711F">
        <w:rPr>
          <w:rFonts w:ascii="Arial" w:hAnsi="Arial" w:cs="Arial"/>
          <w:sz w:val="24"/>
          <w:szCs w:val="24"/>
        </w:rPr>
        <w:t xml:space="preserve">process </w:t>
      </w:r>
      <w:r w:rsidRPr="00797004">
        <w:rPr>
          <w:rFonts w:ascii="Arial" w:hAnsi="Arial" w:cs="Arial"/>
          <w:sz w:val="24"/>
          <w:szCs w:val="24"/>
        </w:rPr>
        <w:t>will help to maintain my awareness of myself in the data analysis. Given the nature of this study being conducted by a lone researcher as part of an academic course</w:t>
      </w:r>
      <w:r w:rsidR="00201895">
        <w:rPr>
          <w:rFonts w:ascii="Arial" w:hAnsi="Arial" w:cs="Arial"/>
          <w:sz w:val="24"/>
          <w:szCs w:val="24"/>
        </w:rPr>
        <w:t xml:space="preserve"> the</w:t>
      </w:r>
      <w:r w:rsidR="00265D47">
        <w:rPr>
          <w:rFonts w:ascii="Arial" w:hAnsi="Arial" w:cs="Arial"/>
          <w:sz w:val="24"/>
          <w:szCs w:val="24"/>
        </w:rPr>
        <w:t>re will be limits to</w:t>
      </w:r>
      <w:r w:rsidR="00A71051">
        <w:rPr>
          <w:rFonts w:ascii="Arial" w:hAnsi="Arial" w:cs="Arial"/>
          <w:sz w:val="24"/>
          <w:szCs w:val="24"/>
        </w:rPr>
        <w:t xml:space="preserve"> </w:t>
      </w:r>
      <w:r w:rsidRPr="00797004">
        <w:rPr>
          <w:rFonts w:ascii="Arial" w:hAnsi="Arial" w:cs="Arial"/>
          <w:sz w:val="24"/>
          <w:szCs w:val="24"/>
        </w:rPr>
        <w:t xml:space="preserve">rigour and bias reduction which would </w:t>
      </w:r>
      <w:r w:rsidR="00255B41">
        <w:rPr>
          <w:rFonts w:ascii="Arial" w:hAnsi="Arial" w:cs="Arial"/>
          <w:sz w:val="24"/>
          <w:szCs w:val="24"/>
        </w:rPr>
        <w:t xml:space="preserve">greatly </w:t>
      </w:r>
      <w:r w:rsidRPr="00797004">
        <w:rPr>
          <w:rFonts w:ascii="Arial" w:hAnsi="Arial" w:cs="Arial"/>
          <w:sz w:val="24"/>
          <w:szCs w:val="24"/>
        </w:rPr>
        <w:t xml:space="preserve">increase when working as part of a team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ISBN":"9780335264704","author":[{"dropping-particle":"","family":"Denscombe","given":"Martyn","non-dropping-particle":"","parse-names":false,"suffix":""}],"id":"ITEM-1","issued":{"date-parts":[["2014"]]},"number-of-pages":"278","title":"O pen UP Study Skills The Good Research Guide","type":"book"},"uris":["http://www.mendeley.com/documents/?uuid=f0f8632a-34fe-4332-acd9-274e093fbb0b"]}],"mendeley":{"formattedCitation":"(Denscombe, 2014)","plainTextFormattedCitation":"(Denscombe, 2014)","previouslyFormattedCitation":"(Denscombe, 2014)"},"properties":{"noteIndex":0},"schema":"https://github.com/citation-style-language/schema/raw/master/csl-citation.json"}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(Denscombe, 2014)</w:t>
      </w:r>
      <w:r w:rsidRPr="00797004">
        <w:rPr>
          <w:rFonts w:ascii="Arial" w:hAnsi="Arial" w:cs="Arial"/>
          <w:sz w:val="24"/>
          <w:szCs w:val="24"/>
        </w:rPr>
        <w:fldChar w:fldCharType="end"/>
      </w:r>
      <w:r w:rsidRPr="00797004">
        <w:rPr>
          <w:rFonts w:ascii="Arial" w:hAnsi="Arial" w:cs="Arial"/>
          <w:sz w:val="24"/>
          <w:szCs w:val="24"/>
        </w:rPr>
        <w:t>.</w:t>
      </w:r>
    </w:p>
    <w:p w14:paraId="0395BB3E" w14:textId="34EC7D71" w:rsidR="00356298" w:rsidRPr="00797004" w:rsidRDefault="00356298" w:rsidP="00B66156">
      <w:pPr>
        <w:spacing w:line="360" w:lineRule="auto"/>
        <w:jc w:val="both"/>
        <w:rPr>
          <w:rFonts w:ascii="Arial" w:hAnsi="Arial" w:cs="Arial"/>
          <w:sz w:val="24"/>
          <w:szCs w:val="24"/>
        </w:rPr>
      </w:pPr>
      <w:r w:rsidRPr="00797004">
        <w:rPr>
          <w:rFonts w:ascii="Arial" w:hAnsi="Arial" w:cs="Arial"/>
          <w:sz w:val="24"/>
          <w:szCs w:val="24"/>
        </w:rPr>
        <w:t xml:space="preserve">My beliefs will have an impact on both the research chosen and how it is conducted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10.1111/j.1467-9752.2006.00512.x","ISSN":"03098249","author":[{"dropping-particle":"","family":"Bridges","given":"David","non-dropping-particle":"","parse-names":false,"suffix":""},{"dropping-particle":"","family":"Smith","given":"Richard","non-dropping-particle":"","parse-names":false,"suffix":""}],"container-title":"Journal of Philosophy of Education","id":"ITEM-1","issue":"2","issued":{"date-parts":[["2006"]]},"page":"131-135","title":"Philosophy, methodology and educational research: Introduction","type":"article-journal","volume":"40"},"uris":["http://www.mendeley.com/documents/?uuid=33a02fca-05be-4502-a3d7-49b074d081d3"]}],"mendeley":{"formattedCitation":"(Bridges and Smith, 2006)","plainTextFormattedCitation":"(Bridges and Smith, 2006)","previouslyFormattedCitation":"(Bridges and Smith, 2006)"},"properties":{"noteIndex":0},"schema":"https://github.com/citation-style-language/schema/raw/master/csl-citation.json"}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(Bridges and Smith, 2006)</w:t>
      </w:r>
      <w:r w:rsidRPr="00797004">
        <w:rPr>
          <w:rFonts w:ascii="Arial" w:hAnsi="Arial" w:cs="Arial"/>
          <w:sz w:val="24"/>
          <w:szCs w:val="24"/>
        </w:rPr>
        <w:fldChar w:fldCharType="end"/>
      </w:r>
      <w:r w:rsidRPr="00797004">
        <w:rPr>
          <w:rFonts w:ascii="Arial" w:hAnsi="Arial" w:cs="Arial"/>
          <w:sz w:val="24"/>
          <w:szCs w:val="24"/>
        </w:rPr>
        <w:t xml:space="preserve">. This </w:t>
      </w:r>
      <w:r w:rsidR="00EF579E">
        <w:rPr>
          <w:rFonts w:ascii="Arial" w:hAnsi="Arial" w:cs="Arial"/>
          <w:sz w:val="24"/>
          <w:szCs w:val="24"/>
        </w:rPr>
        <w:t xml:space="preserve">statement of </w:t>
      </w:r>
      <w:r w:rsidRPr="00797004">
        <w:rPr>
          <w:rFonts w:ascii="Arial" w:hAnsi="Arial" w:cs="Arial"/>
          <w:sz w:val="24"/>
          <w:szCs w:val="24"/>
        </w:rPr>
        <w:t>reflexive awareness</w:t>
      </w:r>
      <w:r w:rsidR="005F3F2D">
        <w:rPr>
          <w:rFonts w:ascii="Arial" w:hAnsi="Arial" w:cs="Arial"/>
          <w:sz w:val="24"/>
          <w:szCs w:val="24"/>
        </w:rPr>
        <w:t xml:space="preserve">, </w:t>
      </w:r>
      <w:r w:rsidR="000137B4">
        <w:rPr>
          <w:rFonts w:ascii="Arial" w:hAnsi="Arial" w:cs="Arial"/>
          <w:sz w:val="24"/>
          <w:szCs w:val="24"/>
        </w:rPr>
        <w:t xml:space="preserve">or </w:t>
      </w:r>
      <w:r w:rsidR="005F3F2D">
        <w:rPr>
          <w:rFonts w:ascii="Arial" w:hAnsi="Arial" w:cs="Arial"/>
          <w:sz w:val="24"/>
          <w:szCs w:val="24"/>
        </w:rPr>
        <w:t xml:space="preserve">seeing </w:t>
      </w:r>
      <w:r w:rsidRPr="00797004">
        <w:rPr>
          <w:rFonts w:ascii="Arial" w:hAnsi="Arial" w:cs="Arial"/>
          <w:sz w:val="24"/>
          <w:szCs w:val="24"/>
        </w:rPr>
        <w:t>myself in the research</w:t>
      </w:r>
      <w:r w:rsidR="00F07A33">
        <w:rPr>
          <w:rFonts w:ascii="Arial" w:hAnsi="Arial" w:cs="Arial"/>
          <w:sz w:val="24"/>
          <w:szCs w:val="24"/>
        </w:rPr>
        <w:t>,</w:t>
      </w:r>
      <w:r w:rsidRPr="00797004">
        <w:rPr>
          <w:rFonts w:ascii="Arial" w:hAnsi="Arial" w:cs="Arial"/>
          <w:sz w:val="24"/>
          <w:szCs w:val="24"/>
        </w:rPr>
        <w:t xml:space="preserve"> </w:t>
      </w:r>
      <w:r w:rsidR="00591096">
        <w:rPr>
          <w:rFonts w:ascii="Arial" w:hAnsi="Arial" w:cs="Arial"/>
          <w:sz w:val="24"/>
          <w:szCs w:val="24"/>
        </w:rPr>
        <w:t xml:space="preserve">helps to </w:t>
      </w:r>
      <w:r w:rsidRPr="00797004">
        <w:rPr>
          <w:rFonts w:ascii="Arial" w:hAnsi="Arial" w:cs="Arial"/>
          <w:sz w:val="24"/>
          <w:szCs w:val="24"/>
        </w:rPr>
        <w:t xml:space="preserve">contextualises any conclusions drawn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{"citationItems":[{"id":"ITEM-1","itemData":{"DOI":"10.34293/education.v8i4.3232","ISSN":"2320-2653","abstract":"Masters and PhD student researchers in the social sciences are often required to explore and explain their positionality, as, in the social world, it is recognized that their ontological and epistemological beliefs influence their research. Yet novice researchers often struggle with identifying their positionality. This paper explores researcher positionality and its influence on and place in the research process. Its purpose is to help new postgraduate researchers better understand positionality so that they may incorporate a reflexive approach to their research and start to clarify their positionality.","author":[{"dropping-particle":"","family":"Darwin Holmes","given":"Andrew Gary","non-dropping-particle":"","parse-names":false,"suffix":""}],"container-title":"Shanlax International Journal of Education","id":"ITEM-1","issue":"4","issued":{"date-parts":[["2020"]]},"note":"P 5 outsider vs inside advantages/ disadvantages\n\nP7 Insider - Outsider + posottionaity","page":"1-10","title":"Researcher Positionality - A Consideration of Its Influence and Place in Qualitative Research - A New Researcher Guide","type":"article-journal","volume":"8"},"uris":["http://www.mendeley.com/documents/?uuid=7323e017-ad9d-4ab8-a5ae-645f1446e3e7"]},{"id":"ITEM-2","itemData":{"author":[{"dropping-particle":"al","family":"Cohen","given":"Louis et","non-dropping-particle":"","parse-names":false,"suffix":""}],"id":"ITEM-2","issued":{"date-parts":[["2011"]]},"publisher":"Routledge","publisher-place":"New York","title":"Research methods in eductation","type":"book"},"uris":["http://www.mendeley.com/documents/?uuid=0b98fa0f-6dec-4d50-8541-884ed7ff0cdd"]}],"mendeley":{"formattedCitation":"(Cohen, 2011; Darwin Holmes, 2020)","plainTextFormattedCitation":"(Cohen, 2011; Darwin Holmes, 2020)","previouslyFormattedCitation":"(Cohen, 2011; Darwin Holmes, 2020)"},"properties":{"noteIndex":0},"schema":"https://github.com/citation-style-language/schema/raw/master/csl-citation.json"}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(Cohen, 2011; Darwin Holmes, 2020)</w:t>
      </w:r>
      <w:r w:rsidRPr="00797004">
        <w:rPr>
          <w:rFonts w:ascii="Arial" w:hAnsi="Arial" w:cs="Arial"/>
          <w:sz w:val="24"/>
          <w:szCs w:val="24"/>
        </w:rPr>
        <w:fldChar w:fldCharType="end"/>
      </w:r>
      <w:r w:rsidRPr="00797004">
        <w:rPr>
          <w:rFonts w:ascii="Arial" w:hAnsi="Arial" w:cs="Arial"/>
          <w:sz w:val="24"/>
          <w:szCs w:val="24"/>
        </w:rPr>
        <w:t xml:space="preserve">. </w:t>
      </w:r>
    </w:p>
    <w:p w14:paraId="223CFC23" w14:textId="77777777" w:rsidR="00356298" w:rsidRPr="00797004" w:rsidRDefault="00356298" w:rsidP="00B66156">
      <w:pPr>
        <w:spacing w:line="360" w:lineRule="auto"/>
        <w:jc w:val="both"/>
        <w:rPr>
          <w:rFonts w:ascii="Arial" w:hAnsi="Arial" w:cs="Arial"/>
          <w:b/>
          <w:bCs/>
          <w:sz w:val="24"/>
          <w:szCs w:val="24"/>
        </w:rPr>
      </w:pPr>
      <w:r w:rsidRPr="00797004">
        <w:rPr>
          <w:rFonts w:ascii="Arial" w:hAnsi="Arial" w:cs="Arial"/>
          <w:b/>
          <w:bCs/>
          <w:sz w:val="24"/>
          <w:szCs w:val="24"/>
        </w:rPr>
        <w:t>Paradigm view:</w:t>
      </w:r>
    </w:p>
    <w:p w14:paraId="18A1908D" w14:textId="2A2C8264" w:rsidR="005E37BC" w:rsidRDefault="00444F2C" w:rsidP="00B66156">
      <w:pPr>
        <w:spacing w:line="360" w:lineRule="auto"/>
        <w:jc w:val="both"/>
        <w:rPr>
          <w:rFonts w:ascii="Arial" w:hAnsi="Arial" w:cs="Arial"/>
          <w:sz w:val="24"/>
          <w:szCs w:val="24"/>
        </w:rPr>
      </w:pPr>
      <w:r>
        <w:rPr>
          <w:rFonts w:ascii="Arial" w:hAnsi="Arial" w:cs="Arial"/>
          <w:sz w:val="24"/>
          <w:szCs w:val="24"/>
        </w:rPr>
        <w:t>As t</w:t>
      </w:r>
      <w:r w:rsidR="00356298" w:rsidRPr="00797004">
        <w:rPr>
          <w:rFonts w:ascii="Arial" w:hAnsi="Arial" w:cs="Arial"/>
          <w:sz w:val="24"/>
          <w:szCs w:val="24"/>
        </w:rPr>
        <w:t xml:space="preserve">his research is probing a subjective area, a singing student’s sense of self-efficacy, </w:t>
      </w:r>
      <w:r w:rsidR="00992F95">
        <w:rPr>
          <w:rFonts w:ascii="Arial" w:hAnsi="Arial" w:cs="Arial"/>
          <w:sz w:val="24"/>
          <w:szCs w:val="24"/>
        </w:rPr>
        <w:t xml:space="preserve">an </w:t>
      </w:r>
      <w:r w:rsidR="00356298" w:rsidRPr="00797004">
        <w:rPr>
          <w:rFonts w:ascii="Arial" w:hAnsi="Arial" w:cs="Arial"/>
          <w:sz w:val="24"/>
          <w:szCs w:val="24"/>
        </w:rPr>
        <w:t xml:space="preserve">interpretivist approach is implied </w:t>
      </w:r>
      <w:r w:rsidR="00EA72D5">
        <w:rPr>
          <w:rFonts w:ascii="Arial" w:hAnsi="Arial" w:cs="Arial"/>
          <w:sz w:val="24"/>
          <w:szCs w:val="24"/>
        </w:rPr>
        <w:t>as I will be</w:t>
      </w:r>
      <w:r w:rsidR="00356298" w:rsidRPr="00797004">
        <w:rPr>
          <w:rFonts w:ascii="Arial" w:hAnsi="Arial" w:cs="Arial"/>
          <w:sz w:val="24"/>
          <w:szCs w:val="24"/>
        </w:rPr>
        <w:t xml:space="preserve"> gathering subjective data for meta-</w:t>
      </w:r>
      <w:r w:rsidR="00EA72D5">
        <w:rPr>
          <w:rFonts w:ascii="Arial" w:hAnsi="Arial" w:cs="Arial"/>
          <w:sz w:val="24"/>
          <w:szCs w:val="24"/>
        </w:rPr>
        <w:t>synthesis</w:t>
      </w:r>
      <w:r w:rsidR="00356298" w:rsidRPr="00797004">
        <w:rPr>
          <w:rFonts w:ascii="Arial" w:hAnsi="Arial" w:cs="Arial"/>
          <w:sz w:val="24"/>
          <w:szCs w:val="24"/>
        </w:rPr>
        <w:t xml:space="preserve"> </w:t>
      </w:r>
      <w:r w:rsidR="00356298" w:rsidRPr="00797004">
        <w:rPr>
          <w:rFonts w:ascii="Arial" w:hAnsi="Arial" w:cs="Arial"/>
          <w:sz w:val="24"/>
          <w:szCs w:val="24"/>
        </w:rPr>
        <w:fldChar w:fldCharType="begin" w:fldLock="1"/>
      </w:r>
      <w:r w:rsidR="00356298" w:rsidRPr="00797004">
        <w:rPr>
          <w:rFonts w:ascii="Arial" w:hAnsi="Arial" w:cs="Arial"/>
          <w:sz w:val="24"/>
          <w:szCs w:val="24"/>
        </w:rPr>
        <w:instrText>ADDIN CSL_CITATION {"citationItems":[{"id":"ITEM-1","itemData":{"author":[{"dropping-particle":"","family":"Walliman","given":"N","non-dropping-particle":"","parse-names":false,"suffix":""}],"id":"ITEM-1","issued":{"date-parts":[["2001"]]},"publisher":"SAGE Publications Ltd","publisher-place":"London","title":"Your Rersearch Project","type":"book"},"uris":["http://www.mendeley.com/documents/?uuid=020a350b-5fff-49ba-be66-90689c5d657b"]}],"mendeley":{"formattedCitation":"(Walliman, 2001)","plainTextFormattedCitation":"(Walliman, 2001)","previouslyFormattedCitation":"(Walliman, 2001)"},"properties":{"noteIndex":0},"schema":"https://github.com/citation-style-language/schema/raw/master/csl-citation.json"}</w:instrText>
      </w:r>
      <w:r w:rsidR="00356298" w:rsidRPr="00797004">
        <w:rPr>
          <w:rFonts w:ascii="Arial" w:hAnsi="Arial" w:cs="Arial"/>
          <w:sz w:val="24"/>
          <w:szCs w:val="24"/>
        </w:rPr>
        <w:fldChar w:fldCharType="separate"/>
      </w:r>
      <w:r w:rsidR="00356298" w:rsidRPr="00797004">
        <w:rPr>
          <w:rFonts w:ascii="Arial" w:hAnsi="Arial" w:cs="Arial"/>
          <w:noProof/>
          <w:sz w:val="24"/>
          <w:szCs w:val="24"/>
        </w:rPr>
        <w:t>(Walliman, 2001)</w:t>
      </w:r>
      <w:r w:rsidR="00356298" w:rsidRPr="00797004">
        <w:rPr>
          <w:rFonts w:ascii="Arial" w:hAnsi="Arial" w:cs="Arial"/>
          <w:sz w:val="24"/>
          <w:szCs w:val="24"/>
        </w:rPr>
        <w:fldChar w:fldCharType="end"/>
      </w:r>
      <w:r w:rsidR="00356298" w:rsidRPr="00797004">
        <w:rPr>
          <w:rFonts w:ascii="Arial" w:hAnsi="Arial" w:cs="Arial"/>
          <w:sz w:val="24"/>
          <w:szCs w:val="24"/>
        </w:rPr>
        <w:t>. Social constructivism is also at play</w:t>
      </w:r>
      <w:r w:rsidR="0036659E">
        <w:rPr>
          <w:rFonts w:ascii="Arial" w:hAnsi="Arial" w:cs="Arial"/>
          <w:sz w:val="24"/>
          <w:szCs w:val="24"/>
        </w:rPr>
        <w:t>,</w:t>
      </w:r>
      <w:r w:rsidR="00356298" w:rsidRPr="00797004">
        <w:rPr>
          <w:rFonts w:ascii="Arial" w:hAnsi="Arial" w:cs="Arial"/>
          <w:sz w:val="24"/>
          <w:szCs w:val="24"/>
        </w:rPr>
        <w:t xml:space="preserve"> given the research is </w:t>
      </w:r>
      <w:r w:rsidR="00751F8F">
        <w:rPr>
          <w:rFonts w:ascii="Arial" w:hAnsi="Arial" w:cs="Arial"/>
          <w:sz w:val="24"/>
          <w:szCs w:val="24"/>
        </w:rPr>
        <w:t>aiming to</w:t>
      </w:r>
      <w:r w:rsidR="00356298" w:rsidRPr="00797004">
        <w:rPr>
          <w:rFonts w:ascii="Arial" w:hAnsi="Arial" w:cs="Arial"/>
          <w:sz w:val="24"/>
          <w:szCs w:val="24"/>
        </w:rPr>
        <w:t xml:space="preserve"> understand learners’ mental processes and </w:t>
      </w:r>
      <w:r w:rsidR="006821B1">
        <w:rPr>
          <w:rFonts w:ascii="Arial" w:hAnsi="Arial" w:cs="Arial"/>
          <w:sz w:val="24"/>
          <w:szCs w:val="24"/>
        </w:rPr>
        <w:t>the influence of teachers</w:t>
      </w:r>
      <w:r w:rsidR="00356298" w:rsidRPr="00797004">
        <w:rPr>
          <w:rFonts w:ascii="Arial" w:hAnsi="Arial" w:cs="Arial"/>
          <w:sz w:val="24"/>
          <w:szCs w:val="24"/>
        </w:rPr>
        <w:t xml:space="preserve"> </w:t>
      </w:r>
      <w:r w:rsidR="00356298" w:rsidRPr="00797004">
        <w:rPr>
          <w:rFonts w:ascii="Arial" w:hAnsi="Arial" w:cs="Arial"/>
          <w:sz w:val="24"/>
          <w:szCs w:val="24"/>
        </w:rPr>
        <w:fldChar w:fldCharType="begin" w:fldLock="1"/>
      </w:r>
      <w:r w:rsidR="00356298" w:rsidRPr="00797004">
        <w:rPr>
          <w:rFonts w:ascii="Arial" w:hAnsi="Arial" w:cs="Arial"/>
          <w:sz w:val="24"/>
          <w:szCs w:val="24"/>
        </w:rPr>
        <w:instrText>ADDIN CSL_CITATION {"citationItems":[{"id":"ITEM-1","itemData":{"DOI":"10.18546/LRE.13.1.05","ISSN":"14748479","abstract":"The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Education","id":"ITEM-1","issue":"1","issued":{"date-parts":[["2015"]]},"page":"43-57","title":"Critical geragogy: A framework for facilitating older learners in community music","type":"article-journal","volume":"13"},"uris":["http://www.mendeley.com/documents/?uuid=fa50dd99-4e1e-44de-a3f2-30dd41815d00"]},{"id":"ITEM-2","itemData":{"DOI":"10.1177/2158244015607584","ISSN":"21582440","abstract":"Inquiry-based teaching and learning are rooted in social constructivism and are central to curricular reform. Role theory and social constructivism provided insight into a commonly observed but insufficiently understood phenomenon in inquiry. Within inquiry, role shifts have been described as the switching of roles between students and teachers; however, the process may be better conceptualized as role diversification because students and teachers may undertake multiple roles simultaneously in inquiry. This article expands on existing research and proposes a framework potentially applicable to both learners and teachers, but here focused on learners. Beyond exploration, engagement, and stabilization of roles, diversification was added and described. This framework expanded on current education theory, adding new insight to a minimally explored topic, with implications for students, teachers, consultants, and researchers.","author":[{"dropping-particle":"","family":"Walker","given":"Cheryl L.","non-dropping-particle":"","parse-names":false,"suffix":""},{"dropping-particle":"","family":"Shore","given":"Bruce M.","non-dropping-particle":"","parse-names":false,"suffix":""}],"container-title":"SAGE Open","id":"ITEM-2","issue":"4","issued":{"date-parts":[["2015"]]},"title":"Understanding classroom roles in inquiry education: Linking role theory and social constructivism to the concept of role diversification","type":"article-journal","volume":"5"},"uris":["http://www.mendeley.com/documents/?uuid=3e0869e6-03f9-49f3-8852-53cb9f0811ef"]}],"mendeley":{"formattedCitation":"(Creech and Hallam, 2015; Walker and Shore, 2015)","manualFormatting":"(Walker and Shore, 2015)","plainTextFormattedCitation":"(Creech and Hallam, 2015; Walker and Shore, 2015)","previouslyFormattedCitation":"(Creech and Hallam, 2015; Walker and Shore, 2015)"},"properties":{"noteIndex":0},"schema":"https://github.com/citation-style-language/schema/raw/master/csl-citation.json"}</w:instrText>
      </w:r>
      <w:r w:rsidR="00356298" w:rsidRPr="00797004">
        <w:rPr>
          <w:rFonts w:ascii="Arial" w:hAnsi="Arial" w:cs="Arial"/>
          <w:sz w:val="24"/>
          <w:szCs w:val="24"/>
        </w:rPr>
        <w:fldChar w:fldCharType="separate"/>
      </w:r>
      <w:r w:rsidR="00356298" w:rsidRPr="00797004">
        <w:rPr>
          <w:rFonts w:ascii="Arial" w:hAnsi="Arial" w:cs="Arial"/>
          <w:noProof/>
          <w:sz w:val="24"/>
          <w:szCs w:val="24"/>
        </w:rPr>
        <w:t>(Walker and Shore, 2015)</w:t>
      </w:r>
      <w:r w:rsidR="00356298" w:rsidRPr="00797004">
        <w:rPr>
          <w:rFonts w:ascii="Arial" w:hAnsi="Arial" w:cs="Arial"/>
          <w:sz w:val="24"/>
          <w:szCs w:val="24"/>
        </w:rPr>
        <w:fldChar w:fldCharType="end"/>
      </w:r>
      <w:r w:rsidR="00356298" w:rsidRPr="00797004">
        <w:rPr>
          <w:rFonts w:ascii="Arial" w:hAnsi="Arial" w:cs="Arial"/>
          <w:sz w:val="24"/>
          <w:szCs w:val="24"/>
        </w:rPr>
        <w:t>. It is my hope that this research will aid my understanding of self-efficacy</w:t>
      </w:r>
      <w:r w:rsidR="00731623">
        <w:rPr>
          <w:rFonts w:ascii="Arial" w:hAnsi="Arial" w:cs="Arial"/>
          <w:sz w:val="24"/>
          <w:szCs w:val="24"/>
        </w:rPr>
        <w:t>. I wish to find</w:t>
      </w:r>
      <w:r w:rsidR="00356298" w:rsidRPr="00797004">
        <w:rPr>
          <w:rFonts w:ascii="Arial" w:hAnsi="Arial" w:cs="Arial"/>
          <w:sz w:val="24"/>
          <w:szCs w:val="24"/>
        </w:rPr>
        <w:t xml:space="preserve"> effectiv</w:t>
      </w:r>
      <w:r w:rsidR="005E5E80">
        <w:rPr>
          <w:rFonts w:ascii="Arial" w:hAnsi="Arial" w:cs="Arial"/>
          <w:sz w:val="24"/>
          <w:szCs w:val="24"/>
        </w:rPr>
        <w:t>e ways to</w:t>
      </w:r>
      <w:r w:rsidR="00356298" w:rsidRPr="00797004">
        <w:rPr>
          <w:rFonts w:ascii="Arial" w:hAnsi="Arial" w:cs="Arial"/>
          <w:sz w:val="24"/>
          <w:szCs w:val="24"/>
        </w:rPr>
        <w:t xml:space="preserve"> keep student needs at the centre of my approach </w:t>
      </w:r>
      <w:r w:rsidR="005636A6">
        <w:rPr>
          <w:rFonts w:ascii="Arial" w:hAnsi="Arial" w:cs="Arial"/>
          <w:sz w:val="24"/>
          <w:szCs w:val="24"/>
        </w:rPr>
        <w:t>and</w:t>
      </w:r>
      <w:r w:rsidR="00356298" w:rsidRPr="00797004">
        <w:rPr>
          <w:rFonts w:ascii="Arial" w:hAnsi="Arial" w:cs="Arial"/>
          <w:sz w:val="24"/>
          <w:szCs w:val="24"/>
        </w:rPr>
        <w:t xml:space="preserve"> help a</w:t>
      </w:r>
      <w:r w:rsidR="005E5E80">
        <w:rPr>
          <w:rFonts w:ascii="Arial" w:hAnsi="Arial" w:cs="Arial"/>
          <w:sz w:val="24"/>
          <w:szCs w:val="24"/>
        </w:rPr>
        <w:t xml:space="preserve">ny </w:t>
      </w:r>
      <w:r w:rsidR="00356298" w:rsidRPr="00797004">
        <w:rPr>
          <w:rFonts w:ascii="Arial" w:hAnsi="Arial" w:cs="Arial"/>
          <w:sz w:val="24"/>
          <w:szCs w:val="24"/>
        </w:rPr>
        <w:t>student</w:t>
      </w:r>
      <w:r w:rsidR="005E5E80">
        <w:rPr>
          <w:rFonts w:ascii="Arial" w:hAnsi="Arial" w:cs="Arial"/>
          <w:sz w:val="24"/>
          <w:szCs w:val="24"/>
        </w:rPr>
        <w:t>s</w:t>
      </w:r>
      <w:r w:rsidR="00356298" w:rsidRPr="00797004">
        <w:rPr>
          <w:rFonts w:ascii="Arial" w:hAnsi="Arial" w:cs="Arial"/>
          <w:sz w:val="24"/>
          <w:szCs w:val="24"/>
        </w:rPr>
        <w:t xml:space="preserve"> with a low sense self-efficacy </w:t>
      </w:r>
      <w:r w:rsidR="00356298" w:rsidRPr="00797004">
        <w:rPr>
          <w:rFonts w:ascii="Arial" w:hAnsi="Arial" w:cs="Arial"/>
          <w:sz w:val="24"/>
          <w:szCs w:val="24"/>
        </w:rPr>
        <w:fldChar w:fldCharType="begin" w:fldLock="1"/>
      </w:r>
      <w:r w:rsidR="00356298" w:rsidRPr="00797004">
        <w:rPr>
          <w:rFonts w:ascii="Arial" w:hAnsi="Arial" w:cs="Arial"/>
          <w:sz w:val="24"/>
          <w:szCs w:val="24"/>
        </w:rPr>
        <w:instrText>ADDIN CSL_CITATION {"citationItems":[{"id":"ITEM-1","itemData":{"DOI":"10.18546/LRE.13.1.05","ISSN":"14748479","abstract":"The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Education","id":"ITEM-1","issue":"1","issued":{"date-parts":[["2015"]]},"page":"43-57","title":"Critical geragogy: A framework for facilitating older learners in community music","type":"article-journal","volume":"13"},"uris":["http://www.mendeley.com/documents/?uuid=fa50dd99-4e1e-44de-a3f2-30dd41815d00"]}],"mendeley":{"formattedCitation":"(Creech and Hallam, 2015)","plainTextFormattedCitation":"(Creech and Hallam, 2015)","previouslyFormattedCitation":"(Creech and Hallam, 2015)"},"properties":{"noteIndex":0},"schema":"https://github.com/citation-style-language/schema/raw/master/csl-citation.json"}</w:instrText>
      </w:r>
      <w:r w:rsidR="00356298" w:rsidRPr="00797004">
        <w:rPr>
          <w:rFonts w:ascii="Arial" w:hAnsi="Arial" w:cs="Arial"/>
          <w:sz w:val="24"/>
          <w:szCs w:val="24"/>
        </w:rPr>
        <w:fldChar w:fldCharType="separate"/>
      </w:r>
      <w:r w:rsidR="00356298" w:rsidRPr="00797004">
        <w:rPr>
          <w:rFonts w:ascii="Arial" w:hAnsi="Arial" w:cs="Arial"/>
          <w:noProof/>
          <w:sz w:val="24"/>
          <w:szCs w:val="24"/>
        </w:rPr>
        <w:t>(Creech and Hallam, 2015)</w:t>
      </w:r>
      <w:r w:rsidR="00356298" w:rsidRPr="00797004">
        <w:rPr>
          <w:rFonts w:ascii="Arial" w:hAnsi="Arial" w:cs="Arial"/>
          <w:sz w:val="24"/>
          <w:szCs w:val="24"/>
        </w:rPr>
        <w:fldChar w:fldCharType="end"/>
      </w:r>
      <w:r w:rsidR="00356298" w:rsidRPr="00797004">
        <w:rPr>
          <w:rFonts w:ascii="Arial" w:hAnsi="Arial" w:cs="Arial"/>
          <w:sz w:val="24"/>
          <w:szCs w:val="24"/>
        </w:rPr>
        <w:t>.</w:t>
      </w:r>
    </w:p>
    <w:p w14:paraId="09332FCB" w14:textId="77777777" w:rsidR="00356298" w:rsidRPr="00797004" w:rsidRDefault="00356298" w:rsidP="00B66156">
      <w:pPr>
        <w:spacing w:line="360" w:lineRule="auto"/>
        <w:rPr>
          <w:rFonts w:ascii="Arial" w:hAnsi="Arial" w:cs="Arial"/>
          <w:b/>
          <w:bCs/>
          <w:sz w:val="24"/>
          <w:szCs w:val="24"/>
        </w:rPr>
      </w:pPr>
      <w:r w:rsidRPr="00797004">
        <w:rPr>
          <w:rFonts w:ascii="Arial" w:hAnsi="Arial" w:cs="Arial"/>
          <w:b/>
          <w:bCs/>
          <w:sz w:val="24"/>
          <w:szCs w:val="24"/>
        </w:rPr>
        <w:t>Aims:</w:t>
      </w:r>
    </w:p>
    <w:p w14:paraId="0BBD2590" w14:textId="199744A1" w:rsidR="00356298" w:rsidRPr="00797004" w:rsidRDefault="00CE394E" w:rsidP="00117A28">
      <w:pPr>
        <w:spacing w:line="360" w:lineRule="auto"/>
        <w:jc w:val="both"/>
        <w:rPr>
          <w:rFonts w:ascii="Arial" w:hAnsi="Arial" w:cs="Arial"/>
          <w:sz w:val="24"/>
          <w:szCs w:val="24"/>
        </w:rPr>
      </w:pPr>
      <w:r>
        <w:rPr>
          <w:rFonts w:ascii="Arial" w:hAnsi="Arial" w:cs="Arial"/>
          <w:sz w:val="24"/>
          <w:szCs w:val="24"/>
        </w:rPr>
        <w:t xml:space="preserve">The main aim </w:t>
      </w:r>
      <w:r w:rsidR="00117A28">
        <w:rPr>
          <w:rFonts w:ascii="Arial" w:hAnsi="Arial" w:cs="Arial"/>
          <w:sz w:val="24"/>
          <w:szCs w:val="24"/>
        </w:rPr>
        <w:t xml:space="preserve">of this study is to </w:t>
      </w:r>
      <w:r w:rsidR="00356298" w:rsidRPr="00797004">
        <w:rPr>
          <w:rFonts w:ascii="Arial" w:hAnsi="Arial" w:cs="Arial"/>
          <w:sz w:val="24"/>
          <w:szCs w:val="24"/>
        </w:rPr>
        <w:t>research student self-efficacy and teaching strategies</w:t>
      </w:r>
      <w:r w:rsidR="007D2F4D">
        <w:rPr>
          <w:rFonts w:ascii="Arial" w:hAnsi="Arial" w:cs="Arial"/>
          <w:sz w:val="24"/>
          <w:szCs w:val="24"/>
        </w:rPr>
        <w:t>. The</w:t>
      </w:r>
      <w:r w:rsidR="00E10EE4">
        <w:rPr>
          <w:rFonts w:ascii="Arial" w:hAnsi="Arial" w:cs="Arial"/>
          <w:sz w:val="24"/>
          <w:szCs w:val="24"/>
        </w:rPr>
        <w:t xml:space="preserve"> knowledge </w:t>
      </w:r>
      <w:r w:rsidR="001257AB">
        <w:rPr>
          <w:rFonts w:ascii="Arial" w:hAnsi="Arial" w:cs="Arial"/>
          <w:sz w:val="24"/>
          <w:szCs w:val="24"/>
        </w:rPr>
        <w:t>gained will be synthesised into</w:t>
      </w:r>
      <w:r w:rsidR="00356298" w:rsidRPr="00797004">
        <w:rPr>
          <w:rFonts w:ascii="Arial" w:hAnsi="Arial" w:cs="Arial"/>
          <w:sz w:val="24"/>
          <w:szCs w:val="24"/>
        </w:rPr>
        <w:t xml:space="preserve"> effective approaches singing teachers </w:t>
      </w:r>
      <w:r w:rsidR="00856F6D">
        <w:rPr>
          <w:rFonts w:ascii="Arial" w:hAnsi="Arial" w:cs="Arial"/>
          <w:sz w:val="24"/>
          <w:szCs w:val="24"/>
        </w:rPr>
        <w:t>can</w:t>
      </w:r>
      <w:r w:rsidR="00356298" w:rsidRPr="00797004">
        <w:rPr>
          <w:rFonts w:ascii="Arial" w:hAnsi="Arial" w:cs="Arial"/>
          <w:sz w:val="24"/>
          <w:szCs w:val="24"/>
        </w:rPr>
        <w:t xml:space="preserve"> employ </w:t>
      </w:r>
      <w:r w:rsidR="00856F6D">
        <w:rPr>
          <w:rFonts w:ascii="Arial" w:hAnsi="Arial" w:cs="Arial"/>
          <w:sz w:val="24"/>
          <w:szCs w:val="24"/>
        </w:rPr>
        <w:t>to</w:t>
      </w:r>
      <w:r w:rsidR="004E66B9">
        <w:rPr>
          <w:rFonts w:ascii="Arial" w:hAnsi="Arial" w:cs="Arial"/>
          <w:sz w:val="24"/>
          <w:szCs w:val="24"/>
        </w:rPr>
        <w:t xml:space="preserve"> </w:t>
      </w:r>
      <w:r w:rsidR="00356298" w:rsidRPr="00797004">
        <w:rPr>
          <w:rFonts w:ascii="Arial" w:hAnsi="Arial" w:cs="Arial"/>
          <w:sz w:val="24"/>
          <w:szCs w:val="24"/>
        </w:rPr>
        <w:t>optimise the self-efficacy of their students.</w:t>
      </w:r>
    </w:p>
    <w:p w14:paraId="7256BC3B" w14:textId="77777777" w:rsidR="00356298" w:rsidRPr="00797004" w:rsidRDefault="00356298" w:rsidP="00B66156">
      <w:pPr>
        <w:pStyle w:val="ListParagraph"/>
        <w:numPr>
          <w:ilvl w:val="0"/>
          <w:numId w:val="3"/>
        </w:numPr>
        <w:spacing w:line="360" w:lineRule="auto"/>
        <w:rPr>
          <w:rFonts w:ascii="Arial" w:hAnsi="Arial" w:cs="Arial"/>
          <w:sz w:val="24"/>
          <w:szCs w:val="24"/>
        </w:rPr>
      </w:pPr>
      <w:r w:rsidRPr="00797004">
        <w:rPr>
          <w:rFonts w:ascii="Arial" w:hAnsi="Arial" w:cs="Arial"/>
          <w:sz w:val="24"/>
          <w:szCs w:val="24"/>
        </w:rPr>
        <w:t xml:space="preserve">To broaden my knowledge of self-efficacy and teaching strategies in order to improve my teaching </w:t>
      </w:r>
      <w:proofErr w:type="gramStart"/>
      <w:r w:rsidRPr="00797004">
        <w:rPr>
          <w:rFonts w:ascii="Arial" w:hAnsi="Arial" w:cs="Arial"/>
          <w:sz w:val="24"/>
          <w:szCs w:val="24"/>
        </w:rPr>
        <w:t>skills</w:t>
      </w:r>
      <w:proofErr w:type="gramEnd"/>
    </w:p>
    <w:p w14:paraId="0480291C" w14:textId="370B89F2" w:rsidR="00356298" w:rsidRPr="00797004" w:rsidRDefault="00356298" w:rsidP="00B66156">
      <w:pPr>
        <w:pStyle w:val="ListParagraph"/>
        <w:numPr>
          <w:ilvl w:val="0"/>
          <w:numId w:val="3"/>
        </w:numPr>
        <w:spacing w:line="360" w:lineRule="auto"/>
        <w:rPr>
          <w:rFonts w:ascii="Arial" w:hAnsi="Arial" w:cs="Arial"/>
          <w:sz w:val="24"/>
          <w:szCs w:val="24"/>
        </w:rPr>
      </w:pPr>
      <w:r w:rsidRPr="00797004">
        <w:rPr>
          <w:rFonts w:ascii="Arial" w:hAnsi="Arial" w:cs="Arial"/>
          <w:sz w:val="24"/>
          <w:szCs w:val="24"/>
        </w:rPr>
        <w:t>To gain a detailed understanding of the impact of teacher</w:t>
      </w:r>
      <w:r w:rsidR="00515BD6">
        <w:rPr>
          <w:rFonts w:ascii="Arial" w:hAnsi="Arial" w:cs="Arial"/>
          <w:sz w:val="24"/>
          <w:szCs w:val="24"/>
        </w:rPr>
        <w:t>-</w:t>
      </w:r>
      <w:r w:rsidRPr="00797004">
        <w:rPr>
          <w:rFonts w:ascii="Arial" w:hAnsi="Arial" w:cs="Arial"/>
          <w:sz w:val="24"/>
          <w:szCs w:val="24"/>
        </w:rPr>
        <w:t>student interactions on student self-efficacy</w:t>
      </w:r>
    </w:p>
    <w:p w14:paraId="43B5CC72" w14:textId="77777777" w:rsidR="00356298" w:rsidRPr="00797004" w:rsidRDefault="00356298" w:rsidP="00B66156">
      <w:pPr>
        <w:pStyle w:val="ListParagraph"/>
        <w:numPr>
          <w:ilvl w:val="0"/>
          <w:numId w:val="3"/>
        </w:numPr>
        <w:spacing w:line="360" w:lineRule="auto"/>
        <w:rPr>
          <w:rFonts w:ascii="Arial" w:hAnsi="Arial" w:cs="Arial"/>
          <w:sz w:val="24"/>
          <w:szCs w:val="24"/>
        </w:rPr>
      </w:pPr>
      <w:r w:rsidRPr="00797004">
        <w:rPr>
          <w:rFonts w:ascii="Arial" w:hAnsi="Arial" w:cs="Arial"/>
          <w:sz w:val="24"/>
          <w:szCs w:val="24"/>
        </w:rPr>
        <w:lastRenderedPageBreak/>
        <w:t xml:space="preserve">To appraise the possible benefits of this research when applied to my teaching </w:t>
      </w:r>
      <w:proofErr w:type="gramStart"/>
      <w:r w:rsidRPr="00797004">
        <w:rPr>
          <w:rFonts w:ascii="Arial" w:hAnsi="Arial" w:cs="Arial"/>
          <w:sz w:val="24"/>
          <w:szCs w:val="24"/>
        </w:rPr>
        <w:t>practice</w:t>
      </w:r>
      <w:proofErr w:type="gramEnd"/>
    </w:p>
    <w:p w14:paraId="307110E0" w14:textId="77777777" w:rsidR="00356298" w:rsidRPr="00797004" w:rsidRDefault="00356298" w:rsidP="00B66156">
      <w:pPr>
        <w:pStyle w:val="ListParagraph"/>
        <w:numPr>
          <w:ilvl w:val="0"/>
          <w:numId w:val="3"/>
        </w:numPr>
        <w:spacing w:line="360" w:lineRule="auto"/>
        <w:rPr>
          <w:rFonts w:ascii="Arial" w:hAnsi="Arial" w:cs="Arial"/>
          <w:sz w:val="24"/>
          <w:szCs w:val="24"/>
        </w:rPr>
      </w:pPr>
      <w:r w:rsidRPr="00797004">
        <w:rPr>
          <w:rFonts w:ascii="Arial" w:hAnsi="Arial" w:cs="Arial"/>
          <w:sz w:val="24"/>
          <w:szCs w:val="24"/>
        </w:rPr>
        <w:t xml:space="preserve">To develop my knowledge of methodologies applied to a literature review to improve reliability and efficiency in the research </w:t>
      </w:r>
      <w:proofErr w:type="gramStart"/>
      <w:r w:rsidRPr="00797004">
        <w:rPr>
          <w:rFonts w:ascii="Arial" w:hAnsi="Arial" w:cs="Arial"/>
          <w:sz w:val="24"/>
          <w:szCs w:val="24"/>
        </w:rPr>
        <w:t>process</w:t>
      </w:r>
      <w:proofErr w:type="gramEnd"/>
    </w:p>
    <w:p w14:paraId="4D0565B5" w14:textId="77777777" w:rsidR="00356298" w:rsidRPr="00797004" w:rsidRDefault="00356298" w:rsidP="00B66156">
      <w:pPr>
        <w:spacing w:line="360" w:lineRule="auto"/>
        <w:rPr>
          <w:rFonts w:ascii="Arial" w:hAnsi="Arial" w:cs="Arial"/>
          <w:b/>
          <w:bCs/>
          <w:sz w:val="24"/>
          <w:szCs w:val="24"/>
        </w:rPr>
      </w:pPr>
      <w:r w:rsidRPr="00797004">
        <w:rPr>
          <w:rFonts w:ascii="Arial" w:hAnsi="Arial" w:cs="Arial"/>
          <w:b/>
          <w:bCs/>
          <w:sz w:val="24"/>
          <w:szCs w:val="24"/>
        </w:rPr>
        <w:t>Objectives:</w:t>
      </w:r>
    </w:p>
    <w:p w14:paraId="631BBB13" w14:textId="3EB7800D" w:rsidR="00356298" w:rsidRPr="00797004" w:rsidRDefault="00356298" w:rsidP="0099705E">
      <w:pPr>
        <w:spacing w:line="360" w:lineRule="auto"/>
        <w:jc w:val="both"/>
        <w:rPr>
          <w:rFonts w:ascii="Arial" w:hAnsi="Arial" w:cs="Arial"/>
          <w:sz w:val="24"/>
          <w:szCs w:val="24"/>
        </w:rPr>
      </w:pPr>
      <w:r w:rsidRPr="00797004">
        <w:rPr>
          <w:rFonts w:ascii="Arial" w:hAnsi="Arial" w:cs="Arial"/>
          <w:sz w:val="24"/>
          <w:szCs w:val="24"/>
        </w:rPr>
        <w:t xml:space="preserve">The following areas are objectives </w:t>
      </w:r>
      <w:r w:rsidR="0099653D">
        <w:rPr>
          <w:rFonts w:ascii="Arial" w:hAnsi="Arial" w:cs="Arial"/>
          <w:sz w:val="24"/>
          <w:szCs w:val="24"/>
        </w:rPr>
        <w:t>specific</w:t>
      </w:r>
      <w:r w:rsidRPr="00797004">
        <w:rPr>
          <w:rFonts w:ascii="Arial" w:hAnsi="Arial" w:cs="Arial"/>
          <w:sz w:val="24"/>
          <w:szCs w:val="24"/>
        </w:rPr>
        <w:t xml:space="preserve"> to this assignment and the CPD requirements of my professional practice:</w:t>
      </w:r>
    </w:p>
    <w:p w14:paraId="39E4BE71" w14:textId="77777777" w:rsidR="00356298" w:rsidRPr="00797004" w:rsidRDefault="00356298" w:rsidP="00B66156">
      <w:pPr>
        <w:pStyle w:val="ListParagraph"/>
        <w:numPr>
          <w:ilvl w:val="0"/>
          <w:numId w:val="2"/>
        </w:numPr>
        <w:spacing w:line="360" w:lineRule="auto"/>
        <w:rPr>
          <w:rFonts w:ascii="Arial" w:hAnsi="Arial" w:cs="Arial"/>
          <w:sz w:val="24"/>
          <w:szCs w:val="24"/>
        </w:rPr>
      </w:pPr>
      <w:r w:rsidRPr="00797004">
        <w:rPr>
          <w:rFonts w:ascii="Arial" w:hAnsi="Arial" w:cs="Arial"/>
          <w:sz w:val="24"/>
          <w:szCs w:val="24"/>
        </w:rPr>
        <w:t>To create a literature review methodology</w:t>
      </w:r>
    </w:p>
    <w:p w14:paraId="176AB62B" w14:textId="77777777" w:rsidR="00356298" w:rsidRPr="00797004" w:rsidRDefault="00356298" w:rsidP="00B66156">
      <w:pPr>
        <w:pStyle w:val="ListParagraph"/>
        <w:numPr>
          <w:ilvl w:val="0"/>
          <w:numId w:val="2"/>
        </w:numPr>
        <w:spacing w:line="360" w:lineRule="auto"/>
        <w:rPr>
          <w:rFonts w:ascii="Arial" w:hAnsi="Arial" w:cs="Arial"/>
          <w:sz w:val="24"/>
          <w:szCs w:val="24"/>
        </w:rPr>
      </w:pPr>
      <w:r w:rsidRPr="00797004">
        <w:rPr>
          <w:rFonts w:ascii="Arial" w:hAnsi="Arial" w:cs="Arial"/>
          <w:sz w:val="24"/>
          <w:szCs w:val="24"/>
        </w:rPr>
        <w:t>To identify key relevant research and researchers</w:t>
      </w:r>
      <w:r w:rsidRPr="00797004">
        <w:rPr>
          <w:rFonts w:ascii="Arial" w:hAnsi="Arial" w:cs="Arial"/>
          <w:sz w:val="24"/>
          <w:szCs w:val="24"/>
        </w:rPr>
        <w:tab/>
      </w:r>
    </w:p>
    <w:p w14:paraId="73DB3D2D" w14:textId="77777777" w:rsidR="00356298" w:rsidRPr="00797004" w:rsidRDefault="00356298" w:rsidP="00B66156">
      <w:pPr>
        <w:pStyle w:val="ListParagraph"/>
        <w:numPr>
          <w:ilvl w:val="0"/>
          <w:numId w:val="2"/>
        </w:numPr>
        <w:spacing w:line="360" w:lineRule="auto"/>
        <w:rPr>
          <w:rFonts w:ascii="Arial" w:hAnsi="Arial" w:cs="Arial"/>
          <w:sz w:val="24"/>
          <w:szCs w:val="24"/>
        </w:rPr>
      </w:pPr>
      <w:r w:rsidRPr="00797004">
        <w:rPr>
          <w:rFonts w:ascii="Arial" w:hAnsi="Arial" w:cs="Arial"/>
          <w:sz w:val="24"/>
          <w:szCs w:val="24"/>
        </w:rPr>
        <w:t>To conduct a rigorous literature review into self-efficacy and teaching strategies</w:t>
      </w:r>
    </w:p>
    <w:p w14:paraId="3CC6D1F9" w14:textId="77777777" w:rsidR="00356298" w:rsidRPr="00797004" w:rsidRDefault="00356298" w:rsidP="00B66156">
      <w:pPr>
        <w:pStyle w:val="ListParagraph"/>
        <w:numPr>
          <w:ilvl w:val="0"/>
          <w:numId w:val="2"/>
        </w:numPr>
        <w:spacing w:line="360" w:lineRule="auto"/>
        <w:rPr>
          <w:rFonts w:ascii="Arial" w:hAnsi="Arial" w:cs="Arial"/>
          <w:sz w:val="24"/>
          <w:szCs w:val="24"/>
        </w:rPr>
      </w:pPr>
      <w:r w:rsidRPr="00797004">
        <w:rPr>
          <w:rFonts w:ascii="Arial" w:hAnsi="Arial" w:cs="Arial"/>
          <w:sz w:val="24"/>
          <w:szCs w:val="24"/>
        </w:rPr>
        <w:t xml:space="preserve">To employ an effective method of critical analysis when reviewing the literature which adds rigour and reduces bias in the </w:t>
      </w:r>
      <w:proofErr w:type="gramStart"/>
      <w:r w:rsidRPr="00797004">
        <w:rPr>
          <w:rFonts w:ascii="Arial" w:hAnsi="Arial" w:cs="Arial"/>
          <w:sz w:val="24"/>
          <w:szCs w:val="24"/>
        </w:rPr>
        <w:t>process</w:t>
      </w:r>
      <w:proofErr w:type="gramEnd"/>
    </w:p>
    <w:p w14:paraId="32720337" w14:textId="77777777" w:rsidR="00356298" w:rsidRPr="00797004" w:rsidRDefault="00356298" w:rsidP="00B66156">
      <w:pPr>
        <w:pStyle w:val="ListParagraph"/>
        <w:numPr>
          <w:ilvl w:val="0"/>
          <w:numId w:val="2"/>
        </w:numPr>
        <w:spacing w:line="360" w:lineRule="auto"/>
        <w:rPr>
          <w:rFonts w:ascii="Arial" w:hAnsi="Arial" w:cs="Arial"/>
          <w:sz w:val="24"/>
          <w:szCs w:val="24"/>
        </w:rPr>
      </w:pPr>
      <w:r w:rsidRPr="00797004">
        <w:rPr>
          <w:rFonts w:ascii="Arial" w:hAnsi="Arial" w:cs="Arial"/>
          <w:sz w:val="24"/>
          <w:szCs w:val="24"/>
        </w:rPr>
        <w:t>To evaluate literature review analysis and its application to my teaching practice</w:t>
      </w:r>
    </w:p>
    <w:p w14:paraId="5AF232F0" w14:textId="77777777" w:rsidR="00356298" w:rsidRPr="00797004" w:rsidRDefault="00356298" w:rsidP="00271D4D">
      <w:pPr>
        <w:pStyle w:val="ListParagraph"/>
        <w:numPr>
          <w:ilvl w:val="0"/>
          <w:numId w:val="2"/>
        </w:numPr>
        <w:spacing w:line="360" w:lineRule="auto"/>
        <w:rPr>
          <w:rFonts w:ascii="Arial" w:hAnsi="Arial" w:cs="Arial"/>
          <w:sz w:val="24"/>
          <w:szCs w:val="24"/>
        </w:rPr>
      </w:pPr>
      <w:r w:rsidRPr="00797004">
        <w:rPr>
          <w:rFonts w:ascii="Arial" w:hAnsi="Arial" w:cs="Arial"/>
          <w:sz w:val="24"/>
          <w:szCs w:val="24"/>
        </w:rPr>
        <w:t>To conduct a critical reflection of the learning experience and the knowledge gained</w:t>
      </w:r>
    </w:p>
    <w:p w14:paraId="189918DA" w14:textId="77777777" w:rsidR="00356298" w:rsidRPr="00797004" w:rsidRDefault="00356298" w:rsidP="00B66156">
      <w:pPr>
        <w:spacing w:line="360" w:lineRule="auto"/>
        <w:rPr>
          <w:rFonts w:ascii="Arial" w:hAnsi="Arial" w:cs="Arial"/>
          <w:b/>
          <w:bCs/>
          <w:sz w:val="24"/>
          <w:szCs w:val="24"/>
        </w:rPr>
      </w:pPr>
      <w:r w:rsidRPr="00797004">
        <w:rPr>
          <w:rFonts w:ascii="Arial" w:hAnsi="Arial" w:cs="Arial"/>
          <w:b/>
          <w:bCs/>
          <w:sz w:val="24"/>
          <w:szCs w:val="24"/>
        </w:rPr>
        <w:t>Synopsis of learning outcomes:</w:t>
      </w:r>
    </w:p>
    <w:p w14:paraId="445B19BE" w14:textId="78C12195" w:rsidR="00356298" w:rsidRPr="00797004" w:rsidRDefault="00356298" w:rsidP="0099705E">
      <w:pPr>
        <w:spacing w:line="360" w:lineRule="auto"/>
        <w:jc w:val="both"/>
        <w:rPr>
          <w:rFonts w:ascii="Arial" w:hAnsi="Arial" w:cs="Arial"/>
          <w:sz w:val="24"/>
          <w:szCs w:val="24"/>
        </w:rPr>
      </w:pPr>
      <w:r w:rsidRPr="00797004">
        <w:rPr>
          <w:rFonts w:ascii="Arial" w:hAnsi="Arial" w:cs="Arial"/>
          <w:sz w:val="24"/>
          <w:szCs w:val="24"/>
        </w:rPr>
        <w:t>This assignment has key learning outcomes which will aid my development as a singing teacher</w:t>
      </w:r>
      <w:r w:rsidR="005D3252">
        <w:rPr>
          <w:rFonts w:ascii="Arial" w:hAnsi="Arial" w:cs="Arial"/>
          <w:sz w:val="24"/>
          <w:szCs w:val="24"/>
        </w:rPr>
        <w:t>:</w:t>
      </w:r>
    </w:p>
    <w:p w14:paraId="75F770DA" w14:textId="77777777" w:rsidR="00356298" w:rsidRPr="00797004" w:rsidRDefault="00356298" w:rsidP="00B66156">
      <w:pPr>
        <w:pStyle w:val="ListParagraph"/>
        <w:numPr>
          <w:ilvl w:val="0"/>
          <w:numId w:val="1"/>
        </w:numPr>
        <w:spacing w:line="360" w:lineRule="auto"/>
        <w:rPr>
          <w:rFonts w:ascii="Arial" w:hAnsi="Arial" w:cs="Arial"/>
          <w:sz w:val="24"/>
          <w:szCs w:val="24"/>
        </w:rPr>
      </w:pPr>
      <w:r w:rsidRPr="00797004">
        <w:rPr>
          <w:rFonts w:ascii="Arial" w:hAnsi="Arial" w:cs="Arial"/>
          <w:sz w:val="24"/>
          <w:szCs w:val="24"/>
        </w:rPr>
        <w:t xml:space="preserve">To learn how to conduct a rigorous literature </w:t>
      </w:r>
      <w:proofErr w:type="gramStart"/>
      <w:r w:rsidRPr="00797004">
        <w:rPr>
          <w:rFonts w:ascii="Arial" w:hAnsi="Arial" w:cs="Arial"/>
          <w:sz w:val="24"/>
          <w:szCs w:val="24"/>
        </w:rPr>
        <w:t>review</w:t>
      </w:r>
      <w:proofErr w:type="gramEnd"/>
      <w:r w:rsidRPr="00797004">
        <w:rPr>
          <w:rFonts w:ascii="Arial" w:hAnsi="Arial" w:cs="Arial"/>
          <w:sz w:val="24"/>
          <w:szCs w:val="24"/>
        </w:rPr>
        <w:t xml:space="preserve"> </w:t>
      </w:r>
    </w:p>
    <w:p w14:paraId="30B14B70" w14:textId="77777777" w:rsidR="00356298" w:rsidRPr="00797004" w:rsidRDefault="00356298" w:rsidP="00B66156">
      <w:pPr>
        <w:pStyle w:val="ListParagraph"/>
        <w:numPr>
          <w:ilvl w:val="0"/>
          <w:numId w:val="1"/>
        </w:numPr>
        <w:spacing w:line="360" w:lineRule="auto"/>
        <w:rPr>
          <w:rFonts w:ascii="Arial" w:hAnsi="Arial" w:cs="Arial"/>
          <w:sz w:val="24"/>
          <w:szCs w:val="24"/>
        </w:rPr>
      </w:pPr>
      <w:r w:rsidRPr="00797004">
        <w:rPr>
          <w:rFonts w:ascii="Arial" w:hAnsi="Arial" w:cs="Arial"/>
          <w:sz w:val="24"/>
          <w:szCs w:val="24"/>
        </w:rPr>
        <w:t>To gain an understanding of self-efficacy and how teaching strategies can impact a person’s sense of self-</w:t>
      </w:r>
      <w:proofErr w:type="gramStart"/>
      <w:r w:rsidRPr="00797004">
        <w:rPr>
          <w:rFonts w:ascii="Arial" w:hAnsi="Arial" w:cs="Arial"/>
          <w:sz w:val="24"/>
          <w:szCs w:val="24"/>
        </w:rPr>
        <w:t>efficacy</w:t>
      </w:r>
      <w:proofErr w:type="gramEnd"/>
    </w:p>
    <w:p w14:paraId="1CA7E56D" w14:textId="77777777" w:rsidR="00356298" w:rsidRPr="00797004" w:rsidRDefault="00356298" w:rsidP="00B66156">
      <w:pPr>
        <w:pStyle w:val="ListParagraph"/>
        <w:numPr>
          <w:ilvl w:val="0"/>
          <w:numId w:val="1"/>
        </w:numPr>
        <w:spacing w:line="360" w:lineRule="auto"/>
        <w:rPr>
          <w:rFonts w:ascii="Arial" w:hAnsi="Arial" w:cs="Arial"/>
          <w:sz w:val="24"/>
          <w:szCs w:val="24"/>
        </w:rPr>
      </w:pPr>
      <w:r w:rsidRPr="00797004">
        <w:rPr>
          <w:rFonts w:ascii="Arial" w:hAnsi="Arial" w:cs="Arial"/>
          <w:sz w:val="24"/>
          <w:szCs w:val="24"/>
        </w:rPr>
        <w:t xml:space="preserve">To analyse the information found in the literature review in a systematic way to aid effective critical </w:t>
      </w:r>
      <w:proofErr w:type="gramStart"/>
      <w:r w:rsidRPr="00797004">
        <w:rPr>
          <w:rFonts w:ascii="Arial" w:hAnsi="Arial" w:cs="Arial"/>
          <w:sz w:val="24"/>
          <w:szCs w:val="24"/>
        </w:rPr>
        <w:t>analysis</w:t>
      </w:r>
      <w:proofErr w:type="gramEnd"/>
      <w:r w:rsidRPr="00797004">
        <w:rPr>
          <w:rFonts w:ascii="Arial" w:hAnsi="Arial" w:cs="Arial"/>
          <w:sz w:val="24"/>
          <w:szCs w:val="24"/>
        </w:rPr>
        <w:t xml:space="preserve"> </w:t>
      </w:r>
    </w:p>
    <w:p w14:paraId="4541E42B" w14:textId="376C0FF0" w:rsidR="000228F2" w:rsidRPr="005D37BD" w:rsidRDefault="00356298" w:rsidP="005D37BD">
      <w:pPr>
        <w:pStyle w:val="ListParagraph"/>
        <w:numPr>
          <w:ilvl w:val="0"/>
          <w:numId w:val="1"/>
        </w:numPr>
        <w:spacing w:line="360" w:lineRule="auto"/>
        <w:rPr>
          <w:rFonts w:ascii="Arial" w:hAnsi="Arial" w:cs="Arial"/>
          <w:sz w:val="24"/>
          <w:szCs w:val="24"/>
        </w:rPr>
      </w:pPr>
      <w:r w:rsidRPr="007E3B8B">
        <w:rPr>
          <w:rFonts w:ascii="Arial" w:hAnsi="Arial" w:cs="Arial"/>
          <w:sz w:val="24"/>
          <w:szCs w:val="24"/>
        </w:rPr>
        <w:t>To critically evaluate the research and its potential impact when applied to my teaching practice</w:t>
      </w:r>
      <w:r w:rsidR="005D37BD">
        <w:rPr>
          <w:rFonts w:ascii="Arial" w:hAnsi="Arial" w:cs="Arial"/>
          <w:sz w:val="24"/>
          <w:szCs w:val="24"/>
        </w:rPr>
        <w:br w:type="page"/>
      </w:r>
    </w:p>
    <w:p w14:paraId="316CB99B" w14:textId="6803561B" w:rsidR="00CF4722" w:rsidRDefault="000228F2" w:rsidP="006B28F5">
      <w:pPr>
        <w:spacing w:line="360" w:lineRule="auto"/>
        <w:jc w:val="both"/>
        <w:rPr>
          <w:rFonts w:ascii="Arial" w:hAnsi="Arial" w:cs="Arial"/>
          <w:noProof/>
          <w:sz w:val="24"/>
          <w:szCs w:val="24"/>
        </w:rPr>
      </w:pPr>
      <w:r>
        <w:rPr>
          <w:rFonts w:ascii="Arial" w:hAnsi="Arial" w:cs="Arial"/>
          <w:sz w:val="24"/>
          <w:szCs w:val="24"/>
        </w:rPr>
        <w:lastRenderedPageBreak/>
        <w:t>The project planning</w:t>
      </w:r>
      <w:r w:rsidR="00026B65">
        <w:rPr>
          <w:rFonts w:ascii="Arial" w:hAnsi="Arial" w:cs="Arial"/>
          <w:sz w:val="24"/>
          <w:szCs w:val="24"/>
        </w:rPr>
        <w:t xml:space="preserve"> will be organised using a</w:t>
      </w:r>
      <w:r>
        <w:rPr>
          <w:rFonts w:ascii="Arial" w:hAnsi="Arial" w:cs="Arial"/>
          <w:sz w:val="24"/>
          <w:szCs w:val="24"/>
        </w:rPr>
        <w:t xml:space="preserve"> </w:t>
      </w:r>
      <w:r w:rsidR="00026B65">
        <w:rPr>
          <w:rFonts w:ascii="Arial" w:hAnsi="Arial" w:cs="Arial"/>
          <w:sz w:val="24"/>
          <w:szCs w:val="24"/>
        </w:rPr>
        <w:t>G</w:t>
      </w:r>
      <w:r>
        <w:rPr>
          <w:rFonts w:ascii="Arial" w:hAnsi="Arial" w:cs="Arial"/>
          <w:sz w:val="24"/>
          <w:szCs w:val="24"/>
        </w:rPr>
        <w:t>antt chart</w:t>
      </w:r>
      <w:r w:rsidR="00EC0B27">
        <w:rPr>
          <w:rFonts w:ascii="Arial" w:hAnsi="Arial" w:cs="Arial"/>
          <w:sz w:val="24"/>
          <w:szCs w:val="24"/>
        </w:rPr>
        <w:t xml:space="preserve">, see </w:t>
      </w:r>
      <w:r w:rsidR="00B45DE7">
        <w:rPr>
          <w:rFonts w:ascii="Arial" w:hAnsi="Arial" w:cs="Arial"/>
          <w:sz w:val="24"/>
          <w:szCs w:val="24"/>
        </w:rPr>
        <w:t>F</w:t>
      </w:r>
      <w:r w:rsidR="00EC0B27">
        <w:rPr>
          <w:rFonts w:ascii="Arial" w:hAnsi="Arial" w:cs="Arial"/>
          <w:sz w:val="24"/>
          <w:szCs w:val="24"/>
        </w:rPr>
        <w:t>ig</w:t>
      </w:r>
      <w:r w:rsidR="00B45DE7">
        <w:rPr>
          <w:rFonts w:ascii="Arial" w:hAnsi="Arial" w:cs="Arial"/>
          <w:sz w:val="24"/>
          <w:szCs w:val="24"/>
        </w:rPr>
        <w:t xml:space="preserve"> </w:t>
      </w:r>
      <w:r w:rsidR="00EC0B27">
        <w:rPr>
          <w:rFonts w:ascii="Arial" w:hAnsi="Arial" w:cs="Arial"/>
          <w:sz w:val="24"/>
          <w:szCs w:val="24"/>
        </w:rPr>
        <w:t>1</w:t>
      </w:r>
      <w:r w:rsidR="00B45DE7">
        <w:rPr>
          <w:rFonts w:ascii="Arial" w:hAnsi="Arial" w:cs="Arial"/>
          <w:sz w:val="24"/>
          <w:szCs w:val="24"/>
        </w:rPr>
        <w:t xml:space="preserve">: Project plan September to October 2022, Fig 2: Project plan November to December 2022, and </w:t>
      </w:r>
      <w:r w:rsidR="00E71E88">
        <w:rPr>
          <w:rFonts w:ascii="Arial" w:hAnsi="Arial" w:cs="Arial"/>
          <w:sz w:val="24"/>
          <w:szCs w:val="24"/>
        </w:rPr>
        <w:t xml:space="preserve">Fig </w:t>
      </w:r>
      <w:r w:rsidR="00CF4722">
        <w:rPr>
          <w:rFonts w:ascii="Arial" w:hAnsi="Arial" w:cs="Arial"/>
          <w:sz w:val="24"/>
          <w:szCs w:val="24"/>
        </w:rPr>
        <w:t>3</w:t>
      </w:r>
      <w:r w:rsidR="00E71E88">
        <w:rPr>
          <w:rFonts w:ascii="Arial" w:hAnsi="Arial" w:cs="Arial"/>
          <w:sz w:val="24"/>
          <w:szCs w:val="24"/>
        </w:rPr>
        <w:t>: Project plan January 2023 (below).</w:t>
      </w:r>
      <w:r w:rsidR="00CF4722" w:rsidRPr="00CF4722">
        <w:rPr>
          <w:rFonts w:ascii="Arial" w:hAnsi="Arial" w:cs="Arial"/>
          <w:noProof/>
          <w:sz w:val="24"/>
          <w:szCs w:val="24"/>
        </w:rPr>
        <w:t xml:space="preserve"> </w:t>
      </w:r>
    </w:p>
    <w:p w14:paraId="154C24BD" w14:textId="33194840" w:rsidR="00E71E88" w:rsidRDefault="00CF4722" w:rsidP="000228F2">
      <w:pPr>
        <w:spacing w:line="360" w:lineRule="auto"/>
        <w:rPr>
          <w:rFonts w:ascii="Arial" w:hAnsi="Arial" w:cs="Arial"/>
          <w:sz w:val="24"/>
          <w:szCs w:val="24"/>
        </w:rPr>
      </w:pPr>
      <w:r>
        <w:rPr>
          <w:rFonts w:ascii="Arial" w:hAnsi="Arial" w:cs="Arial"/>
          <w:sz w:val="24"/>
          <w:szCs w:val="24"/>
        </w:rPr>
        <w:t>Fig 1: Project plan September to October 2022</w:t>
      </w:r>
      <w:r>
        <w:rPr>
          <w:rFonts w:ascii="Arial" w:hAnsi="Arial" w:cs="Arial"/>
          <w:noProof/>
          <w:sz w:val="24"/>
          <w:szCs w:val="24"/>
        </w:rPr>
        <w:drawing>
          <wp:inline distT="0" distB="0" distL="0" distR="0" wp14:anchorId="1B210998" wp14:editId="62ABEFE0">
            <wp:extent cx="5731510" cy="1939290"/>
            <wp:effectExtent l="0" t="0" r="2540" b="3810"/>
            <wp:docPr id="3" name="Picture 3"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1939290"/>
                    </a:xfrm>
                    <a:prstGeom prst="rect">
                      <a:avLst/>
                    </a:prstGeom>
                  </pic:spPr>
                </pic:pic>
              </a:graphicData>
            </a:graphic>
          </wp:inline>
        </w:drawing>
      </w:r>
    </w:p>
    <w:p w14:paraId="7CA01829" w14:textId="05382FC6" w:rsidR="00CF4722" w:rsidRDefault="00CF4722" w:rsidP="000228F2">
      <w:pPr>
        <w:spacing w:line="360" w:lineRule="auto"/>
        <w:rPr>
          <w:rFonts w:ascii="Arial" w:hAnsi="Arial" w:cs="Arial"/>
          <w:sz w:val="24"/>
          <w:szCs w:val="24"/>
        </w:rPr>
      </w:pPr>
      <w:r>
        <w:rPr>
          <w:rFonts w:ascii="Arial" w:hAnsi="Arial" w:cs="Arial"/>
          <w:sz w:val="24"/>
          <w:szCs w:val="24"/>
        </w:rPr>
        <w:t>Fig 2: Project plan November to December 2022</w:t>
      </w:r>
    </w:p>
    <w:p w14:paraId="47A1D6A7" w14:textId="77777777" w:rsidR="00CF4722" w:rsidRDefault="00E71E88" w:rsidP="000228F2">
      <w:pPr>
        <w:spacing w:line="360" w:lineRule="auto"/>
        <w:rPr>
          <w:rFonts w:ascii="Arial" w:hAnsi="Arial" w:cs="Arial"/>
          <w:sz w:val="24"/>
          <w:szCs w:val="24"/>
        </w:rPr>
      </w:pPr>
      <w:r>
        <w:rPr>
          <w:rFonts w:ascii="Arial" w:hAnsi="Arial" w:cs="Arial"/>
          <w:noProof/>
          <w:sz w:val="24"/>
          <w:szCs w:val="24"/>
        </w:rPr>
        <w:drawing>
          <wp:inline distT="0" distB="0" distL="0" distR="0" wp14:anchorId="3E418441" wp14:editId="6EEBFCF1">
            <wp:extent cx="5731510" cy="1896110"/>
            <wp:effectExtent l="0" t="0" r="2540" b="889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1896110"/>
                    </a:xfrm>
                    <a:prstGeom prst="rect">
                      <a:avLst/>
                    </a:prstGeom>
                  </pic:spPr>
                </pic:pic>
              </a:graphicData>
            </a:graphic>
          </wp:inline>
        </w:drawing>
      </w:r>
    </w:p>
    <w:p w14:paraId="3FAC306B" w14:textId="463A0039" w:rsidR="00CF4722" w:rsidRDefault="00CF4722" w:rsidP="000228F2">
      <w:pPr>
        <w:spacing w:line="360" w:lineRule="auto"/>
        <w:rPr>
          <w:rFonts w:ascii="Arial" w:hAnsi="Arial" w:cs="Arial"/>
          <w:sz w:val="24"/>
          <w:szCs w:val="24"/>
        </w:rPr>
      </w:pPr>
      <w:r>
        <w:rPr>
          <w:rFonts w:ascii="Arial" w:hAnsi="Arial" w:cs="Arial"/>
          <w:sz w:val="24"/>
          <w:szCs w:val="24"/>
        </w:rPr>
        <w:t xml:space="preserve">Fig 3: Project plan January 2023 </w:t>
      </w:r>
      <w:r w:rsidR="00F76DF5">
        <w:rPr>
          <w:rFonts w:ascii="Arial" w:hAnsi="Arial" w:cs="Arial"/>
          <w:noProof/>
          <w:sz w:val="24"/>
          <w:szCs w:val="24"/>
        </w:rPr>
        <w:drawing>
          <wp:inline distT="0" distB="0" distL="0" distR="0" wp14:anchorId="3A2757F5" wp14:editId="627B7FF8">
            <wp:extent cx="5731510" cy="2365375"/>
            <wp:effectExtent l="0" t="0" r="2540" b="0"/>
            <wp:docPr id="4" name="Picture 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imeli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365375"/>
                    </a:xfrm>
                    <a:prstGeom prst="rect">
                      <a:avLst/>
                    </a:prstGeom>
                  </pic:spPr>
                </pic:pic>
              </a:graphicData>
            </a:graphic>
          </wp:inline>
        </w:drawing>
      </w:r>
      <w:r>
        <w:rPr>
          <w:rFonts w:ascii="Arial" w:hAnsi="Arial" w:cs="Arial"/>
          <w:sz w:val="24"/>
          <w:szCs w:val="24"/>
        </w:rPr>
        <w:br w:type="page"/>
      </w:r>
    </w:p>
    <w:p w14:paraId="6F6B65DA" w14:textId="77777777" w:rsidR="00356298" w:rsidRPr="00797004" w:rsidRDefault="00356298" w:rsidP="00B66156">
      <w:pPr>
        <w:spacing w:line="360" w:lineRule="auto"/>
        <w:jc w:val="both"/>
        <w:rPr>
          <w:rFonts w:ascii="Arial" w:hAnsi="Arial" w:cs="Arial"/>
          <w:b/>
          <w:bCs/>
          <w:sz w:val="24"/>
          <w:szCs w:val="24"/>
        </w:rPr>
      </w:pPr>
      <w:r w:rsidRPr="00797004">
        <w:rPr>
          <w:rFonts w:ascii="Arial" w:hAnsi="Arial" w:cs="Arial"/>
          <w:b/>
          <w:bCs/>
          <w:sz w:val="24"/>
          <w:szCs w:val="24"/>
        </w:rPr>
        <w:lastRenderedPageBreak/>
        <w:t>Methodology:</w:t>
      </w:r>
    </w:p>
    <w:p w14:paraId="062F5DFA" w14:textId="659E6C74" w:rsidR="00356298" w:rsidRPr="00797004" w:rsidRDefault="00356298" w:rsidP="00B66156">
      <w:pPr>
        <w:spacing w:line="360" w:lineRule="auto"/>
        <w:jc w:val="both"/>
        <w:rPr>
          <w:rFonts w:ascii="Arial" w:hAnsi="Arial" w:cs="Arial"/>
          <w:sz w:val="24"/>
          <w:szCs w:val="24"/>
        </w:rPr>
      </w:pPr>
      <w:r w:rsidRPr="00797004">
        <w:rPr>
          <w:rFonts w:ascii="Arial" w:hAnsi="Arial" w:cs="Arial"/>
          <w:sz w:val="24"/>
          <w:szCs w:val="24"/>
        </w:rPr>
        <w:t>This research will take the form of a literature review meta-synthesis of documents relating to the research question. These documents are likely to include qualitative</w:t>
      </w:r>
      <w:r w:rsidR="00E117BC">
        <w:rPr>
          <w:rFonts w:ascii="Arial" w:hAnsi="Arial" w:cs="Arial"/>
          <w:sz w:val="24"/>
          <w:szCs w:val="24"/>
        </w:rPr>
        <w:t xml:space="preserve"> research and </w:t>
      </w:r>
      <w:r w:rsidRPr="00797004">
        <w:rPr>
          <w:rFonts w:ascii="Arial" w:hAnsi="Arial" w:cs="Arial"/>
          <w:sz w:val="24"/>
          <w:szCs w:val="24"/>
        </w:rPr>
        <w:t xml:space="preserve">subjective data in the form of narrative analyses and associated conclusions from other researchers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{"citationItems":[{"id":"ITEM-1","itemData":{"author":[{"dropping-particle":"","family":"Walliman","given":"N","non-dropping-particle":"","parse-names":false,"suffix":""}],"id":"ITEM-1","issued":{"date-parts":[["2001"]]},"publisher":"SAGE Publications Ltd","publisher-place":"London","title":"Your Rersearch Project","type":"book"},"uris":["http://www.mendeley.com/documents/?uuid=020a350b-5fff-49ba-be66-90689c5d657b"]},{"id":"ITEM-2","itemData":{"abstract":"Seiring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Merriam","given":"Sharan","non-dropping-particle":"","parse-names":false,"suffix":""},{"dropping-particle":"","family":"Tisdell","given":"Elizabeth","non-dropping-particle":"","parse-names":false,"suffix":""}],"container-title":"Paper Knowledge . Toward a Media History of Documents","edition":"Fourth","id":"ITEM-2","issued":{"date-parts":[["2016"]]},"note":"There are a number of variations on these designs, but basically experimental approaches try to determine the cause of events and\nThere are a number of variations on these designs, but basically experimental approaches try to determine the cause of events and to predict similar events in the future. Survey or descriptive designs are\nexperimental approaches try to determine the cause of events and to predict similar events in the future. Survey or descriptive designs are intended to systematically describe\n\nRather than determining cause and effect, predicting, or describing the distribution of some attribute among a population, we might be interested in uncovering the meaning of a phenomenon for those involved. Qualitative researchers are interested in understanding how people interpret their experiences, how they construct their worlds, and what meaning they attribute to their experiences.\n\nBraun and Clarke's (2013) distinction between qualitative and quantitative research is somewhat simplified, they write that “the most basic definition of qualitative research is that it uses words as data …collected and analyzed in all sorts of ways. Quantitative research, in contrast, uses numbers as data and analyzes them using statistical techniques” (pp. 3–4, emphasis in original).\n\n\n","publisher":"Jossey-Bass","publisher-place":"San Francisco","title":"Qualitative Research","type":"book"},"uris":["http://www.mendeley.com/documents/?uuid=f0a0c8d9-5e9b-48c7-85fc-7981f990d40b"]}],"mendeley":{"formattedCitation":"(Walliman, 2001; Merriam and Tisdell, 2016)","plainTextFormattedCitation":"(Walliman, 2001; Merriam and Tisdell, 2016)","previouslyFormattedCitation":"(Walliman, 2001; Merriam and Tisdell, 2016)"},"properties":{"noteIndex":0},"schema":"https://github.com/citation-style-language/schema/raw/master/csl-citation.json"}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(Walliman, 2001; Merriam and Tisdell, 2016)</w:t>
      </w:r>
      <w:r w:rsidRPr="00797004">
        <w:rPr>
          <w:rFonts w:ascii="Arial" w:hAnsi="Arial" w:cs="Arial"/>
          <w:sz w:val="24"/>
          <w:szCs w:val="24"/>
        </w:rPr>
        <w:fldChar w:fldCharType="end"/>
      </w:r>
      <w:r w:rsidRPr="00797004">
        <w:rPr>
          <w:rFonts w:ascii="Arial" w:hAnsi="Arial" w:cs="Arial"/>
          <w:sz w:val="24"/>
          <w:szCs w:val="24"/>
        </w:rPr>
        <w:t>. As a work-based learning project</w:t>
      </w:r>
      <w:r w:rsidR="00066F73">
        <w:rPr>
          <w:rFonts w:ascii="Arial" w:hAnsi="Arial" w:cs="Arial"/>
          <w:sz w:val="24"/>
          <w:szCs w:val="24"/>
        </w:rPr>
        <w:t>,</w:t>
      </w:r>
      <w:r w:rsidRPr="00797004">
        <w:rPr>
          <w:rFonts w:ascii="Arial" w:hAnsi="Arial" w:cs="Arial"/>
          <w:sz w:val="24"/>
          <w:szCs w:val="24"/>
        </w:rPr>
        <w:t xml:space="preserve"> rigour needs to be worked into this literature process to make effective use of the learning opportunity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{"citationItems":[{"id":"ITEM-1","itemData":{"DOI":"10.1080/03075070903216635","ISSN":"03075079","abstract":"Since the 1980s there has been significant growth in the engagement of higher education with workforce development, with among other things the emergence of a distinct if varied area of provision commonly referred to as work-based learning. Recent examination of practice and literature indicates a growing sophistication in the way that work-based learning is being theorised and facilitated in higher education, with its gradual emergence as a distinct field of practice and study supported by relevant pedagogies and concepts of curriculum. Tensions continue to exist between the demands and opportunities provided by the workplace and the need to develop capable practice, support personal development and maintain academic validity; however, universities are beginning to engage with these issues at a deeper level than that suggested by simple notions of employer engagement and skills development, and the evidence indicates that well-designed work-based programmes are both effective and robust. © 2010 Society for Research into Higher Education.","author":[{"dropping-particle":"","family":"Lester","given":"Stan","non-dropping-particle":"","parse-names":false,"suffix":""},{"dropping-particle":"","family":"Costley","given":"Carol","non-dropping-particle":"","parse-names":false,"suffix":""}],"container-title":"Studies in Higher Education","id":"ITEM-1","issue":"5","issued":{"date-parts":[["2010"]]},"page":"561-575","title":"Work-based learning at higher education level: Value, practice and critique","type":"article-journal","volume":"35"},"uris":["http://www.mendeley.com/documents/?uuid=0c722ebe-571e-4e4a-8e31-0497ff4bb421"]}],"mendeley":{"formattedCitation":"(Lester and Costley, 2010)","plainTextFormattedCitation":"(Lester and Costley, 2010)","previouslyFormattedCitation":"(Lester and Costley, 2010)"},"properties":{"noteIndex":0},"schema":"https://github.com/citation-style-language/schema/raw/master/csl-citation.json"}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(Lester and Costley, 2010)</w:t>
      </w:r>
      <w:r w:rsidRPr="00797004">
        <w:rPr>
          <w:rFonts w:ascii="Arial" w:hAnsi="Arial" w:cs="Arial"/>
          <w:sz w:val="24"/>
          <w:szCs w:val="24"/>
        </w:rPr>
        <w:fldChar w:fldCharType="end"/>
      </w:r>
      <w:r w:rsidRPr="00797004">
        <w:rPr>
          <w:rFonts w:ascii="Arial" w:hAnsi="Arial" w:cs="Arial"/>
          <w:sz w:val="24"/>
          <w:szCs w:val="24"/>
        </w:rPr>
        <w:t xml:space="preserve">. As such this project will take the form of a semi-systematic review of documents to investigate self-efficacy in singers. The analysis of the data will look to </w:t>
      </w:r>
      <w:r w:rsidR="002C0A39">
        <w:rPr>
          <w:rFonts w:ascii="Arial" w:hAnsi="Arial" w:cs="Arial"/>
          <w:sz w:val="24"/>
          <w:szCs w:val="24"/>
        </w:rPr>
        <w:t>in</w:t>
      </w:r>
      <w:r w:rsidRPr="00797004">
        <w:rPr>
          <w:rFonts w:ascii="Arial" w:hAnsi="Arial" w:cs="Arial"/>
          <w:sz w:val="24"/>
          <w:szCs w:val="24"/>
        </w:rPr>
        <w:t xml:space="preserve">form teaching strategies though a process of qualitative evidence synthesis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ISBN":"9780335264704","author":[{"dropping-particle":"","family":"Denscombe","given":"Martyn","non-dropping-particle":"","parse-names":false,"suffix":""}],"id":"ITEM-1","issued":{"date-parts":[["2014"]]},"number-of-pages":"278","title":"O pen UP Study Skills The Good Research Guide","type":"book"},"uris":["http://www.mendeley.com/documents/?uuid=f0f8632a-34fe-4332-acd9-274e093fbb0b"]}],"mendeley":{"formattedCitation":"(Denscombe, 2014)","plainTextFormattedCitation":"(Denscombe, 2014)","previouslyFormattedCitation":"(Denscombe, 2014)"},"properties":{"noteIndex":0},"schema":"https://github.com/citation-style-language/schema/raw/master/csl-citation.json"}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(Denscombe, 2014)</w:t>
      </w:r>
      <w:r w:rsidRPr="00797004">
        <w:rPr>
          <w:rFonts w:ascii="Arial" w:hAnsi="Arial" w:cs="Arial"/>
          <w:sz w:val="24"/>
          <w:szCs w:val="24"/>
        </w:rPr>
        <w:fldChar w:fldCharType="end"/>
      </w:r>
      <w:r w:rsidRPr="00797004">
        <w:rPr>
          <w:rFonts w:ascii="Arial" w:hAnsi="Arial" w:cs="Arial"/>
          <w:sz w:val="24"/>
          <w:szCs w:val="24"/>
        </w:rPr>
        <w:t xml:space="preserve">. Thematic analysis will be used as the framework for the process with the acknowledgement that working as a lone researcher, </w:t>
      </w:r>
      <w:r w:rsidR="00B00D44">
        <w:rPr>
          <w:rFonts w:ascii="Arial" w:hAnsi="Arial" w:cs="Arial"/>
          <w:sz w:val="24"/>
          <w:szCs w:val="24"/>
        </w:rPr>
        <w:t xml:space="preserve">and </w:t>
      </w:r>
      <w:r w:rsidRPr="00797004">
        <w:rPr>
          <w:rFonts w:ascii="Arial" w:hAnsi="Arial" w:cs="Arial"/>
          <w:sz w:val="24"/>
          <w:szCs w:val="24"/>
        </w:rPr>
        <w:t xml:space="preserve">not working as part of a team, will have limitations for bias reduction given that all analysis will be from one </w:t>
      </w:r>
      <w:r w:rsidR="00096D36">
        <w:rPr>
          <w:rFonts w:ascii="Arial" w:hAnsi="Arial" w:cs="Arial"/>
          <w:sz w:val="24"/>
          <w:szCs w:val="24"/>
        </w:rPr>
        <w:t xml:space="preserve">person’s </w:t>
      </w:r>
      <w:r w:rsidRPr="00797004">
        <w:rPr>
          <w:rFonts w:ascii="Arial" w:hAnsi="Arial" w:cs="Arial"/>
          <w:sz w:val="24"/>
          <w:szCs w:val="24"/>
        </w:rPr>
        <w:t xml:space="preserve">perspective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{"citationItems":[{"id":"ITEM-1","itemData":{"DOI":"10.1080/2159676X.2019.1628806","ISSN":"1939845X","abstract":"Since initially writing on thematic analysis in 2006, the popularity of the method we outlined has exploded, the variety of TA approaches have expanded, and, not least, our thinking has developed and shifted. In this reflexive commentary, we look back at some of the unspoken assumptions that informed how we wrote our 2006 paper. We connect some of these un-identified assumptions, and developments in the method over the years, with some conceptual mismatches and confusions we see in published TA studies. In order to facilitate better TA practice, we reflect on how our thinking has evolved–and in some cases sedimented–since the publication of our 2006 paper, and clarify and revise some of the ways we phrased or conceptualised TA, and the elements of, and processes around, a method we now prefer to call reflexive TA.","author":[{"dropping-particle":"","family":"Braun","given":"Virginia","non-dropping-particle":"","parse-names":false,"suffix":""},{"dropping-particle":"","family":"Clarke","given":"Victoria","non-dropping-particle":"","parse-names":false,"suffix":""}],"container-title":"Qualitative Research in Sport, Exercise and Health","id":"ITEM-1","issue":"4","issued":{"date-parts":[["2019"]]},"page":"589-597","publisher":"Routledge","title":"Reflecting on reflexive thematic analysis","type":"article-journal","volume":"11"},"uris":["http://www.mendeley.com/documents/?uuid=e24d767a-9c14-4ae2-b026-6f8fa0177c0e"]},{"id":"ITEM-2","itemData":{"ISBN":"9780335264704","author":[{"dropping-particle":"","family":"Denscombe","given":"Martyn","non-dropping-particle":"","parse-names":false,"suffix":""}],"id":"ITEM-2","issued":{"date-parts":[["2014"]]},"number-of-pages":"278","title":"O pen UP Study Skills The Good Research Guide","type":"book"},"uris":["http://www.mendeley.com/documents/?uuid=f0f8632a-34fe-4332-acd9-274e093fbb0b"]}],"mendeley":{"formattedCitation":"(Denscombe, 2014; Braun and Clarke, 2019)","plainTextFormattedCitation":"(Denscombe, 2014; Braun and Clarke, 2019)","previouslyFormattedCitation":"(Denscombe, 2014; Braun and Clarke, 2019)"},"properties":{"noteIndex":0},"schema":"https://github.com/citation-style-language/schema/raw/master/csl-citation.json"}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(Denscombe, 2014; Braun and Clarke, 2019)</w:t>
      </w:r>
      <w:r w:rsidRPr="00797004">
        <w:rPr>
          <w:rFonts w:ascii="Arial" w:hAnsi="Arial" w:cs="Arial"/>
          <w:sz w:val="24"/>
          <w:szCs w:val="24"/>
        </w:rPr>
        <w:fldChar w:fldCharType="end"/>
      </w:r>
      <w:r w:rsidRPr="00797004">
        <w:rPr>
          <w:rFonts w:ascii="Arial" w:hAnsi="Arial" w:cs="Arial"/>
          <w:sz w:val="24"/>
          <w:szCs w:val="24"/>
        </w:rPr>
        <w:t xml:space="preserve">. </w:t>
      </w:r>
    </w:p>
    <w:p w14:paraId="6234E402" w14:textId="77777777" w:rsidR="00356298" w:rsidRPr="00797004" w:rsidRDefault="00356298" w:rsidP="00B66156">
      <w:pPr>
        <w:spacing w:line="360" w:lineRule="auto"/>
        <w:jc w:val="both"/>
        <w:rPr>
          <w:rFonts w:ascii="Arial" w:hAnsi="Arial" w:cs="Arial"/>
          <w:sz w:val="24"/>
          <w:szCs w:val="24"/>
        </w:rPr>
      </w:pPr>
      <w:r w:rsidRPr="00797004">
        <w:rPr>
          <w:rFonts w:ascii="Arial" w:hAnsi="Arial" w:cs="Arial"/>
          <w:b/>
          <w:bCs/>
          <w:sz w:val="24"/>
          <w:szCs w:val="24"/>
        </w:rPr>
        <w:t>Choosing the literature:</w:t>
      </w:r>
      <w:r w:rsidRPr="00797004">
        <w:rPr>
          <w:rFonts w:ascii="Arial" w:hAnsi="Arial" w:cs="Arial"/>
          <w:sz w:val="24"/>
          <w:szCs w:val="24"/>
        </w:rPr>
        <w:t xml:space="preserve"> </w:t>
      </w:r>
    </w:p>
    <w:p w14:paraId="2A9E4DDA" w14:textId="0AF531BB" w:rsidR="00356298" w:rsidRPr="00797004" w:rsidRDefault="00356298" w:rsidP="00B66156">
      <w:pPr>
        <w:spacing w:line="360" w:lineRule="auto"/>
        <w:jc w:val="both"/>
        <w:rPr>
          <w:rFonts w:ascii="Arial" w:hAnsi="Arial" w:cs="Arial"/>
          <w:sz w:val="24"/>
          <w:szCs w:val="24"/>
        </w:rPr>
      </w:pPr>
      <w:r w:rsidRPr="00797004">
        <w:rPr>
          <w:rFonts w:ascii="Arial" w:hAnsi="Arial" w:cs="Arial"/>
          <w:sz w:val="24"/>
          <w:szCs w:val="24"/>
        </w:rPr>
        <w:t xml:space="preserve">The literature review will cover work by researchers </w:t>
      </w:r>
      <w:r w:rsidR="00290415">
        <w:rPr>
          <w:rFonts w:ascii="Arial" w:hAnsi="Arial" w:cs="Arial"/>
          <w:sz w:val="24"/>
          <w:szCs w:val="24"/>
        </w:rPr>
        <w:t>in</w:t>
      </w:r>
      <w:r w:rsidRPr="00797004">
        <w:rPr>
          <w:rFonts w:ascii="Arial" w:hAnsi="Arial" w:cs="Arial"/>
          <w:sz w:val="24"/>
          <w:szCs w:val="24"/>
        </w:rPr>
        <w:t xml:space="preserve"> different fields, such as psychology, coaching, and voice pedagogy. Preliminary reading shows there is a wealth of research in these fields. This further highlights the need for a systematic approach to </w:t>
      </w:r>
      <w:r w:rsidR="00FF2505">
        <w:rPr>
          <w:rFonts w:ascii="Arial" w:hAnsi="Arial" w:cs="Arial"/>
          <w:sz w:val="24"/>
          <w:szCs w:val="24"/>
        </w:rPr>
        <w:t xml:space="preserve">the </w:t>
      </w:r>
      <w:r w:rsidRPr="00797004">
        <w:rPr>
          <w:rFonts w:ascii="Arial" w:hAnsi="Arial" w:cs="Arial"/>
          <w:sz w:val="24"/>
          <w:szCs w:val="24"/>
        </w:rPr>
        <w:t>organis</w:t>
      </w:r>
      <w:r w:rsidR="00FF2505">
        <w:rPr>
          <w:rFonts w:ascii="Arial" w:hAnsi="Arial" w:cs="Arial"/>
          <w:sz w:val="24"/>
          <w:szCs w:val="24"/>
        </w:rPr>
        <w:t>ation of</w:t>
      </w:r>
      <w:r w:rsidRPr="00797004">
        <w:rPr>
          <w:rFonts w:ascii="Arial" w:hAnsi="Arial" w:cs="Arial"/>
          <w:sz w:val="24"/>
          <w:szCs w:val="24"/>
        </w:rPr>
        <w:t xml:space="preserve"> the literature review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{"citationItems":[{"id":"ITEM-1","itemData":{"ISBN":"0-7619-6351-0","author":[{"dropping-particle":"","family":"Burton","given":"Dawn","non-dropping-particle":"","parse-names":false,"suffix":""}],"container-title":"Research Training for Social Scientists","id":"ITEM-1","issued":{"date-parts":[["2000"]]},"publisher":"SAGE Publications Ltd","publisher-place":"London","title":"Research Training for Social Scientists","type":"chapter"},"uris":["http://www.mendeley.com/documents/?uuid=9c313fd3-fdd3-4d42-ad09-0f6540f84be4"]}],"mendeley":{"formattedCitation":"(Burton, 2000)","plainTextFormattedCitation":"(Burton, 2000)","previouslyFormattedCitation":"(Burton, 2000)"},"properties":{"noteIndex":0},"schema":"https://github.com/citation-style-language/schema/raw/master/csl-citation.json"}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(Burton, 2000)</w:t>
      </w:r>
      <w:r w:rsidRPr="00797004">
        <w:rPr>
          <w:rFonts w:ascii="Arial" w:hAnsi="Arial" w:cs="Arial"/>
          <w:sz w:val="24"/>
          <w:szCs w:val="24"/>
        </w:rPr>
        <w:fldChar w:fldCharType="end"/>
      </w:r>
      <w:r w:rsidRPr="00797004">
        <w:rPr>
          <w:rFonts w:ascii="Arial" w:hAnsi="Arial" w:cs="Arial"/>
          <w:sz w:val="24"/>
          <w:szCs w:val="24"/>
        </w:rPr>
        <w:t>.</w:t>
      </w:r>
      <w:r w:rsidR="0042224C">
        <w:rPr>
          <w:rFonts w:ascii="Arial" w:hAnsi="Arial" w:cs="Arial"/>
          <w:sz w:val="24"/>
          <w:szCs w:val="24"/>
        </w:rPr>
        <w:t xml:space="preserve"> </w:t>
      </w:r>
      <w:r w:rsidRPr="00797004">
        <w:rPr>
          <w:rFonts w:ascii="Arial" w:hAnsi="Arial" w:cs="Arial"/>
          <w:sz w:val="24"/>
          <w:szCs w:val="24"/>
        </w:rPr>
        <w:t xml:space="preserve">The research strategy will be archive analysis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{"citationItems":[{"id":"ITEM-1","itemData":{"author":[{"dropping-particle":"","family":"Walliman","given":"N","non-dropping-particle":"","parse-names":false,"suffix":""}],"id":"ITEM-1","issued":{"date-parts":[["2001"]]},"publisher":"SAGE Publications Ltd","publisher-place":"London","title":"Your Rersearch Project","type":"book"},"uris":["http://www.mendeley.com/documents/?uuid=020a350b-5fff-49ba-be66-90689c5d657b"]}],"mendeley":{"formattedCitation":"(Walliman, 2001)","plainTextFormattedCitation":"(Walliman, 2001)","previouslyFormattedCitation":"(Walliman, 2001)"},"properties":{"noteIndex":0},"schema":"https://github.com/citation-style-language/schema/raw/master/csl-citation.json"}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(Walliman, 2001)</w:t>
      </w:r>
      <w:r w:rsidRPr="00797004">
        <w:rPr>
          <w:rFonts w:ascii="Arial" w:hAnsi="Arial" w:cs="Arial"/>
          <w:sz w:val="24"/>
          <w:szCs w:val="24"/>
        </w:rPr>
        <w:fldChar w:fldCharType="end"/>
      </w:r>
      <w:r w:rsidRPr="00797004">
        <w:rPr>
          <w:rFonts w:ascii="Arial" w:hAnsi="Arial" w:cs="Arial"/>
          <w:sz w:val="24"/>
          <w:szCs w:val="24"/>
        </w:rPr>
        <w:t xml:space="preserve"> of relevant literature sourced from journals and, potentially, published books. </w:t>
      </w:r>
      <w:r w:rsidRPr="00120EFE">
        <w:rPr>
          <w:rFonts w:ascii="Arial" w:hAnsi="Arial" w:cs="Arial"/>
          <w:b/>
          <w:bCs/>
          <w:i/>
          <w:iCs/>
          <w:sz w:val="24"/>
          <w:szCs w:val="24"/>
        </w:rPr>
        <w:t>Backward and forward</w:t>
      </w:r>
      <w:r w:rsidRPr="00797004">
        <w:rPr>
          <w:rFonts w:ascii="Arial" w:hAnsi="Arial" w:cs="Arial"/>
          <w:i/>
          <w:iCs/>
          <w:sz w:val="24"/>
          <w:szCs w:val="24"/>
        </w:rPr>
        <w:t xml:space="preserve"> </w:t>
      </w:r>
      <w:r w:rsidRPr="008F6AE6">
        <w:rPr>
          <w:rFonts w:ascii="Arial" w:hAnsi="Arial" w:cs="Arial"/>
          <w:sz w:val="24"/>
          <w:szCs w:val="24"/>
        </w:rPr>
        <w:t>searches</w:t>
      </w:r>
      <w:r w:rsidRPr="00797004">
        <w:rPr>
          <w:rFonts w:ascii="Arial" w:hAnsi="Arial" w:cs="Arial"/>
          <w:sz w:val="24"/>
          <w:szCs w:val="24"/>
        </w:rPr>
        <w:t xml:space="preserve"> may be used to find connected </w:t>
      </w:r>
      <w:r w:rsidR="00C64249">
        <w:rPr>
          <w:rFonts w:ascii="Arial" w:hAnsi="Arial" w:cs="Arial"/>
          <w:sz w:val="24"/>
          <w:szCs w:val="24"/>
        </w:rPr>
        <w:t xml:space="preserve">documents which </w:t>
      </w:r>
      <w:r w:rsidR="008E0866">
        <w:rPr>
          <w:rFonts w:ascii="Arial" w:hAnsi="Arial" w:cs="Arial"/>
          <w:sz w:val="24"/>
          <w:szCs w:val="24"/>
        </w:rPr>
        <w:t>could broaden understanding</w:t>
      </w:r>
      <w:r w:rsidRPr="00797004">
        <w:rPr>
          <w:rFonts w:ascii="Arial" w:hAnsi="Arial" w:cs="Arial"/>
          <w:sz w:val="24"/>
          <w:szCs w:val="24"/>
        </w:rPr>
        <w:t xml:space="preserve"> </w:t>
      </w:r>
      <w:r w:rsidR="008E0866">
        <w:rPr>
          <w:rFonts w:ascii="Arial" w:hAnsi="Arial" w:cs="Arial"/>
          <w:sz w:val="24"/>
          <w:szCs w:val="24"/>
        </w:rPr>
        <w:t xml:space="preserve">of the research area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{"citationItems":[{"id":"ITEM-1","itemData":{"author":[{"dropping-particle":"","family":"Little","given":"Todd D.","non-dropping-particle":"","parse-names":false,"suffix":""}],"id":"ITEM-1","issued":{"date-parts":[["2013"]]},"publisher":"Oxford University Press","publisher-place":"New York","title":"The Oxford Handbook of Quantitative Methods","type":"book","volume":"2"},"uris":["http://www.mendeley.com/documents/?uuid=937daded-9886-4b8a-81e7-1268e80ff116"]}],"mendeley":{"formattedCitation":"(Little, 2013)","plainTextFormattedCitation":"(Little, 2013)","previouslyFormattedCitation":"(Little, 2013)"},"properties":{"noteIndex":0},"schema":"https://github.com/citation-style-language/schema/raw/master/csl-citation.json"}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(Little, 2013)</w:t>
      </w:r>
      <w:r w:rsidRPr="00797004">
        <w:rPr>
          <w:rFonts w:ascii="Arial" w:hAnsi="Arial" w:cs="Arial"/>
          <w:sz w:val="24"/>
          <w:szCs w:val="24"/>
        </w:rPr>
        <w:fldChar w:fldCharType="end"/>
      </w:r>
      <w:r w:rsidRPr="00797004">
        <w:rPr>
          <w:rFonts w:ascii="Arial" w:hAnsi="Arial" w:cs="Arial"/>
          <w:sz w:val="24"/>
          <w:szCs w:val="24"/>
        </w:rPr>
        <w:t xml:space="preserve">. The literature used would fall in the category of </w:t>
      </w:r>
      <w:r w:rsidRPr="00120EFE">
        <w:rPr>
          <w:rFonts w:ascii="Arial" w:hAnsi="Arial" w:cs="Arial"/>
          <w:b/>
          <w:bCs/>
          <w:i/>
          <w:iCs/>
          <w:sz w:val="24"/>
          <w:szCs w:val="24"/>
        </w:rPr>
        <w:t>purposive sampling</w:t>
      </w:r>
      <w:r w:rsidRPr="00797004">
        <w:rPr>
          <w:rFonts w:ascii="Arial" w:hAnsi="Arial" w:cs="Arial"/>
          <w:i/>
          <w:iCs/>
          <w:sz w:val="24"/>
          <w:szCs w:val="24"/>
        </w:rPr>
        <w:t xml:space="preserve"> </w:t>
      </w:r>
      <w:r w:rsidRPr="00797004">
        <w:rPr>
          <w:rFonts w:ascii="Arial" w:hAnsi="Arial" w:cs="Arial"/>
          <w:i/>
          <w:iCs/>
          <w:sz w:val="24"/>
          <w:szCs w:val="24"/>
        </w:rPr>
        <w:fldChar w:fldCharType="begin" w:fldLock="1"/>
      </w:r>
      <w:r w:rsidRPr="00797004">
        <w:rPr>
          <w:rFonts w:ascii="Arial" w:hAnsi="Arial" w:cs="Arial"/>
          <w:i/>
          <w:iCs/>
          <w:sz w:val="24"/>
          <w:szCs w:val="24"/>
        </w:rPr>
        <w:instrText>ADDIN CSL_CITATION {"citationItems":[{"id":"ITEM-1","itemData":{"author":[{"dropping-particle":"","family":"Walliman","given":"N","non-dropping-particle":"","parse-names":false,"suffix":""}],"id":"ITEM-1","issued":{"date-parts":[["2001"]]},"publisher":"SAGE Publications Ltd","publisher-place":"London","title":"Your Rersearch Project","type":"book"},"uris":["http://www.mendeley.com/documents/?uuid=020a350b-5fff-49ba-be66-90689c5d657b"]}],"mendeley":{"formattedCitation":"(Walliman, 2001)","plainTextFormattedCitation":"(Walliman, 2001)","previouslyFormattedCitation":"(Walliman, 2001)"},"properties":{"noteIndex":0},"schema":"https://github.com/citation-style-language/schema/raw/master/csl-citation.json"}</w:instrText>
      </w:r>
      <w:r w:rsidRPr="00797004">
        <w:rPr>
          <w:rFonts w:ascii="Arial" w:hAnsi="Arial" w:cs="Arial"/>
          <w:i/>
          <w:iCs/>
          <w:sz w:val="24"/>
          <w:szCs w:val="24"/>
        </w:rPr>
        <w:fldChar w:fldCharType="separate"/>
      </w:r>
      <w:r w:rsidRPr="00797004">
        <w:rPr>
          <w:rFonts w:ascii="Arial" w:hAnsi="Arial" w:cs="Arial"/>
          <w:iCs/>
          <w:noProof/>
          <w:sz w:val="24"/>
          <w:szCs w:val="24"/>
        </w:rPr>
        <w:t>(Walliman, 2001)</w:t>
      </w:r>
      <w:r w:rsidRPr="00797004">
        <w:rPr>
          <w:rFonts w:ascii="Arial" w:hAnsi="Arial" w:cs="Arial"/>
          <w:i/>
          <w:iCs/>
          <w:sz w:val="24"/>
          <w:szCs w:val="24"/>
        </w:rPr>
        <w:fldChar w:fldCharType="end"/>
      </w:r>
      <w:r w:rsidRPr="00797004">
        <w:rPr>
          <w:rFonts w:ascii="Arial" w:hAnsi="Arial" w:cs="Arial"/>
          <w:i/>
          <w:iCs/>
          <w:sz w:val="24"/>
          <w:szCs w:val="24"/>
        </w:rPr>
        <w:t xml:space="preserve"> </w:t>
      </w:r>
      <w:r w:rsidRPr="00797004">
        <w:rPr>
          <w:rFonts w:ascii="Arial" w:hAnsi="Arial" w:cs="Arial"/>
          <w:sz w:val="24"/>
          <w:szCs w:val="24"/>
        </w:rPr>
        <w:t>as the researcher will make a judgement about what is included</w:t>
      </w:r>
      <w:r w:rsidR="00C55A92">
        <w:rPr>
          <w:rFonts w:ascii="Arial" w:hAnsi="Arial" w:cs="Arial"/>
          <w:sz w:val="24"/>
          <w:szCs w:val="24"/>
        </w:rPr>
        <w:t xml:space="preserve">. </w:t>
      </w:r>
    </w:p>
    <w:p w14:paraId="67DC0E47" w14:textId="77777777" w:rsidR="00DA3BD5" w:rsidRDefault="00356298" w:rsidP="00B66156">
      <w:pPr>
        <w:spacing w:line="360" w:lineRule="auto"/>
        <w:rPr>
          <w:rFonts w:ascii="Arial" w:hAnsi="Arial" w:cs="Arial"/>
          <w:b/>
          <w:bCs/>
          <w:sz w:val="24"/>
          <w:szCs w:val="24"/>
        </w:rPr>
      </w:pPr>
      <w:r w:rsidRPr="00797004">
        <w:rPr>
          <w:rFonts w:ascii="Arial" w:hAnsi="Arial" w:cs="Arial"/>
          <w:b/>
          <w:bCs/>
          <w:sz w:val="24"/>
          <w:szCs w:val="24"/>
        </w:rPr>
        <w:t>Inclusion criteria and rating:</w:t>
      </w:r>
    </w:p>
    <w:p w14:paraId="161D72B9" w14:textId="086E6336" w:rsidR="00356298" w:rsidRPr="00797004" w:rsidRDefault="00426E71" w:rsidP="00DA3BD5">
      <w:pPr>
        <w:spacing w:line="360" w:lineRule="auto"/>
        <w:jc w:val="both"/>
        <w:rPr>
          <w:rFonts w:ascii="Arial" w:hAnsi="Arial" w:cs="Arial"/>
          <w:sz w:val="24"/>
          <w:szCs w:val="24"/>
        </w:rPr>
      </w:pPr>
      <w:r>
        <w:rPr>
          <w:rFonts w:ascii="Arial" w:hAnsi="Arial" w:cs="Arial"/>
          <w:sz w:val="24"/>
          <w:szCs w:val="24"/>
        </w:rPr>
        <w:t>Vital to the process is</w:t>
      </w:r>
      <w:r w:rsidRPr="00797004">
        <w:rPr>
          <w:rFonts w:ascii="Arial" w:hAnsi="Arial" w:cs="Arial"/>
          <w:sz w:val="24"/>
          <w:szCs w:val="24"/>
        </w:rPr>
        <w:t xml:space="preserve"> the aim of having a good quality data corpus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{"citationItems":[{"id":"ITEM-1","itemData":{"DOI":"10.1191/1478088706qp063oa","ISSN":"14780887","abstract":"Thematic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author":[{"dropping-particle":"","family":"Braun","given":"Virginia","non-dropping-particle":"","parse-names":false,"suffix":""},{"dropping-particle":"","family":"Clarke","given":"Victoria","non-dropping-particle":"","parse-names":false,"suffix":""}],"container-title":"Qualitative Research in Psychology","id":"ITEM-1","issue":"2","issued":{"date-parts":[["2006"]]},"note":"Highlights by: Doc page - Journal page - Topic\n\np3 - p78 Foundational method\np3 - p78 - Epistomological approach\np6 - p81 &amp;quot; &amp;quot; yellow\np6 - p81 &amp;quot; &amp;quot; green\np4 - p79 - Importance of how research is done\np5 - p80 Researcher activer in finding themes (not emerging-passive)\np5 - p80 Researcher position and decisions in the process\n\nTheme - \np7 - p82 theme definition yellow, how many instances to qualify (not defined), \np7 - p82 - researcher judgemnt required\np7 - p82 - prevelence of a theme is not essential yellow\np8 - p83 - Inductive approach \n\nDefinitions:\np4 - p79 - Thematic analysis - Pink highlight\np4 - p79 - Corpus - all data collected for a a project\np4 - p79 Data set - all the data from the corpus being used for a particular analysis\np4 - p79 Data item - each idiviual pice of data collected to form the corpus (i.e. each article)\np4 - p79 Extract - coded chonk of data taken from an extract\np7 - p82 theme definition yellow","page":"77-101","title":"Using thematic analysis in psychology","type":"article-journal","volume":"3"},"uris":["http://www.mendeley.com/documents/?uuid=d79a4bb1-1383-4be0-9dfb-77bad2f80283"]}],"mendeley":{"formattedCitation":"(Braun and Clarke, 2006)","plainTextFormattedCitation":"(Braun and Clarke, 2006)","previouslyFormattedCitation":"(Braun and Clarke, 2006)"},"properties":{"noteIndex":0},"schema":"https://github.com/citation-style-language/schema/raw/master/csl-citation.json"}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(Braun and Clarke, 2006)</w:t>
      </w:r>
      <w:r w:rsidRPr="00797004">
        <w:rPr>
          <w:rFonts w:ascii="Arial" w:hAnsi="Arial" w:cs="Arial"/>
          <w:sz w:val="24"/>
          <w:szCs w:val="24"/>
        </w:rPr>
        <w:fldChar w:fldCharType="end"/>
      </w:r>
      <w:r w:rsidRPr="00797004">
        <w:rPr>
          <w:rFonts w:ascii="Arial" w:hAnsi="Arial" w:cs="Arial"/>
          <w:sz w:val="24"/>
          <w:szCs w:val="24"/>
        </w:rPr>
        <w:t>.</w:t>
      </w:r>
      <w:r>
        <w:rPr>
          <w:rFonts w:ascii="Arial" w:hAnsi="Arial" w:cs="Arial"/>
          <w:sz w:val="24"/>
          <w:szCs w:val="24"/>
        </w:rPr>
        <w:t xml:space="preserve"> </w:t>
      </w:r>
      <w:r w:rsidR="007D4213" w:rsidRPr="00797004">
        <w:rPr>
          <w:rFonts w:ascii="Arial" w:hAnsi="Arial" w:cs="Arial"/>
          <w:sz w:val="24"/>
          <w:szCs w:val="24"/>
        </w:rPr>
        <w:t>To maintain transparency and rigour in the research the documents will undergo a systematic inclusion criteria and rating process</w:t>
      </w:r>
      <w:r w:rsidR="007468F1">
        <w:rPr>
          <w:rFonts w:ascii="Arial" w:hAnsi="Arial" w:cs="Arial"/>
          <w:sz w:val="24"/>
          <w:szCs w:val="24"/>
        </w:rPr>
        <w:t>,</w:t>
      </w:r>
      <w:r w:rsidR="007D4213" w:rsidRPr="00797004">
        <w:rPr>
          <w:rFonts w:ascii="Arial" w:hAnsi="Arial" w:cs="Arial"/>
          <w:sz w:val="24"/>
          <w:szCs w:val="24"/>
        </w:rPr>
        <w:t xml:space="preserve"> </w:t>
      </w:r>
      <w:r w:rsidR="007468F1">
        <w:rPr>
          <w:rFonts w:ascii="Arial" w:hAnsi="Arial" w:cs="Arial"/>
          <w:sz w:val="24"/>
          <w:szCs w:val="24"/>
        </w:rPr>
        <w:t>see Appendix 1</w:t>
      </w:r>
      <w:r w:rsidR="007468F1" w:rsidRPr="00797004">
        <w:rPr>
          <w:rFonts w:ascii="Arial" w:hAnsi="Arial" w:cs="Arial"/>
          <w:sz w:val="24"/>
          <w:szCs w:val="24"/>
        </w:rPr>
        <w:t xml:space="preserve"> </w:t>
      </w:r>
      <w:r w:rsidR="007D4213" w:rsidRPr="00797004">
        <w:rPr>
          <w:rFonts w:ascii="Arial" w:hAnsi="Arial" w:cs="Arial"/>
          <w:sz w:val="24"/>
          <w:szCs w:val="24"/>
        </w:rPr>
        <w:fldChar w:fldCharType="begin" w:fldLock="1"/>
      </w:r>
      <w:r w:rsidR="00195DB1">
        <w:rPr>
          <w:rFonts w:ascii="Arial" w:hAnsi="Arial" w:cs="Arial"/>
          <w:sz w:val="24"/>
          <w:szCs w:val="24"/>
        </w:rPr>
        <w:instrText>ADDIN CSL_CITATION {"citationItems":[{"id":"ITEM-1","itemData":{"DOI":"10.1177/160940690200100202","ISSN":"1609-4069","abstract":"The rejection of reliability and validity in qualitative inquiry in the 1980s has resulted in an interesting shift for “ensuring rigor” from the investigator's actions during the course of the research, to the reader or consumer of qualitative inquiry. The emphasis on strategies that are implemented during the research process has been replaced by strategies for evaluating trustworthiness and utility that are implemented once a study is completed. In this article, we argue that reliability and validity remain appropriate concepts for attaining rigor in qualitative research. We argue that qualitative researchers should reclaim responsibility for reliability and validity by implementing verification strategies integral and self-correcting during the conduct of inquiry itself. This ensures the attainment of rigor using strategies inherent within each qualitative design, and moves the responsibility for incorporating and maintaining reliability and validity from external reviewers' judgements to the investigators themselves. Finally, we make a plea for a return to terminology for ensuring rigor that is used by mainstream science.","author":[{"dropping-particle":"","family":"Morse","given":"Janice M.","non-dropping-particle":"","parse-names":false,"suffix":""},{"dropping-particle":"","family":"Barrett","given":"Michael","non-dropping-particle":"","parse-names":false,"suffix":""},{"dropping-particle":"","family":"Mayan","given":"Maria","non-dropping-particle":"","parse-names":false,"suffix":""},{"dropping-particle":"","family":"Olson","given":"Karin","non-dropping-particle":"","parse-names":false,"suffix":""},{"dropping-particle":"","family":"Spiers","given":"Jude","non-dropping-particle":"","parse-names":false,"suffix":""}],"container-title":"International Journal of Qualitative Methods","id":"ITEM-1","issue":"2","issued":{"date-parts":[["2002"]]},"page":"13-22","title":"Verification Strategies for Establishing Reliability and Validity in Qualitative Research","type":"article-journal","volume":"1"},"uris":["http://www.mendeley.com/documents/?uuid=b09e1908-a242-4d86-a329-979c180446a0"]},{"id":"ITEM-2","itemData":{"DOI":"10.1057/ejis.2011.51","ISSN":"14769344","abstract":"This paper offers guidance to conducting a rigorous literature review. We present this in the form of a five-stage process in which we use Grounded Theory as a method. We first probe the guidelines explicated by Webster and Watson, and then we show the added value of Grounded Theory for rigorously analyzing a carefully chosen set of studies; it assures solidly legitimized, in-depth analyses of empirical facts and related insights. This includes, the emergence of new themes, issues and opportunities; interrelationships and dependencies in or beyond a particular area; as well as inconsistencies. If carried out meticulously, reviewing a well-carved out piece of literature by following this guide is likely to lead to more integrated and fruitful theory emergence, something that would enrich many fields in the social sciences. © 2013 Operational Research Society Ltd. All rights reserved.","author":[{"dropping-particle":"","family":"Wolfswinkel","given":"Joost F.","non-dropping-particle":"","parse-names":false,"suffix":""},{"dropping-particle":"","family":"Furtmueller","given":"Elfi","non-dropping-particle":"","parse-names":false,"suffix":""},{"dropping-particle":"","family":"Wilderom","given":"Celeste P.M.","non-dropping-particle":"","parse-names":false,"suffix":""}],"container-title":"European Journal of Information Systems","id":"ITEM-2","issue":"1","issued":{"date-parts":[["2013"]]},"page":"45-55","publisher":"Nature Publishing Group","title":"Using grounded theory as a method for rigorously reviewing literature","type":"article-journal","volume":"22"},"uris":["http://www.mendeley.com/documents/?uuid=8640c09c-58a5-48d4-b868-716ecdb2c17f"]},{"id":"ITEM-3","itemData":{"author":[{"dropping-particle":"","family":"Little","given":"Todd D.","non-dropping-particle":"","parse-names":false,"suffix":""}],"id":"ITEM-3","issued":{"date-parts":[["2013"]]},"publisher":"Oxford University Press","publisher-place":"New York","title":"The Oxford Handbook of Quantitative Methods","type":"book","volume":"2"},"uris":["http://www.mendeley.com/documents/?uuid=937daded-9886-4b8a-81e7-1268e80ff116"]}],"mendeley":{"formattedCitation":"(Morse &lt;i&gt;et al.&lt;/i&gt;, 2002; Little, 2013; Wolfswinkel, Furtmueller and Wilderom, 2013)","plainTextFormattedCitation":"(Morse et al., 2002; Little, 2013; Wolfswinkel, Furtmueller and Wilderom, 2013)","previouslyFormattedCitation":"(Morse &lt;i&gt;et al.&lt;/i&gt;, 2002; Little, 2013; Wolfswinkel, Furtmueller and Wilderom, 2013)"},"properties":{"noteIndex":0},"schema":"https://github.com/citation-style-language/schema/raw/master/csl-citation.json"}</w:instrText>
      </w:r>
      <w:r w:rsidR="007D4213" w:rsidRPr="00797004">
        <w:rPr>
          <w:rFonts w:ascii="Arial" w:hAnsi="Arial" w:cs="Arial"/>
          <w:sz w:val="24"/>
          <w:szCs w:val="24"/>
        </w:rPr>
        <w:fldChar w:fldCharType="separate"/>
      </w:r>
      <w:r w:rsidR="007468F1" w:rsidRPr="007468F1">
        <w:rPr>
          <w:rFonts w:ascii="Arial" w:hAnsi="Arial" w:cs="Arial"/>
          <w:noProof/>
          <w:sz w:val="24"/>
          <w:szCs w:val="24"/>
        </w:rPr>
        <w:t xml:space="preserve">(Morse </w:t>
      </w:r>
      <w:r w:rsidR="007468F1" w:rsidRPr="007468F1">
        <w:rPr>
          <w:rFonts w:ascii="Arial" w:hAnsi="Arial" w:cs="Arial"/>
          <w:i/>
          <w:noProof/>
          <w:sz w:val="24"/>
          <w:szCs w:val="24"/>
        </w:rPr>
        <w:t>et al.</w:t>
      </w:r>
      <w:r w:rsidR="007468F1" w:rsidRPr="007468F1">
        <w:rPr>
          <w:rFonts w:ascii="Arial" w:hAnsi="Arial" w:cs="Arial"/>
          <w:noProof/>
          <w:sz w:val="24"/>
          <w:szCs w:val="24"/>
        </w:rPr>
        <w:t>, 2002; Little, 2013; Wolfswinkel, Furtmueller and Wilderom, 2013)</w:t>
      </w:r>
      <w:r w:rsidR="007D4213" w:rsidRPr="00797004">
        <w:rPr>
          <w:rFonts w:ascii="Arial" w:hAnsi="Arial" w:cs="Arial"/>
          <w:sz w:val="24"/>
          <w:szCs w:val="24"/>
        </w:rPr>
        <w:fldChar w:fldCharType="end"/>
      </w:r>
      <w:r w:rsidR="007D4213" w:rsidRPr="00797004">
        <w:rPr>
          <w:rFonts w:ascii="Arial" w:hAnsi="Arial" w:cs="Arial"/>
          <w:sz w:val="24"/>
          <w:szCs w:val="24"/>
        </w:rPr>
        <w:t xml:space="preserve">. </w:t>
      </w:r>
      <w:r w:rsidR="00DA3BD5" w:rsidRPr="00797004">
        <w:rPr>
          <w:rFonts w:ascii="Arial" w:hAnsi="Arial" w:cs="Arial"/>
          <w:sz w:val="24"/>
          <w:szCs w:val="24"/>
        </w:rPr>
        <w:t xml:space="preserve">The purpose and aim of the inclusion criteria </w:t>
      </w:r>
      <w:r w:rsidR="00DA3BD5">
        <w:rPr>
          <w:rFonts w:ascii="Arial" w:hAnsi="Arial" w:cs="Arial"/>
          <w:sz w:val="24"/>
          <w:szCs w:val="24"/>
        </w:rPr>
        <w:t>will be</w:t>
      </w:r>
      <w:r w:rsidR="00DA3BD5" w:rsidRPr="00797004">
        <w:rPr>
          <w:rFonts w:ascii="Arial" w:hAnsi="Arial" w:cs="Arial"/>
          <w:sz w:val="24"/>
          <w:szCs w:val="24"/>
        </w:rPr>
        <w:t xml:space="preserve"> to </w:t>
      </w:r>
      <w:r w:rsidR="00DA3BD5">
        <w:rPr>
          <w:rFonts w:ascii="Arial" w:hAnsi="Arial" w:cs="Arial"/>
          <w:sz w:val="24"/>
          <w:szCs w:val="24"/>
        </w:rPr>
        <w:t xml:space="preserve">improve quality of the corpus which will </w:t>
      </w:r>
      <w:r w:rsidR="00DA3BD5">
        <w:rPr>
          <w:rFonts w:ascii="Arial" w:hAnsi="Arial" w:cs="Arial"/>
          <w:sz w:val="24"/>
          <w:szCs w:val="24"/>
        </w:rPr>
        <w:lastRenderedPageBreak/>
        <w:t xml:space="preserve">support the triangulation process </w:t>
      </w:r>
      <w:r w:rsidR="00DA3BD5">
        <w:rPr>
          <w:rFonts w:ascii="Arial" w:hAnsi="Arial" w:cs="Arial"/>
          <w:sz w:val="24"/>
          <w:szCs w:val="24"/>
        </w:rPr>
        <w:fldChar w:fldCharType="begin" w:fldLock="1"/>
      </w:r>
      <w:r w:rsidR="00DA3BD5">
        <w:rPr>
          <w:rFonts w:ascii="Arial" w:hAnsi="Arial" w:cs="Arial"/>
          <w:sz w:val="24"/>
          <w:szCs w:val="24"/>
        </w:rPr>
        <w:instrText>ADDIN CSL_CITATION {"citationItems":[{"id":"ITEM-1","itemData":{"author":[{"dropping-particle":"","family":"Merriam","given":"Sharan","non-dropping-particle":"","parse-names":false,"suffix":""}],"container-title":"Journal of Lifelong Learning","id":"ITEM-1","issued":{"date-parts":[["1995"]]},"page":"51-60","title":"Merriam - Issue of validity in Qual research.pdf","type":"article-journal","volume":"4"},"uris":["http://www.mendeley.com/documents/?uuid=1dc3c43d-fb54-4226-a966-a72a65dc6737"]}],"mendeley":{"formattedCitation":"(Merriam, 1995)","plainTextFormattedCitation":"(Merriam, 1995)","previouslyFormattedCitation":"(Merriam, 1995)"},"properties":{"noteIndex":0},"schema":"https://github.com/citation-style-language/schema/raw/master/csl-citation.json"}</w:instrText>
      </w:r>
      <w:r w:rsidR="00DA3BD5">
        <w:rPr>
          <w:rFonts w:ascii="Arial" w:hAnsi="Arial" w:cs="Arial"/>
          <w:sz w:val="24"/>
          <w:szCs w:val="24"/>
        </w:rPr>
        <w:fldChar w:fldCharType="separate"/>
      </w:r>
      <w:r w:rsidR="00DA3BD5" w:rsidRPr="001A3F96">
        <w:rPr>
          <w:rFonts w:ascii="Arial" w:hAnsi="Arial" w:cs="Arial"/>
          <w:noProof/>
          <w:sz w:val="24"/>
          <w:szCs w:val="24"/>
        </w:rPr>
        <w:t>(Merriam, 1995)</w:t>
      </w:r>
      <w:r w:rsidR="00DA3BD5">
        <w:rPr>
          <w:rFonts w:ascii="Arial" w:hAnsi="Arial" w:cs="Arial"/>
          <w:sz w:val="24"/>
          <w:szCs w:val="24"/>
        </w:rPr>
        <w:fldChar w:fldCharType="end"/>
      </w:r>
      <w:r w:rsidR="00DA3BD5" w:rsidRPr="00797004">
        <w:rPr>
          <w:rFonts w:ascii="Arial" w:hAnsi="Arial" w:cs="Arial"/>
          <w:sz w:val="24"/>
          <w:szCs w:val="24"/>
        </w:rPr>
        <w:t>. The rating aspect</w:t>
      </w:r>
      <w:r w:rsidR="00DA3BD5">
        <w:rPr>
          <w:rFonts w:ascii="Arial" w:hAnsi="Arial" w:cs="Arial"/>
          <w:sz w:val="24"/>
          <w:szCs w:val="24"/>
        </w:rPr>
        <w:t xml:space="preserve"> of the inclusion criteria is included </w:t>
      </w:r>
      <w:r w:rsidR="00E37745">
        <w:rPr>
          <w:rFonts w:ascii="Arial" w:hAnsi="Arial" w:cs="Arial"/>
          <w:sz w:val="24"/>
          <w:szCs w:val="24"/>
        </w:rPr>
        <w:t xml:space="preserve">to </w:t>
      </w:r>
      <w:r w:rsidR="00DA3BD5">
        <w:rPr>
          <w:rFonts w:ascii="Arial" w:hAnsi="Arial" w:cs="Arial"/>
          <w:sz w:val="24"/>
          <w:szCs w:val="24"/>
        </w:rPr>
        <w:t xml:space="preserve">aid comparison and </w:t>
      </w:r>
      <w:r w:rsidR="00DA3BD5" w:rsidRPr="00797004">
        <w:rPr>
          <w:rFonts w:ascii="Arial" w:hAnsi="Arial" w:cs="Arial"/>
          <w:sz w:val="24"/>
          <w:szCs w:val="24"/>
        </w:rPr>
        <w:t xml:space="preserve">increase </w:t>
      </w:r>
      <w:r w:rsidR="00DA3BD5">
        <w:rPr>
          <w:rFonts w:ascii="Arial" w:hAnsi="Arial" w:cs="Arial"/>
          <w:sz w:val="24"/>
          <w:szCs w:val="24"/>
        </w:rPr>
        <w:t xml:space="preserve">researcher </w:t>
      </w:r>
      <w:r w:rsidR="00DA3BD5" w:rsidRPr="00797004">
        <w:rPr>
          <w:rFonts w:ascii="Arial" w:hAnsi="Arial" w:cs="Arial"/>
          <w:sz w:val="24"/>
          <w:szCs w:val="24"/>
        </w:rPr>
        <w:t xml:space="preserve">awareness of </w:t>
      </w:r>
      <w:r w:rsidR="00DA3BD5">
        <w:rPr>
          <w:rFonts w:ascii="Arial" w:hAnsi="Arial" w:cs="Arial"/>
          <w:sz w:val="24"/>
          <w:szCs w:val="24"/>
        </w:rPr>
        <w:t xml:space="preserve">each document’s </w:t>
      </w:r>
      <w:r w:rsidR="00DA3BD5" w:rsidRPr="00797004">
        <w:rPr>
          <w:rFonts w:ascii="Arial" w:hAnsi="Arial" w:cs="Arial"/>
          <w:sz w:val="24"/>
          <w:szCs w:val="24"/>
        </w:rPr>
        <w:t>relevance to the research question</w:t>
      </w:r>
      <w:r w:rsidR="00DA3BD5">
        <w:rPr>
          <w:rFonts w:ascii="Arial" w:hAnsi="Arial" w:cs="Arial"/>
          <w:sz w:val="24"/>
          <w:szCs w:val="24"/>
        </w:rPr>
        <w:t xml:space="preserve"> </w:t>
      </w:r>
      <w:r w:rsidR="00DA3BD5">
        <w:rPr>
          <w:rFonts w:ascii="Arial" w:hAnsi="Arial" w:cs="Arial"/>
          <w:sz w:val="24"/>
          <w:szCs w:val="24"/>
        </w:rPr>
        <w:fldChar w:fldCharType="begin" w:fldLock="1"/>
      </w:r>
      <w:r w:rsidR="00DA3BD5">
        <w:rPr>
          <w:rFonts w:ascii="Arial" w:hAnsi="Arial" w:cs="Arial"/>
          <w:sz w:val="24"/>
          <w:szCs w:val="24"/>
        </w:rPr>
        <w:instrText>ADDIN CSL_CITATION {"citationItems":[{"id":"ITEM-1","itemData":{"DOI":"10.5430/jnep.v6n5p100","ISSN":"1925-4040","abstract":"Sufficient knowledge is available about the definition, details and differences of qualitative content and thematic analysis as two approaches of qualitative descriptive research. However, identifying the main features of theme as the data analysis product and the method of its development remain unclear. The purpose of this study was to describe the meaning of theme and offer a method on theme construction that can be used by qualitative content analysis and thematic analysis researchers in line with the underpinning specific approach to data analysis. This methodological paper comprises an analytical overview of qualitative descriptive research products and the meaning of theme. Also, our practical experiences of qualitative analysis supported by relevant published literature informed the generation of a stage like model of theme construction for qualitative content analysis and thematic analysis. This paper comprises: (i) analytical importance of theme, (ii) meaning of theme, (iii) meaning of category, (iv) theme and category in terms of level of content, and (v) theme development. This paper offers a conceptual clarification and a pragmatic step by step method of theme development that has the capacity of assisting nurse researchers understand how theme is developed. As nursing is a pragmatic discipline, nurse researchers have tried to develop practical findings and devise some way to “do something” with findings to enhance the action and impact of nursing. The application of a precise method of theme development for qualitative descriptive data analysis suggested in this paper helps yield meaningful, credible and practical results for nursing.","author":[{"dropping-particle":"","family":"Vaismoradi","given":"Mojtaba","non-dropping-particle":"","parse-names":false,"suffix":""},{"dropping-particle":"","family":"Jones","given":"Jacqueline","non-dropping-particle":"","parse-names":false,"suffix":""},{"dropping-particle":"","family":"Turunen","given":"Hannele","non-dropping-particle":"","parse-names":false,"suffix":""},{"dropping-particle":"","family":"Snelgrove","given":"Sherrill","non-dropping-particle":"","parse-names":false,"suffix":""}],"container-title":"Journal of Nursing Education and Practice","id":"ITEM-1","issue":"5","issued":{"date-parts":[["2016"]]},"title":"Theme development in qualitative content analysis and thematic analysis","type":"article-journal","volume":"6"},"uris":["http://www.mendeley.com/documents/?uuid=eaebd822-59af-4c6e-9ae4-fbcf80f2223f"]}],"mendeley":{"formattedCitation":"(Vaismoradi &lt;i&gt;et al.&lt;/i&gt;, 2016)","plainTextFormattedCitation":"(Vaismoradi et al., 2016)","previouslyFormattedCitation":"(Vaismoradi &lt;i&gt;et al.&lt;/i&gt;, 2016)"},"properties":{"noteIndex":0},"schema":"https://github.com/citation-style-language/schema/raw/master/csl-citation.json"}</w:instrText>
      </w:r>
      <w:r w:rsidR="00DA3BD5">
        <w:rPr>
          <w:rFonts w:ascii="Arial" w:hAnsi="Arial" w:cs="Arial"/>
          <w:sz w:val="24"/>
          <w:szCs w:val="24"/>
        </w:rPr>
        <w:fldChar w:fldCharType="separate"/>
      </w:r>
      <w:r w:rsidR="00DA3BD5" w:rsidRPr="00420BF8">
        <w:rPr>
          <w:rFonts w:ascii="Arial" w:hAnsi="Arial" w:cs="Arial"/>
          <w:noProof/>
          <w:sz w:val="24"/>
          <w:szCs w:val="24"/>
        </w:rPr>
        <w:t xml:space="preserve">(Vaismoradi </w:t>
      </w:r>
      <w:r w:rsidR="00DA3BD5" w:rsidRPr="00420BF8">
        <w:rPr>
          <w:rFonts w:ascii="Arial" w:hAnsi="Arial" w:cs="Arial"/>
          <w:i/>
          <w:noProof/>
          <w:sz w:val="24"/>
          <w:szCs w:val="24"/>
        </w:rPr>
        <w:t>et al.</w:t>
      </w:r>
      <w:r w:rsidR="00DA3BD5" w:rsidRPr="00420BF8">
        <w:rPr>
          <w:rFonts w:ascii="Arial" w:hAnsi="Arial" w:cs="Arial"/>
          <w:noProof/>
          <w:sz w:val="24"/>
          <w:szCs w:val="24"/>
        </w:rPr>
        <w:t>, 2016)</w:t>
      </w:r>
      <w:r w:rsidR="00DA3BD5">
        <w:rPr>
          <w:rFonts w:ascii="Arial" w:hAnsi="Arial" w:cs="Arial"/>
          <w:sz w:val="24"/>
          <w:szCs w:val="24"/>
        </w:rPr>
        <w:fldChar w:fldCharType="end"/>
      </w:r>
      <w:r w:rsidR="00DA3BD5" w:rsidRPr="00797004">
        <w:rPr>
          <w:rFonts w:ascii="Arial" w:hAnsi="Arial" w:cs="Arial"/>
          <w:sz w:val="24"/>
          <w:szCs w:val="24"/>
        </w:rPr>
        <w:t xml:space="preserve">. Together they serve to increase validity and reliability in the project </w:t>
      </w:r>
      <w:r w:rsidR="00DA3BD5" w:rsidRPr="00797004">
        <w:rPr>
          <w:rFonts w:ascii="Arial" w:hAnsi="Arial" w:cs="Arial"/>
          <w:sz w:val="24"/>
          <w:szCs w:val="24"/>
        </w:rPr>
        <w:fldChar w:fldCharType="begin" w:fldLock="1"/>
      </w:r>
      <w:r w:rsidR="00DA3BD5" w:rsidRPr="00797004">
        <w:rPr>
          <w:rFonts w:ascii="Arial" w:hAnsi="Arial" w:cs="Arial"/>
          <w:sz w:val="24"/>
          <w:szCs w:val="24"/>
        </w:rPr>
        <w:instrText>ADDIN CSL_CITATION {"citationItems":[{"id":"ITEM-1","itemData":{"abstract":"Seiring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Merriam","given":"Sharan","non-dropping-particle":"","parse-names":false,"suffix":""},{"dropping-particle":"","family":"Tisdell","given":"Elizabeth","non-dropping-particle":"","parse-names":false,"suffix":""}],"container-title":"Paper Knowledge . Toward a Media History of Documents","edition":"Fourth","id":"ITEM-1","issued":{"date-parts":[["2016"]]},"note":"There are a number of variations on these designs, but basically experimental approaches try to determine the cause of events and\nThere are a number of variations on these designs, but basically experimental approaches try to determine the cause of events and to predict similar events in the future. Survey or descriptive designs are\nexperimental approaches try to determine the cause of events and to predict similar events in the future. Survey or descriptive designs are intended to systematically describe\n\nRather than determining cause and effect, predicting, or describing the distribution of some attribute among a population, we might be interested in uncovering the meaning of a phenomenon for those involved. Qualitative researchers are interested in understanding how people interpret their experiences, how they construct their worlds, and what meaning they attribute to their experiences.\n\nBraun and Clarke's (2013) distinction between qualitative and quantitative research is somewhat simplified, they write that “the most basic definition of qualitative research is that it uses words as data …collected and analyzed in all sorts of ways. Quantitative research, in contrast, uses numbers as data and analyzes them using statistical techniques” (pp. 3–4, emphasis in original).\n\n\n","publisher":"Jossey-Bass","publisher-place":"San Francisco","title":"Qualitative Research","type":"book"},"uris":["http://www.mendeley.com/documents/?uuid=f0a0c8d9-5e9b-48c7-85fc-7981f990d40b"]},{"id":"ITEM-2","itemData":{"author":[{"dropping-particle":"","family":"Merriam","given":"Sharan","non-dropping-particle":"","parse-names":false,"suffix":""}],"container-title":"Journal of Lifelong Learning","id":"ITEM-2","issued":{"date-parts":[["1995"]]},"page":"51-60","title":"Merriam - Issue of validity in Qual research.pdf","type":"article-journal","volume":"4"},"uris":["http://www.mendeley.com/documents/?uuid=1dc3c43d-fb54-4226-a966-a72a65dc6737"]}],"mendeley":{"formattedCitation":"(Merriam, 1995; Merriam and Tisdell, 2016)","plainTextFormattedCitation":"(Merriam, 1995; Merriam and Tisdell, 2016)","previouslyFormattedCitation":"(Merriam, 1995; Merriam and Tisdell, 2016)"},"properties":{"noteIndex":0},"schema":"https://github.com/citation-style-language/schema/raw/master/csl-citation.json"}</w:instrText>
      </w:r>
      <w:r w:rsidR="00DA3BD5" w:rsidRPr="00797004">
        <w:rPr>
          <w:rFonts w:ascii="Arial" w:hAnsi="Arial" w:cs="Arial"/>
          <w:sz w:val="24"/>
          <w:szCs w:val="24"/>
        </w:rPr>
        <w:fldChar w:fldCharType="separate"/>
      </w:r>
      <w:r w:rsidR="00DA3BD5" w:rsidRPr="00797004">
        <w:rPr>
          <w:rFonts w:ascii="Arial" w:hAnsi="Arial" w:cs="Arial"/>
          <w:noProof/>
          <w:sz w:val="24"/>
          <w:szCs w:val="24"/>
        </w:rPr>
        <w:t>(Merriam, 1995; Merriam and Tisdell, 2016)</w:t>
      </w:r>
      <w:r w:rsidR="00DA3BD5" w:rsidRPr="00797004">
        <w:rPr>
          <w:rFonts w:ascii="Arial" w:hAnsi="Arial" w:cs="Arial"/>
          <w:sz w:val="24"/>
          <w:szCs w:val="24"/>
        </w:rPr>
        <w:fldChar w:fldCharType="end"/>
      </w:r>
    </w:p>
    <w:p w14:paraId="02C6E479" w14:textId="7A778039" w:rsidR="00356298" w:rsidRPr="00797004" w:rsidRDefault="00356298" w:rsidP="007F4FDA">
      <w:pPr>
        <w:spacing w:line="360" w:lineRule="auto"/>
        <w:jc w:val="both"/>
        <w:rPr>
          <w:rFonts w:ascii="Arial" w:hAnsi="Arial" w:cs="Arial"/>
          <w:sz w:val="24"/>
          <w:szCs w:val="24"/>
        </w:rPr>
      </w:pPr>
      <w:r w:rsidRPr="00797004">
        <w:rPr>
          <w:rFonts w:ascii="Arial" w:hAnsi="Arial" w:cs="Arial"/>
          <w:sz w:val="24"/>
          <w:szCs w:val="24"/>
        </w:rPr>
        <w:t>Th</w:t>
      </w:r>
      <w:r w:rsidR="0042224C">
        <w:rPr>
          <w:rFonts w:ascii="Arial" w:hAnsi="Arial" w:cs="Arial"/>
          <w:sz w:val="24"/>
          <w:szCs w:val="24"/>
        </w:rPr>
        <w:t>e</w:t>
      </w:r>
      <w:r w:rsidRPr="00797004">
        <w:rPr>
          <w:rFonts w:ascii="Arial" w:hAnsi="Arial" w:cs="Arial"/>
          <w:sz w:val="24"/>
          <w:szCs w:val="24"/>
        </w:rPr>
        <w:t xml:space="preserve"> rectification and finalisation stages of thematic analysis will aid comparison of data from each source </w:t>
      </w:r>
      <w:r w:rsidRPr="00797004">
        <w:rPr>
          <w:rFonts w:ascii="Arial" w:hAnsi="Arial" w:cs="Arial"/>
          <w:sz w:val="24"/>
          <w:szCs w:val="24"/>
        </w:rPr>
        <w:fldChar w:fldCharType="begin" w:fldLock="1"/>
      </w:r>
      <w:r>
        <w:rPr>
          <w:rFonts w:ascii="Arial" w:hAnsi="Arial" w:cs="Arial"/>
          <w:sz w:val="24"/>
          <w:szCs w:val="24"/>
        </w:rPr>
        <w:instrText>ADDIN CSL_CITATION {"citationItems":[{"id":"ITEM-1","itemData":{"DOI":"10.5430/jnep.v6n5p100","ISSN":"1925-4040","abstract":"Sufficient knowledge is available about the definition, details and differences of qualitative content and thematic analysis as two approaches of qualitative descriptive research. However, identifying the main features of theme as the data analysis product and the method of its development remain unclear. The purpose of this study was to describe the meaning of theme and offer a method on theme construction that can be used by qualitative content analysis and thematic analysis researchers in line with the underpinning specific approach to data analysis. This methodological paper comprises an analytical overview of qualitative descriptive research products and the meaning of theme. Also, our practical experiences of qualitative analysis supported by relevant published literature informed the generation of a stage like model of theme construction for qualitative content analysis and thematic analysis. This paper comprises: (i) analytical importance of theme, (ii) meaning of theme, (iii) meaning of category, (iv) theme and category in terms of level of content, and (v) theme development. This paper offers a conceptual clarification and a pragmatic step by step method of theme development that has the capacity of assisting nurse researchers understand how theme is developed. As nursing is a pragmatic discipline, nurse researchers have tried to develop practical findings and devise some way to “do something” with findings to enhance the action and impact of nursing. The application of a precise method of theme development for qualitative descriptive data analysis suggested in this paper helps yield meaningful, credible and practical results for nursing.","author":[{"dropping-particle":"","family":"Vaismoradi","given":"Mojtaba","non-dropping-particle":"","parse-names":false,"suffix":""},{"dropping-particle":"","family":"Jones","given":"Jacqueline","non-dropping-particle":"","parse-names":false,"suffix":""},{"dropping-particle":"","family":"Turunen","given":"Hannele","non-dropping-particle":"","parse-names":false,"suffix":""},{"dropping-particle":"","family":"Snelgrove","given":"Sherrill","non-dropping-particle":"","parse-names":false,"suffix":""}],"container-title":"Journal of Nursing Education and Practice","id":"ITEM-1","issue":"5","issued":{"date-parts":[["2016"]]},"title":"Theme development in qualitative content analysis and thematic analysis","type":"article-journal","volume":"6"},"uris":["http://www.mendeley.com/documents/?uuid=eaebd822-59af-4c6e-9ae4-fbcf80f2223f"]}],"mendeley":{"formattedCitation":"(Vaismoradi &lt;i&gt;et al.&lt;/i&gt;, 2016)","plainTextFormattedCitation":"(Vaismoradi et al., 2016)","previouslyFormattedCitation":"(Vaismoradi &lt;i&gt;et al.&lt;/i&gt;, 2016)"},"properties":{"noteIndex":0},"schema":"https://github.com/citation-style-language/schema/raw/master/csl-citation.json"}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 xml:space="preserve">(Vaismoradi </w:t>
      </w:r>
      <w:r w:rsidRPr="00797004">
        <w:rPr>
          <w:rFonts w:ascii="Arial" w:hAnsi="Arial" w:cs="Arial"/>
          <w:i/>
          <w:noProof/>
          <w:sz w:val="24"/>
          <w:szCs w:val="24"/>
        </w:rPr>
        <w:t>et al.</w:t>
      </w:r>
      <w:r w:rsidRPr="00797004">
        <w:rPr>
          <w:rFonts w:ascii="Arial" w:hAnsi="Arial" w:cs="Arial"/>
          <w:noProof/>
          <w:sz w:val="24"/>
          <w:szCs w:val="24"/>
        </w:rPr>
        <w:t>, 2016)</w:t>
      </w:r>
      <w:r w:rsidRPr="00797004">
        <w:rPr>
          <w:rFonts w:ascii="Arial" w:hAnsi="Arial" w:cs="Arial"/>
          <w:sz w:val="24"/>
          <w:szCs w:val="24"/>
        </w:rPr>
        <w:fldChar w:fldCharType="end"/>
      </w:r>
      <w:r w:rsidRPr="00797004">
        <w:rPr>
          <w:rFonts w:ascii="Arial" w:hAnsi="Arial" w:cs="Arial"/>
          <w:sz w:val="24"/>
          <w:szCs w:val="24"/>
        </w:rPr>
        <w:t xml:space="preserve">. The </w:t>
      </w:r>
      <w:r w:rsidR="008D25BE">
        <w:rPr>
          <w:rFonts w:ascii="Arial" w:hAnsi="Arial" w:cs="Arial"/>
          <w:sz w:val="24"/>
          <w:szCs w:val="24"/>
        </w:rPr>
        <w:t xml:space="preserve">inclusion criteria and rating </w:t>
      </w:r>
      <w:r w:rsidRPr="00797004">
        <w:rPr>
          <w:rFonts w:ascii="Arial" w:hAnsi="Arial" w:cs="Arial"/>
          <w:sz w:val="24"/>
          <w:szCs w:val="24"/>
        </w:rPr>
        <w:t xml:space="preserve">process will </w:t>
      </w:r>
      <w:r w:rsidR="0055523D">
        <w:rPr>
          <w:rFonts w:ascii="Arial" w:hAnsi="Arial" w:cs="Arial"/>
          <w:sz w:val="24"/>
          <w:szCs w:val="24"/>
        </w:rPr>
        <w:t xml:space="preserve">aid </w:t>
      </w:r>
      <w:r w:rsidR="008B351E">
        <w:rPr>
          <w:rFonts w:ascii="Arial" w:hAnsi="Arial" w:cs="Arial"/>
          <w:sz w:val="24"/>
          <w:szCs w:val="24"/>
        </w:rPr>
        <w:t>with data comparison</w:t>
      </w:r>
      <w:r w:rsidR="00625589">
        <w:rPr>
          <w:rFonts w:ascii="Arial" w:hAnsi="Arial" w:cs="Arial"/>
          <w:sz w:val="24"/>
          <w:szCs w:val="24"/>
        </w:rPr>
        <w:t xml:space="preserve"> and </w:t>
      </w:r>
      <w:r w:rsidR="00CA7B2A">
        <w:rPr>
          <w:rFonts w:ascii="Arial" w:hAnsi="Arial" w:cs="Arial"/>
          <w:sz w:val="24"/>
          <w:szCs w:val="24"/>
        </w:rPr>
        <w:t xml:space="preserve">application of knowledge to </w:t>
      </w:r>
      <w:r w:rsidR="009D36AA">
        <w:rPr>
          <w:rFonts w:ascii="Arial" w:hAnsi="Arial" w:cs="Arial"/>
          <w:sz w:val="24"/>
          <w:szCs w:val="24"/>
        </w:rPr>
        <w:t>teaching in the voice studio</w:t>
      </w:r>
      <w:r w:rsidR="00DA28A0">
        <w:rPr>
          <w:rFonts w:ascii="Arial" w:hAnsi="Arial" w:cs="Arial"/>
          <w:sz w:val="24"/>
          <w:szCs w:val="24"/>
        </w:rPr>
        <w:t>. This is</w:t>
      </w:r>
      <w:r w:rsidR="008B351E">
        <w:rPr>
          <w:rFonts w:ascii="Arial" w:hAnsi="Arial" w:cs="Arial"/>
          <w:sz w:val="24"/>
          <w:szCs w:val="24"/>
        </w:rPr>
        <w:t xml:space="preserve"> particularly</w:t>
      </w:r>
      <w:r w:rsidR="00DA28A0">
        <w:rPr>
          <w:rFonts w:ascii="Arial" w:hAnsi="Arial" w:cs="Arial"/>
          <w:sz w:val="24"/>
          <w:szCs w:val="24"/>
        </w:rPr>
        <w:t xml:space="preserve"> </w:t>
      </w:r>
      <w:r w:rsidR="00312FDE">
        <w:rPr>
          <w:rFonts w:ascii="Arial" w:hAnsi="Arial" w:cs="Arial"/>
          <w:sz w:val="24"/>
          <w:szCs w:val="24"/>
        </w:rPr>
        <w:t>important</w:t>
      </w:r>
      <w:r w:rsidR="008B351E">
        <w:rPr>
          <w:rFonts w:ascii="Arial" w:hAnsi="Arial" w:cs="Arial"/>
          <w:sz w:val="24"/>
          <w:szCs w:val="24"/>
        </w:rPr>
        <w:t xml:space="preserve"> </w:t>
      </w:r>
      <w:r w:rsidR="00277D3A">
        <w:rPr>
          <w:rFonts w:ascii="Arial" w:hAnsi="Arial" w:cs="Arial"/>
          <w:sz w:val="24"/>
          <w:szCs w:val="24"/>
        </w:rPr>
        <w:t xml:space="preserve">for documents with data relevant to the </w:t>
      </w:r>
      <w:r w:rsidR="00AB564D">
        <w:rPr>
          <w:rFonts w:ascii="Arial" w:hAnsi="Arial" w:cs="Arial"/>
          <w:sz w:val="24"/>
          <w:szCs w:val="24"/>
        </w:rPr>
        <w:t xml:space="preserve">research </w:t>
      </w:r>
      <w:r w:rsidR="00312FDE">
        <w:rPr>
          <w:rFonts w:ascii="Arial" w:hAnsi="Arial" w:cs="Arial"/>
          <w:sz w:val="24"/>
          <w:szCs w:val="24"/>
        </w:rPr>
        <w:t>question,</w:t>
      </w:r>
      <w:r w:rsidR="00277D3A">
        <w:rPr>
          <w:rFonts w:ascii="Arial" w:hAnsi="Arial" w:cs="Arial"/>
          <w:sz w:val="24"/>
          <w:szCs w:val="24"/>
        </w:rPr>
        <w:t xml:space="preserve"> but which </w:t>
      </w:r>
      <w:r w:rsidR="000A36F0">
        <w:rPr>
          <w:rFonts w:ascii="Arial" w:hAnsi="Arial" w:cs="Arial"/>
          <w:sz w:val="24"/>
          <w:szCs w:val="24"/>
        </w:rPr>
        <w:t>are not from the field of singing</w:t>
      </w:r>
      <w:r w:rsidR="00AB564D">
        <w:rPr>
          <w:rFonts w:ascii="Arial" w:hAnsi="Arial" w:cs="Arial"/>
          <w:sz w:val="24"/>
          <w:szCs w:val="24"/>
        </w:rPr>
        <w:t xml:space="preserve">. </w:t>
      </w:r>
      <w:r w:rsidRPr="00797004">
        <w:rPr>
          <w:rFonts w:ascii="Arial" w:hAnsi="Arial" w:cs="Arial"/>
          <w:sz w:val="24"/>
          <w:szCs w:val="24"/>
        </w:rPr>
        <w:t>Peer</w:t>
      </w:r>
      <w:r w:rsidR="00331103">
        <w:rPr>
          <w:rFonts w:ascii="Arial" w:hAnsi="Arial" w:cs="Arial"/>
          <w:sz w:val="24"/>
          <w:szCs w:val="24"/>
        </w:rPr>
        <w:t>-</w:t>
      </w:r>
      <w:r w:rsidRPr="00797004">
        <w:rPr>
          <w:rFonts w:ascii="Arial" w:hAnsi="Arial" w:cs="Arial"/>
          <w:sz w:val="24"/>
          <w:szCs w:val="24"/>
        </w:rPr>
        <w:t xml:space="preserve">reviewed sources will be used primarily </w:t>
      </w:r>
      <w:r w:rsidR="008810D5">
        <w:rPr>
          <w:rFonts w:ascii="Arial" w:hAnsi="Arial" w:cs="Arial"/>
          <w:sz w:val="24"/>
          <w:szCs w:val="24"/>
        </w:rPr>
        <w:t xml:space="preserve">to aid the </w:t>
      </w:r>
      <w:r w:rsidR="00195DB1">
        <w:rPr>
          <w:rFonts w:ascii="Arial" w:hAnsi="Arial" w:cs="Arial"/>
          <w:sz w:val="24"/>
          <w:szCs w:val="24"/>
        </w:rPr>
        <w:t xml:space="preserve">reliability of this research </w:t>
      </w:r>
      <w:r w:rsidR="00195DB1">
        <w:rPr>
          <w:rFonts w:ascii="Arial" w:hAnsi="Arial" w:cs="Arial"/>
          <w:sz w:val="24"/>
          <w:szCs w:val="24"/>
        </w:rPr>
        <w:fldChar w:fldCharType="begin" w:fldLock="1"/>
      </w:r>
      <w:r w:rsidR="007A2EAB">
        <w:rPr>
          <w:rFonts w:ascii="Arial" w:hAnsi="Arial" w:cs="Arial"/>
          <w:sz w:val="24"/>
          <w:szCs w:val="24"/>
        </w:rPr>
        <w:instrText>ADDIN CSL_CITATION {"citationItems":[{"id":"ITEM-1","itemData":{"abstract":"Seiring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Merriam","given":"Sharan","non-dropping-particle":"","parse-names":false,"suffix":""},{"dropping-particle":"","family":"Tisdell","given":"Elizabeth","non-dropping-particle":"","parse-names":false,"suffix":""}],"container-title":"Paper Knowledge . Toward a Media History of Documents","edition":"Fourth","id":"ITEM-1","issued":{"date-parts":[["2016"]]},"note":"There are a number of variations on these designs, but basically experimental approaches try to determine the cause of events and\nThere are a number of variations on these designs, but basically experimental approaches try to determine the cause of events and to predict similar events in the future. Survey or descriptive designs are\nexperimental approaches try to determine the cause of events and to predict similar events in the future. Survey or descriptive designs are intended to systematically describe\n\nRather than determining cause and effect, predicting, or describing the distribution of some attribute among a population, we might be interested in uncovering the meaning of a phenomenon for those involved. Qualitative researchers are interested in understanding how people interpret their experiences, how they construct their worlds, and what meaning they attribute to their experiences.\n\nBraun and Clarke's (2013) distinction between qualitative and quantitative research is somewhat simplified, they write that “the most basic definition of qualitative research is that it uses words as data …collected and analyzed in all sorts of ways. Quantitative research, in contrast, uses numbers as data and analyzes them using statistical techniques” (pp. 3–4, emphasis in original).\n\n\n","publisher":"Jossey-Bass","publisher-place":"San Francisco","title":"Qualitative Research","type":"book"},"uris":["http://www.mendeley.com/documents/?uuid=f0a0c8d9-5e9b-48c7-85fc-7981f990d40b"]}],"mendeley":{"formattedCitation":"(Merriam and Tisdell, 2016)","plainTextFormattedCitation":"(Merriam and Tisdell, 2016)","previouslyFormattedCitation":"(Merriam and Tisdell, 2016)"},"properties":{"noteIndex":0},"schema":"https://github.com/citation-style-language/schema/raw/master/csl-citation.json"}</w:instrText>
      </w:r>
      <w:r w:rsidR="00195DB1">
        <w:rPr>
          <w:rFonts w:ascii="Arial" w:hAnsi="Arial" w:cs="Arial"/>
          <w:sz w:val="24"/>
          <w:szCs w:val="24"/>
        </w:rPr>
        <w:fldChar w:fldCharType="separate"/>
      </w:r>
      <w:r w:rsidR="00195DB1" w:rsidRPr="00195DB1">
        <w:rPr>
          <w:rFonts w:ascii="Arial" w:hAnsi="Arial" w:cs="Arial"/>
          <w:noProof/>
          <w:sz w:val="24"/>
          <w:szCs w:val="24"/>
        </w:rPr>
        <w:t>(Merriam and Tisdell, 2016)</w:t>
      </w:r>
      <w:r w:rsidR="00195DB1">
        <w:rPr>
          <w:rFonts w:ascii="Arial" w:hAnsi="Arial" w:cs="Arial"/>
          <w:sz w:val="24"/>
          <w:szCs w:val="24"/>
        </w:rPr>
        <w:fldChar w:fldCharType="end"/>
      </w:r>
      <w:r w:rsidR="00195DB1">
        <w:rPr>
          <w:rFonts w:ascii="Arial" w:hAnsi="Arial" w:cs="Arial"/>
          <w:sz w:val="24"/>
          <w:szCs w:val="24"/>
        </w:rPr>
        <w:t>.</w:t>
      </w:r>
      <w:r w:rsidRPr="00797004">
        <w:rPr>
          <w:rFonts w:ascii="Arial" w:hAnsi="Arial" w:cs="Arial"/>
          <w:sz w:val="24"/>
          <w:szCs w:val="24"/>
        </w:rPr>
        <w:t xml:space="preserve"> </w:t>
      </w:r>
    </w:p>
    <w:p w14:paraId="2337B174" w14:textId="77777777" w:rsidR="00356298" w:rsidRPr="00797004" w:rsidRDefault="00356298" w:rsidP="00B66156">
      <w:pPr>
        <w:spacing w:line="360" w:lineRule="auto"/>
        <w:jc w:val="both"/>
        <w:rPr>
          <w:rFonts w:ascii="Arial" w:hAnsi="Arial" w:cs="Arial"/>
          <w:b/>
          <w:bCs/>
          <w:sz w:val="24"/>
          <w:szCs w:val="24"/>
        </w:rPr>
      </w:pPr>
      <w:r w:rsidRPr="00797004">
        <w:rPr>
          <w:rFonts w:ascii="Arial" w:hAnsi="Arial" w:cs="Arial"/>
          <w:b/>
          <w:bCs/>
          <w:sz w:val="24"/>
          <w:szCs w:val="24"/>
        </w:rPr>
        <w:t xml:space="preserve">Analysing the literature: </w:t>
      </w:r>
    </w:p>
    <w:p w14:paraId="2A9F6B2A" w14:textId="200515CA" w:rsidR="00356298" w:rsidRPr="00797004" w:rsidRDefault="00356298" w:rsidP="00B66156">
      <w:pPr>
        <w:spacing w:line="360" w:lineRule="auto"/>
        <w:jc w:val="both"/>
        <w:rPr>
          <w:rFonts w:ascii="Arial" w:hAnsi="Arial" w:cs="Arial"/>
          <w:sz w:val="24"/>
          <w:szCs w:val="24"/>
        </w:rPr>
      </w:pPr>
      <w:r w:rsidRPr="00797004">
        <w:rPr>
          <w:rFonts w:ascii="Arial" w:hAnsi="Arial" w:cs="Arial"/>
          <w:sz w:val="24"/>
          <w:szCs w:val="24"/>
        </w:rPr>
        <w:t xml:space="preserve">Thematic analysis will be used to analyse the data within the literature for meaning and patterns using a systematic process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{"citationItems":[{"id":"ITEM-1","itemData":{"DOI":"10.1191/1478088706qp063oa","ISSN":"14780887","abstract":"Thematic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author":[{"dropping-particle":"","family":"Braun","given":"Virginia","non-dropping-particle":"","parse-names":false,"suffix":""},{"dropping-particle":"","family":"Clarke","given":"Victoria","non-dropping-particle":"","parse-names":false,"suffix":""}],"container-title":"Qualitative Research in Psychology","id":"ITEM-1","issue":"2","issued":{"date-parts":[["2006"]]},"note":"Highlights by: Doc page - Journal page - Topic\n\np3 - p78 Foundational method\np3 - p78 - Epistomological approach\np6 - p81 &amp;quot; &amp;quot; yellow\np6 - p81 &amp;quot; &amp;quot; green\np4 - p79 - Importance of how research is done\np5 - p80 Researcher activer in finding themes (not emerging-passive)\np5 - p80 Researcher position and decisions in the process\n\nTheme - \np7 - p82 theme definition yellow, how many instances to qualify (not defined), \np7 - p82 - researcher judgemnt required\np7 - p82 - prevelence of a theme is not essential yellow\np8 - p83 - Inductive approach \n\nDefinitions:\np4 - p79 - Thematic analysis - Pink highlight\np4 - p79 - Corpus - all data collected for a a project\np4 - p79 Data set - all the data from the corpus being used for a particular analysis\np4 - p79 Data item - each idiviual pice of data collected to form the corpus (i.e. each article)\np4 - p79 Extract - coded chonk of data taken from an extract\np7 - p82 theme definition yellow","page":"77-101","title":"Using thematic analysis in psychology","type":"article-journal","volume":"3"},"uris":["http://www.mendeley.com/documents/?uuid=d79a4bb1-1383-4be0-9dfb-77bad2f80283"]}],"mendeley":{"formattedCitation":"(Braun and Clarke, 2006)","plainTextFormattedCitation":"(Braun and Clarke, 2006)","previouslyFormattedCitation":"(Braun and Clarke, 2006)"},"properties":{"noteIndex":0},"schema":"https://github.com/citation-style-language/schema/raw/master/csl-citation.json"}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(Braun and Clarke, 2006)</w:t>
      </w:r>
      <w:r w:rsidRPr="00797004">
        <w:rPr>
          <w:rFonts w:ascii="Arial" w:hAnsi="Arial" w:cs="Arial"/>
          <w:sz w:val="24"/>
          <w:szCs w:val="24"/>
        </w:rPr>
        <w:fldChar w:fldCharType="end"/>
      </w:r>
      <w:r w:rsidRPr="00797004">
        <w:rPr>
          <w:rFonts w:ascii="Arial" w:hAnsi="Arial" w:cs="Arial"/>
          <w:sz w:val="24"/>
          <w:szCs w:val="24"/>
        </w:rPr>
        <w:t xml:space="preserve">. The corpus of data will be drawn from academic archives of articles and books pertaining to the research question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{"citationItems":[{"id":"ITEM-1","itemData":{"author":[{"dropping-particle":"","family":"Walliman","given":"N","non-dropping-particle":"","parse-names":false,"suffix":""}],"id":"ITEM-1","issued":{"date-parts":[["2001"]]},"publisher":"SAGE Publications Ltd","publisher-place":"London","title":"Your Rersearch Project","type":"book"},"uris":["http://www.mendeley.com/documents/?uuid=020a350b-5fff-49ba-be66-90689c5d657b"]},{"id":"ITEM-2","itemData":{"DOI":"10.1191/1478088706qp063oa","ISSN":"14780887","abstract":"Thematic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author":[{"dropping-particle":"","family":"Braun","given":"Virginia","non-dropping-particle":"","parse-names":false,"suffix":""},{"dropping-particle":"","family":"Clarke","given":"Victoria","non-dropping-particle":"","parse-names":false,"suffix":""}],"container-title":"Qualitative Research in Psychology","id":"ITEM-2","issue":"2","issued":{"date-parts":[["2006"]]},"note":"Highlights by: Doc page - Journal page - Topic\n\np3 - p78 Foundational method\np3 - p78 - Epistomological approach\np6 - p81 &amp;quot; &amp;quot; yellow\np6 - p81 &amp;quot; &amp;quot; green\np4 - p79 - Importance of how research is done\np5 - p80 Researcher activer in finding themes (not emerging-passive)\np5 - p80 Researcher position and decisions in the process\n\nTheme - \np7 - p82 theme definition yellow, how many instances to qualify (not defined), \np7 - p82 - researcher judgemnt required\np7 - p82 - prevelence of a theme is not essential yellow\np8 - p83 - Inductive approach \n\nDefinitions:\np4 - p79 - Thematic analysis - Pink highlight\np4 - p79 - Corpus - all data collected for a a project\np4 - p79 Data set - all the data from the corpus being used for a particular analysis\np4 - p79 Data item - each idiviual pice of data collected to form the corpus (i.e. each article)\np4 - p79 Extract - coded chonk of data taken from an extract\np7 - p82 theme definition yellow","page":"77-101","title":"Using thematic analysis in psychology","type":"article-journal","volume":"3"},"uris":["http://www.mendeley.com/documents/?uuid=d79a4bb1-1383-4be0-9dfb-77bad2f80283"]}],"mendeley":{"formattedCitation":"(Walliman, 2001; Braun and Clarke, 2006)","plainTextFormattedCitation":"(Walliman, 2001; Braun and Clarke, 2006)","previouslyFormattedCitation":"(Walliman, 2001; Braun and Clarke, 2006)"},"properties":{"noteIndex":0},"schema":"https://github.com/citation-style-language/schema/raw/master/csl-citation.json"}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(Walliman, 2001; Braun and Clarke, 2006)</w:t>
      </w:r>
      <w:r w:rsidRPr="00797004">
        <w:rPr>
          <w:rFonts w:ascii="Arial" w:hAnsi="Arial" w:cs="Arial"/>
          <w:sz w:val="24"/>
          <w:szCs w:val="24"/>
        </w:rPr>
        <w:fldChar w:fldCharType="end"/>
      </w:r>
      <w:r w:rsidRPr="00797004">
        <w:rPr>
          <w:rFonts w:ascii="Arial" w:hAnsi="Arial" w:cs="Arial"/>
          <w:sz w:val="24"/>
          <w:szCs w:val="24"/>
        </w:rPr>
        <w:t xml:space="preserve">. </w:t>
      </w:r>
      <w:r w:rsidR="00C61CBA">
        <w:rPr>
          <w:rFonts w:ascii="Arial" w:hAnsi="Arial" w:cs="Arial"/>
          <w:sz w:val="24"/>
          <w:szCs w:val="24"/>
        </w:rPr>
        <w:t>Subjecting e</w:t>
      </w:r>
      <w:r w:rsidRPr="00797004">
        <w:rPr>
          <w:rFonts w:ascii="Arial" w:hAnsi="Arial" w:cs="Arial"/>
          <w:sz w:val="24"/>
          <w:szCs w:val="24"/>
        </w:rPr>
        <w:t>ach document to the inclusion criteria and points system</w:t>
      </w:r>
      <w:r w:rsidR="00C61CBA">
        <w:rPr>
          <w:rFonts w:ascii="Arial" w:hAnsi="Arial" w:cs="Arial"/>
          <w:sz w:val="24"/>
          <w:szCs w:val="24"/>
        </w:rPr>
        <w:t xml:space="preserve"> will</w:t>
      </w:r>
      <w:r w:rsidRPr="00797004">
        <w:rPr>
          <w:rFonts w:ascii="Arial" w:hAnsi="Arial" w:cs="Arial"/>
          <w:sz w:val="24"/>
          <w:szCs w:val="24"/>
        </w:rPr>
        <w:t xml:space="preserve"> clarify the quality and relevance </w:t>
      </w:r>
      <w:r w:rsidR="00C61CBA">
        <w:rPr>
          <w:rFonts w:ascii="Arial" w:hAnsi="Arial" w:cs="Arial"/>
          <w:sz w:val="24"/>
          <w:szCs w:val="24"/>
        </w:rPr>
        <w:t xml:space="preserve">of </w:t>
      </w:r>
      <w:r w:rsidR="00736BB3">
        <w:rPr>
          <w:rFonts w:ascii="Arial" w:hAnsi="Arial" w:cs="Arial"/>
          <w:sz w:val="24"/>
          <w:szCs w:val="24"/>
        </w:rPr>
        <w:t xml:space="preserve">documents </w:t>
      </w:r>
      <w:r w:rsidRPr="00797004">
        <w:rPr>
          <w:rFonts w:ascii="Arial" w:hAnsi="Arial" w:cs="Arial"/>
          <w:sz w:val="24"/>
          <w:szCs w:val="24"/>
        </w:rPr>
        <w:t>to the research question</w:t>
      </w:r>
      <w:r w:rsidR="00736BB3">
        <w:rPr>
          <w:rFonts w:ascii="Arial" w:hAnsi="Arial" w:cs="Arial"/>
          <w:sz w:val="24"/>
          <w:szCs w:val="24"/>
        </w:rPr>
        <w:t>. This serves to</w:t>
      </w:r>
      <w:r w:rsidRPr="00797004">
        <w:rPr>
          <w:rFonts w:ascii="Arial" w:hAnsi="Arial" w:cs="Arial"/>
          <w:sz w:val="24"/>
          <w:szCs w:val="24"/>
        </w:rPr>
        <w:t xml:space="preserve"> increas</w:t>
      </w:r>
      <w:r w:rsidR="00736BB3">
        <w:rPr>
          <w:rFonts w:ascii="Arial" w:hAnsi="Arial" w:cs="Arial"/>
          <w:sz w:val="24"/>
          <w:szCs w:val="24"/>
        </w:rPr>
        <w:t>e</w:t>
      </w:r>
      <w:r w:rsidRPr="00797004">
        <w:rPr>
          <w:rFonts w:ascii="Arial" w:hAnsi="Arial" w:cs="Arial"/>
          <w:sz w:val="24"/>
          <w:szCs w:val="24"/>
        </w:rPr>
        <w:t xml:space="preserve"> </w:t>
      </w:r>
      <w:r w:rsidR="00880170">
        <w:rPr>
          <w:rFonts w:ascii="Arial" w:hAnsi="Arial" w:cs="Arial"/>
          <w:sz w:val="24"/>
          <w:szCs w:val="24"/>
        </w:rPr>
        <w:t xml:space="preserve">the </w:t>
      </w:r>
      <w:r w:rsidRPr="00797004">
        <w:rPr>
          <w:rFonts w:ascii="Arial" w:hAnsi="Arial" w:cs="Arial"/>
          <w:sz w:val="24"/>
          <w:szCs w:val="24"/>
        </w:rPr>
        <w:t xml:space="preserve">validity </w:t>
      </w:r>
      <w:r w:rsidR="00880170">
        <w:rPr>
          <w:rFonts w:ascii="Arial" w:hAnsi="Arial" w:cs="Arial"/>
          <w:sz w:val="24"/>
          <w:szCs w:val="24"/>
        </w:rPr>
        <w:t>of the outcomes of this research</w:t>
      </w:r>
      <w:r w:rsidRPr="00797004">
        <w:rPr>
          <w:rFonts w:ascii="Arial" w:hAnsi="Arial" w:cs="Arial"/>
          <w:sz w:val="24"/>
          <w:szCs w:val="24"/>
        </w:rPr>
        <w:t xml:space="preserve">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Merriam","given":"Sharan","non-dropping-particle":"","parse-names":false,"suffix":""},{"dropping-particle":"","family":"Tisdell","given":"Elizabeth","non-dropping-particle":"","parse-names":false,"suffix":""}],"container-title":"Paper Knowledge . Toward a Media History of Documents","edition":"Fourth","id":"ITEM-1","issued":{"date-parts":[["2016"]]},"note":"There are a number of variations on these designs, but basically experimental approaches try to determine the cause of events and\nThere are a number of variations on these designs, but basically experimental approaches try to determine the cause of events and to predict similar events in the future. Survey or descriptive designs are\nexperimental approaches try to determine the cause of events and to predict similar events in the future. Survey or descriptive designs are intended to systematically describe\n\nRather than determining cause and effect, predicting, or describing the distribution of some attribute among a population, we might be interested in uncovering the meaning of a phenomenon for those involved. Qualitative researchers are interested in understanding how people interpret their experiences, how they construct their worlds, and what meaning they attribute to their experiences.\n\nBraun and Clarke's (2013) distinction between qualitative and quantitative research is somewhat simplified, they write that “the most basic definition of qualitative research is that it uses words as data …collected and analyzed in all sorts of ways. Quantitative research, in contrast, uses numbers as data and analyzes them using statistical techniques” (pp. 3–4, emphasis in original).\n\n\n","publisher":"Jossey-Bass","publisher-place":"San Francisco","title":"Qualitative Research","type":"book"},"uris":["http://www.mendeley.com/documents/?uuid=f0a0c8d9-5e9b-48c7-85fc-7981f990d40b"]}],"mendeley":{"formattedCitation":"(Merriam and Tisdell, 2016)","plainTextFormattedCitation":"(Merriam and Tisdell, 2016)","previouslyFormattedCitation":"(Merriam and Tisdell, 2016)"},"properties":{"noteIndex":0},"schema":"https://github.com/citation-style-language/schema/raw/master/csl-citation.json"}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(Merriam and Tisdell, 2016)</w:t>
      </w:r>
      <w:r w:rsidRPr="00797004">
        <w:rPr>
          <w:rFonts w:ascii="Arial" w:hAnsi="Arial" w:cs="Arial"/>
          <w:sz w:val="24"/>
          <w:szCs w:val="24"/>
        </w:rPr>
        <w:fldChar w:fldCharType="end"/>
      </w:r>
      <w:r w:rsidRPr="00797004">
        <w:rPr>
          <w:rFonts w:ascii="Arial" w:hAnsi="Arial" w:cs="Arial"/>
          <w:sz w:val="24"/>
          <w:szCs w:val="24"/>
        </w:rPr>
        <w:t>.</w:t>
      </w:r>
    </w:p>
    <w:p w14:paraId="40DEE155" w14:textId="57CD5F36" w:rsidR="00356298" w:rsidRPr="00797004" w:rsidRDefault="00356298" w:rsidP="00B66156">
      <w:pPr>
        <w:spacing w:line="360" w:lineRule="auto"/>
        <w:jc w:val="both"/>
        <w:rPr>
          <w:rFonts w:ascii="Arial" w:hAnsi="Arial" w:cs="Arial"/>
          <w:sz w:val="24"/>
          <w:szCs w:val="24"/>
        </w:rPr>
      </w:pPr>
      <w:r w:rsidRPr="00797004">
        <w:rPr>
          <w:rFonts w:ascii="Arial" w:hAnsi="Arial" w:cs="Arial"/>
          <w:sz w:val="24"/>
          <w:szCs w:val="24"/>
        </w:rPr>
        <w:t xml:space="preserve">The </w:t>
      </w:r>
      <w:r w:rsidR="006D74B9">
        <w:rPr>
          <w:rFonts w:ascii="Arial" w:hAnsi="Arial" w:cs="Arial"/>
          <w:sz w:val="24"/>
          <w:szCs w:val="24"/>
        </w:rPr>
        <w:t xml:space="preserve">process of </w:t>
      </w:r>
      <w:r w:rsidRPr="00797004">
        <w:rPr>
          <w:rFonts w:ascii="Arial" w:hAnsi="Arial" w:cs="Arial"/>
          <w:sz w:val="24"/>
          <w:szCs w:val="24"/>
        </w:rPr>
        <w:t xml:space="preserve">thematic analysis will </w:t>
      </w:r>
      <w:r w:rsidR="006D74B9">
        <w:rPr>
          <w:rFonts w:ascii="Arial" w:hAnsi="Arial" w:cs="Arial"/>
          <w:sz w:val="24"/>
          <w:szCs w:val="24"/>
        </w:rPr>
        <w:t xml:space="preserve">result in the </w:t>
      </w:r>
      <w:r w:rsidRPr="00797004">
        <w:rPr>
          <w:rFonts w:ascii="Arial" w:hAnsi="Arial" w:cs="Arial"/>
          <w:sz w:val="24"/>
          <w:szCs w:val="24"/>
        </w:rPr>
        <w:t>analys</w:t>
      </w:r>
      <w:r w:rsidR="006D74B9">
        <w:rPr>
          <w:rFonts w:ascii="Arial" w:hAnsi="Arial" w:cs="Arial"/>
          <w:sz w:val="24"/>
          <w:szCs w:val="24"/>
        </w:rPr>
        <w:t>is of</w:t>
      </w:r>
      <w:r w:rsidRPr="00797004">
        <w:rPr>
          <w:rFonts w:ascii="Arial" w:hAnsi="Arial" w:cs="Arial"/>
          <w:sz w:val="24"/>
          <w:szCs w:val="24"/>
        </w:rPr>
        <w:t xml:space="preserve"> each document</w:t>
      </w:r>
      <w:r w:rsidR="006D74B9">
        <w:rPr>
          <w:rFonts w:ascii="Arial" w:hAnsi="Arial" w:cs="Arial"/>
          <w:sz w:val="24"/>
          <w:szCs w:val="24"/>
        </w:rPr>
        <w:t>,</w:t>
      </w:r>
      <w:r w:rsidRPr="00797004">
        <w:rPr>
          <w:rFonts w:ascii="Arial" w:hAnsi="Arial" w:cs="Arial"/>
          <w:sz w:val="24"/>
          <w:szCs w:val="24"/>
        </w:rPr>
        <w:t xml:space="preserve"> section by section. Each section will be summarised into a descriptive summary which in turn will be reduced to a single word, a ‘code’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{"citationItems":[{"id":"ITEM-1","itemData":{"DOI":"10.1080/2159676X.2019.1628806","ISSN":"1939845X","abstract":"Since initially writing on thematic analysis in 2006, the popularity of the method we outlined has exploded, the variety of TA approaches have expanded, and, not least, our thinking has developed and shifted. In this reflexive commentary, we look back at some of the unspoken assumptions that informed how we wrote our 2006 paper. We connect some of these un-identified assumptions, and developments in the method over the years, with some conceptual mismatches and confusions we see in published TA studies. In order to facilitate better TA practice, we reflect on how our thinking has evolved–and in some cases sedimented–since the publication of our 2006 paper, and clarify and revise some of the ways we phrased or conceptualised TA, and the elements of, and processes around, a method we now prefer to call reflexive TA.","author":[{"dropping-particle":"","family":"Braun","given":"Virginia","non-dropping-particle":"","parse-names":false,"suffix":""},{"dropping-particle":"","family":"Clarke","given":"Victoria","non-dropping-particle":"","parse-names":false,"suffix":""}],"container-title":"Qualitative Research in Sport, Exercise and Health","id":"ITEM-1","issue":"4","issued":{"date-parts":[["2019"]]},"page":"589-597","publisher":"Routledge","title":"Reflecting on reflexive thematic analysis","type":"article-journal","volume":"11"},"uris":["http://www.mendeley.com/documents/?uuid=e24d767a-9c14-4ae2-b026-6f8fa0177c0e"]}],"mendeley":{"formattedCitation":"(Braun and Clarke, 2019)","plainTextFormattedCitation":"(Braun and Clarke, 2019)","previouslyFormattedCitation":"(Braun and Clarke, 2019)"},"properties":{"noteIndex":0},"schema":"https://github.com/citation-style-language/schema/raw/master/csl-citation.json"}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(Braun and Clarke, 2019)</w:t>
      </w:r>
      <w:r w:rsidRPr="00797004">
        <w:rPr>
          <w:rFonts w:ascii="Arial" w:hAnsi="Arial" w:cs="Arial"/>
          <w:sz w:val="24"/>
          <w:szCs w:val="24"/>
        </w:rPr>
        <w:fldChar w:fldCharType="end"/>
      </w:r>
      <w:r w:rsidRPr="00797004">
        <w:rPr>
          <w:rFonts w:ascii="Arial" w:hAnsi="Arial" w:cs="Arial"/>
          <w:sz w:val="24"/>
          <w:szCs w:val="24"/>
        </w:rPr>
        <w:t xml:space="preserve">. The codes are words which encapsulate the </w:t>
      </w:r>
      <w:r w:rsidR="00DE05B7">
        <w:rPr>
          <w:rFonts w:ascii="Arial" w:hAnsi="Arial" w:cs="Arial"/>
          <w:sz w:val="24"/>
          <w:szCs w:val="24"/>
        </w:rPr>
        <w:t xml:space="preserve">data into a </w:t>
      </w:r>
      <w:r w:rsidR="00DB5892">
        <w:rPr>
          <w:rFonts w:ascii="Arial" w:hAnsi="Arial" w:cs="Arial"/>
          <w:sz w:val="24"/>
          <w:szCs w:val="24"/>
        </w:rPr>
        <w:t xml:space="preserve">descriptive </w:t>
      </w:r>
      <w:r w:rsidR="00DE05B7">
        <w:rPr>
          <w:rFonts w:ascii="Arial" w:hAnsi="Arial" w:cs="Arial"/>
          <w:sz w:val="24"/>
          <w:szCs w:val="24"/>
        </w:rPr>
        <w:t xml:space="preserve">summary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{"citationItems":[{"id":"ITEM-1","itemData":{"DOI":"10.1191/1478088706qp063oa","ISSN":"14780887","abstract":"Thematic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author":[{"dropping-particle":"","family":"Braun","given":"Virginia","non-dropping-particle":"","parse-names":false,"suffix":""},{"dropping-particle":"","family":"Clarke","given":"Victoria","non-dropping-particle":"","parse-names":false,"suffix":""}],"container-title":"Qualitative Research in Psychology","id":"ITEM-1","issue":"2","issued":{"date-parts":[["2006"]]},"note":"Highlights by: Doc page - Journal page - Topic\n\np3 - p78 Foundational method\np3 - p78 - Epistomological approach\np6 - p81 &amp;quot; &amp;quot; yellow\np6 - p81 &amp;quot; &amp;quot; green\np4 - p79 - Importance of how research is done\np5 - p80 Researcher activer in finding themes (not emerging-passive)\np5 - p80 Researcher position and decisions in the process\n\nTheme - \np7 - p82 theme definition yellow, how many instances to qualify (not defined), \np7 - p82 - researcher judgemnt required\np7 - p82 - prevelence of a theme is not essential yellow\np8 - p83 - Inductive approach \n\nDefinitions:\np4 - p79 - Thematic analysis - Pink highlight\np4 - p79 - Corpus - all data collected for a a project\np4 - p79 Data set - all the data from the corpus being used for a particular analysis\np4 - p79 Data item - each idiviual pice of data collected to form the corpus (i.e. each article)\np4 - p79 Extract - coded chonk of data taken from an extract\np7 - p82 theme definition yellow","page":"77-101","title":"Using thematic analysis in psychology","type":"article-journal","volume":"3"},"uris":["http://www.mendeley.com/documents/?uuid=d79a4bb1-1383-4be0-9dfb-77bad2f80283"]}],"mendeley":{"formattedCitation":"(Braun and Clarke, 2006)","plainTextFormattedCitation":"(Braun and Clarke, 2006)","previouslyFormattedCitation":"(Braun and Clarke, 2006)"},"properties":{"noteIndex":0},"schema":"https://github.com/citation-style-language/schema/raw/master/csl-citation.json"}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(Braun and Clarke, 2006)</w:t>
      </w:r>
      <w:r w:rsidRPr="00797004">
        <w:rPr>
          <w:rFonts w:ascii="Arial" w:hAnsi="Arial" w:cs="Arial"/>
          <w:sz w:val="24"/>
          <w:szCs w:val="24"/>
        </w:rPr>
        <w:fldChar w:fldCharType="end"/>
      </w:r>
      <w:r w:rsidR="00B25630">
        <w:rPr>
          <w:rFonts w:ascii="Arial" w:hAnsi="Arial" w:cs="Arial"/>
          <w:sz w:val="24"/>
          <w:szCs w:val="24"/>
        </w:rPr>
        <w:t>. This f</w:t>
      </w:r>
      <w:r w:rsidRPr="00797004">
        <w:rPr>
          <w:rFonts w:ascii="Arial" w:hAnsi="Arial" w:cs="Arial"/>
          <w:sz w:val="24"/>
          <w:szCs w:val="24"/>
        </w:rPr>
        <w:t>orm</w:t>
      </w:r>
      <w:r w:rsidR="00B25630">
        <w:rPr>
          <w:rFonts w:ascii="Arial" w:hAnsi="Arial" w:cs="Arial"/>
          <w:sz w:val="24"/>
          <w:szCs w:val="24"/>
        </w:rPr>
        <w:t>s</w:t>
      </w:r>
      <w:r w:rsidRPr="00797004">
        <w:rPr>
          <w:rFonts w:ascii="Arial" w:hAnsi="Arial" w:cs="Arial"/>
          <w:sz w:val="24"/>
          <w:szCs w:val="24"/>
        </w:rPr>
        <w:t xml:space="preserve"> the </w:t>
      </w:r>
      <w:r w:rsidR="007E57E5">
        <w:rPr>
          <w:rFonts w:ascii="Arial" w:hAnsi="Arial" w:cs="Arial"/>
          <w:sz w:val="24"/>
          <w:szCs w:val="24"/>
        </w:rPr>
        <w:t>‘</w:t>
      </w:r>
      <w:r w:rsidRPr="00797004">
        <w:rPr>
          <w:rFonts w:ascii="Arial" w:hAnsi="Arial" w:cs="Arial"/>
          <w:sz w:val="24"/>
          <w:szCs w:val="24"/>
        </w:rPr>
        <w:t>initialisation phase</w:t>
      </w:r>
      <w:r w:rsidR="007E57E5">
        <w:rPr>
          <w:rFonts w:ascii="Arial" w:hAnsi="Arial" w:cs="Arial"/>
          <w:sz w:val="24"/>
          <w:szCs w:val="24"/>
        </w:rPr>
        <w:t>’</w:t>
      </w:r>
      <w:r w:rsidRPr="00797004">
        <w:rPr>
          <w:rFonts w:ascii="Arial" w:hAnsi="Arial" w:cs="Arial"/>
          <w:sz w:val="24"/>
          <w:szCs w:val="24"/>
        </w:rPr>
        <w:t xml:space="preserve"> </w:t>
      </w:r>
      <w:r w:rsidR="00667A32">
        <w:rPr>
          <w:rFonts w:ascii="Arial" w:hAnsi="Arial" w:cs="Arial"/>
          <w:sz w:val="24"/>
          <w:szCs w:val="24"/>
        </w:rPr>
        <w:t xml:space="preserve">of the study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{"citationItems":[{"id":"ITEM-1","itemData":{"DOI":"10.5430/jnep.v6n5p100","ISSN":"1925-4040","abstract":"Sufficient knowledge is available about the definition, details and differences of qualitative content and thematic analysis as two approaches of qualitative descriptive research. However, identifying the main features of theme as the data analysis product and the method of its development remain unclear. The purpose of this study was to describe the meaning of theme and offer a method on theme construction that can be used by qualitative content analysis and thematic analysis researchers in line with the underpinning specific approach to data analysis. This methodological paper comprises an analytical overview of qualitative descriptive research products and the meaning of theme. Also, our practical experiences of qualitative analysis supported by relevant published literature informed the generation of a stage like model of theme construction for qualitative content analysis and thematic analysis. This paper comprises: (i) analytical importance of theme, (ii) meaning of theme, (iii) meaning of category, (iv) theme and category in terms of level of content, and (v) theme development. This paper offers a conceptual clarification and a pragmatic step by step method of theme development that has the capacity of assisting nurse researchers understand how theme is developed. As nursing is a pragmatic discipline, nurse researchers have tried to develop practical findings and devise some way to “do something” with findings to enhance the action and impact of nursing. The application of a precise method of theme development for qualitative descriptive data analysis suggested in this paper helps yield meaningful, credible and practical results for nursing.","author":[{"dropping-particle":"","family":"Vaismoradi","given":"Mojtaba","non-dropping-particle":"","parse-names":false,"suffix":""},{"dropping-particle":"","family":"Jones","given":"Jacqueline","non-dropping-particle":"","parse-names":false,"suffix":""},{"dropping-particle":"","family":"Turunen","given":"Hannele","non-dropping-particle":"","parse-names":false,"suffix":""},{"dropping-particle":"","family":"Snelgrove","given":"Sherrill","non-dropping-particle":"","parse-names":false,"suffix":""}],"container-title":"Journal of Nursing Education and Practice","id":"ITEM-1","issue":"5","issued":{"date-parts":[["2016"]]},"title":"Theme development in qualitative content analysis and thematic analysis","type":"article-journal","volume":"6"},"uris":["http://www.mendeley.com/documents/?uuid=eaebd822-59af-4c6e-9ae4-fbcf80f2223f"]}],"mendeley":{"formattedCitation":"(Vaismoradi &lt;i&gt;et al.&lt;/i&gt;, 2016)","plainTextFormattedCitation":"(Vaismoradi et al., 2016)","previouslyFormattedCitation":"(Vaismoradi &lt;i&gt;et al.&lt;/i&gt;, 2016)"},"properties":{"noteIndex":0},"schema":"https://github.com/citation-style-language/schema/raw/master/csl-citation.json"}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 xml:space="preserve">(Vaismoradi </w:t>
      </w:r>
      <w:r w:rsidRPr="00797004">
        <w:rPr>
          <w:rFonts w:ascii="Arial" w:hAnsi="Arial" w:cs="Arial"/>
          <w:i/>
          <w:noProof/>
          <w:sz w:val="24"/>
          <w:szCs w:val="24"/>
        </w:rPr>
        <w:t>et al.</w:t>
      </w:r>
      <w:r w:rsidRPr="00797004">
        <w:rPr>
          <w:rFonts w:ascii="Arial" w:hAnsi="Arial" w:cs="Arial"/>
          <w:noProof/>
          <w:sz w:val="24"/>
          <w:szCs w:val="24"/>
        </w:rPr>
        <w:t>, 2016)</w:t>
      </w:r>
      <w:r w:rsidRPr="00797004">
        <w:rPr>
          <w:rFonts w:ascii="Arial" w:hAnsi="Arial" w:cs="Arial"/>
          <w:sz w:val="24"/>
          <w:szCs w:val="24"/>
        </w:rPr>
        <w:fldChar w:fldCharType="end"/>
      </w:r>
      <w:r w:rsidRPr="00797004">
        <w:rPr>
          <w:rFonts w:ascii="Arial" w:hAnsi="Arial" w:cs="Arial"/>
          <w:sz w:val="24"/>
          <w:szCs w:val="24"/>
        </w:rPr>
        <w:t>. These codes may describe data such as feelings, influences, or outcomes at play in the document</w:t>
      </w:r>
      <w:r w:rsidR="006B3A5F">
        <w:rPr>
          <w:rFonts w:ascii="Arial" w:hAnsi="Arial" w:cs="Arial"/>
          <w:sz w:val="24"/>
          <w:szCs w:val="24"/>
        </w:rPr>
        <w:t xml:space="preserve"> </w:t>
      </w:r>
      <w:r w:rsidR="006B3A5F">
        <w:rPr>
          <w:rFonts w:ascii="Arial" w:hAnsi="Arial" w:cs="Arial"/>
          <w:sz w:val="24"/>
          <w:szCs w:val="24"/>
        </w:rPr>
        <w:fldChar w:fldCharType="begin" w:fldLock="1"/>
      </w:r>
      <w:r w:rsidR="00667827">
        <w:rPr>
          <w:rFonts w:ascii="Arial" w:hAnsi="Arial" w:cs="Arial"/>
          <w:sz w:val="24"/>
          <w:szCs w:val="24"/>
        </w:rPr>
        <w:instrText>ADDIN CSL_CITATION {"citationItems":[{"id":"ITEM-1","itemData":{"DOI":"10.1191/1478088706qp063oa","ISSN":"14780887","abstract":"Thematic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author":[{"dropping-particle":"","family":"Braun","given":"Virginia","non-dropping-particle":"","parse-names":false,"suffix":""},{"dropping-particle":"","family":"Clarke","given":"Victoria","non-dropping-particle":"","parse-names":false,"suffix":""}],"container-title":"Qualitative Research in Psychology","id":"ITEM-1","issue":"2","issued":{"date-parts":[["2006"]]},"note":"Highlights by: Doc page - Journal page - Topic\n\np3 - p78 Foundational method\np3 - p78 - Epistomological approach\np6 - p81 &amp;quot; &amp;quot; yellow\np6 - p81 &amp;quot; &amp;quot; green\np4 - p79 - Importance of how research is done\np5 - p80 Researcher activer in finding themes (not emerging-passive)\np5 - p80 Researcher position and decisions in the process\n\nTheme - \np7 - p82 theme definition yellow, how many instances to qualify (not defined), \np7 - p82 - researcher judgemnt required\np7 - p82 - prevelence of a theme is not essential yellow\np8 - p83 - Inductive approach \n\nDefinitions:\np4 - p79 - Thematic analysis - Pink highlight\np4 - p79 - Corpus - all data collected for a a project\np4 - p79 Data set - all the data from the corpus being used for a particular analysis\np4 - p79 Data item - each idiviual pice of data collected to form the corpus (i.e. each article)\np4 - p79 Extract - coded chonk of data taken from an extract\np7 - p82 theme definition yellow","page":"77-101","title":"Using thematic analysis in psychology","type":"article-journal","volume":"3"},"uris":["http://www.mendeley.com/documents/?uuid=d79a4bb1-1383-4be0-9dfb-77bad2f80283"]},{"id":"ITEM-2","itemData":{"DOI":"10.5430/jnep.v6n5p100","ISSN":"1925-4040","abstract":"Sufficient knowledge is available about the definition, details and differences of qualitative content and thematic analysis as two approaches of qualitative descriptive research. However, identifying the main features of theme as the data analysis product and the method of its development remain unclear. The purpose of this study was to describe the meaning of theme and offer a method on theme construction that can be used by qualitative content analysis and thematic analysis researchers in line with the underpinning specific approach to data analysis. This methodological paper comprises an analytical overview of qualitative descriptive research products and the meaning of theme. Also, our practical experiences of qualitative analysis supported by relevant published literature informed the generation of a stage like model of theme construction for qualitative content analysis and thematic analysis. This paper comprises: (i) analytical importance of theme, (ii) meaning of theme, (iii) meaning of category, (iv) theme and category in terms of level of content, and (v) theme development. This paper offers a conceptual clarification and a pragmatic step by step method of theme development that has the capacity of assisting nurse researchers understand how theme is developed. As nursing is a pragmatic discipline, nurse researchers have tried to develop practical findings and devise some way to “do something” with findings to enhance the action and impact of nursing. The application of a precise method of theme development for qualitative descriptive data analysis suggested in this paper helps yield meaningful, credible and practical results for nursing.","author":[{"dropping-particle":"","family":"Vaismoradi","given":"Mojtaba","non-dropping-particle":"","parse-names":false,"suffix":""},{"dropping-particle":"","family":"Jones","given":"Jacqueline","non-dropping-particle":"","parse-names":false,"suffix":""},{"dropping-particle":"","family":"Turunen","given":"Hannele","non-dropping-particle":"","parse-names":false,"suffix":""},{"dropping-particle":"","family":"Snelgrove","given":"Sherrill","non-dropping-particle":"","parse-names":false,"suffix":""}],"container-title":"Journal of Nursing Education and Practice","id":"ITEM-2","issue":"5","issued":{"date-parts":[["2016"]]},"title":"Theme development in qualitative content analysis and thematic analysis","type":"article-journal","volume":"6"},"uris":["http://www.mendeley.com/documents/?uuid=eaebd822-59af-4c6e-9ae4-fbcf80f2223f"]}],"mendeley":{"formattedCitation":"(Braun and Clarke, 2006; Vaismoradi &lt;i&gt;et al.&lt;/i&gt;, 2016)","plainTextFormattedCitation":"(Braun and Clarke, 2006; Vaismoradi et al., 2016)","previouslyFormattedCitation":"(Braun and Clarke, 2006; Vaismoradi &lt;i&gt;et al.&lt;/i&gt;, 2016)"},"properties":{"noteIndex":0},"schema":"https://github.com/citation-style-language/schema/raw/master/csl-citation.json"}</w:instrText>
      </w:r>
      <w:r w:rsidR="006B3A5F">
        <w:rPr>
          <w:rFonts w:ascii="Arial" w:hAnsi="Arial" w:cs="Arial"/>
          <w:sz w:val="24"/>
          <w:szCs w:val="24"/>
        </w:rPr>
        <w:fldChar w:fldCharType="separate"/>
      </w:r>
      <w:r w:rsidR="006B3A5F" w:rsidRPr="006B3A5F">
        <w:rPr>
          <w:rFonts w:ascii="Arial" w:hAnsi="Arial" w:cs="Arial"/>
          <w:noProof/>
          <w:sz w:val="24"/>
          <w:szCs w:val="24"/>
        </w:rPr>
        <w:t xml:space="preserve">(Braun and Clarke, 2006; Vaismoradi </w:t>
      </w:r>
      <w:r w:rsidR="006B3A5F" w:rsidRPr="006B3A5F">
        <w:rPr>
          <w:rFonts w:ascii="Arial" w:hAnsi="Arial" w:cs="Arial"/>
          <w:i/>
          <w:noProof/>
          <w:sz w:val="24"/>
          <w:szCs w:val="24"/>
        </w:rPr>
        <w:t>et al.</w:t>
      </w:r>
      <w:r w:rsidR="006B3A5F" w:rsidRPr="006B3A5F">
        <w:rPr>
          <w:rFonts w:ascii="Arial" w:hAnsi="Arial" w:cs="Arial"/>
          <w:noProof/>
          <w:sz w:val="24"/>
          <w:szCs w:val="24"/>
        </w:rPr>
        <w:t>, 2016)</w:t>
      </w:r>
      <w:r w:rsidR="006B3A5F">
        <w:rPr>
          <w:rFonts w:ascii="Arial" w:hAnsi="Arial" w:cs="Arial"/>
          <w:sz w:val="24"/>
          <w:szCs w:val="24"/>
        </w:rPr>
        <w:fldChar w:fldCharType="end"/>
      </w:r>
      <w:r w:rsidRPr="00797004">
        <w:rPr>
          <w:rFonts w:ascii="Arial" w:hAnsi="Arial" w:cs="Arial"/>
          <w:sz w:val="24"/>
          <w:szCs w:val="24"/>
        </w:rPr>
        <w:t>.</w:t>
      </w:r>
      <w:r w:rsidR="00104EE0">
        <w:rPr>
          <w:rFonts w:ascii="Arial" w:hAnsi="Arial" w:cs="Arial"/>
          <w:sz w:val="24"/>
          <w:szCs w:val="24"/>
        </w:rPr>
        <w:t xml:space="preserve"> See </w:t>
      </w:r>
      <w:r w:rsidR="000F5730">
        <w:rPr>
          <w:rFonts w:ascii="Arial" w:hAnsi="Arial" w:cs="Arial"/>
          <w:sz w:val="24"/>
          <w:szCs w:val="24"/>
        </w:rPr>
        <w:t>A</w:t>
      </w:r>
      <w:r w:rsidR="00104EE0">
        <w:rPr>
          <w:rFonts w:ascii="Arial" w:hAnsi="Arial" w:cs="Arial"/>
          <w:sz w:val="24"/>
          <w:szCs w:val="24"/>
        </w:rPr>
        <w:t>ppendix 3</w:t>
      </w:r>
      <w:r w:rsidR="00287C54">
        <w:rPr>
          <w:rFonts w:ascii="Arial" w:hAnsi="Arial" w:cs="Arial"/>
          <w:sz w:val="24"/>
          <w:szCs w:val="24"/>
        </w:rPr>
        <w:t xml:space="preserve"> for an example of thematic analysis applied to a document from the corpus.</w:t>
      </w:r>
    </w:p>
    <w:p w14:paraId="417740C3" w14:textId="56F77421" w:rsidR="00356298" w:rsidRPr="00797004" w:rsidRDefault="00356298" w:rsidP="00B66156">
      <w:pPr>
        <w:spacing w:line="360" w:lineRule="auto"/>
        <w:jc w:val="both"/>
        <w:rPr>
          <w:rFonts w:ascii="Arial" w:hAnsi="Arial" w:cs="Arial"/>
          <w:sz w:val="24"/>
          <w:szCs w:val="24"/>
        </w:rPr>
      </w:pPr>
      <w:r w:rsidRPr="00797004">
        <w:rPr>
          <w:rFonts w:ascii="Arial" w:hAnsi="Arial" w:cs="Arial"/>
          <w:sz w:val="24"/>
          <w:szCs w:val="24"/>
        </w:rPr>
        <w:t>Once this stage is complete, the ‘construction phase’ can begin</w:t>
      </w:r>
      <w:r w:rsidR="003E7247">
        <w:rPr>
          <w:rFonts w:ascii="Arial" w:hAnsi="Arial" w:cs="Arial"/>
          <w:sz w:val="24"/>
          <w:szCs w:val="24"/>
        </w:rPr>
        <w:t>. In this phase</w:t>
      </w:r>
      <w:r w:rsidRPr="00797004">
        <w:rPr>
          <w:rFonts w:ascii="Arial" w:hAnsi="Arial" w:cs="Arial"/>
          <w:sz w:val="24"/>
          <w:szCs w:val="24"/>
        </w:rPr>
        <w:t xml:space="preserve"> the initial codes go through the process of ‘</w:t>
      </w:r>
      <w:r w:rsidRPr="00797004">
        <w:rPr>
          <w:rFonts w:ascii="Arial" w:hAnsi="Arial" w:cs="Arial"/>
          <w:i/>
          <w:iCs/>
          <w:sz w:val="24"/>
          <w:szCs w:val="24"/>
        </w:rPr>
        <w:t>“classifying”, “comparing”, “labelling”, “translating and transliterating” and “defining and describing”</w:t>
      </w:r>
      <w:r w:rsidRPr="00797004">
        <w:rPr>
          <w:rFonts w:ascii="Arial" w:hAnsi="Arial" w:cs="Arial"/>
          <w:sz w:val="24"/>
          <w:szCs w:val="24"/>
        </w:rPr>
        <w:t xml:space="preserve">’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{"citationItems":[{"id":"ITEM-1","itemData":{"DOI":"10.5430/jnep.v6n5p100","ISSN":"1925-4040","abstract":"Sufficient knowledge is available about the definition, details and differences of qualitative content and thematic analysis as two approaches of qualitative descriptive research. However, identifying the main features of theme as the data analysis product and the method of its development remain unclear. The purpose of this study was to describe the meaning of theme and offer a method on theme construction that can be used by qualitative content analysis and thematic analysis researchers in line with the underpinning specific approach to data analysis. This methodological paper comprises an analytical overview of qualitative descriptive research products and the meaning of theme. Also, our practical experiences of qualitative analysis supported by relevant published literature informed the generation of a stage like model of theme construction for qualitative content analysis and thematic analysis. This paper comprises: (i) analytical importance of theme, (ii) meaning of theme, (iii) meaning of category, (iv) theme and category in terms of level of content, and (v) theme development. This paper offers a conceptual clarification and a pragmatic step by step method of theme development that has the capacity of assisting nurse researchers understand how theme is developed. As nursing is a pragmatic discipline, nurse researchers have tried to develop practical findings and devise some way to “do something” with findings to enhance the action and impact of nursing. The application of a precise method of theme development for qualitative descriptive data analysis suggested in this paper helps yield meaningful, credible and practical results for nursing.","author":[{"dropping-particle":"","family":"Vaismoradi","given":"Mojtaba","non-dropping-particle":"","parse-names":false,"suffix":""},{"dropping-particle":"","family":"Jones","given":"Jacqueline","non-dropping-particle":"","parse-names":false,"suffix":""},{"dropping-particle":"","family":"Turunen","given":"Hannele","non-dropping-particle":"","parse-names":false,"suffix":""},{"dropping-particle":"","family":"Snelgrove","given":"Sherrill","non-dropping-particle":"","parse-names":false,"suffix":""}],"container-title":"Journal of Nursing Education and Practice","id":"ITEM-1","issue":"5","issued":{"date-parts":[["2016"]]},"title":"Theme development in qualitative content analysis and thematic analysis","type":"article-journal","volume":"6"},"uris":["http://www.mendeley.com/documents/?uuid=eaebd822-59af-4c6e-9ae4-fbcf80f2223f"]}],"mendeley":{"formattedCitation":"(Vaismoradi &lt;i&gt;et al.&lt;/i&gt;, 2016)","plainTextFormattedCitation":"(Vaismoradi et al., 2016)","previouslyFormattedCitation":"(Vaismoradi &lt;i&gt;et al.&lt;/i&gt;, 2016)"},"properties":{"noteIndex":0},"schema":"https://github.com/citation-style-language/schema/raw/master/csl-citation.json"}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 xml:space="preserve">(Vaismoradi </w:t>
      </w:r>
      <w:r w:rsidRPr="00797004">
        <w:rPr>
          <w:rFonts w:ascii="Arial" w:hAnsi="Arial" w:cs="Arial"/>
          <w:i/>
          <w:noProof/>
          <w:sz w:val="24"/>
          <w:szCs w:val="24"/>
        </w:rPr>
        <w:t>et al.</w:t>
      </w:r>
      <w:r w:rsidRPr="00797004">
        <w:rPr>
          <w:rFonts w:ascii="Arial" w:hAnsi="Arial" w:cs="Arial"/>
          <w:noProof/>
          <w:sz w:val="24"/>
          <w:szCs w:val="24"/>
        </w:rPr>
        <w:t>, 2016)</w:t>
      </w:r>
      <w:r w:rsidRPr="00797004">
        <w:rPr>
          <w:rFonts w:ascii="Arial" w:hAnsi="Arial" w:cs="Arial"/>
          <w:sz w:val="24"/>
          <w:szCs w:val="24"/>
        </w:rPr>
        <w:fldChar w:fldCharType="end"/>
      </w:r>
      <w:r w:rsidRPr="00797004">
        <w:rPr>
          <w:rFonts w:ascii="Arial" w:hAnsi="Arial" w:cs="Arial"/>
          <w:sz w:val="24"/>
          <w:szCs w:val="24"/>
        </w:rPr>
        <w:t xml:space="preserve">. After </w:t>
      </w:r>
      <w:r w:rsidR="00341A1B">
        <w:rPr>
          <w:rFonts w:ascii="Arial" w:hAnsi="Arial" w:cs="Arial"/>
          <w:sz w:val="24"/>
          <w:szCs w:val="24"/>
        </w:rPr>
        <w:t>that</w:t>
      </w:r>
      <w:r w:rsidRPr="00797004">
        <w:rPr>
          <w:rFonts w:ascii="Arial" w:hAnsi="Arial" w:cs="Arial"/>
          <w:sz w:val="24"/>
          <w:szCs w:val="24"/>
        </w:rPr>
        <w:t xml:space="preserve"> Vaismoradi </w:t>
      </w:r>
      <w:r w:rsidRPr="00797004">
        <w:rPr>
          <w:rFonts w:ascii="Arial" w:hAnsi="Arial" w:cs="Arial"/>
          <w:i/>
          <w:iCs/>
          <w:sz w:val="24"/>
          <w:szCs w:val="24"/>
        </w:rPr>
        <w:t xml:space="preserve">et al </w:t>
      </w:r>
      <w:r w:rsidRPr="00797004">
        <w:rPr>
          <w:rFonts w:ascii="Arial" w:hAnsi="Arial" w:cs="Arial"/>
          <w:i/>
          <w:iCs/>
          <w:sz w:val="24"/>
          <w:szCs w:val="24"/>
        </w:rPr>
        <w:fldChar w:fldCharType="begin" w:fldLock="1"/>
      </w:r>
      <w:r w:rsidRPr="00797004">
        <w:rPr>
          <w:rFonts w:ascii="Arial" w:hAnsi="Arial" w:cs="Arial"/>
          <w:i/>
          <w:iCs/>
          <w:sz w:val="24"/>
          <w:szCs w:val="24"/>
        </w:rPr>
        <w:instrText>ADDIN CSL_CITATION {"citationItems":[{"id":"ITEM-1","itemData":{"DOI":"10.5430/jnep.v6n5p100","ISSN":"1925-4040","abstract":"Sufficient knowledge is available about the definition, details and differences of qualitative content and thematic analysis as two approaches of qualitative descriptive research. However, identifying the main features of theme as the data analysis product and the method of its development remain unclear. The purpose of this study was to describe the meaning of theme and offer a method on theme construction that can be used by qualitative content analysis and thematic analysis researchers in line with the underpinning specific approach to data analysis. This methodological paper comprises an analytical overview of qualitative descriptive research products and the meaning of theme. Also, our practical experiences of qualitative analysis supported by relevant published literature informed the generation of a stage like model of theme construction for qualitative content analysis and thematic analysis. This paper comprises: (i) analytical importance of theme, (ii) meaning of theme, (iii) meaning of category, (iv) theme and category in terms of level of content, and (v) theme development. This paper offers a conceptual clarification and a pragmatic step by step method of theme development that has the capacity of assisting nurse researchers understand how theme is developed. As nursing is a pragmatic discipline, nurse researchers have tried to develop practical findings and devise some way to “do something” with findings to enhance the action and impact of nursing. The application of a precise method of theme development for qualitative descriptive data analysis suggested in this paper helps yield meaningful, credible and practical results for nursing.","author":[{"dropping-particle":"","family":"Vaismoradi","given":"Mojtaba","non-dropping-particle":"","parse-names":false,"suffix":""},{"dropping-particle":"","family":"Jones","given":"Jacqueline","non-dropping-particle":"","parse-names":false,"suffix":""},{"dropping-particle":"","family":"Turunen","given":"Hannele","non-dropping-particle":"","parse-names":false,"suffix":""},{"dropping-particle":"","family":"Snelgrove","given":"Sherrill","non-dropping-particle":"","parse-names":false,"suffix":""}],"container-title":"Journal of Nursing Education and Practice","id":"ITEM-1","issue":"5","issued":{"date-parts":[["2016"]]},"title":"Theme development in qualitative content analysis and thematic analysis","type":"article-journal","volume":"6"},"uris":["http://www.mendeley.com/documents/?uuid=eaebd822-59af-4c6e-9ae4-fbcf80f2223f"]}],"mendeley":{"formattedCitation":"(Vaismoradi &lt;i&gt;et al.&lt;/i&gt;, 2016)","manualFormatting":"( 2016)","plainTextFormattedCitation":"(Vaismoradi et al., 2016)","previouslyFormattedCitation":"(Vaismoradi &lt;i&gt;et al.&lt;/i&gt;, 2016)"},"properties":{"noteIndex":0},"schema":"https://github.com/citation-style-language/schema/raw/master/csl-citation.json"}</w:instrText>
      </w:r>
      <w:r w:rsidRPr="00797004">
        <w:rPr>
          <w:rFonts w:ascii="Arial" w:hAnsi="Arial" w:cs="Arial"/>
          <w:i/>
          <w:iCs/>
          <w:sz w:val="24"/>
          <w:szCs w:val="24"/>
        </w:rPr>
        <w:fldChar w:fldCharType="separate"/>
      </w:r>
      <w:r w:rsidRPr="00797004">
        <w:rPr>
          <w:rFonts w:ascii="Arial" w:hAnsi="Arial" w:cs="Arial"/>
          <w:iCs/>
          <w:noProof/>
          <w:sz w:val="24"/>
          <w:szCs w:val="24"/>
        </w:rPr>
        <w:t>( 2016)</w:t>
      </w:r>
      <w:r w:rsidRPr="00797004">
        <w:rPr>
          <w:rFonts w:ascii="Arial" w:hAnsi="Arial" w:cs="Arial"/>
          <w:i/>
          <w:iCs/>
          <w:sz w:val="24"/>
          <w:szCs w:val="24"/>
        </w:rPr>
        <w:fldChar w:fldCharType="end"/>
      </w:r>
      <w:r w:rsidRPr="00797004">
        <w:rPr>
          <w:rFonts w:ascii="Arial" w:hAnsi="Arial" w:cs="Arial"/>
          <w:sz w:val="24"/>
          <w:szCs w:val="24"/>
        </w:rPr>
        <w:t xml:space="preserve"> suggest the researcher steps back from the data and enters </w:t>
      </w:r>
      <w:r w:rsidRPr="00797004">
        <w:rPr>
          <w:rFonts w:ascii="Arial" w:hAnsi="Arial" w:cs="Arial"/>
          <w:sz w:val="24"/>
          <w:szCs w:val="24"/>
        </w:rPr>
        <w:lastRenderedPageBreak/>
        <w:t>into the process of verification</w:t>
      </w:r>
      <w:r w:rsidR="00E97592">
        <w:rPr>
          <w:rFonts w:ascii="Arial" w:hAnsi="Arial" w:cs="Arial"/>
          <w:sz w:val="24"/>
          <w:szCs w:val="24"/>
        </w:rPr>
        <w:t>, the</w:t>
      </w:r>
      <w:r w:rsidRPr="00797004">
        <w:rPr>
          <w:rFonts w:ascii="Arial" w:hAnsi="Arial" w:cs="Arial"/>
          <w:sz w:val="24"/>
          <w:szCs w:val="24"/>
        </w:rPr>
        <w:t xml:space="preserve"> </w:t>
      </w:r>
      <w:r w:rsidR="00E97592" w:rsidRPr="00797004">
        <w:rPr>
          <w:rFonts w:ascii="Arial" w:hAnsi="Arial" w:cs="Arial"/>
          <w:sz w:val="24"/>
          <w:szCs w:val="24"/>
        </w:rPr>
        <w:t>‘rectification phase’</w:t>
      </w:r>
      <w:r w:rsidR="00E97592">
        <w:rPr>
          <w:rFonts w:ascii="Arial" w:hAnsi="Arial" w:cs="Arial"/>
          <w:sz w:val="24"/>
          <w:szCs w:val="24"/>
        </w:rPr>
        <w:t xml:space="preserve">. </w:t>
      </w:r>
      <w:r w:rsidR="005D43BE">
        <w:rPr>
          <w:rFonts w:ascii="Arial" w:hAnsi="Arial" w:cs="Arial"/>
          <w:sz w:val="24"/>
          <w:szCs w:val="24"/>
        </w:rPr>
        <w:t>Eventually</w:t>
      </w:r>
      <w:r w:rsidRPr="00797004">
        <w:rPr>
          <w:rFonts w:ascii="Arial" w:hAnsi="Arial" w:cs="Arial"/>
          <w:sz w:val="24"/>
          <w:szCs w:val="24"/>
        </w:rPr>
        <w:t xml:space="preserve"> moving</w:t>
      </w:r>
      <w:r w:rsidR="005D43BE">
        <w:rPr>
          <w:rFonts w:ascii="Arial" w:hAnsi="Arial" w:cs="Arial"/>
          <w:sz w:val="24"/>
          <w:szCs w:val="24"/>
        </w:rPr>
        <w:t xml:space="preserve"> in</w:t>
      </w:r>
      <w:r w:rsidRPr="00797004">
        <w:rPr>
          <w:rFonts w:ascii="Arial" w:hAnsi="Arial" w:cs="Arial"/>
          <w:sz w:val="24"/>
          <w:szCs w:val="24"/>
        </w:rPr>
        <w:t xml:space="preserve">to a </w:t>
      </w:r>
      <w:r w:rsidR="005D43BE">
        <w:rPr>
          <w:rFonts w:ascii="Arial" w:hAnsi="Arial" w:cs="Arial"/>
          <w:sz w:val="24"/>
          <w:szCs w:val="24"/>
        </w:rPr>
        <w:t>‘</w:t>
      </w:r>
      <w:r w:rsidRPr="00797004">
        <w:rPr>
          <w:rFonts w:ascii="Arial" w:hAnsi="Arial" w:cs="Arial"/>
          <w:sz w:val="24"/>
          <w:szCs w:val="24"/>
        </w:rPr>
        <w:t>finalisation phase</w:t>
      </w:r>
      <w:r w:rsidR="005D43BE">
        <w:rPr>
          <w:rFonts w:ascii="Arial" w:hAnsi="Arial" w:cs="Arial"/>
          <w:sz w:val="24"/>
          <w:szCs w:val="24"/>
        </w:rPr>
        <w:t>’</w:t>
      </w:r>
      <w:r w:rsidRPr="00797004">
        <w:rPr>
          <w:rFonts w:ascii="Arial" w:hAnsi="Arial" w:cs="Arial"/>
          <w:sz w:val="24"/>
          <w:szCs w:val="24"/>
        </w:rPr>
        <w:t xml:space="preserve"> where patterns and meanings can be deciphered and constructed. The final analysis and conclusions are the outcome of deep immersion in the data, thoughts and reflections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{"citationItems":[{"id":"ITEM-1","itemData":{"DOI":"10.1080/2159676X.2019.1628806","ISSN":"1939845X","abstract":"Since initially writing on thematic analysis in 2006, the popularity of the method we outlined has exploded, the variety of TA approaches have expanded, and, not least, our thinking has developed and shifted. In this reflexive commentary, we look back at some of the unspoken assumptions that informed how we wrote our 2006 paper. We connect some of these un-identified assumptions, and developments in the method over the years, with some conceptual mismatches and confusions we see in published TA studies. In order to facilitate better TA practice, we reflect on how our thinking has evolved–and in some cases sedimented–since the publication of our 2006 paper, and clarify and revise some of the ways we phrased or conceptualised TA, and the elements of, and processes around, a method we now prefer to call reflexive TA.","author":[{"dropping-particle":"","family":"Braun","given":"Virginia","non-dropping-particle":"","parse-names":false,"suffix":""},{"dropping-particle":"","family":"Clarke","given":"Victoria","non-dropping-particle":"","parse-names":false,"suffix":""}],"container-title":"Qualitative Research in Sport, Exercise and Health","id":"ITEM-1","issue":"4","issued":{"date-parts":[["2019"]]},"page":"589-597","publisher":"Routledge","title":"Reflecting on reflexive thematic analysis","type":"article-journal","volume":"11"},"uris":["http://www.mendeley.com/documents/?uuid=e24d767a-9c14-4ae2-b026-6f8fa0177c0e"]}],"mendeley":{"formattedCitation":"(Braun and Clarke, 2019)","plainTextFormattedCitation":"(Braun and Clarke, 2019)","previouslyFormattedCitation":"(Braun and Clarke, 2019)"},"properties":{"noteIndex":0},"schema":"https://github.com/citation-style-language/schema/raw/master/csl-citation.json"}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(Braun and Clarke, 2019)</w:t>
      </w:r>
      <w:r w:rsidRPr="00797004">
        <w:rPr>
          <w:rFonts w:ascii="Arial" w:hAnsi="Arial" w:cs="Arial"/>
          <w:sz w:val="24"/>
          <w:szCs w:val="24"/>
        </w:rPr>
        <w:fldChar w:fldCharType="end"/>
      </w:r>
      <w:r w:rsidRPr="00797004">
        <w:rPr>
          <w:rFonts w:ascii="Arial" w:hAnsi="Arial" w:cs="Arial"/>
          <w:sz w:val="24"/>
          <w:szCs w:val="24"/>
        </w:rPr>
        <w:t>.</w:t>
      </w:r>
    </w:p>
    <w:p w14:paraId="16FC4C3D" w14:textId="640226F9" w:rsidR="00356298" w:rsidRPr="00797004" w:rsidRDefault="00DE0218" w:rsidP="00B66156">
      <w:pPr>
        <w:spacing w:line="360" w:lineRule="auto"/>
        <w:jc w:val="both"/>
        <w:rPr>
          <w:rFonts w:ascii="Arial" w:hAnsi="Arial" w:cs="Arial"/>
          <w:sz w:val="24"/>
          <w:szCs w:val="24"/>
        </w:rPr>
      </w:pPr>
      <w:r>
        <w:rPr>
          <w:rFonts w:ascii="Arial" w:hAnsi="Arial" w:cs="Arial"/>
          <w:sz w:val="24"/>
          <w:szCs w:val="24"/>
        </w:rPr>
        <w:t>Each document will</w:t>
      </w:r>
      <w:r w:rsidR="004535DF">
        <w:rPr>
          <w:rFonts w:ascii="Arial" w:hAnsi="Arial" w:cs="Arial"/>
          <w:sz w:val="24"/>
          <w:szCs w:val="24"/>
        </w:rPr>
        <w:t xml:space="preserve"> have accompanying r</w:t>
      </w:r>
      <w:r w:rsidR="00356298" w:rsidRPr="00797004">
        <w:rPr>
          <w:rFonts w:ascii="Arial" w:hAnsi="Arial" w:cs="Arial"/>
          <w:sz w:val="24"/>
          <w:szCs w:val="24"/>
        </w:rPr>
        <w:t>eflective notes</w:t>
      </w:r>
      <w:r w:rsidR="00EB689B">
        <w:rPr>
          <w:rFonts w:ascii="Arial" w:hAnsi="Arial" w:cs="Arial"/>
          <w:sz w:val="24"/>
          <w:szCs w:val="24"/>
        </w:rPr>
        <w:t xml:space="preserve"> </w:t>
      </w:r>
      <w:r w:rsidR="00E91368">
        <w:rPr>
          <w:rFonts w:ascii="Arial" w:hAnsi="Arial" w:cs="Arial"/>
          <w:sz w:val="24"/>
          <w:szCs w:val="24"/>
        </w:rPr>
        <w:t xml:space="preserve">which </w:t>
      </w:r>
      <w:r w:rsidR="00356298" w:rsidRPr="00797004">
        <w:rPr>
          <w:rFonts w:ascii="Arial" w:hAnsi="Arial" w:cs="Arial"/>
          <w:sz w:val="24"/>
          <w:szCs w:val="24"/>
        </w:rPr>
        <w:t xml:space="preserve">will </w:t>
      </w:r>
      <w:r w:rsidR="00E91368">
        <w:rPr>
          <w:rFonts w:ascii="Arial" w:hAnsi="Arial" w:cs="Arial"/>
          <w:sz w:val="24"/>
          <w:szCs w:val="24"/>
        </w:rPr>
        <w:t xml:space="preserve">aid </w:t>
      </w:r>
      <w:r w:rsidR="00356298" w:rsidRPr="00797004">
        <w:rPr>
          <w:rFonts w:ascii="Arial" w:hAnsi="Arial" w:cs="Arial"/>
          <w:sz w:val="24"/>
          <w:szCs w:val="24"/>
        </w:rPr>
        <w:t>trustworthiness auditing</w:t>
      </w:r>
      <w:r w:rsidR="00242A02">
        <w:rPr>
          <w:rFonts w:ascii="Arial" w:hAnsi="Arial" w:cs="Arial"/>
          <w:sz w:val="24"/>
          <w:szCs w:val="24"/>
        </w:rPr>
        <w:t xml:space="preserve"> of this research</w:t>
      </w:r>
      <w:r w:rsidR="00356298" w:rsidRPr="00797004">
        <w:rPr>
          <w:rFonts w:ascii="Arial" w:hAnsi="Arial" w:cs="Arial"/>
          <w:sz w:val="24"/>
          <w:szCs w:val="24"/>
        </w:rPr>
        <w:t xml:space="preserve"> </w:t>
      </w:r>
      <w:r w:rsidR="00356298" w:rsidRPr="00797004">
        <w:rPr>
          <w:rFonts w:ascii="Arial" w:hAnsi="Arial" w:cs="Arial"/>
          <w:sz w:val="24"/>
          <w:szCs w:val="24"/>
        </w:rPr>
        <w:fldChar w:fldCharType="begin" w:fldLock="1"/>
      </w:r>
      <w:r w:rsidR="00356298" w:rsidRPr="00797004">
        <w:rPr>
          <w:rFonts w:ascii="Arial" w:hAnsi="Arial" w:cs="Arial"/>
          <w:sz w:val="24"/>
          <w:szCs w:val="24"/>
        </w:rPr>
        <w:instrText>ADDIN CSL_CITATION {"citationItems":[{"id":"ITEM-1","itemData":{"DOI":"10.1191/1478088706qp063oa","ISSN":"14780887","abstract":"Thematic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author":[{"dropping-particle":"","family":"Braun","given":"Virginia","non-dropping-particle":"","parse-names":false,"suffix":""},{"dropping-particle":"","family":"Clarke","given":"Victoria","non-dropping-particle":"","parse-names":false,"suffix":""}],"container-title":"Qualitative Research in Psychology","id":"ITEM-1","issue":"2","issued":{"date-parts":[["2006"]]},"note":"Highlights by: Doc page - Journal page - Topic\n\np3 - p78 Foundational method\np3 - p78 - Epistomological approach\np6 - p81 &amp;quot; &amp;quot; yellow\np6 - p81 &amp;quot; &amp;quot; green\np4 - p79 - Importance of how research is done\np5 - p80 Researcher activer in finding themes (not emerging-passive)\np5 - p80 Researcher position and decisions in the process\n\nTheme - \np7 - p82 theme definition yellow, how many instances to qualify (not defined), \np7 - p82 - researcher judgemnt required\np7 - p82 - prevelence of a theme is not essential yellow\np8 - p83 - Inductive approach \n\nDefinitions:\np4 - p79 - Thematic analysis - Pink highlight\np4 - p79 - Corpus - all data collected for a a project\np4 - p79 Data set - all the data from the corpus being used for a particular analysis\np4 - p79 Data item - each idiviual pice of data collected to form the corpus (i.e. each article)\np4 - p79 Extract - coded chonk of data taken from an extract\np7 - p82 theme definition yellow","page":"77-101","title":"Using thematic analysis in psychology","type":"article-journal","volume":"3"},"uris":["http://www.mendeley.com/documents/?uuid=d79a4bb1-1383-4be0-9dfb-77bad2f80283"]},{"id":"ITEM-2","itemData":{"DOI":"10.5430/jnep.v6n5p100","ISSN":"1925-4040","abstract":"Sufficient knowledge is available about the definition, details and differences of qualitative content and thematic analysis as two approaches of qualitative descriptive research. However, identifying the main features of theme as the data analysis product and the method of its development remain unclear. The purpose of this study was to describe the meaning of theme and offer a method on theme construction that can be used by qualitative content analysis and thematic analysis researchers in line with the underpinning specific approach to data analysis. This methodological paper comprises an analytical overview of qualitative descriptive research products and the meaning of theme. Also, our practical experiences of qualitative analysis supported by relevant published literature informed the generation of a stage like model of theme construction for qualitative content analysis and thematic analysis. This paper comprises: (i) analytical importance of theme, (ii) meaning of theme, (iii) meaning of category, (iv) theme and category in terms of level of content, and (v) theme development. This paper offers a conceptual clarification and a pragmatic step by step method of theme development that has the capacity of assisting nurse researchers understand how theme is developed. As nursing is a pragmatic discipline, nurse researchers have tried to develop practical findings and devise some way to “do something” with findings to enhance the action and impact of nursing. The application of a precise method of theme development for qualitative descriptive data analysis suggested in this paper helps yield meaningful, credible and practical results for nursing.","author":[{"dropping-particle":"","family":"Vaismoradi","given":"Mojtaba","non-dropping-particle":"","parse-names":false,"suffix":""},{"dropping-particle":"","family":"Jones","given":"Jacqueline","non-dropping-particle":"","parse-names":false,"suffix":""},{"dropping-particle":"","family":"Turunen","given":"Hannele","non-dropping-particle":"","parse-names":false,"suffix":""},{"dropping-particle":"","family":"Snelgrove","given":"Sherrill","non-dropping-particle":"","parse-names":false,"suffix":""}],"container-title":"Journal of Nursing Education and Practice","id":"ITEM-2","issue":"5","issued":{"date-parts":[["2016"]]},"title":"Theme development in qualitative content analysis and thematic analysis","type":"article-journal","volume":"6"},"uris":["http://www.mendeley.com/documents/?uuid=eaebd822-59af-4c6e-9ae4-fbcf80f2223f"]}],"mendeley":{"formattedCitation":"(Braun and Clarke, 2006; Vaismoradi &lt;i&gt;et al.&lt;/i&gt;, 2016)","plainTextFormattedCitation":"(Braun and Clarke, 2006; Vaismoradi et al., 2016)","previouslyFormattedCitation":"(Braun and Clarke, 2006; Vaismoradi &lt;i&gt;et al.&lt;/i&gt;, 2016)"},"properties":{"noteIndex":0},"schema":"https://github.com/citation-style-language/schema/raw/master/csl-citation.json"}</w:instrText>
      </w:r>
      <w:r w:rsidR="00356298" w:rsidRPr="00797004">
        <w:rPr>
          <w:rFonts w:ascii="Arial" w:hAnsi="Arial" w:cs="Arial"/>
          <w:sz w:val="24"/>
          <w:szCs w:val="24"/>
        </w:rPr>
        <w:fldChar w:fldCharType="separate"/>
      </w:r>
      <w:r w:rsidR="00356298" w:rsidRPr="00797004">
        <w:rPr>
          <w:rFonts w:ascii="Arial" w:hAnsi="Arial" w:cs="Arial"/>
          <w:noProof/>
          <w:sz w:val="24"/>
          <w:szCs w:val="24"/>
        </w:rPr>
        <w:t xml:space="preserve">(Braun and Clarke, 2006; Vaismoradi </w:t>
      </w:r>
      <w:r w:rsidR="00356298" w:rsidRPr="00797004">
        <w:rPr>
          <w:rFonts w:ascii="Arial" w:hAnsi="Arial" w:cs="Arial"/>
          <w:i/>
          <w:noProof/>
          <w:sz w:val="24"/>
          <w:szCs w:val="24"/>
        </w:rPr>
        <w:t>et al.</w:t>
      </w:r>
      <w:r w:rsidR="00356298" w:rsidRPr="00797004">
        <w:rPr>
          <w:rFonts w:ascii="Arial" w:hAnsi="Arial" w:cs="Arial"/>
          <w:noProof/>
          <w:sz w:val="24"/>
          <w:szCs w:val="24"/>
        </w:rPr>
        <w:t>, 2016)</w:t>
      </w:r>
      <w:r w:rsidR="00356298" w:rsidRPr="00797004">
        <w:rPr>
          <w:rFonts w:ascii="Arial" w:hAnsi="Arial" w:cs="Arial"/>
          <w:sz w:val="24"/>
          <w:szCs w:val="24"/>
        </w:rPr>
        <w:fldChar w:fldCharType="end"/>
      </w:r>
      <w:r w:rsidR="00356298" w:rsidRPr="00797004">
        <w:rPr>
          <w:rFonts w:ascii="Arial" w:hAnsi="Arial" w:cs="Arial"/>
          <w:sz w:val="24"/>
          <w:szCs w:val="24"/>
        </w:rPr>
        <w:t>.</w:t>
      </w:r>
      <w:r w:rsidR="00EB689B">
        <w:rPr>
          <w:rFonts w:ascii="Arial" w:hAnsi="Arial" w:cs="Arial"/>
          <w:sz w:val="24"/>
          <w:szCs w:val="24"/>
        </w:rPr>
        <w:t xml:space="preserve"> See </w:t>
      </w:r>
      <w:r w:rsidR="000F5730">
        <w:rPr>
          <w:rFonts w:ascii="Arial" w:hAnsi="Arial" w:cs="Arial"/>
          <w:sz w:val="24"/>
          <w:szCs w:val="24"/>
        </w:rPr>
        <w:t>A</w:t>
      </w:r>
      <w:r w:rsidR="00EB689B">
        <w:rPr>
          <w:rFonts w:ascii="Arial" w:hAnsi="Arial" w:cs="Arial"/>
          <w:sz w:val="24"/>
          <w:szCs w:val="24"/>
        </w:rPr>
        <w:t>ppendix 4 for an example of reflective notes.</w:t>
      </w:r>
      <w:r w:rsidR="00EB689B" w:rsidRPr="00797004">
        <w:rPr>
          <w:rFonts w:ascii="Arial" w:hAnsi="Arial" w:cs="Arial"/>
          <w:sz w:val="24"/>
          <w:szCs w:val="24"/>
        </w:rPr>
        <w:t xml:space="preserve"> </w:t>
      </w:r>
      <w:r w:rsidR="00356298" w:rsidRPr="00797004">
        <w:rPr>
          <w:rFonts w:ascii="Arial" w:hAnsi="Arial" w:cs="Arial"/>
          <w:sz w:val="24"/>
          <w:szCs w:val="24"/>
        </w:rPr>
        <w:t xml:space="preserve">These notes will aid researcher awareness of reflexivity in the process and can be used to challenge researcher assumptions through critical thinking skills </w:t>
      </w:r>
      <w:r w:rsidR="00356298" w:rsidRPr="00797004">
        <w:rPr>
          <w:rFonts w:ascii="Arial" w:hAnsi="Arial" w:cs="Arial"/>
          <w:sz w:val="24"/>
          <w:szCs w:val="24"/>
        </w:rPr>
        <w:fldChar w:fldCharType="begin" w:fldLock="1"/>
      </w:r>
      <w:r w:rsidR="00356298" w:rsidRPr="00797004">
        <w:rPr>
          <w:rFonts w:ascii="Arial" w:hAnsi="Arial" w:cs="Arial"/>
          <w:sz w:val="24"/>
          <w:szCs w:val="24"/>
        </w:rPr>
        <w:instrText>ADDIN CSL_CITATION {"citationItems":[{"id":"ITEM-1","itemData":{"DOI":"10.1108/qrom-08-2016-1408","ISBN":"9781446247365","ISSN":"1746-5648","abstract":"The Coding Manual for Qualitative Researchers addresses an important aspect of many qualitative research traditions, the process of attaching meaningful attributes (codes) to qualitative data that allows researchers to engage in a range of analytic processes (e.g. pattern detection, categorization and theory building). It is a book intended to \"supplement introductory works in the subject\" and provide an extensive collection of coding methods from a range of sources for a variety of purposes. It is a book that is probably best positioned to those in somewhere in the middle of the beginner-experienced continuum of qualitative researchers, especially to those looking for examples of different ways to analyze qualitative data. Saldaña states that this manual \"serves primarily as a reference work\" rather than a monograph to be read cover to cover. This is a claim important for a prospective reader to understand, and one that I agree with to a certain extent. A good reference work needs to have widely understood content in order for readers to know what to look for, and in this way the primary organizing scheme of the book into chapters on first and second cycle coding methods (and subsequently into a multitude of subcategories) is difficult to understand without a high degree of familiarity with this terminology. The opening chapter does a good job of exemplifying different approaches to coding and clarifying related terminology (e.g. patterns, codifying, categorization and themes) in a way that is helpful to the novice qualitative researcher. Perhaps less helpful in this part of the manual is the quick reference to dozens of specific coding types that are elaborated upon in later chapters and defined in the glossaries contained in the book's appendices. Despite what for me is too much material covered in only a surface way to start the manual, it is otherwise well organized, through and thoughtful. Saldaña's many examples are very helpful, showing how particular data segments can be coded. Where this was particularly helpful was in the otherwise unclear discussion of selecting the appropriate coding method(s) for a particular study to start Chapter 3. That chapter alone describes 33 choices of \"first cycle coding methods,\" those that happen during the initial stages of data analysis. Arguably it is difficult to provide a concise answer to that question, because quite obviously the decision rests on many factors related to the researcher and the phenomenon …","author":[{"dropping-particle":"","family":"Saldaña","given":"Johnny","non-dropping-particle":"","parse-names":false,"suffix":""}],"container-title":"Qualitative Research in Organizations and Management: An International Journal","edition":"Second","id":"ITEM-1","issue":"2","issued":{"date-parts":[["2013"]]},"publisher":"Sage","title":"The Coding Manual for Qualitative Researchers (3rd edition)","type":"book","volume":"12"},"uris":["http://www.mendeley.com/documents/?uuid=f5513cbe-0be6-4d1f-9224-ae451442e4af"]}],"mendeley":{"formattedCitation":"(Saldaña, 2013)","plainTextFormattedCitation":"(Saldaña, 2013)","previouslyFormattedCitation":"(Saldaña, 2013)"},"properties":{"noteIndex":0},"schema":"https://github.com/citation-style-language/schema/raw/master/csl-citation.json"}</w:instrText>
      </w:r>
      <w:r w:rsidR="00356298" w:rsidRPr="00797004">
        <w:rPr>
          <w:rFonts w:ascii="Arial" w:hAnsi="Arial" w:cs="Arial"/>
          <w:sz w:val="24"/>
          <w:szCs w:val="24"/>
        </w:rPr>
        <w:fldChar w:fldCharType="separate"/>
      </w:r>
      <w:r w:rsidR="00356298" w:rsidRPr="00797004">
        <w:rPr>
          <w:rFonts w:ascii="Arial" w:hAnsi="Arial" w:cs="Arial"/>
          <w:noProof/>
          <w:sz w:val="24"/>
          <w:szCs w:val="24"/>
        </w:rPr>
        <w:t>(Saldaña, 2013)</w:t>
      </w:r>
      <w:r w:rsidR="00356298" w:rsidRPr="00797004">
        <w:rPr>
          <w:rFonts w:ascii="Arial" w:hAnsi="Arial" w:cs="Arial"/>
          <w:sz w:val="24"/>
          <w:szCs w:val="24"/>
        </w:rPr>
        <w:fldChar w:fldCharType="end"/>
      </w:r>
      <w:r w:rsidR="00356298" w:rsidRPr="00797004">
        <w:rPr>
          <w:rFonts w:ascii="Arial" w:hAnsi="Arial" w:cs="Arial"/>
          <w:sz w:val="24"/>
          <w:szCs w:val="24"/>
        </w:rPr>
        <w:t xml:space="preserve">. The </w:t>
      </w:r>
      <w:r w:rsidR="00043163">
        <w:rPr>
          <w:rFonts w:ascii="Arial" w:hAnsi="Arial" w:cs="Arial"/>
          <w:sz w:val="24"/>
          <w:szCs w:val="24"/>
        </w:rPr>
        <w:t xml:space="preserve">thematic analysis </w:t>
      </w:r>
      <w:r w:rsidR="00356298" w:rsidRPr="00797004">
        <w:rPr>
          <w:rFonts w:ascii="Arial" w:hAnsi="Arial" w:cs="Arial"/>
          <w:sz w:val="24"/>
          <w:szCs w:val="24"/>
        </w:rPr>
        <w:t xml:space="preserve">reflective notes for each document will feed into </w:t>
      </w:r>
      <w:r w:rsidR="00043163">
        <w:rPr>
          <w:rFonts w:ascii="Arial" w:hAnsi="Arial" w:cs="Arial"/>
          <w:sz w:val="24"/>
          <w:szCs w:val="24"/>
        </w:rPr>
        <w:t xml:space="preserve">the </w:t>
      </w:r>
      <w:r w:rsidR="008C4BEC">
        <w:rPr>
          <w:rFonts w:ascii="Arial" w:hAnsi="Arial" w:cs="Arial"/>
          <w:sz w:val="24"/>
          <w:szCs w:val="24"/>
        </w:rPr>
        <w:t xml:space="preserve">critical </w:t>
      </w:r>
      <w:r w:rsidR="00356298" w:rsidRPr="00797004">
        <w:rPr>
          <w:rFonts w:ascii="Arial" w:hAnsi="Arial" w:cs="Arial"/>
          <w:sz w:val="24"/>
          <w:szCs w:val="24"/>
        </w:rPr>
        <w:t xml:space="preserve">reflection </w:t>
      </w:r>
      <w:r w:rsidR="00043163">
        <w:rPr>
          <w:rFonts w:ascii="Arial" w:hAnsi="Arial" w:cs="Arial"/>
          <w:sz w:val="24"/>
          <w:szCs w:val="24"/>
        </w:rPr>
        <w:t xml:space="preserve">stage </w:t>
      </w:r>
      <w:r w:rsidR="000776E4">
        <w:rPr>
          <w:rFonts w:ascii="Arial" w:hAnsi="Arial" w:cs="Arial"/>
          <w:sz w:val="24"/>
          <w:szCs w:val="24"/>
        </w:rPr>
        <w:t xml:space="preserve">which will </w:t>
      </w:r>
      <w:r w:rsidR="00356298" w:rsidRPr="00797004">
        <w:rPr>
          <w:rFonts w:ascii="Arial" w:hAnsi="Arial" w:cs="Arial"/>
          <w:sz w:val="24"/>
          <w:szCs w:val="24"/>
        </w:rPr>
        <w:t>us</w:t>
      </w:r>
      <w:r w:rsidR="000776E4">
        <w:rPr>
          <w:rFonts w:ascii="Arial" w:hAnsi="Arial" w:cs="Arial"/>
          <w:sz w:val="24"/>
          <w:szCs w:val="24"/>
        </w:rPr>
        <w:t>e</w:t>
      </w:r>
      <w:r w:rsidR="00356298" w:rsidRPr="00797004">
        <w:rPr>
          <w:rFonts w:ascii="Arial" w:hAnsi="Arial" w:cs="Arial"/>
          <w:sz w:val="24"/>
          <w:szCs w:val="24"/>
        </w:rPr>
        <w:t xml:space="preserve"> </w:t>
      </w:r>
      <w:r w:rsidR="003B738B">
        <w:rPr>
          <w:rFonts w:ascii="Arial" w:hAnsi="Arial" w:cs="Arial"/>
          <w:sz w:val="24"/>
          <w:szCs w:val="24"/>
        </w:rPr>
        <w:t>‘</w:t>
      </w:r>
      <w:r w:rsidR="00356298" w:rsidRPr="00797004">
        <w:rPr>
          <w:rFonts w:ascii="Arial" w:hAnsi="Arial" w:cs="Arial"/>
          <w:color w:val="000000"/>
          <w:sz w:val="24"/>
          <w:szCs w:val="24"/>
        </w:rPr>
        <w:t xml:space="preserve">Gibb’s </w:t>
      </w:r>
      <w:r w:rsidR="007D720A">
        <w:rPr>
          <w:rFonts w:ascii="Arial" w:hAnsi="Arial" w:cs="Arial"/>
          <w:color w:val="000000"/>
          <w:sz w:val="24"/>
          <w:szCs w:val="24"/>
        </w:rPr>
        <w:t>C</w:t>
      </w:r>
      <w:r w:rsidR="00356298" w:rsidRPr="00797004">
        <w:rPr>
          <w:rFonts w:ascii="Arial" w:hAnsi="Arial" w:cs="Arial"/>
          <w:color w:val="000000"/>
          <w:sz w:val="24"/>
          <w:szCs w:val="24"/>
        </w:rPr>
        <w:t>ycle</w:t>
      </w:r>
      <w:r w:rsidR="003B738B">
        <w:rPr>
          <w:rFonts w:ascii="Arial" w:hAnsi="Arial" w:cs="Arial"/>
          <w:color w:val="000000"/>
          <w:sz w:val="24"/>
          <w:szCs w:val="24"/>
        </w:rPr>
        <w:t>’</w:t>
      </w:r>
      <w:r w:rsidR="00356298" w:rsidRPr="00797004">
        <w:rPr>
          <w:rFonts w:ascii="Arial" w:hAnsi="Arial" w:cs="Arial"/>
          <w:color w:val="000000"/>
          <w:sz w:val="24"/>
          <w:szCs w:val="24"/>
        </w:rPr>
        <w:t xml:space="preserve"> </w:t>
      </w:r>
      <w:r w:rsidR="00A73243">
        <w:rPr>
          <w:rFonts w:ascii="Arial" w:hAnsi="Arial" w:cs="Arial"/>
          <w:color w:val="000000"/>
          <w:sz w:val="24"/>
          <w:szCs w:val="24"/>
        </w:rPr>
        <w:t xml:space="preserve">blended </w:t>
      </w:r>
      <w:r w:rsidR="00356298" w:rsidRPr="00797004">
        <w:rPr>
          <w:rFonts w:ascii="Arial" w:hAnsi="Arial" w:cs="Arial"/>
          <w:color w:val="000000"/>
          <w:sz w:val="24"/>
          <w:szCs w:val="24"/>
        </w:rPr>
        <w:t xml:space="preserve">with reflective questions from </w:t>
      </w:r>
      <w:r w:rsidR="003B738B">
        <w:rPr>
          <w:rFonts w:ascii="Arial" w:hAnsi="Arial" w:cs="Arial"/>
          <w:color w:val="000000"/>
          <w:sz w:val="24"/>
          <w:szCs w:val="24"/>
        </w:rPr>
        <w:t>‘</w:t>
      </w:r>
      <w:r w:rsidR="00356298" w:rsidRPr="00797004">
        <w:rPr>
          <w:rFonts w:ascii="Arial" w:hAnsi="Arial" w:cs="Arial"/>
          <w:color w:val="000000"/>
          <w:sz w:val="24"/>
          <w:szCs w:val="24"/>
        </w:rPr>
        <w:t>Model of reflection</w:t>
      </w:r>
      <w:r w:rsidR="003B738B">
        <w:rPr>
          <w:rFonts w:ascii="Arial" w:hAnsi="Arial" w:cs="Arial"/>
          <w:color w:val="000000"/>
          <w:sz w:val="24"/>
          <w:szCs w:val="24"/>
        </w:rPr>
        <w:t>’</w:t>
      </w:r>
      <w:r w:rsidR="007D720A" w:rsidRPr="00797004">
        <w:rPr>
          <w:rFonts w:ascii="Arial" w:hAnsi="Arial" w:cs="Arial"/>
          <w:color w:val="000000"/>
          <w:sz w:val="24"/>
          <w:szCs w:val="24"/>
        </w:rPr>
        <w:t xml:space="preserve"> </w:t>
      </w:r>
      <w:r w:rsidR="007D720A">
        <w:rPr>
          <w:rFonts w:ascii="Arial" w:hAnsi="Arial" w:cs="Arial"/>
          <w:color w:val="000000"/>
          <w:sz w:val="24"/>
          <w:szCs w:val="24"/>
        </w:rPr>
        <w:t xml:space="preserve">by </w:t>
      </w:r>
      <w:r w:rsidR="007D720A" w:rsidRPr="00797004">
        <w:rPr>
          <w:rFonts w:ascii="Arial" w:hAnsi="Arial" w:cs="Arial"/>
          <w:color w:val="000000"/>
          <w:sz w:val="24"/>
          <w:szCs w:val="24"/>
        </w:rPr>
        <w:t>Johns</w:t>
      </w:r>
      <w:r w:rsidR="00356298">
        <w:rPr>
          <w:rFonts w:ascii="Arial" w:hAnsi="Arial" w:cs="Arial"/>
          <w:color w:val="000000"/>
          <w:sz w:val="24"/>
          <w:szCs w:val="24"/>
        </w:rPr>
        <w:t>,</w:t>
      </w:r>
      <w:r w:rsidR="00356298" w:rsidRPr="00797004">
        <w:rPr>
          <w:rFonts w:ascii="Arial" w:hAnsi="Arial" w:cs="Arial"/>
          <w:color w:val="000000"/>
          <w:sz w:val="24"/>
          <w:szCs w:val="24"/>
        </w:rPr>
        <w:t xml:space="preserve"> see </w:t>
      </w:r>
      <w:r w:rsidR="000F5730">
        <w:rPr>
          <w:rFonts w:ascii="Arial" w:hAnsi="Arial" w:cs="Arial"/>
          <w:color w:val="000000"/>
          <w:sz w:val="24"/>
          <w:szCs w:val="24"/>
        </w:rPr>
        <w:t>A</w:t>
      </w:r>
      <w:r w:rsidR="00356298" w:rsidRPr="00797004">
        <w:rPr>
          <w:rFonts w:ascii="Arial" w:hAnsi="Arial" w:cs="Arial"/>
          <w:color w:val="000000"/>
          <w:sz w:val="24"/>
          <w:szCs w:val="24"/>
        </w:rPr>
        <w:t xml:space="preserve">ppendix </w:t>
      </w:r>
      <w:r w:rsidR="00356298">
        <w:rPr>
          <w:rFonts w:ascii="Arial" w:hAnsi="Arial" w:cs="Arial"/>
          <w:color w:val="000000"/>
          <w:sz w:val="24"/>
          <w:szCs w:val="24"/>
        </w:rPr>
        <w:t>2</w:t>
      </w:r>
      <w:r w:rsidR="00356298" w:rsidRPr="00797004">
        <w:rPr>
          <w:rFonts w:ascii="Arial" w:hAnsi="Arial" w:cs="Arial"/>
          <w:color w:val="000000"/>
          <w:sz w:val="24"/>
          <w:szCs w:val="24"/>
        </w:rPr>
        <w:t xml:space="preserve"> </w:t>
      </w:r>
      <w:r w:rsidR="00356298" w:rsidRPr="00797004">
        <w:rPr>
          <w:rFonts w:ascii="Arial" w:hAnsi="Arial" w:cs="Arial"/>
          <w:color w:val="000000"/>
          <w:sz w:val="24"/>
          <w:szCs w:val="24"/>
        </w:rPr>
        <w:fldChar w:fldCharType="begin" w:fldLock="1"/>
      </w:r>
      <w:r w:rsidR="00356298" w:rsidRPr="00797004">
        <w:rPr>
          <w:rFonts w:ascii="Arial" w:hAnsi="Arial" w:cs="Arial"/>
          <w:color w:val="000000"/>
          <w:sz w:val="24"/>
          <w:szCs w:val="24"/>
        </w:rPr>
        <w:instrText>ADDIN CSL_CITATION {"citationItems":[{"id":"ITEM-1","itemData":{"abstract":"Gibbs’ reflective cycle encourages you to think systematically about the phases of an experience or activity, and you should use all the headings to structure your reflection. See how we have used Gibbs' reflective cycle in our Health Visitor example . Forgotten the Health Visitor example?","author":[{"dropping-particle":"","family":"Gibbs","given":"","non-dropping-particle":"","parse-names":false,"suffix":""}],"container-title":"Academic Liasion, Employability and Skills (ALES)","id":"ITEM-1","issued":{"date-parts":[["1988"]]},"page":"1-4","title":"Reflective Cycle","type":"article-journal"},"uris":["http://www.mendeley.com/documents/?uuid=8e782df3-33a2-47fc-a950-29df34aeee74"]},{"id":"ITEM-2","itemData":{"DOI":"10.4324/9780429455407-25","abstract":"Infection of sheep with Brucella ovis results in ovine brucellosis, a disease characterized by infertility in rams, abortion in ewes and increased perinatal mortality in lambs. During the course of the infection both the ovine immune response and host cell gene expression are modified. The objective of this research was to conduct a preliminary characterization of differential gene expression in rams experimentally infected with B. ovis by microarray hybridization and real-time RT-PCR. Of the 600 ruminant inflammatory and immune response genes that were analyzed in the microarray, 20 and 14 genes displayed an expression fold change &gt;1.75 with a P-value &lt;0.05 at 15 and 60 days post-challenge (dpc), respectively. Of these genes, 16 were upregulated and 4 were downregulated in infected rams at 15 dpc. At 60 dpc, 11 and 3 genes were up- and down-regulated in infected rams, respectively. Only four genes, desmoglein, epithelial sodium channel, alpha subunit (ENaC-alpha), interleukin 18 binding protein (IL18BP) and macrophage migration inhibition factor (MIF) were found upregulated in infected rams at both 15 and 60 dpc. The analysis of differentially expressed genes demonstrated activation of inflammatory and innate immune pathways in infected animals. B. ovis infection also resulted in upregulation of genes involved in phagocytosis and downregulation of protective host defense mechanisms, both of which may contribute to the chronicity of B. ovis infection. The gene expression profiles differed between rams with severe and moderate B. ovis infection. This is the first analysis of differential gene expression in rough brucellae and particularly in B. ovis-infected rams. The characterization of the genes and their expression profiles in response to B. ovis infection further contributes to our understanding of the molecular mechanisms of infection and the pathogenesis of brucellosis. ¬© 2008 Elsevier B.V. All rights reserved.","author":[{"dropping-particle":"","family":"Middleton","given":"Tristan","non-dropping-particle":"","parse-names":false,"suffix":""},{"dropping-particle":"","family":"Kay","given":"Lynda","non-dropping-particle":"","parse-names":false,"suffix":""},{"dropping-particle":"","family":"Middleton","given":"Tristan","non-dropping-particle":"","parse-names":false,"suffix":""},{"dropping-particle":"","family":"Kay","given":"Lynda","non-dropping-particle":"","parse-names":false,"suffix":""}],"container-title":"Using an Inclusive Approach to Reduce School Exclusion","id":"ITEM-2","issued":{"date-parts":[["2019"]]},"page":"199-208","title":"Framework for Reflection","type":"article-journal"},"uris":["http://www.mendeley.com/documents/?uuid=1e064446-beeb-49e6-84a3-bc56fc841d2f"]}],"mendeley":{"formattedCitation":"(Gibbs, 1988; Middleton &lt;i&gt;et al.&lt;/i&gt;, 2019)","plainTextFormattedCitation":"(Gibbs, 1988; Middleton et al., 2019)","previouslyFormattedCitation":"(Gibbs, 1988; Middleton &lt;i&gt;et al.&lt;/i&gt;, 2019)"},"properties":{"noteIndex":0},"schema":"https://github.com/citation-style-language/schema/raw/master/csl-citation.json"}</w:instrText>
      </w:r>
      <w:r w:rsidR="00356298" w:rsidRPr="00797004">
        <w:rPr>
          <w:rFonts w:ascii="Arial" w:hAnsi="Arial" w:cs="Arial"/>
          <w:color w:val="000000"/>
          <w:sz w:val="24"/>
          <w:szCs w:val="24"/>
        </w:rPr>
        <w:fldChar w:fldCharType="separate"/>
      </w:r>
      <w:r w:rsidR="00356298" w:rsidRPr="00797004">
        <w:rPr>
          <w:rFonts w:ascii="Arial" w:hAnsi="Arial" w:cs="Arial"/>
          <w:noProof/>
          <w:color w:val="000000"/>
          <w:sz w:val="24"/>
          <w:szCs w:val="24"/>
        </w:rPr>
        <w:t xml:space="preserve">(Gibbs, 1988; Middleton </w:t>
      </w:r>
      <w:r w:rsidR="00356298" w:rsidRPr="00797004">
        <w:rPr>
          <w:rFonts w:ascii="Arial" w:hAnsi="Arial" w:cs="Arial"/>
          <w:i/>
          <w:noProof/>
          <w:color w:val="000000"/>
          <w:sz w:val="24"/>
          <w:szCs w:val="24"/>
        </w:rPr>
        <w:t>et al.</w:t>
      </w:r>
      <w:r w:rsidR="00356298" w:rsidRPr="00797004">
        <w:rPr>
          <w:rFonts w:ascii="Arial" w:hAnsi="Arial" w:cs="Arial"/>
          <w:noProof/>
          <w:color w:val="000000"/>
          <w:sz w:val="24"/>
          <w:szCs w:val="24"/>
        </w:rPr>
        <w:t>, 2019)</w:t>
      </w:r>
      <w:r w:rsidR="00356298" w:rsidRPr="00797004">
        <w:rPr>
          <w:rFonts w:ascii="Arial" w:hAnsi="Arial" w:cs="Arial"/>
          <w:color w:val="000000"/>
          <w:sz w:val="24"/>
          <w:szCs w:val="24"/>
        </w:rPr>
        <w:fldChar w:fldCharType="end"/>
      </w:r>
      <w:r w:rsidR="00356298" w:rsidRPr="00797004">
        <w:rPr>
          <w:rFonts w:ascii="Arial" w:hAnsi="Arial" w:cs="Arial"/>
          <w:color w:val="000000"/>
          <w:sz w:val="24"/>
          <w:szCs w:val="24"/>
        </w:rPr>
        <w:t>.</w:t>
      </w:r>
    </w:p>
    <w:p w14:paraId="68057A01" w14:textId="6429C717" w:rsidR="00356298" w:rsidRPr="00797004" w:rsidRDefault="00356298" w:rsidP="00B66156">
      <w:pPr>
        <w:spacing w:line="360" w:lineRule="auto"/>
        <w:jc w:val="both"/>
        <w:rPr>
          <w:rFonts w:ascii="Arial" w:hAnsi="Arial" w:cs="Arial"/>
          <w:sz w:val="24"/>
          <w:szCs w:val="24"/>
        </w:rPr>
      </w:pPr>
      <w:r w:rsidRPr="00797004">
        <w:rPr>
          <w:rFonts w:ascii="Arial" w:hAnsi="Arial" w:cs="Arial"/>
          <w:sz w:val="24"/>
          <w:szCs w:val="24"/>
        </w:rPr>
        <w:t xml:space="preserve">The </w:t>
      </w:r>
      <w:r w:rsidRPr="00797004">
        <w:rPr>
          <w:rFonts w:ascii="Arial" w:hAnsi="Arial" w:cs="Arial"/>
          <w:b/>
          <w:bCs/>
          <w:i/>
          <w:iCs/>
          <w:sz w:val="24"/>
          <w:szCs w:val="24"/>
        </w:rPr>
        <w:t xml:space="preserve">critical review </w:t>
      </w:r>
      <w:r w:rsidRPr="00797004">
        <w:rPr>
          <w:rFonts w:ascii="Arial" w:hAnsi="Arial" w:cs="Arial"/>
          <w:sz w:val="24"/>
          <w:szCs w:val="24"/>
        </w:rPr>
        <w:t>will be included in the second assignment</w:t>
      </w:r>
      <w:r w:rsidR="00AF0501">
        <w:rPr>
          <w:rFonts w:ascii="Arial" w:hAnsi="Arial" w:cs="Arial"/>
          <w:sz w:val="24"/>
          <w:szCs w:val="24"/>
        </w:rPr>
        <w:t>;</w:t>
      </w:r>
      <w:r w:rsidRPr="00797004">
        <w:rPr>
          <w:rFonts w:ascii="Arial" w:hAnsi="Arial" w:cs="Arial"/>
          <w:sz w:val="24"/>
          <w:szCs w:val="24"/>
        </w:rPr>
        <w:t xml:space="preserve"> in its place contextualis</w:t>
      </w:r>
      <w:r w:rsidR="002E198A">
        <w:rPr>
          <w:rFonts w:ascii="Arial" w:hAnsi="Arial" w:cs="Arial"/>
          <w:sz w:val="24"/>
          <w:szCs w:val="24"/>
        </w:rPr>
        <w:t>ation</w:t>
      </w:r>
      <w:r w:rsidRPr="00797004">
        <w:rPr>
          <w:rFonts w:ascii="Arial" w:hAnsi="Arial" w:cs="Arial"/>
          <w:sz w:val="24"/>
          <w:szCs w:val="24"/>
        </w:rPr>
        <w:t xml:space="preserve"> the study will be expanded</w:t>
      </w:r>
      <w:r w:rsidR="002E198A">
        <w:rPr>
          <w:rFonts w:ascii="Arial" w:hAnsi="Arial" w:cs="Arial"/>
          <w:sz w:val="24"/>
          <w:szCs w:val="24"/>
        </w:rPr>
        <w:t xml:space="preserve"> in this assignment</w:t>
      </w:r>
      <w:r w:rsidRPr="00797004">
        <w:rPr>
          <w:rFonts w:ascii="Arial" w:hAnsi="Arial" w:cs="Arial"/>
          <w:sz w:val="24"/>
          <w:szCs w:val="24"/>
        </w:rPr>
        <w:t>. This will include more in-depth research vital to the understanding and context of the findings of this research.</w:t>
      </w:r>
    </w:p>
    <w:p w14:paraId="35265AE5" w14:textId="77777777" w:rsidR="00356298" w:rsidRPr="00797004" w:rsidRDefault="00356298" w:rsidP="00B66156">
      <w:pPr>
        <w:spacing w:line="360" w:lineRule="auto"/>
        <w:jc w:val="both"/>
        <w:rPr>
          <w:rFonts w:ascii="Arial" w:hAnsi="Arial" w:cs="Arial"/>
          <w:b/>
          <w:bCs/>
          <w:sz w:val="24"/>
          <w:szCs w:val="24"/>
        </w:rPr>
      </w:pPr>
      <w:r w:rsidRPr="00797004">
        <w:rPr>
          <w:rFonts w:ascii="Arial" w:hAnsi="Arial" w:cs="Arial"/>
          <w:b/>
          <w:bCs/>
          <w:sz w:val="24"/>
          <w:szCs w:val="24"/>
        </w:rPr>
        <w:t>Contextualising the study:</w:t>
      </w:r>
    </w:p>
    <w:p w14:paraId="1B79D790" w14:textId="255E3B35" w:rsidR="00356298" w:rsidRPr="00797004" w:rsidRDefault="00356298" w:rsidP="00B66156">
      <w:pPr>
        <w:spacing w:line="360" w:lineRule="auto"/>
        <w:jc w:val="both"/>
        <w:rPr>
          <w:rFonts w:ascii="Arial" w:hAnsi="Arial" w:cs="Arial"/>
          <w:sz w:val="24"/>
          <w:szCs w:val="24"/>
        </w:rPr>
      </w:pPr>
      <w:r w:rsidRPr="00797004">
        <w:rPr>
          <w:rFonts w:ascii="Arial" w:hAnsi="Arial" w:cs="Arial"/>
          <w:sz w:val="24"/>
          <w:szCs w:val="24"/>
        </w:rPr>
        <w:t>The literature review process highlighted the causes and symptoms present when a student has a drop in self-efficacy or singing agency. The causes and symptoms contextualise the knowledge and strategies for improving a singing student’s self-efficacy and singing agency. In order to know when to employ strategies to improve a sense of self-efficacy, a teacher must be able to recognise the symptoms they may see in lessons</w:t>
      </w:r>
      <w:r w:rsidR="007A2EAB">
        <w:rPr>
          <w:rFonts w:ascii="Arial" w:hAnsi="Arial" w:cs="Arial"/>
          <w:sz w:val="24"/>
          <w:szCs w:val="24"/>
        </w:rPr>
        <w:t xml:space="preserve"> </w:t>
      </w:r>
      <w:r w:rsidR="007A2EAB">
        <w:rPr>
          <w:rFonts w:ascii="Arial" w:hAnsi="Arial" w:cs="Arial"/>
          <w:sz w:val="24"/>
          <w:szCs w:val="24"/>
        </w:rPr>
        <w:fldChar w:fldCharType="begin" w:fldLock="1"/>
      </w:r>
      <w:r w:rsidR="007A2EAB">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2021)","plainTextFormattedCitation":"(Hogle, 2021)","previouslyFormattedCitation":"(Hogle, 2021)"},"properties":{"noteIndex":0},"schema":"https://github.com/citation-style-language/schema/raw/master/csl-citation.json"}</w:instrText>
      </w:r>
      <w:r w:rsidR="007A2EAB">
        <w:rPr>
          <w:rFonts w:ascii="Arial" w:hAnsi="Arial" w:cs="Arial"/>
          <w:sz w:val="24"/>
          <w:szCs w:val="24"/>
        </w:rPr>
        <w:fldChar w:fldCharType="separate"/>
      </w:r>
      <w:r w:rsidR="007A2EAB" w:rsidRPr="007A2EAB">
        <w:rPr>
          <w:rFonts w:ascii="Arial" w:hAnsi="Arial" w:cs="Arial"/>
          <w:noProof/>
          <w:sz w:val="24"/>
          <w:szCs w:val="24"/>
        </w:rPr>
        <w:t>(Hogle, 2021)</w:t>
      </w:r>
      <w:r w:rsidR="007A2EAB">
        <w:rPr>
          <w:rFonts w:ascii="Arial" w:hAnsi="Arial" w:cs="Arial"/>
          <w:sz w:val="24"/>
          <w:szCs w:val="24"/>
        </w:rPr>
        <w:fldChar w:fldCharType="end"/>
      </w:r>
      <w:r w:rsidR="002F4393">
        <w:rPr>
          <w:rFonts w:ascii="Arial" w:hAnsi="Arial" w:cs="Arial"/>
          <w:sz w:val="24"/>
          <w:szCs w:val="24"/>
        </w:rPr>
        <w:t xml:space="preserve">. A teacher </w:t>
      </w:r>
      <w:r w:rsidR="00F62B18">
        <w:rPr>
          <w:rFonts w:ascii="Arial" w:hAnsi="Arial" w:cs="Arial"/>
          <w:sz w:val="24"/>
          <w:szCs w:val="24"/>
        </w:rPr>
        <w:t>would need to notice</w:t>
      </w:r>
      <w:r w:rsidR="004F3F10">
        <w:rPr>
          <w:rFonts w:ascii="Arial" w:hAnsi="Arial" w:cs="Arial"/>
          <w:sz w:val="24"/>
          <w:szCs w:val="24"/>
        </w:rPr>
        <w:t xml:space="preserve"> relevant information when </w:t>
      </w:r>
      <w:r w:rsidRPr="00797004">
        <w:rPr>
          <w:rFonts w:ascii="Arial" w:hAnsi="Arial" w:cs="Arial"/>
          <w:sz w:val="24"/>
          <w:szCs w:val="24"/>
        </w:rPr>
        <w:t>a student disclose</w:t>
      </w:r>
      <w:r w:rsidR="004F3F10">
        <w:rPr>
          <w:rFonts w:ascii="Arial" w:hAnsi="Arial" w:cs="Arial"/>
          <w:sz w:val="24"/>
          <w:szCs w:val="24"/>
        </w:rPr>
        <w:t>s stories</w:t>
      </w:r>
      <w:r w:rsidRPr="00797004">
        <w:rPr>
          <w:rFonts w:ascii="Arial" w:hAnsi="Arial" w:cs="Arial"/>
          <w:sz w:val="24"/>
          <w:szCs w:val="24"/>
        </w:rPr>
        <w:t xml:space="preserve"> </w:t>
      </w:r>
      <w:r w:rsidR="004F3F10">
        <w:rPr>
          <w:rFonts w:ascii="Arial" w:hAnsi="Arial" w:cs="Arial"/>
          <w:sz w:val="24"/>
          <w:szCs w:val="24"/>
        </w:rPr>
        <w:t>of</w:t>
      </w:r>
      <w:r w:rsidRPr="00797004">
        <w:rPr>
          <w:rFonts w:ascii="Arial" w:hAnsi="Arial" w:cs="Arial"/>
          <w:sz w:val="24"/>
          <w:szCs w:val="24"/>
        </w:rPr>
        <w:t xml:space="preserve"> past</w:t>
      </w:r>
      <w:r w:rsidR="004F3F10">
        <w:rPr>
          <w:rFonts w:ascii="Arial" w:hAnsi="Arial" w:cs="Arial"/>
          <w:sz w:val="24"/>
          <w:szCs w:val="24"/>
        </w:rPr>
        <w:t xml:space="preserve"> singing experiences</w:t>
      </w:r>
      <w:r w:rsidR="007A2EAB">
        <w:rPr>
          <w:rFonts w:ascii="Arial" w:hAnsi="Arial" w:cs="Arial"/>
          <w:sz w:val="24"/>
          <w:szCs w:val="24"/>
        </w:rPr>
        <w:t xml:space="preserve"> </w:t>
      </w:r>
      <w:r w:rsidR="007A2EAB">
        <w:rPr>
          <w:rFonts w:ascii="Arial" w:hAnsi="Arial" w:cs="Arial"/>
          <w:sz w:val="24"/>
          <w:szCs w:val="24"/>
        </w:rPr>
        <w:fldChar w:fldCharType="begin" w:fldLock="1"/>
      </w:r>
      <w:r w:rsidR="00336B1B">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2022)","plainTextFormattedCitation":"(Lewis and Hendricks, 2022)","previouslyFormattedCitation":"(Lewis and Hendricks, 2022)"},"properties":{"noteIndex":0},"schema":"https://github.com/citation-style-language/schema/raw/master/csl-citation.json"}</w:instrText>
      </w:r>
      <w:r w:rsidR="007A2EAB">
        <w:rPr>
          <w:rFonts w:ascii="Arial" w:hAnsi="Arial" w:cs="Arial"/>
          <w:sz w:val="24"/>
          <w:szCs w:val="24"/>
        </w:rPr>
        <w:fldChar w:fldCharType="separate"/>
      </w:r>
      <w:r w:rsidR="007A2EAB" w:rsidRPr="007A2EAB">
        <w:rPr>
          <w:rFonts w:ascii="Arial" w:hAnsi="Arial" w:cs="Arial"/>
          <w:noProof/>
          <w:sz w:val="24"/>
          <w:szCs w:val="24"/>
        </w:rPr>
        <w:t>(Lewis and Hendricks, 2022)</w:t>
      </w:r>
      <w:r w:rsidR="007A2EAB">
        <w:rPr>
          <w:rFonts w:ascii="Arial" w:hAnsi="Arial" w:cs="Arial"/>
          <w:sz w:val="24"/>
          <w:szCs w:val="24"/>
        </w:rPr>
        <w:fldChar w:fldCharType="end"/>
      </w:r>
      <w:r w:rsidRPr="00797004">
        <w:rPr>
          <w:rFonts w:ascii="Arial" w:hAnsi="Arial" w:cs="Arial"/>
          <w:sz w:val="24"/>
          <w:szCs w:val="24"/>
        </w:rPr>
        <w:t xml:space="preserve">. Knowledge of </w:t>
      </w:r>
      <w:r>
        <w:rPr>
          <w:rFonts w:ascii="Arial" w:hAnsi="Arial" w:cs="Arial"/>
          <w:sz w:val="24"/>
          <w:szCs w:val="24"/>
        </w:rPr>
        <w:t>experiences and situations</w:t>
      </w:r>
      <w:r w:rsidRPr="00797004">
        <w:rPr>
          <w:rFonts w:ascii="Arial" w:hAnsi="Arial" w:cs="Arial"/>
          <w:sz w:val="24"/>
          <w:szCs w:val="24"/>
        </w:rPr>
        <w:t xml:space="preserve"> which cause a student</w:t>
      </w:r>
      <w:r w:rsidR="003F0470">
        <w:rPr>
          <w:rFonts w:ascii="Arial" w:hAnsi="Arial" w:cs="Arial"/>
          <w:sz w:val="24"/>
          <w:szCs w:val="24"/>
        </w:rPr>
        <w:t>’</w:t>
      </w:r>
      <w:r w:rsidRPr="00797004">
        <w:rPr>
          <w:rFonts w:ascii="Arial" w:hAnsi="Arial" w:cs="Arial"/>
          <w:sz w:val="24"/>
          <w:szCs w:val="24"/>
        </w:rPr>
        <w:t xml:space="preserve">s lowered sense of self-efficacy may be a reflective practice opportunity for a teacher to see how their attitude or approach impacts their teaching and their students in service of improving their professional competence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{"citationItems":[{"id":"ITEM-1","itemData":{"DOI":"10.1007/s10459-007-9090-2","ISBN":"1045900790902","ISSN":"13824996","PMID":"18034364","abstract":"The importance of reflection and reflective practice are frequently noted in the literature; indeed, reflective capacity is regarded by many as an essential characteristic for professional competence. Educators assert that the emergence of reflective practice is part of a change that acknowledges the need for students to act and to think professionally as an integral part of learning throughout their courses of study, integrating theory and practice from the outset. Activities to promote reflection are now being incorporated into undergraduate, postgraduate and continuing medical education, and across a variety of health professions. The evidence to support and inform these curricular interventions and innovations remains largely theoretical. Further, the literature is dispersed across several fields, and it is unclear which approaches may have efficacy or impact. We, therefore, designed a literature review to evaluate the existing evidence about reflection and reflective practice and their utility in health professional education. Our aim was to understand the key variables influencing this educational process, identify gaps in the evidence, and to explore any implications for educational practice and research. © Springer Science+Business Media B.V. 2007.","author":[{"dropping-particle":"","family":"Mann","given":"Karen","non-dropping-particle":"","parse-names":false,"suffix":""},{"dropping-particle":"","family":"Gordon","given":"Jill","non-dropping-particle":"","parse-names":false,"suffix":""},{"dropping-particle":"","family":"MacLeod","given":"Anna","non-dropping-particle":"","parse-names":false,"suffix":""}],"container-title":"Advances in Health Sciences Education","id":"ITEM-1","issue":"4","issued":{"date-parts":[["2009"]]},"page":"595-621","title":"Reflection and reflective practice in health professions education: A systematic review","type":"article-journal","volume":"14"},"uris":["http://www.mendeley.com/documents/?uuid=b79a602a-7690-4b8c-90cc-eae208dbc3c5"]}],"mendeley":{"formattedCitation":"(Mann, Gordon and MacLeod, 2009)","plainTextFormattedCitation":"(Mann, Gordon and MacLeod, 2009)","previouslyFormattedCitation":"(Mann, Gordon and MacLeod, 2009)"},"properties":{"noteIndex":0},"schema":"https://github.com/citation-style-language/schema/raw/master/csl-citation.json"}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(Mann, Gordon and MacLeod, 2009)</w:t>
      </w:r>
      <w:r w:rsidRPr="00797004">
        <w:rPr>
          <w:rFonts w:ascii="Arial" w:hAnsi="Arial" w:cs="Arial"/>
          <w:sz w:val="24"/>
          <w:szCs w:val="24"/>
        </w:rPr>
        <w:fldChar w:fldCharType="end"/>
      </w:r>
      <w:r w:rsidRPr="00797004">
        <w:rPr>
          <w:rFonts w:ascii="Arial" w:hAnsi="Arial" w:cs="Arial"/>
          <w:sz w:val="24"/>
          <w:szCs w:val="24"/>
        </w:rPr>
        <w:t>.</w:t>
      </w:r>
    </w:p>
    <w:p w14:paraId="2C4F7705" w14:textId="77777777" w:rsidR="00356298" w:rsidRPr="00797004" w:rsidRDefault="00356298" w:rsidP="00B66156">
      <w:pPr>
        <w:spacing w:line="360" w:lineRule="auto"/>
        <w:jc w:val="both"/>
        <w:rPr>
          <w:rFonts w:ascii="Arial" w:hAnsi="Arial" w:cs="Arial"/>
          <w:b/>
          <w:bCs/>
          <w:sz w:val="24"/>
          <w:szCs w:val="24"/>
        </w:rPr>
      </w:pPr>
      <w:r w:rsidRPr="00797004">
        <w:rPr>
          <w:rFonts w:ascii="Arial" w:hAnsi="Arial" w:cs="Arial"/>
          <w:b/>
          <w:bCs/>
          <w:sz w:val="24"/>
          <w:szCs w:val="24"/>
        </w:rPr>
        <w:t>Causes of lowered sense of self-efficacy:</w:t>
      </w:r>
    </w:p>
    <w:p w14:paraId="7F95CE22" w14:textId="7C022C33" w:rsidR="001F0104" w:rsidRDefault="00356298" w:rsidP="00B66156">
      <w:pPr>
        <w:spacing w:line="360" w:lineRule="auto"/>
        <w:jc w:val="both"/>
        <w:rPr>
          <w:rFonts w:ascii="Arial" w:hAnsi="Arial" w:cs="Arial"/>
          <w:sz w:val="24"/>
          <w:szCs w:val="24"/>
        </w:rPr>
      </w:pPr>
      <w:r>
        <w:rPr>
          <w:rFonts w:ascii="Arial" w:hAnsi="Arial" w:cs="Arial"/>
          <w:sz w:val="24"/>
          <w:szCs w:val="24"/>
        </w:rPr>
        <w:t>A common theme across the literature as</w:t>
      </w:r>
      <w:r w:rsidRPr="00797004">
        <w:rPr>
          <w:rFonts w:ascii="Arial" w:hAnsi="Arial" w:cs="Arial"/>
          <w:sz w:val="24"/>
          <w:szCs w:val="24"/>
        </w:rPr>
        <w:t xml:space="preserve"> the cause of a reduced sense of self-efficacy was a wounding incident</w:t>
      </w:r>
      <w:r>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Education","id":"ITEM-2","issue":"1","issued":{"date-parts":[["2015"]]},"page":"43-57","title":"Critical geragogy: A framework for facilitating older learners in community music","type":"article-journal","volume":"13"},"uris":["http://www.mendeley.com/documents/?uuid=fa50dd99-4e1e-44de-a3f2-30dd41815d00"]},{"id":"ITEM-3","itemData":{"DOI":"10.1177/02557614221074057","ISBN":"0255761422107","ISSN":"1744795X","abstract":"Fostering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Education","id":"ITEM-3","issued":{"date-parts":[["2022"]]},"title":"“It’s your body, it’s part of who you are!”: Influences upon collegiate vocalists’ performance self-efficacy beliefs","type":"article-journal"},"uris":["http://www.mendeley.com/documents/?uuid=d1469298-0bbc-4c76-afcd-e0c4086da712"]}],"mendeley":{"formattedCitation":"(Creech and Hallam, 2015; Hogle, 2021; Lewis and Hendricks, 2022)","plainTextFormattedCitation":"(Creech and Hallam, 2015; Hogle, 2021; Lewis and Hendricks, 2022)","previouslyFormattedCitation":"(Creech and Hallam, 2015; Hogle, 2021; Lewis and Hendricks, 2022)"},"properties":{"noteIndex":0},"schema":"https://github.com/citation-style-language/schema/raw/master/csl-citation.json"}</w:instrText>
      </w:r>
      <w:r>
        <w:rPr>
          <w:rFonts w:ascii="Arial" w:hAnsi="Arial" w:cs="Arial"/>
          <w:sz w:val="24"/>
          <w:szCs w:val="24"/>
        </w:rPr>
        <w:fldChar w:fldCharType="separate"/>
      </w:r>
      <w:r w:rsidRPr="00182AA9">
        <w:rPr>
          <w:rFonts w:ascii="Arial" w:hAnsi="Arial" w:cs="Arial"/>
          <w:noProof/>
          <w:sz w:val="24"/>
          <w:szCs w:val="24"/>
        </w:rPr>
        <w:t xml:space="preserve">(Creech and Hallam, 2015; Hogle, 2021; Lewis and </w:t>
      </w:r>
      <w:r w:rsidRPr="00182AA9">
        <w:rPr>
          <w:rFonts w:ascii="Arial" w:hAnsi="Arial" w:cs="Arial"/>
          <w:noProof/>
          <w:sz w:val="24"/>
          <w:szCs w:val="24"/>
        </w:rPr>
        <w:lastRenderedPageBreak/>
        <w:t>Hendricks, 2022)</w:t>
      </w:r>
      <w:r>
        <w:rPr>
          <w:rFonts w:ascii="Arial" w:hAnsi="Arial" w:cs="Arial"/>
          <w:sz w:val="24"/>
          <w:szCs w:val="24"/>
        </w:rPr>
        <w:fldChar w:fldCharType="end"/>
      </w:r>
      <w:r w:rsidRPr="00797004">
        <w:rPr>
          <w:rFonts w:ascii="Arial" w:hAnsi="Arial" w:cs="Arial"/>
          <w:sz w:val="24"/>
          <w:szCs w:val="24"/>
        </w:rPr>
        <w:t>. The defining feature of these wounding incidents was experiencing negative emotions</w:t>
      </w:r>
      <w:r w:rsidR="00336B1B">
        <w:rPr>
          <w:rFonts w:ascii="Arial" w:hAnsi="Arial" w:cs="Arial"/>
          <w:sz w:val="24"/>
          <w:szCs w:val="24"/>
        </w:rPr>
        <w:t>. S</w:t>
      </w:r>
      <w:r w:rsidRPr="00797004">
        <w:rPr>
          <w:rFonts w:ascii="Arial" w:hAnsi="Arial" w:cs="Arial"/>
          <w:sz w:val="24"/>
          <w:szCs w:val="24"/>
        </w:rPr>
        <w:t xml:space="preserve">hame and anxiety </w:t>
      </w:r>
      <w:r w:rsidR="00336B1B">
        <w:rPr>
          <w:rFonts w:ascii="Arial" w:hAnsi="Arial" w:cs="Arial"/>
          <w:sz w:val="24"/>
          <w:szCs w:val="24"/>
        </w:rPr>
        <w:t>are noted as</w:t>
      </w:r>
      <w:r w:rsidRPr="00797004">
        <w:rPr>
          <w:rFonts w:ascii="Arial" w:hAnsi="Arial" w:cs="Arial"/>
          <w:sz w:val="24"/>
          <w:szCs w:val="24"/>
        </w:rPr>
        <w:t xml:space="preserve"> hav</w:t>
      </w:r>
      <w:r w:rsidR="00336B1B">
        <w:rPr>
          <w:rFonts w:ascii="Arial" w:hAnsi="Arial" w:cs="Arial"/>
          <w:sz w:val="24"/>
          <w:szCs w:val="24"/>
        </w:rPr>
        <w:t>ing</w:t>
      </w:r>
      <w:r w:rsidRPr="00797004">
        <w:rPr>
          <w:rFonts w:ascii="Arial" w:hAnsi="Arial" w:cs="Arial"/>
          <w:sz w:val="24"/>
          <w:szCs w:val="24"/>
        </w:rPr>
        <w:t xml:space="preserve"> a long-term impact on the singer</w:t>
      </w:r>
      <w:r w:rsidR="00336B1B">
        <w:rPr>
          <w:rFonts w:ascii="Arial" w:hAnsi="Arial" w:cs="Arial"/>
          <w:sz w:val="24"/>
          <w:szCs w:val="24"/>
        </w:rPr>
        <w:t xml:space="preserve"> and their sense of self-efficacy </w:t>
      </w:r>
      <w:r w:rsidR="00336B1B">
        <w:rPr>
          <w:rFonts w:ascii="Arial" w:hAnsi="Arial" w:cs="Arial"/>
          <w:sz w:val="24"/>
          <w:szCs w:val="24"/>
        </w:rPr>
        <w:fldChar w:fldCharType="begin" w:fldLock="1"/>
      </w:r>
      <w:r w:rsidR="003E15E5">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beliefs","type":"article-journal"},"uris":["http://www.mendeley.com/documents/?uuid=d1469298-0bbc-4c76-afcd-e0c4086da712"]},{"id":"ITEM-3","itemData":{"DOI":"10.18546/LRE.13.1.05","ISSN":"14748479","abstract":"The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Education","id":"ITEM-3","issue":"1","issued":{"date-parts":[["2015"]]},"page":"43-57","title":"Critical geragogy: A framework for facilitating older learners in community music","type":"article-journal","volume":"13"},"uris":["http://www.mendeley.com/documents/?uuid=fa50dd99-4e1e-44de-a3f2-30dd41815d00"]}],"mendeley":{"formattedCitation":"(Creech and Hallam, 2015; Hogle, 2021; Lewis and Hendricks, 2022)","plainTextFormattedCitation":"(Creech and Hallam, 2015; Hogle, 2021; Lewis and Hendricks, 2022)","previouslyFormattedCitation":"(Creech and Hallam, 2015; Hogle, 2021; Lewis and Hendricks, 2022)"},"properties":{"noteIndex":0},"schema":"https://github.com/citation-style-language/schema/raw/master/csl-citation.json"}</w:instrText>
      </w:r>
      <w:r w:rsidR="00336B1B">
        <w:rPr>
          <w:rFonts w:ascii="Arial" w:hAnsi="Arial" w:cs="Arial"/>
          <w:sz w:val="24"/>
          <w:szCs w:val="24"/>
        </w:rPr>
        <w:fldChar w:fldCharType="separate"/>
      </w:r>
      <w:r w:rsidR="00336B1B" w:rsidRPr="00336B1B">
        <w:rPr>
          <w:rFonts w:ascii="Arial" w:hAnsi="Arial" w:cs="Arial"/>
          <w:noProof/>
          <w:sz w:val="24"/>
          <w:szCs w:val="24"/>
        </w:rPr>
        <w:t>(Creech and Hallam, 2015; Hogle, 2021; Lewis and Hendricks, 2022)</w:t>
      </w:r>
      <w:r w:rsidR="00336B1B">
        <w:rPr>
          <w:rFonts w:ascii="Arial" w:hAnsi="Arial" w:cs="Arial"/>
          <w:sz w:val="24"/>
          <w:szCs w:val="24"/>
        </w:rPr>
        <w:fldChar w:fldCharType="end"/>
      </w:r>
      <w:r w:rsidRPr="00797004">
        <w:rPr>
          <w:rFonts w:ascii="Arial" w:hAnsi="Arial" w:cs="Arial"/>
          <w:sz w:val="24"/>
          <w:szCs w:val="24"/>
        </w:rPr>
        <w:t xml:space="preserve">. </w:t>
      </w:r>
    </w:p>
    <w:p w14:paraId="3111EDF5" w14:textId="65F0F75D" w:rsidR="00356298" w:rsidRPr="00797004" w:rsidRDefault="00356298" w:rsidP="00B66156">
      <w:pPr>
        <w:spacing w:line="360" w:lineRule="auto"/>
        <w:jc w:val="both"/>
        <w:rPr>
          <w:rFonts w:ascii="Arial" w:hAnsi="Arial" w:cs="Arial"/>
          <w:sz w:val="24"/>
          <w:szCs w:val="24"/>
        </w:rPr>
      </w:pPr>
      <w:r w:rsidRPr="00797004">
        <w:rPr>
          <w:rFonts w:ascii="Arial" w:hAnsi="Arial" w:cs="Arial"/>
          <w:sz w:val="24"/>
          <w:szCs w:val="24"/>
        </w:rPr>
        <w:t xml:space="preserve">The 2021 study by Hogle was a narrative analysis of interviews with fifteen people who self-identified as non-singers all of whom continued to sing. The participants of this study recounted experiences which left an emotional wound and a lack of confidence around their singing ability. This </w:t>
      </w:r>
      <w:r>
        <w:rPr>
          <w:rFonts w:ascii="Arial" w:hAnsi="Arial" w:cs="Arial"/>
          <w:sz w:val="24"/>
          <w:szCs w:val="24"/>
        </w:rPr>
        <w:t xml:space="preserve">study has validity </w:t>
      </w:r>
      <w:r w:rsidR="00A53B43">
        <w:rPr>
          <w:rFonts w:ascii="Arial" w:hAnsi="Arial" w:cs="Arial"/>
          <w:sz w:val="24"/>
          <w:szCs w:val="24"/>
        </w:rPr>
        <w:t>from</w:t>
      </w:r>
      <w:r>
        <w:rPr>
          <w:rFonts w:ascii="Arial" w:hAnsi="Arial" w:cs="Arial"/>
          <w:sz w:val="24"/>
          <w:szCs w:val="24"/>
        </w:rPr>
        <w:t xml:space="preserve"> peer</w:t>
      </w:r>
      <w:r w:rsidR="00A53B43">
        <w:rPr>
          <w:rFonts w:ascii="Arial" w:hAnsi="Arial" w:cs="Arial"/>
          <w:sz w:val="24"/>
          <w:szCs w:val="24"/>
        </w:rPr>
        <w:t>-</w:t>
      </w:r>
      <w:r>
        <w:rPr>
          <w:rFonts w:ascii="Arial" w:hAnsi="Arial" w:cs="Arial"/>
          <w:sz w:val="24"/>
          <w:szCs w:val="24"/>
        </w:rPr>
        <w:t>review and clearly states the methodological process behind the narrative analysis of interview dat</w:t>
      </w:r>
      <w:r w:rsidR="000D56FC">
        <w:rPr>
          <w:rFonts w:ascii="Arial" w:hAnsi="Arial" w:cs="Arial"/>
          <w:sz w:val="24"/>
          <w:szCs w:val="24"/>
        </w:rPr>
        <w:t>a</w:t>
      </w:r>
      <w:r>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{"citationItems":[{"id":"ITEM-1","itemData":{"DOI":"10.5430/jnep.v6n5p100","ISSN":"1925-4040","abstract":"Sufficient knowledge is available about the definition, details and differences of qualitative content and thematic analysis as two approaches of qualitative descriptive research. However, identifying the main features of theme as the data analysis product and the method of its development remain unclear. The purpose of this study was to describe the meaning of theme and offer a method on theme construction that can be used by qualitative content analysis and thematic analysis researchers in line with the underpinning specific approach to data analysis. This methodological paper comprises an analytical overview of qualitative descriptive research products and the meaning of theme. Also, our practical experiences of qualitative analysis supported by relevant published literature informed the generation of a stage like model of theme construction for qualitative content analysis and thematic analysis. This paper comprises: (i) analytical importance of theme, (ii) meaning of theme, (iii) meaning of category, (iv) theme and category in terms of level of content, and (v) theme development. This paper offers a conceptual clarification and a pragmatic step by step method of theme development that has the capacity of assisting nurse researchers understand how theme is developed. As nursing is a pragmatic discipline, nurse researchers have tried to develop practical findings and devise some way to “do something” with findings to enhance the action and impact of nursing. The application of a precise method of theme development for qualitative descriptive data analysis suggested in this paper helps yield meaningful, credible and practical results for nursing.","author":[{"dropping-particle":"","family":"Vaismoradi","given":"Mojtaba","non-dropping-particle":"","parse-names":false,"suffix":""},{"dropping-particle":"","family":"Jones","given":"Jacqueline","non-dropping-particle":"","parse-names":false,"suffix":""},{"dropping-particle":"","family":"Turunen","given":"Hannele","non-dropping-particle":"","parse-names":false,"suffix":""},{"dropping-particle":"","family":"Snelgrove","given":"Sherrill","non-dropping-particle":"","parse-names":false,"suffix":""}],"container-title":"Journal of Nursing Education and Practice","id":"ITEM-1","issue":"5","issued":{"date-parts":[["2016"]]},"title":"Theme development in qualitative content analysis and thematic analysis","type":"article-journal","volume":"6"},"uris":["http://www.mendeley.com/documents/?uuid=eaebd822-59af-4c6e-9ae4-fbcf80f2223f"]}],"mendeley":{"formattedCitation":"(Vaismoradi &lt;i&gt;et al.&lt;/i&gt;, 2016)","plainTextFormattedCitation":"(Vaismoradi et al., 2016)","previouslyFormattedCitation":"(Vaismoradi &lt;i&gt;et al.&lt;/i&gt;, 2016)"},"properties":{"noteIndex":0},"schema":"https://github.com/citation-style-language/schema/raw/master/csl-citation.json"}</w:instrText>
      </w:r>
      <w:r>
        <w:rPr>
          <w:rFonts w:ascii="Arial" w:hAnsi="Arial" w:cs="Arial"/>
          <w:sz w:val="24"/>
          <w:szCs w:val="24"/>
        </w:rPr>
        <w:fldChar w:fldCharType="separate"/>
      </w:r>
      <w:r w:rsidRPr="00AF4F0D">
        <w:rPr>
          <w:rFonts w:ascii="Arial" w:hAnsi="Arial" w:cs="Arial"/>
          <w:noProof/>
          <w:sz w:val="24"/>
          <w:szCs w:val="24"/>
        </w:rPr>
        <w:t xml:space="preserve">(Vaismoradi </w:t>
      </w:r>
      <w:r w:rsidRPr="00AF4F0D">
        <w:rPr>
          <w:rFonts w:ascii="Arial" w:hAnsi="Arial" w:cs="Arial"/>
          <w:i/>
          <w:noProof/>
          <w:sz w:val="24"/>
          <w:szCs w:val="24"/>
        </w:rPr>
        <w:t>et al.</w:t>
      </w:r>
      <w:r w:rsidRPr="00AF4F0D">
        <w:rPr>
          <w:rFonts w:ascii="Arial" w:hAnsi="Arial" w:cs="Arial"/>
          <w:noProof/>
          <w:sz w:val="24"/>
          <w:szCs w:val="24"/>
        </w:rPr>
        <w:t>, 2016)</w:t>
      </w:r>
      <w:r>
        <w:rPr>
          <w:rFonts w:ascii="Arial" w:hAnsi="Arial" w:cs="Arial"/>
          <w:sz w:val="24"/>
          <w:szCs w:val="24"/>
        </w:rPr>
        <w:fldChar w:fldCharType="end"/>
      </w:r>
      <w:r>
        <w:rPr>
          <w:rFonts w:ascii="Arial" w:hAnsi="Arial" w:cs="Arial"/>
          <w:sz w:val="24"/>
          <w:szCs w:val="24"/>
        </w:rPr>
        <w:t>.</w:t>
      </w:r>
      <w:r w:rsidRPr="00797004">
        <w:rPr>
          <w:rFonts w:ascii="Arial" w:hAnsi="Arial" w:cs="Arial"/>
          <w:sz w:val="24"/>
          <w:szCs w:val="24"/>
        </w:rPr>
        <w:t xml:space="preserve"> Hogle identified an ongoing sense of shame, deficit, or disability from the wounding incident which caused lasting effects on the interviewee’s behaviours around singing</w:t>
      </w:r>
      <w:r w:rsidR="003E15E5">
        <w:rPr>
          <w:rFonts w:ascii="Arial" w:hAnsi="Arial" w:cs="Arial"/>
          <w:sz w:val="24"/>
          <w:szCs w:val="24"/>
        </w:rPr>
        <w:t xml:space="preserve"> </w:t>
      </w:r>
      <w:r w:rsidR="003E15E5">
        <w:rPr>
          <w:rFonts w:ascii="Arial" w:hAnsi="Arial" w:cs="Arial"/>
          <w:sz w:val="24"/>
          <w:szCs w:val="24"/>
        </w:rPr>
        <w:fldChar w:fldCharType="begin" w:fldLock="1"/>
      </w:r>
      <w:r w:rsidR="00ED523D">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2021)","plainTextFormattedCitation":"(Hogle, 2021)","previouslyFormattedCitation":"(Hogle, 2021)"},"properties":{"noteIndex":0},"schema":"https://github.com/citation-style-language/schema/raw/master/csl-citation.json"}</w:instrText>
      </w:r>
      <w:r w:rsidR="003E15E5">
        <w:rPr>
          <w:rFonts w:ascii="Arial" w:hAnsi="Arial" w:cs="Arial"/>
          <w:sz w:val="24"/>
          <w:szCs w:val="24"/>
        </w:rPr>
        <w:fldChar w:fldCharType="separate"/>
      </w:r>
      <w:r w:rsidR="003E15E5" w:rsidRPr="003E15E5">
        <w:rPr>
          <w:rFonts w:ascii="Arial" w:hAnsi="Arial" w:cs="Arial"/>
          <w:noProof/>
          <w:sz w:val="24"/>
          <w:szCs w:val="24"/>
        </w:rPr>
        <w:t>(Hogle, 2021)</w:t>
      </w:r>
      <w:r w:rsidR="003E15E5">
        <w:rPr>
          <w:rFonts w:ascii="Arial" w:hAnsi="Arial" w:cs="Arial"/>
          <w:sz w:val="24"/>
          <w:szCs w:val="24"/>
        </w:rPr>
        <w:fldChar w:fldCharType="end"/>
      </w:r>
      <w:r w:rsidRPr="00797004">
        <w:rPr>
          <w:rFonts w:ascii="Arial" w:hAnsi="Arial" w:cs="Arial"/>
          <w:sz w:val="24"/>
          <w:szCs w:val="24"/>
        </w:rPr>
        <w:t xml:space="preserve">. </w:t>
      </w:r>
    </w:p>
    <w:p w14:paraId="17E2905F" w14:textId="19216DA8" w:rsidR="00356298" w:rsidRPr="00797004" w:rsidRDefault="00356298" w:rsidP="00B66156">
      <w:pPr>
        <w:spacing w:line="360" w:lineRule="auto"/>
        <w:jc w:val="both"/>
        <w:rPr>
          <w:rFonts w:ascii="Arial" w:hAnsi="Arial" w:cs="Arial"/>
          <w:sz w:val="24"/>
          <w:szCs w:val="24"/>
        </w:rPr>
      </w:pPr>
      <w:r w:rsidRPr="00797004">
        <w:rPr>
          <w:rFonts w:ascii="Arial" w:hAnsi="Arial" w:cs="Arial"/>
          <w:sz w:val="24"/>
          <w:szCs w:val="24"/>
        </w:rPr>
        <w:t>Often these wounding incidents were linked with a negative learning experience</w:t>
      </w:r>
      <w:r w:rsidR="00B10006">
        <w:rPr>
          <w:rFonts w:ascii="Arial" w:hAnsi="Arial" w:cs="Arial"/>
          <w:sz w:val="24"/>
          <w:szCs w:val="24"/>
        </w:rPr>
        <w:t xml:space="preserve"> around areas</w:t>
      </w:r>
      <w:r w:rsidRPr="00797004">
        <w:rPr>
          <w:rFonts w:ascii="Arial" w:hAnsi="Arial" w:cs="Arial"/>
          <w:sz w:val="24"/>
          <w:szCs w:val="24"/>
        </w:rPr>
        <w:t xml:space="preserve"> such as: feedback</w:t>
      </w:r>
      <w:r w:rsidR="00EA1D4F">
        <w:rPr>
          <w:rFonts w:ascii="Arial" w:hAnsi="Arial" w:cs="Arial"/>
          <w:sz w:val="24"/>
          <w:szCs w:val="24"/>
        </w:rPr>
        <w:t>,</w:t>
      </w:r>
      <w:r w:rsidRPr="00797004">
        <w:rPr>
          <w:rFonts w:ascii="Arial" w:hAnsi="Arial" w:cs="Arial"/>
          <w:sz w:val="24"/>
          <w:szCs w:val="24"/>
        </w:rPr>
        <w:t xml:space="preserve"> instructions, a sense of criticism, or confusion</w:t>
      </w:r>
      <w:r w:rsidR="00000DE2">
        <w:rPr>
          <w:rFonts w:ascii="Arial" w:hAnsi="Arial" w:cs="Arial"/>
          <w:sz w:val="24"/>
          <w:szCs w:val="24"/>
        </w:rPr>
        <w:t xml:space="preserve">. Singer’s from </w:t>
      </w:r>
      <w:r w:rsidR="00ED523D">
        <w:rPr>
          <w:rFonts w:ascii="Arial" w:hAnsi="Arial" w:cs="Arial"/>
          <w:sz w:val="24"/>
          <w:szCs w:val="24"/>
        </w:rPr>
        <w:t>H</w:t>
      </w:r>
      <w:r w:rsidR="00000DE2">
        <w:rPr>
          <w:rFonts w:ascii="Arial" w:hAnsi="Arial" w:cs="Arial"/>
          <w:sz w:val="24"/>
          <w:szCs w:val="24"/>
        </w:rPr>
        <w:t xml:space="preserve">ogle’s </w:t>
      </w:r>
      <w:r w:rsidR="00ED523D">
        <w:rPr>
          <w:rFonts w:ascii="Arial" w:hAnsi="Arial" w:cs="Arial"/>
          <w:sz w:val="24"/>
          <w:szCs w:val="24"/>
        </w:rPr>
        <w:fldChar w:fldCharType="begin" w:fldLock="1"/>
      </w:r>
      <w:r w:rsidR="00E62CBA">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2021)","plainTextFormattedCitation":"(Hogle, 2021)","previouslyFormattedCitation":"(Hogle, 2021)"},"properties":{"noteIndex":0},"schema":"https://github.com/citation-style-language/schema/raw/master/csl-citation.json"}</w:instrText>
      </w:r>
      <w:r w:rsidR="00ED523D">
        <w:rPr>
          <w:rFonts w:ascii="Arial" w:hAnsi="Arial" w:cs="Arial"/>
          <w:sz w:val="24"/>
          <w:szCs w:val="24"/>
        </w:rPr>
        <w:fldChar w:fldCharType="separate"/>
      </w:r>
      <w:r w:rsidR="00ED523D" w:rsidRPr="00ED523D">
        <w:rPr>
          <w:rFonts w:ascii="Arial" w:hAnsi="Arial" w:cs="Arial"/>
          <w:noProof/>
          <w:sz w:val="24"/>
          <w:szCs w:val="24"/>
        </w:rPr>
        <w:t>(Hogle, 2021)</w:t>
      </w:r>
      <w:r w:rsidR="00ED523D">
        <w:rPr>
          <w:rFonts w:ascii="Arial" w:hAnsi="Arial" w:cs="Arial"/>
          <w:sz w:val="24"/>
          <w:szCs w:val="24"/>
        </w:rPr>
        <w:fldChar w:fldCharType="end"/>
      </w:r>
      <w:r w:rsidR="00ED523D">
        <w:rPr>
          <w:rFonts w:ascii="Arial" w:hAnsi="Arial" w:cs="Arial"/>
          <w:sz w:val="24"/>
          <w:szCs w:val="24"/>
        </w:rPr>
        <w:t xml:space="preserve"> study</w:t>
      </w:r>
      <w:r w:rsidRPr="00797004">
        <w:rPr>
          <w:rFonts w:ascii="Arial" w:hAnsi="Arial" w:cs="Arial"/>
          <w:sz w:val="24"/>
          <w:szCs w:val="24"/>
        </w:rPr>
        <w:t xml:space="preserve"> </w:t>
      </w:r>
      <w:r w:rsidR="00ED523D">
        <w:rPr>
          <w:rFonts w:ascii="Arial" w:hAnsi="Arial" w:cs="Arial"/>
          <w:sz w:val="24"/>
          <w:szCs w:val="24"/>
        </w:rPr>
        <w:t xml:space="preserve">discussed </w:t>
      </w:r>
      <w:r w:rsidR="002F4353">
        <w:rPr>
          <w:rFonts w:ascii="Arial" w:hAnsi="Arial" w:cs="Arial"/>
          <w:sz w:val="24"/>
          <w:szCs w:val="24"/>
        </w:rPr>
        <w:t>negative experiences such as</w:t>
      </w:r>
      <w:r w:rsidRPr="00797004">
        <w:rPr>
          <w:rFonts w:ascii="Arial" w:hAnsi="Arial" w:cs="Arial"/>
          <w:sz w:val="24"/>
          <w:szCs w:val="24"/>
        </w:rPr>
        <w:t xml:space="preserve"> feeling what was being requested was impossible for them or that the comment was a personal attack. Examples of feedback in educational singing settings given by participants in Hogle’s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2021)","manualFormatting":"(2021)","plainTextFormattedCitation":"(Hogle, 2021)","previouslyFormattedCitation":"(Hogle, 2021)"},"properties":{"noteIndex":0},"schema":"https://github.com/citation-style-language/schema/raw/master/csl-citation.json"}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(2021)</w:t>
      </w:r>
      <w:r w:rsidRPr="00797004">
        <w:rPr>
          <w:rFonts w:ascii="Arial" w:hAnsi="Arial" w:cs="Arial"/>
          <w:sz w:val="24"/>
          <w:szCs w:val="24"/>
        </w:rPr>
        <w:fldChar w:fldCharType="end"/>
      </w:r>
      <w:r w:rsidRPr="00797004">
        <w:rPr>
          <w:rFonts w:ascii="Arial" w:hAnsi="Arial" w:cs="Arial"/>
          <w:sz w:val="24"/>
          <w:szCs w:val="24"/>
        </w:rPr>
        <w:t xml:space="preserve"> study were:</w:t>
      </w:r>
    </w:p>
    <w:p w14:paraId="5AE67902" w14:textId="77777777" w:rsidR="000134EF" w:rsidRDefault="00356298" w:rsidP="008A1D5E">
      <w:pPr>
        <w:spacing w:line="360" w:lineRule="auto"/>
        <w:ind w:left="720"/>
        <w:jc w:val="both"/>
        <w:rPr>
          <w:rFonts w:ascii="Arial" w:hAnsi="Arial" w:cs="Arial"/>
          <w:i/>
          <w:iCs/>
          <w:sz w:val="24"/>
          <w:szCs w:val="24"/>
        </w:rPr>
      </w:pPr>
      <w:r w:rsidRPr="00797004">
        <w:rPr>
          <w:rFonts w:ascii="Arial" w:hAnsi="Arial" w:cs="Arial"/>
          <w:i/>
          <w:iCs/>
          <w:sz w:val="24"/>
          <w:szCs w:val="24"/>
        </w:rPr>
        <w:t xml:space="preserve">‘’Make it sound more forward’, but I struggle with that, so it </w:t>
      </w:r>
      <w:proofErr w:type="gramStart"/>
      <w:r w:rsidRPr="00797004">
        <w:rPr>
          <w:rFonts w:ascii="Arial" w:hAnsi="Arial" w:cs="Arial"/>
          <w:i/>
          <w:iCs/>
          <w:sz w:val="24"/>
          <w:szCs w:val="24"/>
        </w:rPr>
        <w:t>actually felt</w:t>
      </w:r>
      <w:proofErr w:type="gramEnd"/>
      <w:r w:rsidRPr="00797004">
        <w:rPr>
          <w:rFonts w:ascii="Arial" w:hAnsi="Arial" w:cs="Arial"/>
          <w:i/>
          <w:iCs/>
          <w:sz w:val="24"/>
          <w:szCs w:val="24"/>
        </w:rPr>
        <w:t xml:space="preserve"> like a personal jab. Because it’s my voice. Me.’</w:t>
      </w:r>
    </w:p>
    <w:p w14:paraId="3CC34922" w14:textId="3AB36E54" w:rsidR="0097013B" w:rsidRPr="00965A21" w:rsidRDefault="0097013B" w:rsidP="0097013B">
      <w:pPr>
        <w:spacing w:line="360" w:lineRule="auto"/>
        <w:ind w:firstLine="720"/>
        <w:jc w:val="right"/>
        <w:rPr>
          <w:rFonts w:ascii="Arial" w:hAnsi="Arial" w:cs="Arial"/>
          <w:iCs/>
          <w:noProof/>
          <w:sz w:val="24"/>
          <w:szCs w:val="24"/>
        </w:rPr>
      </w:pPr>
      <w:r>
        <w:rPr>
          <w:rFonts w:ascii="Arial" w:hAnsi="Arial" w:cs="Arial"/>
          <w:i/>
          <w:iCs/>
          <w:sz w:val="24"/>
          <w:szCs w:val="24"/>
        </w:rPr>
        <w:fldChar w:fldCharType="begin" w:fldLock="1"/>
      </w:r>
      <w:r w:rsidR="000834D4">
        <w:rPr>
          <w:rFonts w:ascii="Arial" w:hAnsi="Arial" w:cs="Arial"/>
          <w:i/>
          <w:iCs/>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2021)","manualFormatting":"(Hogle, 2021. p182)","plainTextFormattedCitation":"(Hogle, 2021)","previouslyFormattedCitation":"(Hogle, 2021)"},"properties":{"noteIndex":0},"schema":"https://github.com/citation-style-language/schema/raw/master/csl-citation.json"}</w:instrText>
      </w:r>
      <w:r>
        <w:rPr>
          <w:rFonts w:ascii="Arial" w:hAnsi="Arial" w:cs="Arial"/>
          <w:i/>
          <w:iCs/>
          <w:sz w:val="24"/>
          <w:szCs w:val="24"/>
        </w:rPr>
        <w:fldChar w:fldCharType="separate"/>
      </w:r>
      <w:r w:rsidRPr="00965A21">
        <w:rPr>
          <w:rFonts w:ascii="Arial" w:hAnsi="Arial" w:cs="Arial"/>
          <w:iCs/>
          <w:noProof/>
          <w:sz w:val="24"/>
          <w:szCs w:val="24"/>
        </w:rPr>
        <w:t>(Hogle, 2021</w:t>
      </w:r>
      <w:r>
        <w:rPr>
          <w:rFonts w:ascii="Arial" w:hAnsi="Arial" w:cs="Arial"/>
          <w:iCs/>
          <w:noProof/>
          <w:sz w:val="24"/>
          <w:szCs w:val="24"/>
        </w:rPr>
        <w:t>. p182</w:t>
      </w:r>
      <w:r w:rsidRPr="00965A21">
        <w:rPr>
          <w:rFonts w:ascii="Arial" w:hAnsi="Arial" w:cs="Arial"/>
          <w:iCs/>
          <w:noProof/>
          <w:sz w:val="24"/>
          <w:szCs w:val="24"/>
        </w:rPr>
        <w:t>)</w:t>
      </w:r>
      <w:r>
        <w:rPr>
          <w:rFonts w:ascii="Arial" w:hAnsi="Arial" w:cs="Arial"/>
          <w:i/>
          <w:iCs/>
          <w:sz w:val="24"/>
          <w:szCs w:val="24"/>
        </w:rPr>
        <w:fldChar w:fldCharType="end"/>
      </w:r>
    </w:p>
    <w:p w14:paraId="72541837" w14:textId="77777777" w:rsidR="000134EF" w:rsidRDefault="00356298" w:rsidP="00965A21">
      <w:pPr>
        <w:spacing w:line="360" w:lineRule="auto"/>
        <w:ind w:firstLine="720"/>
        <w:jc w:val="both"/>
        <w:rPr>
          <w:rFonts w:ascii="Arial" w:hAnsi="Arial" w:cs="Arial"/>
          <w:i/>
          <w:iCs/>
          <w:sz w:val="24"/>
          <w:szCs w:val="24"/>
        </w:rPr>
      </w:pPr>
      <w:r w:rsidRPr="00797004">
        <w:rPr>
          <w:rFonts w:ascii="Arial" w:hAnsi="Arial" w:cs="Arial"/>
          <w:i/>
          <w:iCs/>
          <w:sz w:val="24"/>
          <w:szCs w:val="24"/>
        </w:rPr>
        <w:t>‘That was awful’. It felt cruel. I’m afraid of making a mistake.’</w:t>
      </w:r>
      <w:r w:rsidR="000134EF">
        <w:rPr>
          <w:rFonts w:ascii="Arial" w:hAnsi="Arial" w:cs="Arial"/>
          <w:i/>
          <w:iCs/>
          <w:sz w:val="24"/>
          <w:szCs w:val="24"/>
        </w:rPr>
        <w:t xml:space="preserve"> </w:t>
      </w:r>
    </w:p>
    <w:p w14:paraId="68D3BCA4" w14:textId="19F64D15" w:rsidR="00356298" w:rsidRPr="00965A21" w:rsidRDefault="00965A21" w:rsidP="000134EF">
      <w:pPr>
        <w:spacing w:line="360" w:lineRule="auto"/>
        <w:ind w:firstLine="720"/>
        <w:jc w:val="right"/>
        <w:rPr>
          <w:rFonts w:ascii="Arial" w:hAnsi="Arial" w:cs="Arial"/>
          <w:iCs/>
          <w:noProof/>
          <w:sz w:val="24"/>
          <w:szCs w:val="24"/>
        </w:rPr>
      </w:pPr>
      <w:r>
        <w:rPr>
          <w:rFonts w:ascii="Arial" w:hAnsi="Arial" w:cs="Arial"/>
          <w:i/>
          <w:iCs/>
          <w:sz w:val="24"/>
          <w:szCs w:val="24"/>
        </w:rPr>
        <w:fldChar w:fldCharType="begin" w:fldLock="1"/>
      </w:r>
      <w:r w:rsidR="000834D4">
        <w:rPr>
          <w:rFonts w:ascii="Arial" w:hAnsi="Arial" w:cs="Arial"/>
          <w:i/>
          <w:iCs/>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2021)","manualFormatting":"(Hogle, 2021. p182)","plainTextFormattedCitation":"(Hogle, 2021)","previouslyFormattedCitation":"(Hogle, 2021)"},"properties":{"noteIndex":0},"schema":"https://github.com/citation-style-language/schema/raw/master/csl-citation.json"}</w:instrText>
      </w:r>
      <w:r>
        <w:rPr>
          <w:rFonts w:ascii="Arial" w:hAnsi="Arial" w:cs="Arial"/>
          <w:i/>
          <w:iCs/>
          <w:sz w:val="24"/>
          <w:szCs w:val="24"/>
        </w:rPr>
        <w:fldChar w:fldCharType="separate"/>
      </w:r>
      <w:r w:rsidRPr="00965A21">
        <w:rPr>
          <w:rFonts w:ascii="Arial" w:hAnsi="Arial" w:cs="Arial"/>
          <w:iCs/>
          <w:noProof/>
          <w:sz w:val="24"/>
          <w:szCs w:val="24"/>
        </w:rPr>
        <w:t>(Hogle, 2021</w:t>
      </w:r>
      <w:r>
        <w:rPr>
          <w:rFonts w:ascii="Arial" w:hAnsi="Arial" w:cs="Arial"/>
          <w:iCs/>
          <w:noProof/>
          <w:sz w:val="24"/>
          <w:szCs w:val="24"/>
        </w:rPr>
        <w:t>. p182</w:t>
      </w:r>
      <w:r w:rsidRPr="00965A21">
        <w:rPr>
          <w:rFonts w:ascii="Arial" w:hAnsi="Arial" w:cs="Arial"/>
          <w:iCs/>
          <w:noProof/>
          <w:sz w:val="24"/>
          <w:szCs w:val="24"/>
        </w:rPr>
        <w:t>)</w:t>
      </w:r>
      <w:r>
        <w:rPr>
          <w:rFonts w:ascii="Arial" w:hAnsi="Arial" w:cs="Arial"/>
          <w:i/>
          <w:iCs/>
          <w:sz w:val="24"/>
          <w:szCs w:val="24"/>
        </w:rPr>
        <w:fldChar w:fldCharType="end"/>
      </w:r>
    </w:p>
    <w:p w14:paraId="1DF8C7E1" w14:textId="008DAC66" w:rsidR="00356298" w:rsidRDefault="00356298" w:rsidP="008A1D5E">
      <w:pPr>
        <w:spacing w:line="360" w:lineRule="auto"/>
        <w:ind w:left="720"/>
        <w:jc w:val="both"/>
        <w:rPr>
          <w:rFonts w:ascii="Arial" w:hAnsi="Arial" w:cs="Arial"/>
          <w:i/>
          <w:iCs/>
          <w:sz w:val="24"/>
          <w:szCs w:val="24"/>
        </w:rPr>
      </w:pPr>
      <w:r w:rsidRPr="00797004">
        <w:rPr>
          <w:rFonts w:ascii="Arial" w:hAnsi="Arial" w:cs="Arial"/>
          <w:i/>
          <w:iCs/>
          <w:sz w:val="24"/>
          <w:szCs w:val="24"/>
        </w:rPr>
        <w:t>‘Correction felt like personal criticism… there was always something I wasn’t doing correctly or completely. That’s what teachers would point out.’</w:t>
      </w:r>
      <w:r w:rsidR="000134EF">
        <w:rPr>
          <w:rFonts w:ascii="Arial" w:hAnsi="Arial" w:cs="Arial"/>
          <w:i/>
          <w:iCs/>
          <w:sz w:val="24"/>
          <w:szCs w:val="24"/>
        </w:rPr>
        <w:t xml:space="preserve"> </w:t>
      </w:r>
    </w:p>
    <w:p w14:paraId="5880F696" w14:textId="62655877" w:rsidR="00407E7A" w:rsidRPr="00965A21" w:rsidRDefault="00407E7A" w:rsidP="00407E7A">
      <w:pPr>
        <w:spacing w:line="360" w:lineRule="auto"/>
        <w:ind w:firstLine="720"/>
        <w:jc w:val="right"/>
        <w:rPr>
          <w:rFonts w:ascii="Arial" w:hAnsi="Arial" w:cs="Arial"/>
          <w:iCs/>
          <w:noProof/>
          <w:sz w:val="24"/>
          <w:szCs w:val="24"/>
        </w:rPr>
      </w:pPr>
      <w:r>
        <w:rPr>
          <w:rFonts w:ascii="Arial" w:hAnsi="Arial" w:cs="Arial"/>
          <w:i/>
          <w:iCs/>
          <w:sz w:val="24"/>
          <w:szCs w:val="24"/>
        </w:rPr>
        <w:fldChar w:fldCharType="begin" w:fldLock="1"/>
      </w:r>
      <w:r w:rsidR="000834D4">
        <w:rPr>
          <w:rFonts w:ascii="Arial" w:hAnsi="Arial" w:cs="Arial"/>
          <w:i/>
          <w:iCs/>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2021)","manualFormatting":"(Hogle, 2021. p182)","plainTextFormattedCitation":"(Hogle, 2021)","previouslyFormattedCitation":"(Hogle, 2021)"},"properties":{"noteIndex":0},"schema":"https://github.com/citation-style-language/schema/raw/master/csl-citation.json"}</w:instrText>
      </w:r>
      <w:r>
        <w:rPr>
          <w:rFonts w:ascii="Arial" w:hAnsi="Arial" w:cs="Arial"/>
          <w:i/>
          <w:iCs/>
          <w:sz w:val="24"/>
          <w:szCs w:val="24"/>
        </w:rPr>
        <w:fldChar w:fldCharType="separate"/>
      </w:r>
      <w:r w:rsidRPr="00965A21">
        <w:rPr>
          <w:rFonts w:ascii="Arial" w:hAnsi="Arial" w:cs="Arial"/>
          <w:iCs/>
          <w:noProof/>
          <w:sz w:val="24"/>
          <w:szCs w:val="24"/>
        </w:rPr>
        <w:t>(Hogle, 2021</w:t>
      </w:r>
      <w:r>
        <w:rPr>
          <w:rFonts w:ascii="Arial" w:hAnsi="Arial" w:cs="Arial"/>
          <w:iCs/>
          <w:noProof/>
          <w:sz w:val="24"/>
          <w:szCs w:val="24"/>
        </w:rPr>
        <w:t>. p182</w:t>
      </w:r>
      <w:r w:rsidRPr="00965A21">
        <w:rPr>
          <w:rFonts w:ascii="Arial" w:hAnsi="Arial" w:cs="Arial"/>
          <w:iCs/>
          <w:noProof/>
          <w:sz w:val="24"/>
          <w:szCs w:val="24"/>
        </w:rPr>
        <w:t>)</w:t>
      </w:r>
      <w:r>
        <w:rPr>
          <w:rFonts w:ascii="Arial" w:hAnsi="Arial" w:cs="Arial"/>
          <w:i/>
          <w:iCs/>
          <w:sz w:val="24"/>
          <w:szCs w:val="24"/>
        </w:rPr>
        <w:fldChar w:fldCharType="end"/>
      </w:r>
    </w:p>
    <w:p w14:paraId="6C18D695" w14:textId="509164D9" w:rsidR="00356298" w:rsidRPr="00797004" w:rsidRDefault="00356298" w:rsidP="00B66156">
      <w:pPr>
        <w:spacing w:line="360" w:lineRule="auto"/>
        <w:jc w:val="both"/>
        <w:rPr>
          <w:rFonts w:ascii="Arial" w:hAnsi="Arial" w:cs="Arial"/>
          <w:sz w:val="24"/>
          <w:szCs w:val="24"/>
        </w:rPr>
      </w:pPr>
      <w:r w:rsidRPr="00797004">
        <w:rPr>
          <w:rFonts w:ascii="Arial" w:hAnsi="Arial" w:cs="Arial"/>
          <w:sz w:val="24"/>
          <w:szCs w:val="24"/>
        </w:rPr>
        <w:t>These quotes highlight situations where the student</w:t>
      </w:r>
      <w:r w:rsidR="000022A7">
        <w:rPr>
          <w:rFonts w:ascii="Arial" w:hAnsi="Arial" w:cs="Arial"/>
          <w:sz w:val="24"/>
          <w:szCs w:val="24"/>
        </w:rPr>
        <w:t>-</w:t>
      </w:r>
      <w:r w:rsidRPr="00797004">
        <w:rPr>
          <w:rFonts w:ascii="Arial" w:hAnsi="Arial" w:cs="Arial"/>
          <w:sz w:val="24"/>
          <w:szCs w:val="24"/>
        </w:rPr>
        <w:t>teacher communication was remembered by the student as causing emotional harm. Whatever was intended by the teacher in those moments</w:t>
      </w:r>
      <w:r w:rsidR="00F969F5">
        <w:rPr>
          <w:rFonts w:ascii="Arial" w:hAnsi="Arial" w:cs="Arial"/>
          <w:sz w:val="24"/>
          <w:szCs w:val="24"/>
        </w:rPr>
        <w:t>, what</w:t>
      </w:r>
      <w:r w:rsidRPr="00797004">
        <w:rPr>
          <w:rFonts w:ascii="Arial" w:hAnsi="Arial" w:cs="Arial"/>
          <w:sz w:val="24"/>
          <w:szCs w:val="24"/>
        </w:rPr>
        <w:t xml:space="preserve"> was remembered by these interviewees </w:t>
      </w:r>
      <w:r w:rsidR="00884433">
        <w:rPr>
          <w:rFonts w:ascii="Arial" w:hAnsi="Arial" w:cs="Arial"/>
          <w:sz w:val="24"/>
          <w:szCs w:val="24"/>
        </w:rPr>
        <w:t>w</w:t>
      </w:r>
      <w:r w:rsidRPr="00797004">
        <w:rPr>
          <w:rFonts w:ascii="Arial" w:hAnsi="Arial" w:cs="Arial"/>
          <w:sz w:val="24"/>
          <w:szCs w:val="24"/>
        </w:rPr>
        <w:t xml:space="preserve">as </w:t>
      </w:r>
      <w:r w:rsidR="00884433">
        <w:rPr>
          <w:rFonts w:ascii="Arial" w:hAnsi="Arial" w:cs="Arial"/>
          <w:sz w:val="24"/>
          <w:szCs w:val="24"/>
        </w:rPr>
        <w:t xml:space="preserve">a </w:t>
      </w:r>
      <w:r w:rsidRPr="00797004">
        <w:rPr>
          <w:rFonts w:ascii="Arial" w:hAnsi="Arial" w:cs="Arial"/>
          <w:sz w:val="24"/>
          <w:szCs w:val="24"/>
        </w:rPr>
        <w:t>hurtful and</w:t>
      </w:r>
      <w:r w:rsidR="00160012">
        <w:rPr>
          <w:rFonts w:ascii="Arial" w:hAnsi="Arial" w:cs="Arial"/>
          <w:sz w:val="24"/>
          <w:szCs w:val="24"/>
        </w:rPr>
        <w:t xml:space="preserve"> had a</w:t>
      </w:r>
      <w:r w:rsidRPr="00797004">
        <w:rPr>
          <w:rFonts w:ascii="Arial" w:hAnsi="Arial" w:cs="Arial"/>
          <w:sz w:val="24"/>
          <w:szCs w:val="24"/>
        </w:rPr>
        <w:t xml:space="preserve"> </w:t>
      </w:r>
      <w:r w:rsidR="00160012">
        <w:rPr>
          <w:rFonts w:ascii="Arial" w:hAnsi="Arial" w:cs="Arial"/>
          <w:sz w:val="24"/>
          <w:szCs w:val="24"/>
        </w:rPr>
        <w:t>lasting effect</w:t>
      </w:r>
      <w:r w:rsidR="00BD09FF">
        <w:rPr>
          <w:rFonts w:ascii="Arial" w:hAnsi="Arial" w:cs="Arial"/>
          <w:sz w:val="24"/>
          <w:szCs w:val="24"/>
        </w:rPr>
        <w:t xml:space="preserve"> on their experience of singing</w:t>
      </w:r>
      <w:r w:rsidRPr="00797004">
        <w:rPr>
          <w:rFonts w:ascii="Arial" w:hAnsi="Arial" w:cs="Arial"/>
          <w:sz w:val="24"/>
          <w:szCs w:val="24"/>
        </w:rPr>
        <w:t xml:space="preserve">. If the teachers intended </w:t>
      </w:r>
      <w:r w:rsidRPr="00797004">
        <w:rPr>
          <w:rFonts w:ascii="Arial" w:hAnsi="Arial" w:cs="Arial"/>
          <w:sz w:val="24"/>
          <w:szCs w:val="24"/>
        </w:rPr>
        <w:lastRenderedPageBreak/>
        <w:t xml:space="preserve">something different to what was remembered by the student, then confusion and poor communication seem to have been evident. Hogle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2021)","manualFormatting":"(2021)","plainTextFormattedCitation":"(Hogle, 2021)","previouslyFormattedCitation":"(Hogle, 2021)"},"properties":{"noteIndex":0},"schema":"https://github.com/citation-style-language/schema/raw/master/csl-citation.json"}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(2021)</w:t>
      </w:r>
      <w:r w:rsidRPr="00797004">
        <w:rPr>
          <w:rFonts w:ascii="Arial" w:hAnsi="Arial" w:cs="Arial"/>
          <w:sz w:val="24"/>
          <w:szCs w:val="24"/>
        </w:rPr>
        <w:fldChar w:fldCharType="end"/>
      </w:r>
      <w:r w:rsidRPr="00797004">
        <w:rPr>
          <w:rFonts w:ascii="Arial" w:hAnsi="Arial" w:cs="Arial"/>
          <w:sz w:val="24"/>
          <w:szCs w:val="24"/>
        </w:rPr>
        <w:t xml:space="preserve"> also noted that criticism from peers can have similar effects and that self-perception was at play. The implication regarding self-perception </w:t>
      </w:r>
      <w:r w:rsidR="00FF2A50">
        <w:rPr>
          <w:rFonts w:ascii="Arial" w:hAnsi="Arial" w:cs="Arial"/>
          <w:sz w:val="24"/>
          <w:szCs w:val="24"/>
        </w:rPr>
        <w:t>is</w:t>
      </w:r>
      <w:r w:rsidRPr="00797004">
        <w:rPr>
          <w:rFonts w:ascii="Arial" w:hAnsi="Arial" w:cs="Arial"/>
          <w:sz w:val="24"/>
          <w:szCs w:val="24"/>
        </w:rPr>
        <w:t xml:space="preserve"> that one’s self-perception may not always be clear and balanced which can be caused by a variety of factors from past experience to gender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{"citationItems":[{"id":"ITEM-1","itemData":{"DOI":"10.4102/sajip.v46i0.1704","ISSN":"20710763","abstract":"Orientation: The study reported here explores the preconceived notion of women’s missing agency – characterised by a lack of confidence – as an explanation for their continued underrepresentation at senior leadership levels in higher education institutions (HEIs) in South Africa. Research purpose: The study investigated gender differences in self-perception accuracy, defined as self-other agreement. The concept of confidence in this article refers to a high degree of self-perception accuracy defined as self-other rating agreement. Motivation for the study: One of the reasons for the underrepresentation of women in senior leadership levels frequently cited in the literature is the relationship between self-confidence and effective leadership. This phenomenon has however not yet been researched in the context of South African HEIs. Research approach/design and method: A quantitative, cross-sectional study of gender differences in self-perception accuracy using data collected from a 360-degree assessment intervention amongst the total population (N = 112) of academic managers in a HEI in South Africa was conducted. The realised sample consisted of 74 managers with an average of 9.5 raters per participant. Main findings: The results revealed that significant gender differences with regard to self-perception accuracy emerged. This was in spite of the fact that male and female leaders were perceived to be equally effective by their raters. Practical/managerial implications: The implications of women leaders’ inaccurate self-perceptions on their career progression and the design of leadership development programmes aimed at improving gender disparity are discussed. Contribution/value-add: This study contributes to scientific knowledge regarding the factors that contribute to the slow advancement of women to senior leadership positions in HEIs.","author":[{"dropping-particle":"","family":"Herbst","given":"Tessie H.H.","non-dropping-particle":"","parse-names":false,"suffix":""}],"container-title":"SA Journal of Industrial Psychology","id":"ITEM-1","issued":{"date-parts":[["2020"]]},"page":"1-9","title":"Gender differences in self-perception accuracy: The confidence gap and women leaders’ underrepresentation in academia","type":"article-journal","volume":"46"},"uris":["http://www.mendeley.com/documents/?uuid=832c3d18-794a-4514-b613-f388810f8e74"]}],"mendeley":{"formattedCitation":"(Herbst, 2020)","plainTextFormattedCitation":"(Herbst, 2020)","previouslyFormattedCitation":"(Herbst, 2020)"},"properties":{"noteIndex":0},"schema":"https://github.com/citation-style-language/schema/raw/master/csl-citation.json"}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(Herbst, 2020)</w:t>
      </w:r>
      <w:r w:rsidRPr="00797004">
        <w:rPr>
          <w:rFonts w:ascii="Arial" w:hAnsi="Arial" w:cs="Arial"/>
          <w:sz w:val="24"/>
          <w:szCs w:val="24"/>
        </w:rPr>
        <w:fldChar w:fldCharType="end"/>
      </w:r>
      <w:r w:rsidRPr="00797004">
        <w:rPr>
          <w:rFonts w:ascii="Arial" w:hAnsi="Arial" w:cs="Arial"/>
          <w:sz w:val="24"/>
          <w:szCs w:val="24"/>
        </w:rPr>
        <w:t>.</w:t>
      </w:r>
    </w:p>
    <w:p w14:paraId="0FECF5C9" w14:textId="71F3DBD6" w:rsidR="00356298" w:rsidRPr="00797004" w:rsidRDefault="00356298" w:rsidP="00B66156">
      <w:pPr>
        <w:spacing w:line="360" w:lineRule="auto"/>
        <w:jc w:val="both"/>
        <w:rPr>
          <w:rFonts w:ascii="Arial" w:hAnsi="Arial" w:cs="Arial"/>
          <w:sz w:val="24"/>
          <w:szCs w:val="24"/>
        </w:rPr>
      </w:pPr>
      <w:r w:rsidRPr="00797004">
        <w:rPr>
          <w:rFonts w:ascii="Arial" w:hAnsi="Arial" w:cs="Arial"/>
          <w:sz w:val="24"/>
          <w:szCs w:val="24"/>
        </w:rPr>
        <w:t xml:space="preserve">Lewis and Hendricks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2022)","manualFormatting":"(2022)","plainTextFormattedCitation":"(Lewis and Hendricks, 2022)","previouslyFormattedCitation":"(Lewis and Hendricks, 2022)"},"properties":{"noteIndex":0},"schema":"https://github.com/citation-style-language/schema/raw/master/csl-citation.json"}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(2022)</w:t>
      </w:r>
      <w:r w:rsidRPr="00797004">
        <w:rPr>
          <w:rFonts w:ascii="Arial" w:hAnsi="Arial" w:cs="Arial"/>
          <w:sz w:val="24"/>
          <w:szCs w:val="24"/>
        </w:rPr>
        <w:fldChar w:fldCharType="end"/>
      </w:r>
      <w:r w:rsidRPr="00797004">
        <w:rPr>
          <w:rFonts w:ascii="Arial" w:hAnsi="Arial" w:cs="Arial"/>
          <w:sz w:val="24"/>
          <w:szCs w:val="24"/>
        </w:rPr>
        <w:t xml:space="preserve"> also discuss how negative feedback can diminish a singer’s performance beliefs in their study regarding self-efficacy and singers. The study involved nine collegiate vocalists completing a vocal performance self-efficacy test</w:t>
      </w:r>
      <w:r w:rsidR="00557E51">
        <w:rPr>
          <w:rFonts w:ascii="Arial" w:hAnsi="Arial" w:cs="Arial"/>
          <w:sz w:val="24"/>
          <w:szCs w:val="24"/>
        </w:rPr>
        <w:t xml:space="preserve">. This was </w:t>
      </w:r>
      <w:r w:rsidRPr="00797004">
        <w:rPr>
          <w:rFonts w:ascii="Arial" w:hAnsi="Arial" w:cs="Arial"/>
          <w:sz w:val="24"/>
          <w:szCs w:val="24"/>
        </w:rPr>
        <w:t>followed by a semi-structure</w:t>
      </w:r>
      <w:r w:rsidR="007742A7">
        <w:rPr>
          <w:rFonts w:ascii="Arial" w:hAnsi="Arial" w:cs="Arial"/>
          <w:sz w:val="24"/>
          <w:szCs w:val="24"/>
        </w:rPr>
        <w:t>d</w:t>
      </w:r>
      <w:r w:rsidRPr="00797004">
        <w:rPr>
          <w:rFonts w:ascii="Arial" w:hAnsi="Arial" w:cs="Arial"/>
          <w:sz w:val="24"/>
          <w:szCs w:val="24"/>
        </w:rPr>
        <w:t xml:space="preserve"> interview, three journal entries, and a </w:t>
      </w:r>
      <w:r w:rsidR="003E6292">
        <w:rPr>
          <w:rFonts w:ascii="Arial" w:hAnsi="Arial" w:cs="Arial"/>
          <w:sz w:val="24"/>
          <w:szCs w:val="24"/>
        </w:rPr>
        <w:t>final</w:t>
      </w:r>
      <w:r w:rsidRPr="00797004">
        <w:rPr>
          <w:rFonts w:ascii="Arial" w:hAnsi="Arial" w:cs="Arial"/>
          <w:sz w:val="24"/>
          <w:szCs w:val="24"/>
        </w:rPr>
        <w:t xml:space="preserve"> interview with open-ended questions to address identified data patterns. Regarding negative feedback, participants reported:</w:t>
      </w:r>
    </w:p>
    <w:p w14:paraId="109DE9FA" w14:textId="4305C2FD" w:rsidR="00356298" w:rsidRDefault="00356298" w:rsidP="008A1D5E">
      <w:pPr>
        <w:spacing w:line="360" w:lineRule="auto"/>
        <w:ind w:firstLine="720"/>
        <w:jc w:val="both"/>
        <w:rPr>
          <w:rFonts w:ascii="Arial" w:hAnsi="Arial" w:cs="Arial"/>
          <w:i/>
          <w:iCs/>
          <w:sz w:val="24"/>
          <w:szCs w:val="24"/>
        </w:rPr>
      </w:pPr>
      <w:r w:rsidRPr="00797004">
        <w:rPr>
          <w:rFonts w:ascii="Arial" w:hAnsi="Arial" w:cs="Arial"/>
          <w:i/>
          <w:iCs/>
          <w:sz w:val="24"/>
          <w:szCs w:val="24"/>
        </w:rPr>
        <w:t xml:space="preserve">‘[Negative] feedback </w:t>
      </w:r>
      <w:proofErr w:type="gramStart"/>
      <w:r w:rsidRPr="00797004">
        <w:rPr>
          <w:rFonts w:ascii="Arial" w:hAnsi="Arial" w:cs="Arial"/>
          <w:i/>
          <w:iCs/>
          <w:sz w:val="24"/>
          <w:szCs w:val="24"/>
        </w:rPr>
        <w:t>definitely affects</w:t>
      </w:r>
      <w:proofErr w:type="gramEnd"/>
      <w:r w:rsidRPr="00797004">
        <w:rPr>
          <w:rFonts w:ascii="Arial" w:hAnsi="Arial" w:cs="Arial"/>
          <w:i/>
          <w:iCs/>
          <w:sz w:val="24"/>
          <w:szCs w:val="24"/>
        </w:rPr>
        <w:t xml:space="preserve"> me. Even if I don’t want it</w:t>
      </w:r>
      <w:r>
        <w:rPr>
          <w:rFonts w:ascii="Arial" w:hAnsi="Arial" w:cs="Arial"/>
          <w:i/>
          <w:iCs/>
          <w:sz w:val="24"/>
          <w:szCs w:val="24"/>
        </w:rPr>
        <w:t xml:space="preserve"> to</w:t>
      </w:r>
      <w:r w:rsidR="00673A5A">
        <w:rPr>
          <w:rFonts w:ascii="Arial" w:hAnsi="Arial" w:cs="Arial"/>
          <w:i/>
          <w:iCs/>
          <w:sz w:val="24"/>
          <w:szCs w:val="24"/>
        </w:rPr>
        <w:t>...</w:t>
      </w:r>
      <w:r w:rsidRPr="00797004">
        <w:rPr>
          <w:rFonts w:ascii="Arial" w:hAnsi="Arial" w:cs="Arial"/>
          <w:i/>
          <w:iCs/>
          <w:sz w:val="24"/>
          <w:szCs w:val="24"/>
        </w:rPr>
        <w:t>’</w:t>
      </w:r>
    </w:p>
    <w:p w14:paraId="3211C2C7" w14:textId="77777777" w:rsidR="0097013B" w:rsidRPr="00797004" w:rsidRDefault="0097013B" w:rsidP="0097013B">
      <w:pPr>
        <w:spacing w:line="360" w:lineRule="auto"/>
        <w:ind w:left="720"/>
        <w:jc w:val="right"/>
        <w:rPr>
          <w:rFonts w:ascii="Arial" w:hAnsi="Arial" w:cs="Arial"/>
          <w:i/>
          <w:iCs/>
          <w:sz w:val="24"/>
          <w:szCs w:val="24"/>
        </w:rPr>
      </w:pPr>
      <w:r>
        <w:rPr>
          <w:rFonts w:ascii="Arial" w:hAnsi="Arial" w:cs="Arial"/>
          <w:i/>
          <w:iCs/>
          <w:sz w:val="24"/>
          <w:szCs w:val="24"/>
        </w:rPr>
        <w:fldChar w:fldCharType="begin" w:fldLock="1"/>
      </w:r>
      <w:r>
        <w:rPr>
          <w:rFonts w:ascii="Arial" w:hAnsi="Arial" w:cs="Arial"/>
          <w:i/>
          <w:iCs/>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2022)","manualFormatting":"(Lewis and Hendricks, 2022, p11)","plainTextFormattedCitation":"(Lewis and Hendricks, 2022)","previouslyFormattedCitation":"(Lewis and Hendricks, 2022)"},"properties":{"noteIndex":0},"schema":"https://github.com/citation-style-language/schema/raw/master/csl-citation.json"}</w:instrText>
      </w:r>
      <w:r>
        <w:rPr>
          <w:rFonts w:ascii="Arial" w:hAnsi="Arial" w:cs="Arial"/>
          <w:i/>
          <w:iCs/>
          <w:sz w:val="24"/>
          <w:szCs w:val="24"/>
        </w:rPr>
        <w:fldChar w:fldCharType="separate"/>
      </w:r>
      <w:r w:rsidRPr="00FB5C54">
        <w:rPr>
          <w:rFonts w:ascii="Arial" w:hAnsi="Arial" w:cs="Arial"/>
          <w:iCs/>
          <w:noProof/>
          <w:sz w:val="24"/>
          <w:szCs w:val="24"/>
        </w:rPr>
        <w:t>(Lewis and Hendricks, 2022</w:t>
      </w:r>
      <w:r>
        <w:rPr>
          <w:rFonts w:ascii="Arial" w:hAnsi="Arial" w:cs="Arial"/>
          <w:iCs/>
          <w:noProof/>
          <w:sz w:val="24"/>
          <w:szCs w:val="24"/>
        </w:rPr>
        <w:t>, p11</w:t>
      </w:r>
      <w:r w:rsidRPr="00FB5C54">
        <w:rPr>
          <w:rFonts w:ascii="Arial" w:hAnsi="Arial" w:cs="Arial"/>
          <w:iCs/>
          <w:noProof/>
          <w:sz w:val="24"/>
          <w:szCs w:val="24"/>
        </w:rPr>
        <w:t>)</w:t>
      </w:r>
      <w:r>
        <w:rPr>
          <w:rFonts w:ascii="Arial" w:hAnsi="Arial" w:cs="Arial"/>
          <w:i/>
          <w:iCs/>
          <w:sz w:val="24"/>
          <w:szCs w:val="24"/>
        </w:rPr>
        <w:fldChar w:fldCharType="end"/>
      </w:r>
    </w:p>
    <w:p w14:paraId="1525DA04" w14:textId="77777777" w:rsidR="00356298" w:rsidRDefault="00356298" w:rsidP="008A1D5E">
      <w:pPr>
        <w:spacing w:line="360" w:lineRule="auto"/>
        <w:ind w:firstLine="720"/>
        <w:jc w:val="both"/>
        <w:rPr>
          <w:rFonts w:ascii="Arial" w:hAnsi="Arial" w:cs="Arial"/>
          <w:i/>
          <w:iCs/>
          <w:sz w:val="24"/>
          <w:szCs w:val="24"/>
        </w:rPr>
      </w:pPr>
      <w:r w:rsidRPr="00797004">
        <w:rPr>
          <w:rFonts w:ascii="Arial" w:hAnsi="Arial" w:cs="Arial"/>
          <w:i/>
          <w:iCs/>
          <w:sz w:val="24"/>
          <w:szCs w:val="24"/>
        </w:rPr>
        <w:t>‘It took a couple weeks to shake it. I was like, ‘Get out of my head.’</w:t>
      </w:r>
    </w:p>
    <w:p w14:paraId="67BFD69C" w14:textId="77777777" w:rsidR="00AA4BAE" w:rsidRPr="00797004" w:rsidRDefault="00AA4BAE" w:rsidP="00AA4BAE">
      <w:pPr>
        <w:spacing w:line="360" w:lineRule="auto"/>
        <w:ind w:left="720"/>
        <w:jc w:val="right"/>
        <w:rPr>
          <w:rFonts w:ascii="Arial" w:hAnsi="Arial" w:cs="Arial"/>
          <w:i/>
          <w:iCs/>
          <w:sz w:val="24"/>
          <w:szCs w:val="24"/>
        </w:rPr>
      </w:pPr>
      <w:r>
        <w:rPr>
          <w:rFonts w:ascii="Arial" w:hAnsi="Arial" w:cs="Arial"/>
          <w:i/>
          <w:iCs/>
          <w:sz w:val="24"/>
          <w:szCs w:val="24"/>
        </w:rPr>
        <w:fldChar w:fldCharType="begin" w:fldLock="1"/>
      </w:r>
      <w:r>
        <w:rPr>
          <w:rFonts w:ascii="Arial" w:hAnsi="Arial" w:cs="Arial"/>
          <w:i/>
          <w:iCs/>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2022)","manualFormatting":"(Lewis and Hendricks, 2022, p11)","plainTextFormattedCitation":"(Lewis and Hendricks, 2022)","previouslyFormattedCitation":"(Lewis and Hendricks, 2022)"},"properties":{"noteIndex":0},"schema":"https://github.com/citation-style-language/schema/raw/master/csl-citation.json"}</w:instrText>
      </w:r>
      <w:r>
        <w:rPr>
          <w:rFonts w:ascii="Arial" w:hAnsi="Arial" w:cs="Arial"/>
          <w:i/>
          <w:iCs/>
          <w:sz w:val="24"/>
          <w:szCs w:val="24"/>
        </w:rPr>
        <w:fldChar w:fldCharType="separate"/>
      </w:r>
      <w:r w:rsidRPr="00FB5C54">
        <w:rPr>
          <w:rFonts w:ascii="Arial" w:hAnsi="Arial" w:cs="Arial"/>
          <w:iCs/>
          <w:noProof/>
          <w:sz w:val="24"/>
          <w:szCs w:val="24"/>
        </w:rPr>
        <w:t>(Lewis and Hendricks, 2022</w:t>
      </w:r>
      <w:r>
        <w:rPr>
          <w:rFonts w:ascii="Arial" w:hAnsi="Arial" w:cs="Arial"/>
          <w:iCs/>
          <w:noProof/>
          <w:sz w:val="24"/>
          <w:szCs w:val="24"/>
        </w:rPr>
        <w:t>, p11</w:t>
      </w:r>
      <w:r w:rsidRPr="00FB5C54">
        <w:rPr>
          <w:rFonts w:ascii="Arial" w:hAnsi="Arial" w:cs="Arial"/>
          <w:iCs/>
          <w:noProof/>
          <w:sz w:val="24"/>
          <w:szCs w:val="24"/>
        </w:rPr>
        <w:t>)</w:t>
      </w:r>
      <w:r>
        <w:rPr>
          <w:rFonts w:ascii="Arial" w:hAnsi="Arial" w:cs="Arial"/>
          <w:i/>
          <w:iCs/>
          <w:sz w:val="24"/>
          <w:szCs w:val="24"/>
        </w:rPr>
        <w:fldChar w:fldCharType="end"/>
      </w:r>
    </w:p>
    <w:p w14:paraId="2638C354" w14:textId="2DCA8B48" w:rsidR="0006709A" w:rsidRPr="00797004" w:rsidRDefault="00356298" w:rsidP="0006709A">
      <w:pPr>
        <w:spacing w:line="360" w:lineRule="auto"/>
        <w:ind w:left="720"/>
        <w:jc w:val="both"/>
        <w:rPr>
          <w:rFonts w:ascii="Arial" w:hAnsi="Arial" w:cs="Arial"/>
          <w:i/>
          <w:iCs/>
          <w:sz w:val="24"/>
          <w:szCs w:val="24"/>
        </w:rPr>
      </w:pPr>
      <w:r w:rsidRPr="00797004">
        <w:rPr>
          <w:rFonts w:ascii="Arial" w:hAnsi="Arial" w:cs="Arial"/>
          <w:i/>
          <w:iCs/>
          <w:sz w:val="24"/>
          <w:szCs w:val="24"/>
        </w:rPr>
        <w:t>‘When you are given advice, it’s easier to take it personally because it’s your body—it’s part of who you are</w:t>
      </w:r>
      <w:r w:rsidR="0006709A">
        <w:rPr>
          <w:rFonts w:ascii="Arial" w:hAnsi="Arial" w:cs="Arial"/>
          <w:i/>
          <w:iCs/>
          <w:sz w:val="24"/>
          <w:szCs w:val="24"/>
        </w:rPr>
        <w:t xml:space="preserve">… </w:t>
      </w:r>
      <w:r w:rsidR="0006709A" w:rsidRPr="00797004">
        <w:rPr>
          <w:rFonts w:ascii="Arial" w:hAnsi="Arial" w:cs="Arial"/>
          <w:i/>
          <w:iCs/>
          <w:sz w:val="24"/>
          <w:szCs w:val="24"/>
        </w:rPr>
        <w:t xml:space="preserve">A voice is coming out of you, and it’s very vulnerable. It can be hard to differentiate voice and </w:t>
      </w:r>
      <w:proofErr w:type="gramStart"/>
      <w:r w:rsidR="0006709A" w:rsidRPr="00797004">
        <w:rPr>
          <w:rFonts w:ascii="Arial" w:hAnsi="Arial" w:cs="Arial"/>
          <w:i/>
          <w:iCs/>
          <w:sz w:val="24"/>
          <w:szCs w:val="24"/>
        </w:rPr>
        <w:t>me’</w:t>
      </w:r>
      <w:proofErr w:type="gramEnd"/>
    </w:p>
    <w:p w14:paraId="241F3879" w14:textId="77777777" w:rsidR="00742F7B" w:rsidRPr="00797004" w:rsidRDefault="00742F7B" w:rsidP="00742F7B">
      <w:pPr>
        <w:spacing w:line="360" w:lineRule="auto"/>
        <w:ind w:left="720"/>
        <w:jc w:val="right"/>
        <w:rPr>
          <w:rFonts w:ascii="Arial" w:hAnsi="Arial" w:cs="Arial"/>
          <w:i/>
          <w:iCs/>
          <w:sz w:val="24"/>
          <w:szCs w:val="24"/>
        </w:rPr>
      </w:pPr>
      <w:r>
        <w:rPr>
          <w:rFonts w:ascii="Arial" w:hAnsi="Arial" w:cs="Arial"/>
          <w:i/>
          <w:iCs/>
          <w:sz w:val="24"/>
          <w:szCs w:val="24"/>
        </w:rPr>
        <w:fldChar w:fldCharType="begin" w:fldLock="1"/>
      </w:r>
      <w:r>
        <w:rPr>
          <w:rFonts w:ascii="Arial" w:hAnsi="Arial" w:cs="Arial"/>
          <w:i/>
          <w:iCs/>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2022)","manualFormatting":"(Lewis and Hendricks, 2022, p11)","plainTextFormattedCitation":"(Lewis and Hendricks, 2022)","previouslyFormattedCitation":"(Lewis and Hendricks, 2022)"},"properties":{"noteIndex":0},"schema":"https://github.com/citation-style-language/schema/raw/master/csl-citation.json"}</w:instrText>
      </w:r>
      <w:r>
        <w:rPr>
          <w:rFonts w:ascii="Arial" w:hAnsi="Arial" w:cs="Arial"/>
          <w:i/>
          <w:iCs/>
          <w:sz w:val="24"/>
          <w:szCs w:val="24"/>
        </w:rPr>
        <w:fldChar w:fldCharType="separate"/>
      </w:r>
      <w:r w:rsidRPr="00FB5C54">
        <w:rPr>
          <w:rFonts w:ascii="Arial" w:hAnsi="Arial" w:cs="Arial"/>
          <w:iCs/>
          <w:noProof/>
          <w:sz w:val="24"/>
          <w:szCs w:val="24"/>
        </w:rPr>
        <w:t>(Lewis and Hendricks, 2022</w:t>
      </w:r>
      <w:r>
        <w:rPr>
          <w:rFonts w:ascii="Arial" w:hAnsi="Arial" w:cs="Arial"/>
          <w:iCs/>
          <w:noProof/>
          <w:sz w:val="24"/>
          <w:szCs w:val="24"/>
        </w:rPr>
        <w:t>, p11</w:t>
      </w:r>
      <w:r w:rsidRPr="00FB5C54">
        <w:rPr>
          <w:rFonts w:ascii="Arial" w:hAnsi="Arial" w:cs="Arial"/>
          <w:iCs/>
          <w:noProof/>
          <w:sz w:val="24"/>
          <w:szCs w:val="24"/>
        </w:rPr>
        <w:t>)</w:t>
      </w:r>
      <w:r>
        <w:rPr>
          <w:rFonts w:ascii="Arial" w:hAnsi="Arial" w:cs="Arial"/>
          <w:i/>
          <w:iCs/>
          <w:sz w:val="24"/>
          <w:szCs w:val="24"/>
        </w:rPr>
        <w:fldChar w:fldCharType="end"/>
      </w:r>
    </w:p>
    <w:p w14:paraId="0D227515" w14:textId="69A257F4" w:rsidR="00356298" w:rsidRPr="00797004" w:rsidRDefault="00356298" w:rsidP="0023635E">
      <w:pPr>
        <w:spacing w:line="360" w:lineRule="auto"/>
        <w:jc w:val="both"/>
        <w:rPr>
          <w:rFonts w:ascii="Arial" w:hAnsi="Arial" w:cs="Arial"/>
          <w:sz w:val="24"/>
          <w:szCs w:val="24"/>
        </w:rPr>
      </w:pPr>
      <w:r w:rsidRPr="00797004">
        <w:rPr>
          <w:rFonts w:ascii="Arial" w:hAnsi="Arial" w:cs="Arial"/>
          <w:sz w:val="24"/>
          <w:szCs w:val="24"/>
        </w:rPr>
        <w:t xml:space="preserve">The connection between voice and self seems to be a potential point of weakness when feedback is given to a singer. Lewis and Hendricks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2022)","manualFormatting":"(2022)","plainTextFormattedCitation":"(Lewis and Hendricks, 2022)","previouslyFormattedCitation":"(Lewis and Hendricks, 2022)"},"properties":{"noteIndex":0},"schema":"https://github.com/citation-style-language/schema/raw/master/csl-citation.json"}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(2022)</w:t>
      </w:r>
      <w:r w:rsidRPr="00797004">
        <w:rPr>
          <w:rFonts w:ascii="Arial" w:hAnsi="Arial" w:cs="Arial"/>
          <w:sz w:val="24"/>
          <w:szCs w:val="24"/>
        </w:rPr>
        <w:fldChar w:fldCharType="end"/>
      </w:r>
      <w:r w:rsidRPr="00797004">
        <w:rPr>
          <w:rFonts w:ascii="Arial" w:hAnsi="Arial" w:cs="Arial"/>
          <w:sz w:val="24"/>
          <w:szCs w:val="24"/>
        </w:rPr>
        <w:t xml:space="preserve"> discuss </w:t>
      </w:r>
      <w:r w:rsidR="00F22139">
        <w:rPr>
          <w:rFonts w:ascii="Arial" w:hAnsi="Arial" w:cs="Arial"/>
          <w:sz w:val="24"/>
          <w:szCs w:val="24"/>
        </w:rPr>
        <w:t>how</w:t>
      </w:r>
      <w:r w:rsidRPr="00797004">
        <w:rPr>
          <w:rFonts w:ascii="Arial" w:hAnsi="Arial" w:cs="Arial"/>
          <w:sz w:val="24"/>
          <w:szCs w:val="24"/>
        </w:rPr>
        <w:t xml:space="preserve"> negative feedback alters beliefs </w:t>
      </w:r>
      <w:r w:rsidR="00F22139">
        <w:rPr>
          <w:rFonts w:ascii="Arial" w:hAnsi="Arial" w:cs="Arial"/>
          <w:sz w:val="24"/>
          <w:szCs w:val="24"/>
        </w:rPr>
        <w:t xml:space="preserve">and </w:t>
      </w:r>
      <w:r w:rsidR="00CC2BAA">
        <w:rPr>
          <w:rFonts w:ascii="Arial" w:hAnsi="Arial" w:cs="Arial"/>
          <w:sz w:val="24"/>
          <w:szCs w:val="24"/>
        </w:rPr>
        <w:t>the effect of teacher</w:t>
      </w:r>
      <w:r w:rsidRPr="00797004">
        <w:rPr>
          <w:rFonts w:ascii="Arial" w:hAnsi="Arial" w:cs="Arial"/>
          <w:sz w:val="24"/>
          <w:szCs w:val="24"/>
        </w:rPr>
        <w:t xml:space="preserve"> deliver</w:t>
      </w:r>
      <w:r w:rsidR="00CC2BAA">
        <w:rPr>
          <w:rFonts w:ascii="Arial" w:hAnsi="Arial" w:cs="Arial"/>
          <w:sz w:val="24"/>
          <w:szCs w:val="24"/>
        </w:rPr>
        <w:t>y</w:t>
      </w:r>
      <w:r w:rsidR="00C07767">
        <w:rPr>
          <w:rFonts w:ascii="Arial" w:hAnsi="Arial" w:cs="Arial"/>
          <w:sz w:val="24"/>
          <w:szCs w:val="24"/>
        </w:rPr>
        <w:t xml:space="preserve"> on this.</w:t>
      </w:r>
      <w:r w:rsidRPr="00797004">
        <w:rPr>
          <w:rFonts w:ascii="Arial" w:hAnsi="Arial" w:cs="Arial"/>
          <w:sz w:val="24"/>
          <w:szCs w:val="24"/>
        </w:rPr>
        <w:t xml:space="preserve"> </w:t>
      </w:r>
      <w:r w:rsidR="00C07767">
        <w:rPr>
          <w:rFonts w:ascii="Arial" w:hAnsi="Arial" w:cs="Arial"/>
          <w:sz w:val="24"/>
          <w:szCs w:val="24"/>
        </w:rPr>
        <w:t>They</w:t>
      </w:r>
      <w:r w:rsidR="00676843">
        <w:rPr>
          <w:rFonts w:ascii="Arial" w:hAnsi="Arial" w:cs="Arial"/>
          <w:sz w:val="24"/>
          <w:szCs w:val="24"/>
        </w:rPr>
        <w:t xml:space="preserve"> break this down into</w:t>
      </w:r>
      <w:r w:rsidRPr="00797004">
        <w:rPr>
          <w:rFonts w:ascii="Arial" w:hAnsi="Arial" w:cs="Arial"/>
          <w:sz w:val="24"/>
          <w:szCs w:val="24"/>
        </w:rPr>
        <w:t xml:space="preserve"> how it is </w:t>
      </w:r>
      <w:r w:rsidRPr="00797004">
        <w:rPr>
          <w:rFonts w:ascii="Arial" w:hAnsi="Arial" w:cs="Arial"/>
          <w:i/>
          <w:iCs/>
          <w:sz w:val="24"/>
          <w:szCs w:val="24"/>
        </w:rPr>
        <w:t xml:space="preserve">‘received, deconstructed, and interpreted’ </w:t>
      </w:r>
      <w:r w:rsidRPr="00797004">
        <w:rPr>
          <w:rFonts w:ascii="Arial" w:hAnsi="Arial" w:cs="Arial"/>
          <w:sz w:val="24"/>
          <w:szCs w:val="24"/>
        </w:rPr>
        <w:t>by the student. The</w:t>
      </w:r>
      <w:r w:rsidR="00827091">
        <w:rPr>
          <w:rFonts w:ascii="Arial" w:hAnsi="Arial" w:cs="Arial"/>
          <w:sz w:val="24"/>
          <w:szCs w:val="24"/>
        </w:rPr>
        <w:t xml:space="preserve"> </w:t>
      </w:r>
      <w:r w:rsidR="00E63C82">
        <w:rPr>
          <w:rFonts w:ascii="Arial" w:hAnsi="Arial" w:cs="Arial"/>
          <w:sz w:val="24"/>
          <w:szCs w:val="24"/>
        </w:rPr>
        <w:t>studies by</w:t>
      </w:r>
      <w:r w:rsidR="00DA7300">
        <w:rPr>
          <w:rFonts w:ascii="Arial" w:hAnsi="Arial" w:cs="Arial"/>
          <w:sz w:val="24"/>
          <w:szCs w:val="24"/>
        </w:rPr>
        <w:t xml:space="preserve"> </w:t>
      </w:r>
      <w:r w:rsidR="00667827">
        <w:rPr>
          <w:rFonts w:ascii="Arial" w:hAnsi="Arial" w:cs="Arial"/>
          <w:sz w:val="24"/>
          <w:szCs w:val="24"/>
        </w:rPr>
        <w:t xml:space="preserve">Lewis and Hendricks </w:t>
      </w:r>
      <w:r w:rsidR="00667827">
        <w:rPr>
          <w:rFonts w:ascii="Arial" w:hAnsi="Arial" w:cs="Arial"/>
          <w:sz w:val="24"/>
          <w:szCs w:val="24"/>
        </w:rPr>
        <w:fldChar w:fldCharType="begin" w:fldLock="1"/>
      </w:r>
      <w:r w:rsidR="00667827">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2022)","manualFormatting":"(2022)","plainTextFormattedCitation":"(Lewis and Hendricks, 2022)","previouslyFormattedCitation":"(Lewis and Hendricks, 2022)"},"properties":{"noteIndex":0},"schema":"https://github.com/citation-style-language/schema/raw/master/csl-citation.json"}</w:instrText>
      </w:r>
      <w:r w:rsidR="00667827">
        <w:rPr>
          <w:rFonts w:ascii="Arial" w:hAnsi="Arial" w:cs="Arial"/>
          <w:sz w:val="24"/>
          <w:szCs w:val="24"/>
        </w:rPr>
        <w:fldChar w:fldCharType="separate"/>
      </w:r>
      <w:r w:rsidR="00667827" w:rsidRPr="00667827">
        <w:rPr>
          <w:rFonts w:ascii="Arial" w:hAnsi="Arial" w:cs="Arial"/>
          <w:noProof/>
          <w:sz w:val="24"/>
          <w:szCs w:val="24"/>
        </w:rPr>
        <w:t>(2022)</w:t>
      </w:r>
      <w:r w:rsidR="00667827">
        <w:rPr>
          <w:rFonts w:ascii="Arial" w:hAnsi="Arial" w:cs="Arial"/>
          <w:sz w:val="24"/>
          <w:szCs w:val="24"/>
        </w:rPr>
        <w:fldChar w:fldCharType="end"/>
      </w:r>
      <w:r w:rsidR="00667827">
        <w:rPr>
          <w:rFonts w:ascii="Arial" w:hAnsi="Arial" w:cs="Arial"/>
          <w:sz w:val="24"/>
          <w:szCs w:val="24"/>
        </w:rPr>
        <w:t xml:space="preserve"> and Hogle </w:t>
      </w:r>
      <w:r w:rsidR="00667827">
        <w:rPr>
          <w:rFonts w:ascii="Arial" w:hAnsi="Arial" w:cs="Arial"/>
          <w:sz w:val="24"/>
          <w:szCs w:val="24"/>
        </w:rPr>
        <w:fldChar w:fldCharType="begin" w:fldLock="1"/>
      </w:r>
      <w:r w:rsidR="00074C29">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2021)","manualFormatting":"(2021)","plainTextFormattedCitation":"(Hogle, 2021)","previouslyFormattedCitation":"(Hogle, 2021)"},"properties":{"noteIndex":0},"schema":"https://github.com/citation-style-language/schema/raw/master/csl-citation.json"}</w:instrText>
      </w:r>
      <w:r w:rsidR="00667827">
        <w:rPr>
          <w:rFonts w:ascii="Arial" w:hAnsi="Arial" w:cs="Arial"/>
          <w:sz w:val="24"/>
          <w:szCs w:val="24"/>
        </w:rPr>
        <w:fldChar w:fldCharType="separate"/>
      </w:r>
      <w:r w:rsidR="00667827" w:rsidRPr="00667827">
        <w:rPr>
          <w:rFonts w:ascii="Arial" w:hAnsi="Arial" w:cs="Arial"/>
          <w:noProof/>
          <w:sz w:val="24"/>
          <w:szCs w:val="24"/>
        </w:rPr>
        <w:t>(2021)</w:t>
      </w:r>
      <w:r w:rsidR="00667827">
        <w:rPr>
          <w:rFonts w:ascii="Arial" w:hAnsi="Arial" w:cs="Arial"/>
          <w:sz w:val="24"/>
          <w:szCs w:val="24"/>
        </w:rPr>
        <w:fldChar w:fldCharType="end"/>
      </w:r>
      <w:r w:rsidR="00D411D0">
        <w:rPr>
          <w:rFonts w:ascii="Arial" w:hAnsi="Arial" w:cs="Arial"/>
          <w:sz w:val="24"/>
          <w:szCs w:val="24"/>
        </w:rPr>
        <w:t xml:space="preserve"> highlight the i</w:t>
      </w:r>
      <w:r w:rsidRPr="00797004">
        <w:rPr>
          <w:rFonts w:ascii="Arial" w:hAnsi="Arial" w:cs="Arial"/>
          <w:sz w:val="24"/>
          <w:szCs w:val="24"/>
        </w:rPr>
        <w:t>mportance of the emerging themes of ‘voice-self connection’ and ‘teacher-student dynamic’.</w:t>
      </w:r>
    </w:p>
    <w:p w14:paraId="58600DFC" w14:textId="10003C73" w:rsidR="001F0104" w:rsidRDefault="00356298" w:rsidP="0044291E">
      <w:pPr>
        <w:spacing w:line="360" w:lineRule="auto"/>
        <w:jc w:val="both"/>
        <w:rPr>
          <w:rFonts w:ascii="Arial" w:hAnsi="Arial" w:cs="Arial"/>
          <w:sz w:val="24"/>
          <w:szCs w:val="24"/>
        </w:rPr>
      </w:pPr>
      <w:r w:rsidRPr="00797004">
        <w:rPr>
          <w:rFonts w:ascii="Arial" w:hAnsi="Arial" w:cs="Arial"/>
          <w:sz w:val="24"/>
          <w:szCs w:val="24"/>
        </w:rPr>
        <w:t xml:space="preserve">The doctoral thesis of Lindsey Blackhurst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{"citationItems":[{"id":"ITEM-1","itemData":{"abstract":"This dissertation is a study wrapped in a metaphor of voices, figurative and literal. It is a story of four singers over the course of 12 weeks and weaves through individuals in a group singing class. As a study, it used integral inquiry and emphasized action and narrative research. It explored one overarching research question, which naturally led to several sub-questions: In what ways might Mindfulness Awareness Practices (MAPS) and contemplative teaching and learning practices affect singers’ experiences of their own vocal and personal growth? (Sub- questions: What practices are reported as being successful?; How do participants experience growth?; How might singers and teachers shift to a mindset of process and progress throughout practicing and performing?; How do we create a space of mutuality and trust to foster self- reflection?; How do we balance instruction, offering feedback when needed and wanted while fostering self-trust and independence? While","author":[{"dropping-particle":"","family":"Blackhurst","given":"Lindsey Elizabeth","non-dropping-particle":"","parse-names":false,"suffix":""}],"container-title":"University of Colombia Doctor of Education submission","id":"ITEM-1","issued":{"date-parts":[["2021"]]},"title":"Exploring the Whole Singing Self with Technique, Contemplative Education, and Mindfulness","type":"thesis"},"uris":["http://www.mendeley.com/documents/?uuid=79851e18-e8d1-4fb1-960f-0d0a2b1452b7"]}],"mendeley":{"formattedCitation":"(Blackhurst, 2021)","manualFormatting":"(2021)","plainTextFormattedCitation":"(Blackhurst, 2021)","previouslyFormattedCitation":"(Blackhurst, 2021)"},"properties":{"noteIndex":0},"schema":"https://github.com/citation-style-language/schema/raw/master/csl-citation.json"}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(2021)</w:t>
      </w:r>
      <w:r w:rsidRPr="00797004">
        <w:rPr>
          <w:rFonts w:ascii="Arial" w:hAnsi="Arial" w:cs="Arial"/>
          <w:sz w:val="24"/>
          <w:szCs w:val="24"/>
        </w:rPr>
        <w:fldChar w:fldCharType="end"/>
      </w:r>
      <w:r w:rsidRPr="00797004">
        <w:rPr>
          <w:rFonts w:ascii="Arial" w:hAnsi="Arial" w:cs="Arial"/>
          <w:sz w:val="24"/>
          <w:szCs w:val="24"/>
        </w:rPr>
        <w:t xml:space="preserve">, </w:t>
      </w:r>
      <w:r w:rsidR="00605859">
        <w:rPr>
          <w:rFonts w:ascii="Arial" w:hAnsi="Arial" w:cs="Arial"/>
          <w:sz w:val="24"/>
          <w:szCs w:val="24"/>
        </w:rPr>
        <w:t>‘</w:t>
      </w:r>
      <w:r w:rsidRPr="00797004">
        <w:rPr>
          <w:rFonts w:ascii="Arial" w:hAnsi="Arial" w:cs="Arial"/>
          <w:sz w:val="24"/>
          <w:szCs w:val="24"/>
        </w:rPr>
        <w:t>Exploring the Whole Singing Self with Technique, Contemplative Education, and Mindfulness</w:t>
      </w:r>
      <w:r w:rsidR="00605859">
        <w:rPr>
          <w:rFonts w:ascii="Arial" w:hAnsi="Arial" w:cs="Arial"/>
          <w:sz w:val="24"/>
          <w:szCs w:val="24"/>
        </w:rPr>
        <w:t>’</w:t>
      </w:r>
      <w:r w:rsidRPr="00797004">
        <w:rPr>
          <w:rFonts w:ascii="Arial" w:hAnsi="Arial" w:cs="Arial"/>
          <w:sz w:val="24"/>
          <w:szCs w:val="24"/>
        </w:rPr>
        <w:t>, recounts the experiences of vocal and personal development of four singers</w:t>
      </w:r>
      <w:r w:rsidR="0036567C">
        <w:rPr>
          <w:rFonts w:ascii="Arial" w:hAnsi="Arial" w:cs="Arial"/>
          <w:sz w:val="24"/>
          <w:szCs w:val="24"/>
        </w:rPr>
        <w:t>. It was an account of a</w:t>
      </w:r>
      <w:r w:rsidRPr="00797004">
        <w:rPr>
          <w:rFonts w:ascii="Arial" w:hAnsi="Arial" w:cs="Arial"/>
          <w:sz w:val="24"/>
          <w:szCs w:val="24"/>
        </w:rPr>
        <w:t xml:space="preserve"> </w:t>
      </w:r>
      <w:r w:rsidR="0024646F" w:rsidRPr="00797004">
        <w:rPr>
          <w:rFonts w:ascii="Arial" w:hAnsi="Arial" w:cs="Arial"/>
          <w:sz w:val="24"/>
          <w:szCs w:val="24"/>
        </w:rPr>
        <w:t>12-week</w:t>
      </w:r>
      <w:r w:rsidRPr="00797004">
        <w:rPr>
          <w:rFonts w:ascii="Arial" w:hAnsi="Arial" w:cs="Arial"/>
          <w:sz w:val="24"/>
          <w:szCs w:val="24"/>
        </w:rPr>
        <w:t xml:space="preserve"> course of group singing classes which include</w:t>
      </w:r>
      <w:r w:rsidR="00677E72">
        <w:rPr>
          <w:rFonts w:ascii="Arial" w:hAnsi="Arial" w:cs="Arial"/>
          <w:sz w:val="24"/>
          <w:szCs w:val="24"/>
        </w:rPr>
        <w:t>d</w:t>
      </w:r>
      <w:r w:rsidRPr="00797004">
        <w:rPr>
          <w:rFonts w:ascii="Arial" w:hAnsi="Arial" w:cs="Arial"/>
          <w:sz w:val="24"/>
          <w:szCs w:val="24"/>
        </w:rPr>
        <w:t xml:space="preserve"> mindfulness awareness </w:t>
      </w:r>
      <w:r w:rsidRPr="00797004">
        <w:rPr>
          <w:rFonts w:ascii="Arial" w:hAnsi="Arial" w:cs="Arial"/>
          <w:sz w:val="24"/>
          <w:szCs w:val="24"/>
        </w:rPr>
        <w:lastRenderedPageBreak/>
        <w:t xml:space="preserve">practices </w:t>
      </w:r>
      <w:r w:rsidR="00804DA0">
        <w:rPr>
          <w:rFonts w:ascii="Arial" w:hAnsi="Arial" w:cs="Arial"/>
          <w:sz w:val="24"/>
          <w:szCs w:val="24"/>
        </w:rPr>
        <w:t xml:space="preserve">coupled with </w:t>
      </w:r>
      <w:r w:rsidRPr="00797004">
        <w:rPr>
          <w:rFonts w:ascii="Arial" w:hAnsi="Arial" w:cs="Arial"/>
          <w:sz w:val="24"/>
          <w:szCs w:val="24"/>
        </w:rPr>
        <w:t>contemplative teaching and learning practices.</w:t>
      </w:r>
      <w:r w:rsidR="00357742">
        <w:rPr>
          <w:rFonts w:ascii="Arial" w:hAnsi="Arial" w:cs="Arial"/>
          <w:sz w:val="24"/>
          <w:szCs w:val="24"/>
        </w:rPr>
        <w:t xml:space="preserve"> </w:t>
      </w:r>
      <w:r w:rsidRPr="00797004">
        <w:rPr>
          <w:rFonts w:ascii="Arial" w:hAnsi="Arial" w:cs="Arial"/>
          <w:sz w:val="24"/>
          <w:szCs w:val="24"/>
        </w:rPr>
        <w:t xml:space="preserve">Regarding the causes of lowered sense of singing self-efficacy, the thesis gives further evidence of ‘wounding incidents’ which had ongoing effects on the singers. A participant recounted an incident when </w:t>
      </w:r>
      <w:r w:rsidRPr="00797004">
        <w:rPr>
          <w:rFonts w:ascii="Arial" w:hAnsi="Arial" w:cs="Arial"/>
          <w:i/>
          <w:iCs/>
          <w:sz w:val="24"/>
          <w:szCs w:val="24"/>
        </w:rPr>
        <w:t xml:space="preserve">‘…  one voice teacher [told] her, “I don’t think a lead singer lives in you.” … </w:t>
      </w:r>
      <w:r w:rsidRPr="00797004">
        <w:rPr>
          <w:rFonts w:ascii="Arial" w:hAnsi="Arial" w:cs="Arial"/>
          <w:sz w:val="24"/>
          <w:szCs w:val="24"/>
        </w:rPr>
        <w:t xml:space="preserve">[This left the student wondering] </w:t>
      </w:r>
      <w:r w:rsidRPr="00797004">
        <w:rPr>
          <w:rFonts w:ascii="Arial" w:hAnsi="Arial" w:cs="Arial"/>
          <w:i/>
          <w:iCs/>
          <w:sz w:val="24"/>
          <w:szCs w:val="24"/>
        </w:rPr>
        <w:t xml:space="preserve">‘”is that criticism or is it advice?”, she knew it didn’t feel good to hear.’ </w:t>
      </w:r>
      <w:r w:rsidRPr="00797004">
        <w:rPr>
          <w:rFonts w:ascii="Arial" w:hAnsi="Arial" w:cs="Arial"/>
          <w:i/>
          <w:iCs/>
          <w:sz w:val="24"/>
          <w:szCs w:val="24"/>
        </w:rPr>
        <w:fldChar w:fldCharType="begin" w:fldLock="1"/>
      </w:r>
      <w:r w:rsidRPr="00797004">
        <w:rPr>
          <w:rFonts w:ascii="Arial" w:hAnsi="Arial" w:cs="Arial"/>
          <w:i/>
          <w:iCs/>
          <w:sz w:val="24"/>
          <w:szCs w:val="24"/>
        </w:rPr>
        <w:instrText>ADDIN CSL_CITATION {"citationItems":[{"id":"ITEM-1","itemData":{"abstract":"This dissertation is a study wrapped in a metaphor of voices, figurative and literal. It is a story of four singers over the course of 12 weeks and weaves through individuals in a group singing class. As a study, it used integral inquiry and emphasized action and narrative research. It explored one overarching research question, which naturally led to several sub-questions: In what ways might Mindfulness Awareness Practices (MAPS) and contemplative teaching and learning practices affect singers’ experiences of their own vocal and personal growth? (Sub- questions: What practices are reported as being successful?; How do participants experience growth?; How might singers and teachers shift to a mindset of process and progress throughout practicing and performing?; How do we create a space of mutuality and trust to foster self- reflection?; How do we balance instruction, offering feedback when needed and wanted while fostering self-trust and independence? While","author":[{"dropping-particle":"","family":"Blackhurst","given":"Lindsey Elizabeth","non-dropping-particle":"","parse-names":false,"suffix":""}],"container-title":"University of Colombia Doctor of Education submission","id":"ITEM-1","issued":{"date-parts":[["2021"]]},"title":"Exploring the Whole Singing Self with Technique, Contemplative Education, and Mindfulness","type":"thesis"},"uris":["http://www.mendeley.com/documents/?uuid=79851e18-e8d1-4fb1-960f-0d0a2b1452b7"]}],"mendeley":{"formattedCitation":"(Blackhurst, 2021)","manualFormatting":"(Blackhurst, 2021, p97)","plainTextFormattedCitation":"(Blackhurst, 2021)","previouslyFormattedCitation":"(Blackhurst, 2021)"},"properties":{"noteIndex":0},"schema":"https://github.com/citation-style-language/schema/raw/master/csl-citation.json"}</w:instrText>
      </w:r>
      <w:r w:rsidRPr="00797004">
        <w:rPr>
          <w:rFonts w:ascii="Arial" w:hAnsi="Arial" w:cs="Arial"/>
          <w:i/>
          <w:iCs/>
          <w:sz w:val="24"/>
          <w:szCs w:val="24"/>
        </w:rPr>
        <w:fldChar w:fldCharType="separate"/>
      </w:r>
      <w:r w:rsidRPr="00797004">
        <w:rPr>
          <w:rFonts w:ascii="Arial" w:hAnsi="Arial" w:cs="Arial"/>
          <w:iCs/>
          <w:noProof/>
          <w:sz w:val="24"/>
          <w:szCs w:val="24"/>
        </w:rPr>
        <w:t>(Blackhurst, 2021, p97)</w:t>
      </w:r>
      <w:r w:rsidRPr="00797004">
        <w:rPr>
          <w:rFonts w:ascii="Arial" w:hAnsi="Arial" w:cs="Arial"/>
          <w:i/>
          <w:iCs/>
          <w:sz w:val="24"/>
          <w:szCs w:val="24"/>
        </w:rPr>
        <w:fldChar w:fldCharType="end"/>
      </w:r>
      <w:r w:rsidRPr="00797004">
        <w:rPr>
          <w:rFonts w:ascii="Arial" w:hAnsi="Arial" w:cs="Arial"/>
          <w:sz w:val="24"/>
          <w:szCs w:val="24"/>
        </w:rPr>
        <w:t xml:space="preserve">. It seems </w:t>
      </w:r>
      <w:r w:rsidR="00CD4A6D">
        <w:rPr>
          <w:rFonts w:ascii="Arial" w:hAnsi="Arial" w:cs="Arial"/>
          <w:sz w:val="24"/>
          <w:szCs w:val="24"/>
        </w:rPr>
        <w:t>that</w:t>
      </w:r>
      <w:r w:rsidRPr="00797004">
        <w:rPr>
          <w:rFonts w:ascii="Arial" w:hAnsi="Arial" w:cs="Arial"/>
          <w:sz w:val="24"/>
          <w:szCs w:val="24"/>
        </w:rPr>
        <w:t xml:space="preserve"> feedback from an authority figure or peer has potential to be a wounding incident which has a lasting effect on a singer. Singing lessons often use feedback as part of the learning process</w:t>
      </w:r>
      <w:r w:rsidR="00E62CBA">
        <w:rPr>
          <w:rFonts w:ascii="Arial" w:hAnsi="Arial" w:cs="Arial"/>
          <w:sz w:val="24"/>
          <w:szCs w:val="24"/>
        </w:rPr>
        <w:t xml:space="preserve"> </w:t>
      </w:r>
      <w:r w:rsidR="00E62CBA">
        <w:rPr>
          <w:rFonts w:ascii="Arial" w:hAnsi="Arial" w:cs="Arial"/>
          <w:sz w:val="24"/>
          <w:szCs w:val="24"/>
        </w:rPr>
        <w:fldChar w:fldCharType="begin" w:fldLock="1"/>
      </w:r>
      <w:r w:rsidR="00FB5C54">
        <w:rPr>
          <w:rFonts w:ascii="Arial" w:hAnsi="Arial" w:cs="Arial"/>
          <w:sz w:val="24"/>
          <w:szCs w:val="24"/>
        </w:rPr>
        <w:instrText>ADDIN CSL_CITATION {"citationItems":[{"id":"ITEM-1","itemData":{"ISBN":"10867732","PMID":"85987196","abstract":"The article focuses on the use of feedback and biofeedback in voice studio learning. It states that feedback is only helpful when necessary, with less frequent feedback being more effective. It comments that voice instructors should avoid overloading students with unnecessary information and to wait a few seconds before providing feedback so students can develop the ability to critically evaluate their performances. It talks about differences in prescriptive and descriptive feedback, along with disadvantages of each. It recommends keeping biofeedback in perspective and suggests while it can be beneficial, its use should receive the same consideration as other types of feedback.","author":[{"dropping-particle":"","family":"Maxfield","given":"Lynn","non-dropping-particle":"","parse-names":false,"suffix":""}],"container-title":"Journal of Singing","id":"ITEM-1","issue":"4","issued":{"date-parts":[["2013"]]},"page":"471-478","title":"Improve Your Students' Learning by Improving Your Feedback","type":"article-journal","volume":"69"},"uris":["http://www.mendeley.com/documents/?uuid=666bc0d7-3b6f-4772-b00d-e201036e218f"]}],"mendeley":{"formattedCitation":"(Maxfield, 2013)","plainTextFormattedCitation":"(Maxfield, 2013)","previouslyFormattedCitation":"(Maxfield, 2013)"},"properties":{"noteIndex":0},"schema":"https://github.com/citation-style-language/schema/raw/master/csl-citation.json"}</w:instrText>
      </w:r>
      <w:r w:rsidR="00E62CBA">
        <w:rPr>
          <w:rFonts w:ascii="Arial" w:hAnsi="Arial" w:cs="Arial"/>
          <w:sz w:val="24"/>
          <w:szCs w:val="24"/>
        </w:rPr>
        <w:fldChar w:fldCharType="separate"/>
      </w:r>
      <w:r w:rsidR="00E62CBA" w:rsidRPr="00E62CBA">
        <w:rPr>
          <w:rFonts w:ascii="Arial" w:hAnsi="Arial" w:cs="Arial"/>
          <w:noProof/>
          <w:sz w:val="24"/>
          <w:szCs w:val="24"/>
        </w:rPr>
        <w:t>(Maxfield, 2013)</w:t>
      </w:r>
      <w:r w:rsidR="00E62CBA">
        <w:rPr>
          <w:rFonts w:ascii="Arial" w:hAnsi="Arial" w:cs="Arial"/>
          <w:sz w:val="24"/>
          <w:szCs w:val="24"/>
        </w:rPr>
        <w:fldChar w:fldCharType="end"/>
      </w:r>
      <w:r w:rsidR="002C6542">
        <w:rPr>
          <w:rFonts w:ascii="Arial" w:hAnsi="Arial" w:cs="Arial"/>
          <w:sz w:val="24"/>
          <w:szCs w:val="24"/>
        </w:rPr>
        <w:t xml:space="preserve">. </w:t>
      </w:r>
      <w:r w:rsidRPr="00797004">
        <w:rPr>
          <w:rFonts w:ascii="Arial" w:hAnsi="Arial" w:cs="Arial"/>
          <w:sz w:val="24"/>
          <w:szCs w:val="24"/>
        </w:rPr>
        <w:t xml:space="preserve"> </w:t>
      </w:r>
      <w:r w:rsidR="002C6542">
        <w:rPr>
          <w:rFonts w:ascii="Arial" w:hAnsi="Arial" w:cs="Arial"/>
          <w:sz w:val="24"/>
          <w:szCs w:val="24"/>
        </w:rPr>
        <w:t>A</w:t>
      </w:r>
      <w:r w:rsidRPr="00797004">
        <w:rPr>
          <w:rFonts w:ascii="Arial" w:hAnsi="Arial" w:cs="Arial"/>
          <w:sz w:val="24"/>
          <w:szCs w:val="24"/>
        </w:rPr>
        <w:t xml:space="preserve">wareness of how to work with feedback and its relationship with self-efficacy is an important aspect of the cumulative learning experience of a singer </w:t>
      </w:r>
      <w:r w:rsidRPr="00797004">
        <w:rPr>
          <w:rFonts w:ascii="Arial" w:hAnsi="Arial" w:cs="Arial"/>
          <w:sz w:val="24"/>
          <w:szCs w:val="24"/>
        </w:rPr>
        <w:fldChar w:fldCharType="begin" w:fldLock="1"/>
      </w:r>
      <w:r w:rsidR="00195DB1">
        <w:rPr>
          <w:rFonts w:ascii="Arial" w:hAnsi="Arial" w:cs="Arial"/>
          <w:sz w:val="24"/>
          <w:szCs w:val="24"/>
        </w:rPr>
        <w:instrText>ADDIN CSL_CITATION {"citationItems":[{"id":"ITEM-1","itemData":{"author":[{"dropping-particle":"","family":"McLeod","given":"Clare","non-dropping-particle":"","parse-names":false,"suffix":""},{"dropping-particle":"","family":"Maxfield","given":"Lynn","non-dropping-particle":"","parse-names":false,"suffix":""}],"container-title":"Journal of Singing","id":"ITEM-1","issue":"3","issued":{"date-parts":[["2020"]]},"page":"327-332","title":"Causal Learning: Addressing Barriers in Learning to Sing MINDFUL VOICE","type":"article-journal","volume":"76"},"uris":["http://www.mendeley.com/documents/?uuid=1e893029-f365-4463-8fd1-f7fa77a4903f"]},{"id":"ITEM-2","itemData":{"DOI":"10.1177/02557614221074057","ISBN":"0255761422107","ISSN":"1744795X","abstract":"Fostering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beliefs","type":"article-journal"},"uris":["http://www.mendeley.com/documents/?uuid=d1469298-0bbc-4c76-afcd-e0c4086da712"]}],"mendeley":{"formattedCitation":"(McLeod and Maxfield, 2020; Lewis and Hendricks, 2022)","manualFormatting":"(McLeod and Maxfield, 2020; Lewis and Hendricks, 2022)","plainTextFormattedCitation":"(McLeod and Maxfield, 2020; Lewis and Hendricks, 2022)","previouslyFormattedCitation":"(McLeod and Maxfield, 2020; Lewis and Hendricks, 2022)"},"properties":{"noteIndex":0},"schema":"https://github.com/citation-style-language/schema/raw/master/csl-citation.json"}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(Mc</w:t>
      </w:r>
      <w:r w:rsidR="008838BB">
        <w:rPr>
          <w:rFonts w:ascii="Arial" w:hAnsi="Arial" w:cs="Arial"/>
          <w:noProof/>
          <w:sz w:val="24"/>
          <w:szCs w:val="24"/>
        </w:rPr>
        <w:t>L</w:t>
      </w:r>
      <w:r w:rsidRPr="00797004">
        <w:rPr>
          <w:rFonts w:ascii="Arial" w:hAnsi="Arial" w:cs="Arial"/>
          <w:noProof/>
          <w:sz w:val="24"/>
          <w:szCs w:val="24"/>
        </w:rPr>
        <w:t>eod and Maxfield, 2020; Lewis and Hendricks, 2022)</w:t>
      </w:r>
      <w:r w:rsidRPr="00797004">
        <w:rPr>
          <w:rFonts w:ascii="Arial" w:hAnsi="Arial" w:cs="Arial"/>
          <w:sz w:val="24"/>
          <w:szCs w:val="24"/>
        </w:rPr>
        <w:fldChar w:fldCharType="end"/>
      </w:r>
      <w:r w:rsidRPr="00797004">
        <w:rPr>
          <w:rFonts w:ascii="Arial" w:hAnsi="Arial" w:cs="Arial"/>
          <w:sz w:val="24"/>
          <w:szCs w:val="24"/>
        </w:rPr>
        <w:t xml:space="preserve">. </w:t>
      </w:r>
    </w:p>
    <w:p w14:paraId="78055CD4" w14:textId="77777777" w:rsidR="00356298" w:rsidRPr="00797004" w:rsidRDefault="00356298" w:rsidP="0044291E">
      <w:pPr>
        <w:spacing w:line="360" w:lineRule="auto"/>
        <w:jc w:val="both"/>
        <w:rPr>
          <w:rFonts w:ascii="Arial" w:hAnsi="Arial" w:cs="Arial"/>
          <w:sz w:val="24"/>
          <w:szCs w:val="24"/>
        </w:rPr>
      </w:pPr>
      <w:r w:rsidRPr="00797004">
        <w:rPr>
          <w:rFonts w:ascii="Arial" w:hAnsi="Arial" w:cs="Arial"/>
          <w:sz w:val="24"/>
          <w:szCs w:val="24"/>
        </w:rPr>
        <w:t>These pieces of evidence point towards the need for awareness of the causes of harm to a singer’s sense of self-efficacy as part of what a singing teacher brings to their teaching practice. This could help refine a singing teacher’s approach to lessons so they reduce the chance of causing a lowering of self-efficacy in students and can aid in identification of low self-efficacy in students</w:t>
      </w:r>
      <w:r>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{"citationItems":[{"id":"ITEM-1","itemData":{"DOI":"10.1080/13603116.2017.1414578","ISSN":"14645173","abstract":"Inclusion has a high priority in education policy all over the world and teachers must be able to handle in practice increasing student diversity and the demands for creating an inclusive learning environment. In spite of the enhanced political focus, there is a lack of research focusing on how those teachers working with inclusion can be supported with more tangible and meaningful ways of understanding and developing inclusive classrooms. This article argues that seeing research in inclusion in close connection with research in effective teaching strategies and classroom management will contribute to an enrichment of the two research fields and give teachers and researchers new opportunities for developing more inclusive schools. Based on research focused on teaching strategies that support students’ opportunities for learning, four dimensions of inclusive teaching strategies are presented: a framing, a relational, a didactic and an organisational dimension. In addition, and in order to further understand teachers work with inclusive education in a more structural perspective, light is shed on the complexity that teachers are required to handle in practice. This complexity, among other things, entails dilemmas emerging from different agendas teachers often must handle themselves.","author":[{"dropping-particle":"","family":"Molbaek","given":"Mette","non-dropping-particle":"","parse-names":false,"suffix":""}],"container-title":"International Journal of Inclusive Education","id":"ITEM-1","issue":"10","issued":{"date-parts":[["2018"]]},"page":"1048-1061","publisher":"Taylor &amp; Francis","title":"Inclusive teaching strategies–dimensions and agendas","type":"article-journal","volume":"22"},"uris":["http://www.mendeley.com/documents/?uuid=542f940e-b6ac-4869-8130-c3b6e9be2a28"]},{"id":"ITEM-2","itemData":{"DOI":"10.1111/bjep.12016","ISSN":"00070998","PMID":"23692533","abstract":"Background: Although the evidence in support of the variability of students' learning strategies has expanded in recent years, less is known about the explanatory base of these individual differences in terms of the joint influences of personal and contextual characteristics. Aims: Previous studies have often investigated how student learning is associated with either personal or contextual factors. This study takes an integrative research perspective into account and examines the joint effects of personality, academic motivation, and teaching strategies on students' learning strategies in a same educational context in first-year higher education. Sample: In this study, 1,126 undergraduate students and 90 lecturers from eight professional bachelor programmes in a university college participated. Methods: Self-report measures were used to measure students' personality, academic motivation, and learning strategies. Students' processing and regulation strategies are mapped using the Inventory of Learning Styles. Key characteristics of more content-focused versus learning-focused teaching strategies were measured. Multivariate multi-level analysis was used to take the nested data structure and interrelatedness of learning strategies into account. Results: Different personality traits (openness, conscientiousness, and neuroticism) and academic motivation (amotivation, autonomous, and controlled motivation) were found to be independently associated with student learning strategies. Besides these student characteristics, also teaching strategies were found to be directly associated with learning strategies. Conclusions: The study makes clear that the impact of teaching strategies on learning strategies in first-year higher education cannot be overlooked nor overinterpreted, due to the importance of students' personality and academic motivation which also partly explain why students learn the way they do. © 2013 The British Psychological Society.","author":[{"dropping-particle":"","family":"Donche","given":"Vincent","non-dropping-particle":"","parse-names":false,"suffix":""},{"dropping-particle":"","family":"Maeyer","given":"Sven","non-dropping-particle":"De","parse-names":false,"suffix":""},{"dropping-particle":"","family":"Coertjens","given":"Liesje","non-dropping-particle":"","parse-names":false,"suffix":""},{"dropping-particle":"","family":"Daal","given":"Tine","non-dropping-particle":"Van","parse-names":false,"suffix":""},{"dropping-particle":"","family":"Petegem","given":"Peter","non-dropping-particle":"Van","parse-names":false,"suffix":""}],"container-title":"British Journal of Educational Psychology","id":"ITEM-2","issue":"2","issued":{"date-parts":[["2013"]]},"page":"238-251","title":"Differential use of learning strategies in first-year higher education: The impact of personality, academic motivation, and teaching strategies","type":"article-journal","volume":"83"},"uris":["http://www.mendeley.com/documents/?uuid=c800d91c-5a61-4ef5-8e5a-1843a9b0f09c"]}],"mendeley":{"formattedCitation":"(Donche &lt;i&gt;et al.&lt;/i&gt;, 2013; Molbaek, 2018)","plainTextFormattedCitation":"(Donche et al., 2013; Molbaek, 2018)","previouslyFormattedCitation":"(Donche &lt;i&gt;et al.&lt;/i&gt;, 2013; Molbaek, 2018)"},"properties":{"noteIndex":0},"schema":"https://github.com/citation-style-language/schema/raw/master/csl-citation.json"}</w:instrText>
      </w:r>
      <w:r>
        <w:rPr>
          <w:rFonts w:ascii="Arial" w:hAnsi="Arial" w:cs="Arial"/>
          <w:sz w:val="24"/>
          <w:szCs w:val="24"/>
        </w:rPr>
        <w:fldChar w:fldCharType="separate"/>
      </w:r>
      <w:r w:rsidRPr="00E46FB3">
        <w:rPr>
          <w:rFonts w:ascii="Arial" w:hAnsi="Arial" w:cs="Arial"/>
          <w:noProof/>
          <w:sz w:val="24"/>
          <w:szCs w:val="24"/>
        </w:rPr>
        <w:t xml:space="preserve">(Donche </w:t>
      </w:r>
      <w:r w:rsidRPr="00E46FB3">
        <w:rPr>
          <w:rFonts w:ascii="Arial" w:hAnsi="Arial" w:cs="Arial"/>
          <w:i/>
          <w:noProof/>
          <w:sz w:val="24"/>
          <w:szCs w:val="24"/>
        </w:rPr>
        <w:t>et al.</w:t>
      </w:r>
      <w:r w:rsidRPr="00E46FB3">
        <w:rPr>
          <w:rFonts w:ascii="Arial" w:hAnsi="Arial" w:cs="Arial"/>
          <w:noProof/>
          <w:sz w:val="24"/>
          <w:szCs w:val="24"/>
        </w:rPr>
        <w:t>, 2013; Molbaek, 2018)</w:t>
      </w:r>
      <w:r>
        <w:rPr>
          <w:rFonts w:ascii="Arial" w:hAnsi="Arial" w:cs="Arial"/>
          <w:sz w:val="24"/>
          <w:szCs w:val="24"/>
        </w:rPr>
        <w:fldChar w:fldCharType="end"/>
      </w:r>
      <w:r w:rsidRPr="00797004">
        <w:rPr>
          <w:rFonts w:ascii="Arial" w:hAnsi="Arial" w:cs="Arial"/>
          <w:sz w:val="24"/>
          <w:szCs w:val="24"/>
        </w:rPr>
        <w:t>.</w:t>
      </w:r>
    </w:p>
    <w:p w14:paraId="00C71A85" w14:textId="77777777" w:rsidR="00356298" w:rsidRPr="00797004" w:rsidRDefault="00356298" w:rsidP="00B66156">
      <w:pPr>
        <w:spacing w:line="360" w:lineRule="auto"/>
        <w:jc w:val="both"/>
        <w:rPr>
          <w:rFonts w:ascii="Arial" w:hAnsi="Arial" w:cs="Arial"/>
          <w:b/>
          <w:bCs/>
          <w:sz w:val="24"/>
          <w:szCs w:val="24"/>
        </w:rPr>
      </w:pPr>
      <w:r w:rsidRPr="00797004">
        <w:rPr>
          <w:rFonts w:ascii="Arial" w:hAnsi="Arial" w:cs="Arial"/>
          <w:b/>
          <w:bCs/>
          <w:sz w:val="24"/>
          <w:szCs w:val="24"/>
        </w:rPr>
        <w:t>Symptoms of lowered sense of self-efficacy:</w:t>
      </w:r>
    </w:p>
    <w:p w14:paraId="71510A33" w14:textId="7E90DEE5" w:rsidR="00356298" w:rsidRPr="00797004" w:rsidRDefault="00356298" w:rsidP="00344B60">
      <w:pPr>
        <w:spacing w:line="360" w:lineRule="auto"/>
        <w:jc w:val="both"/>
        <w:rPr>
          <w:rFonts w:ascii="Arial" w:hAnsi="Arial" w:cs="Arial"/>
          <w:sz w:val="24"/>
          <w:szCs w:val="24"/>
        </w:rPr>
      </w:pPr>
      <w:r w:rsidRPr="00797004">
        <w:rPr>
          <w:rFonts w:ascii="Arial" w:hAnsi="Arial" w:cs="Arial"/>
          <w:sz w:val="24"/>
          <w:szCs w:val="24"/>
        </w:rPr>
        <w:t xml:space="preserve">When literature discussed causes of a lowered sense of singing self-efficacy, the participants disclosed their wounding experiences as part of a study. Although students may disclose a specific wounding incident in a singing lesson there may be times where the student does not inform the singing teacher of this experience if one happened. When a student has not discussed a wounding experience, a singing teacher </w:t>
      </w:r>
      <w:r w:rsidR="00522DE6">
        <w:rPr>
          <w:rFonts w:ascii="Arial" w:hAnsi="Arial" w:cs="Arial"/>
          <w:sz w:val="24"/>
          <w:szCs w:val="24"/>
        </w:rPr>
        <w:t>will</w:t>
      </w:r>
      <w:r w:rsidRPr="00797004">
        <w:rPr>
          <w:rFonts w:ascii="Arial" w:hAnsi="Arial" w:cs="Arial"/>
          <w:sz w:val="24"/>
          <w:szCs w:val="24"/>
        </w:rPr>
        <w:t xml:space="preserve"> need to assess a student’s sense of self-efficacy by other means. This stage of the research aims to investigate the symptoms of a lowered sense of self-efficacy so a voice teacher can pick up on when they may need to address this aspect of the student’s singing development. </w:t>
      </w:r>
    </w:p>
    <w:p w14:paraId="4D0134F9" w14:textId="435875FE" w:rsidR="00BA3293" w:rsidRDefault="00356298" w:rsidP="00344B60">
      <w:pPr>
        <w:spacing w:line="360" w:lineRule="auto"/>
        <w:jc w:val="both"/>
        <w:rPr>
          <w:rFonts w:ascii="Arial" w:hAnsi="Arial" w:cs="Arial"/>
          <w:sz w:val="24"/>
          <w:szCs w:val="24"/>
        </w:rPr>
      </w:pPr>
      <w:r w:rsidRPr="00797004">
        <w:rPr>
          <w:rFonts w:ascii="Arial" w:hAnsi="Arial" w:cs="Arial"/>
          <w:sz w:val="24"/>
          <w:szCs w:val="24"/>
        </w:rPr>
        <w:t xml:space="preserve">The themes identified were grouped under the classes: </w:t>
      </w:r>
      <w:r w:rsidRPr="00625C73">
        <w:rPr>
          <w:rFonts w:ascii="Arial" w:hAnsi="Arial" w:cs="Arial"/>
          <w:b/>
          <w:bCs/>
          <w:i/>
          <w:iCs/>
          <w:sz w:val="24"/>
          <w:szCs w:val="24"/>
        </w:rPr>
        <w:t>Self</w:t>
      </w:r>
      <w:r w:rsidRPr="00797004">
        <w:rPr>
          <w:rFonts w:ascii="Arial" w:hAnsi="Arial" w:cs="Arial"/>
          <w:sz w:val="24"/>
          <w:szCs w:val="24"/>
        </w:rPr>
        <w:t xml:space="preserve">: the student’s thoughts, </w:t>
      </w:r>
      <w:r w:rsidR="002A31D7" w:rsidRPr="00797004">
        <w:rPr>
          <w:rFonts w:ascii="Arial" w:hAnsi="Arial" w:cs="Arial"/>
          <w:sz w:val="24"/>
          <w:szCs w:val="24"/>
        </w:rPr>
        <w:t>beliefs,</w:t>
      </w:r>
      <w:r w:rsidRPr="00797004">
        <w:rPr>
          <w:rFonts w:ascii="Arial" w:hAnsi="Arial" w:cs="Arial"/>
          <w:sz w:val="24"/>
          <w:szCs w:val="24"/>
        </w:rPr>
        <w:t xml:space="preserve"> and emotions; </w:t>
      </w:r>
      <w:r w:rsidRPr="00625C73">
        <w:rPr>
          <w:rFonts w:ascii="Arial" w:hAnsi="Arial" w:cs="Arial"/>
          <w:b/>
          <w:bCs/>
          <w:i/>
          <w:iCs/>
          <w:sz w:val="24"/>
          <w:szCs w:val="24"/>
        </w:rPr>
        <w:t>Discomfort</w:t>
      </w:r>
      <w:r w:rsidRPr="00797004">
        <w:rPr>
          <w:rFonts w:ascii="Arial" w:hAnsi="Arial" w:cs="Arial"/>
          <w:sz w:val="24"/>
          <w:szCs w:val="24"/>
        </w:rPr>
        <w:t xml:space="preserve">: around areas such as the singing environment and judgement; and </w:t>
      </w:r>
      <w:r w:rsidRPr="00625C73">
        <w:rPr>
          <w:rFonts w:ascii="Arial" w:hAnsi="Arial" w:cs="Arial"/>
          <w:b/>
          <w:bCs/>
          <w:i/>
          <w:iCs/>
          <w:sz w:val="24"/>
          <w:szCs w:val="24"/>
        </w:rPr>
        <w:t>Self-protection</w:t>
      </w:r>
      <w:r w:rsidRPr="00797004">
        <w:rPr>
          <w:rFonts w:ascii="Arial" w:hAnsi="Arial" w:cs="Arial"/>
          <w:sz w:val="24"/>
          <w:szCs w:val="24"/>
        </w:rPr>
        <w:t>: the things they do to avoid triggering their self-efficacy wound.</w:t>
      </w:r>
      <w:r w:rsidR="00BA3293">
        <w:rPr>
          <w:rFonts w:ascii="Arial" w:hAnsi="Arial" w:cs="Arial"/>
          <w:sz w:val="24"/>
          <w:szCs w:val="24"/>
        </w:rPr>
        <w:br w:type="page"/>
      </w:r>
    </w:p>
    <w:p w14:paraId="425A0FCB" w14:textId="7AE88390" w:rsidR="00356298" w:rsidRPr="00797004" w:rsidRDefault="00356298" w:rsidP="00B66156">
      <w:pPr>
        <w:spacing w:line="360" w:lineRule="auto"/>
        <w:jc w:val="both"/>
        <w:rPr>
          <w:rFonts w:ascii="Arial" w:hAnsi="Arial" w:cs="Arial"/>
          <w:sz w:val="24"/>
          <w:szCs w:val="24"/>
        </w:rPr>
      </w:pPr>
      <w:r w:rsidRPr="00797004">
        <w:rPr>
          <w:rFonts w:ascii="Arial" w:hAnsi="Arial" w:cs="Arial"/>
          <w:sz w:val="24"/>
          <w:szCs w:val="24"/>
        </w:rPr>
        <w:lastRenderedPageBreak/>
        <w:t xml:space="preserve">The class of themes </w:t>
      </w:r>
      <w:r w:rsidRPr="00797004">
        <w:rPr>
          <w:rFonts w:ascii="Arial" w:hAnsi="Arial" w:cs="Arial"/>
          <w:b/>
          <w:bCs/>
          <w:i/>
          <w:iCs/>
          <w:sz w:val="24"/>
          <w:szCs w:val="24"/>
        </w:rPr>
        <w:t>‘self’</w:t>
      </w:r>
      <w:r w:rsidRPr="00797004">
        <w:rPr>
          <w:rFonts w:ascii="Arial" w:hAnsi="Arial" w:cs="Arial"/>
          <w:sz w:val="24"/>
          <w:szCs w:val="24"/>
        </w:rPr>
        <w:t xml:space="preserve"> </w:t>
      </w:r>
      <w:r w:rsidR="00E472B7">
        <w:rPr>
          <w:rFonts w:ascii="Arial" w:hAnsi="Arial" w:cs="Arial"/>
          <w:sz w:val="24"/>
          <w:szCs w:val="24"/>
        </w:rPr>
        <w:t>is</w:t>
      </w:r>
      <w:r w:rsidRPr="00797004">
        <w:rPr>
          <w:rFonts w:ascii="Arial" w:hAnsi="Arial" w:cs="Arial"/>
          <w:sz w:val="24"/>
          <w:szCs w:val="24"/>
        </w:rPr>
        <w:t xml:space="preserve"> </w:t>
      </w:r>
      <w:r w:rsidR="00E472B7">
        <w:rPr>
          <w:rFonts w:ascii="Arial" w:hAnsi="Arial" w:cs="Arial"/>
          <w:sz w:val="24"/>
          <w:szCs w:val="24"/>
        </w:rPr>
        <w:t>a</w:t>
      </w:r>
      <w:r w:rsidRPr="00797004">
        <w:rPr>
          <w:rFonts w:ascii="Arial" w:hAnsi="Arial" w:cs="Arial"/>
          <w:sz w:val="24"/>
          <w:szCs w:val="24"/>
        </w:rPr>
        <w:t xml:space="preserve"> collection of themes which involve what a student brings to their singing from their mind, personality, behaviours, emotions, thoughts</w:t>
      </w:r>
      <w:r w:rsidR="00CD1962">
        <w:rPr>
          <w:rFonts w:ascii="Arial" w:hAnsi="Arial" w:cs="Arial"/>
          <w:sz w:val="24"/>
          <w:szCs w:val="24"/>
        </w:rPr>
        <w:t>,</w:t>
      </w:r>
      <w:r w:rsidRPr="00797004">
        <w:rPr>
          <w:rFonts w:ascii="Arial" w:hAnsi="Arial" w:cs="Arial"/>
          <w:sz w:val="24"/>
          <w:szCs w:val="24"/>
        </w:rPr>
        <w:t xml:space="preserve"> and beliefs. </w:t>
      </w:r>
      <w:r w:rsidRPr="00797004">
        <w:rPr>
          <w:rFonts w:ascii="Arial" w:hAnsi="Arial" w:cs="Arial"/>
          <w:b/>
          <w:bCs/>
          <w:i/>
          <w:iCs/>
          <w:sz w:val="24"/>
          <w:szCs w:val="24"/>
        </w:rPr>
        <w:t xml:space="preserve">Sense of freedom </w:t>
      </w:r>
      <w:r w:rsidRPr="00797004">
        <w:rPr>
          <w:rFonts w:ascii="Arial" w:hAnsi="Arial" w:cs="Arial"/>
          <w:sz w:val="24"/>
          <w:szCs w:val="24"/>
        </w:rPr>
        <w:t xml:space="preserve">when singing has been discussed by Kerr </w:t>
      </w:r>
      <w:r w:rsidRPr="00797004">
        <w:rPr>
          <w:rFonts w:ascii="Arial" w:hAnsi="Arial" w:cs="Arial"/>
          <w:i/>
          <w:iCs/>
          <w:sz w:val="24"/>
          <w:szCs w:val="24"/>
        </w:rPr>
        <w:t>et al.</w:t>
      </w:r>
      <w:r w:rsidRPr="00797004">
        <w:rPr>
          <w:rFonts w:ascii="Arial" w:hAnsi="Arial" w:cs="Arial"/>
          <w:sz w:val="24"/>
          <w:szCs w:val="24"/>
        </w:rPr>
        <w:t xml:space="preserve">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{"citationItems":[{"id":"ITEM-1","itemData":{"DOI":"10.3389/fnhum.2013.00012","ISSN":"16625161","abstract":"Mindfulness Based Stress Reduction (MBSR) and Mindfulness Based Cognitive Therapy (MBCT) use a common set of exercises to reduce distress in chronic pain and decrease risk of depression relapse. These standardized mindfulness (ST-Mindfulness) practices predominantly require attending to breath and body sensations. Here, we offer a novel view of ST-Mindfulness's somatic focus as a form of training for optimizing attentional modulation of 7-14 Hz alpha rhythms that play a key role in filtering inputs to primary sensory neocortex and organizing the flow of sensory information. In support of the framework, we describe our previous finding (Kerr et al, 2011) that ST-Mindfulness enhanced attentional regulation of alpha in primary somatosensory cortex (SI). The framework allows us to make several predictions. In chronic pain, we predict somatic attention in ST-Mindfulness \"de-biases alpha in SI, freeing up pain-focused attentional resources. In depression relapse, we predict ST-Mindfulness's somatic attention competes with internally focused rumination, as internally focused cognitive processes (e.g., working and short term memory) rely on alpha filtering of sensory input. Our computational model (Jones et al, 2009) predicts ST-Mindfulness enhances top-down modulation of alpha by facilitating precise alterations in timing and efficacy of SI thalamocortical inputs. We conclude by considering how the proposed framework aligns with Buddhist teachings that mindfulness starts with \"mindfulness of the body.\" Translating this theory into neurophysiology, we hypothesize that with its somatic focus, mindfulness' top-down alpha rhythm modulation in SI enhances gain control which, in turn, sensitizes practitioners to better detect and regulate when the mind wanders from its somatic focus. This enhanced regulation of somatic mind-wandering may be an early stage of mindfulness training, leading to cognitive regulation and metacognition. © 2013 Kerr, Sacchet, Lazar, Moore and Jones.","author":[{"dropping-particle":"","family":"Kerr","given":"Catherine E.","non-dropping-particle":"","parse-names":false,"suffix":""},{"dropping-particle":"","family":"Sacchet","given":"Matthew D.","non-dropping-particle":"","parse-names":false,"suffix":""},{"dropping-particle":"","family":"Lazar","given":"Sara W.","non-dropping-particle":"","parse-names":false,"suffix":""},{"dropping-particle":"","family":"Moore","given":"Christopher I.","non-dropping-particle":"","parse-names":false,"suffix":""},{"dropping-particle":"","family":"Jones","given":"Stephanie R.","non-dropping-particle":"","parse-names":false,"suffix":""}],"container-title":"Frontiers in Human Neuroscience","id":"ITEM-1","issue":"JAN","issued":{"date-parts":[["2013"]]},"page":"1-15","title":"Title: Mindfulness starts with the body: Somatosensory attention and top-down modulation of cortical alpha rhythms in mindfulness meditation","type":"article-journal","volume":"7"},"uris":["http://www.mendeley.com/documents/?uuid=53ffdad0-905d-4c04-820e-95fde3d9d4fa"]}],"mendeley":{"formattedCitation":"(Kerr &lt;i&gt;et al.&lt;/i&gt;, 2013)","manualFormatting":"(2013)","plainTextFormattedCitation":"(Kerr et al., 2013)","previouslyFormattedCitation":"(Kerr &lt;i&gt;et al.&lt;/i&gt;, 2013)"},"properties":{"noteIndex":0},"schema":"https://github.com/citation-style-language/schema/raw/master/csl-citation.json"}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(2013)</w:t>
      </w:r>
      <w:r w:rsidRPr="00797004">
        <w:rPr>
          <w:rFonts w:ascii="Arial" w:hAnsi="Arial" w:cs="Arial"/>
          <w:sz w:val="24"/>
          <w:szCs w:val="24"/>
        </w:rPr>
        <w:fldChar w:fldCharType="end"/>
      </w:r>
      <w:r w:rsidRPr="00797004">
        <w:rPr>
          <w:rFonts w:ascii="Arial" w:hAnsi="Arial" w:cs="Arial"/>
          <w:sz w:val="24"/>
          <w:szCs w:val="24"/>
        </w:rPr>
        <w:t xml:space="preserve"> as </w:t>
      </w:r>
      <w:r w:rsidRPr="00797004">
        <w:rPr>
          <w:rFonts w:ascii="Arial" w:hAnsi="Arial" w:cs="Arial"/>
          <w:i/>
          <w:iCs/>
          <w:sz w:val="24"/>
          <w:szCs w:val="24"/>
        </w:rPr>
        <w:t>‘freedom from negative cognitions’</w:t>
      </w:r>
      <w:r w:rsidRPr="00797004">
        <w:rPr>
          <w:rFonts w:ascii="Arial" w:hAnsi="Arial" w:cs="Arial"/>
          <w:sz w:val="24"/>
          <w:szCs w:val="24"/>
        </w:rPr>
        <w:t xml:space="preserve"> and Stephenson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Singing","id":"ITEM-1","issue":"4","issued":{"date-parts":[["2018"]]},"page":"405-414","title":"Critical Thought, Intrinsic Motivation, and the Voice Studio: Perspectives of Master Teachers.","type":"article-journal","volume":"74"},"uris":["http://www.mendeley.com/documents/?uuid=4030f552-7b94-4abf-bab4-c0b97b7babca"]}],"mendeley":{"formattedCitation":"(Stephenson, 2018)","manualFormatting":"(2018)","plainTextFormattedCitation":"(Stephenson, 2018)","previouslyFormattedCitation":"(Stephenson, 2018)"},"properties":{"noteIndex":0},"schema":"https://github.com/citation-style-language/schema/raw/master/csl-citation.json"}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(2018)</w:t>
      </w:r>
      <w:r w:rsidRPr="00797004">
        <w:rPr>
          <w:rFonts w:ascii="Arial" w:hAnsi="Arial" w:cs="Arial"/>
          <w:sz w:val="24"/>
          <w:szCs w:val="24"/>
        </w:rPr>
        <w:fldChar w:fldCharType="end"/>
      </w:r>
      <w:r w:rsidRPr="00797004">
        <w:rPr>
          <w:rFonts w:ascii="Arial" w:hAnsi="Arial" w:cs="Arial"/>
          <w:sz w:val="24"/>
          <w:szCs w:val="24"/>
        </w:rPr>
        <w:t xml:space="preserve"> discussed singing autonomy as freedom to make artistic choices. Hogle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2021)","manualFormatting":"(2021)","plainTextFormattedCitation":"(Hogle, 2021)","previouslyFormattedCitation":"(Hogle, 2021)"},"properties":{"noteIndex":0},"schema":"https://github.com/citation-style-language/schema/raw/master/csl-citation.json"}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(2021)</w:t>
      </w:r>
      <w:r w:rsidRPr="00797004">
        <w:rPr>
          <w:rFonts w:ascii="Arial" w:hAnsi="Arial" w:cs="Arial"/>
          <w:sz w:val="24"/>
          <w:szCs w:val="24"/>
        </w:rPr>
        <w:fldChar w:fldCharType="end"/>
      </w:r>
      <w:r w:rsidRPr="00797004">
        <w:rPr>
          <w:rFonts w:ascii="Arial" w:hAnsi="Arial" w:cs="Arial"/>
          <w:sz w:val="24"/>
          <w:szCs w:val="24"/>
        </w:rPr>
        <w:t xml:space="preserve"> included a singer</w:t>
      </w:r>
      <w:r w:rsidR="00990161">
        <w:rPr>
          <w:rFonts w:ascii="Arial" w:hAnsi="Arial" w:cs="Arial"/>
          <w:sz w:val="24"/>
          <w:szCs w:val="24"/>
        </w:rPr>
        <w:t>’</w:t>
      </w:r>
      <w:r w:rsidRPr="00797004">
        <w:rPr>
          <w:rFonts w:ascii="Arial" w:hAnsi="Arial" w:cs="Arial"/>
          <w:sz w:val="24"/>
          <w:szCs w:val="24"/>
        </w:rPr>
        <w:t xml:space="preserve">s account of a passive-aggressive comment from a peer in a choir as having an effect on that person’s sense of freedom when singing. Blackhurst’s doctoral thesis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{"citationItems":[{"id":"ITEM-1","itemData":{"abstract":"This dissertation is a study wrapped in a metaphor of voices, figurative and literal. It is a story of four singers over the course of 12 weeks and weaves through individuals in a group singing class. As a study, it used integral inquiry and emphasized action and narrative research. It explored one overarching research question, which naturally led to several sub-questions: In what ways might Mindfulness Awareness Practices (MAPS) and contemplative teaching and learning practices affect singers’ experiences of their own vocal and personal growth? (Sub- questions: What practices are reported as being successful?; How do participants experience growth?; How might singers and teachers shift to a mindset of process and progress throughout practicing and performing?; How do we create a space of mutuality and trust to foster self- reflection?; How do we balance instruction, offering feedback when needed and wanted while fostering self-trust and independence? While","author":[{"dropping-particle":"","family":"Blackhurst","given":"Lindsey Elizabeth","non-dropping-particle":"","parse-names":false,"suffix":""}],"container-title":"University of Colombia Doctor of Education submission","id":"ITEM-1","issued":{"date-parts":[["2021"]]},"title":"Exploring the Whole Singing Self with Technique, Contemplative Education, and Mindfulness","type":"thesis"},"uris":["http://www.mendeley.com/documents/?uuid=79851e18-e8d1-4fb1-960f-0d0a2b1452b7"]}],"mendeley":{"formattedCitation":"(Blackhurst, 2021)","manualFormatting":"(2021)","plainTextFormattedCitation":"(Blackhurst, 2021)","previouslyFormattedCitation":"(Blackhurst, 2021)"},"properties":{"noteIndex":0},"schema":"https://github.com/citation-style-language/schema/raw/master/csl-citation.json"}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(2021)</w:t>
      </w:r>
      <w:r w:rsidRPr="00797004">
        <w:rPr>
          <w:rFonts w:ascii="Arial" w:hAnsi="Arial" w:cs="Arial"/>
          <w:sz w:val="24"/>
          <w:szCs w:val="24"/>
        </w:rPr>
        <w:fldChar w:fldCharType="end"/>
      </w:r>
      <w:r w:rsidRPr="00797004">
        <w:rPr>
          <w:rFonts w:ascii="Arial" w:hAnsi="Arial" w:cs="Arial"/>
          <w:sz w:val="24"/>
          <w:szCs w:val="24"/>
        </w:rPr>
        <w:t xml:space="preserve"> frequently discusses </w:t>
      </w:r>
      <w:r w:rsidR="005C6CB7">
        <w:rPr>
          <w:rFonts w:ascii="Arial" w:hAnsi="Arial" w:cs="Arial"/>
          <w:sz w:val="24"/>
          <w:szCs w:val="24"/>
        </w:rPr>
        <w:t>the</w:t>
      </w:r>
      <w:r w:rsidRPr="00797004">
        <w:rPr>
          <w:rFonts w:ascii="Arial" w:hAnsi="Arial" w:cs="Arial"/>
          <w:sz w:val="24"/>
          <w:szCs w:val="24"/>
        </w:rPr>
        <w:t xml:space="preserve"> sense of freedom </w:t>
      </w:r>
      <w:r w:rsidR="005C6CB7">
        <w:rPr>
          <w:rFonts w:ascii="Arial" w:hAnsi="Arial" w:cs="Arial"/>
          <w:sz w:val="24"/>
          <w:szCs w:val="24"/>
        </w:rPr>
        <w:t>while singing</w:t>
      </w:r>
      <w:r w:rsidR="00960D8D">
        <w:rPr>
          <w:rFonts w:ascii="Arial" w:hAnsi="Arial" w:cs="Arial"/>
          <w:sz w:val="24"/>
          <w:szCs w:val="24"/>
        </w:rPr>
        <w:t xml:space="preserve">. </w:t>
      </w:r>
      <w:r w:rsidR="005C6CB7">
        <w:rPr>
          <w:rFonts w:ascii="Arial" w:hAnsi="Arial" w:cs="Arial"/>
          <w:sz w:val="24"/>
          <w:szCs w:val="24"/>
        </w:rPr>
        <w:t xml:space="preserve"> </w:t>
      </w:r>
      <w:r w:rsidR="00960D8D">
        <w:rPr>
          <w:rFonts w:ascii="Arial" w:hAnsi="Arial" w:cs="Arial"/>
          <w:sz w:val="24"/>
          <w:szCs w:val="24"/>
        </w:rPr>
        <w:t>T</w:t>
      </w:r>
      <w:r w:rsidRPr="00797004">
        <w:rPr>
          <w:rFonts w:ascii="Arial" w:hAnsi="Arial" w:cs="Arial"/>
          <w:sz w:val="24"/>
          <w:szCs w:val="24"/>
        </w:rPr>
        <w:t xml:space="preserve">he singers of the study, and </w:t>
      </w:r>
      <w:r w:rsidR="00960D8D">
        <w:rPr>
          <w:rFonts w:ascii="Arial" w:hAnsi="Arial" w:cs="Arial"/>
          <w:sz w:val="24"/>
          <w:szCs w:val="24"/>
        </w:rPr>
        <w:t>Blackhurst</w:t>
      </w:r>
      <w:r w:rsidRPr="00797004">
        <w:rPr>
          <w:rFonts w:ascii="Arial" w:hAnsi="Arial" w:cs="Arial"/>
          <w:sz w:val="24"/>
          <w:szCs w:val="24"/>
        </w:rPr>
        <w:t xml:space="preserve">, </w:t>
      </w:r>
      <w:r w:rsidR="00734D9E">
        <w:rPr>
          <w:rFonts w:ascii="Arial" w:hAnsi="Arial" w:cs="Arial"/>
          <w:sz w:val="24"/>
          <w:szCs w:val="24"/>
        </w:rPr>
        <w:t>discussed</w:t>
      </w:r>
      <w:r w:rsidRPr="00797004">
        <w:rPr>
          <w:rFonts w:ascii="Arial" w:hAnsi="Arial" w:cs="Arial"/>
          <w:sz w:val="24"/>
          <w:szCs w:val="24"/>
        </w:rPr>
        <w:t xml:space="preserve"> </w:t>
      </w:r>
      <w:r w:rsidR="00B3098A">
        <w:rPr>
          <w:rFonts w:ascii="Arial" w:hAnsi="Arial" w:cs="Arial"/>
          <w:sz w:val="24"/>
          <w:szCs w:val="24"/>
        </w:rPr>
        <w:t>time</w:t>
      </w:r>
      <w:r w:rsidR="00206F45">
        <w:rPr>
          <w:rFonts w:ascii="Arial" w:hAnsi="Arial" w:cs="Arial"/>
          <w:sz w:val="24"/>
          <w:szCs w:val="24"/>
        </w:rPr>
        <w:t>s</w:t>
      </w:r>
      <w:r w:rsidR="00B3098A">
        <w:rPr>
          <w:rFonts w:ascii="Arial" w:hAnsi="Arial" w:cs="Arial"/>
          <w:sz w:val="24"/>
          <w:szCs w:val="24"/>
        </w:rPr>
        <w:t xml:space="preserve"> </w:t>
      </w:r>
      <w:r w:rsidR="00206F45">
        <w:rPr>
          <w:rFonts w:ascii="Arial" w:hAnsi="Arial" w:cs="Arial"/>
          <w:sz w:val="24"/>
          <w:szCs w:val="24"/>
        </w:rPr>
        <w:t>they f</w:t>
      </w:r>
      <w:r w:rsidR="00B35CFA">
        <w:rPr>
          <w:rFonts w:ascii="Arial" w:hAnsi="Arial" w:cs="Arial"/>
          <w:sz w:val="24"/>
          <w:szCs w:val="24"/>
        </w:rPr>
        <w:t>el</w:t>
      </w:r>
      <w:r w:rsidR="00206F45">
        <w:rPr>
          <w:rFonts w:ascii="Arial" w:hAnsi="Arial" w:cs="Arial"/>
          <w:sz w:val="24"/>
          <w:szCs w:val="24"/>
        </w:rPr>
        <w:t xml:space="preserve">t they needed to </w:t>
      </w:r>
      <w:r w:rsidRPr="00797004">
        <w:rPr>
          <w:rFonts w:ascii="Arial" w:hAnsi="Arial" w:cs="Arial"/>
          <w:sz w:val="24"/>
          <w:szCs w:val="24"/>
        </w:rPr>
        <w:t xml:space="preserve">search for </w:t>
      </w:r>
      <w:r w:rsidR="00734D9E">
        <w:rPr>
          <w:rFonts w:ascii="Arial" w:hAnsi="Arial" w:cs="Arial"/>
          <w:sz w:val="24"/>
          <w:szCs w:val="24"/>
        </w:rPr>
        <w:t>‘freedom’</w:t>
      </w:r>
      <w:r w:rsidR="009F2BA4">
        <w:rPr>
          <w:rFonts w:ascii="Arial" w:hAnsi="Arial" w:cs="Arial"/>
          <w:sz w:val="24"/>
          <w:szCs w:val="24"/>
        </w:rPr>
        <w:t xml:space="preserve">. Any mentions </w:t>
      </w:r>
      <w:r w:rsidR="00DB242A">
        <w:rPr>
          <w:rFonts w:ascii="Arial" w:hAnsi="Arial" w:cs="Arial"/>
          <w:sz w:val="24"/>
          <w:szCs w:val="24"/>
        </w:rPr>
        <w:t>o</w:t>
      </w:r>
      <w:r w:rsidR="009F2BA4">
        <w:rPr>
          <w:rFonts w:ascii="Arial" w:hAnsi="Arial" w:cs="Arial"/>
          <w:sz w:val="24"/>
          <w:szCs w:val="24"/>
        </w:rPr>
        <w:t>f</w:t>
      </w:r>
      <w:r w:rsidRPr="00797004">
        <w:rPr>
          <w:rFonts w:ascii="Arial" w:hAnsi="Arial" w:cs="Arial"/>
          <w:sz w:val="24"/>
          <w:szCs w:val="24"/>
        </w:rPr>
        <w:t xml:space="preserve"> achieving </w:t>
      </w:r>
      <w:r w:rsidR="009F2BA4">
        <w:rPr>
          <w:rFonts w:ascii="Arial" w:hAnsi="Arial" w:cs="Arial"/>
          <w:sz w:val="24"/>
          <w:szCs w:val="24"/>
        </w:rPr>
        <w:t xml:space="preserve">freedom in singing </w:t>
      </w:r>
      <w:r w:rsidR="007567C5">
        <w:rPr>
          <w:rFonts w:ascii="Arial" w:hAnsi="Arial" w:cs="Arial"/>
          <w:sz w:val="24"/>
          <w:szCs w:val="24"/>
        </w:rPr>
        <w:t>were discussed</w:t>
      </w:r>
      <w:r w:rsidR="00734D9E">
        <w:rPr>
          <w:rFonts w:ascii="Arial" w:hAnsi="Arial" w:cs="Arial"/>
          <w:sz w:val="24"/>
          <w:szCs w:val="24"/>
        </w:rPr>
        <w:t xml:space="preserve"> </w:t>
      </w:r>
      <w:r w:rsidRPr="00797004">
        <w:rPr>
          <w:rFonts w:ascii="Arial" w:hAnsi="Arial" w:cs="Arial"/>
          <w:sz w:val="24"/>
          <w:szCs w:val="24"/>
        </w:rPr>
        <w:t xml:space="preserve">as </w:t>
      </w:r>
      <w:r w:rsidR="00B3098A">
        <w:rPr>
          <w:rFonts w:ascii="Arial" w:hAnsi="Arial" w:cs="Arial"/>
          <w:sz w:val="24"/>
          <w:szCs w:val="24"/>
        </w:rPr>
        <w:t xml:space="preserve">a </w:t>
      </w:r>
      <w:r w:rsidRPr="00797004">
        <w:rPr>
          <w:rFonts w:ascii="Arial" w:hAnsi="Arial" w:cs="Arial"/>
          <w:sz w:val="24"/>
          <w:szCs w:val="24"/>
        </w:rPr>
        <w:t>positive singing development</w:t>
      </w:r>
      <w:r w:rsidR="00B3098A">
        <w:rPr>
          <w:rFonts w:ascii="Arial" w:hAnsi="Arial" w:cs="Arial"/>
          <w:sz w:val="24"/>
          <w:szCs w:val="24"/>
        </w:rPr>
        <w:t xml:space="preserve"> </w:t>
      </w:r>
      <w:r w:rsidR="007567C5">
        <w:rPr>
          <w:rFonts w:ascii="Arial" w:hAnsi="Arial" w:cs="Arial"/>
          <w:sz w:val="24"/>
          <w:szCs w:val="24"/>
        </w:rPr>
        <w:t>towards achieving</w:t>
      </w:r>
      <w:r w:rsidR="00B3098A">
        <w:rPr>
          <w:rFonts w:ascii="Arial" w:hAnsi="Arial" w:cs="Arial"/>
          <w:sz w:val="24"/>
          <w:szCs w:val="24"/>
        </w:rPr>
        <w:t xml:space="preserve"> </w:t>
      </w:r>
      <w:r w:rsidRPr="00797004">
        <w:rPr>
          <w:rFonts w:ascii="Arial" w:hAnsi="Arial" w:cs="Arial"/>
          <w:sz w:val="24"/>
          <w:szCs w:val="24"/>
        </w:rPr>
        <w:t>‘the whole singing self’. Blackhurst discusses one singer</w:t>
      </w:r>
      <w:r w:rsidR="00681062">
        <w:rPr>
          <w:rFonts w:ascii="Arial" w:hAnsi="Arial" w:cs="Arial"/>
          <w:sz w:val="24"/>
          <w:szCs w:val="24"/>
        </w:rPr>
        <w:t>’</w:t>
      </w:r>
      <w:r w:rsidRPr="00797004">
        <w:rPr>
          <w:rFonts w:ascii="Arial" w:hAnsi="Arial" w:cs="Arial"/>
          <w:sz w:val="24"/>
          <w:szCs w:val="24"/>
        </w:rPr>
        <w:t xml:space="preserve">s longing to feel </w:t>
      </w:r>
      <w:r w:rsidRPr="00797004">
        <w:rPr>
          <w:rFonts w:ascii="Arial" w:hAnsi="Arial" w:cs="Arial"/>
          <w:i/>
          <w:iCs/>
          <w:sz w:val="24"/>
          <w:szCs w:val="24"/>
        </w:rPr>
        <w:t xml:space="preserve">‘freedom of expression without always having to be perfect.’ </w:t>
      </w:r>
      <w:r w:rsidRPr="00797004">
        <w:rPr>
          <w:rFonts w:ascii="Arial" w:hAnsi="Arial" w:cs="Arial"/>
          <w:i/>
          <w:iCs/>
          <w:sz w:val="24"/>
          <w:szCs w:val="24"/>
        </w:rPr>
        <w:fldChar w:fldCharType="begin" w:fldLock="1"/>
      </w:r>
      <w:r w:rsidRPr="00797004">
        <w:rPr>
          <w:rFonts w:ascii="Arial" w:hAnsi="Arial" w:cs="Arial"/>
          <w:i/>
          <w:iCs/>
          <w:sz w:val="24"/>
          <w:szCs w:val="24"/>
        </w:rPr>
        <w:instrText>ADDIN CSL_CITATION {"citationItems":[{"id":"ITEM-1","itemData":{"abstract":"This dissertation is a study wrapped in a metaphor of voices, figurative and literal. It is a story of four singers over the course of 12 weeks and weaves through individuals in a group singing class. As a study, it used integral inquiry and emphasized action and narrative research. It explored one overarching research question, which naturally led to several sub-questions: In what ways might Mindfulness Awareness Practices (MAPS) and contemplative teaching and learning practices affect singers’ experiences of their own vocal and personal growth? (Sub- questions: What practices are reported as being successful?; How do participants experience growth?; How might singers and teachers shift to a mindset of process and progress throughout practicing and performing?; How do we create a space of mutuality and trust to foster self- reflection?; How do we balance instruction, offering feedback when needed and wanted while fostering self-trust and independence? While","author":[{"dropping-particle":"","family":"Blackhurst","given":"Lindsey Elizabeth","non-dropping-particle":"","parse-names":false,"suffix":""}],"container-title":"University of Colombia Doctor of Education submission","id":"ITEM-1","issued":{"date-parts":[["2021"]]},"title":"Exploring the Whole Singing Self with Technique, Contemplative Education, and Mindfulness","type":"thesis"},"uris":["http://www.mendeley.com/documents/?uuid=79851e18-e8d1-4fb1-960f-0d0a2b1452b7"]}],"mendeley":{"formattedCitation":"(Blackhurst, 2021)","manualFormatting":"(Blackhurst, 2021, p115)","plainTextFormattedCitation":"(Blackhurst, 2021)","previouslyFormattedCitation":"(Blackhurst, 2021)"},"properties":{"noteIndex":0},"schema":"https://github.com/citation-style-language/schema/raw/master/csl-citation.json"}</w:instrText>
      </w:r>
      <w:r w:rsidRPr="00797004">
        <w:rPr>
          <w:rFonts w:ascii="Arial" w:hAnsi="Arial" w:cs="Arial"/>
          <w:i/>
          <w:iCs/>
          <w:sz w:val="24"/>
          <w:szCs w:val="24"/>
        </w:rPr>
        <w:fldChar w:fldCharType="separate"/>
      </w:r>
      <w:r w:rsidRPr="00797004">
        <w:rPr>
          <w:rFonts w:ascii="Arial" w:hAnsi="Arial" w:cs="Arial"/>
          <w:iCs/>
          <w:noProof/>
          <w:sz w:val="24"/>
          <w:szCs w:val="24"/>
        </w:rPr>
        <w:t>(Blackhurst, 2021, p115)</w:t>
      </w:r>
      <w:r w:rsidRPr="00797004">
        <w:rPr>
          <w:rFonts w:ascii="Arial" w:hAnsi="Arial" w:cs="Arial"/>
          <w:i/>
          <w:iCs/>
          <w:sz w:val="24"/>
          <w:szCs w:val="24"/>
        </w:rPr>
        <w:fldChar w:fldCharType="end"/>
      </w:r>
      <w:r w:rsidRPr="00797004">
        <w:rPr>
          <w:rFonts w:ascii="Arial" w:hAnsi="Arial" w:cs="Arial"/>
          <w:i/>
          <w:iCs/>
          <w:sz w:val="24"/>
          <w:szCs w:val="24"/>
        </w:rPr>
        <w:t xml:space="preserve">. </w:t>
      </w:r>
      <w:r w:rsidRPr="00797004">
        <w:rPr>
          <w:rFonts w:ascii="Arial" w:hAnsi="Arial" w:cs="Arial"/>
          <w:sz w:val="24"/>
          <w:szCs w:val="24"/>
        </w:rPr>
        <w:t>Another student from this study was ‘</w:t>
      </w:r>
      <w:r w:rsidRPr="00797004">
        <w:rPr>
          <w:rFonts w:ascii="Arial" w:hAnsi="Arial" w:cs="Arial"/>
          <w:i/>
          <w:iCs/>
          <w:sz w:val="24"/>
          <w:szCs w:val="24"/>
        </w:rPr>
        <w:t xml:space="preserve">searching for freedom from internal barriers and open heartedness’ </w:t>
      </w:r>
      <w:r w:rsidRPr="00797004">
        <w:rPr>
          <w:rFonts w:ascii="Arial" w:hAnsi="Arial" w:cs="Arial"/>
          <w:i/>
          <w:iCs/>
          <w:sz w:val="24"/>
          <w:szCs w:val="24"/>
        </w:rPr>
        <w:fldChar w:fldCharType="begin" w:fldLock="1"/>
      </w:r>
      <w:r w:rsidRPr="00797004">
        <w:rPr>
          <w:rFonts w:ascii="Arial" w:hAnsi="Arial" w:cs="Arial"/>
          <w:i/>
          <w:iCs/>
          <w:sz w:val="24"/>
          <w:szCs w:val="24"/>
        </w:rPr>
        <w:instrText>ADDIN CSL_CITATION {"citationItems":[{"id":"ITEM-1","itemData":{"abstract":"This dissertation is a study wrapped in a metaphor of voices, figurative and literal. It is a story of four singers over the course of 12 weeks and weaves through individuals in a group singing class. As a study, it used integral inquiry and emphasized action and narrative research. It explored one overarching research question, which naturally led to several sub-questions: In what ways might Mindfulness Awareness Practices (MAPS) and contemplative teaching and learning practices affect singers’ experiences of their own vocal and personal growth? (Sub- questions: What practices are reported as being successful?; How do participants experience growth?; How might singers and teachers shift to a mindset of process and progress throughout practicing and performing?; How do we create a space of mutuality and trust to foster self- reflection?; How do we balance instruction, offering feedback when needed and wanted while fostering self-trust and independence? While","author":[{"dropping-particle":"","family":"Blackhurst","given":"Lindsey Elizabeth","non-dropping-particle":"","parse-names":false,"suffix":""}],"container-title":"University of Colombia Doctor of Education submission","id":"ITEM-1","issued":{"date-parts":[["2021"]]},"title":"Exploring the Whole Singing Self with Technique, Contemplative Education, and Mindfulness","type":"thesis"},"uris":["http://www.mendeley.com/documents/?uuid=79851e18-e8d1-4fb1-960f-0d0a2b1452b7"]}],"mendeley":{"formattedCitation":"(Blackhurst, 2021)","manualFormatting":"(Blackhurst, 2021, p143)","plainTextFormattedCitation":"(Blackhurst, 2021)","previouslyFormattedCitation":"(Blackhurst, 2021)"},"properties":{"noteIndex":0},"schema":"https://github.com/citation-style-language/schema/raw/master/csl-citation.json"}</w:instrText>
      </w:r>
      <w:r w:rsidRPr="00797004">
        <w:rPr>
          <w:rFonts w:ascii="Arial" w:hAnsi="Arial" w:cs="Arial"/>
          <w:i/>
          <w:iCs/>
          <w:sz w:val="24"/>
          <w:szCs w:val="24"/>
        </w:rPr>
        <w:fldChar w:fldCharType="separate"/>
      </w:r>
      <w:r w:rsidRPr="00797004">
        <w:rPr>
          <w:rFonts w:ascii="Arial" w:hAnsi="Arial" w:cs="Arial"/>
          <w:iCs/>
          <w:noProof/>
          <w:sz w:val="24"/>
          <w:szCs w:val="24"/>
        </w:rPr>
        <w:t>(Blackhurst, 2021, p143)</w:t>
      </w:r>
      <w:r w:rsidRPr="00797004">
        <w:rPr>
          <w:rFonts w:ascii="Arial" w:hAnsi="Arial" w:cs="Arial"/>
          <w:i/>
          <w:iCs/>
          <w:sz w:val="24"/>
          <w:szCs w:val="24"/>
        </w:rPr>
        <w:fldChar w:fldCharType="end"/>
      </w:r>
      <w:r w:rsidRPr="00797004">
        <w:rPr>
          <w:rFonts w:ascii="Arial" w:hAnsi="Arial" w:cs="Arial"/>
          <w:i/>
          <w:iCs/>
          <w:sz w:val="24"/>
          <w:szCs w:val="24"/>
        </w:rPr>
        <w:t xml:space="preserve">. </w:t>
      </w:r>
      <w:r w:rsidRPr="00797004">
        <w:rPr>
          <w:rFonts w:ascii="Arial" w:hAnsi="Arial" w:cs="Arial"/>
          <w:sz w:val="24"/>
          <w:szCs w:val="24"/>
        </w:rPr>
        <w:t xml:space="preserve">When discussing sense of freedom in singing, performance and expression Lewis and Hendricks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2022)","manualFormatting":"(2022)","plainTextFormattedCitation":"(Lewis and Hendricks, 2022)","previouslyFormattedCitation":"(Lewis and Hendricks, 2022)"},"properties":{"noteIndex":0},"schema":"https://github.com/citation-style-language/schema/raw/master/csl-citation.json"}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(2022)</w:t>
      </w:r>
      <w:r w:rsidRPr="00797004">
        <w:rPr>
          <w:rFonts w:ascii="Arial" w:hAnsi="Arial" w:cs="Arial"/>
          <w:sz w:val="24"/>
          <w:szCs w:val="24"/>
        </w:rPr>
        <w:fldChar w:fldCharType="end"/>
      </w:r>
      <w:r w:rsidRPr="00797004">
        <w:rPr>
          <w:rFonts w:ascii="Arial" w:hAnsi="Arial" w:cs="Arial"/>
          <w:sz w:val="24"/>
          <w:szCs w:val="24"/>
        </w:rPr>
        <w:t xml:space="preserve"> noted that singers with lower belief in their ability to perform felt </w:t>
      </w:r>
      <w:r w:rsidRPr="00797004">
        <w:rPr>
          <w:rFonts w:ascii="Arial" w:hAnsi="Arial" w:cs="Arial"/>
          <w:i/>
          <w:iCs/>
          <w:sz w:val="24"/>
          <w:szCs w:val="24"/>
        </w:rPr>
        <w:t xml:space="preserve">‘expression, physiological freedom, and technical delivery’ </w:t>
      </w:r>
      <w:r w:rsidRPr="00797004">
        <w:rPr>
          <w:rFonts w:ascii="Arial" w:hAnsi="Arial" w:cs="Arial"/>
          <w:sz w:val="24"/>
          <w:szCs w:val="24"/>
        </w:rPr>
        <w:t xml:space="preserve">were hindered by nervousness. Contrastingly, Lewis and Hendriks pointed out that singers with a higher sense of self-efficacy felt nervousness was a heightened awareness which aided superior performance. This study points to the singer’s beliefs being associated with vastly different outcomes and perceptions. </w:t>
      </w:r>
    </w:p>
    <w:p w14:paraId="141CC8B3" w14:textId="1BADEE59" w:rsidR="001F0104" w:rsidRDefault="00356298" w:rsidP="00B66156">
      <w:pPr>
        <w:spacing w:line="360" w:lineRule="auto"/>
        <w:jc w:val="both"/>
        <w:rPr>
          <w:rFonts w:ascii="Arial" w:hAnsi="Arial" w:cs="Arial"/>
          <w:sz w:val="24"/>
          <w:szCs w:val="24"/>
        </w:rPr>
      </w:pPr>
      <w:r w:rsidRPr="00797004">
        <w:rPr>
          <w:rFonts w:ascii="Arial" w:hAnsi="Arial" w:cs="Arial"/>
          <w:b/>
          <w:bCs/>
          <w:i/>
          <w:iCs/>
          <w:sz w:val="24"/>
          <w:szCs w:val="24"/>
        </w:rPr>
        <w:t xml:space="preserve">Negative thoughts, beliefs and self-beliefs </w:t>
      </w:r>
      <w:r w:rsidRPr="00797004">
        <w:rPr>
          <w:rFonts w:ascii="Arial" w:hAnsi="Arial" w:cs="Arial"/>
          <w:sz w:val="24"/>
          <w:szCs w:val="24"/>
        </w:rPr>
        <w:t xml:space="preserve">are a sub-group of themes within the class of ‘self’. The </w:t>
      </w:r>
      <w:r w:rsidR="00A25CCD">
        <w:rPr>
          <w:rFonts w:ascii="Arial" w:hAnsi="Arial" w:cs="Arial"/>
          <w:sz w:val="24"/>
          <w:szCs w:val="24"/>
        </w:rPr>
        <w:t xml:space="preserve">one singer </w:t>
      </w:r>
      <w:r w:rsidR="00176099">
        <w:rPr>
          <w:rFonts w:ascii="Arial" w:hAnsi="Arial" w:cs="Arial"/>
          <w:sz w:val="24"/>
          <w:szCs w:val="24"/>
        </w:rPr>
        <w:t>described</w:t>
      </w:r>
      <w:r w:rsidRPr="00797004">
        <w:rPr>
          <w:rFonts w:ascii="Arial" w:hAnsi="Arial" w:cs="Arial"/>
          <w:sz w:val="24"/>
          <w:szCs w:val="24"/>
        </w:rPr>
        <w:t xml:space="preserve"> negative thoughts </w:t>
      </w:r>
      <w:r w:rsidR="00176099">
        <w:rPr>
          <w:rFonts w:ascii="Arial" w:hAnsi="Arial" w:cs="Arial"/>
          <w:sz w:val="24"/>
          <w:szCs w:val="24"/>
        </w:rPr>
        <w:t>as the</w:t>
      </w:r>
      <w:r w:rsidRPr="00797004">
        <w:rPr>
          <w:rFonts w:ascii="Arial" w:hAnsi="Arial" w:cs="Arial"/>
          <w:sz w:val="24"/>
          <w:szCs w:val="24"/>
        </w:rPr>
        <w:t xml:space="preserve"> </w:t>
      </w:r>
      <w:r w:rsidRPr="00797004">
        <w:rPr>
          <w:rFonts w:ascii="Arial" w:hAnsi="Arial" w:cs="Arial"/>
          <w:i/>
          <w:iCs/>
          <w:sz w:val="24"/>
          <w:szCs w:val="24"/>
        </w:rPr>
        <w:t xml:space="preserve">‘greatest deterrent to free vocal performance’ </w:t>
      </w:r>
      <w:r w:rsidRPr="00797004">
        <w:rPr>
          <w:rFonts w:ascii="Arial" w:hAnsi="Arial" w:cs="Arial"/>
          <w:i/>
          <w:iCs/>
          <w:sz w:val="24"/>
          <w:szCs w:val="24"/>
        </w:rPr>
        <w:fldChar w:fldCharType="begin" w:fldLock="1"/>
      </w:r>
      <w:r w:rsidRPr="00797004">
        <w:rPr>
          <w:rFonts w:ascii="Arial" w:hAnsi="Arial" w:cs="Arial"/>
          <w:i/>
          <w:iCs/>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2022)","manualFormatting":"(Lewis and Hendricks, 2022, p11)","plainTextFormattedCitation":"(Lewis and Hendricks, 2022)","previouslyFormattedCitation":"(Lewis and Hendricks, 2022)"},"properties":{"noteIndex":0},"schema":"https://github.com/citation-style-language/schema/raw/master/csl-citation.json"}</w:instrText>
      </w:r>
      <w:r w:rsidRPr="00797004">
        <w:rPr>
          <w:rFonts w:ascii="Arial" w:hAnsi="Arial" w:cs="Arial"/>
          <w:i/>
          <w:iCs/>
          <w:sz w:val="24"/>
          <w:szCs w:val="24"/>
        </w:rPr>
        <w:fldChar w:fldCharType="separate"/>
      </w:r>
      <w:r w:rsidRPr="00797004">
        <w:rPr>
          <w:rFonts w:ascii="Arial" w:hAnsi="Arial" w:cs="Arial"/>
          <w:iCs/>
          <w:noProof/>
          <w:sz w:val="24"/>
          <w:szCs w:val="24"/>
        </w:rPr>
        <w:t>(Lewis and Hendricks, 2022, p11)</w:t>
      </w:r>
      <w:r w:rsidRPr="00797004">
        <w:rPr>
          <w:rFonts w:ascii="Arial" w:hAnsi="Arial" w:cs="Arial"/>
          <w:i/>
          <w:iCs/>
          <w:sz w:val="24"/>
          <w:szCs w:val="24"/>
        </w:rPr>
        <w:fldChar w:fldCharType="end"/>
      </w:r>
      <w:r w:rsidRPr="00797004">
        <w:rPr>
          <w:rFonts w:ascii="Arial" w:hAnsi="Arial" w:cs="Arial"/>
          <w:i/>
          <w:iCs/>
          <w:sz w:val="24"/>
          <w:szCs w:val="24"/>
        </w:rPr>
        <w:t xml:space="preserve">. </w:t>
      </w:r>
      <w:r w:rsidRPr="00797004">
        <w:rPr>
          <w:rFonts w:ascii="Arial" w:hAnsi="Arial" w:cs="Arial"/>
          <w:sz w:val="24"/>
          <w:szCs w:val="24"/>
        </w:rPr>
        <w:t>Another singer in the study recounted a misunderstanding in a singing lesson which caused ‘</w:t>
      </w:r>
      <w:r w:rsidRPr="00797004">
        <w:rPr>
          <w:rFonts w:ascii="Arial" w:hAnsi="Arial" w:cs="Arial"/>
          <w:i/>
          <w:iCs/>
          <w:sz w:val="24"/>
          <w:szCs w:val="24"/>
        </w:rPr>
        <w:t xml:space="preserve">“dark cloud of negative thoughts”’ </w:t>
      </w:r>
      <w:r w:rsidRPr="00797004">
        <w:rPr>
          <w:rFonts w:ascii="Arial" w:hAnsi="Arial" w:cs="Arial"/>
          <w:i/>
          <w:iCs/>
          <w:sz w:val="24"/>
          <w:szCs w:val="24"/>
        </w:rPr>
        <w:fldChar w:fldCharType="begin" w:fldLock="1"/>
      </w:r>
      <w:r w:rsidRPr="00797004">
        <w:rPr>
          <w:rFonts w:ascii="Arial" w:hAnsi="Arial" w:cs="Arial"/>
          <w:i/>
          <w:iCs/>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2022)","manualFormatting":"(Lewis and Hendricks, 2022, p12)","plainTextFormattedCitation":"(Lewis and Hendricks, 2022)","previouslyFormattedCitation":"(Lewis and Hendricks, 2022)"},"properties":{"noteIndex":0},"schema":"https://github.com/citation-style-language/schema/raw/master/csl-citation.json"}</w:instrText>
      </w:r>
      <w:r w:rsidRPr="00797004">
        <w:rPr>
          <w:rFonts w:ascii="Arial" w:hAnsi="Arial" w:cs="Arial"/>
          <w:i/>
          <w:iCs/>
          <w:sz w:val="24"/>
          <w:szCs w:val="24"/>
        </w:rPr>
        <w:fldChar w:fldCharType="separate"/>
      </w:r>
      <w:r w:rsidRPr="00797004">
        <w:rPr>
          <w:rFonts w:ascii="Arial" w:hAnsi="Arial" w:cs="Arial"/>
          <w:iCs/>
          <w:noProof/>
          <w:sz w:val="24"/>
          <w:szCs w:val="24"/>
        </w:rPr>
        <w:t>(Lewis and Hendricks, 2022, p12)</w:t>
      </w:r>
      <w:r w:rsidRPr="00797004">
        <w:rPr>
          <w:rFonts w:ascii="Arial" w:hAnsi="Arial" w:cs="Arial"/>
          <w:i/>
          <w:iCs/>
          <w:sz w:val="24"/>
          <w:szCs w:val="24"/>
        </w:rPr>
        <w:fldChar w:fldCharType="end"/>
      </w:r>
      <w:r w:rsidRPr="00797004">
        <w:rPr>
          <w:rFonts w:ascii="Arial" w:hAnsi="Arial" w:cs="Arial"/>
          <w:i/>
          <w:iCs/>
          <w:sz w:val="24"/>
          <w:szCs w:val="24"/>
        </w:rPr>
        <w:t>.</w:t>
      </w:r>
      <w:r w:rsidRPr="00797004">
        <w:rPr>
          <w:rFonts w:ascii="Arial" w:hAnsi="Arial" w:cs="Arial"/>
          <w:sz w:val="24"/>
          <w:szCs w:val="24"/>
        </w:rPr>
        <w:t xml:space="preserve"> Sigmund Freud’s introjection theory is the process of internalising another’s perspective</w:t>
      </w:r>
      <w:r w:rsidR="000D6988">
        <w:rPr>
          <w:rFonts w:ascii="Arial" w:hAnsi="Arial" w:cs="Arial"/>
          <w:sz w:val="24"/>
          <w:szCs w:val="24"/>
        </w:rPr>
        <w:t xml:space="preserve">. The </w:t>
      </w:r>
      <w:r w:rsidR="00A30F65">
        <w:rPr>
          <w:rFonts w:ascii="Arial" w:hAnsi="Arial" w:cs="Arial"/>
          <w:sz w:val="24"/>
          <w:szCs w:val="24"/>
        </w:rPr>
        <w:t xml:space="preserve">internalised </w:t>
      </w:r>
      <w:r w:rsidR="000D6988">
        <w:rPr>
          <w:rFonts w:ascii="Arial" w:hAnsi="Arial" w:cs="Arial"/>
          <w:sz w:val="24"/>
          <w:szCs w:val="24"/>
        </w:rPr>
        <w:t xml:space="preserve">perspective </w:t>
      </w:r>
      <w:r w:rsidRPr="00797004">
        <w:rPr>
          <w:rFonts w:ascii="Arial" w:hAnsi="Arial" w:cs="Arial"/>
          <w:sz w:val="24"/>
          <w:szCs w:val="24"/>
        </w:rPr>
        <w:t xml:space="preserve">often </w:t>
      </w:r>
      <w:r w:rsidR="00A30F65">
        <w:rPr>
          <w:rFonts w:ascii="Arial" w:hAnsi="Arial" w:cs="Arial"/>
          <w:sz w:val="24"/>
          <w:szCs w:val="24"/>
        </w:rPr>
        <w:t xml:space="preserve">comes from </w:t>
      </w:r>
      <w:r w:rsidRPr="00797004">
        <w:rPr>
          <w:rFonts w:ascii="Arial" w:hAnsi="Arial" w:cs="Arial"/>
          <w:sz w:val="24"/>
          <w:szCs w:val="24"/>
        </w:rPr>
        <w:t>a person perceive</w:t>
      </w:r>
      <w:r w:rsidR="00D909D3">
        <w:rPr>
          <w:rFonts w:ascii="Arial" w:hAnsi="Arial" w:cs="Arial"/>
          <w:sz w:val="24"/>
          <w:szCs w:val="24"/>
        </w:rPr>
        <w:t>d</w:t>
      </w:r>
      <w:r w:rsidRPr="00797004">
        <w:rPr>
          <w:rFonts w:ascii="Arial" w:hAnsi="Arial" w:cs="Arial"/>
          <w:sz w:val="24"/>
          <w:szCs w:val="24"/>
        </w:rPr>
        <w:t xml:space="preserve"> </w:t>
      </w:r>
      <w:r w:rsidR="000172FC">
        <w:rPr>
          <w:rFonts w:ascii="Arial" w:hAnsi="Arial" w:cs="Arial"/>
          <w:sz w:val="24"/>
          <w:szCs w:val="24"/>
        </w:rPr>
        <w:t xml:space="preserve">to be </w:t>
      </w:r>
      <w:r w:rsidR="000172FC" w:rsidRPr="00797004">
        <w:rPr>
          <w:rFonts w:ascii="Arial" w:hAnsi="Arial" w:cs="Arial"/>
          <w:sz w:val="24"/>
          <w:szCs w:val="24"/>
        </w:rPr>
        <w:t xml:space="preserve">in a </w:t>
      </w:r>
      <w:r w:rsidRPr="00797004">
        <w:rPr>
          <w:rFonts w:ascii="Arial" w:hAnsi="Arial" w:cs="Arial"/>
          <w:sz w:val="24"/>
          <w:szCs w:val="24"/>
        </w:rPr>
        <w:t>position of authority</w:t>
      </w:r>
      <w:r w:rsidR="0034520A">
        <w:rPr>
          <w:rFonts w:ascii="Arial" w:hAnsi="Arial" w:cs="Arial"/>
          <w:sz w:val="24"/>
          <w:szCs w:val="24"/>
        </w:rPr>
        <w:t>. The ‘authority figure’s</w:t>
      </w:r>
      <w:r w:rsidR="00082352">
        <w:rPr>
          <w:rFonts w:ascii="Arial" w:hAnsi="Arial" w:cs="Arial"/>
          <w:sz w:val="24"/>
          <w:szCs w:val="24"/>
        </w:rPr>
        <w:t>’ words</w:t>
      </w:r>
      <w:r w:rsidRPr="00797004">
        <w:rPr>
          <w:rFonts w:ascii="Arial" w:hAnsi="Arial" w:cs="Arial"/>
          <w:sz w:val="24"/>
          <w:szCs w:val="24"/>
        </w:rPr>
        <w:t xml:space="preserve"> can change one’s self-beliefs detrimentally and can possibly lead to self-blaming and self-criticism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{"citationItems":[{"id":"ITEM-1","itemData":{"DOI":"10.1016/j.chiabu.2019.03.016","ISSN":"18737757","PMID":"30908992","abstract":"Background: Emotional abuse is a form of maltreatment that most strongly predicts adult depressive symptoms in community samples. Introject theories suggest that some depressive symptoms stem from survivors having learned to treat themselves the way they were treated by their perpetrators. Objective: Malevolent introjects may undermine self-compassion, which may subsequently maintain feelings of shame. Thus, we hypothesized that self-compassion and shame would mediate the path from retrospective reports of maltreatment to concurrent depressive symptoms in adulthood. Participants and Setting: Participants were 244 adult community members and college students living in a Southwestern American metroplex. Method: We ran a multiple mediator path model with emotional abuse as the independent variable. We specified four covariates: physical abuse, sexual abuse, physical neglect, and emotional neglect, and held constant the variance they explained in self-compassion, shame, and depression. Results: Our final model accounted for 53.1% of the variance in adult depressive symptoms. A significant indirect effect from emotional abuse passed through both mediators and ended in adult depressive symptoms. We also found an indirect path from emotional neglect to depression passing through both mediators. Conclusions: It appears emotional abuse and emotional neglect can undermine the formation of self-compassion. Low self-compassion predicts greater shame and depressive symptoms. Our model suggests self-compassion may be a particularly effective intervention point for survivors of emotional maltreatment.","author":[{"dropping-particle":"","family":"Ross","given":"Nicholas Dutra","non-dropping-particle":"","parse-names":false,"suffix":""},{"dropping-particle":"","family":"Kaminski","given":"Patricia L.","non-dropping-particle":"","parse-names":false,"suffix":""},{"dropping-particle":"","family":"Herrington","given":"Richard","non-dropping-particle":"","parse-names":false,"suffix":""}],"container-title":"Child Abuse and Neglect","id":"ITEM-1","issue":"March","issued":{"date-parts":[["2019"]]},"page":"32-42","publisher":"Elsevier","title":"From childhood emotional maltreatment to depressive symptoms in adulthood: The roles of self-compassion and shame","type":"article-journal","volume":"92"},"uris":["http://www.mendeley.com/documents/?uuid=5d2ba5ae-15f4-42b3-a6cd-782136c19572"]}],"mendeley":{"formattedCitation":"(Ross, Kaminski and Herrington, 2019)","plainTextFormattedCitation":"(Ross, Kaminski and Herrington, 2019)","previouslyFormattedCitation":"(Ross, Kaminski and Herrington, 2019)"},"properties":{"noteIndex":0},"schema":"https://github.com/citation-style-language/schema/raw/master/csl-citation.json"}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(Ross, Kaminski and Herrington, 2019)</w:t>
      </w:r>
      <w:r w:rsidRPr="00797004">
        <w:rPr>
          <w:rFonts w:ascii="Arial" w:hAnsi="Arial" w:cs="Arial"/>
          <w:sz w:val="24"/>
          <w:szCs w:val="24"/>
        </w:rPr>
        <w:fldChar w:fldCharType="end"/>
      </w:r>
      <w:r w:rsidRPr="00797004">
        <w:rPr>
          <w:rFonts w:ascii="Arial" w:hAnsi="Arial" w:cs="Arial"/>
          <w:sz w:val="24"/>
          <w:szCs w:val="24"/>
        </w:rPr>
        <w:t xml:space="preserve">. An awareness of introjection theory can </w:t>
      </w:r>
      <w:r w:rsidR="00C039B9">
        <w:rPr>
          <w:rFonts w:ascii="Arial" w:hAnsi="Arial" w:cs="Arial"/>
          <w:sz w:val="24"/>
          <w:szCs w:val="24"/>
        </w:rPr>
        <w:t>help</w:t>
      </w:r>
      <w:r w:rsidRPr="00797004">
        <w:rPr>
          <w:rFonts w:ascii="Arial" w:hAnsi="Arial" w:cs="Arial"/>
          <w:sz w:val="24"/>
          <w:szCs w:val="24"/>
        </w:rPr>
        <w:t xml:space="preserve"> a singing teacher to recognise when a singing student has an introject from an experience which is affecting the student’s singing</w:t>
      </w:r>
      <w:r>
        <w:rPr>
          <w:rFonts w:ascii="Arial" w:hAnsi="Arial" w:cs="Arial"/>
          <w:sz w:val="24"/>
          <w:szCs w:val="24"/>
        </w:rPr>
        <w:t xml:space="preserve">. </w:t>
      </w:r>
      <w:r w:rsidRPr="00797004">
        <w:rPr>
          <w:rFonts w:ascii="Arial" w:hAnsi="Arial" w:cs="Arial"/>
          <w:sz w:val="24"/>
          <w:szCs w:val="24"/>
        </w:rPr>
        <w:t xml:space="preserve">Changing beliefs is discussed as an important aspect of effective learning for </w:t>
      </w:r>
      <w:r w:rsidRPr="00797004">
        <w:rPr>
          <w:rFonts w:ascii="Arial" w:hAnsi="Arial" w:cs="Arial"/>
          <w:sz w:val="24"/>
          <w:szCs w:val="24"/>
        </w:rPr>
        <w:lastRenderedPageBreak/>
        <w:t>older adults in their theoretical framework ‘</w:t>
      </w:r>
      <w:r>
        <w:rPr>
          <w:rFonts w:ascii="Arial" w:hAnsi="Arial" w:cs="Arial"/>
          <w:sz w:val="24"/>
          <w:szCs w:val="24"/>
        </w:rPr>
        <w:t>C</w:t>
      </w:r>
      <w:r w:rsidRPr="00797004">
        <w:rPr>
          <w:rFonts w:ascii="Arial" w:hAnsi="Arial" w:cs="Arial"/>
          <w:sz w:val="24"/>
          <w:szCs w:val="24"/>
        </w:rPr>
        <w:t xml:space="preserve">ritical </w:t>
      </w:r>
      <w:r>
        <w:rPr>
          <w:rFonts w:ascii="Arial" w:hAnsi="Arial" w:cs="Arial"/>
          <w:sz w:val="24"/>
          <w:szCs w:val="24"/>
        </w:rPr>
        <w:t>G</w:t>
      </w:r>
      <w:r w:rsidRPr="00797004">
        <w:rPr>
          <w:rFonts w:ascii="Arial" w:hAnsi="Arial" w:cs="Arial"/>
          <w:sz w:val="24"/>
          <w:szCs w:val="24"/>
        </w:rPr>
        <w:t xml:space="preserve">eragogy’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Education","id":"ITEM-1","issue":"1","issued":{"date-parts":[["2015"]]},"page":"43-57","title":"Critical geragogy: A framework for facilitating older learners in community music","type":"article-journal","volume":"13"},"uris":["http://www.mendeley.com/documents/?uuid=fa50dd99-4e1e-44de-a3f2-30dd41815d00"]}],"mendeley":{"formattedCitation":"(Creech and Hallam, 2015)","plainTextFormattedCitation":"(Creech and Hallam, 2015)","previouslyFormattedCitation":"(Creech and Hallam, 2015)"},"properties":{"noteIndex":0},"schema":"https://github.com/citation-style-language/schema/raw/master/csl-citation.json"}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(Creech and Hallam, 2015)</w:t>
      </w:r>
      <w:r w:rsidRPr="00797004">
        <w:rPr>
          <w:rFonts w:ascii="Arial" w:hAnsi="Arial" w:cs="Arial"/>
          <w:sz w:val="24"/>
          <w:szCs w:val="24"/>
        </w:rPr>
        <w:fldChar w:fldCharType="end"/>
      </w:r>
      <w:r w:rsidRPr="00797004">
        <w:rPr>
          <w:rFonts w:ascii="Arial" w:hAnsi="Arial" w:cs="Arial"/>
          <w:sz w:val="24"/>
          <w:szCs w:val="24"/>
        </w:rPr>
        <w:t xml:space="preserve">. Woody </w:t>
      </w:r>
      <w:r w:rsidRPr="00797004">
        <w:rPr>
          <w:rFonts w:ascii="Arial" w:hAnsi="Arial" w:cs="Arial"/>
          <w:i/>
          <w:iCs/>
          <w:sz w:val="24"/>
          <w:szCs w:val="24"/>
        </w:rPr>
        <w:t xml:space="preserve">et al.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{"citationItems":[{"id":"ITEM-1","itemData":{"DOI":"10.1080/14613808.2019.1598346","ISSN":"14699893","abstract":"We explored the role of self-efficacy in participatory music-making, and whether a single such music-making activity could make non-musician adults more open to seeing themselves as musical. Past research has suggested that even recipients of multiple years of school music education do not consider being musical as a part of their identity, and they do not exit adolescence with an independent musicianship that would facilitate their making music as adults. In our study, we invited older adults to participate in an informal music-making experience designed to be participatory and enjoyable. A questionnaire measured musical beliefs and self-perceptions before and after the music activity. The posttest version included items through which participants indicated their self-efficacy during the activity. Data analysis revealed that across the entire sample, the average rating of how musical they considered themselves to be did not change significantly, but there was a significant jump in their reported likelihood of engaging in a collection of musical life activities. Specifically, there was a rise in the likelihood of playing musical instruments informally. The study’s most important finding was that participants with higher self-efficacy during the activity emerged from it believing themselves to be more musical than they had previously thought.","author":[{"dropping-particle":"","family":"Woody","given":"Robert H.","non-dropping-particle":"","parse-names":false,"suffix":""},{"dropping-particle":"","family":"Fraser","given":"Amy","non-dropping-particle":"","parse-names":false,"suffix":""},{"dropping-particle":"","family":"Nannen","given":"Briana","non-dropping-particle":"","parse-names":false,"suffix":""},{"dropping-particle":"","family":"Yukevich","given":"Polly","non-dropping-particle":"","parse-names":false,"suffix":""}],"container-title":"Music Education Research","id":"ITEM-1","issue":"3","issued":{"date-parts":[["2019"]]},"page":"315-330","publisher":"Taylor &amp; Francis","title":"Musical identities of older adults are not easily changed: an exploratory study","type":"article-journal","volume":"21"},"uris":["http://www.mendeley.com/documents/?uuid=c0731686-1857-43a8-8fa8-ba5ac99fc6e4"]}],"mendeley":{"formattedCitation":"(Woody &lt;i&gt;et al.&lt;/i&gt;, 2019)","manualFormatting":"(2019)","plainTextFormattedCitation":"(Woody et al., 2019)","previouslyFormattedCitation":"(Woody &lt;i&gt;et al.&lt;/i&gt;, 2019)"},"properties":{"noteIndex":0},"schema":"https://github.com/citation-style-language/schema/raw/master/csl-citation.json"}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(2019)</w:t>
      </w:r>
      <w:r w:rsidRPr="00797004">
        <w:rPr>
          <w:rFonts w:ascii="Arial" w:hAnsi="Arial" w:cs="Arial"/>
          <w:sz w:val="24"/>
          <w:szCs w:val="24"/>
        </w:rPr>
        <w:fldChar w:fldCharType="end"/>
      </w:r>
      <w:r w:rsidRPr="00797004">
        <w:rPr>
          <w:rFonts w:ascii="Arial" w:hAnsi="Arial" w:cs="Arial"/>
          <w:sz w:val="24"/>
          <w:szCs w:val="24"/>
        </w:rPr>
        <w:t xml:space="preserve"> discuss the challenges in changing self-perception of music making ability</w:t>
      </w:r>
      <w:r w:rsidR="005C1326">
        <w:rPr>
          <w:rFonts w:ascii="Arial" w:hAnsi="Arial" w:cs="Arial"/>
          <w:sz w:val="24"/>
          <w:szCs w:val="24"/>
        </w:rPr>
        <w:t xml:space="preserve"> and</w:t>
      </w:r>
      <w:r w:rsidRPr="00797004">
        <w:rPr>
          <w:rFonts w:ascii="Arial" w:hAnsi="Arial" w:cs="Arial"/>
          <w:sz w:val="24"/>
          <w:szCs w:val="24"/>
        </w:rPr>
        <w:t xml:space="preserve"> ‘musical identity in older adults’. They found that those with a higher self-efficacy had their musical self-beliefs most changed by the study</w:t>
      </w:r>
      <w:r w:rsidR="00F718DB">
        <w:rPr>
          <w:rFonts w:ascii="Arial" w:hAnsi="Arial" w:cs="Arial"/>
          <w:sz w:val="24"/>
          <w:szCs w:val="24"/>
        </w:rPr>
        <w:t xml:space="preserve">. </w:t>
      </w:r>
      <w:r w:rsidRPr="00797004">
        <w:rPr>
          <w:rFonts w:ascii="Arial" w:hAnsi="Arial" w:cs="Arial"/>
          <w:sz w:val="24"/>
          <w:szCs w:val="24"/>
        </w:rPr>
        <w:t xml:space="preserve"> </w:t>
      </w:r>
      <w:r w:rsidR="00F718DB">
        <w:rPr>
          <w:rFonts w:ascii="Arial" w:hAnsi="Arial" w:cs="Arial"/>
          <w:sz w:val="24"/>
          <w:szCs w:val="24"/>
        </w:rPr>
        <w:t>When self-efficacy is low</w:t>
      </w:r>
      <w:r w:rsidR="001F45F2">
        <w:rPr>
          <w:rFonts w:ascii="Arial" w:hAnsi="Arial" w:cs="Arial"/>
          <w:sz w:val="24"/>
          <w:szCs w:val="24"/>
        </w:rPr>
        <w:t xml:space="preserve"> of older learners </w:t>
      </w:r>
      <w:r w:rsidR="001F45F2" w:rsidRPr="00797004">
        <w:rPr>
          <w:rFonts w:ascii="Arial" w:hAnsi="Arial" w:cs="Arial"/>
          <w:sz w:val="24"/>
          <w:szCs w:val="24"/>
        </w:rPr>
        <w:t xml:space="preserve">Woody </w:t>
      </w:r>
      <w:r w:rsidR="001F45F2" w:rsidRPr="00797004">
        <w:rPr>
          <w:rFonts w:ascii="Arial" w:hAnsi="Arial" w:cs="Arial"/>
          <w:i/>
          <w:iCs/>
          <w:sz w:val="24"/>
          <w:szCs w:val="24"/>
        </w:rPr>
        <w:t xml:space="preserve">et al. </w:t>
      </w:r>
      <w:r w:rsidR="001F45F2" w:rsidRPr="00797004">
        <w:rPr>
          <w:rFonts w:ascii="Arial" w:hAnsi="Arial" w:cs="Arial"/>
          <w:sz w:val="24"/>
          <w:szCs w:val="24"/>
        </w:rPr>
        <w:fldChar w:fldCharType="begin" w:fldLock="1"/>
      </w:r>
      <w:r w:rsidR="001F45F2" w:rsidRPr="00797004">
        <w:rPr>
          <w:rFonts w:ascii="Arial" w:hAnsi="Arial" w:cs="Arial"/>
          <w:sz w:val="24"/>
          <w:szCs w:val="24"/>
        </w:rPr>
        <w:instrText>ADDIN CSL_CITATION {"citationItems":[{"id":"ITEM-1","itemData":{"DOI":"10.1080/14613808.2019.1598346","ISSN":"14699893","abstract":"We explored the role of self-efficacy in participatory music-making, and whether a single such music-making activity could make non-musician adults more open to seeing themselves as musical. Past research has suggested that even recipients of multiple years of school music education do not consider being musical as a part of their identity, and they do not exit adolescence with an independent musicianship that would facilitate their making music as adults. In our study, we invited older adults to participate in an informal music-making experience designed to be participatory and enjoyable. A questionnaire measured musical beliefs and self-perceptions before and after the music activity. The posttest version included items through which participants indicated their self-efficacy during the activity. Data analysis revealed that across the entire sample, the average rating of how musical they considered themselves to be did not change significantly, but there was a significant jump in their reported likelihood of engaging in a collection of musical life activities. Specifically, there was a rise in the likelihood of playing musical instruments informally. The study’s most important finding was that participants with higher self-efficacy during the activity emerged from it believing themselves to be more musical than they had previously thought.","author":[{"dropping-particle":"","family":"Woody","given":"Robert H.","non-dropping-particle":"","parse-names":false,"suffix":""},{"dropping-particle":"","family":"Fraser","given":"Amy","non-dropping-particle":"","parse-names":false,"suffix":""},{"dropping-particle":"","family":"Nannen","given":"Briana","non-dropping-particle":"","parse-names":false,"suffix":""},{"dropping-particle":"","family":"Yukevich","given":"Polly","non-dropping-particle":"","parse-names":false,"suffix":""}],"container-title":"Music Education Research","id":"ITEM-1","issue":"3","issued":{"date-parts":[["2019"]]},"page":"315-330","publisher":"Taylor &amp; Francis","title":"Musical identities of older adults are not easily changed: an exploratory study","type":"article-journal","volume":"21"},"uris":["http://www.mendeley.com/documents/?uuid=c0731686-1857-43a8-8fa8-ba5ac99fc6e4"]}],"mendeley":{"formattedCitation":"(Woody &lt;i&gt;et al.&lt;/i&gt;, 2019)","manualFormatting":"(2019)","plainTextFormattedCitation":"(Woody et al., 2019)","previouslyFormattedCitation":"(Woody &lt;i&gt;et al.&lt;/i&gt;, 2019)"},"properties":{"noteIndex":0},"schema":"https://github.com/citation-style-language/schema/raw/master/csl-citation.json"}</w:instrText>
      </w:r>
      <w:r w:rsidR="001F45F2" w:rsidRPr="00797004">
        <w:rPr>
          <w:rFonts w:ascii="Arial" w:hAnsi="Arial" w:cs="Arial"/>
          <w:sz w:val="24"/>
          <w:szCs w:val="24"/>
        </w:rPr>
        <w:fldChar w:fldCharType="separate"/>
      </w:r>
      <w:r w:rsidR="001F45F2" w:rsidRPr="00797004">
        <w:rPr>
          <w:rFonts w:ascii="Arial" w:hAnsi="Arial" w:cs="Arial"/>
          <w:noProof/>
          <w:sz w:val="24"/>
          <w:szCs w:val="24"/>
        </w:rPr>
        <w:t>(2019)</w:t>
      </w:r>
      <w:r w:rsidR="001F45F2" w:rsidRPr="00797004">
        <w:rPr>
          <w:rFonts w:ascii="Arial" w:hAnsi="Arial" w:cs="Arial"/>
          <w:sz w:val="24"/>
          <w:szCs w:val="24"/>
        </w:rPr>
        <w:fldChar w:fldCharType="end"/>
      </w:r>
      <w:r w:rsidR="001F45F2">
        <w:rPr>
          <w:rFonts w:ascii="Arial" w:hAnsi="Arial" w:cs="Arial"/>
          <w:sz w:val="24"/>
          <w:szCs w:val="24"/>
        </w:rPr>
        <w:t xml:space="preserve"> found changing their </w:t>
      </w:r>
      <w:r w:rsidR="001F45F2" w:rsidRPr="00797004">
        <w:rPr>
          <w:rFonts w:ascii="Arial" w:hAnsi="Arial" w:cs="Arial"/>
          <w:sz w:val="24"/>
          <w:szCs w:val="24"/>
        </w:rPr>
        <w:t>musical self-beliefs</w:t>
      </w:r>
      <w:r w:rsidR="001F45F2">
        <w:rPr>
          <w:rFonts w:ascii="Arial" w:hAnsi="Arial" w:cs="Arial"/>
          <w:sz w:val="24"/>
          <w:szCs w:val="24"/>
        </w:rPr>
        <w:t xml:space="preserve"> is harder</w:t>
      </w:r>
      <w:r w:rsidRPr="00797004">
        <w:rPr>
          <w:rFonts w:ascii="Arial" w:hAnsi="Arial" w:cs="Arial"/>
          <w:sz w:val="24"/>
          <w:szCs w:val="24"/>
        </w:rPr>
        <w:t xml:space="preserve">. </w:t>
      </w:r>
      <w:r w:rsidR="00C62F6F">
        <w:rPr>
          <w:rFonts w:ascii="Arial" w:hAnsi="Arial" w:cs="Arial"/>
          <w:sz w:val="24"/>
          <w:szCs w:val="24"/>
        </w:rPr>
        <w:t>Additionally, t</w:t>
      </w:r>
      <w:r w:rsidR="002910F0">
        <w:rPr>
          <w:rFonts w:ascii="Arial" w:hAnsi="Arial" w:cs="Arial"/>
          <w:sz w:val="24"/>
          <w:szCs w:val="24"/>
        </w:rPr>
        <w:t>he</w:t>
      </w:r>
      <w:r w:rsidRPr="00797004">
        <w:rPr>
          <w:rFonts w:ascii="Arial" w:hAnsi="Arial" w:cs="Arial"/>
          <w:sz w:val="24"/>
          <w:szCs w:val="24"/>
        </w:rPr>
        <w:t xml:space="preserve"> </w:t>
      </w:r>
      <w:r w:rsidR="00C62F6F">
        <w:rPr>
          <w:rFonts w:ascii="Arial" w:hAnsi="Arial" w:cs="Arial"/>
          <w:sz w:val="24"/>
          <w:szCs w:val="24"/>
        </w:rPr>
        <w:t xml:space="preserve">study by </w:t>
      </w:r>
      <w:r w:rsidRPr="00797004">
        <w:rPr>
          <w:rFonts w:ascii="Arial" w:hAnsi="Arial" w:cs="Arial"/>
          <w:sz w:val="24"/>
          <w:szCs w:val="24"/>
        </w:rPr>
        <w:t xml:space="preserve">Woody </w:t>
      </w:r>
      <w:r w:rsidRPr="00797004">
        <w:rPr>
          <w:rFonts w:ascii="Arial" w:hAnsi="Arial" w:cs="Arial"/>
          <w:i/>
          <w:iCs/>
          <w:sz w:val="24"/>
          <w:szCs w:val="24"/>
        </w:rPr>
        <w:t xml:space="preserve">et al.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{"citationItems":[{"id":"ITEM-1","itemData":{"DOI":"10.1080/14613808.2019.1598346","ISSN":"14699893","abstract":"We explored the role of self-efficacy in participatory music-making, and whether a single such music-making activity could make non-musician adults more open to seeing themselves as musical. Past research has suggested that even recipients of multiple years of school music education do not consider being musical as a part of their identity, and they do not exit adolescence with an independent musicianship that would facilitate their making music as adults. In our study, we invited older adults to participate in an informal music-making experience designed to be participatory and enjoyable. A questionnaire measured musical beliefs and self-perceptions before and after the music activity. The posttest version included items through which participants indicated their self-efficacy during the activity. Data analysis revealed that across the entire sample, the average rating of how musical they considered themselves to be did not change significantly, but there was a significant jump in their reported likelihood of engaging in a collection of musical life activities. Specifically, there was a rise in the likelihood of playing musical instruments informally. The study’s most important finding was that participants with higher self-efficacy during the activity emerged from it believing themselves to be more musical than they had previously thought.","author":[{"dropping-particle":"","family":"Woody","given":"Robert H.","non-dropping-particle":"","parse-names":false,"suffix":""},{"dropping-particle":"","family":"Fraser","given":"Amy","non-dropping-particle":"","parse-names":false,"suffix":""},{"dropping-particle":"","family":"Nannen","given":"Briana","non-dropping-particle":"","parse-names":false,"suffix":""},{"dropping-particle":"","family":"Yukevich","given":"Polly","non-dropping-particle":"","parse-names":false,"suffix":""}],"container-title":"Music Education Research","id":"ITEM-1","issue":"3","issued":{"date-parts":[["2019"]]},"page":"315-330","publisher":"Taylor &amp; Francis","title":"Musical identities of older adults are not easily changed: an exploratory study","type":"article-journal","volume":"21"},"uris":["http://www.mendeley.com/documents/?uuid=c0731686-1857-43a8-8fa8-ba5ac99fc6e4"]}],"mendeley":{"formattedCitation":"(Woody &lt;i&gt;et al.&lt;/i&gt;, 2019)","manualFormatting":"(2019)","plainTextFormattedCitation":"(Woody et al., 2019)","previouslyFormattedCitation":"(Woody &lt;i&gt;et al.&lt;/i&gt;, 2019)"},"properties":{"noteIndex":0},"schema":"https://github.com/citation-style-language/schema/raw/master/csl-citation.json"}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(2019)</w:t>
      </w:r>
      <w:r w:rsidRPr="00797004">
        <w:rPr>
          <w:rFonts w:ascii="Arial" w:hAnsi="Arial" w:cs="Arial"/>
          <w:sz w:val="24"/>
          <w:szCs w:val="24"/>
        </w:rPr>
        <w:fldChar w:fldCharType="end"/>
      </w:r>
      <w:r w:rsidR="006E27E7">
        <w:rPr>
          <w:rFonts w:ascii="Arial" w:hAnsi="Arial" w:cs="Arial"/>
          <w:sz w:val="24"/>
          <w:szCs w:val="24"/>
        </w:rPr>
        <w:t xml:space="preserve"> </w:t>
      </w:r>
      <w:r w:rsidRPr="00797004">
        <w:rPr>
          <w:rFonts w:ascii="Arial" w:hAnsi="Arial" w:cs="Arial"/>
          <w:sz w:val="24"/>
          <w:szCs w:val="24"/>
        </w:rPr>
        <w:t xml:space="preserve">points towards self-efficacy and musical beliefs potentially anchoring each other to lower states. This effect could be at play when Hogle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2021)","manualFormatting":"(2021)","plainTextFormattedCitation":"(Hogle, 2021)","previouslyFormattedCitation":"(Hogle, 2021)"},"properties":{"noteIndex":0},"schema":"https://github.com/citation-style-language/schema/raw/master/csl-citation.json"}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(2021)</w:t>
      </w:r>
      <w:r w:rsidRPr="00797004">
        <w:rPr>
          <w:rFonts w:ascii="Arial" w:hAnsi="Arial" w:cs="Arial"/>
          <w:sz w:val="24"/>
          <w:szCs w:val="24"/>
        </w:rPr>
        <w:fldChar w:fldCharType="end"/>
      </w:r>
      <w:r w:rsidRPr="00797004">
        <w:rPr>
          <w:rFonts w:ascii="Arial" w:hAnsi="Arial" w:cs="Arial"/>
          <w:sz w:val="24"/>
          <w:szCs w:val="24"/>
        </w:rPr>
        <w:t xml:space="preserve"> discusses the implied contra</w:t>
      </w:r>
      <w:r w:rsidR="007A6CDE">
        <w:rPr>
          <w:rFonts w:ascii="Arial" w:hAnsi="Arial" w:cs="Arial"/>
          <w:sz w:val="24"/>
          <w:szCs w:val="24"/>
        </w:rPr>
        <w:t>di</w:t>
      </w:r>
      <w:r w:rsidRPr="00797004">
        <w:rPr>
          <w:rFonts w:ascii="Arial" w:hAnsi="Arial" w:cs="Arial"/>
          <w:sz w:val="24"/>
          <w:szCs w:val="24"/>
        </w:rPr>
        <w:t xml:space="preserve">ction when the self-identified non-singers of the study all found ways to continue singing despite having a low sense of singing agency. This would seem to fit the description of an image distorting defence mechanism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{"citationItems":[{"id":"ITEM-1","itemData":{"DOI":"10.1037/0003-066X.55.6.637","ISSN":"0003066X","PMID":"10892206","abstract":"Although the concept of the defense mechanism was rejected from academic psychology for a number of years, recent empirical studies show renewed interest in defenses. Cognitive psychologists have confirmed the existence of unconscious psychological processes, a requisite for defenses. Developmental, personality, and social psychologists have all found evidence for defense mechanisms that explicate psychological functioning. The relevance of this new information for clinical practice is discussed.","author":[{"dropping-particle":"","family":"Cramer","given":"Phebe","non-dropping-particle":"","parse-names":false,"suffix":""}],"container-title":"American Psychologist","id":"ITEM-1","issue":"6","issued":{"date-parts":[["2000"]]},"page":"637-646","title":"Defense mechanisms in psychology today: Further processes for adaptation","type":"article-journal","volume":"55"},"uris":["http://www.mendeley.com/documents/?uuid=a9bc43ab-7ffd-4230-b92b-ab5b5d7327ba"]}],"mendeley":{"formattedCitation":"(Cramer, 2000)","plainTextFormattedCitation":"(Cramer, 2000)","previouslyFormattedCitation":"(Cramer, 2000)"},"properties":{"noteIndex":0},"schema":"https://github.com/citation-style-language/schema/raw/master/csl-citation.json"}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(Cramer, 2000)</w:t>
      </w:r>
      <w:r w:rsidRPr="00797004">
        <w:rPr>
          <w:rFonts w:ascii="Arial" w:hAnsi="Arial" w:cs="Arial"/>
          <w:sz w:val="24"/>
          <w:szCs w:val="24"/>
        </w:rPr>
        <w:fldChar w:fldCharType="end"/>
      </w:r>
      <w:r w:rsidRPr="00797004">
        <w:rPr>
          <w:rFonts w:ascii="Arial" w:hAnsi="Arial" w:cs="Arial"/>
          <w:sz w:val="24"/>
          <w:szCs w:val="24"/>
        </w:rPr>
        <w:t xml:space="preserve">. </w:t>
      </w:r>
      <w:r w:rsidR="00C62F6F" w:rsidRPr="00797004">
        <w:rPr>
          <w:rFonts w:ascii="Arial" w:hAnsi="Arial" w:cs="Arial"/>
          <w:sz w:val="24"/>
          <w:szCs w:val="24"/>
        </w:rPr>
        <w:t xml:space="preserve">This highlights a potential cyclical relationship between self-efficacy and musical beliefs. </w:t>
      </w:r>
      <w:r w:rsidR="006E27E7" w:rsidRPr="00797004">
        <w:rPr>
          <w:rFonts w:ascii="Arial" w:hAnsi="Arial" w:cs="Arial"/>
          <w:sz w:val="24"/>
          <w:szCs w:val="24"/>
        </w:rPr>
        <w:t>T</w:t>
      </w:r>
      <w:r w:rsidR="006E27E7">
        <w:rPr>
          <w:rFonts w:ascii="Arial" w:hAnsi="Arial" w:cs="Arial"/>
          <w:sz w:val="24"/>
          <w:szCs w:val="24"/>
        </w:rPr>
        <w:t xml:space="preserve">eachers are left with </w:t>
      </w:r>
      <w:r w:rsidR="006E27E7" w:rsidRPr="00797004">
        <w:rPr>
          <w:rFonts w:ascii="Arial" w:hAnsi="Arial" w:cs="Arial"/>
          <w:sz w:val="24"/>
          <w:szCs w:val="24"/>
        </w:rPr>
        <w:t xml:space="preserve">the challenge </w:t>
      </w:r>
      <w:r w:rsidR="006E27E7">
        <w:rPr>
          <w:rFonts w:ascii="Arial" w:hAnsi="Arial" w:cs="Arial"/>
          <w:sz w:val="24"/>
          <w:szCs w:val="24"/>
        </w:rPr>
        <w:t>how</w:t>
      </w:r>
      <w:r w:rsidR="006E27E7" w:rsidRPr="00797004">
        <w:rPr>
          <w:rFonts w:ascii="Arial" w:hAnsi="Arial" w:cs="Arial"/>
          <w:sz w:val="24"/>
          <w:szCs w:val="24"/>
        </w:rPr>
        <w:t xml:space="preserve"> to improve both a student’s sense of self-efficacy and their musical beliefs</w:t>
      </w:r>
      <w:r w:rsidR="006E27E7">
        <w:rPr>
          <w:rFonts w:ascii="Arial" w:hAnsi="Arial" w:cs="Arial"/>
          <w:sz w:val="24"/>
          <w:szCs w:val="24"/>
        </w:rPr>
        <w:t xml:space="preserve">. </w:t>
      </w:r>
    </w:p>
    <w:p w14:paraId="2F4C285C" w14:textId="7AFE1C21" w:rsidR="00356298" w:rsidRPr="00797004" w:rsidRDefault="00356298" w:rsidP="00B66156">
      <w:pPr>
        <w:spacing w:line="360" w:lineRule="auto"/>
        <w:jc w:val="both"/>
        <w:rPr>
          <w:rFonts w:ascii="Arial" w:hAnsi="Arial" w:cs="Arial"/>
          <w:sz w:val="24"/>
          <w:szCs w:val="24"/>
        </w:rPr>
      </w:pPr>
      <w:r w:rsidRPr="00797004">
        <w:rPr>
          <w:rFonts w:ascii="Arial" w:hAnsi="Arial" w:cs="Arial"/>
          <w:b/>
          <w:bCs/>
          <w:i/>
          <w:iCs/>
          <w:sz w:val="24"/>
          <w:szCs w:val="24"/>
        </w:rPr>
        <w:t>Low self-esteem</w:t>
      </w:r>
      <w:r w:rsidRPr="00797004">
        <w:rPr>
          <w:rFonts w:ascii="Arial" w:hAnsi="Arial" w:cs="Arial"/>
          <w:sz w:val="24"/>
          <w:szCs w:val="24"/>
        </w:rPr>
        <w:t xml:space="preserve"> can lead to the use of defence mechanisms and can be associated with </w:t>
      </w:r>
      <w:r w:rsidRPr="00EA70A1">
        <w:rPr>
          <w:rFonts w:ascii="Arial" w:hAnsi="Arial" w:cs="Arial"/>
          <w:b/>
          <w:bCs/>
          <w:i/>
          <w:iCs/>
          <w:sz w:val="24"/>
          <w:szCs w:val="24"/>
        </w:rPr>
        <w:t>anxiety</w:t>
      </w:r>
      <w:r w:rsidRPr="00797004">
        <w:rPr>
          <w:rFonts w:ascii="Arial" w:hAnsi="Arial" w:cs="Arial"/>
          <w:sz w:val="24"/>
          <w:szCs w:val="24"/>
        </w:rPr>
        <w:t xml:space="preserve"> and </w:t>
      </w:r>
      <w:r w:rsidRPr="00797004">
        <w:rPr>
          <w:rFonts w:ascii="Arial" w:hAnsi="Arial" w:cs="Arial"/>
          <w:b/>
          <w:bCs/>
          <w:i/>
          <w:iCs/>
          <w:sz w:val="24"/>
          <w:szCs w:val="24"/>
        </w:rPr>
        <w:t>fears</w:t>
      </w:r>
      <w:r w:rsidRPr="00797004">
        <w:rPr>
          <w:rFonts w:ascii="Arial" w:hAnsi="Arial" w:cs="Arial"/>
          <w:sz w:val="24"/>
          <w:szCs w:val="24"/>
        </w:rPr>
        <w:t xml:space="preserve"> surrounding negative evaluation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{"citationItems":[{"id":"ITEM-1","itemData":{"DOI":"10.1037/0003-066X.55.6.637","ISSN":"0003066X","PMID":"10892206","abstract":"Although the concept of the defense mechanism was rejected from academic psychology for a number of years, recent empirical studies show renewed interest in defenses. Cognitive psychologists have confirmed the existence of unconscious psychological processes, a requisite for defenses. Developmental, personality, and social psychologists have all found evidence for defense mechanisms that explicate psychological functioning. The relevance of this new information for clinical practice is discussed.","author":[{"dropping-particle":"","family":"Cramer","given":"Phebe","non-dropping-particle":"","parse-names":false,"suffix":""}],"container-title":"American Psychologist","id":"ITEM-1","issue":"6","issued":{"date-parts":[["2000"]]},"page":"637-646","title":"Defense mechanisms in psychology today: Further processes for adaptation","type":"article-journal","volume":"55"},"uris":["http://www.mendeley.com/documents/?uuid=a9bc43ab-7ffd-4230-b92b-ab5b5d7327ba"]},{"id":"ITEM-2","itemData":{"author":[{"dropping-particle":"","family":"Moghal","given":"Sarwat","non-dropping-particle":"","parse-names":false,"suffix":""},{"dropping-particle":"","family":"Khanam","given":"Fazeela","non-dropping-particle":"","parse-names":false,"suffix":""}],"container-title":"Pakistan Journal of psychology","id":"ITEM-2","issue":"1","issued":{"date-parts":[["2012"]]},"page":"91-100","title":"Self esteem as a predictor of fear of negative evaluation and social anxiety","type":"article-journal","volume":"43"},"uris":["http://www.mendeley.com/documents/?uuid=a671e9c9-ce59-4224-b9d7-fb74206b7f40"]}],"mendeley":{"formattedCitation":"(Cramer, 2000; Moghal and Khanam, 2012)","plainTextFormattedCitation":"(Cramer, 2000; Moghal and Khanam, 2012)","previouslyFormattedCitation":"(Cramer, 2000; Moghal and Khanam, 2012)"},"properties":{"noteIndex":0},"schema":"https://github.com/citation-style-language/schema/raw/master/csl-citation.json"}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(Cramer, 2000; Moghal and Khanam, 2012)</w:t>
      </w:r>
      <w:r w:rsidRPr="00797004">
        <w:rPr>
          <w:rFonts w:ascii="Arial" w:hAnsi="Arial" w:cs="Arial"/>
          <w:sz w:val="24"/>
          <w:szCs w:val="24"/>
        </w:rPr>
        <w:fldChar w:fldCharType="end"/>
      </w:r>
      <w:r w:rsidRPr="00797004">
        <w:rPr>
          <w:rFonts w:ascii="Arial" w:hAnsi="Arial" w:cs="Arial"/>
          <w:sz w:val="24"/>
          <w:szCs w:val="24"/>
        </w:rPr>
        <w:t xml:space="preserve">. Many singers across the self-efficacy literature documents reviewed demonstrated low self-esteem, fear of mistakes, and perfectionism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beliefs","type":"article-journal"},"uris":["http://www.mendeley.com/documents/?uuid=d1469298-0bbc-4c76-afcd-e0c4086da712"]}],"mendeley":{"formattedCitation":"(Hogle, 2021; Lewis and Hendricks, 2022)","plainTextFormattedCitation":"(Hogle, 2021; Lewis and Hendricks, 2022)","previouslyFormattedCitation":"(Hogle, 2021; Lewis and Hendricks, 2022)"},"properties":{"noteIndex":0},"schema":"https://github.com/citation-style-language/schema/raw/master/csl-citation.json"}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(Hogle, 2021; Lewis and Hendricks, 2022)</w:t>
      </w:r>
      <w:r w:rsidRPr="00797004">
        <w:rPr>
          <w:rFonts w:ascii="Arial" w:hAnsi="Arial" w:cs="Arial"/>
          <w:sz w:val="24"/>
          <w:szCs w:val="24"/>
        </w:rPr>
        <w:fldChar w:fldCharType="end"/>
      </w:r>
      <w:r w:rsidR="00506458">
        <w:rPr>
          <w:rFonts w:ascii="Arial" w:hAnsi="Arial" w:cs="Arial"/>
          <w:sz w:val="24"/>
          <w:szCs w:val="24"/>
        </w:rPr>
        <w:t xml:space="preserve">. </w:t>
      </w:r>
      <w:r w:rsidR="00994E63">
        <w:rPr>
          <w:rFonts w:ascii="Arial" w:hAnsi="Arial" w:cs="Arial"/>
          <w:sz w:val="24"/>
          <w:szCs w:val="24"/>
        </w:rPr>
        <w:t>T</w:t>
      </w:r>
      <w:r w:rsidR="00994E63" w:rsidRPr="00797004">
        <w:rPr>
          <w:rFonts w:ascii="Arial" w:hAnsi="Arial" w:cs="Arial"/>
          <w:sz w:val="24"/>
          <w:szCs w:val="24"/>
        </w:rPr>
        <w:t xml:space="preserve">o </w:t>
      </w:r>
      <w:r w:rsidR="00994E63">
        <w:rPr>
          <w:rFonts w:ascii="Arial" w:hAnsi="Arial" w:cs="Arial"/>
          <w:sz w:val="24"/>
          <w:szCs w:val="24"/>
        </w:rPr>
        <w:t>support</w:t>
      </w:r>
      <w:r w:rsidR="00994E63" w:rsidRPr="00797004">
        <w:rPr>
          <w:rFonts w:ascii="Arial" w:hAnsi="Arial" w:cs="Arial"/>
          <w:sz w:val="24"/>
          <w:szCs w:val="24"/>
        </w:rPr>
        <w:t xml:space="preserve"> self-efficacy </w:t>
      </w:r>
      <w:r w:rsidR="00994E63">
        <w:rPr>
          <w:rFonts w:ascii="Arial" w:hAnsi="Arial" w:cs="Arial"/>
          <w:sz w:val="24"/>
          <w:szCs w:val="24"/>
        </w:rPr>
        <w:t xml:space="preserve">development </w:t>
      </w:r>
      <w:r w:rsidR="009C4FB0">
        <w:rPr>
          <w:rFonts w:ascii="Arial" w:hAnsi="Arial" w:cs="Arial"/>
          <w:sz w:val="24"/>
          <w:szCs w:val="24"/>
        </w:rPr>
        <w:t xml:space="preserve">some key areas were </w:t>
      </w:r>
      <w:r w:rsidR="000843C9">
        <w:rPr>
          <w:rFonts w:ascii="Arial" w:hAnsi="Arial" w:cs="Arial"/>
          <w:sz w:val="24"/>
          <w:szCs w:val="24"/>
        </w:rPr>
        <w:t xml:space="preserve">frequently mentioned: </w:t>
      </w:r>
      <w:r w:rsidRPr="00797004">
        <w:rPr>
          <w:rFonts w:ascii="Arial" w:hAnsi="Arial" w:cs="Arial"/>
          <w:sz w:val="24"/>
          <w:szCs w:val="24"/>
        </w:rPr>
        <w:t>improv</w:t>
      </w:r>
      <w:r w:rsidR="00C819A4">
        <w:rPr>
          <w:rFonts w:ascii="Arial" w:hAnsi="Arial" w:cs="Arial"/>
          <w:sz w:val="24"/>
          <w:szCs w:val="24"/>
        </w:rPr>
        <w:t>ing</w:t>
      </w:r>
      <w:r w:rsidRPr="00797004">
        <w:rPr>
          <w:rFonts w:ascii="Arial" w:hAnsi="Arial" w:cs="Arial"/>
          <w:sz w:val="24"/>
          <w:szCs w:val="24"/>
        </w:rPr>
        <w:t xml:space="preserve"> self-esteem</w:t>
      </w:r>
      <w:r w:rsidR="008368DA">
        <w:rPr>
          <w:rFonts w:ascii="Arial" w:hAnsi="Arial" w:cs="Arial"/>
          <w:sz w:val="24"/>
          <w:szCs w:val="24"/>
        </w:rPr>
        <w:t>,</w:t>
      </w:r>
      <w:r w:rsidRPr="00797004">
        <w:rPr>
          <w:rFonts w:ascii="Arial" w:hAnsi="Arial" w:cs="Arial"/>
          <w:sz w:val="24"/>
          <w:szCs w:val="24"/>
        </w:rPr>
        <w:t xml:space="preserve"> reduc</w:t>
      </w:r>
      <w:r w:rsidR="00C819A4">
        <w:rPr>
          <w:rFonts w:ascii="Arial" w:hAnsi="Arial" w:cs="Arial"/>
          <w:sz w:val="24"/>
          <w:szCs w:val="24"/>
        </w:rPr>
        <w:t>ing</w:t>
      </w:r>
      <w:r w:rsidRPr="00797004">
        <w:rPr>
          <w:rFonts w:ascii="Arial" w:hAnsi="Arial" w:cs="Arial"/>
          <w:sz w:val="24"/>
          <w:szCs w:val="24"/>
        </w:rPr>
        <w:t xml:space="preserve"> fear of mistake</w:t>
      </w:r>
      <w:r w:rsidR="00775F15">
        <w:rPr>
          <w:rFonts w:ascii="Arial" w:hAnsi="Arial" w:cs="Arial"/>
          <w:sz w:val="24"/>
          <w:szCs w:val="24"/>
        </w:rPr>
        <w:t>s</w:t>
      </w:r>
      <w:r w:rsidRPr="00797004">
        <w:rPr>
          <w:rFonts w:ascii="Arial" w:hAnsi="Arial" w:cs="Arial"/>
          <w:sz w:val="24"/>
          <w:szCs w:val="24"/>
        </w:rPr>
        <w:t xml:space="preserve">, and </w:t>
      </w:r>
      <w:r w:rsidR="009C4FB0">
        <w:rPr>
          <w:rFonts w:ascii="Arial" w:hAnsi="Arial" w:cs="Arial"/>
          <w:sz w:val="24"/>
          <w:szCs w:val="24"/>
        </w:rPr>
        <w:t xml:space="preserve">reducing </w:t>
      </w:r>
      <w:r w:rsidRPr="00797004">
        <w:rPr>
          <w:rFonts w:ascii="Arial" w:hAnsi="Arial" w:cs="Arial"/>
          <w:sz w:val="24"/>
          <w:szCs w:val="24"/>
        </w:rPr>
        <w:t xml:space="preserve">perfectionism </w:t>
      </w:r>
      <w:r w:rsidRPr="00797004">
        <w:rPr>
          <w:rFonts w:ascii="Arial" w:hAnsi="Arial" w:cs="Arial"/>
          <w:sz w:val="24"/>
          <w:szCs w:val="24"/>
        </w:rPr>
        <w:fldChar w:fldCharType="begin" w:fldLock="1"/>
      </w:r>
      <w:r w:rsidR="00195DB1">
        <w:rPr>
          <w:rFonts w:ascii="Arial" w:hAnsi="Arial" w:cs="Arial"/>
          <w:sz w:val="24"/>
          <w:szCs w:val="24"/>
        </w:rPr>
        <w:instrText>ADDIN CSL_CITATION {"citationItems":[{"id":"ITEM-1","itemData":{"DOI":"10.1111/ijsa.12326","ISSN":"14682389","abstract":"Interview anxiety is common among interviewees and has the potential to undermine an applicant's interview performance. Nevertheless, there is much that we do not understand about the role of anxiety in job interviews. In this paper, we advance a conceptual model that highlights the multidimensional nature of interview anxiety by incorporating its cognitive, behavioral, and physiological components, termed the Tripartite Interview Anxiety Framework (TIAF). This model highlights the role of person, interviewer, and contextual characteristics in shaping interview anxiety, elucidates the underlying relations between interview anxiety and performance, and delineates critical moderators of these important relations. In doing so, the TIAF simultaneously advances the theory of interview anxiety, promotes further work in this area, and highlights implications for practice.","author":[{"dropping-particle":"","family":"Constantin","given":"Kaytlin L.","non-dropping-particle":"","parse-names":false,"suffix":""},{"dropping-particle":"","family":"Powell","given":"Deborah M.","non-dropping-particle":"","parse-names":false,"suffix":""},{"dropping-particle":"","family":"McCarthy","given":"Julie M.","non-dropping-particle":"","parse-names":false,"suffix":""}],"container-title":"International Journal of Selection and Assessment","id":"ITEM-1","issue":"2","issued":{"date-parts":[["2021"]]},"page":"234-252","title":"Expanding conceptual understanding of interview anxiety and performance: Integrating cognitive, behavioral, and physiological features","type":"article-journal","volume":"29"},"uris":["http://www.mendeley.com/documents/?uuid=21f0cf3f-5055-488b-bf41-158461173e28"]},{"id":"ITEM-2","itemData":{"author":[{"dropping-particle":"","family":"McLeod","given":"Clare","non-dropping-particle":"","parse-names":false,"suffix":""},{"dropping-particle":"","family":"Maxfield","given":"Lynn","non-dropping-particle":"","parse-names":false,"suffix":""}],"container-title":"Journal of Singing","id":"ITEM-2","issue":"3","issued":{"date-parts":[["2020"]]},"page":"327-332","title":"Causal Learning: Addressing Barriers in Learning to Sing MINDFUL VOICE","type":"article-journal","volume":"76"},"uris":["http://www.mendeley.com/documents/?uuid=1e893029-f365-4463-8fd1-f7fa77a4903f"]},{"id":"ITEM-3","itemData":{"DOI":"10.18546/LRE.13.1.05","ISSN":"14748479","abstract":"The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Education","id":"ITEM-3","issue":"1","issued":{"date-parts":[["2015"]]},"page":"43-57","title":"Critical geragogy: A framework for facilitating older learners in community music","type":"article-journal","volume":"13"},"uris":["http://www.mendeley.com/documents/?uuid=fa50dd99-4e1e-44de-a3f2-30dd41815d00"]}],"mendeley":{"formattedCitation":"(Creech and Hallam, 2015; McLeod and Maxfield, 2020; Constantin, Powell and McCarthy, 2021)","manualFormatting":"(Creech and Hallam, 2015; McLeod and Maxfield, 2020; Constantin, Powell and McCarthy, 2021)","plainTextFormattedCitation":"(Creech and Hallam, 2015; McLeod and Maxfield, 2020; Constantin, Powell and McCarthy, 2021)","previouslyFormattedCitation":"(Creech and Hallam, 2015; McLeod and Maxfield, 2020; Constantin, Powell and McCarthy, 2021)"},"properties":{"noteIndex":0},"schema":"https://github.com/citation-style-language/schema/raw/master/csl-citation.json"}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(Creech and Hallam, 2015; Mc</w:t>
      </w:r>
      <w:r w:rsidR="008838BB">
        <w:rPr>
          <w:rFonts w:ascii="Arial" w:hAnsi="Arial" w:cs="Arial"/>
          <w:noProof/>
          <w:sz w:val="24"/>
          <w:szCs w:val="24"/>
        </w:rPr>
        <w:t>L</w:t>
      </w:r>
      <w:r w:rsidRPr="00797004">
        <w:rPr>
          <w:rFonts w:ascii="Arial" w:hAnsi="Arial" w:cs="Arial"/>
          <w:noProof/>
          <w:sz w:val="24"/>
          <w:szCs w:val="24"/>
        </w:rPr>
        <w:t>eod and Maxfield, 2020; Constantin, Powell and McCarthy, 2021)</w:t>
      </w:r>
      <w:r w:rsidRPr="00797004">
        <w:rPr>
          <w:rFonts w:ascii="Arial" w:hAnsi="Arial" w:cs="Arial"/>
          <w:sz w:val="24"/>
          <w:szCs w:val="24"/>
        </w:rPr>
        <w:fldChar w:fldCharType="end"/>
      </w:r>
      <w:r w:rsidRPr="00797004">
        <w:rPr>
          <w:rFonts w:ascii="Arial" w:hAnsi="Arial" w:cs="Arial"/>
          <w:sz w:val="24"/>
          <w:szCs w:val="24"/>
        </w:rPr>
        <w:t xml:space="preserve">. </w:t>
      </w:r>
    </w:p>
    <w:p w14:paraId="17B52725" w14:textId="30125760" w:rsidR="00356298" w:rsidRPr="00797004" w:rsidRDefault="00356298" w:rsidP="00B66156">
      <w:pPr>
        <w:spacing w:line="360" w:lineRule="auto"/>
        <w:jc w:val="both"/>
        <w:rPr>
          <w:rFonts w:ascii="Arial" w:hAnsi="Arial" w:cs="Arial"/>
          <w:sz w:val="24"/>
          <w:szCs w:val="24"/>
        </w:rPr>
      </w:pPr>
      <w:r w:rsidRPr="00797004">
        <w:rPr>
          <w:rFonts w:ascii="Arial" w:hAnsi="Arial" w:cs="Arial"/>
          <w:sz w:val="24"/>
          <w:szCs w:val="24"/>
        </w:rPr>
        <w:t xml:space="preserve">The </w:t>
      </w:r>
      <w:r w:rsidRPr="00797004">
        <w:rPr>
          <w:rFonts w:ascii="Arial" w:hAnsi="Arial" w:cs="Arial"/>
          <w:b/>
          <w:bCs/>
          <w:i/>
          <w:iCs/>
          <w:sz w:val="24"/>
          <w:szCs w:val="24"/>
        </w:rPr>
        <w:t>emotional states</w:t>
      </w:r>
      <w:r w:rsidRPr="00797004">
        <w:rPr>
          <w:rFonts w:ascii="Arial" w:hAnsi="Arial" w:cs="Arial"/>
          <w:sz w:val="24"/>
          <w:szCs w:val="24"/>
        </w:rPr>
        <w:t xml:space="preserve"> associated with a sense of low self-efficacy and singing agency</w:t>
      </w:r>
      <w:r w:rsidR="00233C92">
        <w:rPr>
          <w:rFonts w:ascii="Arial" w:hAnsi="Arial" w:cs="Arial"/>
          <w:sz w:val="24"/>
          <w:szCs w:val="24"/>
        </w:rPr>
        <w:t xml:space="preserve"> are</w:t>
      </w:r>
      <w:r w:rsidRPr="00797004">
        <w:rPr>
          <w:rFonts w:ascii="Arial" w:hAnsi="Arial" w:cs="Arial"/>
          <w:sz w:val="24"/>
          <w:szCs w:val="24"/>
        </w:rPr>
        <w:t xml:space="preserve">: anxiety, confusion, helplessness, rejection, and shame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beliefs","type":"article-journal"},"uris":["http://www.mendeley.com/documents/?uuid=d1469298-0bbc-4c76-afcd-e0c4086da712"]},{"id":"ITEM-3","itemData":{"DOI":"10.1111/ijsa.12326","ISSN":"14682389","abstract":"Interview anxiety is common among interviewees and has the potential to undermine an applicant's interview performance. Nevertheless, there is much that we do not understand about the role of anxiety in job interviews. In this paper, we advance a conceptual model that highlights the multidimensional nature of interview anxiety by incorporating its cognitive, behavioral, and physiological components, termed the Tripartite Interview Anxiety Framework (TIAF). This model highlights the role of person, interviewer, and contextual characteristics in shaping interview anxiety, elucidates the underlying relations between interview anxiety and performance, and delineates critical moderators of these important relations. In doing so, the TIAF simultaneously advances the theory of interview anxiety, promotes further work in this area, and highlights implications for practice.","author":[{"dropping-particle":"","family":"Constantin","given":"Kaytlin L.","non-dropping-particle":"","parse-names":false,"suffix":""},{"dropping-particle":"","family":"Powell","given":"Deborah M.","non-dropping-particle":"","parse-names":false,"suffix":""},{"dropping-particle":"","family":"McCarthy","given":"Julie M.","non-dropping-particle":"","parse-names":false,"suffix":""}],"container-title":"International Journal of Selection and Assessment","id":"ITEM-3","issue":"2","issued":{"date-parts":[["2021"]]},"page":"234-252","title":"Expanding conceptual understanding of interview anxiety and performance: Integrating cognitive, behavioral, and physiological features","type":"article-journal","volume":"29"},"uris":["http://www.mendeley.com/documents/?uuid=21f0cf3f-5055-488b-bf41-158461173e28"]}],"mendeley":{"formattedCitation":"(Constantin, Powell and McCarthy, 2021; Hogle, 2021; Lewis and Hendricks, 2022)","plainTextFormattedCitation":"(Constantin, Powell and McCarthy, 2021; Hogle, 2021; Lewis and Hendricks, 2022)","previouslyFormattedCitation":"(Constantin, Powell and McCarthy, 2021; Hogle, 2021; Lewis and Hendricks, 2022)"},"properties":{"noteIndex":0},"schema":"https://github.com/citation-style-language/schema/raw/master/csl-citation.json"}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(Constantin, Powell and McCarthy, 2021; Hogle, 2021; Lewis and Hendricks, 2022)</w:t>
      </w:r>
      <w:r w:rsidRPr="00797004">
        <w:rPr>
          <w:rFonts w:ascii="Arial" w:hAnsi="Arial" w:cs="Arial"/>
          <w:sz w:val="24"/>
          <w:szCs w:val="24"/>
        </w:rPr>
        <w:fldChar w:fldCharType="end"/>
      </w:r>
      <w:r w:rsidRPr="00797004">
        <w:rPr>
          <w:rFonts w:ascii="Arial" w:hAnsi="Arial" w:cs="Arial"/>
          <w:sz w:val="24"/>
          <w:szCs w:val="24"/>
        </w:rPr>
        <w:t xml:space="preserve">. </w:t>
      </w:r>
    </w:p>
    <w:p w14:paraId="1BAB6221" w14:textId="15286D23" w:rsidR="00356298" w:rsidRPr="00797004" w:rsidRDefault="00356298" w:rsidP="00B66156">
      <w:pPr>
        <w:spacing w:line="360" w:lineRule="auto"/>
        <w:jc w:val="both"/>
        <w:rPr>
          <w:rFonts w:ascii="Arial" w:hAnsi="Arial" w:cs="Arial"/>
          <w:sz w:val="24"/>
          <w:szCs w:val="24"/>
        </w:rPr>
      </w:pPr>
      <w:r w:rsidRPr="00797004">
        <w:rPr>
          <w:rFonts w:ascii="Arial" w:hAnsi="Arial" w:cs="Arial"/>
          <w:sz w:val="24"/>
          <w:szCs w:val="24"/>
        </w:rPr>
        <w:t xml:space="preserve">The wounds and symptoms of low self-efficacy discussed so far seem to build to </w:t>
      </w:r>
      <w:r w:rsidRPr="00797004">
        <w:rPr>
          <w:rFonts w:ascii="Arial" w:hAnsi="Arial" w:cs="Arial"/>
          <w:b/>
          <w:bCs/>
          <w:i/>
          <w:iCs/>
          <w:sz w:val="24"/>
          <w:szCs w:val="24"/>
        </w:rPr>
        <w:t>discomfort</w:t>
      </w:r>
      <w:r w:rsidRPr="00797004">
        <w:rPr>
          <w:rFonts w:ascii="Arial" w:hAnsi="Arial" w:cs="Arial"/>
          <w:sz w:val="24"/>
          <w:szCs w:val="24"/>
        </w:rPr>
        <w:t xml:space="preserve"> around situations which remind the singer of their wounding incident</w:t>
      </w:r>
      <w:r w:rsidR="005C7B70">
        <w:rPr>
          <w:rFonts w:ascii="Arial" w:hAnsi="Arial" w:cs="Arial"/>
          <w:sz w:val="24"/>
          <w:szCs w:val="24"/>
        </w:rPr>
        <w:t xml:space="preserve">. </w:t>
      </w:r>
      <w:r w:rsidR="000F01E0">
        <w:rPr>
          <w:rFonts w:ascii="Arial" w:hAnsi="Arial" w:cs="Arial"/>
          <w:sz w:val="24"/>
          <w:szCs w:val="24"/>
        </w:rPr>
        <w:t>This</w:t>
      </w:r>
      <w:r w:rsidR="005C7B70">
        <w:rPr>
          <w:rFonts w:ascii="Arial" w:hAnsi="Arial" w:cs="Arial"/>
          <w:sz w:val="24"/>
          <w:szCs w:val="24"/>
        </w:rPr>
        <w:t xml:space="preserve"> can lead</w:t>
      </w:r>
      <w:r w:rsidRPr="00797004">
        <w:rPr>
          <w:rFonts w:ascii="Arial" w:hAnsi="Arial" w:cs="Arial"/>
          <w:sz w:val="24"/>
          <w:szCs w:val="24"/>
        </w:rPr>
        <w:t xml:space="preserve"> to </w:t>
      </w:r>
      <w:r w:rsidRPr="00797004">
        <w:rPr>
          <w:rFonts w:ascii="Arial" w:hAnsi="Arial" w:cs="Arial"/>
          <w:b/>
          <w:bCs/>
          <w:i/>
          <w:iCs/>
          <w:sz w:val="24"/>
          <w:szCs w:val="24"/>
        </w:rPr>
        <w:t xml:space="preserve">self-protection behaviours </w:t>
      </w:r>
      <w:r w:rsidR="00CA0D00">
        <w:rPr>
          <w:rFonts w:ascii="Arial" w:hAnsi="Arial" w:cs="Arial"/>
          <w:sz w:val="24"/>
          <w:szCs w:val="24"/>
        </w:rPr>
        <w:t>which help a singer to</w:t>
      </w:r>
      <w:r w:rsidRPr="00797004">
        <w:rPr>
          <w:rFonts w:ascii="Arial" w:hAnsi="Arial" w:cs="Arial"/>
          <w:sz w:val="24"/>
          <w:szCs w:val="24"/>
        </w:rPr>
        <w:t xml:space="preserve"> avoid </w:t>
      </w:r>
      <w:r w:rsidR="000F01E0">
        <w:rPr>
          <w:rFonts w:ascii="Arial" w:hAnsi="Arial" w:cs="Arial"/>
          <w:sz w:val="24"/>
          <w:szCs w:val="24"/>
        </w:rPr>
        <w:t>any</w:t>
      </w:r>
      <w:r w:rsidRPr="00797004">
        <w:rPr>
          <w:rFonts w:ascii="Arial" w:hAnsi="Arial" w:cs="Arial"/>
          <w:sz w:val="24"/>
          <w:szCs w:val="24"/>
        </w:rPr>
        <w:t xml:space="preserve"> uncomfortable situations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beliefs","type":"article-journal"},"uris":["http://www.mendeley.com/documents/?uuid=d1469298-0bbc-4c76-afcd-e0c4086da712"]}],"mendeley":{"formattedCitation":"(Hogle, 2021; Lewis and Hendricks, 2022)","plainTextFormattedCitation":"(Hogle, 2021; Lewis and Hendricks, 2022)","previouslyFormattedCitation":"(Hogle, 2021; Lewis and Hendricks, 2022)"},"properties":{"noteIndex":0},"schema":"https://github.com/citation-style-language/schema/raw/master/csl-citation.json"}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(Hogle, 2021; Lewis and Hendricks, 2022)</w:t>
      </w:r>
      <w:r w:rsidRPr="00797004">
        <w:rPr>
          <w:rFonts w:ascii="Arial" w:hAnsi="Arial" w:cs="Arial"/>
          <w:sz w:val="24"/>
          <w:szCs w:val="24"/>
        </w:rPr>
        <w:fldChar w:fldCharType="end"/>
      </w:r>
      <w:r w:rsidRPr="00797004">
        <w:rPr>
          <w:rFonts w:ascii="Arial" w:hAnsi="Arial" w:cs="Arial"/>
          <w:sz w:val="24"/>
          <w:szCs w:val="24"/>
        </w:rPr>
        <w:t xml:space="preserve">. Across the studies of </w:t>
      </w:r>
      <w:r w:rsidR="00D667C5">
        <w:rPr>
          <w:rFonts w:ascii="Arial" w:hAnsi="Arial" w:cs="Arial"/>
          <w:sz w:val="24"/>
          <w:szCs w:val="24"/>
        </w:rPr>
        <w:t xml:space="preserve">Lewis and Hendricks </w:t>
      </w:r>
      <w:r w:rsidRPr="00797004">
        <w:rPr>
          <w:rFonts w:ascii="Arial" w:hAnsi="Arial" w:cs="Arial"/>
          <w:sz w:val="24"/>
          <w:szCs w:val="24"/>
        </w:rPr>
        <w:fldChar w:fldCharType="begin" w:fldLock="1"/>
      </w:r>
      <w:r w:rsidR="00D667C5">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2022)","manualFormatting":"(2022)","plainTextFormattedCitation":"(Lewis and Hendricks, 2022)","previouslyFormattedCitation":"(Lewis and Hendricks, 2022)"},"properties":{"noteIndex":0},"schema":"https://github.com/citation-style-language/schema/raw/master/csl-citation.json"}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(2022)</w:t>
      </w:r>
      <w:r w:rsidRPr="00797004">
        <w:rPr>
          <w:rFonts w:ascii="Arial" w:hAnsi="Arial" w:cs="Arial"/>
          <w:sz w:val="24"/>
          <w:szCs w:val="24"/>
        </w:rPr>
        <w:fldChar w:fldCharType="end"/>
      </w:r>
      <w:r w:rsidRPr="00797004">
        <w:rPr>
          <w:rFonts w:ascii="Arial" w:hAnsi="Arial" w:cs="Arial"/>
          <w:sz w:val="24"/>
          <w:szCs w:val="24"/>
        </w:rPr>
        <w:t xml:space="preserve"> and Hogle </w:t>
      </w:r>
      <w:r w:rsidRPr="00797004">
        <w:rPr>
          <w:rFonts w:ascii="Arial" w:hAnsi="Arial" w:cs="Arial"/>
          <w:sz w:val="24"/>
          <w:szCs w:val="24"/>
        </w:rPr>
        <w:fldChar w:fldCharType="begin" w:fldLock="1"/>
      </w:r>
      <w:r w:rsidRPr="00797004">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2021)","manualFormatting":"(2021)","plainTextFormattedCitation":"(Hogle, 2021)","previouslyFormattedCitation":"(Hogle, 2021)"},"properties":{"noteIndex":0},"schema":"https://github.com/citation-style-language/schema/raw/master/csl-citation.json"}</w:instrText>
      </w:r>
      <w:r w:rsidRPr="00797004">
        <w:rPr>
          <w:rFonts w:ascii="Arial" w:hAnsi="Arial" w:cs="Arial"/>
          <w:sz w:val="24"/>
          <w:szCs w:val="24"/>
        </w:rPr>
        <w:fldChar w:fldCharType="separate"/>
      </w:r>
      <w:r w:rsidRPr="00797004">
        <w:rPr>
          <w:rFonts w:ascii="Arial" w:hAnsi="Arial" w:cs="Arial"/>
          <w:noProof/>
          <w:sz w:val="24"/>
          <w:szCs w:val="24"/>
        </w:rPr>
        <w:t>(2021)</w:t>
      </w:r>
      <w:r w:rsidRPr="00797004">
        <w:rPr>
          <w:rFonts w:ascii="Arial" w:hAnsi="Arial" w:cs="Arial"/>
          <w:sz w:val="24"/>
          <w:szCs w:val="24"/>
        </w:rPr>
        <w:fldChar w:fldCharType="end"/>
      </w:r>
      <w:r w:rsidRPr="00797004">
        <w:rPr>
          <w:rFonts w:ascii="Arial" w:hAnsi="Arial" w:cs="Arial"/>
          <w:sz w:val="24"/>
          <w:szCs w:val="24"/>
        </w:rPr>
        <w:t xml:space="preserve"> the </w:t>
      </w:r>
      <w:r w:rsidR="00F54118">
        <w:rPr>
          <w:rFonts w:ascii="Arial" w:hAnsi="Arial" w:cs="Arial"/>
          <w:sz w:val="24"/>
          <w:szCs w:val="24"/>
        </w:rPr>
        <w:t>themes</w:t>
      </w:r>
      <w:r w:rsidRPr="00797004">
        <w:rPr>
          <w:rFonts w:ascii="Arial" w:hAnsi="Arial" w:cs="Arial"/>
          <w:sz w:val="24"/>
          <w:szCs w:val="24"/>
        </w:rPr>
        <w:t xml:space="preserve"> of discomfort could manifest</w:t>
      </w:r>
      <w:r w:rsidR="00AC5ECA">
        <w:rPr>
          <w:rFonts w:ascii="Arial" w:hAnsi="Arial" w:cs="Arial"/>
          <w:sz w:val="24"/>
          <w:szCs w:val="24"/>
        </w:rPr>
        <w:t xml:space="preserve"> </w:t>
      </w:r>
      <w:r w:rsidRPr="00797004">
        <w:rPr>
          <w:rFonts w:ascii="Arial" w:hAnsi="Arial" w:cs="Arial"/>
          <w:sz w:val="24"/>
          <w:szCs w:val="24"/>
        </w:rPr>
        <w:t xml:space="preserve"> </w:t>
      </w:r>
      <w:r w:rsidR="0026462C">
        <w:rPr>
          <w:rFonts w:ascii="Arial" w:hAnsi="Arial" w:cs="Arial"/>
          <w:sz w:val="24"/>
          <w:szCs w:val="24"/>
        </w:rPr>
        <w:t>in</w:t>
      </w:r>
      <w:r w:rsidRPr="00797004">
        <w:rPr>
          <w:rFonts w:ascii="Arial" w:hAnsi="Arial" w:cs="Arial"/>
          <w:sz w:val="24"/>
          <w:szCs w:val="24"/>
        </w:rPr>
        <w:t xml:space="preserve"> environmental sensitivity, perceiving obstacle</w:t>
      </w:r>
      <w:r w:rsidR="0026462C">
        <w:rPr>
          <w:rFonts w:ascii="Arial" w:hAnsi="Arial" w:cs="Arial"/>
          <w:sz w:val="24"/>
          <w:szCs w:val="24"/>
        </w:rPr>
        <w:t>s</w:t>
      </w:r>
      <w:r w:rsidRPr="00797004">
        <w:rPr>
          <w:rFonts w:ascii="Arial" w:hAnsi="Arial" w:cs="Arial"/>
          <w:sz w:val="24"/>
          <w:szCs w:val="24"/>
        </w:rPr>
        <w:t xml:space="preserve"> to singing, discomfort around judgement, learning, instruction, and comparison</w:t>
      </w:r>
      <w:r w:rsidR="00074C29">
        <w:rPr>
          <w:rFonts w:ascii="Arial" w:hAnsi="Arial" w:cs="Arial"/>
          <w:sz w:val="24"/>
          <w:szCs w:val="24"/>
        </w:rPr>
        <w:t>. S</w:t>
      </w:r>
      <w:r w:rsidRPr="00797004">
        <w:rPr>
          <w:rFonts w:ascii="Arial" w:hAnsi="Arial" w:cs="Arial"/>
          <w:sz w:val="24"/>
          <w:szCs w:val="24"/>
        </w:rPr>
        <w:t xml:space="preserve">elf-protection could </w:t>
      </w:r>
      <w:r w:rsidR="00074C29">
        <w:rPr>
          <w:rFonts w:ascii="Arial" w:hAnsi="Arial" w:cs="Arial"/>
          <w:sz w:val="24"/>
          <w:szCs w:val="24"/>
        </w:rPr>
        <w:lastRenderedPageBreak/>
        <w:t>manifest as</w:t>
      </w:r>
      <w:r w:rsidRPr="00797004">
        <w:rPr>
          <w:rFonts w:ascii="Arial" w:hAnsi="Arial" w:cs="Arial"/>
          <w:sz w:val="24"/>
          <w:szCs w:val="24"/>
        </w:rPr>
        <w:t xml:space="preserve"> avoiding</w:t>
      </w:r>
      <w:r w:rsidR="00074C29">
        <w:rPr>
          <w:rFonts w:ascii="Arial" w:hAnsi="Arial" w:cs="Arial"/>
          <w:sz w:val="24"/>
          <w:szCs w:val="24"/>
        </w:rPr>
        <w:t>:</w:t>
      </w:r>
      <w:r w:rsidRPr="00797004">
        <w:rPr>
          <w:rFonts w:ascii="Arial" w:hAnsi="Arial" w:cs="Arial"/>
          <w:sz w:val="24"/>
          <w:szCs w:val="24"/>
        </w:rPr>
        <w:t xml:space="preserve"> wounds, skills, particular environments, and judgment to the extent of isolation and limiting the potential to develop self-efficacy</w:t>
      </w:r>
      <w:r w:rsidR="00074C29">
        <w:rPr>
          <w:rFonts w:ascii="Arial" w:hAnsi="Arial" w:cs="Arial"/>
          <w:sz w:val="24"/>
          <w:szCs w:val="24"/>
        </w:rPr>
        <w:t xml:space="preserve"> </w:t>
      </w:r>
      <w:r w:rsidR="00074C29">
        <w:rPr>
          <w:rFonts w:ascii="Arial" w:hAnsi="Arial" w:cs="Arial"/>
          <w:sz w:val="24"/>
          <w:szCs w:val="24"/>
        </w:rPr>
        <w:fldChar w:fldCharType="begin" w:fldLock="1"/>
      </w:r>
      <w:r w:rsidR="00B00812">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Education","id":"ITEM-2","issue":"2","issued":{"date-parts":[["2021"]]},"page":"179-194","title":"Fostering singing agency through emotional differentiation in an inclusive singing environment","type":"article-journal","volume":"43"},"uris":["http://www.mendeley.com/documents/?uuid=df4ddb6b-d417-411f-9261-d87aba0aa367"]}],"mendeley":{"formattedCitation":"(Hogle, 2021; Lewis and Hendricks, 2022)","plainTextFormattedCitation":"(Hogle, 2021; Lewis and Hendricks, 2022)","previouslyFormattedCitation":"(Hogle, 2021; Lewis and Hendricks, 2022)"},"properties":{"noteIndex":0},"schema":"https://github.com/citation-style-language/schema/raw/master/csl-citation.json"}</w:instrText>
      </w:r>
      <w:r w:rsidR="00074C29">
        <w:rPr>
          <w:rFonts w:ascii="Arial" w:hAnsi="Arial" w:cs="Arial"/>
          <w:sz w:val="24"/>
          <w:szCs w:val="24"/>
        </w:rPr>
        <w:fldChar w:fldCharType="separate"/>
      </w:r>
      <w:r w:rsidR="00074C29" w:rsidRPr="00074C29">
        <w:rPr>
          <w:rFonts w:ascii="Arial" w:hAnsi="Arial" w:cs="Arial"/>
          <w:noProof/>
          <w:sz w:val="24"/>
          <w:szCs w:val="24"/>
        </w:rPr>
        <w:t>(Hogle, 2021; Lewis and Hendricks, 2022)</w:t>
      </w:r>
      <w:r w:rsidR="00074C29">
        <w:rPr>
          <w:rFonts w:ascii="Arial" w:hAnsi="Arial" w:cs="Arial"/>
          <w:sz w:val="24"/>
          <w:szCs w:val="24"/>
        </w:rPr>
        <w:fldChar w:fldCharType="end"/>
      </w:r>
      <w:r w:rsidRPr="00797004">
        <w:rPr>
          <w:rFonts w:ascii="Arial" w:hAnsi="Arial" w:cs="Arial"/>
          <w:sz w:val="24"/>
          <w:szCs w:val="24"/>
        </w:rPr>
        <w:t>.</w:t>
      </w:r>
    </w:p>
    <w:p w14:paraId="66CAFF5D" w14:textId="77777777" w:rsidR="0010730A" w:rsidRDefault="00356298" w:rsidP="006415FD">
      <w:pPr>
        <w:spacing w:line="360" w:lineRule="auto"/>
        <w:jc w:val="both"/>
        <w:rPr>
          <w:rFonts w:ascii="Arial" w:hAnsi="Arial" w:cs="Arial"/>
          <w:sz w:val="24"/>
          <w:szCs w:val="24"/>
        </w:rPr>
      </w:pPr>
      <w:r w:rsidRPr="00797004">
        <w:rPr>
          <w:rFonts w:ascii="Arial" w:hAnsi="Arial" w:cs="Arial"/>
          <w:sz w:val="24"/>
          <w:szCs w:val="24"/>
        </w:rPr>
        <w:t>The main literature review will build on this context and cover the knowledge and strategies which can be employed by a singing teacher to improve a singer’s sense of self-efficacy and will critically reflect on the process and knowledge</w:t>
      </w:r>
      <w:r w:rsidR="006415FD">
        <w:rPr>
          <w:rFonts w:ascii="Arial" w:hAnsi="Arial" w:cs="Arial"/>
          <w:sz w:val="24"/>
          <w:szCs w:val="24"/>
        </w:rPr>
        <w:t>.</w:t>
      </w:r>
      <w:r w:rsidR="0010730A">
        <w:rPr>
          <w:rFonts w:ascii="Arial" w:hAnsi="Arial" w:cs="Arial"/>
          <w:sz w:val="24"/>
          <w:szCs w:val="24"/>
        </w:rPr>
        <w:br w:type="page"/>
      </w:r>
    </w:p>
    <w:p w14:paraId="39FD50E6" w14:textId="77777777" w:rsidR="007E3B8B" w:rsidRPr="000A7FC3" w:rsidRDefault="007E3B8B" w:rsidP="007E3B8B">
      <w:pPr>
        <w:spacing w:line="360" w:lineRule="auto"/>
        <w:jc w:val="center"/>
        <w:rPr>
          <w:rFonts w:ascii="Arial" w:hAnsi="Arial" w:cs="Arial"/>
          <w:b/>
          <w:sz w:val="24"/>
          <w:szCs w:val="24"/>
        </w:rPr>
      </w:pPr>
      <w:r w:rsidRPr="000A7FC3">
        <w:rPr>
          <w:rFonts w:ascii="Arial" w:hAnsi="Arial" w:cs="Arial"/>
          <w:b/>
          <w:sz w:val="24"/>
          <w:szCs w:val="24"/>
        </w:rPr>
        <w:lastRenderedPageBreak/>
        <w:t>Assignment 2</w:t>
      </w:r>
    </w:p>
    <w:p w14:paraId="2B78DAE0" w14:textId="43320AD2" w:rsidR="007E3B8B" w:rsidRPr="000A7FC3" w:rsidRDefault="007E3B8B" w:rsidP="000A7FC3">
      <w:pPr>
        <w:spacing w:line="360" w:lineRule="auto"/>
        <w:rPr>
          <w:rFonts w:ascii="Arial" w:hAnsi="Arial" w:cs="Arial"/>
          <w:sz w:val="24"/>
          <w:szCs w:val="24"/>
        </w:rPr>
      </w:pPr>
      <w:r w:rsidRPr="000A7FC3">
        <w:rPr>
          <w:rFonts w:ascii="Arial" w:hAnsi="Arial" w:cs="Arial"/>
          <w:b/>
          <w:bCs/>
          <w:sz w:val="24"/>
          <w:szCs w:val="24"/>
        </w:rPr>
        <w:t>Research question:</w:t>
      </w:r>
      <w:r w:rsidRPr="000A7FC3">
        <w:rPr>
          <w:rFonts w:ascii="Arial" w:hAnsi="Arial" w:cs="Arial"/>
          <w:sz w:val="24"/>
          <w:szCs w:val="24"/>
        </w:rPr>
        <w:t xml:space="preserve"> </w:t>
      </w:r>
    </w:p>
    <w:p w14:paraId="567190ED" w14:textId="77777777" w:rsidR="007E3B8B" w:rsidRPr="000A7FC3" w:rsidRDefault="007E3B8B" w:rsidP="000A7FC3">
      <w:pPr>
        <w:spacing w:line="360" w:lineRule="auto"/>
        <w:jc w:val="both"/>
        <w:rPr>
          <w:rFonts w:ascii="Arial" w:hAnsi="Arial" w:cs="Arial"/>
          <w:sz w:val="24"/>
          <w:szCs w:val="24"/>
        </w:rPr>
      </w:pPr>
      <w:r w:rsidRPr="000A7FC3">
        <w:rPr>
          <w:rFonts w:ascii="Arial" w:hAnsi="Arial" w:cs="Arial"/>
          <w:sz w:val="24"/>
          <w:szCs w:val="24"/>
        </w:rPr>
        <w:t>How can teaching strategies facilitate the positive development of a student's self-efficacy in singing lessons?</w:t>
      </w:r>
    </w:p>
    <w:p w14:paraId="5DD1ADDC" w14:textId="77777777" w:rsidR="007E3B8B" w:rsidRPr="000A7FC3" w:rsidRDefault="007E3B8B" w:rsidP="000A7FC3">
      <w:pPr>
        <w:spacing w:line="360" w:lineRule="auto"/>
        <w:jc w:val="both"/>
        <w:rPr>
          <w:rFonts w:ascii="Arial" w:hAnsi="Arial" w:cs="Arial"/>
          <w:b/>
          <w:bCs/>
          <w:sz w:val="24"/>
          <w:szCs w:val="24"/>
        </w:rPr>
      </w:pPr>
      <w:r w:rsidRPr="000A7FC3">
        <w:rPr>
          <w:rFonts w:ascii="Arial" w:hAnsi="Arial" w:cs="Arial"/>
          <w:b/>
          <w:bCs/>
          <w:sz w:val="24"/>
          <w:szCs w:val="24"/>
        </w:rPr>
        <w:t>Introduction:</w:t>
      </w:r>
    </w:p>
    <w:p w14:paraId="5007C1FD" w14:textId="09184AD9" w:rsidR="007E3B8B" w:rsidRDefault="007E3B8B" w:rsidP="000A7FC3">
      <w:pPr>
        <w:spacing w:line="360" w:lineRule="auto"/>
        <w:jc w:val="both"/>
        <w:rPr>
          <w:rFonts w:ascii="Arial" w:hAnsi="Arial" w:cs="Arial"/>
          <w:sz w:val="24"/>
          <w:szCs w:val="24"/>
        </w:rPr>
      </w:pPr>
      <w:r w:rsidRPr="000A7FC3">
        <w:rPr>
          <w:rFonts w:ascii="Arial" w:hAnsi="Arial" w:cs="Arial"/>
          <w:sz w:val="24"/>
          <w:szCs w:val="24"/>
        </w:rPr>
        <w:t xml:space="preserve">This report will recount the findings of the literature review probing the research question. </w:t>
      </w:r>
      <w:r w:rsidR="00147311">
        <w:rPr>
          <w:rFonts w:ascii="Arial" w:hAnsi="Arial" w:cs="Arial"/>
          <w:sz w:val="24"/>
          <w:szCs w:val="24"/>
        </w:rPr>
        <w:t xml:space="preserve">The research suggests there are </w:t>
      </w:r>
      <w:r w:rsidR="00240F58">
        <w:rPr>
          <w:rFonts w:ascii="Arial" w:hAnsi="Arial" w:cs="Arial"/>
          <w:sz w:val="24"/>
          <w:szCs w:val="24"/>
        </w:rPr>
        <w:t xml:space="preserve">many teaching strategies which can support self-efficacy development. </w:t>
      </w:r>
      <w:r w:rsidR="008B34DD">
        <w:rPr>
          <w:rFonts w:ascii="Arial" w:hAnsi="Arial" w:cs="Arial"/>
          <w:sz w:val="24"/>
          <w:szCs w:val="24"/>
        </w:rPr>
        <w:t xml:space="preserve">Some aspects </w:t>
      </w:r>
      <w:r w:rsidR="00C51FA5">
        <w:rPr>
          <w:rFonts w:ascii="Arial" w:hAnsi="Arial" w:cs="Arial"/>
          <w:sz w:val="24"/>
          <w:szCs w:val="24"/>
        </w:rPr>
        <w:t xml:space="preserve">of the research </w:t>
      </w:r>
      <w:r w:rsidR="003F4C90">
        <w:rPr>
          <w:rFonts w:ascii="Arial" w:hAnsi="Arial" w:cs="Arial"/>
          <w:sz w:val="24"/>
          <w:szCs w:val="24"/>
        </w:rPr>
        <w:t>relate to</w:t>
      </w:r>
      <w:r w:rsidR="00C51FA5">
        <w:rPr>
          <w:rFonts w:ascii="Arial" w:hAnsi="Arial" w:cs="Arial"/>
          <w:sz w:val="24"/>
          <w:szCs w:val="24"/>
        </w:rPr>
        <w:t xml:space="preserve"> the teacher’s ways of thinking and how they approach lessons.</w:t>
      </w:r>
      <w:r w:rsidR="003F4C90">
        <w:rPr>
          <w:rFonts w:ascii="Arial" w:hAnsi="Arial" w:cs="Arial"/>
          <w:sz w:val="24"/>
          <w:szCs w:val="24"/>
        </w:rPr>
        <w:t xml:space="preserve"> </w:t>
      </w:r>
      <w:r>
        <w:rPr>
          <w:rFonts w:ascii="Arial" w:hAnsi="Arial" w:cs="Arial"/>
          <w:sz w:val="24"/>
          <w:szCs w:val="24"/>
        </w:rPr>
        <w:t xml:space="preserve">These will be discussed in the section </w:t>
      </w:r>
      <w:r w:rsidRPr="00BD56DE">
        <w:rPr>
          <w:rFonts w:ascii="Arial" w:hAnsi="Arial" w:cs="Arial"/>
          <w:b/>
          <w:bCs/>
          <w:i/>
          <w:iCs/>
          <w:sz w:val="24"/>
          <w:szCs w:val="24"/>
        </w:rPr>
        <w:t>development needs</w:t>
      </w:r>
      <w:r>
        <w:rPr>
          <w:rFonts w:ascii="Arial" w:hAnsi="Arial" w:cs="Arial"/>
          <w:b/>
          <w:bCs/>
          <w:i/>
          <w:iCs/>
          <w:sz w:val="24"/>
          <w:szCs w:val="24"/>
        </w:rPr>
        <w:t>, experiences, and skills</w:t>
      </w:r>
      <w:r>
        <w:rPr>
          <w:rFonts w:ascii="Arial" w:hAnsi="Arial" w:cs="Arial"/>
          <w:sz w:val="24"/>
          <w:szCs w:val="24"/>
        </w:rPr>
        <w:t xml:space="preserve">. Knowledge of these factors could help a teacher to make choices in support of self-efficacy improvements </w:t>
      </w:r>
      <w:r>
        <w:rPr>
          <w:rFonts w:ascii="Arial" w:hAnsi="Arial" w:cs="Arial"/>
          <w:sz w:val="24"/>
          <w:szCs w:val="24"/>
        </w:rPr>
        <w:fldChar w:fldCharType="begin" w:fldLock="1"/>
      </w:r>
      <w:r>
        <w:rPr>
          <w:rFonts w:ascii="Arial" w:hAnsi="Arial" w:cs="Arial"/>
          <w:sz w:val="24"/>
          <w:szCs w:val="24"/>
        </w:rPr>
        <w:instrText>ADDIN CSL_CITATION {"citationItems":[{"id":"ITEM-1","itemData":{"DOI":"10.1111/bjep.12016","ISSN":"00070998","PMID":"23692533","abstract":"Background: Although the evidence in support of the variability of students' learning strategies has expanded in recent years, less is known about the explanatory base of these individual differences in terms of the joint influences of personal and contextual characteristics. Aims: Previous studies have often investigated how student learning is associated with either personal or contextual factors. This study takes an integrative research perspective into account and examines the joint effects of personality, academic motivation, and teaching strategies on students' learning strategies in a same educational context in first-year higher education. Sample: In this study, 1,126 undergraduate students and 90 lecturers from eight professional bachelor programmes in a university college participated. Methods: Self-report measures were used to measure students' personality, academic motivation, and learning strategies. Students' processing and regulation strategies are mapped using the Inventory of Learning Styles. Key characteristics of more content-focused versus learning-focused teaching strategies were measured. Multivariate multi-level analysis was used to take the nested data structure and interrelatedness of learning strategies into account. Results: Different personality traits (openness, conscientiousness, and neuroticism) and academic motivation (amotivation, autonomous, and controlled motivation) were found to be independently associated with student learning strategies. Besides these student characteristics, also teaching strategies were found to be directly associated with learning strategies. Conclusions: The study makes clear that the impact of teaching strategies on learning strategies in first-year higher education cannot be overlooked nor overinterpreted, due to the importance of students' personality and academic motivation which also partly explain why students learn the way they do. © 2013 The British Psychological Society.","author":[{"dropping-particle":"","family":"Donche","given":"Vincent","non-dropping-particle":"","parse-names":false,"suffix":""},{"dropping-particle":"","family":"Maeyer","given":"Sven","non-dropping-particle":"De","parse-names":false,"suffix":""},{"dropping-particle":"","family":"Coertjens","given":"Liesje","non-dropping-particle":"","parse-names":false,"suffix":""},{"dropping-particle":"","family":"Daal","given":"Tine","non-dropping-particle":"Van","parse-names":false,"suffix":""},{"dropping-particle":"","family":"Petegem","given":"Peter","non-dropping-particle":"Van","parse-names":false,"suffix":""}],"container-title":"British Journal of Educational Psychology","id":"ITEM-1","issue":"2","issued":{"date-parts":[["2013"]]},"page":"238-251","title":"Differential use of learning strategies in first-year higher education: The impact of personality, academic motivation, and teaching strategies","type":"article-journal","volume":"83"},"uris":["http://www.mendeley.com/documents/?uuid=c800d91c-5a61-4ef5-8e5a-1843a9b0f09c"]},{"id":"ITEM-2","itemData":{"DOI":"10.1080/13603116.2017.1414578","ISSN":"14645173","abstract":"Inclusion has a high priority in education policy all over the world and teachers must be able to handle in practice increasing student diversity and the demands for creating an inclusive learning environment. In spite of the enhanced political focus, there is a lack of research focusing on how those teachers working with inclusion can be supported with more tangible and meaningful ways of understanding and developing inclusive classrooms. This article argues that seeing research in inclusion in close connection with research in effective teaching strategies and classroom management will contribute to an enrichment of the two research fields and give teachers and researchers new opportunities for developing more inclusive schools. Based on research focused on teaching strategies that support students’ opportunities for learning, four dimensions of inclusive teaching strategies are presented: a framing, a relational, a didactic and an organisational dimension. In addition, and in order to further understand teachers work with inclusive education in a more structural perspective, light is shed on the complexity that teachers are required to handle in practice. This complexity, among other things, entails dilemmas emerging from different agendas teachers often must handle themselves.","author":[{"dropping-particle":"","family":"Molbaek","given":"Mette","non-dropping-particle":"","parse-names":false,"suffix":""}],"container-title":"International Journal of Inclusive Education","id":"ITEM-2","issue":"10","issued":{"date-parts":[["2018"]]},"page":"1048-1061","publisher":"Taylor &amp; Francis","title":"Inclusive teaching strategies–dimensions and agendas","type":"article-journal","volume":"22"},"uris":["http://www.mendeley.com/documents/?uuid=542f940e-b6ac-4869-8130-c3b6e9be2a28"]}],"mendeley":{"formattedCitation":"(Donche &lt;i&gt;et al.&lt;/i&gt;, 2013; Molbaek, 2018)","plainTextFormattedCitation":"(Donche et al., 2013; Molbaek, 2018)","previouslyFormattedCitation":"(Donche &lt;i&gt;et al.&lt;/i&gt;, 2013; Molbaek, 2018)"},"properties":{"noteIndex":0},"schema":"https://github.com/citation-style-language/schema/raw/master/csl-citation.json"}</w:instrText>
      </w:r>
      <w:r>
        <w:rPr>
          <w:rFonts w:ascii="Arial" w:hAnsi="Arial" w:cs="Arial"/>
          <w:sz w:val="24"/>
          <w:szCs w:val="24"/>
        </w:rPr>
        <w:fldChar w:fldCharType="separate"/>
      </w:r>
      <w:r w:rsidRPr="009C0699">
        <w:rPr>
          <w:rFonts w:ascii="Arial" w:hAnsi="Arial" w:cs="Arial"/>
          <w:noProof/>
          <w:sz w:val="24"/>
          <w:szCs w:val="24"/>
        </w:rPr>
        <w:t xml:space="preserve">(Donche </w:t>
      </w:r>
      <w:r w:rsidRPr="009C0699">
        <w:rPr>
          <w:rFonts w:ascii="Arial" w:hAnsi="Arial" w:cs="Arial"/>
          <w:i/>
          <w:noProof/>
          <w:sz w:val="24"/>
          <w:szCs w:val="24"/>
        </w:rPr>
        <w:t>et al.</w:t>
      </w:r>
      <w:r w:rsidRPr="009C0699">
        <w:rPr>
          <w:rFonts w:ascii="Arial" w:hAnsi="Arial" w:cs="Arial"/>
          <w:noProof/>
          <w:sz w:val="24"/>
          <w:szCs w:val="24"/>
        </w:rPr>
        <w:t>, 2013; Molbaek, 2018)</w:t>
      </w:r>
      <w:r>
        <w:rPr>
          <w:rFonts w:ascii="Arial" w:hAnsi="Arial" w:cs="Arial"/>
          <w:sz w:val="24"/>
          <w:szCs w:val="24"/>
        </w:rPr>
        <w:fldChar w:fldCharType="end"/>
      </w:r>
      <w:r>
        <w:rPr>
          <w:rFonts w:ascii="Arial" w:hAnsi="Arial" w:cs="Arial"/>
          <w:sz w:val="24"/>
          <w:szCs w:val="24"/>
        </w:rPr>
        <w:t xml:space="preserve">. The </w:t>
      </w:r>
      <w:r w:rsidRPr="0086583F">
        <w:rPr>
          <w:rFonts w:ascii="Arial" w:hAnsi="Arial" w:cs="Arial"/>
          <w:b/>
          <w:bCs/>
          <w:i/>
          <w:iCs/>
          <w:sz w:val="24"/>
          <w:szCs w:val="24"/>
        </w:rPr>
        <w:t>strategies</w:t>
      </w:r>
      <w:r>
        <w:rPr>
          <w:rFonts w:ascii="Arial" w:hAnsi="Arial" w:cs="Arial"/>
          <w:sz w:val="24"/>
          <w:szCs w:val="24"/>
        </w:rPr>
        <w:t xml:space="preserve"> section of the report discusses more defined approaches to address these development needs. </w:t>
      </w:r>
      <w:r w:rsidRPr="000A7FC3">
        <w:rPr>
          <w:rFonts w:ascii="Arial" w:hAnsi="Arial" w:cs="Arial"/>
          <w:sz w:val="24"/>
          <w:szCs w:val="24"/>
        </w:rPr>
        <w:t>Rationalising in this manner has the aim of building a cumulative knowledge base</w:t>
      </w:r>
      <w:r>
        <w:rPr>
          <w:rFonts w:ascii="Arial" w:hAnsi="Arial" w:cs="Arial"/>
          <w:sz w:val="24"/>
          <w:szCs w:val="24"/>
        </w:rPr>
        <w:t xml:space="preserve"> which could have a transformative effect on singing teachers and their work </w:t>
      </w:r>
      <w:r>
        <w:rPr>
          <w:rFonts w:ascii="Arial" w:hAnsi="Arial" w:cs="Arial"/>
          <w:sz w:val="24"/>
          <w:szCs w:val="24"/>
        </w:rPr>
        <w:fldChar w:fldCharType="begin" w:fldLock="1"/>
      </w:r>
      <w:r>
        <w:rPr>
          <w:rFonts w:ascii="Arial" w:hAnsi="Arial" w:cs="Arial"/>
          <w:sz w:val="24"/>
          <w:szCs w:val="24"/>
        </w:rPr>
        <w:instrText>ADDIN CSL_CITATION {"citationItems":[{"id":"ITEM-1","itemData":{"ISSN":"10867732","abstract":"The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Singing","id":"ITEM-1","issue":"4","issued":{"date-parts":[["2018"]]},"page":"405-414","title":"Critical Thought, Intrinsic Motivation, and the Voice Studio: Perspectives of Master Teachers.","type":"article-journal","volume":"74"},"uris":["http://www.mendeley.com/documents/?uuid=4030f552-7b94-4abf-bab4-c0b97b7babca"]}],"mendeley":{"formattedCitation":"(Stephenson, 2018)","plainTextFormattedCitation":"(Stephenson, 2018)","previouslyFormattedCitation":"(Stephenson, 2018)"},"properties":{"noteIndex":0},"schema":"https://github.com/citation-style-language/schema/raw/master/csl-citation.json"}</w:instrText>
      </w:r>
      <w:r>
        <w:rPr>
          <w:rFonts w:ascii="Arial" w:hAnsi="Arial" w:cs="Arial"/>
          <w:sz w:val="24"/>
          <w:szCs w:val="24"/>
        </w:rPr>
        <w:fldChar w:fldCharType="separate"/>
      </w:r>
      <w:r w:rsidRPr="0029679B">
        <w:rPr>
          <w:rFonts w:ascii="Arial" w:hAnsi="Arial" w:cs="Arial"/>
          <w:noProof/>
          <w:sz w:val="24"/>
          <w:szCs w:val="24"/>
        </w:rPr>
        <w:t>(Stephenson, 2018)</w:t>
      </w:r>
      <w:r>
        <w:rPr>
          <w:rFonts w:ascii="Arial" w:hAnsi="Arial" w:cs="Arial"/>
          <w:sz w:val="24"/>
          <w:szCs w:val="24"/>
        </w:rPr>
        <w:fldChar w:fldCharType="end"/>
      </w:r>
      <w:r w:rsidRPr="000A7FC3">
        <w:rPr>
          <w:rFonts w:ascii="Arial" w:hAnsi="Arial" w:cs="Arial"/>
          <w:sz w:val="24"/>
          <w:szCs w:val="24"/>
        </w:rPr>
        <w:t xml:space="preserve">. </w:t>
      </w:r>
      <w:r>
        <w:rPr>
          <w:rFonts w:ascii="Arial" w:hAnsi="Arial" w:cs="Arial"/>
          <w:sz w:val="24"/>
          <w:szCs w:val="24"/>
        </w:rPr>
        <w:t>Three key documents regarding self-efficacy and singing agency will form the backbone of the discussion</w:t>
      </w:r>
      <w:r w:rsidR="00EE1720">
        <w:rPr>
          <w:rFonts w:ascii="Arial" w:hAnsi="Arial" w:cs="Arial"/>
          <w:sz w:val="24"/>
          <w:szCs w:val="24"/>
        </w:rPr>
        <w:t xml:space="preserve">. These </w:t>
      </w:r>
      <w:r w:rsidR="00581A25">
        <w:rPr>
          <w:rFonts w:ascii="Arial" w:hAnsi="Arial" w:cs="Arial"/>
          <w:sz w:val="24"/>
          <w:szCs w:val="24"/>
        </w:rPr>
        <w:t xml:space="preserve">documents </w:t>
      </w:r>
      <w:r>
        <w:rPr>
          <w:rFonts w:ascii="Arial" w:hAnsi="Arial" w:cs="Arial"/>
          <w:sz w:val="24"/>
          <w:szCs w:val="24"/>
        </w:rPr>
        <w:t xml:space="preserve">will </w:t>
      </w:r>
      <w:r w:rsidR="00581A25">
        <w:rPr>
          <w:rFonts w:ascii="Arial" w:hAnsi="Arial" w:cs="Arial"/>
          <w:sz w:val="24"/>
          <w:szCs w:val="24"/>
        </w:rPr>
        <w:t xml:space="preserve">be </w:t>
      </w:r>
      <w:r>
        <w:rPr>
          <w:rFonts w:ascii="Arial" w:hAnsi="Arial" w:cs="Arial"/>
          <w:sz w:val="24"/>
          <w:szCs w:val="24"/>
        </w:rPr>
        <w:t xml:space="preserve">cross-referenced </w:t>
      </w:r>
      <w:r w:rsidR="0068297C">
        <w:rPr>
          <w:rFonts w:ascii="Arial" w:hAnsi="Arial" w:cs="Arial"/>
          <w:sz w:val="24"/>
          <w:szCs w:val="24"/>
        </w:rPr>
        <w:t>against</w:t>
      </w:r>
      <w:r>
        <w:rPr>
          <w:rFonts w:ascii="Arial" w:hAnsi="Arial" w:cs="Arial"/>
          <w:sz w:val="24"/>
          <w:szCs w:val="24"/>
        </w:rPr>
        <w:t xml:space="preserve"> </w:t>
      </w:r>
      <w:r w:rsidR="00487867">
        <w:rPr>
          <w:rFonts w:ascii="Arial" w:hAnsi="Arial" w:cs="Arial"/>
          <w:sz w:val="24"/>
          <w:szCs w:val="24"/>
        </w:rPr>
        <w:t xml:space="preserve">the rest of the corpus and </w:t>
      </w:r>
      <w:r>
        <w:rPr>
          <w:rFonts w:ascii="Arial" w:hAnsi="Arial" w:cs="Arial"/>
          <w:sz w:val="24"/>
          <w:szCs w:val="24"/>
        </w:rPr>
        <w:t xml:space="preserve">each other. The three key documents are: Creech and Hallam </w:t>
      </w:r>
      <w:r>
        <w:rPr>
          <w:rFonts w:ascii="Arial" w:hAnsi="Arial" w:cs="Arial"/>
          <w:sz w:val="24"/>
          <w:szCs w:val="24"/>
        </w:rPr>
        <w:fldChar w:fldCharType="begin" w:fldLock="1"/>
      </w:r>
      <w:r>
        <w:rPr>
          <w:rFonts w:ascii="Arial" w:hAnsi="Arial" w:cs="Arial"/>
          <w:sz w:val="24"/>
          <w:szCs w:val="24"/>
        </w:rPr>
        <w:instrText>ADDIN CSL_CITATION {"citationItems":[{"id":"ITEM-1","itemData":{"DOI":"10.18546/LRE.13.1.05","ISSN":"14748479","abstract":"The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Education","id":"ITEM-1","issue":"1","issued":{"date-parts":[["2015"]]},"page":"43-57","title":"Critical geragogy: A framework for facilitating older learners in community music","type":"article-journal","volume":"13"},"uris":["http://www.mendeley.com/documents/?uuid=fa50dd99-4e1e-44de-a3f2-30dd41815d00"]}],"mendeley":{"formattedCitation":"(Creech and Hallam, 2015)","manualFormatting":"(2015)","plainTextFormattedCitation":"(Creech and Hallam, 2015)","previouslyFormattedCitation":"(Creech and Hallam, 2015)"},"properties":{"noteIndex":0},"schema":"https://github.com/citation-style-language/schema/raw/master/csl-citation.json"}</w:instrText>
      </w:r>
      <w:r>
        <w:rPr>
          <w:rFonts w:ascii="Arial" w:hAnsi="Arial" w:cs="Arial"/>
          <w:sz w:val="24"/>
          <w:szCs w:val="24"/>
        </w:rPr>
        <w:fldChar w:fldCharType="separate"/>
      </w:r>
      <w:r w:rsidRPr="00BE4DA9">
        <w:rPr>
          <w:rFonts w:ascii="Arial" w:hAnsi="Arial" w:cs="Arial"/>
          <w:noProof/>
          <w:sz w:val="24"/>
          <w:szCs w:val="24"/>
        </w:rPr>
        <w:t>(2015)</w:t>
      </w:r>
      <w:r>
        <w:rPr>
          <w:rFonts w:ascii="Arial" w:hAnsi="Arial" w:cs="Arial"/>
          <w:sz w:val="24"/>
          <w:szCs w:val="24"/>
        </w:rPr>
        <w:fldChar w:fldCharType="end"/>
      </w:r>
      <w:r>
        <w:rPr>
          <w:rFonts w:ascii="Arial" w:hAnsi="Arial" w:cs="Arial"/>
          <w:sz w:val="24"/>
          <w:szCs w:val="24"/>
        </w:rPr>
        <w:t xml:space="preserve">, Lewis and Hendricks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2022)","manualFormatting":"(2022)","plainTextFormattedCitation":"(Lewis and Hendricks, 2022)","previouslyFormattedCitation":"(Lewis and Hendricks, 2022)"},"properties":{"noteIndex":0},"schema":"https://github.com/citation-style-language/schema/raw/master/csl-citation.json"}</w:instrText>
      </w:r>
      <w:r>
        <w:rPr>
          <w:rFonts w:ascii="Arial" w:hAnsi="Arial" w:cs="Arial"/>
          <w:sz w:val="24"/>
          <w:szCs w:val="24"/>
        </w:rPr>
        <w:fldChar w:fldCharType="separate"/>
      </w:r>
      <w:r w:rsidRPr="00BE4DA9">
        <w:rPr>
          <w:rFonts w:ascii="Arial" w:hAnsi="Arial" w:cs="Arial"/>
          <w:noProof/>
          <w:sz w:val="24"/>
          <w:szCs w:val="24"/>
        </w:rPr>
        <w:t>(2022)</w:t>
      </w:r>
      <w:r>
        <w:rPr>
          <w:rFonts w:ascii="Arial" w:hAnsi="Arial" w:cs="Arial"/>
          <w:sz w:val="24"/>
          <w:szCs w:val="24"/>
        </w:rPr>
        <w:fldChar w:fldCharType="end"/>
      </w:r>
      <w:r>
        <w:rPr>
          <w:rFonts w:ascii="Arial" w:hAnsi="Arial" w:cs="Arial"/>
          <w:sz w:val="24"/>
          <w:szCs w:val="24"/>
        </w:rPr>
        <w:t xml:space="preserve">, and Hogle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2021)","manualFormatting":"(2021)","plainTextFormattedCitation":"(Hogle, 2021)","previouslyFormattedCitation":"(Hogle, 2021)"},"properties":{"noteIndex":0},"schema":"https://github.com/citation-style-language/schema/raw/master/csl-citation.json"}</w:instrText>
      </w:r>
      <w:r>
        <w:rPr>
          <w:rFonts w:ascii="Arial" w:hAnsi="Arial" w:cs="Arial"/>
          <w:sz w:val="24"/>
          <w:szCs w:val="24"/>
        </w:rPr>
        <w:fldChar w:fldCharType="separate"/>
      </w:r>
      <w:r w:rsidRPr="00BF236F">
        <w:rPr>
          <w:rFonts w:ascii="Arial" w:hAnsi="Arial" w:cs="Arial"/>
          <w:noProof/>
          <w:sz w:val="24"/>
          <w:szCs w:val="24"/>
        </w:rPr>
        <w:t>(2021)</w:t>
      </w:r>
      <w:r>
        <w:rPr>
          <w:rFonts w:ascii="Arial" w:hAnsi="Arial" w:cs="Arial"/>
          <w:sz w:val="24"/>
          <w:szCs w:val="24"/>
        </w:rPr>
        <w:fldChar w:fldCharType="end"/>
      </w:r>
      <w:r>
        <w:rPr>
          <w:rFonts w:ascii="Arial" w:hAnsi="Arial" w:cs="Arial"/>
          <w:sz w:val="24"/>
          <w:szCs w:val="24"/>
        </w:rPr>
        <w:t xml:space="preserve">. </w:t>
      </w:r>
    </w:p>
    <w:p w14:paraId="54A9E46B" w14:textId="61DC1B1A" w:rsidR="007E3B8B" w:rsidRPr="000A7FC3" w:rsidRDefault="007E3B8B" w:rsidP="000A7FC3">
      <w:pPr>
        <w:spacing w:line="360" w:lineRule="auto"/>
        <w:jc w:val="both"/>
        <w:rPr>
          <w:rFonts w:ascii="Arial" w:hAnsi="Arial" w:cs="Arial"/>
          <w:sz w:val="24"/>
          <w:szCs w:val="24"/>
        </w:rPr>
      </w:pPr>
      <w:r w:rsidRPr="000A7FC3">
        <w:rPr>
          <w:rFonts w:ascii="Arial" w:hAnsi="Arial" w:cs="Arial"/>
          <w:sz w:val="24"/>
          <w:szCs w:val="24"/>
        </w:rPr>
        <w:t xml:space="preserve">The aim is </w:t>
      </w:r>
      <w:r>
        <w:rPr>
          <w:rFonts w:ascii="Arial" w:hAnsi="Arial" w:cs="Arial"/>
          <w:sz w:val="24"/>
          <w:szCs w:val="24"/>
        </w:rPr>
        <w:t>to provide the reader with an understanding of self-efficacy and</w:t>
      </w:r>
      <w:r w:rsidRPr="000A7FC3">
        <w:rPr>
          <w:rFonts w:ascii="Arial" w:hAnsi="Arial" w:cs="Arial"/>
          <w:sz w:val="24"/>
          <w:szCs w:val="24"/>
        </w:rPr>
        <w:t xml:space="preserve"> </w:t>
      </w:r>
      <w:r>
        <w:rPr>
          <w:rFonts w:ascii="Arial" w:hAnsi="Arial" w:cs="Arial"/>
          <w:sz w:val="24"/>
          <w:szCs w:val="24"/>
        </w:rPr>
        <w:t xml:space="preserve">to provide </w:t>
      </w:r>
      <w:r w:rsidRPr="000A7FC3">
        <w:rPr>
          <w:rFonts w:ascii="Arial" w:hAnsi="Arial" w:cs="Arial"/>
          <w:sz w:val="24"/>
          <w:szCs w:val="24"/>
        </w:rPr>
        <w:t xml:space="preserve">workable, effective, and evidence-based strategies which </w:t>
      </w:r>
      <w:r>
        <w:rPr>
          <w:rFonts w:ascii="Arial" w:hAnsi="Arial" w:cs="Arial"/>
          <w:sz w:val="24"/>
          <w:szCs w:val="24"/>
        </w:rPr>
        <w:t xml:space="preserve">voice teachers </w:t>
      </w:r>
      <w:r w:rsidRPr="000A7FC3">
        <w:rPr>
          <w:rFonts w:ascii="Arial" w:hAnsi="Arial" w:cs="Arial"/>
          <w:sz w:val="24"/>
          <w:szCs w:val="24"/>
        </w:rPr>
        <w:t>can w</w:t>
      </w:r>
      <w:r>
        <w:rPr>
          <w:rFonts w:ascii="Arial" w:hAnsi="Arial" w:cs="Arial"/>
          <w:sz w:val="24"/>
          <w:szCs w:val="24"/>
        </w:rPr>
        <w:t xml:space="preserve">eave </w:t>
      </w:r>
      <w:r w:rsidRPr="000A7FC3">
        <w:rPr>
          <w:rFonts w:ascii="Arial" w:hAnsi="Arial" w:cs="Arial"/>
          <w:sz w:val="24"/>
          <w:szCs w:val="24"/>
        </w:rPr>
        <w:t>into</w:t>
      </w:r>
      <w:r>
        <w:rPr>
          <w:rFonts w:ascii="Arial" w:hAnsi="Arial" w:cs="Arial"/>
          <w:sz w:val="24"/>
          <w:szCs w:val="24"/>
        </w:rPr>
        <w:t xml:space="preserve"> singing</w:t>
      </w:r>
      <w:r w:rsidRPr="000A7FC3">
        <w:rPr>
          <w:rFonts w:ascii="Arial" w:hAnsi="Arial" w:cs="Arial"/>
          <w:sz w:val="24"/>
          <w:szCs w:val="24"/>
        </w:rPr>
        <w:t xml:space="preserve"> lesson</w:t>
      </w:r>
      <w:r>
        <w:rPr>
          <w:rFonts w:ascii="Arial" w:hAnsi="Arial" w:cs="Arial"/>
          <w:sz w:val="24"/>
          <w:szCs w:val="24"/>
        </w:rPr>
        <w:t>s to</w:t>
      </w:r>
      <w:r w:rsidRPr="000A7FC3">
        <w:rPr>
          <w:rFonts w:ascii="Arial" w:hAnsi="Arial" w:cs="Arial"/>
          <w:sz w:val="24"/>
          <w:szCs w:val="24"/>
        </w:rPr>
        <w:t xml:space="preserve"> build a student’s sense of self-efficacy as part of the ongoing learning process. </w:t>
      </w:r>
    </w:p>
    <w:p w14:paraId="14ACD116" w14:textId="77777777" w:rsidR="007E3B8B" w:rsidRDefault="007E3B8B" w:rsidP="000A7FC3">
      <w:pPr>
        <w:spacing w:line="360" w:lineRule="auto"/>
        <w:rPr>
          <w:rFonts w:ascii="Arial" w:hAnsi="Arial" w:cs="Arial"/>
          <w:b/>
          <w:bCs/>
          <w:sz w:val="24"/>
          <w:szCs w:val="24"/>
        </w:rPr>
      </w:pPr>
      <w:r>
        <w:rPr>
          <w:rFonts w:ascii="Arial" w:hAnsi="Arial" w:cs="Arial"/>
          <w:b/>
          <w:bCs/>
          <w:sz w:val="24"/>
          <w:szCs w:val="24"/>
        </w:rPr>
        <w:t>Findings:</w:t>
      </w:r>
    </w:p>
    <w:p w14:paraId="44DE0844" w14:textId="77777777" w:rsidR="007E3B8B" w:rsidRPr="003E00EE" w:rsidRDefault="007E3B8B" w:rsidP="000A7FC3">
      <w:pPr>
        <w:spacing w:line="360" w:lineRule="auto"/>
        <w:rPr>
          <w:rFonts w:ascii="Arial" w:hAnsi="Arial" w:cs="Arial"/>
          <w:b/>
          <w:bCs/>
          <w:i/>
          <w:iCs/>
          <w:sz w:val="24"/>
          <w:szCs w:val="24"/>
        </w:rPr>
      </w:pPr>
      <w:r w:rsidRPr="003E00EE">
        <w:rPr>
          <w:rFonts w:ascii="Arial" w:hAnsi="Arial" w:cs="Arial"/>
          <w:b/>
          <w:bCs/>
          <w:i/>
          <w:iCs/>
          <w:sz w:val="24"/>
          <w:szCs w:val="24"/>
        </w:rPr>
        <w:t>Development needs</w:t>
      </w:r>
      <w:r>
        <w:rPr>
          <w:rFonts w:ascii="Arial" w:hAnsi="Arial" w:cs="Arial"/>
          <w:b/>
          <w:bCs/>
          <w:i/>
          <w:iCs/>
          <w:sz w:val="24"/>
          <w:szCs w:val="24"/>
        </w:rPr>
        <w:t>, experiences, and skills</w:t>
      </w:r>
    </w:p>
    <w:p w14:paraId="14EFF94A" w14:textId="66D43DC0" w:rsidR="007E3B8B" w:rsidRDefault="007E3B8B" w:rsidP="002E7DC2">
      <w:pPr>
        <w:spacing w:line="360" w:lineRule="auto"/>
        <w:jc w:val="both"/>
        <w:rPr>
          <w:rFonts w:ascii="Arial" w:hAnsi="Arial" w:cs="Arial"/>
          <w:sz w:val="24"/>
          <w:szCs w:val="24"/>
        </w:rPr>
      </w:pPr>
      <w:r w:rsidRPr="00D52D35">
        <w:rPr>
          <w:rFonts w:ascii="Arial" w:hAnsi="Arial" w:cs="Arial"/>
          <w:sz w:val="24"/>
          <w:szCs w:val="24"/>
        </w:rPr>
        <w:t xml:space="preserve">The research </w:t>
      </w:r>
      <w:r>
        <w:rPr>
          <w:rFonts w:ascii="Arial" w:hAnsi="Arial" w:cs="Arial"/>
          <w:sz w:val="24"/>
          <w:szCs w:val="24"/>
        </w:rPr>
        <w:t xml:space="preserve">showed that there are many things which if developed in a singer with a lowered sense of self-efficacy could support an improvement in their sense of self-efficacy. Lewis and Hendricks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2022)","manualFormatting":"(2022)","plainTextFormattedCitation":"(Lewis and Hendricks, 2022)","previouslyFormattedCitation":"(Lewis and Hendricks, 2022)"},"properties":{"noteIndex":0},"schema":"https://github.com/citation-style-language/schema/raw/master/csl-citation.json"}</w:instrText>
      </w:r>
      <w:r>
        <w:rPr>
          <w:rFonts w:ascii="Arial" w:hAnsi="Arial" w:cs="Arial"/>
          <w:sz w:val="24"/>
          <w:szCs w:val="24"/>
        </w:rPr>
        <w:fldChar w:fldCharType="separate"/>
      </w:r>
      <w:r w:rsidRPr="0076425F">
        <w:rPr>
          <w:rFonts w:ascii="Arial" w:hAnsi="Arial" w:cs="Arial"/>
          <w:noProof/>
          <w:sz w:val="24"/>
          <w:szCs w:val="24"/>
        </w:rPr>
        <w:t>(2022)</w:t>
      </w:r>
      <w:r>
        <w:rPr>
          <w:rFonts w:ascii="Arial" w:hAnsi="Arial" w:cs="Arial"/>
          <w:sz w:val="24"/>
          <w:szCs w:val="24"/>
        </w:rPr>
        <w:fldChar w:fldCharType="end"/>
      </w:r>
      <w:r>
        <w:rPr>
          <w:rFonts w:ascii="Arial" w:hAnsi="Arial" w:cs="Arial"/>
          <w:sz w:val="24"/>
          <w:szCs w:val="24"/>
        </w:rPr>
        <w:t xml:space="preserve"> research into influences on collegiate vocalists’ self-efficacy beliefs uncovered development needs and skills which a student had developed when they had a positive sense of self-efficacy. The Lewis and Hendricks </w:t>
      </w:r>
      <w:r>
        <w:rPr>
          <w:rFonts w:ascii="Arial" w:hAnsi="Arial" w:cs="Arial"/>
          <w:sz w:val="24"/>
          <w:szCs w:val="24"/>
        </w:rPr>
        <w:lastRenderedPageBreak/>
        <w:t xml:space="preserve">research highlighted important factors they labelled as: mastery experiences, peer models, feedback and encouragement, and cognitive self-regulation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2022)","plainTextFormattedCitation":"(Lewis and Hendricks, 2022)","previouslyFormattedCitation":"(Lewis and Hendricks, 2022)"},"properties":{"noteIndex":0},"schema":"https://github.com/citation-style-language/schema/raw/master/csl-citation.json"}</w:instrText>
      </w:r>
      <w:r>
        <w:rPr>
          <w:rFonts w:ascii="Arial" w:hAnsi="Arial" w:cs="Arial"/>
          <w:sz w:val="24"/>
          <w:szCs w:val="24"/>
        </w:rPr>
        <w:fldChar w:fldCharType="separate"/>
      </w:r>
      <w:r w:rsidRPr="008D2597">
        <w:rPr>
          <w:rFonts w:ascii="Arial" w:hAnsi="Arial" w:cs="Arial"/>
          <w:noProof/>
          <w:sz w:val="24"/>
          <w:szCs w:val="24"/>
        </w:rPr>
        <w:t>(Lewis and Hendricks, 2022)</w:t>
      </w:r>
      <w:r>
        <w:rPr>
          <w:rFonts w:ascii="Arial" w:hAnsi="Arial" w:cs="Arial"/>
          <w:sz w:val="24"/>
          <w:szCs w:val="24"/>
        </w:rPr>
        <w:fldChar w:fldCharType="end"/>
      </w:r>
      <w:r>
        <w:rPr>
          <w:rFonts w:ascii="Arial" w:hAnsi="Arial" w:cs="Arial"/>
          <w:sz w:val="24"/>
          <w:szCs w:val="24"/>
        </w:rPr>
        <w:t xml:space="preserve">. When discussing </w:t>
      </w:r>
      <w:r w:rsidRPr="00E47589">
        <w:rPr>
          <w:rFonts w:ascii="Arial" w:hAnsi="Arial" w:cs="Arial"/>
          <w:b/>
          <w:bCs/>
          <w:i/>
          <w:iCs/>
          <w:sz w:val="24"/>
          <w:szCs w:val="24"/>
        </w:rPr>
        <w:t>‘mastery experiences’</w:t>
      </w:r>
      <w:r>
        <w:rPr>
          <w:rFonts w:ascii="Arial" w:hAnsi="Arial" w:cs="Arial"/>
          <w:sz w:val="24"/>
          <w:szCs w:val="24"/>
        </w:rPr>
        <w:t>, the singers of Lewis and Hendricks research describe the positive benefits to their self-efficacy when they have support</w:t>
      </w:r>
      <w:r w:rsidR="001B16ED">
        <w:rPr>
          <w:rFonts w:ascii="Arial" w:hAnsi="Arial" w:cs="Arial"/>
          <w:sz w:val="24"/>
          <w:szCs w:val="24"/>
        </w:rPr>
        <w:t xml:space="preserve">. </w:t>
      </w:r>
      <w:proofErr w:type="spellStart"/>
      <w:r w:rsidR="001B16ED">
        <w:rPr>
          <w:rFonts w:ascii="Arial" w:hAnsi="Arial" w:cs="Arial"/>
          <w:sz w:val="24"/>
          <w:szCs w:val="24"/>
        </w:rPr>
        <w:t>The</w:t>
      </w:r>
      <w:proofErr w:type="spellEnd"/>
      <w:r w:rsidR="001B16ED">
        <w:rPr>
          <w:rFonts w:ascii="Arial" w:hAnsi="Arial" w:cs="Arial"/>
          <w:sz w:val="24"/>
          <w:szCs w:val="24"/>
        </w:rPr>
        <w:t xml:space="preserve"> also </w:t>
      </w:r>
      <w:r w:rsidR="00B91C0B">
        <w:rPr>
          <w:rFonts w:ascii="Arial" w:hAnsi="Arial" w:cs="Arial"/>
          <w:sz w:val="24"/>
          <w:szCs w:val="24"/>
        </w:rPr>
        <w:t>point out the benefits</w:t>
      </w:r>
      <w:r>
        <w:rPr>
          <w:rFonts w:ascii="Arial" w:hAnsi="Arial" w:cs="Arial"/>
          <w:sz w:val="24"/>
          <w:szCs w:val="24"/>
        </w:rPr>
        <w:t xml:space="preserve"> </w:t>
      </w:r>
      <w:r w:rsidR="00B91C0B">
        <w:rPr>
          <w:rFonts w:ascii="Arial" w:hAnsi="Arial" w:cs="Arial"/>
          <w:sz w:val="24"/>
          <w:szCs w:val="24"/>
        </w:rPr>
        <w:t>of</w:t>
      </w:r>
      <w:r>
        <w:rPr>
          <w:rFonts w:ascii="Arial" w:hAnsi="Arial" w:cs="Arial"/>
          <w:sz w:val="24"/>
          <w:szCs w:val="24"/>
        </w:rPr>
        <w:t xml:space="preserve"> appropriate challenges which they meet when performing during private practice, lessons, or on stage. </w:t>
      </w:r>
      <w:r>
        <w:rPr>
          <w:rFonts w:ascii="Arial" w:hAnsi="Arial" w:cs="Arial"/>
          <w:noProof/>
          <w:sz w:val="24"/>
          <w:szCs w:val="24"/>
        </w:rPr>
        <w:t xml:space="preserve">This is supported by the </w:t>
      </w:r>
      <w:r w:rsidRPr="00833494">
        <w:rPr>
          <w:rFonts w:ascii="Arial" w:hAnsi="Arial" w:cs="Arial"/>
          <w:noProof/>
          <w:sz w:val="24"/>
          <w:szCs w:val="24"/>
        </w:rPr>
        <w:t>Ritchie and Williamon</w:t>
      </w:r>
      <w:r>
        <w:rPr>
          <w:rFonts w:ascii="Arial" w:hAnsi="Arial" w:cs="Arial"/>
          <w:sz w:val="24"/>
          <w:szCs w:val="24"/>
        </w:rPr>
        <w:t xml:space="preserve"> research </w:t>
      </w:r>
      <w:r>
        <w:rPr>
          <w:rFonts w:ascii="Arial" w:hAnsi="Arial" w:cs="Arial"/>
          <w:sz w:val="24"/>
          <w:szCs w:val="24"/>
        </w:rPr>
        <w:fldChar w:fldCharType="begin" w:fldLock="1"/>
      </w:r>
      <w:r>
        <w:rPr>
          <w:rFonts w:ascii="Arial" w:hAnsi="Arial" w:cs="Arial"/>
          <w:sz w:val="24"/>
          <w:szCs w:val="24"/>
        </w:rPr>
        <w:instrText>ADDIN CSL_CITATION {"citationItems":[{"id":"ITEM-1","itemData":{"DOI":"10.1177/0022429411405214","ISSN":"00224294","abstract":"The Self-Efficacy for Musical Learning questionnaire was adapted and tested with 404 primary school children, producing a robust Cronbach alpha (0.87) and confirming a single underlying factor through exploratory factor analysis. Test-retest scores showed the measure's stability over a 9-month period. Data were collected on children's prior music experience, extracurricular activities, and typical daily activities. Children also completed the Short Warwick-Edinburgh Mental Well-Being Scale and the Strengths and Difficulties Questionnaire. Those currently engaged in music tuition (learning an instrument or singing) had significantly higher self-efficacy scores than children who were not, and overall, girls' scores were significantly higher than boys'. Correlations with various additional measures, including wellbeing and reading for pleasure, highlighted multifaceted relationships of self-efficacy to children's lives. Regression analyses revealed that prior experience with instrumental tuition was the strongest predictor of music self-efficacy for learning; prosocial behaviors predicted boys' scores, and well-being predicted girls' scores. © 2011 MENC: The National Association for Music Education.","author":[{"dropping-particle":"","family":"Ritchie","given":"Laura","non-dropping-particle":"","parse-names":false,"suffix":""},{"dropping-particle":"","family":"Williamon","given":"Aaron","non-dropping-particle":"","parse-names":false,"suffix":""}],"container-title":"Journal of Research in Music Education","id":"ITEM-1","issue":"2","issued":{"date-parts":[["2011"]]},"page":"146-161","title":"Primary school children's Self-efficacy for Music Learning","type":"article-journal","volume":"59"},"uris":["http://www.mendeley.com/documents/?uuid=240473f6-1468-4960-8481-528f722fddd9"]}],"mendeley":{"formattedCitation":"(Ritchie and Williamon, 2011)","manualFormatting":"(2011)","plainTextFormattedCitation":"(Ritchie and Williamon, 2011)","previouslyFormattedCitation":"(Ritchie and Williamon, 2011)"},"properties":{"noteIndex":0},"schema":"https://github.com/citation-style-language/schema/raw/master/csl-citation.json"}</w:instrText>
      </w:r>
      <w:r>
        <w:rPr>
          <w:rFonts w:ascii="Arial" w:hAnsi="Arial" w:cs="Arial"/>
          <w:sz w:val="24"/>
          <w:szCs w:val="24"/>
        </w:rPr>
        <w:fldChar w:fldCharType="separate"/>
      </w:r>
      <w:r w:rsidRPr="00833494">
        <w:rPr>
          <w:rFonts w:ascii="Arial" w:hAnsi="Arial" w:cs="Arial"/>
          <w:noProof/>
          <w:sz w:val="24"/>
          <w:szCs w:val="24"/>
        </w:rPr>
        <w:t>(2011)</w:t>
      </w:r>
      <w:r>
        <w:rPr>
          <w:rFonts w:ascii="Arial" w:hAnsi="Arial" w:cs="Arial"/>
          <w:sz w:val="24"/>
          <w:szCs w:val="24"/>
        </w:rPr>
        <w:fldChar w:fldCharType="end"/>
      </w:r>
      <w:r>
        <w:rPr>
          <w:rFonts w:ascii="Arial" w:hAnsi="Arial" w:cs="Arial"/>
          <w:sz w:val="24"/>
          <w:szCs w:val="24"/>
        </w:rPr>
        <w:t xml:space="preserve"> into music self-efficacy in primary school students which showed the participants </w:t>
      </w:r>
      <w:r w:rsidR="00A50E95">
        <w:rPr>
          <w:rFonts w:ascii="Arial" w:hAnsi="Arial" w:cs="Arial"/>
          <w:sz w:val="24"/>
          <w:szCs w:val="24"/>
        </w:rPr>
        <w:t>who</w:t>
      </w:r>
      <w:r>
        <w:rPr>
          <w:rFonts w:ascii="Arial" w:hAnsi="Arial" w:cs="Arial"/>
          <w:sz w:val="24"/>
          <w:szCs w:val="24"/>
        </w:rPr>
        <w:t xml:space="preserve"> had regular specialist lessons had a higher sense of music self-efficacy. This could be due to the greater opportunity for mastery experiences </w:t>
      </w:r>
      <w:r>
        <w:rPr>
          <w:rFonts w:ascii="Arial" w:hAnsi="Arial" w:cs="Arial"/>
          <w:sz w:val="24"/>
          <w:szCs w:val="24"/>
        </w:rPr>
        <w:fldChar w:fldCharType="begin" w:fldLock="1"/>
      </w:r>
      <w:r>
        <w:rPr>
          <w:rFonts w:ascii="Arial" w:hAnsi="Arial" w:cs="Arial"/>
          <w:sz w:val="24"/>
          <w:szCs w:val="24"/>
        </w:rPr>
        <w:instrText>ADDIN CSL_CITATION {"citationItems":[{"id":"ITEM-1","itemData":{"abstract":"Based on Bandura's theory that those who believe they can do what they set out to do are healthier, more efficient and more successful than those with low self-efficacy expectations. This theory has stimulated programs of research in education, clinicaland developmental psychology, medicine and related fields, athletics and business organization.","author":[{"dropping-particle":"","family":"Bandura","given":"Albert","non-dropping-particle":"","parse-names":false,"suffix":""}],"id":"ITEM-1","issued":{"date-parts":[["1997"]]},"publisher":"W.H.Freeman &amp; Co Ltd","publisher-place":"New York","title":"Self-efficacy : The Exercise of Control.","type":"book"},"uris":["http://www.mendeley.com/documents/?uuid=29014b0e-1932-4150-a247-953655b38468"]},{"id":"ITEM-2","itemData":{"DOI":"10.1177/02557614221074057","ISBN":"0255761422107","ISSN":"1744795X","abstract":"Fostering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beliefs","type":"article-journal"},"uris":["http://www.mendeley.com/documents/?uuid=d1469298-0bbc-4c76-afcd-e0c4086da712"]}],"mendeley":{"formattedCitation":"(Bandura, 1997; Lewis and Hendricks, 2022)","plainTextFormattedCitation":"(Bandura, 1997; Lewis and Hendricks, 2022)","previouslyFormattedCitation":"(Bandura, 1997; Lewis and Hendricks, 2022)"},"properties":{"noteIndex":0},"schema":"https://github.com/citation-style-language/schema/raw/master/csl-citation.json"}</w:instrText>
      </w:r>
      <w:r>
        <w:rPr>
          <w:rFonts w:ascii="Arial" w:hAnsi="Arial" w:cs="Arial"/>
          <w:sz w:val="24"/>
          <w:szCs w:val="24"/>
        </w:rPr>
        <w:fldChar w:fldCharType="separate"/>
      </w:r>
      <w:r w:rsidRPr="00327C64">
        <w:rPr>
          <w:rFonts w:ascii="Arial" w:hAnsi="Arial" w:cs="Arial"/>
          <w:noProof/>
          <w:sz w:val="24"/>
          <w:szCs w:val="24"/>
        </w:rPr>
        <w:t>(Bandura, 1997; Lewis and Hendricks, 2022)</w:t>
      </w:r>
      <w:r>
        <w:rPr>
          <w:rFonts w:ascii="Arial" w:hAnsi="Arial" w:cs="Arial"/>
          <w:sz w:val="24"/>
          <w:szCs w:val="24"/>
        </w:rPr>
        <w:fldChar w:fldCharType="end"/>
      </w:r>
      <w:r>
        <w:rPr>
          <w:rFonts w:ascii="Arial" w:hAnsi="Arial" w:cs="Arial"/>
          <w:sz w:val="24"/>
          <w:szCs w:val="24"/>
        </w:rPr>
        <w:t xml:space="preserve">. </w:t>
      </w:r>
    </w:p>
    <w:p w14:paraId="553B4487" w14:textId="1BEBDEC6" w:rsidR="008C71DA" w:rsidRDefault="007E3B8B" w:rsidP="00F0794D">
      <w:pPr>
        <w:spacing w:line="360" w:lineRule="auto"/>
        <w:jc w:val="both"/>
        <w:rPr>
          <w:rFonts w:ascii="Arial" w:hAnsi="Arial" w:cs="Arial"/>
          <w:sz w:val="24"/>
          <w:szCs w:val="24"/>
        </w:rPr>
      </w:pPr>
      <w:r>
        <w:rPr>
          <w:rFonts w:ascii="Arial" w:hAnsi="Arial" w:cs="Arial"/>
          <w:sz w:val="24"/>
          <w:szCs w:val="24"/>
        </w:rPr>
        <w:t xml:space="preserve">The Lewis and Hendricks study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2022)","manualFormatting":"(2022)","plainTextFormattedCitation":"(Lewis and Hendricks, 2022)","previouslyFormattedCitation":"(Lewis and Hendricks, 2022)"},"properties":{"noteIndex":0},"schema":"https://github.com/citation-style-language/schema/raw/master/csl-citation.json"}</w:instrText>
      </w:r>
      <w:r>
        <w:rPr>
          <w:rFonts w:ascii="Arial" w:hAnsi="Arial" w:cs="Arial"/>
          <w:sz w:val="24"/>
          <w:szCs w:val="24"/>
        </w:rPr>
        <w:fldChar w:fldCharType="separate"/>
      </w:r>
      <w:r w:rsidRPr="00AA183B">
        <w:rPr>
          <w:rFonts w:ascii="Arial" w:hAnsi="Arial" w:cs="Arial"/>
          <w:noProof/>
          <w:sz w:val="24"/>
          <w:szCs w:val="24"/>
        </w:rPr>
        <w:t>(2022)</w:t>
      </w:r>
      <w:r>
        <w:rPr>
          <w:rFonts w:ascii="Arial" w:hAnsi="Arial" w:cs="Arial"/>
          <w:sz w:val="24"/>
          <w:szCs w:val="24"/>
        </w:rPr>
        <w:fldChar w:fldCharType="end"/>
      </w:r>
      <w:r>
        <w:rPr>
          <w:rFonts w:ascii="Arial" w:hAnsi="Arial" w:cs="Arial"/>
          <w:sz w:val="24"/>
          <w:szCs w:val="24"/>
        </w:rPr>
        <w:t xml:space="preserve"> described </w:t>
      </w:r>
      <w:r w:rsidRPr="00E47589">
        <w:rPr>
          <w:rFonts w:ascii="Arial" w:hAnsi="Arial" w:cs="Arial"/>
          <w:b/>
          <w:bCs/>
          <w:i/>
          <w:iCs/>
          <w:sz w:val="24"/>
          <w:szCs w:val="24"/>
        </w:rPr>
        <w:t>‘peer model’</w:t>
      </w:r>
      <w:r w:rsidR="0071168C">
        <w:rPr>
          <w:rFonts w:ascii="Arial" w:hAnsi="Arial" w:cs="Arial"/>
          <w:b/>
          <w:bCs/>
          <w:i/>
          <w:iCs/>
          <w:sz w:val="24"/>
          <w:szCs w:val="24"/>
        </w:rPr>
        <w:t xml:space="preserve"> </w:t>
      </w:r>
      <w:r w:rsidR="0071168C" w:rsidRPr="0071168C">
        <w:rPr>
          <w:rFonts w:ascii="Arial" w:hAnsi="Arial" w:cs="Arial"/>
          <w:sz w:val="24"/>
          <w:szCs w:val="24"/>
        </w:rPr>
        <w:t>exper</w:t>
      </w:r>
      <w:r w:rsidR="0071168C">
        <w:rPr>
          <w:rFonts w:ascii="Arial" w:hAnsi="Arial" w:cs="Arial"/>
          <w:sz w:val="24"/>
          <w:szCs w:val="24"/>
        </w:rPr>
        <w:t xml:space="preserve">iences </w:t>
      </w:r>
      <w:r w:rsidR="00B17495">
        <w:rPr>
          <w:rFonts w:ascii="Arial" w:hAnsi="Arial" w:cs="Arial"/>
          <w:sz w:val="24"/>
          <w:szCs w:val="24"/>
        </w:rPr>
        <w:t>as being motivational. The singers of this study described</w:t>
      </w:r>
      <w:r w:rsidRPr="0071168C">
        <w:rPr>
          <w:rFonts w:ascii="Arial" w:hAnsi="Arial" w:cs="Arial"/>
          <w:sz w:val="24"/>
          <w:szCs w:val="24"/>
        </w:rPr>
        <w:t xml:space="preserve"> </w:t>
      </w:r>
      <w:r>
        <w:rPr>
          <w:rFonts w:ascii="Arial" w:hAnsi="Arial" w:cs="Arial"/>
          <w:sz w:val="24"/>
          <w:szCs w:val="24"/>
        </w:rPr>
        <w:t>feeling motivated after opportunities to observe peers receiving emotional support while overcoming challenges</w:t>
      </w:r>
      <w:r w:rsidR="00E6030C">
        <w:rPr>
          <w:rFonts w:ascii="Arial" w:hAnsi="Arial" w:cs="Arial"/>
          <w:sz w:val="24"/>
          <w:szCs w:val="24"/>
        </w:rPr>
        <w:t>. They also</w:t>
      </w:r>
      <w:r>
        <w:rPr>
          <w:rFonts w:ascii="Arial" w:hAnsi="Arial" w:cs="Arial"/>
          <w:sz w:val="24"/>
          <w:szCs w:val="24"/>
        </w:rPr>
        <w:t xml:space="preserve"> felt their listening skills developed in the process. </w:t>
      </w:r>
      <w:r w:rsidRPr="00E47589">
        <w:rPr>
          <w:rFonts w:ascii="Arial" w:hAnsi="Arial" w:cs="Arial"/>
          <w:b/>
          <w:bCs/>
          <w:i/>
          <w:iCs/>
          <w:sz w:val="24"/>
          <w:szCs w:val="24"/>
        </w:rPr>
        <w:t>‘Feedback and encouragement’</w:t>
      </w:r>
      <w:r>
        <w:rPr>
          <w:rFonts w:ascii="Arial" w:hAnsi="Arial" w:cs="Arial"/>
          <w:sz w:val="24"/>
          <w:szCs w:val="24"/>
        </w:rPr>
        <w:t xml:space="preserve"> are discussed by Lewis and Hendricks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2022)","manualFormatting":"(2022)","plainTextFormattedCitation":"(Lewis and Hendricks, 2022)","previouslyFormattedCitation":"(Lewis and Hendricks, 2022)"},"properties":{"noteIndex":0},"schema":"https://github.com/citation-style-language/schema/raw/master/csl-citation.json"}</w:instrText>
      </w:r>
      <w:r>
        <w:rPr>
          <w:rFonts w:ascii="Arial" w:hAnsi="Arial" w:cs="Arial"/>
          <w:sz w:val="24"/>
          <w:szCs w:val="24"/>
        </w:rPr>
        <w:fldChar w:fldCharType="separate"/>
      </w:r>
      <w:r w:rsidRPr="008F3344">
        <w:rPr>
          <w:rFonts w:ascii="Arial" w:hAnsi="Arial" w:cs="Arial"/>
          <w:noProof/>
          <w:sz w:val="24"/>
          <w:szCs w:val="24"/>
        </w:rPr>
        <w:t>(2022)</w:t>
      </w:r>
      <w:r>
        <w:rPr>
          <w:rFonts w:ascii="Arial" w:hAnsi="Arial" w:cs="Arial"/>
          <w:sz w:val="24"/>
          <w:szCs w:val="24"/>
        </w:rPr>
        <w:fldChar w:fldCharType="end"/>
      </w:r>
      <w:r>
        <w:rPr>
          <w:rFonts w:ascii="Arial" w:hAnsi="Arial" w:cs="Arial"/>
          <w:sz w:val="24"/>
          <w:szCs w:val="24"/>
        </w:rPr>
        <w:t xml:space="preserve"> as important factors in developing positive self-efficacy beliefs for the participants of that study</w:t>
      </w:r>
      <w:r w:rsidR="00AE352C">
        <w:rPr>
          <w:rFonts w:ascii="Arial" w:hAnsi="Arial" w:cs="Arial"/>
          <w:sz w:val="24"/>
          <w:szCs w:val="24"/>
        </w:rPr>
        <w:t>. They</w:t>
      </w:r>
      <w:r>
        <w:rPr>
          <w:rFonts w:ascii="Arial" w:hAnsi="Arial" w:cs="Arial"/>
          <w:sz w:val="24"/>
          <w:szCs w:val="24"/>
        </w:rPr>
        <w:t xml:space="preserve"> noted </w:t>
      </w:r>
      <w:r w:rsidR="00E94346">
        <w:rPr>
          <w:rFonts w:ascii="Arial" w:hAnsi="Arial" w:cs="Arial"/>
          <w:sz w:val="24"/>
          <w:szCs w:val="24"/>
        </w:rPr>
        <w:t>these as</w:t>
      </w:r>
      <w:r>
        <w:rPr>
          <w:rFonts w:ascii="Arial" w:hAnsi="Arial" w:cs="Arial"/>
          <w:sz w:val="24"/>
          <w:szCs w:val="24"/>
        </w:rPr>
        <w:t xml:space="preserve"> being particularly important in early stages of vocal development. </w:t>
      </w:r>
      <w:r w:rsidRPr="00E47589">
        <w:rPr>
          <w:rFonts w:ascii="Arial" w:hAnsi="Arial" w:cs="Arial"/>
          <w:b/>
          <w:bCs/>
          <w:i/>
          <w:iCs/>
          <w:sz w:val="24"/>
          <w:szCs w:val="24"/>
        </w:rPr>
        <w:t xml:space="preserve">‘Cognitive self-regulation’ </w:t>
      </w:r>
      <w:r>
        <w:rPr>
          <w:rFonts w:ascii="Arial" w:hAnsi="Arial" w:cs="Arial"/>
          <w:sz w:val="24"/>
          <w:szCs w:val="24"/>
        </w:rPr>
        <w:t xml:space="preserve">has being perceived to help to reduce potential damaging effects of negative comments on self-efficacy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2022)","plainTextFormattedCitation":"(Lewis and Hendricks, 2022)","previouslyFormattedCitation":"(Lewis and Hendricks, 2022)"},"properties":{"noteIndex":0},"schema":"https://github.com/citation-style-language/schema/raw/master/csl-citation.json"}</w:instrText>
      </w:r>
      <w:r>
        <w:rPr>
          <w:rFonts w:ascii="Arial" w:hAnsi="Arial" w:cs="Arial"/>
          <w:sz w:val="24"/>
          <w:szCs w:val="24"/>
        </w:rPr>
        <w:fldChar w:fldCharType="separate"/>
      </w:r>
      <w:r w:rsidRPr="00CD0C37">
        <w:rPr>
          <w:rFonts w:ascii="Arial" w:hAnsi="Arial" w:cs="Arial"/>
          <w:noProof/>
          <w:sz w:val="24"/>
          <w:szCs w:val="24"/>
        </w:rPr>
        <w:t>(Lewis and Hendricks, 2022)</w:t>
      </w:r>
      <w:r>
        <w:rPr>
          <w:rFonts w:ascii="Arial" w:hAnsi="Arial" w:cs="Arial"/>
          <w:sz w:val="24"/>
          <w:szCs w:val="24"/>
        </w:rPr>
        <w:fldChar w:fldCharType="end"/>
      </w:r>
      <w:r>
        <w:rPr>
          <w:rFonts w:ascii="Arial" w:hAnsi="Arial" w:cs="Arial"/>
          <w:sz w:val="24"/>
          <w:szCs w:val="24"/>
        </w:rPr>
        <w:t>. One participant discussed their process for ‘filtering’ feedback: frequency, source, comparison with their perspective. This singer felt the filtering process</w:t>
      </w:r>
      <w:r w:rsidR="002511A4">
        <w:rPr>
          <w:rFonts w:ascii="Arial" w:hAnsi="Arial" w:cs="Arial"/>
          <w:sz w:val="24"/>
          <w:szCs w:val="24"/>
        </w:rPr>
        <w:t xml:space="preserve"> helped</w:t>
      </w:r>
      <w:r>
        <w:rPr>
          <w:rFonts w:ascii="Arial" w:hAnsi="Arial" w:cs="Arial"/>
          <w:sz w:val="24"/>
          <w:szCs w:val="24"/>
        </w:rPr>
        <w:t xml:space="preserve"> them to focus on what they ‘deemed to be true’. Another aspect of cognitive self-regulation discussed by Lewis and Hendricks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2022)","manualFormatting":"(2022)","plainTextFormattedCitation":"(Lewis and Hendricks, 2022)","previouslyFormattedCitation":"(Lewis and Hendricks, 2022)"},"properties":{"noteIndex":0},"schema":"https://github.com/citation-style-language/schema/raw/master/csl-citation.json"}</w:instrText>
      </w:r>
      <w:r>
        <w:rPr>
          <w:rFonts w:ascii="Arial" w:hAnsi="Arial" w:cs="Arial"/>
          <w:sz w:val="24"/>
          <w:szCs w:val="24"/>
        </w:rPr>
        <w:fldChar w:fldCharType="separate"/>
      </w:r>
      <w:r w:rsidRPr="00812491">
        <w:rPr>
          <w:rFonts w:ascii="Arial" w:hAnsi="Arial" w:cs="Arial"/>
          <w:noProof/>
          <w:sz w:val="24"/>
          <w:szCs w:val="24"/>
        </w:rPr>
        <w:t>(2022)</w:t>
      </w:r>
      <w:r>
        <w:rPr>
          <w:rFonts w:ascii="Arial" w:hAnsi="Arial" w:cs="Arial"/>
          <w:sz w:val="24"/>
          <w:szCs w:val="24"/>
        </w:rPr>
        <w:fldChar w:fldCharType="end"/>
      </w:r>
      <w:r>
        <w:rPr>
          <w:rFonts w:ascii="Arial" w:hAnsi="Arial" w:cs="Arial"/>
          <w:sz w:val="24"/>
          <w:szCs w:val="24"/>
        </w:rPr>
        <w:t xml:space="preserve"> was around the participants</w:t>
      </w:r>
      <w:r w:rsidR="00422B97">
        <w:rPr>
          <w:rFonts w:ascii="Arial" w:hAnsi="Arial" w:cs="Arial"/>
          <w:sz w:val="24"/>
          <w:szCs w:val="24"/>
        </w:rPr>
        <w:t>’</w:t>
      </w:r>
      <w:r>
        <w:rPr>
          <w:rFonts w:ascii="Arial" w:hAnsi="Arial" w:cs="Arial"/>
          <w:sz w:val="24"/>
          <w:szCs w:val="24"/>
        </w:rPr>
        <w:t xml:space="preserve"> perception</w:t>
      </w:r>
      <w:r w:rsidR="00422B97">
        <w:rPr>
          <w:rFonts w:ascii="Arial" w:hAnsi="Arial" w:cs="Arial"/>
          <w:sz w:val="24"/>
          <w:szCs w:val="24"/>
        </w:rPr>
        <w:t>s</w:t>
      </w:r>
      <w:r>
        <w:rPr>
          <w:rFonts w:ascii="Arial" w:hAnsi="Arial" w:cs="Arial"/>
          <w:sz w:val="24"/>
          <w:szCs w:val="24"/>
        </w:rPr>
        <w:t xml:space="preserve"> of nervousness. The participants with a higher sense of self-efficacy viewed nervousness as ‘</w:t>
      </w:r>
      <w:r w:rsidRPr="00146BF4">
        <w:rPr>
          <w:rFonts w:ascii="Arial" w:hAnsi="Arial" w:cs="Arial"/>
          <w:i/>
          <w:iCs/>
          <w:sz w:val="24"/>
          <w:szCs w:val="24"/>
        </w:rPr>
        <w:t>heightened sense of awareness</w:t>
      </w:r>
      <w:r>
        <w:rPr>
          <w:rFonts w:ascii="Arial" w:hAnsi="Arial" w:cs="Arial"/>
          <w:i/>
          <w:iCs/>
          <w:sz w:val="24"/>
          <w:szCs w:val="24"/>
        </w:rPr>
        <w:t xml:space="preserve">’ </w:t>
      </w:r>
      <w:r>
        <w:rPr>
          <w:rFonts w:ascii="Arial" w:hAnsi="Arial" w:cs="Arial"/>
          <w:sz w:val="24"/>
          <w:szCs w:val="24"/>
        </w:rPr>
        <w:t xml:space="preserve">whereas singers with a lower sense of self-efficacy viewed nervousness as something which diminishes their ability to have freedom of technique, physiological freedom, and expression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2022)","plainTextFormattedCitation":"(Lewis and Hendricks, 2022)","previouslyFormattedCitation":"(Lewis and Hendricks, 2022)"},"properties":{"noteIndex":0},"schema":"https://github.com/citation-style-language/schema/raw/master/csl-citation.json"}</w:instrText>
      </w:r>
      <w:r>
        <w:rPr>
          <w:rFonts w:ascii="Arial" w:hAnsi="Arial" w:cs="Arial"/>
          <w:sz w:val="24"/>
          <w:szCs w:val="24"/>
        </w:rPr>
        <w:fldChar w:fldCharType="separate"/>
      </w:r>
      <w:r w:rsidRPr="00DF461D">
        <w:rPr>
          <w:rFonts w:ascii="Arial" w:hAnsi="Arial" w:cs="Arial"/>
          <w:noProof/>
          <w:sz w:val="24"/>
          <w:szCs w:val="24"/>
        </w:rPr>
        <w:t>(Lewis and Hendricks, 2022)</w:t>
      </w:r>
      <w:r>
        <w:rPr>
          <w:rFonts w:ascii="Arial" w:hAnsi="Arial" w:cs="Arial"/>
          <w:sz w:val="24"/>
          <w:szCs w:val="24"/>
        </w:rPr>
        <w:fldChar w:fldCharType="end"/>
      </w:r>
      <w:r>
        <w:rPr>
          <w:rFonts w:ascii="Arial" w:hAnsi="Arial" w:cs="Arial"/>
          <w:sz w:val="24"/>
          <w:szCs w:val="24"/>
        </w:rPr>
        <w:t xml:space="preserve">. </w:t>
      </w:r>
      <w:r w:rsidR="00977680">
        <w:rPr>
          <w:rFonts w:ascii="Arial" w:hAnsi="Arial" w:cs="Arial"/>
          <w:sz w:val="24"/>
          <w:szCs w:val="24"/>
        </w:rPr>
        <w:t>A ‘C</w:t>
      </w:r>
      <w:r>
        <w:rPr>
          <w:rFonts w:ascii="Arial" w:hAnsi="Arial" w:cs="Arial"/>
          <w:sz w:val="24"/>
          <w:szCs w:val="24"/>
        </w:rPr>
        <w:t>ausal learning</w:t>
      </w:r>
      <w:r w:rsidR="00977680">
        <w:rPr>
          <w:rFonts w:ascii="Arial" w:hAnsi="Arial" w:cs="Arial"/>
          <w:sz w:val="24"/>
          <w:szCs w:val="24"/>
        </w:rPr>
        <w:t>’ approach to lessons</w:t>
      </w:r>
      <w:r>
        <w:rPr>
          <w:rFonts w:ascii="Arial" w:hAnsi="Arial" w:cs="Arial"/>
          <w:sz w:val="24"/>
          <w:szCs w:val="24"/>
        </w:rPr>
        <w:t xml:space="preserve"> suggests the use of </w:t>
      </w:r>
      <w:r w:rsidR="00977680">
        <w:rPr>
          <w:rFonts w:ascii="Arial" w:hAnsi="Arial" w:cs="Arial"/>
          <w:sz w:val="24"/>
          <w:szCs w:val="24"/>
        </w:rPr>
        <w:t xml:space="preserve">the </w:t>
      </w:r>
      <w:r w:rsidRPr="005D31FC">
        <w:rPr>
          <w:rFonts w:ascii="Arial" w:hAnsi="Arial" w:cs="Arial"/>
          <w:b/>
          <w:bCs/>
          <w:i/>
          <w:iCs/>
          <w:sz w:val="24"/>
          <w:szCs w:val="24"/>
        </w:rPr>
        <w:t>meta-cognitive</w:t>
      </w:r>
      <w:r>
        <w:rPr>
          <w:rFonts w:ascii="Arial" w:hAnsi="Arial" w:cs="Arial"/>
          <w:sz w:val="24"/>
          <w:szCs w:val="24"/>
        </w:rPr>
        <w:t xml:space="preserve"> skills of selective attention, discussion of learning, and agency to improve student understanding and efficiency in singing lessons </w:t>
      </w:r>
      <w:r>
        <w:rPr>
          <w:rFonts w:ascii="Arial" w:hAnsi="Arial" w:cs="Arial"/>
          <w:sz w:val="24"/>
          <w:szCs w:val="24"/>
        </w:rPr>
        <w:fldChar w:fldCharType="begin" w:fldLock="1"/>
      </w:r>
      <w:r w:rsidR="00195DB1">
        <w:rPr>
          <w:rFonts w:ascii="Arial" w:hAnsi="Arial" w:cs="Arial"/>
          <w:sz w:val="24"/>
          <w:szCs w:val="24"/>
        </w:rPr>
        <w:instrText>ADDIN CSL_CITATION {"citationItems":[{"id":"ITEM-1","itemData":{"author":[{"dropping-particle":"","family":"McLeod","given":"Clare","non-dropping-particle":"","parse-names":false,"suffix":""},{"dropping-particle":"","family":"Maxfield","given":"Lynn","non-dropping-particle":"","parse-names":false,"suffix":""}],"container-title":"Journal of Singing","id":"ITEM-1","issue":"3","issued":{"date-parts":[["2020"]]},"page":"327-332","title":"Causal Learning: Addressing Barriers in Learning to Sing MINDFUL VOICE","type":"article-journal","volume":"76"},"uris":["http://www.mendeley.com/documents/?uuid=1e893029-f365-4463-8fd1-f7fa77a4903f"]}],"mendeley":{"formattedCitation":"(McLeod and Maxfield, 2020)","manualFormatting":"(McLeod and Maxfield, 2020)","plainTextFormattedCitation":"(McLeod and Maxfield, 2020)","previouslyFormattedCitation":"(McLeod and Maxfield, 2020)"},"properties":{"noteIndex":0},"schema":"https://github.com/citation-style-language/schema/raw/master/csl-citation.json"}</w:instrText>
      </w:r>
      <w:r>
        <w:rPr>
          <w:rFonts w:ascii="Arial" w:hAnsi="Arial" w:cs="Arial"/>
          <w:sz w:val="24"/>
          <w:szCs w:val="24"/>
        </w:rPr>
        <w:fldChar w:fldCharType="separate"/>
      </w:r>
      <w:r w:rsidRPr="002078F2">
        <w:rPr>
          <w:rFonts w:ascii="Arial" w:hAnsi="Arial" w:cs="Arial"/>
          <w:noProof/>
          <w:sz w:val="24"/>
          <w:szCs w:val="24"/>
        </w:rPr>
        <w:t>(Mc</w:t>
      </w:r>
      <w:r w:rsidR="008838BB">
        <w:rPr>
          <w:rFonts w:ascii="Arial" w:hAnsi="Arial" w:cs="Arial"/>
          <w:noProof/>
          <w:sz w:val="24"/>
          <w:szCs w:val="24"/>
        </w:rPr>
        <w:t>L</w:t>
      </w:r>
      <w:r w:rsidRPr="002078F2">
        <w:rPr>
          <w:rFonts w:ascii="Arial" w:hAnsi="Arial" w:cs="Arial"/>
          <w:noProof/>
          <w:sz w:val="24"/>
          <w:szCs w:val="24"/>
        </w:rPr>
        <w:t>eod and Maxfield, 2020)</w:t>
      </w:r>
      <w:r>
        <w:rPr>
          <w:rFonts w:ascii="Arial" w:hAnsi="Arial" w:cs="Arial"/>
          <w:sz w:val="24"/>
          <w:szCs w:val="24"/>
        </w:rPr>
        <w:fldChar w:fldCharType="end"/>
      </w:r>
      <w:r>
        <w:rPr>
          <w:rFonts w:ascii="Arial" w:hAnsi="Arial" w:cs="Arial"/>
          <w:sz w:val="24"/>
          <w:szCs w:val="24"/>
        </w:rPr>
        <w:t xml:space="preserve">. </w:t>
      </w:r>
      <w:r w:rsidR="008C71DA">
        <w:rPr>
          <w:rFonts w:ascii="Arial" w:hAnsi="Arial" w:cs="Arial"/>
          <w:sz w:val="24"/>
          <w:szCs w:val="24"/>
        </w:rPr>
        <w:br w:type="page"/>
      </w:r>
    </w:p>
    <w:p w14:paraId="5DC0D52B" w14:textId="7B00C7AD" w:rsidR="007E3B8B" w:rsidRDefault="007E3B8B" w:rsidP="00F0794D">
      <w:pPr>
        <w:spacing w:line="360" w:lineRule="auto"/>
        <w:jc w:val="both"/>
        <w:rPr>
          <w:rFonts w:ascii="Arial" w:hAnsi="Arial" w:cs="Arial"/>
          <w:sz w:val="24"/>
          <w:szCs w:val="24"/>
        </w:rPr>
      </w:pPr>
      <w:r w:rsidRPr="00EF3BC9">
        <w:rPr>
          <w:rFonts w:ascii="Arial" w:hAnsi="Arial" w:cs="Arial"/>
          <w:b/>
          <w:bCs/>
          <w:i/>
          <w:iCs/>
          <w:sz w:val="24"/>
          <w:szCs w:val="24"/>
        </w:rPr>
        <w:lastRenderedPageBreak/>
        <w:t>Positive emotions and experiences</w:t>
      </w:r>
      <w:r>
        <w:rPr>
          <w:rFonts w:ascii="Arial" w:hAnsi="Arial" w:cs="Arial"/>
          <w:sz w:val="24"/>
          <w:szCs w:val="24"/>
        </w:rPr>
        <w:t xml:space="preserve"> were discussed by the participants of the Lewis and Hendricks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2022)","manualFormatting":"(2022)","plainTextFormattedCitation":"(Lewis and Hendricks, 2022)","previouslyFormattedCitation":"(Lewis and Hendricks, 2022)"},"properties":{"noteIndex":0},"schema":"https://github.com/citation-style-language/schema/raw/master/csl-citation.json"}</w:instrText>
      </w:r>
      <w:r>
        <w:rPr>
          <w:rFonts w:ascii="Arial" w:hAnsi="Arial" w:cs="Arial"/>
          <w:sz w:val="24"/>
          <w:szCs w:val="24"/>
        </w:rPr>
        <w:fldChar w:fldCharType="separate"/>
      </w:r>
      <w:r w:rsidRPr="00812491">
        <w:rPr>
          <w:rFonts w:ascii="Arial" w:hAnsi="Arial" w:cs="Arial"/>
          <w:noProof/>
          <w:sz w:val="24"/>
          <w:szCs w:val="24"/>
        </w:rPr>
        <w:t>(2022)</w:t>
      </w:r>
      <w:r>
        <w:rPr>
          <w:rFonts w:ascii="Arial" w:hAnsi="Arial" w:cs="Arial"/>
          <w:sz w:val="24"/>
          <w:szCs w:val="24"/>
        </w:rPr>
        <w:fldChar w:fldCharType="end"/>
      </w:r>
      <w:r>
        <w:rPr>
          <w:rFonts w:ascii="Arial" w:hAnsi="Arial" w:cs="Arial"/>
          <w:sz w:val="24"/>
          <w:szCs w:val="24"/>
        </w:rPr>
        <w:t xml:space="preserve"> study as </w:t>
      </w:r>
      <w:r w:rsidRPr="00181379">
        <w:rPr>
          <w:rFonts w:ascii="Arial" w:hAnsi="Arial" w:cs="Arial"/>
          <w:i/>
          <w:iCs/>
          <w:sz w:val="24"/>
          <w:szCs w:val="24"/>
        </w:rPr>
        <w:t>‘important for fostering self-belief’</w:t>
      </w:r>
      <w:r>
        <w:rPr>
          <w:rFonts w:ascii="Arial" w:hAnsi="Arial" w:cs="Arial"/>
          <w:sz w:val="24"/>
          <w:szCs w:val="24"/>
        </w:rPr>
        <w:t xml:space="preserve">. Participants of Hogle’s singing agency study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2021)","manualFormatting":"(2021)","plainTextFormattedCitation":"(Hogle, 2021)","previouslyFormattedCitation":"(Hogle, 2021)"},"properties":{"noteIndex":0},"schema":"https://github.com/citation-style-language/schema/raw/master/csl-citation.json"}</w:instrText>
      </w:r>
      <w:r>
        <w:rPr>
          <w:rFonts w:ascii="Arial" w:hAnsi="Arial" w:cs="Arial"/>
          <w:sz w:val="24"/>
          <w:szCs w:val="24"/>
        </w:rPr>
        <w:fldChar w:fldCharType="separate"/>
      </w:r>
      <w:r w:rsidRPr="00B94DE4">
        <w:rPr>
          <w:rFonts w:ascii="Arial" w:hAnsi="Arial" w:cs="Arial"/>
          <w:noProof/>
          <w:sz w:val="24"/>
          <w:szCs w:val="24"/>
        </w:rPr>
        <w:t>(2021)</w:t>
      </w:r>
      <w:r>
        <w:rPr>
          <w:rFonts w:ascii="Arial" w:hAnsi="Arial" w:cs="Arial"/>
          <w:sz w:val="24"/>
          <w:szCs w:val="24"/>
        </w:rPr>
        <w:fldChar w:fldCharType="end"/>
      </w:r>
      <w:r>
        <w:rPr>
          <w:rFonts w:ascii="Arial" w:hAnsi="Arial" w:cs="Arial"/>
          <w:sz w:val="24"/>
          <w:szCs w:val="24"/>
        </w:rPr>
        <w:t xml:space="preserve"> sought situations which brought about ‘welcoming, therapeutic and communal feelings’ to foster their singing agency.</w:t>
      </w:r>
      <w:r w:rsidR="00973E10">
        <w:rPr>
          <w:rFonts w:ascii="Arial" w:hAnsi="Arial" w:cs="Arial"/>
          <w:sz w:val="24"/>
          <w:szCs w:val="24"/>
        </w:rPr>
        <w:t xml:space="preserve"> Similarly, </w:t>
      </w:r>
      <w:r>
        <w:rPr>
          <w:rFonts w:ascii="Arial" w:hAnsi="Arial" w:cs="Arial"/>
          <w:sz w:val="24"/>
          <w:szCs w:val="24"/>
        </w:rPr>
        <w:t xml:space="preserve">Woody </w:t>
      </w:r>
      <w:r>
        <w:rPr>
          <w:rFonts w:ascii="Arial" w:hAnsi="Arial" w:cs="Arial"/>
          <w:i/>
          <w:iCs/>
          <w:sz w:val="24"/>
          <w:szCs w:val="24"/>
        </w:rPr>
        <w:t xml:space="preserve">et al. </w:t>
      </w:r>
      <w:r>
        <w:rPr>
          <w:rFonts w:ascii="Arial" w:hAnsi="Arial" w:cs="Arial"/>
          <w:sz w:val="24"/>
          <w:szCs w:val="24"/>
        </w:rPr>
        <w:fldChar w:fldCharType="begin" w:fldLock="1"/>
      </w:r>
      <w:r>
        <w:rPr>
          <w:rFonts w:ascii="Arial" w:hAnsi="Arial" w:cs="Arial"/>
          <w:sz w:val="24"/>
          <w:szCs w:val="24"/>
        </w:rPr>
        <w:instrText>ADDIN CSL_CITATION {"citationItems":[{"id":"ITEM-1","itemData":{"DOI":"10.1080/14613808.2019.1598346","ISSN":"14699893","abstract":"We explored the role of self-efficacy in participatory music-making, and whether a single such music-making activity could make non-musician adults more open to seeing themselves as musical. Past research has suggested that even recipients of multiple years of school music education do not consider being musical as a part of their identity, and they do not exit adolescence with an independent musicianship that would facilitate their making music as adults. In our study, we invited older adults to participate in an informal music-making experience designed to be participatory and enjoyable. A questionnaire measured musical beliefs and self-perceptions before and after the music activity. The posttest version included items through which participants indicated their self-efficacy during the activity. Data analysis revealed that across the entire sample, the average rating of how musical they considered themselves to be did not change significantly, but there was a significant jump in their reported likelihood of engaging in a collection of musical life activities. Specifically, there was a rise in the likelihood of playing musical instruments informally. The study’s most important finding was that participants with higher self-efficacy during the activity emerged from it believing themselves to be more musical than they had previously thought.","author":[{"dropping-particle":"","family":"Woody","given":"Robert H.","non-dropping-particle":"","parse-names":false,"suffix":""},{"dropping-particle":"","family":"Fraser","given":"Amy","non-dropping-particle":"","parse-names":false,"suffix":""},{"dropping-particle":"","family":"Nannen","given":"Briana","non-dropping-particle":"","parse-names":false,"suffix":""},{"dropping-particle":"","family":"Yukevich","given":"Polly","non-dropping-particle":"","parse-names":false,"suffix":""}],"container-title":"Music Education Research","id":"ITEM-1","issue":"3","issued":{"date-parts":[["2019"]]},"page":"315-330","publisher":"Taylor &amp; Francis","title":"Musical identities of older adults are not easily changed: an exploratory study","type":"article-journal","volume":"21"},"uris":["http://www.mendeley.com/documents/?uuid=c0731686-1857-43a8-8fa8-ba5ac99fc6e4"]}],"mendeley":{"formattedCitation":"(Woody &lt;i&gt;et al.&lt;/i&gt;, 2019)","manualFormatting":"(2019)","plainTextFormattedCitation":"(Woody et al., 2019)","previouslyFormattedCitation":"(Woody &lt;i&gt;et al.&lt;/i&gt;, 2019)"},"properties":{"noteIndex":0},"schema":"https://github.com/citation-style-language/schema/raw/master/csl-citation.json"}</w:instrText>
      </w:r>
      <w:r>
        <w:rPr>
          <w:rFonts w:ascii="Arial" w:hAnsi="Arial" w:cs="Arial"/>
          <w:sz w:val="24"/>
          <w:szCs w:val="24"/>
        </w:rPr>
        <w:fldChar w:fldCharType="separate"/>
      </w:r>
      <w:r w:rsidRPr="00B37C95">
        <w:rPr>
          <w:rFonts w:ascii="Arial" w:hAnsi="Arial" w:cs="Arial"/>
          <w:noProof/>
          <w:sz w:val="24"/>
          <w:szCs w:val="24"/>
        </w:rPr>
        <w:t>(2019)</w:t>
      </w:r>
      <w:r>
        <w:rPr>
          <w:rFonts w:ascii="Arial" w:hAnsi="Arial" w:cs="Arial"/>
          <w:sz w:val="24"/>
          <w:szCs w:val="24"/>
        </w:rPr>
        <w:fldChar w:fldCharType="end"/>
      </w:r>
      <w:r>
        <w:rPr>
          <w:rFonts w:ascii="Arial" w:hAnsi="Arial" w:cs="Arial"/>
          <w:sz w:val="24"/>
          <w:szCs w:val="24"/>
        </w:rPr>
        <w:t xml:space="preserve"> stated the importance of ‘feeing good’ in lessons when discussing effective learning and self-efficacy of older students of music.</w:t>
      </w:r>
    </w:p>
    <w:p w14:paraId="49BEC290" w14:textId="2857F753" w:rsidR="007E3B8B" w:rsidRDefault="007E3B8B" w:rsidP="00F0794D">
      <w:pPr>
        <w:spacing w:line="360" w:lineRule="auto"/>
        <w:jc w:val="both"/>
        <w:rPr>
          <w:rFonts w:ascii="Arial" w:hAnsi="Arial" w:cs="Arial"/>
          <w:sz w:val="24"/>
          <w:szCs w:val="24"/>
        </w:rPr>
      </w:pPr>
      <w:r>
        <w:rPr>
          <w:rFonts w:ascii="Arial" w:hAnsi="Arial" w:cs="Arial"/>
          <w:sz w:val="24"/>
          <w:szCs w:val="24"/>
        </w:rPr>
        <w:t xml:space="preserve">Self-efficacy was investigated by </w:t>
      </w:r>
      <w:r w:rsidRPr="00087DFB">
        <w:rPr>
          <w:rFonts w:ascii="Arial" w:hAnsi="Arial" w:cs="Arial"/>
          <w:noProof/>
          <w:sz w:val="24"/>
          <w:szCs w:val="24"/>
        </w:rPr>
        <w:t>Creech and Hallam</w:t>
      </w:r>
      <w:r>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{"citationItems":[{"id":"ITEM-1","itemData":{"DOI":"10.18546/LRE.13.1.05","ISSN":"14748479","abstract":"The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Education","id":"ITEM-1","issue":"1","issued":{"date-parts":[["2015"]]},"page":"43-57","title":"Critical geragogy: A framework for facilitating older learners in community music","type":"article-journal","volume":"13"},"uris":["http://www.mendeley.com/documents/?uuid=fa50dd99-4e1e-44de-a3f2-30dd41815d00"]}],"mendeley":{"formattedCitation":"(Creech and Hallam, 2015)","manualFormatting":"(2015)","plainTextFormattedCitation":"(Creech and Hallam, 2015)","previouslyFormattedCitation":"(Creech and Hallam, 2015)"},"properties":{"noteIndex":0},"schema":"https://github.com/citation-style-language/schema/raw/master/csl-citation.json"}</w:instrText>
      </w:r>
      <w:r>
        <w:rPr>
          <w:rFonts w:ascii="Arial" w:hAnsi="Arial" w:cs="Arial"/>
          <w:sz w:val="24"/>
          <w:szCs w:val="24"/>
        </w:rPr>
        <w:fldChar w:fldCharType="separate"/>
      </w:r>
      <w:r w:rsidRPr="00087DFB">
        <w:rPr>
          <w:rFonts w:ascii="Arial" w:hAnsi="Arial" w:cs="Arial"/>
          <w:noProof/>
          <w:sz w:val="24"/>
          <w:szCs w:val="24"/>
        </w:rPr>
        <w:t>(2015)</w:t>
      </w:r>
      <w:r>
        <w:rPr>
          <w:rFonts w:ascii="Arial" w:hAnsi="Arial" w:cs="Arial"/>
          <w:sz w:val="24"/>
          <w:szCs w:val="24"/>
        </w:rPr>
        <w:fldChar w:fldCharType="end"/>
      </w:r>
      <w:r w:rsidR="007636EC">
        <w:rPr>
          <w:rFonts w:ascii="Arial" w:hAnsi="Arial" w:cs="Arial"/>
          <w:sz w:val="24"/>
          <w:szCs w:val="24"/>
        </w:rPr>
        <w:t>;</w:t>
      </w:r>
      <w:r>
        <w:rPr>
          <w:rFonts w:ascii="Arial" w:hAnsi="Arial" w:cs="Arial"/>
          <w:sz w:val="24"/>
          <w:szCs w:val="24"/>
        </w:rPr>
        <w:t xml:space="preserve"> their paper </w:t>
      </w:r>
      <w:r w:rsidR="007636EC">
        <w:rPr>
          <w:rFonts w:ascii="Arial" w:hAnsi="Arial" w:cs="Arial"/>
          <w:sz w:val="24"/>
          <w:szCs w:val="24"/>
        </w:rPr>
        <w:t>describes</w:t>
      </w:r>
      <w:r>
        <w:rPr>
          <w:rFonts w:ascii="Arial" w:hAnsi="Arial" w:cs="Arial"/>
          <w:sz w:val="24"/>
          <w:szCs w:val="24"/>
        </w:rPr>
        <w:t xml:space="preserve"> the term ‘</w:t>
      </w:r>
      <w:r w:rsidR="00485323">
        <w:rPr>
          <w:rFonts w:ascii="Arial" w:hAnsi="Arial" w:cs="Arial"/>
          <w:sz w:val="24"/>
          <w:szCs w:val="24"/>
        </w:rPr>
        <w:t>C</w:t>
      </w:r>
      <w:r>
        <w:rPr>
          <w:rFonts w:ascii="Arial" w:hAnsi="Arial" w:cs="Arial"/>
          <w:sz w:val="24"/>
          <w:szCs w:val="24"/>
        </w:rPr>
        <w:t xml:space="preserve">ritical </w:t>
      </w:r>
      <w:r w:rsidR="00485323">
        <w:rPr>
          <w:rFonts w:ascii="Arial" w:hAnsi="Arial" w:cs="Arial"/>
          <w:sz w:val="24"/>
          <w:szCs w:val="24"/>
        </w:rPr>
        <w:t>G</w:t>
      </w:r>
      <w:r>
        <w:rPr>
          <w:rFonts w:ascii="Arial" w:hAnsi="Arial" w:cs="Arial"/>
          <w:sz w:val="24"/>
          <w:szCs w:val="24"/>
        </w:rPr>
        <w:t xml:space="preserve">eragogy’ </w:t>
      </w:r>
      <w:r w:rsidR="00E94860">
        <w:rPr>
          <w:rFonts w:ascii="Arial" w:hAnsi="Arial" w:cs="Arial"/>
          <w:sz w:val="24"/>
          <w:szCs w:val="24"/>
        </w:rPr>
        <w:t>as</w:t>
      </w:r>
      <w:r>
        <w:rPr>
          <w:rFonts w:ascii="Arial" w:hAnsi="Arial" w:cs="Arial"/>
          <w:sz w:val="24"/>
          <w:szCs w:val="24"/>
        </w:rPr>
        <w:t xml:space="preserve"> challenging preconceptions around aging whilst focusing on teaching and learning for older adults. </w:t>
      </w:r>
      <w:r w:rsidR="009E47A6">
        <w:rPr>
          <w:rFonts w:ascii="Arial" w:hAnsi="Arial" w:cs="Arial"/>
          <w:sz w:val="24"/>
          <w:szCs w:val="24"/>
        </w:rPr>
        <w:t>They discuss the ben</w:t>
      </w:r>
      <w:r w:rsidR="00CF281B">
        <w:rPr>
          <w:rFonts w:ascii="Arial" w:hAnsi="Arial" w:cs="Arial"/>
          <w:sz w:val="24"/>
          <w:szCs w:val="24"/>
        </w:rPr>
        <w:t xml:space="preserve">efits of </w:t>
      </w:r>
      <w:r>
        <w:rPr>
          <w:rFonts w:ascii="Arial" w:hAnsi="Arial" w:cs="Arial"/>
          <w:sz w:val="24"/>
          <w:szCs w:val="24"/>
        </w:rPr>
        <w:t>using person-centred approach</w:t>
      </w:r>
      <w:r w:rsidR="00CF281B">
        <w:rPr>
          <w:rFonts w:ascii="Arial" w:hAnsi="Arial" w:cs="Arial"/>
          <w:sz w:val="24"/>
          <w:szCs w:val="24"/>
        </w:rPr>
        <w:t xml:space="preserve">. They also </w:t>
      </w:r>
      <w:r>
        <w:rPr>
          <w:rFonts w:ascii="Arial" w:hAnsi="Arial" w:cs="Arial"/>
          <w:sz w:val="24"/>
          <w:szCs w:val="24"/>
        </w:rPr>
        <w:t xml:space="preserve">highlighted the importance of fostering a sense of purpose in learners, student ownership of learning and autonomy. </w:t>
      </w:r>
      <w:r w:rsidR="009E62C7">
        <w:rPr>
          <w:rFonts w:ascii="Arial" w:hAnsi="Arial" w:cs="Arial"/>
          <w:sz w:val="24"/>
          <w:szCs w:val="24"/>
        </w:rPr>
        <w:t xml:space="preserve">Like </w:t>
      </w:r>
      <w:r w:rsidR="00B00812">
        <w:rPr>
          <w:rFonts w:ascii="Arial" w:hAnsi="Arial" w:cs="Arial"/>
          <w:sz w:val="24"/>
          <w:szCs w:val="24"/>
        </w:rPr>
        <w:t>M</w:t>
      </w:r>
      <w:r w:rsidR="00B00812" w:rsidRPr="00B00812">
        <w:rPr>
          <w:rFonts w:ascii="Arial" w:hAnsi="Arial" w:cs="Arial"/>
          <w:noProof/>
          <w:sz w:val="24"/>
          <w:szCs w:val="24"/>
        </w:rPr>
        <w:t>c</w:t>
      </w:r>
      <w:r w:rsidR="00C45891">
        <w:rPr>
          <w:rFonts w:ascii="Arial" w:hAnsi="Arial" w:cs="Arial"/>
          <w:noProof/>
          <w:sz w:val="24"/>
          <w:szCs w:val="24"/>
        </w:rPr>
        <w:t>L</w:t>
      </w:r>
      <w:r w:rsidR="00B00812" w:rsidRPr="00B00812">
        <w:rPr>
          <w:rFonts w:ascii="Arial" w:hAnsi="Arial" w:cs="Arial"/>
          <w:noProof/>
          <w:sz w:val="24"/>
          <w:szCs w:val="24"/>
        </w:rPr>
        <w:t>eod and Maxfield</w:t>
      </w:r>
      <w:r w:rsidR="00B00812">
        <w:rPr>
          <w:rFonts w:ascii="Arial" w:hAnsi="Arial" w:cs="Arial"/>
          <w:noProof/>
          <w:sz w:val="24"/>
          <w:szCs w:val="24"/>
        </w:rPr>
        <w:t xml:space="preserve"> </w:t>
      </w:r>
      <w:r w:rsidR="00B00812">
        <w:rPr>
          <w:rFonts w:ascii="Arial" w:hAnsi="Arial" w:cs="Arial"/>
          <w:sz w:val="24"/>
          <w:szCs w:val="24"/>
        </w:rPr>
        <w:fldChar w:fldCharType="begin" w:fldLock="1"/>
      </w:r>
      <w:r w:rsidR="00195DB1">
        <w:rPr>
          <w:rFonts w:ascii="Arial" w:hAnsi="Arial" w:cs="Arial"/>
          <w:sz w:val="24"/>
          <w:szCs w:val="24"/>
        </w:rPr>
        <w:instrText>ADDIN CSL_CITATION {"citationItems":[{"id":"ITEM-1","itemData":{"author":[{"dropping-particle":"","family":"McLeod","given":"Clare","non-dropping-particle":"","parse-names":false,"suffix":""},{"dropping-particle":"","family":"Maxfield","given":"Lynn","non-dropping-particle":"","parse-names":false,"suffix":""}],"container-title":"Journal of Singing","id":"ITEM-1","issue":"3","issued":{"date-parts":[["2020"]]},"page":"327-332","title":"Causal Learning: Addressing Barriers in Learning to Sing MINDFUL VOICE","type":"article-journal","volume":"76"},"uris":["http://www.mendeley.com/documents/?uuid=1e893029-f365-4463-8fd1-f7fa77a4903f"]}],"mendeley":{"formattedCitation":"(McLeod and Maxfield, 2020)","manualFormatting":"(2020)","plainTextFormattedCitation":"(McLeod and Maxfield, 2020)","previouslyFormattedCitation":"(McLeod and Maxfield, 2020)"},"properties":{"noteIndex":0},"schema":"https://github.com/citation-style-language/schema/raw/master/csl-citation.json"}</w:instrText>
      </w:r>
      <w:r w:rsidR="00B00812">
        <w:rPr>
          <w:rFonts w:ascii="Arial" w:hAnsi="Arial" w:cs="Arial"/>
          <w:sz w:val="24"/>
          <w:szCs w:val="24"/>
        </w:rPr>
        <w:fldChar w:fldCharType="separate"/>
      </w:r>
      <w:r w:rsidR="00B00812" w:rsidRPr="00B00812">
        <w:rPr>
          <w:rFonts w:ascii="Arial" w:hAnsi="Arial" w:cs="Arial"/>
          <w:noProof/>
          <w:sz w:val="24"/>
          <w:szCs w:val="24"/>
        </w:rPr>
        <w:t>(2020)</w:t>
      </w:r>
      <w:r w:rsidR="00B00812">
        <w:rPr>
          <w:rFonts w:ascii="Arial" w:hAnsi="Arial" w:cs="Arial"/>
          <w:sz w:val="24"/>
          <w:szCs w:val="24"/>
        </w:rPr>
        <w:fldChar w:fldCharType="end"/>
      </w:r>
      <w:r w:rsidR="00B00812">
        <w:rPr>
          <w:rFonts w:ascii="Arial" w:hAnsi="Arial" w:cs="Arial"/>
          <w:sz w:val="24"/>
          <w:szCs w:val="24"/>
        </w:rPr>
        <w:t xml:space="preserve">, </w:t>
      </w:r>
      <w:r w:rsidRPr="00087DFB">
        <w:rPr>
          <w:rFonts w:ascii="Arial" w:hAnsi="Arial" w:cs="Arial"/>
          <w:noProof/>
          <w:sz w:val="24"/>
          <w:szCs w:val="24"/>
        </w:rPr>
        <w:t>Creech and Hallam</w:t>
      </w:r>
      <w:r>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{"citationItems":[{"id":"ITEM-1","itemData":{"DOI":"10.18546/LRE.13.1.05","ISSN":"14748479","abstract":"The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Education","id":"ITEM-1","issue":"1","issued":{"date-parts":[["2015"]]},"page":"43-57","title":"Critical geragogy: A framework for facilitating older learners in community music","type":"article-journal","volume":"13"},"uris":["http://www.mendeley.com/documents/?uuid=fa50dd99-4e1e-44de-a3f2-30dd41815d00"]}],"mendeley":{"formattedCitation":"(Creech and Hallam, 2015)","manualFormatting":"(2015)","plainTextFormattedCitation":"(Creech and Hallam, 2015)","previouslyFormattedCitation":"(Creech and Hallam, 2015)"},"properties":{"noteIndex":0},"schema":"https://github.com/citation-style-language/schema/raw/master/csl-citation.json"}</w:instrText>
      </w:r>
      <w:r>
        <w:rPr>
          <w:rFonts w:ascii="Arial" w:hAnsi="Arial" w:cs="Arial"/>
          <w:sz w:val="24"/>
          <w:szCs w:val="24"/>
        </w:rPr>
        <w:fldChar w:fldCharType="separate"/>
      </w:r>
      <w:r w:rsidRPr="00087DFB">
        <w:rPr>
          <w:rFonts w:ascii="Arial" w:hAnsi="Arial" w:cs="Arial"/>
          <w:noProof/>
          <w:sz w:val="24"/>
          <w:szCs w:val="24"/>
        </w:rPr>
        <w:t>(2015)</w:t>
      </w:r>
      <w:r>
        <w:rPr>
          <w:rFonts w:ascii="Arial" w:hAnsi="Arial" w:cs="Arial"/>
          <w:sz w:val="24"/>
          <w:szCs w:val="24"/>
        </w:rPr>
        <w:fldChar w:fldCharType="end"/>
      </w:r>
      <w:r>
        <w:rPr>
          <w:rFonts w:ascii="Arial" w:hAnsi="Arial" w:cs="Arial"/>
          <w:sz w:val="24"/>
          <w:szCs w:val="24"/>
        </w:rPr>
        <w:t xml:space="preserve"> noted the use of dialogue reflection as part of a meaningful learning process and that this supports student engagement in learning. The reflective dialogue could aid the development of cognitive self-regulation skills the importance of which was </w:t>
      </w:r>
      <w:r w:rsidR="00A31806">
        <w:rPr>
          <w:rFonts w:ascii="Arial" w:hAnsi="Arial" w:cs="Arial"/>
          <w:sz w:val="24"/>
          <w:szCs w:val="24"/>
        </w:rPr>
        <w:t xml:space="preserve">also </w:t>
      </w:r>
      <w:r>
        <w:rPr>
          <w:rFonts w:ascii="Arial" w:hAnsi="Arial" w:cs="Arial"/>
          <w:sz w:val="24"/>
          <w:szCs w:val="24"/>
        </w:rPr>
        <w:t xml:space="preserve">discussed by Lewis and Hendricks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2022)","manualFormatting":"(2022)","plainTextFormattedCitation":"(Lewis and Hendricks, 2022)","previouslyFormattedCitation":"(Lewis and Hendricks, 2022)"},"properties":{"noteIndex":0},"schema":"https://github.com/citation-style-language/schema/raw/master/csl-citation.json"}</w:instrText>
      </w:r>
      <w:r>
        <w:rPr>
          <w:rFonts w:ascii="Arial" w:hAnsi="Arial" w:cs="Arial"/>
          <w:sz w:val="24"/>
          <w:szCs w:val="24"/>
        </w:rPr>
        <w:fldChar w:fldCharType="separate"/>
      </w:r>
      <w:r w:rsidRPr="00467A06">
        <w:rPr>
          <w:rFonts w:ascii="Arial" w:hAnsi="Arial" w:cs="Arial"/>
          <w:noProof/>
          <w:sz w:val="24"/>
          <w:szCs w:val="24"/>
        </w:rPr>
        <w:t>(2022)</w:t>
      </w:r>
      <w:r>
        <w:rPr>
          <w:rFonts w:ascii="Arial" w:hAnsi="Arial" w:cs="Arial"/>
          <w:sz w:val="24"/>
          <w:szCs w:val="24"/>
        </w:rPr>
        <w:fldChar w:fldCharType="end"/>
      </w:r>
      <w:r>
        <w:rPr>
          <w:rFonts w:ascii="Arial" w:hAnsi="Arial" w:cs="Arial"/>
          <w:sz w:val="24"/>
          <w:szCs w:val="24"/>
        </w:rPr>
        <w:t>. Critical geragogy has democracy, compassion and inclusion at its heart balanced with reflection and self-directed learning to help learners’</w:t>
      </w:r>
      <w:r w:rsidRPr="00430782">
        <w:rPr>
          <w:rFonts w:ascii="Arial" w:hAnsi="Arial" w:cs="Arial"/>
          <w:sz w:val="24"/>
          <w:szCs w:val="24"/>
        </w:rPr>
        <w:t xml:space="preserve"> </w:t>
      </w:r>
      <w:r>
        <w:rPr>
          <w:rFonts w:ascii="Arial" w:hAnsi="Arial" w:cs="Arial"/>
          <w:sz w:val="24"/>
          <w:szCs w:val="24"/>
        </w:rPr>
        <w:t xml:space="preserve">self-efficacy </w:t>
      </w:r>
      <w:r>
        <w:rPr>
          <w:rFonts w:ascii="Arial" w:hAnsi="Arial" w:cs="Arial"/>
          <w:sz w:val="24"/>
          <w:szCs w:val="24"/>
        </w:rPr>
        <w:fldChar w:fldCharType="begin" w:fldLock="1"/>
      </w:r>
      <w:r>
        <w:rPr>
          <w:rFonts w:ascii="Arial" w:hAnsi="Arial" w:cs="Arial"/>
          <w:sz w:val="24"/>
          <w:szCs w:val="24"/>
        </w:rPr>
        <w:instrText>ADDIN CSL_CITATION {"citationItems":[{"id":"ITEM-1","itemData":{"DOI":"10.18546/LRE.13.1.05","ISSN":"14748479","abstract":"The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Education","id":"ITEM-1","issue":"1","issued":{"date-parts":[["2015"]]},"page":"43-57","title":"Critical geragogy: A framework for facilitating older learners in community music","type":"article-journal","volume":"13"},"uris":["http://www.mendeley.com/documents/?uuid=fa50dd99-4e1e-44de-a3f2-30dd41815d00"]}],"mendeley":{"formattedCitation":"(Creech and Hallam, 2015)","plainTextFormattedCitation":"(Creech and Hallam, 2015)","previouslyFormattedCitation":"(Creech and Hallam, 2015)"},"properties":{"noteIndex":0},"schema":"https://github.com/citation-style-language/schema/raw/master/csl-citation.json"}</w:instrText>
      </w:r>
      <w:r>
        <w:rPr>
          <w:rFonts w:ascii="Arial" w:hAnsi="Arial" w:cs="Arial"/>
          <w:sz w:val="24"/>
          <w:szCs w:val="24"/>
        </w:rPr>
        <w:fldChar w:fldCharType="separate"/>
      </w:r>
      <w:r w:rsidRPr="00430782">
        <w:rPr>
          <w:rFonts w:ascii="Arial" w:hAnsi="Arial" w:cs="Arial"/>
          <w:noProof/>
          <w:sz w:val="24"/>
          <w:szCs w:val="24"/>
        </w:rPr>
        <w:t>(Creech and Hallam, 2015)</w:t>
      </w:r>
      <w:r>
        <w:rPr>
          <w:rFonts w:ascii="Arial" w:hAnsi="Arial" w:cs="Arial"/>
          <w:sz w:val="24"/>
          <w:szCs w:val="24"/>
        </w:rPr>
        <w:fldChar w:fldCharType="end"/>
      </w:r>
      <w:r>
        <w:rPr>
          <w:rFonts w:ascii="Arial" w:hAnsi="Arial" w:cs="Arial"/>
          <w:sz w:val="24"/>
          <w:szCs w:val="24"/>
        </w:rPr>
        <w:t xml:space="preserve">. This study also discussed the learner benefits when feedback is constructive, appropriate, and specific </w:t>
      </w:r>
      <w:r>
        <w:rPr>
          <w:rFonts w:ascii="Arial" w:hAnsi="Arial" w:cs="Arial"/>
          <w:sz w:val="24"/>
          <w:szCs w:val="24"/>
        </w:rPr>
        <w:fldChar w:fldCharType="begin" w:fldLock="1"/>
      </w:r>
      <w:r>
        <w:rPr>
          <w:rFonts w:ascii="Arial" w:hAnsi="Arial" w:cs="Arial"/>
          <w:sz w:val="24"/>
          <w:szCs w:val="24"/>
        </w:rPr>
        <w:instrText>ADDIN CSL_CITATION {"citationItems":[{"id":"ITEM-1","itemData":{"DOI":"10.18546/LRE.13.1.05","ISSN":"14748479","abstract":"The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Education","id":"ITEM-1","issue":"1","issued":{"date-parts":[["2015"]]},"page":"43-57","title":"Critical geragogy: A framework for facilitating older learners in community music","type":"article-journal","volume":"13"},"uris":["http://www.mendeley.com/documents/?uuid=fa50dd99-4e1e-44de-a3f2-30dd41815d00"]}],"mendeley":{"formattedCitation":"(Creech and Hallam, 2015)","plainTextFormattedCitation":"(Creech and Hallam, 2015)","previouslyFormattedCitation":"(Creech and Hallam, 2015)"},"properties":{"noteIndex":0},"schema":"https://github.com/citation-style-language/schema/raw/master/csl-citation.json"}</w:instrText>
      </w:r>
      <w:r>
        <w:rPr>
          <w:rFonts w:ascii="Arial" w:hAnsi="Arial" w:cs="Arial"/>
          <w:sz w:val="24"/>
          <w:szCs w:val="24"/>
        </w:rPr>
        <w:fldChar w:fldCharType="separate"/>
      </w:r>
      <w:r w:rsidRPr="00C978DF">
        <w:rPr>
          <w:rFonts w:ascii="Arial" w:hAnsi="Arial" w:cs="Arial"/>
          <w:noProof/>
          <w:sz w:val="24"/>
          <w:szCs w:val="24"/>
        </w:rPr>
        <w:t>(Creech and Hallam, 2015)</w:t>
      </w:r>
      <w:r>
        <w:rPr>
          <w:rFonts w:ascii="Arial" w:hAnsi="Arial" w:cs="Arial"/>
          <w:sz w:val="24"/>
          <w:szCs w:val="24"/>
        </w:rPr>
        <w:fldChar w:fldCharType="end"/>
      </w:r>
      <w:r>
        <w:rPr>
          <w:rFonts w:ascii="Arial" w:hAnsi="Arial" w:cs="Arial"/>
          <w:sz w:val="24"/>
          <w:szCs w:val="24"/>
        </w:rPr>
        <w:t xml:space="preserve">. Feedback </w:t>
      </w:r>
      <w:r w:rsidR="0037232E">
        <w:rPr>
          <w:rFonts w:ascii="Arial" w:hAnsi="Arial" w:cs="Arial"/>
          <w:sz w:val="24"/>
          <w:szCs w:val="24"/>
        </w:rPr>
        <w:t xml:space="preserve">of this nature </w:t>
      </w:r>
      <w:r>
        <w:rPr>
          <w:rFonts w:ascii="Arial" w:hAnsi="Arial" w:cs="Arial"/>
          <w:sz w:val="24"/>
          <w:szCs w:val="24"/>
        </w:rPr>
        <w:t xml:space="preserve">would diminish the need for a learner to filter feedback as discussed by Lewis and Hendricks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2022)","manualFormatting":"(2022)","plainTextFormattedCitation":"(Lewis and Hendricks, 2022)","previouslyFormattedCitation":"(Lewis and Hendricks, 2022)"},"properties":{"noteIndex":0},"schema":"https://github.com/citation-style-language/schema/raw/master/csl-citation.json"}</w:instrText>
      </w:r>
      <w:r>
        <w:rPr>
          <w:rFonts w:ascii="Arial" w:hAnsi="Arial" w:cs="Arial"/>
          <w:sz w:val="24"/>
          <w:szCs w:val="24"/>
        </w:rPr>
        <w:fldChar w:fldCharType="separate"/>
      </w:r>
      <w:r w:rsidRPr="00DB5161">
        <w:rPr>
          <w:rFonts w:ascii="Arial" w:hAnsi="Arial" w:cs="Arial"/>
          <w:noProof/>
          <w:sz w:val="24"/>
          <w:szCs w:val="24"/>
        </w:rPr>
        <w:t>(2022)</w:t>
      </w:r>
      <w:r>
        <w:rPr>
          <w:rFonts w:ascii="Arial" w:hAnsi="Arial" w:cs="Arial"/>
          <w:sz w:val="24"/>
          <w:szCs w:val="24"/>
        </w:rPr>
        <w:fldChar w:fldCharType="end"/>
      </w:r>
      <w:r>
        <w:rPr>
          <w:rFonts w:ascii="Arial" w:hAnsi="Arial" w:cs="Arial"/>
          <w:sz w:val="24"/>
          <w:szCs w:val="24"/>
        </w:rPr>
        <w:t xml:space="preserve">. </w:t>
      </w:r>
    </w:p>
    <w:p w14:paraId="363AF664" w14:textId="6840BE10" w:rsidR="007E3B8B" w:rsidRDefault="00695113" w:rsidP="008A1520">
      <w:pPr>
        <w:spacing w:line="360" w:lineRule="auto"/>
        <w:jc w:val="both"/>
        <w:rPr>
          <w:rFonts w:ascii="Arial" w:hAnsi="Arial" w:cs="Arial"/>
          <w:sz w:val="24"/>
          <w:szCs w:val="24"/>
        </w:rPr>
      </w:pPr>
      <w:r>
        <w:rPr>
          <w:rFonts w:ascii="Arial" w:hAnsi="Arial" w:cs="Arial"/>
          <w:sz w:val="24"/>
          <w:szCs w:val="24"/>
        </w:rPr>
        <w:t>The role of p</w:t>
      </w:r>
      <w:r w:rsidR="007E3B8B">
        <w:rPr>
          <w:rFonts w:ascii="Arial" w:hAnsi="Arial" w:cs="Arial"/>
          <w:sz w:val="24"/>
          <w:szCs w:val="24"/>
        </w:rPr>
        <w:t xml:space="preserve">ractice </w:t>
      </w:r>
      <w:r w:rsidR="00E72345">
        <w:rPr>
          <w:rFonts w:ascii="Arial" w:hAnsi="Arial" w:cs="Arial"/>
          <w:sz w:val="24"/>
          <w:szCs w:val="24"/>
        </w:rPr>
        <w:t xml:space="preserve">and how it is conducted </w:t>
      </w:r>
      <w:r w:rsidR="007E3B8B">
        <w:rPr>
          <w:rFonts w:ascii="Arial" w:hAnsi="Arial" w:cs="Arial"/>
          <w:sz w:val="24"/>
          <w:szCs w:val="24"/>
        </w:rPr>
        <w:t xml:space="preserve">was investigated as part of this study </w:t>
      </w:r>
      <w:r w:rsidR="00E72345">
        <w:rPr>
          <w:rFonts w:ascii="Arial" w:hAnsi="Arial" w:cs="Arial"/>
          <w:sz w:val="24"/>
          <w:szCs w:val="24"/>
        </w:rPr>
        <w:t xml:space="preserve">by Creech and Hallam </w:t>
      </w:r>
      <w:r w:rsidR="00E72345">
        <w:rPr>
          <w:rFonts w:ascii="Arial" w:hAnsi="Arial" w:cs="Arial"/>
          <w:sz w:val="24"/>
          <w:szCs w:val="24"/>
        </w:rPr>
        <w:fldChar w:fldCharType="begin" w:fldLock="1"/>
      </w:r>
      <w:r w:rsidR="00A02EBE">
        <w:rPr>
          <w:rFonts w:ascii="Arial" w:hAnsi="Arial" w:cs="Arial"/>
          <w:sz w:val="24"/>
          <w:szCs w:val="24"/>
        </w:rPr>
        <w:instrText>ADDIN CSL_CITATION {"citationItems":[{"id":"ITEM-1","itemData":{"DOI":"10.18546/LRE.13.1.05","ISSN":"14748479","abstract":"The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Education","id":"ITEM-1","issue":"1","issued":{"date-parts":[["2015"]]},"page":"43-57","title":"Critical geragogy: A framework for facilitating older learners in community music","type":"article-journal","volume":"13"},"uris":["http://www.mendeley.com/documents/?uuid=fa50dd99-4e1e-44de-a3f2-30dd41815d00"]}],"mendeley":{"formattedCitation":"(Creech and Hallam, 2015)","manualFormatting":"(2015)","plainTextFormattedCitation":"(Creech and Hallam, 2015)","previouslyFormattedCitation":"(Creech and Hallam, 2015)"},"properties":{"noteIndex":0},"schema":"https://github.com/citation-style-language/schema/raw/master/csl-citation.json"}</w:instrText>
      </w:r>
      <w:r w:rsidR="00E72345">
        <w:rPr>
          <w:rFonts w:ascii="Arial" w:hAnsi="Arial" w:cs="Arial"/>
          <w:sz w:val="24"/>
          <w:szCs w:val="24"/>
        </w:rPr>
        <w:fldChar w:fldCharType="separate"/>
      </w:r>
      <w:r w:rsidR="00E72345" w:rsidRPr="00E72345">
        <w:rPr>
          <w:rFonts w:ascii="Arial" w:hAnsi="Arial" w:cs="Arial"/>
          <w:noProof/>
          <w:sz w:val="24"/>
          <w:szCs w:val="24"/>
        </w:rPr>
        <w:t>(2015)</w:t>
      </w:r>
      <w:r w:rsidR="00E72345">
        <w:rPr>
          <w:rFonts w:ascii="Arial" w:hAnsi="Arial" w:cs="Arial"/>
          <w:sz w:val="24"/>
          <w:szCs w:val="24"/>
        </w:rPr>
        <w:fldChar w:fldCharType="end"/>
      </w:r>
      <w:r w:rsidR="00E72345">
        <w:rPr>
          <w:rFonts w:ascii="Arial" w:hAnsi="Arial" w:cs="Arial"/>
          <w:sz w:val="24"/>
          <w:szCs w:val="24"/>
        </w:rPr>
        <w:t xml:space="preserve">. They </w:t>
      </w:r>
      <w:r w:rsidR="007E3B8B">
        <w:rPr>
          <w:rFonts w:ascii="Arial" w:hAnsi="Arial" w:cs="Arial"/>
          <w:sz w:val="24"/>
          <w:szCs w:val="24"/>
        </w:rPr>
        <w:t>discussed</w:t>
      </w:r>
      <w:r w:rsidR="00E32093">
        <w:rPr>
          <w:rFonts w:ascii="Arial" w:hAnsi="Arial" w:cs="Arial"/>
          <w:sz w:val="24"/>
          <w:szCs w:val="24"/>
        </w:rPr>
        <w:t xml:space="preserve"> the</w:t>
      </w:r>
      <w:r w:rsidR="007E3B8B">
        <w:rPr>
          <w:rFonts w:ascii="Arial" w:hAnsi="Arial" w:cs="Arial"/>
          <w:sz w:val="24"/>
          <w:szCs w:val="24"/>
        </w:rPr>
        <w:t xml:space="preserve"> </w:t>
      </w:r>
      <w:r w:rsidR="00E32093">
        <w:rPr>
          <w:rFonts w:ascii="Arial" w:hAnsi="Arial" w:cs="Arial"/>
          <w:sz w:val="24"/>
          <w:szCs w:val="24"/>
        </w:rPr>
        <w:t xml:space="preserve">learner </w:t>
      </w:r>
      <w:r w:rsidR="00E72345">
        <w:rPr>
          <w:rFonts w:ascii="Arial" w:hAnsi="Arial" w:cs="Arial"/>
          <w:sz w:val="24"/>
          <w:szCs w:val="24"/>
        </w:rPr>
        <w:t>practice</w:t>
      </w:r>
      <w:r w:rsidR="00E32093">
        <w:rPr>
          <w:rFonts w:ascii="Arial" w:hAnsi="Arial" w:cs="Arial"/>
          <w:sz w:val="24"/>
          <w:szCs w:val="24"/>
        </w:rPr>
        <w:t xml:space="preserve"> process as </w:t>
      </w:r>
      <w:r w:rsidR="00202C69">
        <w:rPr>
          <w:rFonts w:ascii="Arial" w:hAnsi="Arial" w:cs="Arial"/>
          <w:sz w:val="24"/>
          <w:szCs w:val="24"/>
        </w:rPr>
        <w:t>something</w:t>
      </w:r>
      <w:r w:rsidR="00E32093">
        <w:rPr>
          <w:rFonts w:ascii="Arial" w:hAnsi="Arial" w:cs="Arial"/>
          <w:sz w:val="24"/>
          <w:szCs w:val="24"/>
        </w:rPr>
        <w:t xml:space="preserve"> which</w:t>
      </w:r>
      <w:r w:rsidR="007E3B8B">
        <w:rPr>
          <w:rFonts w:ascii="Arial" w:hAnsi="Arial" w:cs="Arial"/>
          <w:sz w:val="24"/>
          <w:szCs w:val="24"/>
        </w:rPr>
        <w:t xml:space="preserve"> </w:t>
      </w:r>
      <w:r w:rsidR="00202C69">
        <w:rPr>
          <w:rFonts w:ascii="Arial" w:hAnsi="Arial" w:cs="Arial"/>
          <w:sz w:val="24"/>
          <w:szCs w:val="24"/>
        </w:rPr>
        <w:t>contributes to</w:t>
      </w:r>
      <w:r w:rsidR="007E3B8B">
        <w:rPr>
          <w:rFonts w:ascii="Arial" w:hAnsi="Arial" w:cs="Arial"/>
          <w:sz w:val="24"/>
          <w:szCs w:val="24"/>
        </w:rPr>
        <w:t xml:space="preserve"> older learners</w:t>
      </w:r>
      <w:r w:rsidR="00202C69">
        <w:rPr>
          <w:rFonts w:ascii="Arial" w:hAnsi="Arial" w:cs="Arial"/>
          <w:sz w:val="24"/>
          <w:szCs w:val="24"/>
        </w:rPr>
        <w:t xml:space="preserve"> being able</w:t>
      </w:r>
      <w:r w:rsidR="007E3B8B">
        <w:rPr>
          <w:rFonts w:ascii="Arial" w:hAnsi="Arial" w:cs="Arial"/>
          <w:sz w:val="24"/>
          <w:szCs w:val="24"/>
        </w:rPr>
        <w:t xml:space="preserve"> to achieve at similar levels to younger peers </w:t>
      </w:r>
      <w:r w:rsidR="007E3B8B">
        <w:rPr>
          <w:rFonts w:ascii="Arial" w:hAnsi="Arial" w:cs="Arial"/>
          <w:sz w:val="24"/>
          <w:szCs w:val="24"/>
        </w:rPr>
        <w:fldChar w:fldCharType="begin" w:fldLock="1"/>
      </w:r>
      <w:r w:rsidR="007E3B8B">
        <w:rPr>
          <w:rFonts w:ascii="Arial" w:hAnsi="Arial" w:cs="Arial"/>
          <w:sz w:val="24"/>
          <w:szCs w:val="24"/>
        </w:rPr>
        <w:instrText>ADDIN CSL_CITATION {"citationItems":[{"id":"ITEM-1","itemData":{"DOI":"10.18546/LRE.13.1.05","ISSN":"14748479","abstract":"The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Education","id":"ITEM-1","issue":"1","issued":{"date-parts":[["2015"]]},"page":"43-57","title":"Critical geragogy: A framework for facilitating older learners in community music","type":"article-journal","volume":"13"},"uris":["http://www.mendeley.com/documents/?uuid=fa50dd99-4e1e-44de-a3f2-30dd41815d00"]}],"mendeley":{"formattedCitation":"(Creech and Hallam, 2015)","plainTextFormattedCitation":"(Creech and Hallam, 2015)","previouslyFormattedCitation":"(Creech and Hallam, 2015)"},"properties":{"noteIndex":0},"schema":"https://github.com/citation-style-language/schema/raw/master/csl-citation.json"}</w:instrText>
      </w:r>
      <w:r w:rsidR="007E3B8B">
        <w:rPr>
          <w:rFonts w:ascii="Arial" w:hAnsi="Arial" w:cs="Arial"/>
          <w:sz w:val="24"/>
          <w:szCs w:val="24"/>
        </w:rPr>
        <w:fldChar w:fldCharType="separate"/>
      </w:r>
      <w:r w:rsidR="007E3B8B" w:rsidRPr="00071F82">
        <w:rPr>
          <w:rFonts w:ascii="Arial" w:hAnsi="Arial" w:cs="Arial"/>
          <w:noProof/>
          <w:sz w:val="24"/>
          <w:szCs w:val="24"/>
        </w:rPr>
        <w:t>(Creech and Hallam, 2015)</w:t>
      </w:r>
      <w:r w:rsidR="007E3B8B">
        <w:rPr>
          <w:rFonts w:ascii="Arial" w:hAnsi="Arial" w:cs="Arial"/>
          <w:sz w:val="24"/>
          <w:szCs w:val="24"/>
        </w:rPr>
        <w:fldChar w:fldCharType="end"/>
      </w:r>
      <w:r w:rsidR="007E3B8B">
        <w:rPr>
          <w:rFonts w:ascii="Arial" w:hAnsi="Arial" w:cs="Arial"/>
          <w:sz w:val="24"/>
          <w:szCs w:val="24"/>
        </w:rPr>
        <w:t xml:space="preserve">. This is a further example of a mastery experience opportunities which Lewis and Hendricks </w:t>
      </w:r>
      <w:r w:rsidR="007E3B8B">
        <w:rPr>
          <w:rFonts w:ascii="Arial" w:hAnsi="Arial" w:cs="Arial"/>
          <w:sz w:val="24"/>
          <w:szCs w:val="24"/>
        </w:rPr>
        <w:fldChar w:fldCharType="begin" w:fldLock="1"/>
      </w:r>
      <w:r w:rsidR="007E3B8B">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2022)","manualFormatting":"(2022)","plainTextFormattedCitation":"(Lewis and Hendricks, 2022)","previouslyFormattedCitation":"(Lewis and Hendricks, 2022)"},"properties":{"noteIndex":0},"schema":"https://github.com/citation-style-language/schema/raw/master/csl-citation.json"}</w:instrText>
      </w:r>
      <w:r w:rsidR="007E3B8B">
        <w:rPr>
          <w:rFonts w:ascii="Arial" w:hAnsi="Arial" w:cs="Arial"/>
          <w:sz w:val="24"/>
          <w:szCs w:val="24"/>
        </w:rPr>
        <w:fldChar w:fldCharType="separate"/>
      </w:r>
      <w:r w:rsidR="007E3B8B" w:rsidRPr="00DB5161">
        <w:rPr>
          <w:rFonts w:ascii="Arial" w:hAnsi="Arial" w:cs="Arial"/>
          <w:noProof/>
          <w:sz w:val="24"/>
          <w:szCs w:val="24"/>
        </w:rPr>
        <w:t>(2022)</w:t>
      </w:r>
      <w:r w:rsidR="007E3B8B">
        <w:rPr>
          <w:rFonts w:ascii="Arial" w:hAnsi="Arial" w:cs="Arial"/>
          <w:sz w:val="24"/>
          <w:szCs w:val="24"/>
        </w:rPr>
        <w:fldChar w:fldCharType="end"/>
      </w:r>
      <w:r w:rsidR="007E3B8B">
        <w:rPr>
          <w:rFonts w:ascii="Arial" w:hAnsi="Arial" w:cs="Arial"/>
          <w:sz w:val="24"/>
          <w:szCs w:val="24"/>
        </w:rPr>
        <w:t xml:space="preserve"> and Bandura </w:t>
      </w:r>
      <w:r w:rsidR="007E3B8B">
        <w:rPr>
          <w:rFonts w:ascii="Arial" w:hAnsi="Arial" w:cs="Arial"/>
          <w:sz w:val="24"/>
          <w:szCs w:val="24"/>
        </w:rPr>
        <w:fldChar w:fldCharType="begin" w:fldLock="1"/>
      </w:r>
      <w:r w:rsidR="007E3B8B">
        <w:rPr>
          <w:rFonts w:ascii="Arial" w:hAnsi="Arial" w:cs="Arial"/>
          <w:sz w:val="24"/>
          <w:szCs w:val="24"/>
        </w:rPr>
        <w:instrText>ADDIN CSL_CITATION {"citationItems":[{"id":"ITEM-1","itemData":{"abstract":"Based on Bandura's theory that those who believe they can do what they set out to do are healthier, more efficient and more successful than those with low self-efficacy expectations. This theory has stimulated programs of research in education, clinicaland developmental psychology, medicine and related fields, athletics and business organization.","author":[{"dropping-particle":"","family":"Bandura","given":"Albert","non-dropping-particle":"","parse-names":false,"suffix":""}],"id":"ITEM-1","issued":{"date-parts":[["1997"]]},"publisher":"W.H.Freeman &amp; Co Ltd","publisher-place":"New York","title":"Self-efficacy : The Exercise of Control.","type":"book"},"uris":["http://www.mendeley.com/documents/?uuid=29014b0e-1932-4150-a247-953655b38468"]}],"mendeley":{"formattedCitation":"(Bandura, 1997)","manualFormatting":"(1997)","plainTextFormattedCitation":"(Bandura, 1997)","previouslyFormattedCitation":"(Bandura, 1997)"},"properties":{"noteIndex":0},"schema":"https://github.com/citation-style-language/schema/raw/master/csl-citation.json"}</w:instrText>
      </w:r>
      <w:r w:rsidR="007E3B8B">
        <w:rPr>
          <w:rFonts w:ascii="Arial" w:hAnsi="Arial" w:cs="Arial"/>
          <w:sz w:val="24"/>
          <w:szCs w:val="24"/>
        </w:rPr>
        <w:fldChar w:fldCharType="separate"/>
      </w:r>
      <w:r w:rsidR="007E3B8B" w:rsidRPr="00E53CAD">
        <w:rPr>
          <w:rFonts w:ascii="Arial" w:hAnsi="Arial" w:cs="Arial"/>
          <w:noProof/>
          <w:sz w:val="24"/>
          <w:szCs w:val="24"/>
        </w:rPr>
        <w:t>(1997)</w:t>
      </w:r>
      <w:r w:rsidR="007E3B8B">
        <w:rPr>
          <w:rFonts w:ascii="Arial" w:hAnsi="Arial" w:cs="Arial"/>
          <w:sz w:val="24"/>
          <w:szCs w:val="24"/>
        </w:rPr>
        <w:fldChar w:fldCharType="end"/>
      </w:r>
      <w:r w:rsidR="007E3B8B">
        <w:rPr>
          <w:rFonts w:ascii="Arial" w:hAnsi="Arial" w:cs="Arial"/>
          <w:sz w:val="24"/>
          <w:szCs w:val="24"/>
        </w:rPr>
        <w:t xml:space="preserve"> have affirmed as supporting self-efficacy development. Hogle’s study into fostering singing agency </w:t>
      </w:r>
      <w:r w:rsidR="007E3B8B">
        <w:rPr>
          <w:rFonts w:ascii="Arial" w:hAnsi="Arial" w:cs="Arial"/>
          <w:sz w:val="24"/>
          <w:szCs w:val="24"/>
        </w:rPr>
        <w:fldChar w:fldCharType="begin" w:fldLock="1"/>
      </w:r>
      <w:r w:rsidR="007E3B8B">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2021)","manualFormatting":"(2021)","plainTextFormattedCitation":"(Hogle, 2021)","previouslyFormattedCitation":"(Hogle, 2021)"},"properties":{"noteIndex":0},"schema":"https://github.com/citation-style-language/schema/raw/master/csl-citation.json"}</w:instrText>
      </w:r>
      <w:r w:rsidR="007E3B8B">
        <w:rPr>
          <w:rFonts w:ascii="Arial" w:hAnsi="Arial" w:cs="Arial"/>
          <w:sz w:val="24"/>
          <w:szCs w:val="24"/>
        </w:rPr>
        <w:fldChar w:fldCharType="separate"/>
      </w:r>
      <w:r w:rsidR="007E3B8B" w:rsidRPr="00495BD2">
        <w:rPr>
          <w:rFonts w:ascii="Arial" w:hAnsi="Arial" w:cs="Arial"/>
          <w:noProof/>
          <w:sz w:val="24"/>
          <w:szCs w:val="24"/>
        </w:rPr>
        <w:t>(2021)</w:t>
      </w:r>
      <w:r w:rsidR="007E3B8B">
        <w:rPr>
          <w:rFonts w:ascii="Arial" w:hAnsi="Arial" w:cs="Arial"/>
          <w:sz w:val="24"/>
          <w:szCs w:val="24"/>
        </w:rPr>
        <w:fldChar w:fldCharType="end"/>
      </w:r>
      <w:r w:rsidR="007E3B8B">
        <w:rPr>
          <w:rFonts w:ascii="Arial" w:hAnsi="Arial" w:cs="Arial"/>
          <w:sz w:val="24"/>
          <w:szCs w:val="24"/>
        </w:rPr>
        <w:t xml:space="preserve"> discusses </w:t>
      </w:r>
      <w:r w:rsidR="005F59D9">
        <w:rPr>
          <w:rFonts w:ascii="Arial" w:hAnsi="Arial" w:cs="Arial"/>
          <w:sz w:val="24"/>
          <w:szCs w:val="24"/>
        </w:rPr>
        <w:t xml:space="preserve">improving </w:t>
      </w:r>
      <w:r w:rsidR="007E3B8B">
        <w:rPr>
          <w:rFonts w:ascii="Arial" w:hAnsi="Arial" w:cs="Arial"/>
          <w:sz w:val="24"/>
          <w:szCs w:val="24"/>
        </w:rPr>
        <w:t xml:space="preserve">learner engagement </w:t>
      </w:r>
      <w:r w:rsidR="007E3B8B">
        <w:rPr>
          <w:rFonts w:ascii="Arial" w:hAnsi="Arial" w:cs="Arial"/>
          <w:sz w:val="24"/>
          <w:szCs w:val="24"/>
        </w:rPr>
        <w:fldChar w:fldCharType="begin" w:fldLock="1"/>
      </w:r>
      <w:r w:rsidR="007E3B8B">
        <w:rPr>
          <w:rFonts w:ascii="Arial" w:hAnsi="Arial" w:cs="Arial"/>
          <w:sz w:val="24"/>
          <w:szCs w:val="24"/>
        </w:rPr>
        <w:instrText>ADDIN CSL_CITATION {"citationItems":[{"id":"ITEM-1","itemData":{"DOI":"10.18546/LRE.13.1.05","ISSN":"14748479","abstract":"The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Education","id":"ITEM-1","issue":"1","issued":{"date-parts":[["2015"]]},"page":"43-57","title":"Critical geragogy: A framework for facilitating older learners in community music","type":"article-journal","volume":"13"},"uris":["http://www.mendeley.com/documents/?uuid=fa50dd99-4e1e-44de-a3f2-30dd41815d00"]}],"mendeley":{"formattedCitation":"(Creech and Hallam, 2015)","plainTextFormattedCitation":"(Creech and Hallam, 2015)","previouslyFormattedCitation":"(Creech and Hallam, 2015)"},"properties":{"noteIndex":0},"schema":"https://github.com/citation-style-language/schema/raw/master/csl-citation.json"}</w:instrText>
      </w:r>
      <w:r w:rsidR="007E3B8B">
        <w:rPr>
          <w:rFonts w:ascii="Arial" w:hAnsi="Arial" w:cs="Arial"/>
          <w:sz w:val="24"/>
          <w:szCs w:val="24"/>
        </w:rPr>
        <w:fldChar w:fldCharType="separate"/>
      </w:r>
      <w:r w:rsidR="007E3B8B" w:rsidRPr="00535A43">
        <w:rPr>
          <w:rFonts w:ascii="Arial" w:hAnsi="Arial" w:cs="Arial"/>
          <w:noProof/>
          <w:sz w:val="24"/>
          <w:szCs w:val="24"/>
        </w:rPr>
        <w:t>(Creech and Hallam, 2015)</w:t>
      </w:r>
      <w:r w:rsidR="007E3B8B">
        <w:rPr>
          <w:rFonts w:ascii="Arial" w:hAnsi="Arial" w:cs="Arial"/>
          <w:sz w:val="24"/>
          <w:szCs w:val="24"/>
        </w:rPr>
        <w:fldChar w:fldCharType="end"/>
      </w:r>
      <w:r w:rsidR="007E3B8B">
        <w:rPr>
          <w:rFonts w:ascii="Arial" w:hAnsi="Arial" w:cs="Arial"/>
          <w:sz w:val="24"/>
          <w:szCs w:val="24"/>
        </w:rPr>
        <w:t xml:space="preserve"> through student</w:t>
      </w:r>
      <w:r w:rsidR="00C6798D">
        <w:rPr>
          <w:rFonts w:ascii="Arial" w:hAnsi="Arial" w:cs="Arial"/>
          <w:sz w:val="24"/>
          <w:szCs w:val="24"/>
        </w:rPr>
        <w:t>-</w:t>
      </w:r>
      <w:r w:rsidR="007E3B8B">
        <w:rPr>
          <w:rFonts w:ascii="Arial" w:hAnsi="Arial" w:cs="Arial"/>
          <w:sz w:val="24"/>
          <w:szCs w:val="24"/>
        </w:rPr>
        <w:t>led goal-setting</w:t>
      </w:r>
      <w:r w:rsidR="005F59D9">
        <w:rPr>
          <w:rFonts w:ascii="Arial" w:hAnsi="Arial" w:cs="Arial"/>
          <w:sz w:val="24"/>
          <w:szCs w:val="24"/>
        </w:rPr>
        <w:t>. They suggest following this</w:t>
      </w:r>
      <w:r w:rsidR="003F2937">
        <w:rPr>
          <w:rFonts w:ascii="Arial" w:hAnsi="Arial" w:cs="Arial"/>
          <w:sz w:val="24"/>
          <w:szCs w:val="24"/>
        </w:rPr>
        <w:t xml:space="preserve"> with </w:t>
      </w:r>
      <w:r w:rsidR="007E3B8B">
        <w:rPr>
          <w:rFonts w:ascii="Arial" w:hAnsi="Arial" w:cs="Arial"/>
          <w:sz w:val="24"/>
          <w:szCs w:val="24"/>
        </w:rPr>
        <w:t>metacognitive assess</w:t>
      </w:r>
      <w:r w:rsidR="003F2937">
        <w:rPr>
          <w:rFonts w:ascii="Arial" w:hAnsi="Arial" w:cs="Arial"/>
          <w:sz w:val="24"/>
          <w:szCs w:val="24"/>
        </w:rPr>
        <w:t>ment of</w:t>
      </w:r>
      <w:r w:rsidR="007E3B8B">
        <w:rPr>
          <w:rFonts w:ascii="Arial" w:hAnsi="Arial" w:cs="Arial"/>
          <w:sz w:val="24"/>
          <w:szCs w:val="24"/>
        </w:rPr>
        <w:t xml:space="preserve"> progress</w:t>
      </w:r>
      <w:r w:rsidR="003F2937">
        <w:rPr>
          <w:rFonts w:ascii="Arial" w:hAnsi="Arial" w:cs="Arial"/>
          <w:sz w:val="24"/>
          <w:szCs w:val="24"/>
        </w:rPr>
        <w:t>. This is</w:t>
      </w:r>
      <w:r w:rsidR="007E3B8B">
        <w:rPr>
          <w:rFonts w:ascii="Arial" w:hAnsi="Arial" w:cs="Arial"/>
          <w:sz w:val="24"/>
          <w:szCs w:val="24"/>
        </w:rPr>
        <w:t xml:space="preserve"> further evidenc</w:t>
      </w:r>
      <w:r w:rsidR="003F2937">
        <w:rPr>
          <w:rFonts w:ascii="Arial" w:hAnsi="Arial" w:cs="Arial"/>
          <w:sz w:val="24"/>
          <w:szCs w:val="24"/>
        </w:rPr>
        <w:t>e pointing to</w:t>
      </w:r>
      <w:r w:rsidR="007E3B8B">
        <w:rPr>
          <w:rFonts w:ascii="Arial" w:hAnsi="Arial" w:cs="Arial"/>
          <w:sz w:val="24"/>
          <w:szCs w:val="24"/>
        </w:rPr>
        <w:t xml:space="preserve"> the benefit</w:t>
      </w:r>
      <w:r w:rsidR="003F2937">
        <w:rPr>
          <w:rFonts w:ascii="Arial" w:hAnsi="Arial" w:cs="Arial"/>
          <w:sz w:val="24"/>
          <w:szCs w:val="24"/>
        </w:rPr>
        <w:t>s</w:t>
      </w:r>
      <w:r w:rsidR="007E3B8B">
        <w:rPr>
          <w:rFonts w:ascii="Arial" w:hAnsi="Arial" w:cs="Arial"/>
          <w:sz w:val="24"/>
          <w:szCs w:val="24"/>
        </w:rPr>
        <w:t xml:space="preserve"> of metacognitive and self-regulation </w:t>
      </w:r>
      <w:r w:rsidR="00B82535">
        <w:rPr>
          <w:rFonts w:ascii="Arial" w:hAnsi="Arial" w:cs="Arial"/>
          <w:sz w:val="24"/>
          <w:szCs w:val="24"/>
        </w:rPr>
        <w:t xml:space="preserve">skills </w:t>
      </w:r>
      <w:r w:rsidR="007E3B8B">
        <w:rPr>
          <w:rFonts w:ascii="Arial" w:hAnsi="Arial" w:cs="Arial"/>
          <w:sz w:val="24"/>
          <w:szCs w:val="24"/>
        </w:rPr>
        <w:fldChar w:fldCharType="begin" w:fldLock="1"/>
      </w:r>
      <w:r w:rsidR="007E3B8B">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2022)","plainTextFormattedCitation":"(Lewis and Hendricks, 2022)","previouslyFormattedCitation":"(Lewis and Hendricks, 2022)"},"properties":{"noteIndex":0},"schema":"https://github.com/citation-style-language/schema/raw/master/csl-citation.json"}</w:instrText>
      </w:r>
      <w:r w:rsidR="007E3B8B">
        <w:rPr>
          <w:rFonts w:ascii="Arial" w:hAnsi="Arial" w:cs="Arial"/>
          <w:sz w:val="24"/>
          <w:szCs w:val="24"/>
        </w:rPr>
        <w:fldChar w:fldCharType="separate"/>
      </w:r>
      <w:r w:rsidR="007E3B8B" w:rsidRPr="00244BF1">
        <w:rPr>
          <w:rFonts w:ascii="Arial" w:hAnsi="Arial" w:cs="Arial"/>
          <w:noProof/>
          <w:sz w:val="24"/>
          <w:szCs w:val="24"/>
        </w:rPr>
        <w:t>(Lewis and Hendricks, 2022)</w:t>
      </w:r>
      <w:r w:rsidR="007E3B8B">
        <w:rPr>
          <w:rFonts w:ascii="Arial" w:hAnsi="Arial" w:cs="Arial"/>
          <w:sz w:val="24"/>
          <w:szCs w:val="24"/>
        </w:rPr>
        <w:fldChar w:fldCharType="end"/>
      </w:r>
      <w:r w:rsidR="007E3B8B">
        <w:rPr>
          <w:rFonts w:ascii="Arial" w:hAnsi="Arial" w:cs="Arial"/>
          <w:sz w:val="24"/>
          <w:szCs w:val="24"/>
        </w:rPr>
        <w:t xml:space="preserve">. </w:t>
      </w:r>
      <w:r w:rsidR="0087421D">
        <w:rPr>
          <w:rFonts w:ascii="Arial" w:hAnsi="Arial" w:cs="Arial"/>
          <w:sz w:val="24"/>
          <w:szCs w:val="24"/>
        </w:rPr>
        <w:t xml:space="preserve">The emotional regulation which comes </w:t>
      </w:r>
      <w:r w:rsidR="0087421D">
        <w:rPr>
          <w:rFonts w:ascii="Arial" w:hAnsi="Arial" w:cs="Arial"/>
          <w:sz w:val="24"/>
          <w:szCs w:val="24"/>
        </w:rPr>
        <w:lastRenderedPageBreak/>
        <w:t xml:space="preserve">from developing </w:t>
      </w:r>
      <w:r w:rsidR="0087421D" w:rsidRPr="0087421D">
        <w:rPr>
          <w:rFonts w:ascii="Arial" w:hAnsi="Arial" w:cs="Arial"/>
          <w:b/>
          <w:bCs/>
          <w:i/>
          <w:iCs/>
          <w:sz w:val="24"/>
          <w:szCs w:val="24"/>
        </w:rPr>
        <w:t>p</w:t>
      </w:r>
      <w:r w:rsidR="007E3B8B" w:rsidRPr="004C0697">
        <w:rPr>
          <w:rFonts w:ascii="Arial" w:hAnsi="Arial" w:cs="Arial"/>
          <w:b/>
          <w:bCs/>
          <w:i/>
          <w:iCs/>
          <w:sz w:val="24"/>
          <w:szCs w:val="24"/>
        </w:rPr>
        <w:t>roblem solving skills</w:t>
      </w:r>
      <w:r w:rsidR="00045667">
        <w:rPr>
          <w:rFonts w:ascii="Arial" w:hAnsi="Arial" w:cs="Arial"/>
          <w:sz w:val="24"/>
          <w:szCs w:val="24"/>
        </w:rPr>
        <w:t>,</w:t>
      </w:r>
      <w:r w:rsidR="007E3B8B">
        <w:rPr>
          <w:rFonts w:ascii="Arial" w:hAnsi="Arial" w:cs="Arial"/>
          <w:sz w:val="24"/>
          <w:szCs w:val="24"/>
        </w:rPr>
        <w:t xml:space="preserve"> </w:t>
      </w:r>
      <w:r w:rsidR="007E3B8B" w:rsidRPr="004C0697">
        <w:rPr>
          <w:rFonts w:ascii="Arial" w:hAnsi="Arial" w:cs="Arial"/>
          <w:b/>
          <w:bCs/>
          <w:i/>
          <w:iCs/>
          <w:sz w:val="24"/>
          <w:szCs w:val="24"/>
        </w:rPr>
        <w:t>acceptance</w:t>
      </w:r>
      <w:r w:rsidR="007E3B8B">
        <w:rPr>
          <w:rFonts w:ascii="Arial" w:hAnsi="Arial" w:cs="Arial"/>
          <w:sz w:val="24"/>
          <w:szCs w:val="24"/>
        </w:rPr>
        <w:t xml:space="preserve"> </w:t>
      </w:r>
      <w:r w:rsidR="00045667">
        <w:rPr>
          <w:rFonts w:ascii="Arial" w:hAnsi="Arial" w:cs="Arial"/>
          <w:sz w:val="24"/>
          <w:szCs w:val="24"/>
        </w:rPr>
        <w:t>and</w:t>
      </w:r>
      <w:r w:rsidR="007E3B8B">
        <w:rPr>
          <w:rFonts w:ascii="Arial" w:hAnsi="Arial" w:cs="Arial"/>
          <w:sz w:val="24"/>
          <w:szCs w:val="24"/>
        </w:rPr>
        <w:t xml:space="preserve"> the </w:t>
      </w:r>
      <w:r w:rsidR="007E3B8B" w:rsidRPr="00045667">
        <w:rPr>
          <w:rFonts w:ascii="Arial" w:hAnsi="Arial" w:cs="Arial"/>
          <w:b/>
          <w:bCs/>
          <w:i/>
          <w:iCs/>
          <w:sz w:val="24"/>
          <w:szCs w:val="24"/>
        </w:rPr>
        <w:t>normalisation of mistakes</w:t>
      </w:r>
      <w:r w:rsidR="007E3B8B">
        <w:rPr>
          <w:rFonts w:ascii="Arial" w:hAnsi="Arial" w:cs="Arial"/>
          <w:sz w:val="24"/>
          <w:szCs w:val="24"/>
        </w:rPr>
        <w:t xml:space="preserve"> in learning processes </w:t>
      </w:r>
      <w:r w:rsidR="000077C5">
        <w:rPr>
          <w:rFonts w:ascii="Arial" w:hAnsi="Arial" w:cs="Arial"/>
          <w:sz w:val="24"/>
          <w:szCs w:val="24"/>
        </w:rPr>
        <w:t>can also</w:t>
      </w:r>
      <w:r w:rsidR="007E3B8B">
        <w:rPr>
          <w:rFonts w:ascii="Arial" w:hAnsi="Arial" w:cs="Arial"/>
          <w:sz w:val="24"/>
          <w:szCs w:val="24"/>
        </w:rPr>
        <w:t xml:space="preserve"> foster singing agency </w:t>
      </w:r>
      <w:r w:rsidR="007E3B8B">
        <w:rPr>
          <w:rFonts w:ascii="Arial" w:hAnsi="Arial" w:cs="Arial"/>
          <w:sz w:val="24"/>
          <w:szCs w:val="24"/>
        </w:rPr>
        <w:fldChar w:fldCharType="begin" w:fldLock="1"/>
      </w:r>
      <w:r w:rsidR="007E3B8B">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2021)","plainTextFormattedCitation":"(Hogle, 2021)","previouslyFormattedCitation":"(Hogle, 2021)"},"properties":{"noteIndex":0},"schema":"https://github.com/citation-style-language/schema/raw/master/csl-citation.json"}</w:instrText>
      </w:r>
      <w:r w:rsidR="007E3B8B">
        <w:rPr>
          <w:rFonts w:ascii="Arial" w:hAnsi="Arial" w:cs="Arial"/>
          <w:sz w:val="24"/>
          <w:szCs w:val="24"/>
        </w:rPr>
        <w:fldChar w:fldCharType="separate"/>
      </w:r>
      <w:r w:rsidR="007E3B8B" w:rsidRPr="002408AF">
        <w:rPr>
          <w:rFonts w:ascii="Arial" w:hAnsi="Arial" w:cs="Arial"/>
          <w:noProof/>
          <w:sz w:val="24"/>
          <w:szCs w:val="24"/>
        </w:rPr>
        <w:t>(Hogle, 2021)</w:t>
      </w:r>
      <w:r w:rsidR="007E3B8B">
        <w:rPr>
          <w:rFonts w:ascii="Arial" w:hAnsi="Arial" w:cs="Arial"/>
          <w:sz w:val="24"/>
          <w:szCs w:val="24"/>
        </w:rPr>
        <w:fldChar w:fldCharType="end"/>
      </w:r>
      <w:r w:rsidR="007E3B8B">
        <w:rPr>
          <w:rFonts w:ascii="Arial" w:hAnsi="Arial" w:cs="Arial"/>
          <w:sz w:val="24"/>
          <w:szCs w:val="24"/>
        </w:rPr>
        <w:t xml:space="preserve">. </w:t>
      </w:r>
    </w:p>
    <w:p w14:paraId="0F0B1945" w14:textId="33AE038E" w:rsidR="007E3B8B" w:rsidRPr="006F478C" w:rsidRDefault="007E3B8B" w:rsidP="009E1EA9">
      <w:pPr>
        <w:spacing w:line="360" w:lineRule="auto"/>
        <w:jc w:val="both"/>
        <w:rPr>
          <w:rFonts w:ascii="Arial" w:hAnsi="Arial" w:cs="Arial"/>
          <w:sz w:val="24"/>
          <w:szCs w:val="24"/>
        </w:rPr>
      </w:pPr>
      <w:r>
        <w:rPr>
          <w:rFonts w:ascii="Arial" w:hAnsi="Arial" w:cs="Arial"/>
          <w:sz w:val="24"/>
          <w:szCs w:val="24"/>
        </w:rPr>
        <w:t xml:space="preserve">The research so far shows which </w:t>
      </w:r>
      <w:r w:rsidR="000715A2">
        <w:rPr>
          <w:rFonts w:ascii="Arial" w:hAnsi="Arial" w:cs="Arial"/>
          <w:sz w:val="24"/>
          <w:szCs w:val="24"/>
        </w:rPr>
        <w:t xml:space="preserve">skill developments and </w:t>
      </w:r>
      <w:r>
        <w:rPr>
          <w:rFonts w:ascii="Arial" w:hAnsi="Arial" w:cs="Arial"/>
          <w:sz w:val="24"/>
          <w:szCs w:val="24"/>
        </w:rPr>
        <w:t>experiences could elevate</w:t>
      </w:r>
      <w:r w:rsidRPr="006F478C">
        <w:rPr>
          <w:rFonts w:ascii="Arial" w:hAnsi="Arial" w:cs="Arial"/>
          <w:sz w:val="24"/>
          <w:szCs w:val="24"/>
        </w:rPr>
        <w:t xml:space="preserve"> student</w:t>
      </w:r>
      <w:r>
        <w:rPr>
          <w:rFonts w:ascii="Arial" w:hAnsi="Arial" w:cs="Arial"/>
          <w:sz w:val="24"/>
          <w:szCs w:val="24"/>
        </w:rPr>
        <w:t>s’</w:t>
      </w:r>
      <w:r w:rsidRPr="006F478C">
        <w:rPr>
          <w:rFonts w:ascii="Arial" w:hAnsi="Arial" w:cs="Arial"/>
          <w:sz w:val="24"/>
          <w:szCs w:val="24"/>
        </w:rPr>
        <w:t xml:space="preserve"> confidence </w:t>
      </w:r>
      <w:r w:rsidR="00113ED1">
        <w:rPr>
          <w:rFonts w:ascii="Arial" w:hAnsi="Arial" w:cs="Arial"/>
          <w:sz w:val="24"/>
          <w:szCs w:val="24"/>
        </w:rPr>
        <w:t xml:space="preserve">in </w:t>
      </w:r>
      <w:r w:rsidRPr="006F478C">
        <w:rPr>
          <w:rFonts w:ascii="Arial" w:hAnsi="Arial" w:cs="Arial"/>
          <w:sz w:val="24"/>
          <w:szCs w:val="24"/>
        </w:rPr>
        <w:t>and understanding</w:t>
      </w:r>
      <w:r>
        <w:rPr>
          <w:rFonts w:ascii="Arial" w:hAnsi="Arial" w:cs="Arial"/>
          <w:sz w:val="24"/>
          <w:szCs w:val="24"/>
        </w:rPr>
        <w:t xml:space="preserve"> </w:t>
      </w:r>
      <w:r w:rsidR="00113ED1">
        <w:rPr>
          <w:rFonts w:ascii="Arial" w:hAnsi="Arial" w:cs="Arial"/>
          <w:sz w:val="24"/>
          <w:szCs w:val="24"/>
        </w:rPr>
        <w:t>of</w:t>
      </w:r>
      <w:r>
        <w:rPr>
          <w:rFonts w:ascii="Arial" w:hAnsi="Arial" w:cs="Arial"/>
          <w:sz w:val="24"/>
          <w:szCs w:val="24"/>
        </w:rPr>
        <w:t xml:space="preserve"> their singing</w:t>
      </w:r>
      <w:r w:rsidR="00113ED1">
        <w:rPr>
          <w:rFonts w:ascii="Arial" w:hAnsi="Arial" w:cs="Arial"/>
          <w:sz w:val="24"/>
          <w:szCs w:val="24"/>
        </w:rPr>
        <w:t>. Th</w:t>
      </w:r>
      <w:r w:rsidR="00CA5880">
        <w:rPr>
          <w:rFonts w:ascii="Arial" w:hAnsi="Arial" w:cs="Arial"/>
          <w:sz w:val="24"/>
          <w:szCs w:val="24"/>
        </w:rPr>
        <w:t>is evidence shows that confidence and understanding wou</w:t>
      </w:r>
      <w:r w:rsidR="00CD5D0C">
        <w:rPr>
          <w:rFonts w:ascii="Arial" w:hAnsi="Arial" w:cs="Arial"/>
          <w:sz w:val="24"/>
          <w:szCs w:val="24"/>
        </w:rPr>
        <w:t>ld</w:t>
      </w:r>
      <w:r>
        <w:rPr>
          <w:rFonts w:ascii="Arial" w:hAnsi="Arial" w:cs="Arial"/>
          <w:sz w:val="24"/>
          <w:szCs w:val="24"/>
        </w:rPr>
        <w:t xml:space="preserve"> serv</w:t>
      </w:r>
      <w:r w:rsidR="00CD5D0C">
        <w:rPr>
          <w:rFonts w:ascii="Arial" w:hAnsi="Arial" w:cs="Arial"/>
          <w:sz w:val="24"/>
          <w:szCs w:val="24"/>
        </w:rPr>
        <w:t>e to</w:t>
      </w:r>
      <w:r>
        <w:rPr>
          <w:rFonts w:ascii="Arial" w:hAnsi="Arial" w:cs="Arial"/>
          <w:sz w:val="24"/>
          <w:szCs w:val="24"/>
        </w:rPr>
        <w:t xml:space="preserve"> improv</w:t>
      </w:r>
      <w:r w:rsidR="00CD5D0C">
        <w:rPr>
          <w:rFonts w:ascii="Arial" w:hAnsi="Arial" w:cs="Arial"/>
          <w:sz w:val="24"/>
          <w:szCs w:val="24"/>
        </w:rPr>
        <w:t>e</w:t>
      </w:r>
      <w:r>
        <w:rPr>
          <w:rFonts w:ascii="Arial" w:hAnsi="Arial" w:cs="Arial"/>
          <w:sz w:val="24"/>
          <w:szCs w:val="24"/>
        </w:rPr>
        <w:t xml:space="preserve"> self-efficacy and singing agency. Following is a discussion of what attitudes and skills a teacher can bring to lessons to support the student’s development of self-efficacy.</w:t>
      </w:r>
    </w:p>
    <w:p w14:paraId="37D535B9" w14:textId="7152D3E3" w:rsidR="007E3B8B" w:rsidRPr="002618D0" w:rsidRDefault="007E3B8B" w:rsidP="00F81B85">
      <w:pPr>
        <w:spacing w:line="360" w:lineRule="auto"/>
        <w:jc w:val="both"/>
        <w:rPr>
          <w:rFonts w:ascii="Arial" w:hAnsi="Arial" w:cs="Arial"/>
          <w:sz w:val="24"/>
          <w:szCs w:val="24"/>
        </w:rPr>
      </w:pPr>
      <w:r w:rsidRPr="00B43BE3">
        <w:rPr>
          <w:rFonts w:ascii="Arial" w:hAnsi="Arial" w:cs="Arial"/>
          <w:b/>
          <w:bCs/>
          <w:i/>
          <w:iCs/>
          <w:sz w:val="24"/>
          <w:szCs w:val="24"/>
        </w:rPr>
        <w:t>Support</w:t>
      </w:r>
      <w:r>
        <w:rPr>
          <w:rFonts w:ascii="Arial" w:hAnsi="Arial" w:cs="Arial"/>
          <w:sz w:val="24"/>
          <w:szCs w:val="24"/>
        </w:rPr>
        <w:t xml:space="preserve"> from teachers can </w:t>
      </w:r>
      <w:r w:rsidR="004C6013">
        <w:rPr>
          <w:rFonts w:ascii="Arial" w:hAnsi="Arial" w:cs="Arial"/>
          <w:sz w:val="24"/>
          <w:szCs w:val="24"/>
        </w:rPr>
        <w:t xml:space="preserve">have </w:t>
      </w:r>
      <w:r>
        <w:rPr>
          <w:rFonts w:ascii="Arial" w:hAnsi="Arial" w:cs="Arial"/>
          <w:sz w:val="24"/>
          <w:szCs w:val="24"/>
        </w:rPr>
        <w:t xml:space="preserve">a positive impact on the learning environment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2022)","plainTextFormattedCitation":"(Lewis and Hendricks, 2022)","previouslyFormattedCitation":"(Lewis and Hendricks, 2022)"},"properties":{"noteIndex":0},"schema":"https://github.com/citation-style-language/schema/raw/master/csl-citation.json"}</w:instrText>
      </w:r>
      <w:r>
        <w:rPr>
          <w:rFonts w:ascii="Arial" w:hAnsi="Arial" w:cs="Arial"/>
          <w:sz w:val="24"/>
          <w:szCs w:val="24"/>
        </w:rPr>
        <w:fldChar w:fldCharType="separate"/>
      </w:r>
      <w:r w:rsidRPr="001118FD">
        <w:rPr>
          <w:rFonts w:ascii="Arial" w:hAnsi="Arial" w:cs="Arial"/>
          <w:noProof/>
          <w:sz w:val="24"/>
          <w:szCs w:val="24"/>
        </w:rPr>
        <w:t>(Lewis and Hendricks, 2022)</w:t>
      </w:r>
      <w:r>
        <w:rPr>
          <w:rFonts w:ascii="Arial" w:hAnsi="Arial" w:cs="Arial"/>
          <w:sz w:val="24"/>
          <w:szCs w:val="24"/>
        </w:rPr>
        <w:fldChar w:fldCharType="end"/>
      </w:r>
      <w:r w:rsidR="002354C4">
        <w:rPr>
          <w:rFonts w:ascii="Arial" w:hAnsi="Arial" w:cs="Arial"/>
          <w:sz w:val="24"/>
          <w:szCs w:val="24"/>
        </w:rPr>
        <w:t>. This helps the environment to</w:t>
      </w:r>
      <w:r>
        <w:rPr>
          <w:rFonts w:ascii="Arial" w:hAnsi="Arial" w:cs="Arial"/>
          <w:sz w:val="24"/>
          <w:szCs w:val="24"/>
        </w:rPr>
        <w:t xml:space="preserve"> feel safe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2021)","plainTextFormattedCitation":"(Hogle, 2021)","previouslyFormattedCitation":"(Hogle, 2021)"},"properties":{"noteIndex":0},"schema":"https://github.com/citation-style-language/schema/raw/master/csl-citation.json"}</w:instrText>
      </w:r>
      <w:r>
        <w:rPr>
          <w:rFonts w:ascii="Arial" w:hAnsi="Arial" w:cs="Arial"/>
          <w:sz w:val="24"/>
          <w:szCs w:val="24"/>
        </w:rPr>
        <w:fldChar w:fldCharType="separate"/>
      </w:r>
      <w:r w:rsidRPr="0081054A">
        <w:rPr>
          <w:rFonts w:ascii="Arial" w:hAnsi="Arial" w:cs="Arial"/>
          <w:noProof/>
          <w:sz w:val="24"/>
          <w:szCs w:val="24"/>
        </w:rPr>
        <w:t>(Hogle, 2021)</w:t>
      </w:r>
      <w:r>
        <w:rPr>
          <w:rFonts w:ascii="Arial" w:hAnsi="Arial" w:cs="Arial"/>
          <w:sz w:val="24"/>
          <w:szCs w:val="24"/>
        </w:rPr>
        <w:fldChar w:fldCharType="end"/>
      </w:r>
      <w:r>
        <w:rPr>
          <w:rFonts w:ascii="Arial" w:hAnsi="Arial" w:cs="Arial"/>
          <w:sz w:val="24"/>
          <w:szCs w:val="24"/>
        </w:rPr>
        <w:t xml:space="preserve"> which supports the learners to meet their aims </w:t>
      </w:r>
      <w:r>
        <w:rPr>
          <w:rFonts w:ascii="Arial" w:hAnsi="Arial" w:cs="Arial"/>
          <w:sz w:val="24"/>
          <w:szCs w:val="24"/>
        </w:rPr>
        <w:fldChar w:fldCharType="begin" w:fldLock="1"/>
      </w:r>
      <w:r>
        <w:rPr>
          <w:rFonts w:ascii="Arial" w:hAnsi="Arial" w:cs="Arial"/>
          <w:sz w:val="24"/>
          <w:szCs w:val="24"/>
        </w:rPr>
        <w:instrText>ADDIN CSL_CITATION {"citationItems":[{"id":"ITEM-1","itemData":{"DOI":"10.1080/14613808.2019.1598346","ISSN":"14699893","abstract":"We explored the role of self-efficacy in participatory music-making, and whether a single such music-making activity could make non-musician adults more open to seeing themselves as musical. Past research has suggested that even recipients of multiple years of school music education do not consider being musical as a part of their identity, and they do not exit adolescence with an independent musicianship that would facilitate their making music as adults. In our study, we invited older adults to participate in an informal music-making experience designed to be participatory and enjoyable. A questionnaire measured musical beliefs and self-perceptions before and after the music activity. The posttest version included items through which participants indicated their self-efficacy during the activity. Data analysis revealed that across the entire sample, the average rating of how musical they considered themselves to be did not change significantly, but there was a significant jump in their reported likelihood of engaging in a collection of musical life activities. Specifically, there was a rise in the likelihood of playing musical instruments informally. The study’s most important finding was that participants with higher self-efficacy during the activity emerged from it believing themselves to be more musical than they had previously thought.","author":[{"dropping-particle":"","family":"Woody","given":"Robert H.","non-dropping-particle":"","parse-names":false,"suffix":""},{"dropping-particle":"","family":"Fraser","given":"Amy","non-dropping-particle":"","parse-names":false,"suffix":""},{"dropping-particle":"","family":"Nannen","given":"Briana","non-dropping-particle":"","parse-names":false,"suffix":""},{"dropping-particle":"","family":"Yukevich","given":"Polly","non-dropping-particle":"","parse-names":false,"suffix":""}],"container-title":"Music Education Research","id":"ITEM-1","issue":"3","issued":{"date-parts":[["2019"]]},"page":"315-330","publisher":"Taylor &amp; Francis","title":"Musical identities of older adults are not easily changed: an exploratory study","type":"article-journal","volume":"21"},"uris":["http://www.mendeley.com/documents/?uuid=c0731686-1857-43a8-8fa8-ba5ac99fc6e4"]}],"mendeley":{"formattedCitation":"(Woody &lt;i&gt;et al.&lt;/i&gt;, 2019)","plainTextFormattedCitation":"(Woody et al., 2019)","previouslyFormattedCitation":"(Woody &lt;i&gt;et al.&lt;/i&gt;, 2019)"},"properties":{"noteIndex":0},"schema":"https://github.com/citation-style-language/schema/raw/master/csl-citation.json"}</w:instrText>
      </w:r>
      <w:r>
        <w:rPr>
          <w:rFonts w:ascii="Arial" w:hAnsi="Arial" w:cs="Arial"/>
          <w:sz w:val="24"/>
          <w:szCs w:val="24"/>
        </w:rPr>
        <w:fldChar w:fldCharType="separate"/>
      </w:r>
      <w:r w:rsidRPr="0009738E">
        <w:rPr>
          <w:rFonts w:ascii="Arial" w:hAnsi="Arial" w:cs="Arial"/>
          <w:noProof/>
          <w:sz w:val="24"/>
          <w:szCs w:val="24"/>
        </w:rPr>
        <w:t xml:space="preserve">(Woody </w:t>
      </w:r>
      <w:r w:rsidRPr="0009738E">
        <w:rPr>
          <w:rFonts w:ascii="Arial" w:hAnsi="Arial" w:cs="Arial"/>
          <w:i/>
          <w:noProof/>
          <w:sz w:val="24"/>
          <w:szCs w:val="24"/>
        </w:rPr>
        <w:t>et al.</w:t>
      </w:r>
      <w:r w:rsidRPr="0009738E">
        <w:rPr>
          <w:rFonts w:ascii="Arial" w:hAnsi="Arial" w:cs="Arial"/>
          <w:noProof/>
          <w:sz w:val="24"/>
          <w:szCs w:val="24"/>
        </w:rPr>
        <w:t>, 2019)</w:t>
      </w:r>
      <w:r>
        <w:rPr>
          <w:rFonts w:ascii="Arial" w:hAnsi="Arial" w:cs="Arial"/>
          <w:sz w:val="24"/>
          <w:szCs w:val="24"/>
        </w:rPr>
        <w:fldChar w:fldCharType="end"/>
      </w:r>
      <w:r w:rsidR="00560870">
        <w:rPr>
          <w:rFonts w:ascii="Arial" w:hAnsi="Arial" w:cs="Arial"/>
          <w:sz w:val="24"/>
          <w:szCs w:val="24"/>
        </w:rPr>
        <w:t>. The development which can come from this</w:t>
      </w:r>
      <w:r>
        <w:rPr>
          <w:rFonts w:ascii="Arial" w:hAnsi="Arial" w:cs="Arial"/>
          <w:sz w:val="24"/>
          <w:szCs w:val="24"/>
        </w:rPr>
        <w:t xml:space="preserve"> has the power to develop the sense of agency in leaners </w:t>
      </w:r>
      <w:r>
        <w:rPr>
          <w:rFonts w:ascii="Arial" w:hAnsi="Arial" w:cs="Arial"/>
          <w:sz w:val="24"/>
          <w:szCs w:val="24"/>
        </w:rPr>
        <w:fldChar w:fldCharType="begin" w:fldLock="1"/>
      </w:r>
      <w:r>
        <w:rPr>
          <w:rFonts w:ascii="Arial" w:hAnsi="Arial" w:cs="Arial"/>
          <w:sz w:val="24"/>
          <w:szCs w:val="24"/>
        </w:rPr>
        <w:instrText>ADDIN CSL_CITATION {"citationItems":[{"id":"ITEM-1","itemData":{"DOI":"10.18546/LRE.13.1.05","ISSN":"14748479","abstract":"The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Education","id":"ITEM-1","issue":"1","issued":{"date-parts":[["2015"]]},"page":"43-57","title":"Critical geragogy: A framework for facilitating older learners in community music","type":"article-journal","volume":"13"},"uris":["http://www.mendeley.com/documents/?uuid=fa50dd99-4e1e-44de-a3f2-30dd41815d00"]}],"mendeley":{"formattedCitation":"(Creech and Hallam, 2015)","plainTextFormattedCitation":"(Creech and Hallam, 2015)","previouslyFormattedCitation":"(Creech and Hallam, 2015)"},"properties":{"noteIndex":0},"schema":"https://github.com/citation-style-language/schema/raw/master/csl-citation.json"}</w:instrText>
      </w:r>
      <w:r>
        <w:rPr>
          <w:rFonts w:ascii="Arial" w:hAnsi="Arial" w:cs="Arial"/>
          <w:sz w:val="24"/>
          <w:szCs w:val="24"/>
        </w:rPr>
        <w:fldChar w:fldCharType="separate"/>
      </w:r>
      <w:r w:rsidRPr="003243D0">
        <w:rPr>
          <w:rFonts w:ascii="Arial" w:hAnsi="Arial" w:cs="Arial"/>
          <w:noProof/>
          <w:sz w:val="24"/>
          <w:szCs w:val="24"/>
        </w:rPr>
        <w:t>(Creech and Hallam, 2015)</w:t>
      </w:r>
      <w:r>
        <w:rPr>
          <w:rFonts w:ascii="Arial" w:hAnsi="Arial" w:cs="Arial"/>
          <w:sz w:val="24"/>
          <w:szCs w:val="24"/>
        </w:rPr>
        <w:fldChar w:fldCharType="end"/>
      </w:r>
      <w:r>
        <w:rPr>
          <w:rFonts w:ascii="Arial" w:hAnsi="Arial" w:cs="Arial"/>
          <w:sz w:val="24"/>
          <w:szCs w:val="24"/>
        </w:rPr>
        <w:t xml:space="preserve">. Stephenson </w:t>
      </w:r>
      <w:r>
        <w:rPr>
          <w:rFonts w:ascii="Arial" w:hAnsi="Arial" w:cs="Arial"/>
          <w:sz w:val="24"/>
          <w:szCs w:val="24"/>
        </w:rPr>
        <w:fldChar w:fldCharType="begin" w:fldLock="1"/>
      </w:r>
      <w:r>
        <w:rPr>
          <w:rFonts w:ascii="Arial" w:hAnsi="Arial" w:cs="Arial"/>
          <w:sz w:val="24"/>
          <w:szCs w:val="24"/>
        </w:rPr>
        <w:instrText>ADDIN CSL_CITATION {"citationItems":[{"id":"ITEM-1","itemData":{"ISSN":"10867732","abstract":"The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Singing","id":"ITEM-1","issue":"4","issued":{"date-parts":[["2018"]]},"page":"405-414","title":"Critical Thought, Intrinsic Motivation, and the Voice Studio: Perspectives of Master Teachers.","type":"article-journal","volume":"74"},"uris":["http://www.mendeley.com/documents/?uuid=4030f552-7b94-4abf-bab4-c0b97b7babca"]}],"mendeley":{"formattedCitation":"(Stephenson, 2018)","manualFormatting":"(2018)","plainTextFormattedCitation":"(Stephenson, 2018)","previouslyFormattedCitation":"(Stephenson, 2018)"},"properties":{"noteIndex":0},"schema":"https://github.com/citation-style-language/schema/raw/master/csl-citation.json"}</w:instrText>
      </w:r>
      <w:r>
        <w:rPr>
          <w:rFonts w:ascii="Arial" w:hAnsi="Arial" w:cs="Arial"/>
          <w:sz w:val="24"/>
          <w:szCs w:val="24"/>
        </w:rPr>
        <w:fldChar w:fldCharType="separate"/>
      </w:r>
      <w:r w:rsidRPr="00220CC9">
        <w:rPr>
          <w:rFonts w:ascii="Arial" w:hAnsi="Arial" w:cs="Arial"/>
          <w:noProof/>
          <w:sz w:val="24"/>
          <w:szCs w:val="24"/>
        </w:rPr>
        <w:t>(2018)</w:t>
      </w:r>
      <w:r>
        <w:rPr>
          <w:rFonts w:ascii="Arial" w:hAnsi="Arial" w:cs="Arial"/>
          <w:sz w:val="24"/>
          <w:szCs w:val="24"/>
        </w:rPr>
        <w:fldChar w:fldCharType="end"/>
      </w:r>
      <w:r>
        <w:rPr>
          <w:rFonts w:ascii="Arial" w:hAnsi="Arial" w:cs="Arial"/>
          <w:sz w:val="24"/>
          <w:szCs w:val="24"/>
        </w:rPr>
        <w:t xml:space="preserve"> discusses the power of teacher support in developing critical thinking</w:t>
      </w:r>
      <w:r w:rsidR="004534AC">
        <w:rPr>
          <w:rFonts w:ascii="Arial" w:hAnsi="Arial" w:cs="Arial"/>
          <w:sz w:val="24"/>
          <w:szCs w:val="24"/>
        </w:rPr>
        <w:t xml:space="preserve"> </w:t>
      </w:r>
      <w:r w:rsidR="006652E1">
        <w:rPr>
          <w:rFonts w:ascii="Arial" w:hAnsi="Arial" w:cs="Arial"/>
          <w:sz w:val="24"/>
          <w:szCs w:val="24"/>
        </w:rPr>
        <w:t>skills in</w:t>
      </w:r>
      <w:r>
        <w:rPr>
          <w:rFonts w:ascii="Arial" w:hAnsi="Arial" w:cs="Arial"/>
          <w:sz w:val="24"/>
          <w:szCs w:val="24"/>
        </w:rPr>
        <w:t xml:space="preserve"> support</w:t>
      </w:r>
      <w:r w:rsidR="006652E1">
        <w:rPr>
          <w:rFonts w:ascii="Arial" w:hAnsi="Arial" w:cs="Arial"/>
          <w:sz w:val="24"/>
          <w:szCs w:val="24"/>
        </w:rPr>
        <w:t xml:space="preserve"> of </w:t>
      </w:r>
      <w:r>
        <w:rPr>
          <w:rFonts w:ascii="Arial" w:hAnsi="Arial" w:cs="Arial"/>
          <w:sz w:val="24"/>
          <w:szCs w:val="24"/>
        </w:rPr>
        <w:t xml:space="preserve">self-efficacy improvements. </w:t>
      </w:r>
      <w:r w:rsidR="006652E1">
        <w:rPr>
          <w:rFonts w:ascii="Arial" w:hAnsi="Arial" w:cs="Arial"/>
          <w:sz w:val="24"/>
          <w:szCs w:val="24"/>
        </w:rPr>
        <w:t xml:space="preserve">This is further evidence of cognitive skill development supporting self-efficacy </w:t>
      </w:r>
      <w:r w:rsidR="00A02EBE">
        <w:rPr>
          <w:rFonts w:ascii="Arial" w:hAnsi="Arial" w:cs="Arial"/>
          <w:sz w:val="24"/>
          <w:szCs w:val="24"/>
        </w:rPr>
        <w:fldChar w:fldCharType="begin" w:fldLock="1"/>
      </w:r>
      <w:r w:rsidR="00195DB1">
        <w:rPr>
          <w:rFonts w:ascii="Arial" w:hAnsi="Arial" w:cs="Arial"/>
          <w:sz w:val="24"/>
          <w:szCs w:val="24"/>
        </w:rPr>
        <w:instrText>ADDIN CSL_CITATION {"citationItems":[{"id":"ITEM-1","itemData":{"author":[{"dropping-particle":"","family":"McLeod","given":"Clare","non-dropping-particle":"","parse-names":false,"suffix":""},{"dropping-particle":"","family":"Maxfield","given":"Lynn","non-dropping-particle":"","parse-names":false,"suffix":""}],"container-title":"Journal of Singing","id":"ITEM-1","issue":"3","issued":{"date-parts":[["2020"]]},"page":"327-332","title":"Causal Learning: Addressing Barriers in Learning to Sing MINDFUL VOICE","type":"article-journal","volume":"76"},"uris":["http://www.mendeley.com/documents/?uuid=1e893029-f365-4463-8fd1-f7fa77a4903f"]}],"mendeley":{"formattedCitation":"(McLeod and Maxfield, 2020)","manualFormatting":"(McLeod and Maxfield, 2020)","plainTextFormattedCitation":"(McLeod and Maxfield, 2020)","previouslyFormattedCitation":"(McLeod and Maxfield, 2020)"},"properties":{"noteIndex":0},"schema":"https://github.com/citation-style-language/schema/raw/master/csl-citation.json"}</w:instrText>
      </w:r>
      <w:r w:rsidR="00A02EBE">
        <w:rPr>
          <w:rFonts w:ascii="Arial" w:hAnsi="Arial" w:cs="Arial"/>
          <w:sz w:val="24"/>
          <w:szCs w:val="24"/>
        </w:rPr>
        <w:fldChar w:fldCharType="separate"/>
      </w:r>
      <w:r w:rsidR="00A02EBE" w:rsidRPr="00A02EBE">
        <w:rPr>
          <w:rFonts w:ascii="Arial" w:hAnsi="Arial" w:cs="Arial"/>
          <w:noProof/>
          <w:sz w:val="24"/>
          <w:szCs w:val="24"/>
        </w:rPr>
        <w:t>(Mc</w:t>
      </w:r>
      <w:r w:rsidR="008838BB">
        <w:rPr>
          <w:rFonts w:ascii="Arial" w:hAnsi="Arial" w:cs="Arial"/>
          <w:noProof/>
          <w:sz w:val="24"/>
          <w:szCs w:val="24"/>
        </w:rPr>
        <w:t>L</w:t>
      </w:r>
      <w:r w:rsidR="00A02EBE" w:rsidRPr="00A02EBE">
        <w:rPr>
          <w:rFonts w:ascii="Arial" w:hAnsi="Arial" w:cs="Arial"/>
          <w:noProof/>
          <w:sz w:val="24"/>
          <w:szCs w:val="24"/>
        </w:rPr>
        <w:t>eod and Maxfield, 2020)</w:t>
      </w:r>
      <w:r w:rsidR="00A02EBE">
        <w:rPr>
          <w:rFonts w:ascii="Arial" w:hAnsi="Arial" w:cs="Arial"/>
          <w:sz w:val="24"/>
          <w:szCs w:val="24"/>
        </w:rPr>
        <w:fldChar w:fldCharType="end"/>
      </w:r>
      <w:r w:rsidR="00A02EBE">
        <w:rPr>
          <w:rFonts w:ascii="Arial" w:hAnsi="Arial" w:cs="Arial"/>
          <w:sz w:val="24"/>
          <w:szCs w:val="24"/>
        </w:rPr>
        <w:t>.</w:t>
      </w:r>
      <w:r w:rsidR="006652E1">
        <w:rPr>
          <w:rFonts w:ascii="Arial" w:hAnsi="Arial" w:cs="Arial"/>
          <w:sz w:val="24"/>
          <w:szCs w:val="24"/>
        </w:rPr>
        <w:t xml:space="preserve"> </w:t>
      </w:r>
      <w:r>
        <w:rPr>
          <w:rFonts w:ascii="Arial" w:hAnsi="Arial" w:cs="Arial"/>
          <w:sz w:val="24"/>
          <w:szCs w:val="24"/>
        </w:rPr>
        <w:t xml:space="preserve">Other themes from the research which </w:t>
      </w:r>
      <w:r w:rsidR="00222317">
        <w:rPr>
          <w:rFonts w:ascii="Arial" w:hAnsi="Arial" w:cs="Arial"/>
          <w:sz w:val="24"/>
          <w:szCs w:val="24"/>
        </w:rPr>
        <w:t xml:space="preserve">a teacher could </w:t>
      </w:r>
      <w:r w:rsidR="00A930E8">
        <w:rPr>
          <w:rFonts w:ascii="Arial" w:hAnsi="Arial" w:cs="Arial"/>
          <w:sz w:val="24"/>
          <w:szCs w:val="24"/>
        </w:rPr>
        <w:t xml:space="preserve">bring to their lesson approach and learning environment </w:t>
      </w:r>
      <w:r>
        <w:rPr>
          <w:rFonts w:ascii="Arial" w:hAnsi="Arial" w:cs="Arial"/>
          <w:sz w:val="24"/>
          <w:szCs w:val="24"/>
        </w:rPr>
        <w:t xml:space="preserve">are </w:t>
      </w:r>
      <w:r w:rsidRPr="009C458F">
        <w:rPr>
          <w:rFonts w:ascii="Arial" w:hAnsi="Arial" w:cs="Arial"/>
          <w:b/>
          <w:bCs/>
          <w:i/>
          <w:iCs/>
          <w:sz w:val="24"/>
          <w:szCs w:val="24"/>
        </w:rPr>
        <w:t>d</w:t>
      </w:r>
      <w:r w:rsidRPr="00295758">
        <w:rPr>
          <w:rFonts w:ascii="Arial" w:hAnsi="Arial" w:cs="Arial"/>
          <w:b/>
          <w:bCs/>
          <w:i/>
          <w:iCs/>
          <w:sz w:val="24"/>
          <w:szCs w:val="24"/>
        </w:rPr>
        <w:t xml:space="preserve">emocracy, cooperation, </w:t>
      </w:r>
      <w:r>
        <w:rPr>
          <w:rFonts w:ascii="Arial" w:hAnsi="Arial" w:cs="Arial"/>
          <w:b/>
          <w:bCs/>
          <w:i/>
          <w:iCs/>
          <w:sz w:val="24"/>
          <w:szCs w:val="24"/>
        </w:rPr>
        <w:t xml:space="preserve">inclusivity, </w:t>
      </w:r>
      <w:r w:rsidRPr="00295758">
        <w:rPr>
          <w:rFonts w:ascii="Arial" w:hAnsi="Arial" w:cs="Arial"/>
          <w:b/>
          <w:bCs/>
          <w:i/>
          <w:iCs/>
          <w:sz w:val="24"/>
          <w:szCs w:val="24"/>
        </w:rPr>
        <w:t>and togetherness</w:t>
      </w:r>
      <w:r w:rsidRPr="00F81B85">
        <w:rPr>
          <w:rFonts w:ascii="Arial" w:hAnsi="Arial" w:cs="Arial"/>
          <w:b/>
          <w:bCs/>
          <w:i/>
          <w:iCs/>
          <w:sz w:val="24"/>
          <w:szCs w:val="24"/>
        </w:rPr>
        <w:t xml:space="preserve"> </w:t>
      </w:r>
      <w:r>
        <w:rPr>
          <w:rFonts w:ascii="Arial" w:hAnsi="Arial" w:cs="Arial"/>
          <w:b/>
          <w:bCs/>
          <w:i/>
          <w:iCs/>
          <w:sz w:val="24"/>
          <w:szCs w:val="24"/>
        </w:rPr>
        <w:fldChar w:fldCharType="begin" w:fldLock="1"/>
      </w:r>
      <w:r>
        <w:rPr>
          <w:rFonts w:ascii="Arial" w:hAnsi="Arial" w:cs="Arial"/>
          <w:b/>
          <w:bCs/>
          <w:i/>
          <w:iCs/>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Education","id":"ITEM-2","issue":"1","issued":{"date-parts":[["2015"]]},"page":"43-57","title":"Critical geragogy: A framework for facilitating older learners in community music","type":"article-journal","volume":"13"},"uris":["http://www.mendeley.com/documents/?uuid=fa50dd99-4e1e-44de-a3f2-30dd41815d00"]},{"id":"ITEM-3","itemData":{"DOI":"10.1108/20428301111140930","ISSN":"20428316","abstract":"Purpose - This paper aims to describe the development and evaluation of an innovative community singing initiative with mental health services users and supporters in East Kent, UK.Design/methodology/approach - A network of seven singing groups was established between September 2009 and June 2010. The choirs met weekly in three terms with breaks for Christmas and Easter, and joined together for two public performances in February and June 2010. In total, 137 participants were involved in the evaluation processes over this period. Of these, 42 provided complete data on the CORE questionnaire, a widely used clinical measure of mental distress, at baseline and eight months later. Findings - Clinically significant improvements were observed in response to the CORE. These changes, together with qualitative feedback from participants, demonstrate that group singing can have substantial benefits in aiding the recovery of people with a history of serious and enduring mental health problems. A limited body of research has also shown that singing can be helpful for people with existing mental and physical health problems. Originality/value - The research finds marked improvements in mental wellbeing on a clinically validated measure for people with a range of enduring mental health issues participating in a network of small choirs. Qualitative evidence indicates that group singing can offer a wide range of emotional and social benefits for mental health service users. © Emerald Group Publishing Limited.","author":[{"dropping-particle":"","family":"Clift","given":"Stephen","non-dropping-particle":"","parse-names":false,"suffix":""},{"dropping-particle":"","family":"Morrison","given":"Ian","non-dropping-particle":"","parse-names":false,"suffix":""}],"container-title":"Mental Health and Social Inclusion","id":"ITEM-3","issue":"2","issued":{"date-parts":[["2011"]]},"page":"88-97","title":"Group singing fosters mental health and wellbeing: Findings from the East Kent \"singing for health\" network project","type":"article-journal","volume":"15"},"uris":["http://www.mendeley.com/documents/?uuid=cea75396-641a-497e-98c9-76ac37fc767f"]},{"id":"ITEM-4","itemData":{"DOI":"10.1080/13603116.2017.1414578","ISSN":"14645173","abstract":"Inclusion has a high priority in education policy all over the world and teachers must be able to handle in practice increasing student diversity and the demands for creating an inclusive learning environment. In spite of the enhanced political focus, there is a lack of research focusing on how those teachers working with inclusion can be supported with more tangible and meaningful ways of understanding and developing inclusive classrooms. This article argues that seeing research in inclusion in close connection with research in effective teaching strategies and classroom management will contribute to an enrichment of the two research fields and give teachers and researchers new opportunities for developing more inclusive schools. Based on research focused on teaching strategies that support students’ opportunities for learning, four dimensions of inclusive teaching strategies are presented: a framing, a relational, a didactic and an organisational dimension. In addition, and in order to further understand teachers work with inclusive education in a more structural perspective, light is shed on the complexity that teachers are required to handle in practice. This complexity, among other things, entails dilemmas emerging from different agendas teachers often must handle themselves.","author":[{"dropping-particle":"","family":"Molbaek","given":"Mette","non-dropping-particle":"","parse-names":false,"suffix":""}],"container-title":"International Journal of Inclusive Education","id":"ITEM-4","issue":"10","issued":{"date-parts":[["2018"]]},"page":"1048-1061","publisher":"Taylor &amp; Francis","title":"Inclusive teaching strategies–dimensions and agendas","type":"article-journal","volume":"22"},"uris":["http://www.mendeley.com/documents/?uuid=542f940e-b6ac-4869-8130-c3b6e9be2a28"]}],"mendeley":{"formattedCitation":"(Clift and Morrison, 2011; Creech and Hallam, 2015; Molbaek, 2018; Hogle, 2021)","plainTextFormattedCitation":"(Clift and Morrison, 2011; Creech and Hallam, 2015; Molbaek, 2018; Hogle, 2021)","previouslyFormattedCitation":"(Clift and Morrison, 2011; Creech and Hallam, 2015; Molbaek, 2018; Hogle, 2021)"},"properties":{"noteIndex":0},"schema":"https://github.com/citation-style-language/schema/raw/master/csl-citation.json"}</w:instrText>
      </w:r>
      <w:r>
        <w:rPr>
          <w:rFonts w:ascii="Arial" w:hAnsi="Arial" w:cs="Arial"/>
          <w:b/>
          <w:bCs/>
          <w:i/>
          <w:iCs/>
          <w:sz w:val="24"/>
          <w:szCs w:val="24"/>
        </w:rPr>
        <w:fldChar w:fldCharType="separate"/>
      </w:r>
      <w:r w:rsidRPr="002618D0">
        <w:rPr>
          <w:rFonts w:ascii="Arial" w:hAnsi="Arial" w:cs="Arial"/>
          <w:bCs/>
          <w:iCs/>
          <w:noProof/>
          <w:sz w:val="24"/>
          <w:szCs w:val="24"/>
        </w:rPr>
        <w:t>(Clift and Morrison, 2011; Creech and Hallam, 2015; Molbaek, 2018; Hogle, 2021)</w:t>
      </w:r>
      <w:r>
        <w:rPr>
          <w:rFonts w:ascii="Arial" w:hAnsi="Arial" w:cs="Arial"/>
          <w:b/>
          <w:bCs/>
          <w:i/>
          <w:iCs/>
          <w:sz w:val="24"/>
          <w:szCs w:val="24"/>
        </w:rPr>
        <w:fldChar w:fldCharType="end"/>
      </w:r>
      <w:r>
        <w:rPr>
          <w:rFonts w:ascii="Arial" w:hAnsi="Arial" w:cs="Arial"/>
          <w:sz w:val="24"/>
          <w:szCs w:val="24"/>
        </w:rPr>
        <w:t>.</w:t>
      </w:r>
    </w:p>
    <w:p w14:paraId="097AC2E4" w14:textId="12BDCB48" w:rsidR="007E3B8B" w:rsidRDefault="007E3B8B" w:rsidP="009E1EA9">
      <w:pPr>
        <w:spacing w:line="360" w:lineRule="auto"/>
        <w:jc w:val="both"/>
        <w:rPr>
          <w:rFonts w:ascii="Arial" w:hAnsi="Arial" w:cs="Arial"/>
          <w:sz w:val="24"/>
          <w:szCs w:val="24"/>
        </w:rPr>
      </w:pPr>
      <w:r>
        <w:rPr>
          <w:rFonts w:ascii="Arial" w:hAnsi="Arial" w:cs="Arial"/>
          <w:sz w:val="24"/>
          <w:szCs w:val="24"/>
        </w:rPr>
        <w:t xml:space="preserve">Teachers’ </w:t>
      </w:r>
      <w:r w:rsidRPr="00155C8B">
        <w:rPr>
          <w:rFonts w:ascii="Arial" w:hAnsi="Arial" w:cs="Arial"/>
          <w:b/>
          <w:bCs/>
          <w:i/>
          <w:iCs/>
          <w:sz w:val="24"/>
          <w:szCs w:val="24"/>
        </w:rPr>
        <w:t>beliefs</w:t>
      </w:r>
      <w:r>
        <w:rPr>
          <w:rFonts w:ascii="Arial" w:hAnsi="Arial" w:cs="Arial"/>
          <w:sz w:val="24"/>
          <w:szCs w:val="24"/>
        </w:rPr>
        <w:t xml:space="preserve"> can influence the support offered to students</w:t>
      </w:r>
      <w:r w:rsidR="00482802">
        <w:rPr>
          <w:rFonts w:ascii="Arial" w:hAnsi="Arial" w:cs="Arial"/>
          <w:sz w:val="24"/>
          <w:szCs w:val="24"/>
        </w:rPr>
        <w:t xml:space="preserve"> </w:t>
      </w:r>
      <w:r>
        <w:rPr>
          <w:rFonts w:ascii="Arial" w:hAnsi="Arial" w:cs="Arial"/>
          <w:sz w:val="24"/>
          <w:szCs w:val="24"/>
        </w:rPr>
        <w:t xml:space="preserve">which can foster or damage </w:t>
      </w:r>
      <w:r w:rsidR="00B15E5A">
        <w:rPr>
          <w:rFonts w:ascii="Arial" w:hAnsi="Arial" w:cs="Arial"/>
          <w:sz w:val="24"/>
          <w:szCs w:val="24"/>
        </w:rPr>
        <w:t xml:space="preserve">the learner’s </w:t>
      </w:r>
      <w:r w:rsidR="00482802">
        <w:rPr>
          <w:rFonts w:ascii="Arial" w:hAnsi="Arial" w:cs="Arial"/>
          <w:sz w:val="24"/>
          <w:szCs w:val="24"/>
        </w:rPr>
        <w:t xml:space="preserve">self-efficacy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beliefs","type":"article-journal"},"uris":["http://www.mendeley.com/documents/?uuid=d1469298-0bbc-4c76-afcd-e0c4086da712"]},{"id":"ITEM-2","itemData":{"DOI":"10.1177/0022429411405214","ISSN":"00224294","abstract":"The Self-Efficacy for Musical Learning questionnaire was adapted and tested with 404 primary school children, producing a robust Cronbach alpha (0.87) and confirming a single underlying factor through exploratory factor analysis. Test-retest scores showed the measure's stability over a 9-month period. Data were collected on children's prior music experience, extracurricular activities, and typical daily activities. Children also completed the Short Warwick-Edinburgh Mental Well-Being Scale and the Strengths and Difficulties Questionnaire. Those currently engaged in music tuition (learning an instrument or singing) had significantly higher self-efficacy scores than children who were not, and overall, girls' scores were significantly higher than boys'. Correlations with various additional measures, including wellbeing and reading for pleasure, highlighted multifaceted relationships of self-efficacy to children's lives. Regression analyses revealed that prior experience with instrumental tuition was the strongest predictor of music self-efficacy for learning; prosocial behaviors predicted boys' scores, and well-being predicted girls' scores. © 2011 MENC: The National Association for Music Education.","author":[{"dropping-particle":"","family":"Ritchie","given":"Laura","non-dropping-particle":"","parse-names":false,"suffix":""},{"dropping-particle":"","family":"Williamon","given":"Aaron","non-dropping-particle":"","parse-names":false,"suffix":""}],"container-title":"Journal of Research in Music Education","id":"ITEM-2","issue":"2","issued":{"date-parts":[["2011"]]},"page":"146-161","title":"Primary school children's Self-efficacy for Music Learning","type":"article-journal","volume":"59"},"uris":["http://www.mendeley.com/documents/?uuid=240473f6-1468-4960-8481-528f722fddd9"]}],"mendeley":{"formattedCitation":"(Ritchie and Williamon, 2011; Lewis and Hendricks, 2022)","plainTextFormattedCitation":"(Ritchie and Williamon, 2011; Lewis and Hendricks, 2022)","previouslyFormattedCitation":"(Ritchie and Williamon, 2011; Lewis and Hendricks, 2022)"},"properties":{"noteIndex":0},"schema":"https://github.com/citation-style-language/schema/raw/master/csl-citation.json"}</w:instrText>
      </w:r>
      <w:r>
        <w:rPr>
          <w:rFonts w:ascii="Arial" w:hAnsi="Arial" w:cs="Arial"/>
          <w:sz w:val="24"/>
          <w:szCs w:val="24"/>
        </w:rPr>
        <w:fldChar w:fldCharType="separate"/>
      </w:r>
      <w:r w:rsidRPr="005A189D">
        <w:rPr>
          <w:rFonts w:ascii="Arial" w:hAnsi="Arial" w:cs="Arial"/>
          <w:noProof/>
          <w:sz w:val="24"/>
          <w:szCs w:val="24"/>
        </w:rPr>
        <w:t>(Ritchie and Williamon, 2011; Lewis and Hendricks, 2022)</w:t>
      </w:r>
      <w:r>
        <w:rPr>
          <w:rFonts w:ascii="Arial" w:hAnsi="Arial" w:cs="Arial"/>
          <w:sz w:val="24"/>
          <w:szCs w:val="24"/>
        </w:rPr>
        <w:fldChar w:fldCharType="end"/>
      </w:r>
      <w:r>
        <w:rPr>
          <w:rFonts w:ascii="Arial" w:hAnsi="Arial" w:cs="Arial"/>
          <w:sz w:val="24"/>
          <w:szCs w:val="24"/>
        </w:rPr>
        <w:t>. Furthering this connection</w:t>
      </w:r>
      <w:r w:rsidR="00D305C4">
        <w:rPr>
          <w:rFonts w:ascii="Arial" w:hAnsi="Arial" w:cs="Arial"/>
          <w:sz w:val="24"/>
          <w:szCs w:val="24"/>
        </w:rPr>
        <w:t xml:space="preserve"> is</w:t>
      </w:r>
      <w:r>
        <w:rPr>
          <w:rFonts w:ascii="Arial" w:hAnsi="Arial" w:cs="Arial"/>
          <w:sz w:val="24"/>
          <w:szCs w:val="24"/>
        </w:rPr>
        <w:t xml:space="preserve"> the premise behind critical geragogy </w:t>
      </w:r>
      <w:r w:rsidR="00D305C4">
        <w:rPr>
          <w:rFonts w:ascii="Arial" w:hAnsi="Arial" w:cs="Arial"/>
          <w:sz w:val="24"/>
          <w:szCs w:val="24"/>
        </w:rPr>
        <w:t xml:space="preserve">which </w:t>
      </w:r>
      <w:r>
        <w:rPr>
          <w:rFonts w:ascii="Arial" w:hAnsi="Arial" w:cs="Arial"/>
          <w:sz w:val="24"/>
          <w:szCs w:val="24"/>
        </w:rPr>
        <w:t xml:space="preserve">is to challenge beliefs about aging and learning in service of improving self-efficacy </w:t>
      </w:r>
      <w:r w:rsidR="00553FAD">
        <w:rPr>
          <w:rFonts w:ascii="Arial" w:hAnsi="Arial" w:cs="Arial"/>
          <w:sz w:val="24"/>
          <w:szCs w:val="24"/>
        </w:rPr>
        <w:t xml:space="preserve">of mature learners </w:t>
      </w:r>
      <w:r>
        <w:rPr>
          <w:rFonts w:ascii="Arial" w:hAnsi="Arial" w:cs="Arial"/>
          <w:sz w:val="24"/>
          <w:szCs w:val="24"/>
        </w:rPr>
        <w:fldChar w:fldCharType="begin" w:fldLock="1"/>
      </w:r>
      <w:r>
        <w:rPr>
          <w:rFonts w:ascii="Arial" w:hAnsi="Arial" w:cs="Arial"/>
          <w:sz w:val="24"/>
          <w:szCs w:val="24"/>
        </w:rPr>
        <w:instrText>ADDIN CSL_CITATION {"citationItems":[{"id":"ITEM-1","itemData":{"DOI":"10.18546/LRE.13.1.05","ISSN":"14748479","abstract":"The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Education","id":"ITEM-1","issue":"1","issued":{"date-parts":[["2015"]]},"page":"43-57","title":"Critical geragogy: A framework for facilitating older learners in community music","type":"article-journal","volume":"13"},"uris":["http://www.mendeley.com/documents/?uuid=fa50dd99-4e1e-44de-a3f2-30dd41815d00"]}],"mendeley":{"formattedCitation":"(Creech and Hallam, 2015)","plainTextFormattedCitation":"(Creech and Hallam, 2015)","previouslyFormattedCitation":"(Creech and Hallam, 2015)"},"properties":{"noteIndex":0},"schema":"https://github.com/citation-style-language/schema/raw/master/csl-citation.json"}</w:instrText>
      </w:r>
      <w:r>
        <w:rPr>
          <w:rFonts w:ascii="Arial" w:hAnsi="Arial" w:cs="Arial"/>
          <w:sz w:val="24"/>
          <w:szCs w:val="24"/>
        </w:rPr>
        <w:fldChar w:fldCharType="separate"/>
      </w:r>
      <w:r w:rsidRPr="00202EAC">
        <w:rPr>
          <w:rFonts w:ascii="Arial" w:hAnsi="Arial" w:cs="Arial"/>
          <w:noProof/>
          <w:sz w:val="24"/>
          <w:szCs w:val="24"/>
        </w:rPr>
        <w:t>(Creech and Hallam, 2015)</w:t>
      </w:r>
      <w:r>
        <w:rPr>
          <w:rFonts w:ascii="Arial" w:hAnsi="Arial" w:cs="Arial"/>
          <w:sz w:val="24"/>
          <w:szCs w:val="24"/>
        </w:rPr>
        <w:fldChar w:fldCharType="end"/>
      </w:r>
      <w:r>
        <w:rPr>
          <w:rFonts w:ascii="Arial" w:hAnsi="Arial" w:cs="Arial"/>
          <w:sz w:val="24"/>
          <w:szCs w:val="24"/>
        </w:rPr>
        <w:t xml:space="preserve">. There are many accounts from the corpus which discuss how a teacher directed a student towards or away from concepts. </w:t>
      </w:r>
      <w:r w:rsidR="000C3AC9">
        <w:rPr>
          <w:rFonts w:ascii="Arial" w:hAnsi="Arial" w:cs="Arial"/>
          <w:sz w:val="24"/>
          <w:szCs w:val="24"/>
        </w:rPr>
        <w:t xml:space="preserve">On such concept is </w:t>
      </w:r>
      <w:r w:rsidR="0077380D">
        <w:rPr>
          <w:rFonts w:ascii="Arial" w:hAnsi="Arial" w:cs="Arial"/>
          <w:sz w:val="24"/>
          <w:szCs w:val="24"/>
        </w:rPr>
        <w:t xml:space="preserve">a </w:t>
      </w:r>
      <w:r w:rsidR="0077380D" w:rsidRPr="0077380D">
        <w:rPr>
          <w:rFonts w:ascii="Arial" w:hAnsi="Arial" w:cs="Arial"/>
          <w:b/>
          <w:bCs/>
          <w:i/>
          <w:iCs/>
          <w:sz w:val="24"/>
          <w:szCs w:val="24"/>
        </w:rPr>
        <w:t>‘</w:t>
      </w:r>
      <w:r w:rsidR="0077380D">
        <w:rPr>
          <w:rFonts w:ascii="Arial" w:hAnsi="Arial" w:cs="Arial"/>
          <w:b/>
          <w:bCs/>
          <w:i/>
          <w:iCs/>
          <w:sz w:val="24"/>
          <w:szCs w:val="24"/>
        </w:rPr>
        <w:t>d</w:t>
      </w:r>
      <w:r w:rsidRPr="0010572E">
        <w:rPr>
          <w:rFonts w:ascii="Arial" w:hAnsi="Arial" w:cs="Arial"/>
          <w:b/>
          <w:bCs/>
          <w:i/>
          <w:iCs/>
          <w:sz w:val="24"/>
          <w:szCs w:val="24"/>
        </w:rPr>
        <w:t>evelopmental mindset</w:t>
      </w:r>
      <w:r w:rsidR="0077380D">
        <w:rPr>
          <w:rFonts w:ascii="Arial" w:hAnsi="Arial" w:cs="Arial"/>
          <w:b/>
          <w:bCs/>
          <w:i/>
          <w:iCs/>
          <w:sz w:val="24"/>
          <w:szCs w:val="24"/>
        </w:rPr>
        <w:t>’</w:t>
      </w:r>
      <w:r w:rsidR="0077380D">
        <w:rPr>
          <w:rFonts w:ascii="Arial" w:hAnsi="Arial" w:cs="Arial"/>
          <w:sz w:val="24"/>
          <w:szCs w:val="24"/>
        </w:rPr>
        <w:t xml:space="preserve">; </w:t>
      </w:r>
      <w:r>
        <w:rPr>
          <w:rFonts w:ascii="Arial" w:hAnsi="Arial" w:cs="Arial"/>
          <w:sz w:val="24"/>
          <w:szCs w:val="24"/>
        </w:rPr>
        <w:t>a perspective</w:t>
      </w:r>
      <w:r w:rsidR="007B537B">
        <w:rPr>
          <w:rFonts w:ascii="Arial" w:hAnsi="Arial" w:cs="Arial"/>
          <w:sz w:val="24"/>
          <w:szCs w:val="24"/>
        </w:rPr>
        <w:t xml:space="preserve"> which looks at </w:t>
      </w:r>
      <w:r w:rsidR="0064251F">
        <w:rPr>
          <w:rFonts w:ascii="Arial" w:hAnsi="Arial" w:cs="Arial"/>
          <w:sz w:val="24"/>
          <w:szCs w:val="24"/>
        </w:rPr>
        <w:t>skills</w:t>
      </w:r>
      <w:r w:rsidR="007B537B">
        <w:rPr>
          <w:rFonts w:ascii="Arial" w:hAnsi="Arial" w:cs="Arial"/>
          <w:sz w:val="24"/>
          <w:szCs w:val="24"/>
        </w:rPr>
        <w:t xml:space="preserve"> as </w:t>
      </w:r>
      <w:r w:rsidR="0064251F">
        <w:rPr>
          <w:rFonts w:ascii="Arial" w:hAnsi="Arial" w:cs="Arial"/>
          <w:sz w:val="24"/>
          <w:szCs w:val="24"/>
        </w:rPr>
        <w:t>things which can be developed</w:t>
      </w:r>
      <w:r w:rsidR="00E407FB">
        <w:rPr>
          <w:rFonts w:ascii="Arial" w:hAnsi="Arial" w:cs="Arial"/>
          <w:sz w:val="24"/>
          <w:szCs w:val="24"/>
        </w:rPr>
        <w:t xml:space="preserve"> i.e. not a ‘gift’ which some people have and others do not </w:t>
      </w:r>
      <w:r w:rsidR="00A71843">
        <w:rPr>
          <w:rFonts w:ascii="Arial" w:hAnsi="Arial" w:cs="Arial"/>
          <w:sz w:val="24"/>
          <w:szCs w:val="24"/>
        </w:rPr>
        <w:fldChar w:fldCharType="begin" w:fldLock="1"/>
      </w:r>
      <w:r w:rsidR="00B067DC">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environment","type":"article-journal","volume":"43"},"uris":["http://www.mendeley.com/documents/?uuid=df4ddb6b-d417-411f-9261-d87aba0aa367"]},{"id":"ITEM-2","itemData":{"DOI":"10.1080/14613808.2019.1598346","ISSN":"14699893","abstract":"We explored the role of self-efficacy in participatory music-making, and whether a single such music-making activity could make non-musician adults more open to seeing themselves as musical. Past research has suggested that even recipients of multiple years of school music education do not consider being musical as a part of their identity, and they do not exit adolescence with an independent musicianship that would facilitate their making music as adults. In our study, we invited older adults to participate in an informal music-making experience designed to be participatory and enjoyable. A questionnaire measured musical beliefs and self-perceptions before and after the music activity. The posttest version included items through which participants indicated their self-efficacy during the activity. Data analysis revealed that across the entire sample, the average rating of how musical they considered themselves to be did not change significantly, but there was a significant jump in their reported likelihood of engaging in a collection of musical life activities. Specifically, there was a rise in the likelihood of playing musical instruments informally. The study’s most important finding was that participants with higher self-efficacy during the activity emerged from it believing themselves to be more musical than they had previously thought.","author":[{"dropping-particle":"","family":"Woody","given":"Robert H.","non-dropping-particle":"","parse-names":false,"suffix":""},{"dropping-particle":"","family":"Fraser","given":"Amy","non-dropping-particle":"","parse-names":false,"suffix":""},{"dropping-particle":"","family":"Nannen","given":"Briana","non-dropping-particle":"","parse-names":false,"suffix":""},{"dropping-particle":"","family":"Yukevich","given":"Polly","non-dropping-particle":"","parse-names":false,"suffix":""}],"container-title":"Music Education Research","id":"ITEM-2","issue":"3","issued":{"date-parts":[["2019"]]},"page":"315-330","publisher":"Taylor &amp; Francis","title":"Musical identities of older adults are not easily changed: an exploratory study","type":"article-journal","volume":"21"},"uris":["http://www.mendeley.com/documents/?uuid=c0731686-1857-43a8-8fa8-ba5ac99fc6e4"]}],"mendeley":{"formattedCitation":"(Woody &lt;i&gt;et al.&lt;/i&gt;, 2019; Hogle, 2021)","plainTextFormattedCitation":"(Woody et al., 2019; Hogle, 2021)","previouslyFormattedCitation":"(Woody &lt;i&gt;et al.&lt;/i&gt;, 2019; Hogle, 2021)"},"properties":{"noteIndex":0},"schema":"https://github.com/citation-style-language/schema/raw/master/csl-citation.json"}</w:instrText>
      </w:r>
      <w:r w:rsidR="00A71843">
        <w:rPr>
          <w:rFonts w:ascii="Arial" w:hAnsi="Arial" w:cs="Arial"/>
          <w:sz w:val="24"/>
          <w:szCs w:val="24"/>
        </w:rPr>
        <w:fldChar w:fldCharType="separate"/>
      </w:r>
      <w:r w:rsidR="00A71843" w:rsidRPr="00A71843">
        <w:rPr>
          <w:rFonts w:ascii="Arial" w:hAnsi="Arial" w:cs="Arial"/>
          <w:noProof/>
          <w:sz w:val="24"/>
          <w:szCs w:val="24"/>
        </w:rPr>
        <w:t xml:space="preserve">(Woody </w:t>
      </w:r>
      <w:r w:rsidR="00A71843" w:rsidRPr="00A71843">
        <w:rPr>
          <w:rFonts w:ascii="Arial" w:hAnsi="Arial" w:cs="Arial"/>
          <w:i/>
          <w:noProof/>
          <w:sz w:val="24"/>
          <w:szCs w:val="24"/>
        </w:rPr>
        <w:t>et al.</w:t>
      </w:r>
      <w:r w:rsidR="00A71843" w:rsidRPr="00A71843">
        <w:rPr>
          <w:rFonts w:ascii="Arial" w:hAnsi="Arial" w:cs="Arial"/>
          <w:noProof/>
          <w:sz w:val="24"/>
          <w:szCs w:val="24"/>
        </w:rPr>
        <w:t>, 2019; Hogle, 2021)</w:t>
      </w:r>
      <w:r w:rsidR="00A71843">
        <w:rPr>
          <w:rFonts w:ascii="Arial" w:hAnsi="Arial" w:cs="Arial"/>
          <w:sz w:val="24"/>
          <w:szCs w:val="24"/>
        </w:rPr>
        <w:fldChar w:fldCharType="end"/>
      </w:r>
      <w:r w:rsidR="00A71843">
        <w:rPr>
          <w:rFonts w:ascii="Arial" w:hAnsi="Arial" w:cs="Arial"/>
          <w:sz w:val="24"/>
          <w:szCs w:val="24"/>
        </w:rPr>
        <w:t>. A developmental/ growth mindset</w:t>
      </w:r>
      <w:r w:rsidR="00B067DC">
        <w:rPr>
          <w:rFonts w:ascii="Arial" w:hAnsi="Arial" w:cs="Arial"/>
          <w:sz w:val="24"/>
          <w:szCs w:val="24"/>
        </w:rPr>
        <w:t xml:space="preserve"> can be fostered in a student by a teacher </w:t>
      </w:r>
      <w:r>
        <w:rPr>
          <w:rFonts w:ascii="Arial" w:hAnsi="Arial" w:cs="Arial"/>
          <w:sz w:val="24"/>
          <w:szCs w:val="24"/>
        </w:rPr>
        <w:t>to aid self-efficacy</w:t>
      </w:r>
      <w:r w:rsidR="00B067DC">
        <w:rPr>
          <w:rFonts w:ascii="Arial" w:hAnsi="Arial" w:cs="Arial"/>
          <w:sz w:val="24"/>
          <w:szCs w:val="24"/>
        </w:rPr>
        <w:t xml:space="preserve"> </w:t>
      </w:r>
      <w:r w:rsidR="00B067DC">
        <w:rPr>
          <w:rFonts w:ascii="Arial" w:hAnsi="Arial" w:cs="Arial"/>
          <w:sz w:val="24"/>
          <w:szCs w:val="24"/>
        </w:rPr>
        <w:fldChar w:fldCharType="begin" w:fldLock="1"/>
      </w:r>
      <w:r w:rsidR="007A08B6">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2021)","plainTextFormattedCitation":"(Hogle, 2021)","previouslyFormattedCitation":"(Hogle, 2021)"},"properties":{"noteIndex":0},"schema":"https://github.com/citation-style-language/schema/raw/master/csl-citation.json"}</w:instrText>
      </w:r>
      <w:r w:rsidR="00B067DC">
        <w:rPr>
          <w:rFonts w:ascii="Arial" w:hAnsi="Arial" w:cs="Arial"/>
          <w:sz w:val="24"/>
          <w:szCs w:val="24"/>
        </w:rPr>
        <w:fldChar w:fldCharType="separate"/>
      </w:r>
      <w:r w:rsidR="00B067DC" w:rsidRPr="00B067DC">
        <w:rPr>
          <w:rFonts w:ascii="Arial" w:hAnsi="Arial" w:cs="Arial"/>
          <w:noProof/>
          <w:sz w:val="24"/>
          <w:szCs w:val="24"/>
        </w:rPr>
        <w:t>(Hogle, 2021)</w:t>
      </w:r>
      <w:r w:rsidR="00B067DC">
        <w:rPr>
          <w:rFonts w:ascii="Arial" w:hAnsi="Arial" w:cs="Arial"/>
          <w:sz w:val="24"/>
          <w:szCs w:val="24"/>
        </w:rPr>
        <w:fldChar w:fldCharType="end"/>
      </w:r>
      <w:r w:rsidR="00E1658D">
        <w:rPr>
          <w:rFonts w:ascii="Arial" w:hAnsi="Arial" w:cs="Arial"/>
          <w:sz w:val="24"/>
          <w:szCs w:val="24"/>
        </w:rPr>
        <w:t>. This shows how teacher beliefs can affect as student.</w:t>
      </w:r>
      <w:r>
        <w:rPr>
          <w:rFonts w:ascii="Arial" w:hAnsi="Arial" w:cs="Arial"/>
          <w:sz w:val="24"/>
          <w:szCs w:val="24"/>
        </w:rPr>
        <w:t xml:space="preserve"> Hogle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2021)","manualFormatting":"(2021)","plainTextFormattedCitation":"(Hogle, 2021)","previouslyFormattedCitation":"(Hogle, 2021)"},"properties":{"noteIndex":0},"schema":"https://github.com/citation-style-language/schema/raw/master/csl-citation.json"}</w:instrText>
      </w:r>
      <w:r>
        <w:rPr>
          <w:rFonts w:ascii="Arial" w:hAnsi="Arial" w:cs="Arial"/>
          <w:sz w:val="24"/>
          <w:szCs w:val="24"/>
        </w:rPr>
        <w:fldChar w:fldCharType="separate"/>
      </w:r>
      <w:r w:rsidRPr="00294515">
        <w:rPr>
          <w:rFonts w:ascii="Arial" w:hAnsi="Arial" w:cs="Arial"/>
          <w:noProof/>
          <w:sz w:val="24"/>
          <w:szCs w:val="24"/>
        </w:rPr>
        <w:t>(2021)</w:t>
      </w:r>
      <w:r>
        <w:rPr>
          <w:rFonts w:ascii="Arial" w:hAnsi="Arial" w:cs="Arial"/>
          <w:sz w:val="24"/>
          <w:szCs w:val="24"/>
        </w:rPr>
        <w:fldChar w:fldCharType="end"/>
      </w:r>
      <w:r w:rsidR="00D2354D">
        <w:rPr>
          <w:rFonts w:ascii="Arial" w:hAnsi="Arial" w:cs="Arial"/>
          <w:sz w:val="24"/>
          <w:szCs w:val="24"/>
        </w:rPr>
        <w:t xml:space="preserve"> gives an example of</w:t>
      </w:r>
      <w:r w:rsidR="002B60AD">
        <w:rPr>
          <w:rFonts w:ascii="Arial" w:hAnsi="Arial" w:cs="Arial"/>
          <w:sz w:val="24"/>
          <w:szCs w:val="24"/>
        </w:rPr>
        <w:t xml:space="preserve"> </w:t>
      </w:r>
      <w:r w:rsidR="00F33288">
        <w:rPr>
          <w:rFonts w:ascii="Arial" w:hAnsi="Arial" w:cs="Arial"/>
          <w:sz w:val="24"/>
          <w:szCs w:val="24"/>
        </w:rPr>
        <w:t xml:space="preserve">teacher </w:t>
      </w:r>
      <w:r w:rsidR="002B60AD">
        <w:rPr>
          <w:rFonts w:ascii="Arial" w:hAnsi="Arial" w:cs="Arial"/>
          <w:sz w:val="24"/>
          <w:szCs w:val="24"/>
        </w:rPr>
        <w:t>feedback negatively impact</w:t>
      </w:r>
      <w:r w:rsidR="009D6845">
        <w:rPr>
          <w:rFonts w:ascii="Arial" w:hAnsi="Arial" w:cs="Arial"/>
          <w:sz w:val="24"/>
          <w:szCs w:val="24"/>
        </w:rPr>
        <w:t>ing on</w:t>
      </w:r>
      <w:r w:rsidR="002B60AD">
        <w:rPr>
          <w:rFonts w:ascii="Arial" w:hAnsi="Arial" w:cs="Arial"/>
          <w:sz w:val="24"/>
          <w:szCs w:val="24"/>
        </w:rPr>
        <w:t xml:space="preserve"> a student</w:t>
      </w:r>
      <w:r w:rsidR="000F7542">
        <w:rPr>
          <w:rFonts w:ascii="Arial" w:hAnsi="Arial" w:cs="Arial"/>
          <w:sz w:val="24"/>
          <w:szCs w:val="24"/>
        </w:rPr>
        <w:t xml:space="preserve">. The </w:t>
      </w:r>
      <w:r>
        <w:rPr>
          <w:rFonts w:ascii="Arial" w:hAnsi="Arial" w:cs="Arial"/>
          <w:sz w:val="24"/>
          <w:szCs w:val="24"/>
        </w:rPr>
        <w:t xml:space="preserve">student </w:t>
      </w:r>
      <w:r w:rsidR="00C12763">
        <w:rPr>
          <w:rFonts w:ascii="Arial" w:hAnsi="Arial" w:cs="Arial"/>
          <w:sz w:val="24"/>
          <w:szCs w:val="24"/>
        </w:rPr>
        <w:t xml:space="preserve">was left feeling unable to develop after they </w:t>
      </w:r>
      <w:r>
        <w:rPr>
          <w:rFonts w:ascii="Arial" w:hAnsi="Arial" w:cs="Arial"/>
          <w:sz w:val="24"/>
          <w:szCs w:val="24"/>
        </w:rPr>
        <w:t>felt a correction was personal and they could not do what was being asked of them. The feedback and encouragement from teachers discussed</w:t>
      </w:r>
      <w:r w:rsidR="00CA55F2">
        <w:rPr>
          <w:rFonts w:ascii="Arial" w:hAnsi="Arial" w:cs="Arial"/>
          <w:sz w:val="24"/>
          <w:szCs w:val="24"/>
        </w:rPr>
        <w:t xml:space="preserve"> is</w:t>
      </w:r>
      <w:r w:rsidR="00EB0597">
        <w:rPr>
          <w:rFonts w:ascii="Arial" w:hAnsi="Arial" w:cs="Arial"/>
          <w:sz w:val="24"/>
          <w:szCs w:val="24"/>
        </w:rPr>
        <w:t xml:space="preserve"> also</w:t>
      </w:r>
      <w:r>
        <w:rPr>
          <w:rFonts w:ascii="Arial" w:hAnsi="Arial" w:cs="Arial"/>
          <w:sz w:val="24"/>
          <w:szCs w:val="24"/>
        </w:rPr>
        <w:t xml:space="preserve"> by </w:t>
      </w:r>
      <w:r>
        <w:rPr>
          <w:rFonts w:ascii="Arial" w:hAnsi="Arial" w:cs="Arial"/>
          <w:sz w:val="24"/>
          <w:szCs w:val="24"/>
        </w:rPr>
        <w:lastRenderedPageBreak/>
        <w:t xml:space="preserve">Lewis and Hendricks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2022)","manualFormatting":"(2022)","plainTextFormattedCitation":"(Lewis and Hendricks, 2022)","previouslyFormattedCitation":"(Lewis and Hendricks, 2022)"},"properties":{"noteIndex":0},"schema":"https://github.com/citation-style-language/schema/raw/master/csl-citation.json"}</w:instrText>
      </w:r>
      <w:r>
        <w:rPr>
          <w:rFonts w:ascii="Arial" w:hAnsi="Arial" w:cs="Arial"/>
          <w:sz w:val="24"/>
          <w:szCs w:val="24"/>
        </w:rPr>
        <w:fldChar w:fldCharType="separate"/>
      </w:r>
      <w:r w:rsidRPr="003874AD">
        <w:rPr>
          <w:rFonts w:ascii="Arial" w:hAnsi="Arial" w:cs="Arial"/>
          <w:noProof/>
          <w:sz w:val="24"/>
          <w:szCs w:val="24"/>
        </w:rPr>
        <w:t>(2022)</w:t>
      </w:r>
      <w:r>
        <w:rPr>
          <w:rFonts w:ascii="Arial" w:hAnsi="Arial" w:cs="Arial"/>
          <w:sz w:val="24"/>
          <w:szCs w:val="24"/>
        </w:rPr>
        <w:fldChar w:fldCharType="end"/>
      </w:r>
      <w:r w:rsidR="000B6F7A">
        <w:rPr>
          <w:rFonts w:ascii="Arial" w:hAnsi="Arial" w:cs="Arial"/>
          <w:sz w:val="24"/>
          <w:szCs w:val="24"/>
        </w:rPr>
        <w:t xml:space="preserve"> as having the potency to change perspective.  </w:t>
      </w:r>
      <w:r>
        <w:rPr>
          <w:rFonts w:ascii="Arial" w:hAnsi="Arial" w:cs="Arial"/>
          <w:sz w:val="24"/>
          <w:szCs w:val="24"/>
        </w:rPr>
        <w:t xml:space="preserve">The words of a teacher have the potential to </w:t>
      </w:r>
      <w:r w:rsidRPr="009F3CF3">
        <w:rPr>
          <w:rFonts w:ascii="Arial" w:hAnsi="Arial" w:cs="Arial"/>
          <w:b/>
          <w:bCs/>
          <w:i/>
          <w:iCs/>
          <w:sz w:val="24"/>
          <w:szCs w:val="24"/>
        </w:rPr>
        <w:t>empower</w:t>
      </w:r>
      <w:r>
        <w:rPr>
          <w:rFonts w:ascii="Arial" w:hAnsi="Arial" w:cs="Arial"/>
          <w:sz w:val="24"/>
          <w:szCs w:val="24"/>
        </w:rPr>
        <w:t xml:space="preserve"> a student in their learning and have the power to transform beliefs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Education","id":"ITEM-2","issue":"1","issued":{"date-parts":[["2015"]]},"page":"43-57","title":"Critical geragogy: A framework for facilitating older learners in community music","type":"article-journal","volume":"13"},"uris":["http://www.mendeley.com/documents/?uuid=fa50dd99-4e1e-44de-a3f2-30dd41815d00"]},{"id":"ITEM-3","itemData":{"DOI":"10.1177/1321103X20930426","ISSN":"18345530","abstract":"The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Education","id":"ITEM-3","issue":"2","issued":{"date-parts":[["2021"]]},"page":"179-194","title":"Fostering singing agency through emotional differentiation in an inclusive singing environment","type":"article-journal","volume":"43"},"uris":["http://www.mendeley.com/documents/?uuid=df4ddb6b-d417-411f-9261-d87aba0aa367"]},{"id":"ITEM-4","itemData":{"ISSN":"10867732","abstract":"The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Singing","id":"ITEM-4","issue":"4","issued":{"date-parts":[["2018"]]},"page":"405-414","title":"Critical Thought, Intrinsic Motivation, and the Voice Studio: Perspectives of Master Teachers.","type":"article-journal","volume":"74"},"uris":["http://www.mendeley.com/documents/?uuid=4030f552-7b94-4abf-bab4-c0b97b7babca"]}],"mendeley":{"formattedCitation":"(Creech and Hallam, 2015; Stephenson, 2018; Hogle, 2021; Lewis and Hendricks, 2022)","plainTextFormattedCitation":"(Creech and Hallam, 2015; Stephenson, 2018; Hogle, 2021; Lewis and Hendricks, 2022)","previouslyFormattedCitation":"(Creech and Hallam, 2015; Stephenson, 2018; Hogle, 2021; Lewis and Hendricks, 2022)"},"properties":{"noteIndex":0},"schema":"https://github.com/citation-style-language/schema/raw/master/csl-citation.json"}</w:instrText>
      </w:r>
      <w:r>
        <w:rPr>
          <w:rFonts w:ascii="Arial" w:hAnsi="Arial" w:cs="Arial"/>
          <w:sz w:val="24"/>
          <w:szCs w:val="24"/>
        </w:rPr>
        <w:fldChar w:fldCharType="separate"/>
      </w:r>
      <w:r w:rsidRPr="00190D28">
        <w:rPr>
          <w:rFonts w:ascii="Arial" w:hAnsi="Arial" w:cs="Arial"/>
          <w:noProof/>
          <w:sz w:val="24"/>
          <w:szCs w:val="24"/>
        </w:rPr>
        <w:t>(Creech and Hallam, 2015; Stephenson, 2018; Hogle, 2021; Lewis and Hendricks, 2022)</w:t>
      </w:r>
      <w:r>
        <w:rPr>
          <w:rFonts w:ascii="Arial" w:hAnsi="Arial" w:cs="Arial"/>
          <w:sz w:val="24"/>
          <w:szCs w:val="24"/>
        </w:rPr>
        <w:fldChar w:fldCharType="end"/>
      </w:r>
      <w:r>
        <w:rPr>
          <w:rFonts w:ascii="Arial" w:hAnsi="Arial" w:cs="Arial"/>
          <w:sz w:val="24"/>
          <w:szCs w:val="24"/>
        </w:rPr>
        <w:t xml:space="preserve">. </w:t>
      </w:r>
    </w:p>
    <w:p w14:paraId="45935FA6" w14:textId="77777777" w:rsidR="007E3B8B" w:rsidRDefault="007E3B8B" w:rsidP="00A921C1">
      <w:pPr>
        <w:spacing w:line="360" w:lineRule="auto"/>
        <w:rPr>
          <w:rFonts w:ascii="Arial" w:hAnsi="Arial" w:cs="Arial"/>
          <w:b/>
          <w:bCs/>
          <w:sz w:val="24"/>
          <w:szCs w:val="24"/>
        </w:rPr>
      </w:pPr>
      <w:r w:rsidRPr="000A7FC3">
        <w:rPr>
          <w:rFonts w:ascii="Arial" w:hAnsi="Arial" w:cs="Arial"/>
          <w:b/>
          <w:bCs/>
          <w:sz w:val="24"/>
          <w:szCs w:val="24"/>
        </w:rPr>
        <w:t>Challenges:</w:t>
      </w:r>
    </w:p>
    <w:p w14:paraId="41C92D56" w14:textId="257A8D67" w:rsidR="007E3B8B" w:rsidRDefault="004C046E" w:rsidP="003A60DF">
      <w:pPr>
        <w:spacing w:line="360" w:lineRule="auto"/>
        <w:jc w:val="both"/>
        <w:rPr>
          <w:rFonts w:ascii="Arial" w:hAnsi="Arial" w:cs="Arial"/>
          <w:sz w:val="24"/>
          <w:szCs w:val="24"/>
        </w:rPr>
      </w:pPr>
      <w:r>
        <w:rPr>
          <w:rFonts w:ascii="Arial" w:hAnsi="Arial" w:cs="Arial"/>
          <w:sz w:val="24"/>
          <w:szCs w:val="24"/>
        </w:rPr>
        <w:t>T</w:t>
      </w:r>
      <w:r w:rsidR="007E3B8B">
        <w:rPr>
          <w:rFonts w:ascii="Arial" w:hAnsi="Arial" w:cs="Arial"/>
          <w:sz w:val="24"/>
          <w:szCs w:val="24"/>
        </w:rPr>
        <w:t>eachers be</w:t>
      </w:r>
      <w:r>
        <w:rPr>
          <w:rFonts w:ascii="Arial" w:hAnsi="Arial" w:cs="Arial"/>
          <w:sz w:val="24"/>
          <w:szCs w:val="24"/>
        </w:rPr>
        <w:t xml:space="preserve">ing </w:t>
      </w:r>
      <w:r w:rsidR="007E3B8B">
        <w:rPr>
          <w:rFonts w:ascii="Arial" w:hAnsi="Arial" w:cs="Arial"/>
          <w:sz w:val="24"/>
          <w:szCs w:val="24"/>
        </w:rPr>
        <w:t>aware of themselves and what they bring to their student interactions</w:t>
      </w:r>
      <w:r>
        <w:rPr>
          <w:rFonts w:ascii="Arial" w:hAnsi="Arial" w:cs="Arial"/>
          <w:sz w:val="24"/>
          <w:szCs w:val="24"/>
        </w:rPr>
        <w:t xml:space="preserve"> is </w:t>
      </w:r>
      <w:r w:rsidR="00793EFC">
        <w:rPr>
          <w:rFonts w:ascii="Arial" w:hAnsi="Arial" w:cs="Arial"/>
          <w:sz w:val="24"/>
          <w:szCs w:val="24"/>
        </w:rPr>
        <w:t>one side of the interaction in singing lessons. S</w:t>
      </w:r>
      <w:r w:rsidR="007E3B8B">
        <w:rPr>
          <w:rFonts w:ascii="Arial" w:hAnsi="Arial" w:cs="Arial"/>
          <w:sz w:val="24"/>
          <w:szCs w:val="24"/>
        </w:rPr>
        <w:t xml:space="preserve">tudents may have challenges breaking away </w:t>
      </w:r>
      <w:r w:rsidR="000C535F">
        <w:rPr>
          <w:rFonts w:ascii="Arial" w:hAnsi="Arial" w:cs="Arial"/>
          <w:sz w:val="24"/>
          <w:szCs w:val="24"/>
        </w:rPr>
        <w:t xml:space="preserve">from </w:t>
      </w:r>
      <w:r w:rsidR="007E3B8B">
        <w:rPr>
          <w:rFonts w:ascii="Arial" w:hAnsi="Arial" w:cs="Arial"/>
          <w:sz w:val="24"/>
          <w:szCs w:val="24"/>
        </w:rPr>
        <w:t xml:space="preserve">low self-efficacy which may be because of a self-efficacy wound </w:t>
      </w:r>
      <w:r w:rsidR="007E3B8B">
        <w:rPr>
          <w:rFonts w:ascii="Arial" w:hAnsi="Arial" w:cs="Arial"/>
          <w:sz w:val="24"/>
          <w:szCs w:val="24"/>
        </w:rPr>
        <w:fldChar w:fldCharType="begin" w:fldLock="1"/>
      </w:r>
      <w:r w:rsidR="007E3B8B">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beliefs","type":"article-journal"},"uris":["http://www.mendeley.com/documents/?uuid=d1469298-0bbc-4c76-afcd-e0c4086da712"]}],"mendeley":{"formattedCitation":"(Hogle, 2021; Lewis and Hendricks, 2022)","plainTextFormattedCitation":"(Hogle, 2021; Lewis and Hendricks, 2022)","previouslyFormattedCitation":"(Hogle, 2021; Lewis and Hendricks, 2022)"},"properties":{"noteIndex":0},"schema":"https://github.com/citation-style-language/schema/raw/master/csl-citation.json"}</w:instrText>
      </w:r>
      <w:r w:rsidR="007E3B8B">
        <w:rPr>
          <w:rFonts w:ascii="Arial" w:hAnsi="Arial" w:cs="Arial"/>
          <w:sz w:val="24"/>
          <w:szCs w:val="24"/>
        </w:rPr>
        <w:fldChar w:fldCharType="separate"/>
      </w:r>
      <w:r w:rsidR="007E3B8B" w:rsidRPr="00726F8E">
        <w:rPr>
          <w:rFonts w:ascii="Arial" w:hAnsi="Arial" w:cs="Arial"/>
          <w:noProof/>
          <w:sz w:val="24"/>
          <w:szCs w:val="24"/>
        </w:rPr>
        <w:t>(Hogle, 2021; Lewis and Hendricks, 2022)</w:t>
      </w:r>
      <w:r w:rsidR="007E3B8B">
        <w:rPr>
          <w:rFonts w:ascii="Arial" w:hAnsi="Arial" w:cs="Arial"/>
          <w:sz w:val="24"/>
          <w:szCs w:val="24"/>
        </w:rPr>
        <w:fldChar w:fldCharType="end"/>
      </w:r>
      <w:r w:rsidR="007E3B8B">
        <w:rPr>
          <w:rFonts w:ascii="Arial" w:hAnsi="Arial" w:cs="Arial"/>
          <w:sz w:val="24"/>
          <w:szCs w:val="24"/>
        </w:rPr>
        <w:t xml:space="preserve">. The research of </w:t>
      </w:r>
      <w:r w:rsidR="007E3B8B" w:rsidRPr="009532B3">
        <w:rPr>
          <w:rFonts w:ascii="Arial" w:hAnsi="Arial" w:cs="Arial"/>
          <w:sz w:val="24"/>
          <w:szCs w:val="24"/>
        </w:rPr>
        <w:t>Wehr</w:t>
      </w:r>
      <w:r w:rsidR="007E3B8B">
        <w:rPr>
          <w:rFonts w:ascii="Arial" w:hAnsi="Arial" w:cs="Arial"/>
          <w:b/>
          <w:bCs/>
          <w:sz w:val="24"/>
          <w:szCs w:val="24"/>
        </w:rPr>
        <w:t xml:space="preserve"> </w:t>
      </w:r>
      <w:r w:rsidR="007E3B8B">
        <w:rPr>
          <w:rFonts w:ascii="Arial" w:hAnsi="Arial" w:cs="Arial"/>
          <w:b/>
          <w:bCs/>
          <w:sz w:val="24"/>
          <w:szCs w:val="24"/>
        </w:rPr>
        <w:fldChar w:fldCharType="begin" w:fldLock="1"/>
      </w:r>
      <w:r w:rsidR="007E3B8B">
        <w:rPr>
          <w:rFonts w:ascii="Arial" w:hAnsi="Arial" w:cs="Arial"/>
          <w:b/>
          <w:bCs/>
          <w:sz w:val="24"/>
          <w:szCs w:val="24"/>
        </w:rPr>
        <w:instrText>ADDIN CSL_CITATION {"citationItems":[{"id":"ITEM-1","itemData":{"DOI":"10.1177/0255761415619392","ISSN":"1744795X","abstract":"Jazz has long been recognized as a male-dominated field, with females traditionally having only limited acceptance, often in the roles of singer and pianist. Researchers have explored sources of the gender imbalance in the field of jazz and jazz education, but there is no theory or framework to organize such findings. This directed content analysis of the journal Jazz Changes, the official magazine of the International Association of Schools of Jazz published from 1994 to 2000, analyzed published answers to the following question posited by the journal editors, \"Women in Jazz: Why aren't there more women in jazz education?\" Analysis suggests a model including three social-psychological theories to describe the female experience in jazz. The theories include Rosabeth Kanter's theory of tokenism, which describes a learning environment that females might perceive or experience in jazz; Claude Steele and Joshua Aronson's theory of stereotype threat, which offers insight into why female musicians might make a choice to not participate, or discontinue participation, in the jazz idiom; and Albert Bandura's theory of self-efficacy, which is offered as a possible guide to providing instruction in jazz that fosters female participation. These theories are offered together as a model framework for future study of both historical and present experiences in gender and jazz.","author":[{"dropping-particle":"","family":"Wehr","given":"Erin L.","non-dropping-particle":"","parse-names":false,"suffix":""}],"container-title":"International Journal of Music Education","id":"ITEM-1","issue":"4","issued":{"date-parts":[["2016"]]},"page":"472-487","title":"Understanding the experiences of women in jazz: A suggested model","type":"article-journal","volume":"34"},"uris":["http://www.mendeley.com/documents/?uuid=add8c84d-1eb5-4330-b55e-bec3d25a4f5d"]}],"mendeley":{"formattedCitation":"(Wehr, 2016)","manualFormatting":"(2016)","plainTextFormattedCitation":"(Wehr, 2016)","previouslyFormattedCitation":"(Wehr, 2016)"},"properties":{"noteIndex":0},"schema":"https://github.com/citation-style-language/schema/raw/master/csl-citation.json"}</w:instrText>
      </w:r>
      <w:r w:rsidR="007E3B8B">
        <w:rPr>
          <w:rFonts w:ascii="Arial" w:hAnsi="Arial" w:cs="Arial"/>
          <w:b/>
          <w:bCs/>
          <w:sz w:val="24"/>
          <w:szCs w:val="24"/>
        </w:rPr>
        <w:fldChar w:fldCharType="separate"/>
      </w:r>
      <w:r w:rsidR="007E3B8B" w:rsidRPr="009532B3">
        <w:rPr>
          <w:rFonts w:ascii="Arial" w:hAnsi="Arial" w:cs="Arial"/>
          <w:bCs/>
          <w:noProof/>
          <w:sz w:val="24"/>
          <w:szCs w:val="24"/>
        </w:rPr>
        <w:t>(2016)</w:t>
      </w:r>
      <w:r w:rsidR="007E3B8B">
        <w:rPr>
          <w:rFonts w:ascii="Arial" w:hAnsi="Arial" w:cs="Arial"/>
          <w:b/>
          <w:bCs/>
          <w:sz w:val="24"/>
          <w:szCs w:val="24"/>
        </w:rPr>
        <w:fldChar w:fldCharType="end"/>
      </w:r>
      <w:r w:rsidR="007E3B8B">
        <w:rPr>
          <w:rFonts w:ascii="Arial" w:hAnsi="Arial" w:cs="Arial"/>
          <w:b/>
          <w:bCs/>
          <w:sz w:val="24"/>
          <w:szCs w:val="24"/>
        </w:rPr>
        <w:t xml:space="preserve"> </w:t>
      </w:r>
      <w:r w:rsidR="007E3B8B">
        <w:rPr>
          <w:rFonts w:ascii="Arial" w:hAnsi="Arial" w:cs="Arial"/>
          <w:sz w:val="24"/>
          <w:szCs w:val="24"/>
        </w:rPr>
        <w:t>investigates self-efficacy for wom</w:t>
      </w:r>
      <w:r w:rsidR="00703962">
        <w:rPr>
          <w:rFonts w:ascii="Arial" w:hAnsi="Arial" w:cs="Arial"/>
          <w:sz w:val="24"/>
          <w:szCs w:val="24"/>
        </w:rPr>
        <w:t>e</w:t>
      </w:r>
      <w:r w:rsidR="007E3B8B">
        <w:rPr>
          <w:rFonts w:ascii="Arial" w:hAnsi="Arial" w:cs="Arial"/>
          <w:sz w:val="24"/>
          <w:szCs w:val="24"/>
        </w:rPr>
        <w:t>n in jazz music. This study highlights the challenges around young women getting into jazz education if they have not found a sense of self-efficacy and confidence with jazz. This implies a circular problem</w:t>
      </w:r>
      <w:r w:rsidR="00A333DF">
        <w:rPr>
          <w:rFonts w:ascii="Arial" w:hAnsi="Arial" w:cs="Arial"/>
          <w:sz w:val="24"/>
          <w:szCs w:val="24"/>
        </w:rPr>
        <w:t>;</w:t>
      </w:r>
      <w:r w:rsidR="007E3B8B">
        <w:rPr>
          <w:rFonts w:ascii="Arial" w:hAnsi="Arial" w:cs="Arial"/>
          <w:sz w:val="24"/>
          <w:szCs w:val="24"/>
        </w:rPr>
        <w:t xml:space="preserve"> if a student does not find some sense of self-efficacy in an </w:t>
      </w:r>
      <w:r w:rsidR="00415BFE">
        <w:rPr>
          <w:rFonts w:ascii="Arial" w:hAnsi="Arial" w:cs="Arial"/>
          <w:sz w:val="24"/>
          <w:szCs w:val="24"/>
        </w:rPr>
        <w:t>area,</w:t>
      </w:r>
      <w:r w:rsidR="007E3B8B">
        <w:rPr>
          <w:rFonts w:ascii="Arial" w:hAnsi="Arial" w:cs="Arial"/>
          <w:sz w:val="24"/>
          <w:szCs w:val="24"/>
        </w:rPr>
        <w:t xml:space="preserve"> then they may not explore education further in that area</w:t>
      </w:r>
      <w:r w:rsidR="007A08B6">
        <w:rPr>
          <w:rFonts w:ascii="Arial" w:hAnsi="Arial" w:cs="Arial"/>
          <w:sz w:val="24"/>
          <w:szCs w:val="24"/>
        </w:rPr>
        <w:t xml:space="preserve">. This </w:t>
      </w:r>
      <w:r w:rsidR="00F855AD">
        <w:rPr>
          <w:rFonts w:ascii="Arial" w:hAnsi="Arial" w:cs="Arial"/>
          <w:sz w:val="24"/>
          <w:szCs w:val="24"/>
        </w:rPr>
        <w:t>in turn</w:t>
      </w:r>
      <w:r w:rsidR="007E3B8B">
        <w:rPr>
          <w:rFonts w:ascii="Arial" w:hAnsi="Arial" w:cs="Arial"/>
          <w:sz w:val="24"/>
          <w:szCs w:val="24"/>
        </w:rPr>
        <w:t xml:space="preserve"> </w:t>
      </w:r>
      <w:r w:rsidR="00560EFC">
        <w:rPr>
          <w:rFonts w:ascii="Arial" w:hAnsi="Arial" w:cs="Arial"/>
          <w:sz w:val="24"/>
          <w:szCs w:val="24"/>
        </w:rPr>
        <w:t xml:space="preserve">would lead </w:t>
      </w:r>
      <w:r w:rsidR="007E3B8B">
        <w:rPr>
          <w:rFonts w:ascii="Arial" w:hAnsi="Arial" w:cs="Arial"/>
          <w:sz w:val="24"/>
          <w:szCs w:val="24"/>
        </w:rPr>
        <w:t>to miss</w:t>
      </w:r>
      <w:r w:rsidR="00560EFC">
        <w:rPr>
          <w:rFonts w:ascii="Arial" w:hAnsi="Arial" w:cs="Arial"/>
          <w:sz w:val="24"/>
          <w:szCs w:val="24"/>
        </w:rPr>
        <w:t>ing</w:t>
      </w:r>
      <w:r w:rsidR="007E3B8B">
        <w:rPr>
          <w:rFonts w:ascii="Arial" w:hAnsi="Arial" w:cs="Arial"/>
          <w:sz w:val="24"/>
          <w:szCs w:val="24"/>
        </w:rPr>
        <w:t xml:space="preserve"> out on mastery experiences</w:t>
      </w:r>
      <w:r w:rsidR="007A08B6">
        <w:rPr>
          <w:rFonts w:ascii="Arial" w:hAnsi="Arial" w:cs="Arial"/>
          <w:sz w:val="24"/>
          <w:szCs w:val="24"/>
        </w:rPr>
        <w:t xml:space="preserve"> vital for self-efficacy improvements </w:t>
      </w:r>
      <w:r w:rsidR="007A08B6">
        <w:rPr>
          <w:rFonts w:ascii="Arial" w:hAnsi="Arial" w:cs="Arial"/>
          <w:sz w:val="24"/>
          <w:szCs w:val="24"/>
        </w:rPr>
        <w:fldChar w:fldCharType="begin" w:fldLock="1"/>
      </w:r>
      <w:r w:rsidR="00FB3711">
        <w:rPr>
          <w:rFonts w:ascii="Arial" w:hAnsi="Arial" w:cs="Arial"/>
          <w:sz w:val="24"/>
          <w:szCs w:val="24"/>
        </w:rPr>
        <w:instrText>ADDIN CSL_CITATION {"citationItems":[{"id":"ITEM-1","itemData":{"abstract":"Based on Bandura's theory that those who believe they can do what they set out to do are healthier, more efficient and more successful than those with low self-efficacy expectations. This theory has stimulated programs of research in education, clinicaland developmental psychology, medicine and related fields, athletics and business organization.","author":[{"dropping-particle":"","family":"Bandura","given":"Albert","non-dropping-particle":"","parse-names":false,"suffix":""}],"id":"ITEM-1","issued":{"date-parts":[["1997"]]},"publisher":"W.H.Freeman &amp; Co Ltd","publisher-place":"New York","title":"Self-efficacy : The Exercise of Control.","type":"book"},"uris":["http://www.mendeley.com/documents/?uuid=29014b0e-1932-4150-a247-953655b38468"]}],"mendeley":{"formattedCitation":"(Bandura, 1997)","plainTextFormattedCitation":"(Bandura, 1997)","previouslyFormattedCitation":"(Bandura, 1997)"},"properties":{"noteIndex":0},"schema":"https://github.com/citation-style-language/schema/raw/master/csl-citation.json"}</w:instrText>
      </w:r>
      <w:r w:rsidR="007A08B6">
        <w:rPr>
          <w:rFonts w:ascii="Arial" w:hAnsi="Arial" w:cs="Arial"/>
          <w:sz w:val="24"/>
          <w:szCs w:val="24"/>
        </w:rPr>
        <w:fldChar w:fldCharType="separate"/>
      </w:r>
      <w:r w:rsidR="007A08B6" w:rsidRPr="007A08B6">
        <w:rPr>
          <w:rFonts w:ascii="Arial" w:hAnsi="Arial" w:cs="Arial"/>
          <w:noProof/>
          <w:sz w:val="24"/>
          <w:szCs w:val="24"/>
        </w:rPr>
        <w:t>(Bandura, 1997)</w:t>
      </w:r>
      <w:r w:rsidR="007A08B6">
        <w:rPr>
          <w:rFonts w:ascii="Arial" w:hAnsi="Arial" w:cs="Arial"/>
          <w:sz w:val="24"/>
          <w:szCs w:val="24"/>
        </w:rPr>
        <w:fldChar w:fldCharType="end"/>
      </w:r>
      <w:r w:rsidR="007E3B8B">
        <w:rPr>
          <w:rFonts w:ascii="Arial" w:hAnsi="Arial" w:cs="Arial"/>
          <w:sz w:val="24"/>
          <w:szCs w:val="24"/>
        </w:rPr>
        <w:t xml:space="preserve">. This highlights the need for teachers to be aware of the challenges and potential </w:t>
      </w:r>
      <w:r w:rsidR="0081574E">
        <w:rPr>
          <w:rFonts w:ascii="Arial" w:hAnsi="Arial" w:cs="Arial"/>
          <w:sz w:val="24"/>
          <w:szCs w:val="24"/>
        </w:rPr>
        <w:t xml:space="preserve">benefits </w:t>
      </w:r>
      <w:r w:rsidR="0089736E">
        <w:rPr>
          <w:rFonts w:ascii="Arial" w:hAnsi="Arial" w:cs="Arial"/>
          <w:sz w:val="24"/>
          <w:szCs w:val="24"/>
        </w:rPr>
        <w:t>around developing</w:t>
      </w:r>
      <w:r w:rsidR="007E3B8B">
        <w:rPr>
          <w:rFonts w:ascii="Arial" w:hAnsi="Arial" w:cs="Arial"/>
          <w:sz w:val="24"/>
          <w:szCs w:val="24"/>
        </w:rPr>
        <w:t xml:space="preserve"> self-efficacy. Hogle </w:t>
      </w:r>
      <w:r w:rsidR="007E3B8B">
        <w:rPr>
          <w:rFonts w:ascii="Arial" w:hAnsi="Arial" w:cs="Arial"/>
          <w:sz w:val="24"/>
          <w:szCs w:val="24"/>
        </w:rPr>
        <w:fldChar w:fldCharType="begin" w:fldLock="1"/>
      </w:r>
      <w:r w:rsidR="007E3B8B">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2021)","manualFormatting":"(2021)","plainTextFormattedCitation":"(Hogle, 2021)","previouslyFormattedCitation":"(Hogle, 2021)"},"properties":{"noteIndex":0},"schema":"https://github.com/citation-style-language/schema/raw/master/csl-citation.json"}</w:instrText>
      </w:r>
      <w:r w:rsidR="007E3B8B">
        <w:rPr>
          <w:rFonts w:ascii="Arial" w:hAnsi="Arial" w:cs="Arial"/>
          <w:sz w:val="24"/>
          <w:szCs w:val="24"/>
        </w:rPr>
        <w:fldChar w:fldCharType="separate"/>
      </w:r>
      <w:r w:rsidR="007E3B8B" w:rsidRPr="00431423">
        <w:rPr>
          <w:rFonts w:ascii="Arial" w:hAnsi="Arial" w:cs="Arial"/>
          <w:noProof/>
          <w:sz w:val="24"/>
          <w:szCs w:val="24"/>
        </w:rPr>
        <w:t>(2021)</w:t>
      </w:r>
      <w:r w:rsidR="007E3B8B">
        <w:rPr>
          <w:rFonts w:ascii="Arial" w:hAnsi="Arial" w:cs="Arial"/>
          <w:sz w:val="24"/>
          <w:szCs w:val="24"/>
        </w:rPr>
        <w:fldChar w:fldCharType="end"/>
      </w:r>
      <w:r w:rsidR="007E3B8B">
        <w:rPr>
          <w:rFonts w:ascii="Arial" w:hAnsi="Arial" w:cs="Arial"/>
          <w:sz w:val="24"/>
          <w:szCs w:val="24"/>
        </w:rPr>
        <w:t xml:space="preserve"> discussed this challenge from the perspective of binary thinking regarding the concept of </w:t>
      </w:r>
      <w:r w:rsidR="007A209E">
        <w:rPr>
          <w:rFonts w:ascii="Arial" w:hAnsi="Arial" w:cs="Arial"/>
          <w:sz w:val="24"/>
          <w:szCs w:val="24"/>
        </w:rPr>
        <w:t xml:space="preserve">being a </w:t>
      </w:r>
      <w:r w:rsidR="007E3B8B">
        <w:rPr>
          <w:rFonts w:ascii="Arial" w:hAnsi="Arial" w:cs="Arial"/>
          <w:sz w:val="24"/>
          <w:szCs w:val="24"/>
        </w:rPr>
        <w:t xml:space="preserve">singer </w:t>
      </w:r>
      <w:r w:rsidR="007A209E">
        <w:rPr>
          <w:rFonts w:ascii="Arial" w:hAnsi="Arial" w:cs="Arial"/>
          <w:sz w:val="24"/>
          <w:szCs w:val="24"/>
        </w:rPr>
        <w:t>or a</w:t>
      </w:r>
      <w:r w:rsidR="007E3B8B">
        <w:rPr>
          <w:rFonts w:ascii="Arial" w:hAnsi="Arial" w:cs="Arial"/>
          <w:sz w:val="24"/>
          <w:szCs w:val="24"/>
        </w:rPr>
        <w:t xml:space="preserve"> non-singer and singers being ‘gifted’ or ‘talented’</w:t>
      </w:r>
      <w:r w:rsidR="0057263F">
        <w:rPr>
          <w:rFonts w:ascii="Arial" w:hAnsi="Arial" w:cs="Arial"/>
          <w:sz w:val="24"/>
          <w:szCs w:val="24"/>
        </w:rPr>
        <w:t>.</w:t>
      </w:r>
      <w:r w:rsidR="007E3B8B">
        <w:rPr>
          <w:rFonts w:ascii="Arial" w:hAnsi="Arial" w:cs="Arial"/>
          <w:sz w:val="24"/>
          <w:szCs w:val="24"/>
        </w:rPr>
        <w:t xml:space="preserve"> Hogle questions </w:t>
      </w:r>
      <w:r w:rsidR="00136DC2">
        <w:rPr>
          <w:rFonts w:ascii="Arial" w:hAnsi="Arial" w:cs="Arial"/>
          <w:sz w:val="24"/>
          <w:szCs w:val="24"/>
        </w:rPr>
        <w:t>how</w:t>
      </w:r>
      <w:r w:rsidR="007E3B8B">
        <w:rPr>
          <w:rFonts w:ascii="Arial" w:hAnsi="Arial" w:cs="Arial"/>
          <w:sz w:val="24"/>
          <w:szCs w:val="24"/>
        </w:rPr>
        <w:t xml:space="preserve"> these binary aspects of singing culture influence singers into a belief that they cannot develop thus perpetuating their sense of low self-efficacy. Lewis and Hendricks </w:t>
      </w:r>
      <w:r w:rsidR="007E3B8B">
        <w:rPr>
          <w:rFonts w:ascii="Arial" w:hAnsi="Arial" w:cs="Arial"/>
          <w:sz w:val="24"/>
          <w:szCs w:val="24"/>
        </w:rPr>
        <w:fldChar w:fldCharType="begin" w:fldLock="1"/>
      </w:r>
      <w:r w:rsidR="007E3B8B">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2022)","manualFormatting":"(2022)","plainTextFormattedCitation":"(Lewis and Hendricks, 2022)","previouslyFormattedCitation":"(Lewis and Hendricks, 2022)"},"properties":{"noteIndex":0},"schema":"https://github.com/citation-style-language/schema/raw/master/csl-citation.json"}</w:instrText>
      </w:r>
      <w:r w:rsidR="007E3B8B">
        <w:rPr>
          <w:rFonts w:ascii="Arial" w:hAnsi="Arial" w:cs="Arial"/>
          <w:sz w:val="24"/>
          <w:szCs w:val="24"/>
        </w:rPr>
        <w:fldChar w:fldCharType="separate"/>
      </w:r>
      <w:r w:rsidR="007E3B8B" w:rsidRPr="00751E3A">
        <w:rPr>
          <w:rFonts w:ascii="Arial" w:hAnsi="Arial" w:cs="Arial"/>
          <w:noProof/>
          <w:sz w:val="24"/>
          <w:szCs w:val="24"/>
        </w:rPr>
        <w:t>(2022)</w:t>
      </w:r>
      <w:r w:rsidR="007E3B8B">
        <w:rPr>
          <w:rFonts w:ascii="Arial" w:hAnsi="Arial" w:cs="Arial"/>
          <w:sz w:val="24"/>
          <w:szCs w:val="24"/>
        </w:rPr>
        <w:fldChar w:fldCharType="end"/>
      </w:r>
      <w:r w:rsidR="007E3B8B">
        <w:rPr>
          <w:rFonts w:ascii="Arial" w:hAnsi="Arial" w:cs="Arial"/>
          <w:sz w:val="24"/>
          <w:szCs w:val="24"/>
        </w:rPr>
        <w:t xml:space="preserve"> and Woody </w:t>
      </w:r>
      <w:r w:rsidR="007E3B8B">
        <w:rPr>
          <w:rFonts w:ascii="Arial" w:hAnsi="Arial" w:cs="Arial"/>
          <w:i/>
          <w:iCs/>
          <w:sz w:val="24"/>
          <w:szCs w:val="24"/>
        </w:rPr>
        <w:t>et al.</w:t>
      </w:r>
      <w:r w:rsidR="007E3B8B">
        <w:rPr>
          <w:rFonts w:ascii="Arial" w:hAnsi="Arial" w:cs="Arial"/>
          <w:sz w:val="24"/>
          <w:szCs w:val="24"/>
        </w:rPr>
        <w:t xml:space="preserve"> </w:t>
      </w:r>
      <w:r w:rsidR="007E3B8B">
        <w:rPr>
          <w:rFonts w:ascii="Arial" w:hAnsi="Arial" w:cs="Arial"/>
          <w:sz w:val="24"/>
          <w:szCs w:val="24"/>
        </w:rPr>
        <w:fldChar w:fldCharType="begin" w:fldLock="1"/>
      </w:r>
      <w:r w:rsidR="007E3B8B">
        <w:rPr>
          <w:rFonts w:ascii="Arial" w:hAnsi="Arial" w:cs="Arial"/>
          <w:sz w:val="24"/>
          <w:szCs w:val="24"/>
        </w:rPr>
        <w:instrText>ADDIN CSL_CITATION {"citationItems":[{"id":"ITEM-1","itemData":{"DOI":"10.1080/14613808.2019.1598346","ISSN":"14699893","abstract":"We explored the role of self-efficacy in participatory music-making, and whether a single such music-making activity could make non-musician adults more open to seeing themselves as musical. Past research has suggested that even recipients of multiple years of school music education do not consider being musical as a part of their identity, and they do not exit adolescence with an independent musicianship that would facilitate their making music as adults. In our study, we invited older adults to participate in an informal music-making experience designed to be participatory and enjoyable. A questionnaire measured musical beliefs and self-perceptions before and after the music activity. The posttest version included items through which participants indicated their self-efficacy during the activity. Data analysis revealed that across the entire sample, the average rating of how musical they considered themselves to be did not change significantly, but there was a significant jump in their reported likelihood of engaging in a collection of musical life activities. Specifically, there was a rise in the likelihood of playing musical instruments informally. The study’s most important finding was that participants with higher self-efficacy during the activity emerged from it believing themselves to be more musical than they had previously thought.","author":[{"dropping-particle":"","family":"Woody","given":"Robert H.","non-dropping-particle":"","parse-names":false,"suffix":""},{"dropping-particle":"","family":"Fraser","given":"Amy","non-dropping-particle":"","parse-names":false,"suffix":""},{"dropping-particle":"","family":"Nannen","given":"Briana","non-dropping-particle":"","parse-names":false,"suffix":""},{"dropping-particle":"","family":"Yukevich","given":"Polly","non-dropping-particle":"","parse-names":false,"suffix":""}],"container-title":"Music Education Research","id":"ITEM-1","issue":"3","issued":{"date-parts":[["2019"]]},"page":"315-330","publisher":"Taylor &amp; Francis","title":"Musical identities of older adults are not easily changed: an exploratory study","type":"article-journal","volume":"21"},"uris":["http://www.mendeley.com/documents/?uuid=c0731686-1857-43a8-8fa8-ba5ac99fc6e4"]}],"mendeley":{"formattedCitation":"(Woody &lt;i&gt;et al.&lt;/i&gt;, 2019)","plainTextFormattedCitation":"(Woody et al., 2019)","previouslyFormattedCitation":"(Woody &lt;i&gt;et al.&lt;/i&gt;, 2019)"},"properties":{"noteIndex":0},"schema":"https://github.com/citation-style-language/schema/raw/master/csl-citation.json"}</w:instrText>
      </w:r>
      <w:r w:rsidR="007E3B8B">
        <w:rPr>
          <w:rFonts w:ascii="Arial" w:hAnsi="Arial" w:cs="Arial"/>
          <w:sz w:val="24"/>
          <w:szCs w:val="24"/>
        </w:rPr>
        <w:fldChar w:fldCharType="separate"/>
      </w:r>
      <w:r w:rsidR="007E3B8B" w:rsidRPr="00DF3BA4">
        <w:rPr>
          <w:rFonts w:ascii="Arial" w:hAnsi="Arial" w:cs="Arial"/>
          <w:noProof/>
          <w:sz w:val="24"/>
          <w:szCs w:val="24"/>
        </w:rPr>
        <w:t xml:space="preserve">(Woody </w:t>
      </w:r>
      <w:r w:rsidR="007E3B8B" w:rsidRPr="00DF3BA4">
        <w:rPr>
          <w:rFonts w:ascii="Arial" w:hAnsi="Arial" w:cs="Arial"/>
          <w:i/>
          <w:noProof/>
          <w:sz w:val="24"/>
          <w:szCs w:val="24"/>
        </w:rPr>
        <w:t>et al.</w:t>
      </w:r>
      <w:r w:rsidR="007E3B8B" w:rsidRPr="00DF3BA4">
        <w:rPr>
          <w:rFonts w:ascii="Arial" w:hAnsi="Arial" w:cs="Arial"/>
          <w:noProof/>
          <w:sz w:val="24"/>
          <w:szCs w:val="24"/>
        </w:rPr>
        <w:t>, 2019)</w:t>
      </w:r>
      <w:r w:rsidR="007E3B8B">
        <w:rPr>
          <w:rFonts w:ascii="Arial" w:hAnsi="Arial" w:cs="Arial"/>
          <w:sz w:val="24"/>
          <w:szCs w:val="24"/>
        </w:rPr>
        <w:fldChar w:fldCharType="end"/>
      </w:r>
      <w:r w:rsidR="007E3B8B">
        <w:rPr>
          <w:rFonts w:ascii="Arial" w:hAnsi="Arial" w:cs="Arial"/>
          <w:sz w:val="24"/>
          <w:szCs w:val="24"/>
        </w:rPr>
        <w:t xml:space="preserve"> </w:t>
      </w:r>
      <w:r w:rsidR="004E0A29">
        <w:rPr>
          <w:rFonts w:ascii="Arial" w:hAnsi="Arial" w:cs="Arial"/>
          <w:sz w:val="24"/>
          <w:szCs w:val="24"/>
        </w:rPr>
        <w:t xml:space="preserve">similarly </w:t>
      </w:r>
      <w:r w:rsidR="007E3B8B">
        <w:rPr>
          <w:rFonts w:ascii="Arial" w:hAnsi="Arial" w:cs="Arial"/>
          <w:sz w:val="24"/>
          <w:szCs w:val="24"/>
        </w:rPr>
        <w:t>discuss the power of self-perception and its effects on learning.</w:t>
      </w:r>
    </w:p>
    <w:p w14:paraId="5DDD0166" w14:textId="216B75B6" w:rsidR="007E3B8B" w:rsidRDefault="007E3B8B" w:rsidP="003A60DF">
      <w:pPr>
        <w:spacing w:line="360" w:lineRule="auto"/>
        <w:jc w:val="both"/>
        <w:rPr>
          <w:rFonts w:ascii="Arial" w:hAnsi="Arial" w:cs="Arial"/>
          <w:sz w:val="24"/>
          <w:szCs w:val="24"/>
        </w:rPr>
      </w:pPr>
      <w:r w:rsidRPr="004A6C95">
        <w:rPr>
          <w:rFonts w:ascii="Arial" w:hAnsi="Arial" w:cs="Arial"/>
          <w:b/>
          <w:bCs/>
          <w:i/>
          <w:iCs/>
          <w:sz w:val="24"/>
          <w:szCs w:val="24"/>
        </w:rPr>
        <w:t>Self-assessment and self-criticism</w:t>
      </w:r>
      <w:r>
        <w:rPr>
          <w:rFonts w:ascii="Arial" w:hAnsi="Arial" w:cs="Arial"/>
          <w:b/>
          <w:bCs/>
          <w:i/>
          <w:iCs/>
          <w:sz w:val="24"/>
          <w:szCs w:val="24"/>
        </w:rPr>
        <w:t xml:space="preserve"> </w:t>
      </w:r>
      <w:r w:rsidR="008F7D31">
        <w:rPr>
          <w:rFonts w:ascii="Arial" w:hAnsi="Arial" w:cs="Arial"/>
          <w:sz w:val="24"/>
          <w:szCs w:val="24"/>
        </w:rPr>
        <w:t>may become</w:t>
      </w:r>
      <w:r>
        <w:rPr>
          <w:rFonts w:ascii="Arial" w:hAnsi="Arial" w:cs="Arial"/>
          <w:sz w:val="24"/>
          <w:szCs w:val="24"/>
        </w:rPr>
        <w:t xml:space="preserve"> a challenge for students with low self-efficacy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beliefs","type":"article-journal"},"uris":["http://www.mendeley.com/documents/?uuid=d1469298-0bbc-4c76-afcd-e0c4086da712"]}],"mendeley":{"formattedCitation":"(Hogle, 2021; Lewis and Hendricks, 2022)","plainTextFormattedCitation":"(Hogle, 2021; Lewis and Hendricks, 2022)","previouslyFormattedCitation":"(Hogle, 2021; Lewis and Hendricks, 2022)"},"properties":{"noteIndex":0},"schema":"https://github.com/citation-style-language/schema/raw/master/csl-citation.json"}</w:instrText>
      </w:r>
      <w:r>
        <w:rPr>
          <w:rFonts w:ascii="Arial" w:hAnsi="Arial" w:cs="Arial"/>
          <w:sz w:val="24"/>
          <w:szCs w:val="24"/>
        </w:rPr>
        <w:fldChar w:fldCharType="separate"/>
      </w:r>
      <w:r w:rsidRPr="00CD79E9">
        <w:rPr>
          <w:rFonts w:ascii="Arial" w:hAnsi="Arial" w:cs="Arial"/>
          <w:noProof/>
          <w:sz w:val="24"/>
          <w:szCs w:val="24"/>
        </w:rPr>
        <w:t>(Hogle, 2021; Lewis and Hendricks, 2022)</w:t>
      </w:r>
      <w:r>
        <w:rPr>
          <w:rFonts w:ascii="Arial" w:hAnsi="Arial" w:cs="Arial"/>
          <w:sz w:val="24"/>
          <w:szCs w:val="24"/>
        </w:rPr>
        <w:fldChar w:fldCharType="end"/>
      </w:r>
      <w:r>
        <w:rPr>
          <w:rFonts w:ascii="Arial" w:hAnsi="Arial" w:cs="Arial"/>
          <w:sz w:val="24"/>
          <w:szCs w:val="24"/>
        </w:rPr>
        <w:t>. The accuracy of self-assessment seems to be</w:t>
      </w:r>
      <w:r w:rsidR="00501929">
        <w:rPr>
          <w:rFonts w:ascii="Arial" w:hAnsi="Arial" w:cs="Arial"/>
          <w:sz w:val="24"/>
          <w:szCs w:val="24"/>
        </w:rPr>
        <w:t xml:space="preserve"> </w:t>
      </w:r>
      <w:r>
        <w:rPr>
          <w:rFonts w:ascii="Arial" w:hAnsi="Arial" w:cs="Arial"/>
          <w:sz w:val="24"/>
          <w:szCs w:val="24"/>
        </w:rPr>
        <w:t xml:space="preserve">affected </w:t>
      </w:r>
      <w:r w:rsidR="008E32C5">
        <w:rPr>
          <w:rFonts w:ascii="Arial" w:hAnsi="Arial" w:cs="Arial"/>
          <w:sz w:val="24"/>
          <w:szCs w:val="24"/>
        </w:rPr>
        <w:t xml:space="preserve">by </w:t>
      </w:r>
      <w:r>
        <w:rPr>
          <w:rFonts w:ascii="Arial" w:hAnsi="Arial" w:cs="Arial"/>
          <w:sz w:val="24"/>
          <w:szCs w:val="24"/>
        </w:rPr>
        <w:t xml:space="preserve">factors such as culture </w:t>
      </w:r>
      <w:r>
        <w:rPr>
          <w:rFonts w:ascii="Arial" w:hAnsi="Arial" w:cs="Arial"/>
          <w:sz w:val="24"/>
          <w:szCs w:val="24"/>
        </w:rPr>
        <w:fldChar w:fldCharType="begin" w:fldLock="1"/>
      </w:r>
      <w:r>
        <w:rPr>
          <w:rFonts w:ascii="Arial" w:hAnsi="Arial" w:cs="Arial"/>
          <w:sz w:val="24"/>
          <w:szCs w:val="24"/>
        </w:rPr>
        <w:instrText>ADDIN CSL_CITATION {"citationItems":[{"id":"ITEM-1","itemData":{"DOI":"10.1177/0255761415619392","ISSN":"1744795X","abstract":"Jazz has long been recognized as a male-dominated field, with females traditionally having only limited acceptance, often in the roles of singer and pianist. Researchers have explored sources of the gender imbalance in the field of jazz and jazz education, but there is no theory or framework to organize such findings. This directed content analysis of the journal Jazz Changes, the official magazine of the International Association of Schools of Jazz published from 1994 to 2000, analyzed published answers to the following question posited by the journal editors, \"Women in Jazz: Why aren't there more women in jazz education?\" Analysis suggests a model including three social-psychological theories to describe the female experience in jazz. The theories include Rosabeth Kanter's theory of tokenism, which describes a learning environment that females might perceive or experience in jazz; Claude Steele and Joshua Aronson's theory of stereotype threat, which offers insight into why female musicians might make a choice to not participate, or discontinue participation, in the jazz idiom; and Albert Bandura's theory of self-efficacy, which is offered as a possible guide to providing instruction in jazz that fosters female participation. These theories are offered together as a model framework for future study of both historical and present experiences in gender and jazz.","author":[{"dropping-particle":"","family":"Wehr","given":"Erin L.","non-dropping-particle":"","parse-names":false,"suffix":""}],"container-title":"International Journal of Music Education","id":"ITEM-1","issue":"4","issued":{"date-parts":[["2016"]]},"page":"472-487","title":"Understanding the experiences of women in jazz: A suggested model","type":"article-journal","volume":"34"},"uris":["http://www.mendeley.com/documents/?uuid=add8c84d-1eb5-4330-b55e-bec3d25a4f5d"]}],"mendeley":{"formattedCitation":"(Wehr, 2016)","plainTextFormattedCitation":"(Wehr, 2016)","previouslyFormattedCitation":"(Wehr, 2016)"},"properties":{"noteIndex":0},"schema":"https://github.com/citation-style-language/schema/raw/master/csl-citation.json"}</w:instrText>
      </w:r>
      <w:r>
        <w:rPr>
          <w:rFonts w:ascii="Arial" w:hAnsi="Arial" w:cs="Arial"/>
          <w:sz w:val="24"/>
          <w:szCs w:val="24"/>
        </w:rPr>
        <w:fldChar w:fldCharType="separate"/>
      </w:r>
      <w:r w:rsidRPr="008E1CBB">
        <w:rPr>
          <w:rFonts w:ascii="Arial" w:hAnsi="Arial" w:cs="Arial"/>
          <w:noProof/>
          <w:sz w:val="24"/>
          <w:szCs w:val="24"/>
        </w:rPr>
        <w:t>(Wehr, 2016)</w:t>
      </w:r>
      <w:r>
        <w:rPr>
          <w:rFonts w:ascii="Arial" w:hAnsi="Arial" w:cs="Arial"/>
          <w:sz w:val="24"/>
          <w:szCs w:val="24"/>
        </w:rPr>
        <w:fldChar w:fldCharType="end"/>
      </w:r>
      <w:r>
        <w:rPr>
          <w:rFonts w:ascii="Arial" w:hAnsi="Arial" w:cs="Arial"/>
          <w:sz w:val="24"/>
          <w:szCs w:val="24"/>
        </w:rPr>
        <w:t xml:space="preserve">, gender based experiences and expectations from society </w:t>
      </w:r>
      <w:r>
        <w:rPr>
          <w:rFonts w:ascii="Arial" w:hAnsi="Arial" w:cs="Arial"/>
          <w:sz w:val="24"/>
          <w:szCs w:val="24"/>
        </w:rPr>
        <w:fldChar w:fldCharType="begin" w:fldLock="1"/>
      </w:r>
      <w:r>
        <w:rPr>
          <w:rFonts w:ascii="Arial" w:hAnsi="Arial" w:cs="Arial"/>
          <w:sz w:val="24"/>
          <w:szCs w:val="24"/>
        </w:rPr>
        <w:instrText>ADDIN CSL_CITATION {"citationItems":[{"id":"ITEM-1","itemData":{"DOI":"10.1097/00001888-200510001-00015","ISSN":"10402446","PMID":"16199457","author":[{"dropping-particle":"","family":"Eva","given":"Kevin W.","non-dropping-particle":"","parse-names":false,"suffix":""},{"dropping-particle":"","family":"Regehr","given":"Glenn","non-dropping-particle":"","parse-names":false,"suffix":""}],"container-title":"Academic Medicine","id":"ITEM-1","issue":"10 SUPPL.","issued":{"date-parts":[["2005"]]},"page":"46-54","title":"Self-assessment in the health professions: A reformulation and research agenda","type":"article-journal","volume":"80"},"uris":["http://www.mendeley.com/documents/?uuid=385bb547-9eeb-4197-b416-3c46b4eab607"]},{"id":"ITEM-2","itemData":{"DOI":"10.4102/sajip.v46i0.1704","ISSN":"20710763","abstract":"Orientation: The study reported here explores the preconceived notion of women’s missing agency – characterised by a lack of confidence – as an explanation for their continued underrepresentation at senior leadership levels in higher education institutions (HEIs) in South Africa. Research purpose: The study investigated gender differences in self-perception accuracy, defined as self-other agreement. The concept of confidence in this article refers to a high degree of self-perception accuracy defined as self-other rating agreement. Motivation for the study: One of the reasons for the underrepresentation of women in senior leadership levels frequently cited in the literature is the relationship between self-confidence and effective leadership. This phenomenon has however not yet been researched in the context of South African HEIs. Research approach/design and method: A quantitative, cross-sectional study of gender differences in self-perception accuracy using data collected from a 360-degree assessment intervention amongst the total population (N = 112) of academic managers in a HEI in South Africa was conducted. The realised sample consisted of 74 managers with an average of 9.5 raters per participant. Main findings: The results revealed that significant gender differences with regard to self-perception accuracy emerged. This was in spite of the fact that male and female leaders were perceived to be equally effective by their raters. Practical/managerial implications: The implications of women leaders’ inaccurate self-perceptions on their career progression and the design of leadership development programmes aimed at improving gender disparity are discussed. Contribution/value-add: This study contributes to scientific knowledge regarding the factors that contribute to the slow advancement of women to senior leadership positions in HEIs.","author":[{"dropping-particle":"","family":"Herbst","given":"Tessie H.H.","non-dropping-particle":"","parse-names":false,"suffix":""}],"container-title":"SA Journal of Industrial Psychology","id":"ITEM-2","issued":{"date-parts":[["2020"]]},"page":"1-9","title":"Gender differences in self-perception accuracy: The confidence gap and women leaders’ underrepresentation in academia","type":"article-journal","volume":"46"},"uris":["http://www.mendeley.com/documents/?uuid=832c3d18-794a-4514-b613-f388810f8e74"]}],"mendeley":{"formattedCitation":"(Eva and Regehr, 2005; Herbst, 2020)","plainTextFormattedCitation":"(Eva and Regehr, 2005; Herbst, 2020)","previouslyFormattedCitation":"(Eva and Regehr, 2005; Herbst, 2020)"},"properties":{"noteIndex":0},"schema":"https://github.com/citation-style-language/schema/raw/master/csl-citation.json"}</w:instrText>
      </w:r>
      <w:r>
        <w:rPr>
          <w:rFonts w:ascii="Arial" w:hAnsi="Arial" w:cs="Arial"/>
          <w:sz w:val="24"/>
          <w:szCs w:val="24"/>
        </w:rPr>
        <w:fldChar w:fldCharType="separate"/>
      </w:r>
      <w:r w:rsidRPr="0046234F">
        <w:rPr>
          <w:rFonts w:ascii="Arial" w:hAnsi="Arial" w:cs="Arial"/>
          <w:noProof/>
          <w:sz w:val="24"/>
          <w:szCs w:val="24"/>
        </w:rPr>
        <w:t>(Eva and Regehr, 2005; Herbst, 2020)</w:t>
      </w:r>
      <w:r>
        <w:rPr>
          <w:rFonts w:ascii="Arial" w:hAnsi="Arial" w:cs="Arial"/>
          <w:sz w:val="24"/>
          <w:szCs w:val="24"/>
        </w:rPr>
        <w:fldChar w:fldCharType="end"/>
      </w:r>
      <w:r>
        <w:rPr>
          <w:rFonts w:ascii="Arial" w:hAnsi="Arial" w:cs="Arial"/>
          <w:sz w:val="24"/>
          <w:szCs w:val="24"/>
        </w:rPr>
        <w:t xml:space="preserve">, self-esteem </w:t>
      </w:r>
      <w:r>
        <w:rPr>
          <w:rFonts w:ascii="Arial" w:hAnsi="Arial" w:cs="Arial"/>
          <w:sz w:val="24"/>
          <w:szCs w:val="24"/>
        </w:rPr>
        <w:fldChar w:fldCharType="begin" w:fldLock="1"/>
      </w:r>
      <w:r>
        <w:rPr>
          <w:rFonts w:ascii="Arial" w:hAnsi="Arial" w:cs="Arial"/>
          <w:sz w:val="24"/>
          <w:szCs w:val="24"/>
        </w:rPr>
        <w:instrText>ADDIN CSL_CITATION {"citationItems":[{"id":"ITEM-1","itemData":{"author":[{"dropping-particle":"","family":"Moghal","given":"Sarwat","non-dropping-particle":"","parse-names":false,"suffix":""},{"dropping-particle":"","family":"Khanam","given":"Fazeela","non-dropping-particle":"","parse-names":false,"suffix":""}],"container-title":"Pakistan Journal of psychology","id":"ITEM-1","issue":"1","issued":{"date-parts":[["2012"]]},"page":"91-100","title":"Self esteem as a predictor of fear of negative evaluation and social anxiety","type":"article-journal","volume":"43"},"uris":["http://www.mendeley.com/documents/?uuid=a671e9c9-ce59-4224-b9d7-fb74206b7f40"]}],"mendeley":{"formattedCitation":"(Moghal and Khanam, 2012)","plainTextFormattedCitation":"(Moghal and Khanam, 2012)","previouslyFormattedCitation":"(Moghal and Khanam, 2012)"},"properties":{"noteIndex":0},"schema":"https://github.com/citation-style-language/schema/raw/master/csl-citation.json"}</w:instrText>
      </w:r>
      <w:r>
        <w:rPr>
          <w:rFonts w:ascii="Arial" w:hAnsi="Arial" w:cs="Arial"/>
          <w:sz w:val="24"/>
          <w:szCs w:val="24"/>
        </w:rPr>
        <w:fldChar w:fldCharType="separate"/>
      </w:r>
      <w:r w:rsidRPr="007E0A33">
        <w:rPr>
          <w:rFonts w:ascii="Arial" w:hAnsi="Arial" w:cs="Arial"/>
          <w:noProof/>
          <w:sz w:val="24"/>
          <w:szCs w:val="24"/>
        </w:rPr>
        <w:t>(Moghal and Khanam, 2012)</w:t>
      </w:r>
      <w:r>
        <w:rPr>
          <w:rFonts w:ascii="Arial" w:hAnsi="Arial" w:cs="Arial"/>
          <w:sz w:val="24"/>
          <w:szCs w:val="24"/>
        </w:rPr>
        <w:fldChar w:fldCharType="end"/>
      </w:r>
      <w:r>
        <w:rPr>
          <w:rFonts w:ascii="Arial" w:hAnsi="Arial" w:cs="Arial"/>
          <w:sz w:val="24"/>
          <w:szCs w:val="24"/>
        </w:rPr>
        <w:t xml:space="preserve">, past performance experiences </w:t>
      </w:r>
      <w:r>
        <w:rPr>
          <w:rFonts w:ascii="Arial" w:hAnsi="Arial" w:cs="Arial"/>
          <w:sz w:val="24"/>
          <w:szCs w:val="24"/>
        </w:rPr>
        <w:fldChar w:fldCharType="begin" w:fldLock="1"/>
      </w:r>
      <w:r>
        <w:rPr>
          <w:rFonts w:ascii="Arial" w:hAnsi="Arial" w:cs="Arial"/>
          <w:sz w:val="24"/>
          <w:szCs w:val="24"/>
        </w:rPr>
        <w:instrText>ADDIN CSL_CITATION {"citationItems":[{"id":"ITEM-1","itemData":{"DOI":"10.1111/peps.12035","ISSN":"00315826","abstract":"We conducted a meta-analysis to determine whether the within-person self-efficacy/performance relationship is positive, negative, or null and to compare the strength of the self-efficacy/performance and past performance/self-efficacy within-person relationships. The self-efficacy/performance within-person corrected correlation was 23 but was weak and nonsignificant (ρ = .06) when controlling for the linear trajectory, revealing that the main effect was spurious. The past performance/self-efficacy within-person corrected correlation was .40 and remained positive and significant (ρ = .30) when controlling for the linear trajectory. The moderator results revealed that at the within-person level of analysis: (a) self-efficacy had at best a moderate, positive effect on performance and a null effect under other moderating conditions (ρ ranged from -.02 to .33); (b) the main effect of past performance on self-efficacy was stronger than the effect of self-efficacy on performance, even in the moderating conditions that produced the strongest self-efficacy/performance relationship; (c) the effect of past performance on self-efficacy ranged from moderate to strong across moderating conditions and was statistically significant across performance tasks, contextual factors, and methodological moderators (ρ ranged from .18 to .52). Overall, this suggests that self-efficacy is primarily a product of past performance rather than the driving force affecting future performance. © 2013 Wiley Periodicals, Inc.","author":[{"dropping-particle":"","family":"Sitzmann","given":"Traci","non-dropping-particle":"","parse-names":false,"suffix":""},{"dropping-particle":"","family":"Yeo","given":"Gillian","non-dropping-particle":"","parse-names":false,"suffix":""}],"container-title":"Personnel Psychology","id":"ITEM-1","issue":"3","issued":{"date-parts":[["2013"]]},"page":"531-568","title":"A Meta-Analytic Investigation of the Within-Person Self-Efficacy Domain: Is Self-Efficacy a Product of Past Performance or a Driver of Future Performance?","type":"article-journal","volume":"66"},"uris":["http://www.mendeley.com/documents/?uuid=2f089ad0-90a5-4f21-9981-9d3666ebdaf3"]}],"mendeley":{"formattedCitation":"(Sitzmann and Yeo, 2013)","plainTextFormattedCitation":"(Sitzmann and Yeo, 2013)","previouslyFormattedCitation":"(Sitzmann and Yeo, 2013)"},"properties":{"noteIndex":0},"schema":"https://github.com/citation-style-language/schema/raw/master/csl-citation.json"}</w:instrText>
      </w:r>
      <w:r>
        <w:rPr>
          <w:rFonts w:ascii="Arial" w:hAnsi="Arial" w:cs="Arial"/>
          <w:sz w:val="24"/>
          <w:szCs w:val="24"/>
        </w:rPr>
        <w:fldChar w:fldCharType="separate"/>
      </w:r>
      <w:r w:rsidRPr="0046234F">
        <w:rPr>
          <w:rFonts w:ascii="Arial" w:hAnsi="Arial" w:cs="Arial"/>
          <w:noProof/>
          <w:sz w:val="24"/>
          <w:szCs w:val="24"/>
        </w:rPr>
        <w:t>(Sitzmann and Yeo, 2013)</w:t>
      </w:r>
      <w:r>
        <w:rPr>
          <w:rFonts w:ascii="Arial" w:hAnsi="Arial" w:cs="Arial"/>
          <w:sz w:val="24"/>
          <w:szCs w:val="24"/>
        </w:rPr>
        <w:fldChar w:fldCharType="end"/>
      </w:r>
      <w:r>
        <w:rPr>
          <w:rFonts w:ascii="Arial" w:hAnsi="Arial" w:cs="Arial"/>
          <w:sz w:val="24"/>
          <w:szCs w:val="24"/>
        </w:rPr>
        <w:t xml:space="preserve">, and habits of negativity with both self-talk self-judgement </w:t>
      </w:r>
      <w:r>
        <w:rPr>
          <w:rFonts w:ascii="Arial" w:hAnsi="Arial" w:cs="Arial"/>
          <w:sz w:val="24"/>
          <w:szCs w:val="24"/>
        </w:rPr>
        <w:fldChar w:fldCharType="begin" w:fldLock="1"/>
      </w:r>
      <w:r>
        <w:rPr>
          <w:rFonts w:ascii="Arial" w:hAnsi="Arial" w:cs="Arial"/>
          <w:sz w:val="24"/>
          <w:szCs w:val="24"/>
        </w:rPr>
        <w:instrText>ADDIN CSL_CITATION {"citationItems":[{"id":"ITEM-1","itemData":{"abstract":"This dissertation is a study wrapped in a metaphor of voices, figurative and literal. It is a story of four singers over the course of 12 weeks and weaves through individuals in a group singing class. As a study, it used integral inquiry and emphasized action and narrative research. It explored one overarching research question, which naturally led to several sub-questions: In what ways might Mindfulness Awareness Practices (MAPS) and contemplative teaching and learning practices affect singers’ experiences of their own vocal and personal growth? (Sub- questions: What practices are reported as being successful?; How do participants experience growth?; How might singers and teachers shift to a mindset of process and progress throughout practicing and performing?; How do we create a space of mutuality and trust to foster self- reflection?; How do we balance instruction, offering feedback when needed and wanted while fostering self-trust and independence? While","author":[{"dropping-particle":"","family":"Blackhurst","given":"Lindsey Elizabeth","non-dropping-particle":"","parse-names":false,"suffix":""}],"container-title":"University of Colombia Doctor of Education submission","id":"ITEM-1","issued":{"date-parts":[["2021"]]},"title":"Exploring the Whole Singing Self with Technique, Contemplative Education, and Mindfulness","type":"thesis"},"uris":["http://www.mendeley.com/documents/?uuid=79851e18-e8d1-4fb1-960f-0d0a2b1452b7"]}],"mendeley":{"formattedCitation":"(Blackhurst, 2021)","plainTextFormattedCitation":"(Blackhurst, 2021)","previouslyFormattedCitation":"(Blackhurst, 2021)"},"properties":{"noteIndex":0},"schema":"https://github.com/citation-style-language/schema/raw/master/csl-citation.json"}</w:instrText>
      </w:r>
      <w:r>
        <w:rPr>
          <w:rFonts w:ascii="Arial" w:hAnsi="Arial" w:cs="Arial"/>
          <w:sz w:val="24"/>
          <w:szCs w:val="24"/>
        </w:rPr>
        <w:fldChar w:fldCharType="separate"/>
      </w:r>
      <w:r w:rsidRPr="00545C42">
        <w:rPr>
          <w:rFonts w:ascii="Arial" w:hAnsi="Arial" w:cs="Arial"/>
          <w:noProof/>
          <w:sz w:val="24"/>
          <w:szCs w:val="24"/>
        </w:rPr>
        <w:t>(Blackhurst, 2021)</w:t>
      </w:r>
      <w:r>
        <w:rPr>
          <w:rFonts w:ascii="Arial" w:hAnsi="Arial" w:cs="Arial"/>
          <w:sz w:val="24"/>
          <w:szCs w:val="24"/>
        </w:rPr>
        <w:fldChar w:fldCharType="end"/>
      </w:r>
      <w:r>
        <w:rPr>
          <w:rFonts w:ascii="Arial" w:hAnsi="Arial" w:cs="Arial"/>
          <w:sz w:val="24"/>
          <w:szCs w:val="24"/>
        </w:rPr>
        <w:t xml:space="preserve">. There can be connected challenges regarding </w:t>
      </w:r>
      <w:r w:rsidRPr="00C31C56">
        <w:rPr>
          <w:rFonts w:ascii="Arial" w:hAnsi="Arial" w:cs="Arial"/>
          <w:b/>
          <w:bCs/>
          <w:i/>
          <w:iCs/>
          <w:sz w:val="24"/>
          <w:szCs w:val="24"/>
        </w:rPr>
        <w:t>personal definitions</w:t>
      </w:r>
      <w:r>
        <w:rPr>
          <w:rFonts w:ascii="Arial" w:hAnsi="Arial" w:cs="Arial"/>
          <w:b/>
          <w:bCs/>
          <w:i/>
          <w:iCs/>
          <w:sz w:val="24"/>
          <w:szCs w:val="24"/>
        </w:rPr>
        <w:t>, interpretations, and beliefs</w:t>
      </w:r>
      <w:r>
        <w:rPr>
          <w:rFonts w:ascii="Arial" w:hAnsi="Arial" w:cs="Arial"/>
          <w:sz w:val="24"/>
          <w:szCs w:val="24"/>
        </w:rPr>
        <w:t xml:space="preserve">. Hogle’s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2021)","manualFormatting":"(2021)","plainTextFormattedCitation":"(Hogle, 2021)","previouslyFormattedCitation":"(Hogle, 2021)"},"properties":{"noteIndex":0},"schema":"https://github.com/citation-style-language/schema/raw/master/csl-citation.json"}</w:instrText>
      </w:r>
      <w:r>
        <w:rPr>
          <w:rFonts w:ascii="Arial" w:hAnsi="Arial" w:cs="Arial"/>
          <w:sz w:val="24"/>
          <w:szCs w:val="24"/>
        </w:rPr>
        <w:fldChar w:fldCharType="separate"/>
      </w:r>
      <w:r w:rsidRPr="009331A5">
        <w:rPr>
          <w:rFonts w:ascii="Arial" w:hAnsi="Arial" w:cs="Arial"/>
          <w:noProof/>
          <w:sz w:val="24"/>
          <w:szCs w:val="24"/>
        </w:rPr>
        <w:t>(2021)</w:t>
      </w:r>
      <w:r>
        <w:rPr>
          <w:rFonts w:ascii="Arial" w:hAnsi="Arial" w:cs="Arial"/>
          <w:sz w:val="24"/>
          <w:szCs w:val="24"/>
        </w:rPr>
        <w:fldChar w:fldCharType="end"/>
      </w:r>
      <w:r>
        <w:rPr>
          <w:rFonts w:ascii="Arial" w:hAnsi="Arial" w:cs="Arial"/>
          <w:sz w:val="24"/>
          <w:szCs w:val="24"/>
        </w:rPr>
        <w:t xml:space="preserve"> study has examples of the impact of subjective, personal definitions of good singing on a singer</w:t>
      </w:r>
      <w:r w:rsidR="00A46A01">
        <w:rPr>
          <w:rFonts w:ascii="Arial" w:hAnsi="Arial" w:cs="Arial"/>
          <w:sz w:val="24"/>
          <w:szCs w:val="24"/>
        </w:rPr>
        <w:t>’</w:t>
      </w:r>
      <w:r>
        <w:rPr>
          <w:rFonts w:ascii="Arial" w:hAnsi="Arial" w:cs="Arial"/>
          <w:sz w:val="24"/>
          <w:szCs w:val="24"/>
        </w:rPr>
        <w:t xml:space="preserve">s self-efficacy. This is reinforced by Lewis and Hendricks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2022)","manualFormatting":"(2022)","plainTextFormattedCitation":"(Lewis and Hendricks, 2022)","previouslyFormattedCitation":"(Lewis and Hendricks, 2022)"},"properties":{"noteIndex":0},"schema":"https://github.com/citation-style-language/schema/raw/master/csl-citation.json"}</w:instrText>
      </w:r>
      <w:r>
        <w:rPr>
          <w:rFonts w:ascii="Arial" w:hAnsi="Arial" w:cs="Arial"/>
          <w:sz w:val="24"/>
          <w:szCs w:val="24"/>
        </w:rPr>
        <w:fldChar w:fldCharType="separate"/>
      </w:r>
      <w:r w:rsidRPr="00846196">
        <w:rPr>
          <w:rFonts w:ascii="Arial" w:hAnsi="Arial" w:cs="Arial"/>
          <w:noProof/>
          <w:sz w:val="24"/>
          <w:szCs w:val="24"/>
        </w:rPr>
        <w:t>(2022)</w:t>
      </w:r>
      <w:r>
        <w:rPr>
          <w:rFonts w:ascii="Arial" w:hAnsi="Arial" w:cs="Arial"/>
          <w:sz w:val="24"/>
          <w:szCs w:val="24"/>
        </w:rPr>
        <w:fldChar w:fldCharType="end"/>
      </w:r>
      <w:r>
        <w:rPr>
          <w:rFonts w:ascii="Arial" w:hAnsi="Arial" w:cs="Arial"/>
          <w:sz w:val="24"/>
          <w:szCs w:val="24"/>
        </w:rPr>
        <w:t xml:space="preserve"> who note personal interpretations </w:t>
      </w:r>
      <w:r>
        <w:rPr>
          <w:rFonts w:ascii="Arial" w:hAnsi="Arial" w:cs="Arial"/>
          <w:sz w:val="24"/>
          <w:szCs w:val="24"/>
        </w:rPr>
        <w:lastRenderedPageBreak/>
        <w:t xml:space="preserve">can </w:t>
      </w:r>
      <w:r w:rsidR="0069705D">
        <w:rPr>
          <w:rFonts w:ascii="Arial" w:hAnsi="Arial" w:cs="Arial"/>
          <w:sz w:val="24"/>
          <w:szCs w:val="24"/>
        </w:rPr>
        <w:t>augment</w:t>
      </w:r>
      <w:r w:rsidR="00725EB7">
        <w:rPr>
          <w:rFonts w:ascii="Arial" w:hAnsi="Arial" w:cs="Arial"/>
          <w:sz w:val="24"/>
          <w:szCs w:val="24"/>
        </w:rPr>
        <w:t xml:space="preserve"> </w:t>
      </w:r>
      <w:r>
        <w:rPr>
          <w:rFonts w:ascii="Arial" w:hAnsi="Arial" w:cs="Arial"/>
          <w:sz w:val="24"/>
          <w:szCs w:val="24"/>
        </w:rPr>
        <w:t xml:space="preserve">or </w:t>
      </w:r>
      <w:r w:rsidR="0069705D">
        <w:rPr>
          <w:rFonts w:ascii="Arial" w:hAnsi="Arial" w:cs="Arial"/>
          <w:sz w:val="24"/>
          <w:szCs w:val="24"/>
        </w:rPr>
        <w:t>diminish</w:t>
      </w:r>
      <w:r>
        <w:rPr>
          <w:rFonts w:ascii="Arial" w:hAnsi="Arial" w:cs="Arial"/>
          <w:sz w:val="24"/>
          <w:szCs w:val="24"/>
        </w:rPr>
        <w:t xml:space="preserve"> self-efficacy. Specific beliefs, such as lacking competency, understanding, or having </w:t>
      </w:r>
      <w:r w:rsidR="00DD547D">
        <w:rPr>
          <w:rFonts w:ascii="Arial" w:hAnsi="Arial" w:cs="Arial"/>
          <w:sz w:val="24"/>
          <w:szCs w:val="24"/>
        </w:rPr>
        <w:t xml:space="preserve">other </w:t>
      </w:r>
      <w:r>
        <w:rPr>
          <w:rFonts w:ascii="Arial" w:hAnsi="Arial" w:cs="Arial"/>
          <w:sz w:val="24"/>
          <w:szCs w:val="24"/>
        </w:rPr>
        <w:t xml:space="preserve">perceived flaws can cause anxiety and decrease performance levels of a task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author":[{"dropping-particle":"","family":"Moghal","given":"Sarwat","non-dropping-particle":"","parse-names":false,"suffix":""},{"dropping-particle":"","family":"Khanam","given":"Fazeela","non-dropping-particle":"","parse-names":false,"suffix":""}],"container-title":"Pakistan Journal of psychology","id":"ITEM-2","issue":"1","issued":{"date-parts":[["2012"]]},"page":"91-100","title":"Self esteem as a predictor of fear of negative evaluation and social anxiety","type":"article-journal","volume":"43"},"uris":["http://www.mendeley.com/documents/?uuid=a671e9c9-ce59-4224-b9d7-fb74206b7f40"]},{"id":"ITEM-3","itemData":{"DOI":"10.1177/02557614221074057","ISBN":"0255761422107","ISSN":"1744795X","abstract":"Fostering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Education","id":"ITEM-3","issued":{"date-parts":[["2022"]]},"title":"“It’s your body, it’s part of who you are!”: Influences upon collegiate vocalists’ performance self-efficacy beliefs","type":"article-journal"},"uris":["http://www.mendeley.com/documents/?uuid=d1469298-0bbc-4c76-afcd-e0c4086da712"]}],"mendeley":{"formattedCitation":"(Moghal and Khanam, 2012; Hogle, 2021; Lewis and Hendricks, 2022)","plainTextFormattedCitation":"(Moghal and Khanam, 2012; Hogle, 2021; Lewis and Hendricks, 2022)","previouslyFormattedCitation":"(Moghal and Khanam, 2012; Hogle, 2021; Lewis and Hendricks, 2022)"},"properties":{"noteIndex":0},"schema":"https://github.com/citation-style-language/schema/raw/master/csl-citation.json"}</w:instrText>
      </w:r>
      <w:r>
        <w:rPr>
          <w:rFonts w:ascii="Arial" w:hAnsi="Arial" w:cs="Arial"/>
          <w:sz w:val="24"/>
          <w:szCs w:val="24"/>
        </w:rPr>
        <w:fldChar w:fldCharType="separate"/>
      </w:r>
      <w:r w:rsidRPr="00504F2C">
        <w:rPr>
          <w:rFonts w:ascii="Arial" w:hAnsi="Arial" w:cs="Arial"/>
          <w:noProof/>
          <w:sz w:val="24"/>
          <w:szCs w:val="24"/>
        </w:rPr>
        <w:t>(Moghal and Khanam, 2012; Hogle, 2021; Lewis and Hendricks, 2022)</w:t>
      </w:r>
      <w:r>
        <w:rPr>
          <w:rFonts w:ascii="Arial" w:hAnsi="Arial" w:cs="Arial"/>
          <w:sz w:val="24"/>
          <w:szCs w:val="24"/>
        </w:rPr>
        <w:fldChar w:fldCharType="end"/>
      </w:r>
      <w:r>
        <w:rPr>
          <w:rFonts w:ascii="Arial" w:hAnsi="Arial" w:cs="Arial"/>
          <w:sz w:val="24"/>
          <w:szCs w:val="24"/>
        </w:rPr>
        <w:t xml:space="preserve">. Self-criticism and </w:t>
      </w:r>
      <w:r w:rsidRPr="0057011A">
        <w:rPr>
          <w:rFonts w:ascii="Arial" w:hAnsi="Arial" w:cs="Arial"/>
          <w:b/>
          <w:bCs/>
          <w:i/>
          <w:iCs/>
          <w:sz w:val="24"/>
          <w:szCs w:val="24"/>
        </w:rPr>
        <w:t>perfectionism</w:t>
      </w:r>
      <w:r>
        <w:rPr>
          <w:rFonts w:ascii="Arial" w:hAnsi="Arial" w:cs="Arial"/>
          <w:b/>
          <w:bCs/>
          <w:i/>
          <w:iCs/>
          <w:sz w:val="24"/>
          <w:szCs w:val="24"/>
        </w:rPr>
        <w:t xml:space="preserve"> </w:t>
      </w:r>
      <w:r>
        <w:rPr>
          <w:rFonts w:ascii="Arial" w:hAnsi="Arial" w:cs="Arial"/>
          <w:sz w:val="24"/>
          <w:szCs w:val="24"/>
        </w:rPr>
        <w:t xml:space="preserve">can be good motivators but self-compassion and encouragement have been found to more effective when motivating people </w:t>
      </w:r>
      <w:r>
        <w:rPr>
          <w:rFonts w:ascii="Arial" w:hAnsi="Arial" w:cs="Arial"/>
          <w:sz w:val="24"/>
          <w:szCs w:val="24"/>
        </w:rPr>
        <w:fldChar w:fldCharType="begin" w:fldLock="1"/>
      </w:r>
      <w:r>
        <w:rPr>
          <w:rFonts w:ascii="Arial" w:hAnsi="Arial" w:cs="Arial"/>
          <w:sz w:val="24"/>
          <w:szCs w:val="24"/>
        </w:rPr>
        <w:instrText>ADDIN CSL_CITATION {"citationItems":[{"id":"ITEM-1","itemData":{"DOI":"10.3389/fnbeh.2015.00229","ISSN":"16625153","abstract":"The ability to pay close attention to the present moment can be a crucial factor for performing well in a competitive situation. Training mindfulness is one approach to potentially improve elite athletes’ ability to focus their attention on the present moment. However, virtually nothing is known about whether these types of interventions alter neural systems that are important for optimal performance. This pilot study examined whether an intervention aimed at improving mindfulness [Mindful Performance Enhancement, Awareness and Knowledge (mPEAK)] changes neural activation patterns during an interoceptive challenge. Participants completed a task involving anticipation and experience of loaded breathing during functional magnetic resonance imaging recording. There were five main results following mPEAK training: (1) elite athletes selfreported higher levels of interoceptive awareness and mindfulness and lower levels of alexithymia; (2) greater insula and anterior cingulate cortex (ACC) activation during anticipation and post-breathing load conditions; (3) increased ACC activation during the anticipation condition was associated with increased scores on the describing subscale of the Five Facet Mindfulness Questionnaire; (4) increased insula activation during the post-load condition was associated with decreases in the Toronto Alexithymia Scale identifying feelings subscale; (5) decreased resting state functional connectivity between the PCC and the right medial frontal cortex and the ACC. Taken together, this pilot study suggests that mPEAK training may lead to increased attention to bodily signals and greater neural processing during the anticipation and recovery from interoceptive perturbations. This association between attention to and processing of interoceptive afferents may result in greater adaptation during stressful situations in elite athletes.","author":[{"dropping-particle":"","family":"Haase","given":"Lori","non-dropping-particle":"","parse-names":false,"suffix":""},{"dropping-particle":"","family":"May","given":"April C.","non-dropping-particle":"","parse-names":false,"suffix":""},{"dropping-particle":"","family":"Falahpour","given":"Maryam","non-dropping-particle":"","parse-names":false,"suffix":""},{"dropping-particle":"","family":"Isakovic","given":"Sara","non-dropping-particle":"","parse-names":false,"suffix":""},{"dropping-particle":"","family":"Simmons","given":"Alan N.","non-dropping-particle":"","parse-names":false,"suffix":""},{"dropping-particle":"","family":"Hickman","given":"Steven D.","non-dropping-particle":"","parse-names":false,"suffix":""},{"dropping-particle":"","family":"Liu","given":"Thomas T.","non-dropping-particle":"","parse-names":false,"suffix":""},{"dropping-particle":"","family":"Paulus","given":"Martin P.","non-dropping-particle":"","parse-names":false,"suffix":""}],"container-title":"Frontiers in Behavioral Neuroscience","id":"ITEM-1","issue":"AUGUST","issued":{"date-parts":[["2015"]]},"note":"Mindful Performance Enhancement, Awareness and Knowledge training (mPEAK).\n\nthis lead to increased attention to body signals, greater neural processing during anticipation and recovery from distrubances.","page":"1-12","title":"A pilot study investigating changes in neural processing after mindfulness training in elite athletes","type":"article-journal","volume":"9"},"uris":["http://www.mendeley.com/documents/?uuid=ff1c418f-6397-40a9-bb1d-888a53675caa"]}],"mendeley":{"formattedCitation":"(Haase &lt;i&gt;et al.&lt;/i&gt;, 2015)","plainTextFormattedCitation":"(Haase et al., 2015)","previouslyFormattedCitation":"(Haase &lt;i&gt;et al.&lt;/i&gt;, 2015)"},"properties":{"noteIndex":0},"schema":"https://github.com/citation-style-language/schema/raw/master/csl-citation.json"}</w:instrText>
      </w:r>
      <w:r>
        <w:rPr>
          <w:rFonts w:ascii="Arial" w:hAnsi="Arial" w:cs="Arial"/>
          <w:sz w:val="24"/>
          <w:szCs w:val="24"/>
        </w:rPr>
        <w:fldChar w:fldCharType="separate"/>
      </w:r>
      <w:r w:rsidRPr="00BF183E">
        <w:rPr>
          <w:rFonts w:ascii="Arial" w:hAnsi="Arial" w:cs="Arial"/>
          <w:noProof/>
          <w:sz w:val="24"/>
          <w:szCs w:val="24"/>
        </w:rPr>
        <w:t xml:space="preserve">(Haase </w:t>
      </w:r>
      <w:r w:rsidRPr="00BF183E">
        <w:rPr>
          <w:rFonts w:ascii="Arial" w:hAnsi="Arial" w:cs="Arial"/>
          <w:i/>
          <w:noProof/>
          <w:sz w:val="24"/>
          <w:szCs w:val="24"/>
        </w:rPr>
        <w:t>et al.</w:t>
      </w:r>
      <w:r w:rsidRPr="00BF183E">
        <w:rPr>
          <w:rFonts w:ascii="Arial" w:hAnsi="Arial" w:cs="Arial"/>
          <w:noProof/>
          <w:sz w:val="24"/>
          <w:szCs w:val="24"/>
        </w:rPr>
        <w:t>, 2015)</w:t>
      </w:r>
      <w:r>
        <w:rPr>
          <w:rFonts w:ascii="Arial" w:hAnsi="Arial" w:cs="Arial"/>
          <w:sz w:val="24"/>
          <w:szCs w:val="24"/>
        </w:rPr>
        <w:fldChar w:fldCharType="end"/>
      </w:r>
      <w:r>
        <w:rPr>
          <w:rFonts w:ascii="Arial" w:hAnsi="Arial" w:cs="Arial"/>
          <w:sz w:val="24"/>
          <w:szCs w:val="24"/>
        </w:rPr>
        <w:t xml:space="preserve">. Perfectionism has been associated with increased performance </w:t>
      </w:r>
      <w:r w:rsidRPr="00CF6F9F">
        <w:rPr>
          <w:rFonts w:ascii="Arial" w:hAnsi="Arial" w:cs="Arial"/>
          <w:b/>
          <w:bCs/>
          <w:i/>
          <w:iCs/>
          <w:sz w:val="24"/>
          <w:szCs w:val="24"/>
        </w:rPr>
        <w:t>anxiety</w:t>
      </w:r>
      <w:r>
        <w:rPr>
          <w:rFonts w:ascii="Arial" w:hAnsi="Arial" w:cs="Arial"/>
          <w:sz w:val="24"/>
          <w:szCs w:val="24"/>
        </w:rPr>
        <w:t xml:space="preserve"> which can lead to technical, musical mistakes and shame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Education","id":"ITEM-2","issue":"2","issued":{"date-parts":[["2021"]]},"page":"179-194","title":"Fostering singing agency through emotional differentiation in an inclusive singing environment","type":"article-journal","volume":"43"},"uris":["http://www.mendeley.com/documents/?uuid=df4ddb6b-d417-411f-9261-d87aba0aa367"]}],"mendeley":{"formattedCitation":"(Hogle, 2021; Lewis and Hendricks, 2022)","plainTextFormattedCitation":"(Hogle, 2021; Lewis and Hendricks, 2022)","previouslyFormattedCitation":"(Hogle, 2021; Lewis and Hendricks, 2022)"},"properties":{"noteIndex":0},"schema":"https://github.com/citation-style-language/schema/raw/master/csl-citation.json"}</w:instrText>
      </w:r>
      <w:r>
        <w:rPr>
          <w:rFonts w:ascii="Arial" w:hAnsi="Arial" w:cs="Arial"/>
          <w:sz w:val="24"/>
          <w:szCs w:val="24"/>
        </w:rPr>
        <w:fldChar w:fldCharType="separate"/>
      </w:r>
      <w:r w:rsidRPr="008F481F">
        <w:rPr>
          <w:rFonts w:ascii="Arial" w:hAnsi="Arial" w:cs="Arial"/>
          <w:noProof/>
          <w:sz w:val="24"/>
          <w:szCs w:val="24"/>
        </w:rPr>
        <w:t>(Hogle, 2021; Lewis and Hendricks, 2022)</w:t>
      </w:r>
      <w:r>
        <w:rPr>
          <w:rFonts w:ascii="Arial" w:hAnsi="Arial" w:cs="Arial"/>
          <w:sz w:val="24"/>
          <w:szCs w:val="24"/>
        </w:rPr>
        <w:fldChar w:fldCharType="end"/>
      </w:r>
      <w:r w:rsidR="00717793">
        <w:rPr>
          <w:rFonts w:ascii="Arial" w:hAnsi="Arial" w:cs="Arial"/>
          <w:sz w:val="24"/>
          <w:szCs w:val="24"/>
        </w:rPr>
        <w:t xml:space="preserve">. </w:t>
      </w:r>
      <w:r w:rsidR="00752C0B">
        <w:rPr>
          <w:rFonts w:ascii="Arial" w:hAnsi="Arial" w:cs="Arial"/>
          <w:sz w:val="24"/>
          <w:szCs w:val="24"/>
        </w:rPr>
        <w:t>Shame and anxiety</w:t>
      </w:r>
      <w:r>
        <w:rPr>
          <w:rFonts w:ascii="Arial" w:hAnsi="Arial" w:cs="Arial"/>
          <w:sz w:val="24"/>
          <w:szCs w:val="24"/>
        </w:rPr>
        <w:t xml:space="preserve"> </w:t>
      </w:r>
      <w:r w:rsidR="00752C0B">
        <w:rPr>
          <w:rFonts w:ascii="Arial" w:hAnsi="Arial" w:cs="Arial"/>
          <w:sz w:val="24"/>
          <w:szCs w:val="24"/>
        </w:rPr>
        <w:t>can</w:t>
      </w:r>
      <w:r>
        <w:rPr>
          <w:rFonts w:ascii="Arial" w:hAnsi="Arial" w:cs="Arial"/>
          <w:sz w:val="24"/>
          <w:szCs w:val="24"/>
        </w:rPr>
        <w:t xml:space="preserve"> impair mastery experiences important for improving self-efficacy </w:t>
      </w:r>
      <w:r>
        <w:rPr>
          <w:rFonts w:ascii="Arial" w:hAnsi="Arial" w:cs="Arial"/>
          <w:sz w:val="24"/>
          <w:szCs w:val="24"/>
        </w:rPr>
        <w:fldChar w:fldCharType="begin" w:fldLock="1"/>
      </w:r>
      <w:r>
        <w:rPr>
          <w:rFonts w:ascii="Arial" w:hAnsi="Arial" w:cs="Arial"/>
          <w:sz w:val="24"/>
          <w:szCs w:val="24"/>
        </w:rPr>
        <w:instrText>ADDIN CSL_CITATION {"citationItems":[{"id":"ITEM-1","itemData":{"abstract":"Based on Bandura's theory that those who believe they can do what they set out to do are healthier, more efficient and more successful than those with low self-efficacy expectations. This theory has stimulated programs of research in education, clinicaland developmental psychology, medicine and related fields, athletics and business organization.","author":[{"dropping-particle":"","family":"Bandura","given":"Albert","non-dropping-particle":"","parse-names":false,"suffix":""}],"id":"ITEM-1","issued":{"date-parts":[["1997"]]},"publisher":"W.H.Freeman &amp; Co Ltd","publisher-place":"New York","title":"Self-efficacy : The Exercise of Control.","type":"book"},"uris":["http://www.mendeley.com/documents/?uuid=29014b0e-1932-4150-a247-953655b38468"]},{"id":"ITEM-2","itemData":{"DOI":"10.1177/02557614221074057","ISBN":"0255761422107","ISSN":"1744795X","abstract":"Fostering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beliefs","type":"article-journal"},"uris":["http://www.mendeley.com/documents/?uuid=d1469298-0bbc-4c76-afcd-e0c4086da712"]},{"id":"ITEM-3","itemData":{"DOI":"10.1177/0022429411405214","ISSN":"00224294","abstract":"The Self-Efficacy for Musical Learning questionnaire was adapted and tested with 404 primary school children, producing a robust Cronbach alpha (0.87) and confirming a single underlying factor through exploratory factor analysis. Test-retest scores showed the measure's stability over a 9-month period. Data were collected on children's prior music experience, extracurricular activities, and typical daily activities. Children also completed the Short Warwick-Edinburgh Mental Well-Being Scale and the Strengths and Difficulties Questionnaire. Those currently engaged in music tuition (learning an instrument or singing) had significantly higher self-efficacy scores than children who were not, and overall, girls' scores were significantly higher than boys'. Correlations with various additional measures, including wellbeing and reading for pleasure, highlighted multifaceted relationships of self-efficacy to children's lives. Regression analyses revealed that prior experience with instrumental tuition was the strongest predictor of music self-efficacy for learning; prosocial behaviors predicted boys' scores, and well-being predicted girls' scores. © 2011 MENC: The National Association for Music Education.","author":[{"dropping-particle":"","family":"Ritchie","given":"Laura","non-dropping-particle":"","parse-names":false,"suffix":""},{"dropping-particle":"","family":"Williamon","given":"Aaron","non-dropping-particle":"","parse-names":false,"suffix":""}],"container-title":"Journal of Research in Music Education","id":"ITEM-3","issue":"2","issued":{"date-parts":[["2011"]]},"page":"146-161","title":"Primary school children's Self-efficacy for Music Learning","type":"article-journal","volume":"59"},"uris":["http://www.mendeley.com/documents/?uuid=240473f6-1468-4960-8481-528f722fddd9"]}],"mendeley":{"formattedCitation":"(Bandura, 1997; Ritchie and Williamon, 2011; Lewis and Hendricks, 2022)","plainTextFormattedCitation":"(Bandura, 1997; Ritchie and Williamon, 2011; Lewis and Hendricks, 2022)","previouslyFormattedCitation":"(Bandura, 1997; Ritchie and Williamon, 2011; Lewis and Hendricks, 2022)"},"properties":{"noteIndex":0},"schema":"https://github.com/citation-style-language/schema/raw/master/csl-citation.json"}</w:instrText>
      </w:r>
      <w:r>
        <w:rPr>
          <w:rFonts w:ascii="Arial" w:hAnsi="Arial" w:cs="Arial"/>
          <w:sz w:val="24"/>
          <w:szCs w:val="24"/>
        </w:rPr>
        <w:fldChar w:fldCharType="separate"/>
      </w:r>
      <w:r w:rsidRPr="0016423A">
        <w:rPr>
          <w:rFonts w:ascii="Arial" w:hAnsi="Arial" w:cs="Arial"/>
          <w:noProof/>
          <w:sz w:val="24"/>
          <w:szCs w:val="24"/>
        </w:rPr>
        <w:t>(Bandura, 1997; Ritchie and Williamon, 2011; Lewis and Hendricks, 2022)</w:t>
      </w:r>
      <w:r>
        <w:rPr>
          <w:rFonts w:ascii="Arial" w:hAnsi="Arial" w:cs="Arial"/>
          <w:sz w:val="24"/>
          <w:szCs w:val="24"/>
        </w:rPr>
        <w:fldChar w:fldCharType="end"/>
      </w:r>
      <w:r>
        <w:rPr>
          <w:rFonts w:ascii="Arial" w:hAnsi="Arial" w:cs="Arial"/>
          <w:sz w:val="24"/>
          <w:szCs w:val="24"/>
        </w:rPr>
        <w:t xml:space="preserve">. </w:t>
      </w:r>
    </w:p>
    <w:p w14:paraId="028B9900" w14:textId="166848F9" w:rsidR="00DC0612" w:rsidRDefault="007E3B8B" w:rsidP="00E15824">
      <w:pPr>
        <w:spacing w:line="360" w:lineRule="auto"/>
        <w:jc w:val="both"/>
        <w:rPr>
          <w:rFonts w:ascii="Arial" w:hAnsi="Arial" w:cs="Arial"/>
          <w:sz w:val="24"/>
          <w:szCs w:val="24"/>
        </w:rPr>
      </w:pPr>
      <w:r w:rsidRPr="00563D1A">
        <w:rPr>
          <w:rFonts w:ascii="Arial" w:hAnsi="Arial" w:cs="Arial"/>
          <w:b/>
          <w:bCs/>
          <w:i/>
          <w:iCs/>
          <w:sz w:val="24"/>
          <w:szCs w:val="24"/>
        </w:rPr>
        <w:t>Fear and shame</w:t>
      </w:r>
      <w:r>
        <w:rPr>
          <w:rFonts w:ascii="Arial" w:hAnsi="Arial" w:cs="Arial"/>
          <w:i/>
          <w:iCs/>
          <w:sz w:val="24"/>
          <w:szCs w:val="24"/>
        </w:rPr>
        <w:t xml:space="preserve"> </w:t>
      </w:r>
      <w:r>
        <w:rPr>
          <w:rFonts w:ascii="Arial" w:hAnsi="Arial" w:cs="Arial"/>
          <w:sz w:val="24"/>
          <w:szCs w:val="24"/>
        </w:rPr>
        <w:t xml:space="preserve">can cause challenges in learning for singers with self-efficacy wounds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2021)","plainTextFormattedCitation":"(Hogle, 2021)","previouslyFormattedCitation":"(Hogle, 2021)"},"properties":{"noteIndex":0},"schema":"https://github.com/citation-style-language/schema/raw/master/csl-citation.json"}</w:instrText>
      </w:r>
      <w:r>
        <w:rPr>
          <w:rFonts w:ascii="Arial" w:hAnsi="Arial" w:cs="Arial"/>
          <w:sz w:val="24"/>
          <w:szCs w:val="24"/>
        </w:rPr>
        <w:fldChar w:fldCharType="separate"/>
      </w:r>
      <w:r w:rsidRPr="000C3D87">
        <w:rPr>
          <w:rFonts w:ascii="Arial" w:hAnsi="Arial" w:cs="Arial"/>
          <w:noProof/>
          <w:sz w:val="24"/>
          <w:szCs w:val="24"/>
        </w:rPr>
        <w:t>(Hogle, 2021)</w:t>
      </w:r>
      <w:r>
        <w:rPr>
          <w:rFonts w:ascii="Arial" w:hAnsi="Arial" w:cs="Arial"/>
          <w:sz w:val="24"/>
          <w:szCs w:val="24"/>
        </w:rPr>
        <w:fldChar w:fldCharType="end"/>
      </w:r>
      <w:r>
        <w:rPr>
          <w:rFonts w:ascii="Arial" w:hAnsi="Arial" w:cs="Arial"/>
          <w:sz w:val="24"/>
          <w:szCs w:val="24"/>
        </w:rPr>
        <w:t xml:space="preserve">. </w:t>
      </w:r>
      <w:r w:rsidRPr="000974FE">
        <w:rPr>
          <w:rFonts w:ascii="Arial" w:hAnsi="Arial" w:cs="Arial"/>
          <w:b/>
          <w:bCs/>
          <w:i/>
          <w:iCs/>
          <w:sz w:val="24"/>
          <w:szCs w:val="24"/>
        </w:rPr>
        <w:t>Fear of failure</w:t>
      </w:r>
      <w:r>
        <w:rPr>
          <w:rFonts w:ascii="Arial" w:hAnsi="Arial" w:cs="Arial"/>
          <w:sz w:val="24"/>
          <w:szCs w:val="24"/>
        </w:rPr>
        <w:t xml:space="preserve"> is linked with shame and embarrassment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2021)","plainTextFormattedCitation":"(Hogle, 2021)","previouslyFormattedCitation":"(Hogle, 2021)"},"properties":{"noteIndex":0},"schema":"https://github.com/citation-style-language/schema/raw/master/csl-citation.json"}</w:instrText>
      </w:r>
      <w:r>
        <w:rPr>
          <w:rFonts w:ascii="Arial" w:hAnsi="Arial" w:cs="Arial"/>
          <w:sz w:val="24"/>
          <w:szCs w:val="24"/>
        </w:rPr>
        <w:fldChar w:fldCharType="separate"/>
      </w:r>
      <w:r w:rsidRPr="00736614">
        <w:rPr>
          <w:rFonts w:ascii="Arial" w:hAnsi="Arial" w:cs="Arial"/>
          <w:noProof/>
          <w:sz w:val="24"/>
          <w:szCs w:val="24"/>
        </w:rPr>
        <w:t>(Hogle, 2021)</w:t>
      </w:r>
      <w:r>
        <w:rPr>
          <w:rFonts w:ascii="Arial" w:hAnsi="Arial" w:cs="Arial"/>
          <w:sz w:val="24"/>
          <w:szCs w:val="24"/>
        </w:rPr>
        <w:fldChar w:fldCharType="end"/>
      </w:r>
      <w:r w:rsidR="00E1137A">
        <w:rPr>
          <w:rFonts w:ascii="Arial" w:hAnsi="Arial" w:cs="Arial"/>
          <w:sz w:val="24"/>
          <w:szCs w:val="24"/>
        </w:rPr>
        <w:t xml:space="preserve">. </w:t>
      </w:r>
      <w:r w:rsidR="00091AD9">
        <w:rPr>
          <w:rFonts w:ascii="Arial" w:hAnsi="Arial" w:cs="Arial"/>
          <w:sz w:val="24"/>
          <w:szCs w:val="24"/>
        </w:rPr>
        <w:t xml:space="preserve">The </w:t>
      </w:r>
      <w:r>
        <w:rPr>
          <w:rFonts w:ascii="Arial" w:hAnsi="Arial" w:cs="Arial"/>
          <w:sz w:val="24"/>
          <w:szCs w:val="24"/>
        </w:rPr>
        <w:t xml:space="preserve">physiological effects </w:t>
      </w:r>
      <w:r w:rsidR="00091AD9">
        <w:rPr>
          <w:rFonts w:ascii="Arial" w:hAnsi="Arial" w:cs="Arial"/>
          <w:sz w:val="24"/>
          <w:szCs w:val="24"/>
        </w:rPr>
        <w:t xml:space="preserve">of fear, </w:t>
      </w:r>
      <w:r>
        <w:rPr>
          <w:rFonts w:ascii="Arial" w:hAnsi="Arial" w:cs="Arial"/>
          <w:sz w:val="24"/>
          <w:szCs w:val="24"/>
        </w:rPr>
        <w:t>such as muscular tightness</w:t>
      </w:r>
      <w:r w:rsidR="00091AD9">
        <w:rPr>
          <w:rFonts w:ascii="Arial" w:hAnsi="Arial" w:cs="Arial"/>
          <w:sz w:val="24"/>
          <w:szCs w:val="24"/>
        </w:rPr>
        <w:t>,</w:t>
      </w:r>
      <w:r>
        <w:rPr>
          <w:rFonts w:ascii="Arial" w:hAnsi="Arial" w:cs="Arial"/>
          <w:sz w:val="24"/>
          <w:szCs w:val="24"/>
        </w:rPr>
        <w:t xml:space="preserve"> can dampen mastery experiences </w:t>
      </w:r>
      <w:r w:rsidR="00B450A7">
        <w:rPr>
          <w:rFonts w:ascii="Arial" w:hAnsi="Arial" w:cs="Arial"/>
          <w:sz w:val="24"/>
          <w:szCs w:val="24"/>
        </w:rPr>
        <w:t xml:space="preserve">required for self-efficacy improvements </w:t>
      </w:r>
      <w:r>
        <w:rPr>
          <w:rFonts w:ascii="Arial" w:hAnsi="Arial" w:cs="Arial"/>
          <w:sz w:val="24"/>
          <w:szCs w:val="24"/>
        </w:rPr>
        <w:fldChar w:fldCharType="begin" w:fldLock="1"/>
      </w:r>
      <w:r>
        <w:rPr>
          <w:rFonts w:ascii="Arial" w:hAnsi="Arial" w:cs="Arial"/>
          <w:sz w:val="24"/>
          <w:szCs w:val="24"/>
        </w:rPr>
        <w:instrText>ADDIN CSL_CITATION {"citationItems":[{"id":"ITEM-1","itemData":{"ISSN":"1086-7732","abstract":"The author examines the relationship between singing and mindfulness. According to the author, mindfulness is a way for individuals to pay attention to their present moment experience without judging the moment or becoming attached to it. She presents a brief historical overview of mindfulness, which is derived from Buddhist thought and practice, and discusses ways in which mindfulness training is beneficial to singing. Also discussed is the advantage singers have over non-singers in practicing mindfulness, the technique of mindfulness meditation, which includes the awareness of posture and breath, and the impact of thoughts and emotions on an individual's mindfulness state.","author":[{"dropping-particle":"","family":"Elliott","given":"Martha","non-dropping-particle":"","parse-names":false,"suffix":""}],"container-title":"Journal of Singing","id":"ITEM-1","issue":"1","issued":{"date-parts":[["2010"]]},"page":"35","title":"Singing and Mindfulness","type":"article-journal","volume":"67"},"uris":["http://www.mendeley.com/documents/?uuid=bb99926d-5cf4-40fd-8ade-6b444bf15ddf"]},{"id":"ITEM-2","itemData":{"abstract":"Based on Bandura's theory that those who believe they can do what they set out to do are healthier, more efficient and more successful than those with low self-efficacy expectations. This theory has stimulated programs of research in education, clinicaland developmental psychology, medicine and related fields, athletics and business organization.","author":[{"dropping-particle":"","family":"Bandura","given":"Albert","non-dropping-particle":"","parse-names":false,"suffix":""}],"id":"ITEM-2","issued":{"date-parts":[["1997"]]},"publisher":"W.H.Freeman &amp; Co Ltd","publisher-place":"New York","title":"Self-efficacy : The Exercise of Control.","type":"book"},"uris":["http://www.mendeley.com/documents/?uuid=29014b0e-1932-4150-a247-953655b38468"]}],"mendeley":{"formattedCitation":"(Bandura, 1997; Elliott, 2010)","plainTextFormattedCitation":"(Bandura, 1997; Elliott, 2010)","previouslyFormattedCitation":"(Bandura, 1997; Elliott, 2010)"},"properties":{"noteIndex":0},"schema":"https://github.com/citation-style-language/schema/raw/master/csl-citation.json"}</w:instrText>
      </w:r>
      <w:r>
        <w:rPr>
          <w:rFonts w:ascii="Arial" w:hAnsi="Arial" w:cs="Arial"/>
          <w:sz w:val="24"/>
          <w:szCs w:val="24"/>
        </w:rPr>
        <w:fldChar w:fldCharType="separate"/>
      </w:r>
      <w:r w:rsidRPr="0061621D">
        <w:rPr>
          <w:rFonts w:ascii="Arial" w:hAnsi="Arial" w:cs="Arial"/>
          <w:noProof/>
          <w:sz w:val="24"/>
          <w:szCs w:val="24"/>
        </w:rPr>
        <w:t>(Bandura, 1997; Elliott, 2010)</w:t>
      </w:r>
      <w:r>
        <w:rPr>
          <w:rFonts w:ascii="Arial" w:hAnsi="Arial" w:cs="Arial"/>
          <w:sz w:val="24"/>
          <w:szCs w:val="24"/>
        </w:rPr>
        <w:fldChar w:fldCharType="end"/>
      </w:r>
      <w:r>
        <w:rPr>
          <w:rFonts w:ascii="Arial" w:hAnsi="Arial" w:cs="Arial"/>
          <w:sz w:val="24"/>
          <w:szCs w:val="24"/>
        </w:rPr>
        <w:t xml:space="preserve">. Fear and shame from self-efficacy wounding incidents can lead to a </w:t>
      </w:r>
      <w:r w:rsidRPr="000974FE">
        <w:rPr>
          <w:rFonts w:ascii="Arial" w:hAnsi="Arial" w:cs="Arial"/>
          <w:b/>
          <w:bCs/>
          <w:i/>
          <w:iCs/>
          <w:sz w:val="24"/>
          <w:szCs w:val="24"/>
        </w:rPr>
        <w:t>fear of evaluation</w:t>
      </w:r>
      <w:r>
        <w:rPr>
          <w:rFonts w:ascii="Arial" w:hAnsi="Arial" w:cs="Arial"/>
          <w:sz w:val="24"/>
          <w:szCs w:val="24"/>
        </w:rPr>
        <w:t xml:space="preserve"> and shame anticipation </w:t>
      </w:r>
      <w:r w:rsidR="00AE38AC">
        <w:rPr>
          <w:rFonts w:ascii="Arial" w:hAnsi="Arial" w:cs="Arial"/>
          <w:sz w:val="24"/>
          <w:szCs w:val="24"/>
        </w:rPr>
        <w:fldChar w:fldCharType="begin" w:fldLock="1"/>
      </w:r>
      <w:r w:rsidR="00AE38AC">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Education","id":"ITEM-2","issue":"1","issued":{"date-parts":[["2015"]]},"page":"43-57","title":"Critical geragogy: A framework for facilitating older learners in community music","type":"article-journal","volume":"13"},"uris":["http://www.mendeley.com/documents/?uuid=fa50dd99-4e1e-44de-a3f2-30dd41815d00"]}],"mendeley":{"formattedCitation":"(Creech and Hallam, 2015; Hogle, 2021)","plainTextFormattedCitation":"(Creech and Hallam, 2015; Hogle, 2021)","previouslyFormattedCitation":"(Creech and Hallam, 2015; Hogle, 2021)"},"properties":{"noteIndex":0},"schema":"https://github.com/citation-style-language/schema/raw/master/csl-citation.json"}</w:instrText>
      </w:r>
      <w:r w:rsidR="00AE38AC">
        <w:rPr>
          <w:rFonts w:ascii="Arial" w:hAnsi="Arial" w:cs="Arial"/>
          <w:sz w:val="24"/>
          <w:szCs w:val="24"/>
        </w:rPr>
        <w:fldChar w:fldCharType="separate"/>
      </w:r>
      <w:r w:rsidR="00AE38AC" w:rsidRPr="00B94004">
        <w:rPr>
          <w:rFonts w:ascii="Arial" w:hAnsi="Arial" w:cs="Arial"/>
          <w:noProof/>
          <w:sz w:val="24"/>
          <w:szCs w:val="24"/>
        </w:rPr>
        <w:t>(Creech and Hallam, 2015; Hogle, 2021)</w:t>
      </w:r>
      <w:r w:rsidR="00AE38AC">
        <w:rPr>
          <w:rFonts w:ascii="Arial" w:hAnsi="Arial" w:cs="Arial"/>
          <w:sz w:val="24"/>
          <w:szCs w:val="24"/>
        </w:rPr>
        <w:fldChar w:fldCharType="end"/>
      </w:r>
      <w:r w:rsidR="00AE38AC">
        <w:rPr>
          <w:rFonts w:ascii="Arial" w:hAnsi="Arial" w:cs="Arial"/>
          <w:sz w:val="24"/>
          <w:szCs w:val="24"/>
        </w:rPr>
        <w:t xml:space="preserve">. </w:t>
      </w:r>
      <w:r w:rsidR="00604C2F">
        <w:rPr>
          <w:rFonts w:ascii="Arial" w:hAnsi="Arial" w:cs="Arial"/>
          <w:sz w:val="24"/>
          <w:szCs w:val="24"/>
        </w:rPr>
        <w:t>This</w:t>
      </w:r>
      <w:r>
        <w:rPr>
          <w:rFonts w:ascii="Arial" w:hAnsi="Arial" w:cs="Arial"/>
          <w:sz w:val="24"/>
          <w:szCs w:val="24"/>
        </w:rPr>
        <w:t xml:space="preserve"> can further challenge self-efficacy improvements through non</w:t>
      </w:r>
      <w:r w:rsidR="00E6170D">
        <w:rPr>
          <w:rFonts w:ascii="Arial" w:hAnsi="Arial" w:cs="Arial"/>
          <w:sz w:val="24"/>
          <w:szCs w:val="24"/>
        </w:rPr>
        <w:t>-</w:t>
      </w:r>
      <w:r>
        <w:rPr>
          <w:rFonts w:ascii="Arial" w:hAnsi="Arial" w:cs="Arial"/>
          <w:sz w:val="24"/>
          <w:szCs w:val="24"/>
        </w:rPr>
        <w:t xml:space="preserve">engagement with </w:t>
      </w:r>
      <w:r w:rsidR="00786421">
        <w:rPr>
          <w:rFonts w:ascii="Arial" w:hAnsi="Arial" w:cs="Arial"/>
          <w:sz w:val="24"/>
          <w:szCs w:val="24"/>
        </w:rPr>
        <w:t>learning</w:t>
      </w:r>
      <w:r>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Education","id":"ITEM-2","issue":"1","issued":{"date-parts":[["2015"]]},"page":"43-57","title":"Critical geragogy: A framework for facilitating older learners in community music","type":"article-journal","volume":"13"},"uris":["http://www.mendeley.com/documents/?uuid=fa50dd99-4e1e-44de-a3f2-30dd41815d00"]}],"mendeley":{"formattedCitation":"(Creech and Hallam, 2015; Hogle, 2021)","plainTextFormattedCitation":"(Creech and Hallam, 2015; Hogle, 2021)","previouslyFormattedCitation":"(Creech and Hallam, 2015; Hogle, 2021)"},"properties":{"noteIndex":0},"schema":"https://github.com/citation-style-language/schema/raw/master/csl-citation.json"}</w:instrText>
      </w:r>
      <w:r>
        <w:rPr>
          <w:rFonts w:ascii="Arial" w:hAnsi="Arial" w:cs="Arial"/>
          <w:sz w:val="24"/>
          <w:szCs w:val="24"/>
        </w:rPr>
        <w:fldChar w:fldCharType="separate"/>
      </w:r>
      <w:r w:rsidRPr="00B94004">
        <w:rPr>
          <w:rFonts w:ascii="Arial" w:hAnsi="Arial" w:cs="Arial"/>
          <w:noProof/>
          <w:sz w:val="24"/>
          <w:szCs w:val="24"/>
        </w:rPr>
        <w:t>(Creech and Hallam, 2015; Hogle, 2021)</w:t>
      </w:r>
      <w:r>
        <w:rPr>
          <w:rFonts w:ascii="Arial" w:hAnsi="Arial" w:cs="Arial"/>
          <w:sz w:val="24"/>
          <w:szCs w:val="24"/>
        </w:rPr>
        <w:fldChar w:fldCharType="end"/>
      </w:r>
      <w:r>
        <w:rPr>
          <w:rFonts w:ascii="Arial" w:hAnsi="Arial" w:cs="Arial"/>
          <w:sz w:val="24"/>
          <w:szCs w:val="24"/>
        </w:rPr>
        <w:t xml:space="preserve">. Fear or discomfort around </w:t>
      </w:r>
      <w:r w:rsidRPr="00B966AA">
        <w:rPr>
          <w:rFonts w:ascii="Arial" w:hAnsi="Arial" w:cs="Arial"/>
          <w:b/>
          <w:bCs/>
          <w:i/>
          <w:iCs/>
          <w:sz w:val="24"/>
          <w:szCs w:val="24"/>
        </w:rPr>
        <w:t>comparison</w:t>
      </w:r>
      <w:r>
        <w:rPr>
          <w:rFonts w:ascii="Arial" w:hAnsi="Arial" w:cs="Arial"/>
          <w:sz w:val="24"/>
          <w:szCs w:val="24"/>
        </w:rPr>
        <w:t xml:space="preserve"> and feedback can damage self-efficacy beliefs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2021)","plainTextFormattedCitation":"(Hogle, 2021)","previouslyFormattedCitation":"(Hogle, 2021)"},"properties":{"noteIndex":0},"schema":"https://github.com/citation-style-language/schema/raw/master/csl-citation.json"}</w:instrText>
      </w:r>
      <w:r>
        <w:rPr>
          <w:rFonts w:ascii="Arial" w:hAnsi="Arial" w:cs="Arial"/>
          <w:sz w:val="24"/>
          <w:szCs w:val="24"/>
        </w:rPr>
        <w:fldChar w:fldCharType="separate"/>
      </w:r>
      <w:r w:rsidRPr="00AB4618">
        <w:rPr>
          <w:rFonts w:ascii="Arial" w:hAnsi="Arial" w:cs="Arial"/>
          <w:noProof/>
          <w:sz w:val="24"/>
          <w:szCs w:val="24"/>
        </w:rPr>
        <w:t>(Hogle, 2021)</w:t>
      </w:r>
      <w:r>
        <w:rPr>
          <w:rFonts w:ascii="Arial" w:hAnsi="Arial" w:cs="Arial"/>
          <w:sz w:val="24"/>
          <w:szCs w:val="24"/>
        </w:rPr>
        <w:fldChar w:fldCharType="end"/>
      </w:r>
      <w:r>
        <w:rPr>
          <w:rFonts w:ascii="Arial" w:hAnsi="Arial" w:cs="Arial"/>
          <w:sz w:val="24"/>
          <w:szCs w:val="24"/>
        </w:rPr>
        <w:t xml:space="preserve">. Low self-esteem and shame are linked with a tendency to compare oneself negatively with others </w:t>
      </w:r>
      <w:r>
        <w:rPr>
          <w:rFonts w:ascii="Arial" w:hAnsi="Arial" w:cs="Arial"/>
          <w:sz w:val="24"/>
          <w:szCs w:val="24"/>
        </w:rPr>
        <w:fldChar w:fldCharType="begin" w:fldLock="1"/>
      </w:r>
      <w:r>
        <w:rPr>
          <w:rFonts w:ascii="Arial" w:hAnsi="Arial" w:cs="Arial"/>
          <w:sz w:val="24"/>
          <w:szCs w:val="24"/>
        </w:rPr>
        <w:instrText>ADDIN CSL_CITATION {"citationItems":[{"id":"ITEM-1","itemData":{"author":[{"dropping-particle":"","family":"Moghal","given":"Sarwat","non-dropping-particle":"","parse-names":false,"suffix":""},{"dropping-particle":"","family":"Khanam","given":"Fazeela","non-dropping-particle":"","parse-names":false,"suffix":""}],"container-title":"Pakistan Journal of psychology","id":"ITEM-1","issue":"1","issued":{"date-parts":[["2012"]]},"page":"91-100","title":"Self esteem as a predictor of fear of negative evaluation and social anxiety","type":"article-journal","volume":"43"},"uris":["http://www.mendeley.com/documents/?uuid=a671e9c9-ce59-4224-b9d7-fb74206b7f40"]},{"id":"ITEM-2","itemData":{"DOI":"10.1177/1321103X20930426","ISSN":"18345530","abstract":"The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Education","id":"ITEM-2","issue":"2","issued":{"date-parts":[["2021"]]},"page":"179-194","title":"Fostering singing agency through emotional differentiation in an inclusive singing environment","type":"article-journal","volume":"43"},"uris":["http://www.mendeley.com/documents/?uuid=df4ddb6b-d417-411f-9261-d87aba0aa367"]}],"mendeley":{"formattedCitation":"(Moghal and Khanam, 2012; Hogle, 2021)","plainTextFormattedCitation":"(Moghal and Khanam, 2012; Hogle, 2021)","previouslyFormattedCitation":"(Moghal and Khanam, 2012; Hogle, 2021)"},"properties":{"noteIndex":0},"schema":"https://github.com/citation-style-language/schema/raw/master/csl-citation.json"}</w:instrText>
      </w:r>
      <w:r>
        <w:rPr>
          <w:rFonts w:ascii="Arial" w:hAnsi="Arial" w:cs="Arial"/>
          <w:sz w:val="24"/>
          <w:szCs w:val="24"/>
        </w:rPr>
        <w:fldChar w:fldCharType="separate"/>
      </w:r>
      <w:r w:rsidRPr="002E6EE7">
        <w:rPr>
          <w:rFonts w:ascii="Arial" w:hAnsi="Arial" w:cs="Arial"/>
          <w:noProof/>
          <w:sz w:val="24"/>
          <w:szCs w:val="24"/>
        </w:rPr>
        <w:t>(Moghal and Khanam, 2012; Hogle, 2021)</w:t>
      </w:r>
      <w:r>
        <w:rPr>
          <w:rFonts w:ascii="Arial" w:hAnsi="Arial" w:cs="Arial"/>
          <w:sz w:val="24"/>
          <w:szCs w:val="24"/>
        </w:rPr>
        <w:fldChar w:fldCharType="end"/>
      </w:r>
      <w:r w:rsidR="00DA6EC6">
        <w:rPr>
          <w:rFonts w:ascii="Arial" w:hAnsi="Arial" w:cs="Arial"/>
          <w:sz w:val="24"/>
          <w:szCs w:val="24"/>
        </w:rPr>
        <w:t>. This</w:t>
      </w:r>
      <w:r w:rsidR="004C6539">
        <w:rPr>
          <w:rFonts w:ascii="Arial" w:hAnsi="Arial" w:cs="Arial"/>
          <w:sz w:val="24"/>
          <w:szCs w:val="24"/>
        </w:rPr>
        <w:t xml:space="preserve"> fear of comparison</w:t>
      </w:r>
      <w:r w:rsidR="00DA6EC6">
        <w:rPr>
          <w:rFonts w:ascii="Arial" w:hAnsi="Arial" w:cs="Arial"/>
          <w:sz w:val="24"/>
          <w:szCs w:val="24"/>
        </w:rPr>
        <w:t xml:space="preserve"> </w:t>
      </w:r>
      <w:r>
        <w:rPr>
          <w:rFonts w:ascii="Arial" w:hAnsi="Arial" w:cs="Arial"/>
          <w:sz w:val="24"/>
          <w:szCs w:val="24"/>
        </w:rPr>
        <w:t xml:space="preserve">could </w:t>
      </w:r>
      <w:r w:rsidR="00DA6EC6">
        <w:rPr>
          <w:rFonts w:ascii="Arial" w:hAnsi="Arial" w:cs="Arial"/>
          <w:sz w:val="24"/>
          <w:szCs w:val="24"/>
        </w:rPr>
        <w:t xml:space="preserve">lead to </w:t>
      </w:r>
      <w:r w:rsidR="00C54075">
        <w:rPr>
          <w:rFonts w:ascii="Arial" w:hAnsi="Arial" w:cs="Arial"/>
          <w:sz w:val="24"/>
          <w:szCs w:val="24"/>
        </w:rPr>
        <w:t xml:space="preserve">singers avoiding </w:t>
      </w:r>
      <w:r w:rsidR="004079DC">
        <w:rPr>
          <w:rFonts w:ascii="Arial" w:hAnsi="Arial" w:cs="Arial"/>
          <w:sz w:val="24"/>
          <w:szCs w:val="24"/>
        </w:rPr>
        <w:t xml:space="preserve">situations </w:t>
      </w:r>
      <w:r w:rsidR="004C6539">
        <w:rPr>
          <w:rFonts w:ascii="Arial" w:hAnsi="Arial" w:cs="Arial"/>
          <w:sz w:val="24"/>
          <w:szCs w:val="24"/>
        </w:rPr>
        <w:t>where</w:t>
      </w:r>
      <w:r>
        <w:rPr>
          <w:rFonts w:ascii="Arial" w:hAnsi="Arial" w:cs="Arial"/>
          <w:sz w:val="24"/>
          <w:szCs w:val="24"/>
        </w:rPr>
        <w:t xml:space="preserve"> vicarious learning </w:t>
      </w:r>
      <w:r w:rsidR="004C6539">
        <w:rPr>
          <w:rFonts w:ascii="Arial" w:hAnsi="Arial" w:cs="Arial"/>
          <w:sz w:val="24"/>
          <w:szCs w:val="24"/>
        </w:rPr>
        <w:t xml:space="preserve">could benefit their self-efficacy </w:t>
      </w:r>
      <w:r>
        <w:rPr>
          <w:rFonts w:ascii="Arial" w:hAnsi="Arial" w:cs="Arial"/>
          <w:sz w:val="24"/>
          <w:szCs w:val="24"/>
        </w:rPr>
        <w:fldChar w:fldCharType="begin" w:fldLock="1"/>
      </w:r>
      <w:r>
        <w:rPr>
          <w:rFonts w:ascii="Arial" w:hAnsi="Arial" w:cs="Arial"/>
          <w:sz w:val="24"/>
          <w:szCs w:val="24"/>
        </w:rPr>
        <w:instrText>ADDIN CSL_CITATION {"citationItems":[{"id":"ITEM-1","itemData":{"abstract":"Based on Bandura's theory that those who believe they can do what they set out to do are healthier, more efficient and more successful than those with low self-efficacy expectations. This theory has stimulated programs of research in education, clinicaland developmental psychology, medicine and related fields, athletics and business organization.","author":[{"dropping-particle":"","family":"Bandura","given":"Albert","non-dropping-particle":"","parse-names":false,"suffix":""}],"id":"ITEM-1","issued":{"date-parts":[["1997"]]},"publisher":"W.H.Freeman &amp; Co Ltd","publisher-place":"New York","title":"Self-efficacy : The Exercise of Control.","type":"book"},"uris":["http://www.mendeley.com/documents/?uuid=29014b0e-1932-4150-a247-953655b38468"]},{"id":"ITEM-2","itemData":{"DOI":"10.1177/0022429411405214","ISSN":"00224294","abstract":"The Self-Efficacy for Musical Learning questionnaire was adapted and tested with 404 primary school children, producing a robust Cronbach alpha (0.87) and confirming a single underlying factor through exploratory factor analysis. Test-retest scores showed the measure's stability over a 9-month period. Data were collected on children's prior music experience, extracurricular activities, and typical daily activities. Children also completed the Short Warwick-Edinburgh Mental Well-Being Scale and the Strengths and Difficulties Questionnaire. Those currently engaged in music tuition (learning an instrument or singing) had significantly higher self-efficacy scores than children who were not, and overall, girls' scores were significantly higher than boys'. Correlations with various additional measures, including wellbeing and reading for pleasure, highlighted multifaceted relationships of self-efficacy to children's lives. Regression analyses revealed that prior experience with instrumental tuition was the strongest predictor of music self-efficacy for learning; prosocial behaviors predicted boys' scores, and well-being predicted girls' scores. © 2011 MENC: The National Association for Music Education.","author":[{"dropping-particle":"","family":"Ritchie","given":"Laura","non-dropping-particle":"","parse-names":false,"suffix":""},{"dropping-particle":"","family":"Williamon","given":"Aaron","non-dropping-particle":"","parse-names":false,"suffix":""}],"container-title":"Journal of Research in Music Education","id":"ITEM-2","issue":"2","issued":{"date-parts":[["2011"]]},"page":"146-161","title":"Primary school children's Self-efficacy for Music Learning","type":"article-journal","volume":"59"},"uris":["http://www.mendeley.com/documents/?uuid=240473f6-1468-4960-8481-528f722fddd9"]}],"mendeley":{"formattedCitation":"(Bandura, 1997; Ritchie and Williamon, 2011)","plainTextFormattedCitation":"(Bandura, 1997; Ritchie and Williamon, 2011)","previouslyFormattedCitation":"(Bandura, 1997; Ritchie and Williamon, 2011)"},"properties":{"noteIndex":0},"schema":"https://github.com/citation-style-language/schema/raw/master/csl-citation.json"}</w:instrText>
      </w:r>
      <w:r>
        <w:rPr>
          <w:rFonts w:ascii="Arial" w:hAnsi="Arial" w:cs="Arial"/>
          <w:sz w:val="24"/>
          <w:szCs w:val="24"/>
        </w:rPr>
        <w:fldChar w:fldCharType="separate"/>
      </w:r>
      <w:r w:rsidRPr="006A7F20">
        <w:rPr>
          <w:rFonts w:ascii="Arial" w:hAnsi="Arial" w:cs="Arial"/>
          <w:noProof/>
          <w:sz w:val="24"/>
          <w:szCs w:val="24"/>
        </w:rPr>
        <w:t>(Bandura, 1997; Ritchie and Williamon, 2011)</w:t>
      </w:r>
      <w:r>
        <w:rPr>
          <w:rFonts w:ascii="Arial" w:hAnsi="Arial" w:cs="Arial"/>
          <w:sz w:val="24"/>
          <w:szCs w:val="24"/>
        </w:rPr>
        <w:fldChar w:fldCharType="end"/>
      </w:r>
      <w:r>
        <w:rPr>
          <w:rFonts w:ascii="Arial" w:hAnsi="Arial" w:cs="Arial"/>
          <w:sz w:val="24"/>
          <w:szCs w:val="24"/>
        </w:rPr>
        <w:t xml:space="preserve">. </w:t>
      </w:r>
      <w:r w:rsidR="00DC0612">
        <w:rPr>
          <w:rFonts w:ascii="Arial" w:hAnsi="Arial" w:cs="Arial"/>
          <w:sz w:val="24"/>
          <w:szCs w:val="24"/>
        </w:rPr>
        <w:br w:type="page"/>
      </w:r>
    </w:p>
    <w:p w14:paraId="40793A8A" w14:textId="507C93DA" w:rsidR="007E3B8B" w:rsidRPr="00B708D5" w:rsidRDefault="007E3B8B" w:rsidP="00E15824">
      <w:pPr>
        <w:spacing w:line="360" w:lineRule="auto"/>
        <w:jc w:val="both"/>
        <w:rPr>
          <w:rFonts w:ascii="Arial" w:hAnsi="Arial" w:cs="Arial"/>
          <w:sz w:val="24"/>
          <w:szCs w:val="24"/>
        </w:rPr>
      </w:pPr>
      <w:r w:rsidRPr="007F7FF9">
        <w:rPr>
          <w:rFonts w:ascii="Arial" w:hAnsi="Arial" w:cs="Arial"/>
          <w:b/>
          <w:bCs/>
          <w:i/>
          <w:iCs/>
          <w:sz w:val="24"/>
          <w:szCs w:val="24"/>
        </w:rPr>
        <w:lastRenderedPageBreak/>
        <w:t>Confusion</w:t>
      </w:r>
      <w:r>
        <w:rPr>
          <w:rFonts w:ascii="Arial" w:hAnsi="Arial" w:cs="Arial"/>
          <w:sz w:val="24"/>
          <w:szCs w:val="24"/>
        </w:rPr>
        <w:t xml:space="preserve"> in the learning process has been associated with self-efficacy wounds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2021)","plainTextFormattedCitation":"(Hogle, 2021)","previouslyFormattedCitation":"(Hogle, 2021)"},"properties":{"noteIndex":0},"schema":"https://github.com/citation-style-language/schema/raw/master/csl-citation.json"}</w:instrText>
      </w:r>
      <w:r>
        <w:rPr>
          <w:rFonts w:ascii="Arial" w:hAnsi="Arial" w:cs="Arial"/>
          <w:sz w:val="24"/>
          <w:szCs w:val="24"/>
        </w:rPr>
        <w:fldChar w:fldCharType="separate"/>
      </w:r>
      <w:r w:rsidRPr="004A56FF">
        <w:rPr>
          <w:rFonts w:ascii="Arial" w:hAnsi="Arial" w:cs="Arial"/>
          <w:noProof/>
          <w:sz w:val="24"/>
          <w:szCs w:val="24"/>
        </w:rPr>
        <w:t>(Hogle, 2021)</w:t>
      </w:r>
      <w:r>
        <w:rPr>
          <w:rFonts w:ascii="Arial" w:hAnsi="Arial" w:cs="Arial"/>
          <w:sz w:val="24"/>
          <w:szCs w:val="24"/>
        </w:rPr>
        <w:fldChar w:fldCharType="end"/>
      </w:r>
      <w:r w:rsidR="00124D17">
        <w:rPr>
          <w:rFonts w:ascii="Arial" w:hAnsi="Arial" w:cs="Arial"/>
          <w:sz w:val="24"/>
          <w:szCs w:val="24"/>
        </w:rPr>
        <w:t xml:space="preserve">. Contrastingly, </w:t>
      </w:r>
      <w:r>
        <w:rPr>
          <w:rFonts w:ascii="Arial" w:hAnsi="Arial" w:cs="Arial"/>
          <w:sz w:val="24"/>
          <w:szCs w:val="24"/>
        </w:rPr>
        <w:t xml:space="preserve">the benefits of constructive, necessary, and clear feedback have been shown to be transformative </w:t>
      </w:r>
      <w:r>
        <w:rPr>
          <w:rFonts w:ascii="Arial" w:hAnsi="Arial" w:cs="Arial"/>
          <w:sz w:val="24"/>
          <w:szCs w:val="24"/>
        </w:rPr>
        <w:fldChar w:fldCharType="begin" w:fldLock="1"/>
      </w:r>
      <w:r>
        <w:rPr>
          <w:rFonts w:ascii="Arial" w:hAnsi="Arial" w:cs="Arial"/>
          <w:sz w:val="24"/>
          <w:szCs w:val="24"/>
        </w:rPr>
        <w:instrText>ADDIN CSL_CITATION {"citationItems":[{"id":"ITEM-1","itemData":{"DOI":"10.18546/LRE.13.1.05","ISSN":"14748479","abstract":"The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Education","id":"ITEM-1","issue":"1","issued":{"date-parts":[["2015"]]},"page":"43-57","title":"Critical geragogy: A framework for facilitating older learners in community music","type":"article-journal","volume":"13"},"uris":["http://www.mendeley.com/documents/?uuid=fa50dd99-4e1e-44de-a3f2-30dd41815d00"]},{"id":"ITEM-2","itemData":{"DOI":"10.1177/02557614221074057","ISBN":"0255761422107","ISSN":"1744795X","abstract":"Fostering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beliefs","type":"article-journal"},"uris":["http://www.mendeley.com/documents/?uuid=d1469298-0bbc-4c76-afcd-e0c4086da712"]},{"id":"ITEM-3","itemData":{"abstract":"This dissertation is a study wrapped in a metaphor of voices, figurative and literal. It is a story of four singers over the course of 12 weeks and weaves through individuals in a group singing class. As a study, it used integral inquiry and emphasized action and narrative research. It explored one overarching research question, which naturally led to several sub-questions: In what ways might Mindfulness Awareness Practices (MAPS) and contemplative teaching and learning practices affect singers’ experiences of their own vocal and personal growth? (Sub- questions: What practices are reported as being successful?; How do participants experience growth?; How might singers and teachers shift to a mindset of process and progress throughout practicing and performing?; How do we create a space of mutuality and trust to foster self- reflection?; How do we balance instruction, offering feedback when needed and wanted while fostering self-trust and independence? While","author":[{"dropping-particle":"","family":"Blackhurst","given":"Lindsey Elizabeth","non-dropping-particle":"","parse-names":false,"suffix":""}],"container-title":"University of Colombia Doctor of Education submission","id":"ITEM-3","issued":{"date-parts":[["2021"]]},"title":"Exploring the Whole Singing Self with Technique, Contemplative Education, and Mindfulness","type":"thesis"},"uris":["http://www.mendeley.com/documents/?uuid=79851e18-e8d1-4fb1-960f-0d0a2b1452b7"]},{"id":"ITEM-4","itemData":{"ISBN":"10867732","PMID":"85987196","abstract":"The article focuses on the use of feedback and biofeedback in voice studio learning. It states that feedback is only helpful when necessary, with less frequent feedback being more effective. It comments that voice instructors should avoid overloading students with unnecessary information and to wait a few seconds before providing feedback so students can develop the ability to critically evaluate their performances. It talks about differences in prescriptive and descriptive feedback, along with disadvantages of each. It recommends keeping biofeedback in perspective and suggests while it can be beneficial, its use should receive the same consideration as other types of feedback.","author":[{"dropping-particle":"","family":"Maxfield","given":"Lynn","non-dropping-particle":"","parse-names":false,"suffix":""}],"container-title":"Journal of Singing","id":"ITEM-4","issue":"4","issued":{"date-parts":[["2013"]]},"page":"471-478","title":"Improve Your Students' Learning by Improving Your Feedback","type":"article-journal","volume":"69"},"uris":["http://www.mendeley.com/documents/?uuid=666bc0d7-3b6f-4772-b00d-e201036e218f"]}],"mendeley":{"formattedCitation":"(Maxfield, 2013; Creech and Hallam, 2015; Blackhurst, 2021; Lewis and Hendricks, 2022)","plainTextFormattedCitation":"(Maxfield, 2013; Creech and Hallam, 2015; Blackhurst, 2021; Lewis and Hendricks, 2022)","previouslyFormattedCitation":"(Maxfield, 2013; Creech and Hallam, 2015; Blackhurst, 2021; Lewis and Hendricks, 2022)"},"properties":{"noteIndex":0},"schema":"https://github.com/citation-style-language/schema/raw/master/csl-citation.json"}</w:instrText>
      </w:r>
      <w:r>
        <w:rPr>
          <w:rFonts w:ascii="Arial" w:hAnsi="Arial" w:cs="Arial"/>
          <w:sz w:val="24"/>
          <w:szCs w:val="24"/>
        </w:rPr>
        <w:fldChar w:fldCharType="separate"/>
      </w:r>
      <w:r w:rsidRPr="003762AB">
        <w:rPr>
          <w:rFonts w:ascii="Arial" w:hAnsi="Arial" w:cs="Arial"/>
          <w:noProof/>
          <w:sz w:val="24"/>
          <w:szCs w:val="24"/>
        </w:rPr>
        <w:t>(Maxfield, 2013; Creech and Hallam, 2015; Blackhurst, 2021; Lewis and Hendricks, 2022)</w:t>
      </w:r>
      <w:r>
        <w:rPr>
          <w:rFonts w:ascii="Arial" w:hAnsi="Arial" w:cs="Arial"/>
          <w:sz w:val="24"/>
          <w:szCs w:val="24"/>
        </w:rPr>
        <w:fldChar w:fldCharType="end"/>
      </w:r>
      <w:r>
        <w:rPr>
          <w:rFonts w:ascii="Arial" w:hAnsi="Arial" w:cs="Arial"/>
          <w:sz w:val="24"/>
          <w:szCs w:val="24"/>
        </w:rPr>
        <w:t xml:space="preserve">. </w:t>
      </w:r>
    </w:p>
    <w:p w14:paraId="05C79A0E" w14:textId="724AF822" w:rsidR="007E3B8B" w:rsidRDefault="007E3B8B" w:rsidP="00012CFA">
      <w:pPr>
        <w:spacing w:line="360" w:lineRule="auto"/>
        <w:rPr>
          <w:rFonts w:ascii="Arial" w:hAnsi="Arial" w:cs="Arial"/>
          <w:sz w:val="24"/>
          <w:szCs w:val="24"/>
        </w:rPr>
      </w:pPr>
      <w:r>
        <w:rPr>
          <w:rFonts w:ascii="Arial" w:hAnsi="Arial" w:cs="Arial"/>
          <w:sz w:val="24"/>
          <w:szCs w:val="24"/>
        </w:rPr>
        <w:t xml:space="preserve">These challenges suggest the need for reducing the following </w:t>
      </w:r>
      <w:r w:rsidR="00780E53">
        <w:rPr>
          <w:rFonts w:ascii="Arial" w:hAnsi="Arial" w:cs="Arial"/>
          <w:sz w:val="24"/>
          <w:szCs w:val="24"/>
        </w:rPr>
        <w:t>areas</w:t>
      </w:r>
      <w:r>
        <w:rPr>
          <w:rFonts w:ascii="Arial" w:hAnsi="Arial" w:cs="Arial"/>
          <w:sz w:val="24"/>
          <w:szCs w:val="24"/>
        </w:rPr>
        <w:t>:</w:t>
      </w:r>
    </w:p>
    <w:p w14:paraId="00321DF8" w14:textId="77777777" w:rsidR="00994CEC" w:rsidRDefault="00994CEC" w:rsidP="007E3B8B">
      <w:pPr>
        <w:pStyle w:val="ListParagraph"/>
        <w:numPr>
          <w:ilvl w:val="0"/>
          <w:numId w:val="25"/>
        </w:numPr>
        <w:spacing w:line="360" w:lineRule="auto"/>
        <w:rPr>
          <w:rFonts w:ascii="Arial" w:hAnsi="Arial" w:cs="Arial"/>
          <w:sz w:val="24"/>
          <w:szCs w:val="24"/>
        </w:rPr>
        <w:sectPr w:rsidR="00994CEC" w:rsidSect="00E719C1">
          <w:headerReference w:type="default" r:id="rId13"/>
          <w:footerReference w:type="default" r:id="rId14"/>
          <w:pgSz w:w="11906" w:h="16838"/>
          <w:pgMar w:top="1440" w:right="1440" w:bottom="1440" w:left="1440" w:header="708" w:footer="708" w:gutter="0"/>
          <w:pgNumType w:start="1"/>
          <w:cols w:space="708"/>
          <w:docGrid w:linePitch="360"/>
        </w:sectPr>
      </w:pPr>
    </w:p>
    <w:p w14:paraId="556DAE00" w14:textId="77777777" w:rsidR="007E3B8B" w:rsidRDefault="007E3B8B" w:rsidP="007E3B8B">
      <w:pPr>
        <w:pStyle w:val="ListParagraph"/>
        <w:numPr>
          <w:ilvl w:val="0"/>
          <w:numId w:val="25"/>
        </w:numPr>
        <w:spacing w:line="360" w:lineRule="auto"/>
        <w:rPr>
          <w:rFonts w:ascii="Arial" w:hAnsi="Arial" w:cs="Arial"/>
          <w:sz w:val="24"/>
          <w:szCs w:val="24"/>
        </w:rPr>
      </w:pPr>
      <w:r>
        <w:rPr>
          <w:rFonts w:ascii="Arial" w:hAnsi="Arial" w:cs="Arial"/>
          <w:sz w:val="24"/>
          <w:szCs w:val="24"/>
        </w:rPr>
        <w:t>Binary thinking</w:t>
      </w:r>
    </w:p>
    <w:p w14:paraId="6BB92890" w14:textId="77777777" w:rsidR="007E3B8B" w:rsidRDefault="007E3B8B" w:rsidP="007E3B8B">
      <w:pPr>
        <w:pStyle w:val="ListParagraph"/>
        <w:numPr>
          <w:ilvl w:val="0"/>
          <w:numId w:val="25"/>
        </w:numPr>
        <w:spacing w:line="360" w:lineRule="auto"/>
        <w:rPr>
          <w:rFonts w:ascii="Arial" w:hAnsi="Arial" w:cs="Arial"/>
          <w:sz w:val="24"/>
          <w:szCs w:val="24"/>
        </w:rPr>
      </w:pPr>
      <w:r w:rsidRPr="001A1926">
        <w:rPr>
          <w:rFonts w:ascii="Arial" w:hAnsi="Arial" w:cs="Arial"/>
          <w:sz w:val="24"/>
          <w:szCs w:val="24"/>
        </w:rPr>
        <w:t>Negative self-talk</w:t>
      </w:r>
      <w:r>
        <w:rPr>
          <w:rFonts w:ascii="Arial" w:hAnsi="Arial" w:cs="Arial"/>
          <w:sz w:val="24"/>
          <w:szCs w:val="24"/>
        </w:rPr>
        <w:t xml:space="preserve"> in the learner</w:t>
      </w:r>
    </w:p>
    <w:p w14:paraId="3956121A" w14:textId="77777777" w:rsidR="007E3B8B" w:rsidRDefault="007E3B8B" w:rsidP="007E3B8B">
      <w:pPr>
        <w:pStyle w:val="ListParagraph"/>
        <w:numPr>
          <w:ilvl w:val="0"/>
          <w:numId w:val="25"/>
        </w:numPr>
        <w:spacing w:line="360" w:lineRule="auto"/>
        <w:rPr>
          <w:rFonts w:ascii="Arial" w:hAnsi="Arial" w:cs="Arial"/>
          <w:sz w:val="24"/>
          <w:szCs w:val="24"/>
        </w:rPr>
      </w:pPr>
      <w:r>
        <w:rPr>
          <w:rFonts w:ascii="Arial" w:hAnsi="Arial" w:cs="Arial"/>
          <w:sz w:val="24"/>
          <w:szCs w:val="24"/>
        </w:rPr>
        <w:t>Perfectionism</w:t>
      </w:r>
    </w:p>
    <w:p w14:paraId="3601379A" w14:textId="77777777" w:rsidR="007E3B8B" w:rsidRDefault="007E3B8B" w:rsidP="007E3B8B">
      <w:pPr>
        <w:pStyle w:val="ListParagraph"/>
        <w:numPr>
          <w:ilvl w:val="0"/>
          <w:numId w:val="25"/>
        </w:numPr>
        <w:spacing w:line="360" w:lineRule="auto"/>
        <w:rPr>
          <w:rFonts w:ascii="Arial" w:hAnsi="Arial" w:cs="Arial"/>
          <w:sz w:val="24"/>
          <w:szCs w:val="24"/>
        </w:rPr>
      </w:pPr>
      <w:r>
        <w:rPr>
          <w:rFonts w:ascii="Arial" w:hAnsi="Arial" w:cs="Arial"/>
          <w:sz w:val="24"/>
          <w:szCs w:val="24"/>
        </w:rPr>
        <w:t>Anxiety</w:t>
      </w:r>
    </w:p>
    <w:p w14:paraId="6A676F3B" w14:textId="4A3FE52E" w:rsidR="00DC0612" w:rsidRPr="0061593A" w:rsidRDefault="007E3B8B" w:rsidP="0061593A">
      <w:pPr>
        <w:pStyle w:val="ListParagraph"/>
        <w:numPr>
          <w:ilvl w:val="0"/>
          <w:numId w:val="25"/>
        </w:numPr>
        <w:spacing w:line="360" w:lineRule="auto"/>
        <w:rPr>
          <w:rFonts w:ascii="Arial" w:hAnsi="Arial" w:cs="Arial"/>
          <w:sz w:val="24"/>
          <w:szCs w:val="24"/>
        </w:rPr>
      </w:pPr>
      <w:r>
        <w:rPr>
          <w:rFonts w:ascii="Arial" w:hAnsi="Arial" w:cs="Arial"/>
          <w:sz w:val="24"/>
          <w:szCs w:val="24"/>
        </w:rPr>
        <w:t>Criticism (actual or perceived)</w:t>
      </w:r>
    </w:p>
    <w:p w14:paraId="217F5DFF" w14:textId="77777777" w:rsidR="007E3B8B" w:rsidRPr="001A1926" w:rsidRDefault="007E3B8B" w:rsidP="007E3B8B">
      <w:pPr>
        <w:pStyle w:val="ListParagraph"/>
        <w:numPr>
          <w:ilvl w:val="0"/>
          <w:numId w:val="25"/>
        </w:numPr>
        <w:spacing w:line="360" w:lineRule="auto"/>
        <w:rPr>
          <w:rFonts w:ascii="Arial" w:hAnsi="Arial" w:cs="Arial"/>
          <w:sz w:val="24"/>
          <w:szCs w:val="24"/>
        </w:rPr>
      </w:pPr>
      <w:r w:rsidRPr="001A1926">
        <w:rPr>
          <w:rFonts w:ascii="Arial" w:hAnsi="Arial" w:cs="Arial"/>
          <w:sz w:val="24"/>
          <w:szCs w:val="24"/>
        </w:rPr>
        <w:t>Fear</w:t>
      </w:r>
    </w:p>
    <w:p w14:paraId="2E45C22D" w14:textId="77777777" w:rsidR="007E3B8B" w:rsidRDefault="007E3B8B" w:rsidP="007E3B8B">
      <w:pPr>
        <w:pStyle w:val="ListParagraph"/>
        <w:numPr>
          <w:ilvl w:val="0"/>
          <w:numId w:val="25"/>
        </w:numPr>
        <w:spacing w:line="360" w:lineRule="auto"/>
        <w:rPr>
          <w:rFonts w:ascii="Arial" w:hAnsi="Arial" w:cs="Arial"/>
          <w:sz w:val="24"/>
          <w:szCs w:val="24"/>
        </w:rPr>
      </w:pPr>
      <w:r>
        <w:rPr>
          <w:rFonts w:ascii="Arial" w:hAnsi="Arial" w:cs="Arial"/>
          <w:sz w:val="24"/>
          <w:szCs w:val="24"/>
        </w:rPr>
        <w:t>Shame</w:t>
      </w:r>
    </w:p>
    <w:p w14:paraId="4536F736" w14:textId="77777777" w:rsidR="007E3B8B" w:rsidRPr="000E1626" w:rsidRDefault="007E3B8B" w:rsidP="007E3B8B">
      <w:pPr>
        <w:pStyle w:val="ListParagraph"/>
        <w:numPr>
          <w:ilvl w:val="0"/>
          <w:numId w:val="25"/>
        </w:numPr>
        <w:spacing w:line="360" w:lineRule="auto"/>
        <w:rPr>
          <w:rFonts w:ascii="Arial" w:hAnsi="Arial" w:cs="Arial"/>
          <w:b/>
          <w:bCs/>
          <w:sz w:val="24"/>
          <w:szCs w:val="24"/>
        </w:rPr>
      </w:pPr>
      <w:r w:rsidRPr="000E1626">
        <w:rPr>
          <w:rFonts w:ascii="Arial" w:hAnsi="Arial" w:cs="Arial"/>
          <w:sz w:val="24"/>
          <w:szCs w:val="24"/>
        </w:rPr>
        <w:t>Ambiguity of instruction and feedback</w:t>
      </w:r>
    </w:p>
    <w:p w14:paraId="72493074" w14:textId="61B0848D" w:rsidR="00994CEC" w:rsidRDefault="00994CEC" w:rsidP="000A7FC3">
      <w:pPr>
        <w:spacing w:line="360" w:lineRule="auto"/>
        <w:rPr>
          <w:rFonts w:ascii="Arial" w:hAnsi="Arial" w:cs="Arial"/>
          <w:b/>
          <w:bCs/>
          <w:sz w:val="24"/>
          <w:szCs w:val="24"/>
        </w:rPr>
      </w:pPr>
    </w:p>
    <w:p w14:paraId="1DB45AE2" w14:textId="58D44038" w:rsidR="0061593A" w:rsidRDefault="0061593A" w:rsidP="000A7FC3">
      <w:pPr>
        <w:spacing w:line="360" w:lineRule="auto"/>
        <w:rPr>
          <w:rFonts w:ascii="Arial" w:hAnsi="Arial" w:cs="Arial"/>
          <w:b/>
          <w:bCs/>
          <w:sz w:val="24"/>
          <w:szCs w:val="24"/>
        </w:rPr>
        <w:sectPr w:rsidR="0061593A" w:rsidSect="00994CEC">
          <w:type w:val="continuous"/>
          <w:pgSz w:w="11906" w:h="16838"/>
          <w:pgMar w:top="1440" w:right="1440" w:bottom="1440" w:left="1440" w:header="708" w:footer="708" w:gutter="0"/>
          <w:cols w:num="2" w:space="708"/>
          <w:docGrid w:linePitch="360"/>
        </w:sectPr>
      </w:pPr>
    </w:p>
    <w:p w14:paraId="68B6BBAA" w14:textId="77777777" w:rsidR="007E3B8B" w:rsidRPr="000A7FC3" w:rsidRDefault="007E3B8B" w:rsidP="000A7FC3">
      <w:pPr>
        <w:spacing w:line="360" w:lineRule="auto"/>
        <w:rPr>
          <w:rFonts w:ascii="Arial" w:hAnsi="Arial" w:cs="Arial"/>
          <w:b/>
          <w:bCs/>
          <w:sz w:val="24"/>
          <w:szCs w:val="24"/>
        </w:rPr>
      </w:pPr>
      <w:r w:rsidRPr="000A7FC3">
        <w:rPr>
          <w:rFonts w:ascii="Arial" w:hAnsi="Arial" w:cs="Arial"/>
          <w:b/>
          <w:bCs/>
          <w:sz w:val="24"/>
          <w:szCs w:val="24"/>
        </w:rPr>
        <w:t>Strategies:</w:t>
      </w:r>
      <w:r w:rsidRPr="000A7FC3">
        <w:rPr>
          <w:rFonts w:ascii="Arial" w:hAnsi="Arial" w:cs="Arial"/>
          <w:b/>
          <w:bCs/>
          <w:sz w:val="24"/>
          <w:szCs w:val="24"/>
        </w:rPr>
        <w:tab/>
      </w:r>
    </w:p>
    <w:p w14:paraId="454A5BEC" w14:textId="77777777" w:rsidR="007E3B8B" w:rsidRDefault="007E3B8B" w:rsidP="005C6FB2">
      <w:pPr>
        <w:spacing w:line="360" w:lineRule="auto"/>
        <w:jc w:val="both"/>
        <w:rPr>
          <w:rFonts w:ascii="Arial" w:hAnsi="Arial" w:cs="Arial"/>
          <w:sz w:val="24"/>
          <w:szCs w:val="24"/>
        </w:rPr>
      </w:pPr>
      <w:r w:rsidRPr="000A7FC3">
        <w:rPr>
          <w:rFonts w:ascii="Arial" w:hAnsi="Arial" w:cs="Arial"/>
          <w:sz w:val="24"/>
          <w:szCs w:val="24"/>
        </w:rPr>
        <w:t>Thematic analysis</w:t>
      </w:r>
      <w:r>
        <w:rPr>
          <w:rFonts w:ascii="Arial" w:hAnsi="Arial" w:cs="Arial"/>
          <w:sz w:val="24"/>
          <w:szCs w:val="24"/>
        </w:rPr>
        <w:t xml:space="preserve"> of the corpus</w:t>
      </w:r>
      <w:r w:rsidRPr="000A7FC3">
        <w:rPr>
          <w:rFonts w:ascii="Arial" w:hAnsi="Arial" w:cs="Arial"/>
          <w:sz w:val="24"/>
          <w:szCs w:val="24"/>
        </w:rPr>
        <w:t xml:space="preserve"> aided the conceptualisation </w:t>
      </w:r>
      <w:r>
        <w:rPr>
          <w:rFonts w:ascii="Arial" w:hAnsi="Arial" w:cs="Arial"/>
          <w:sz w:val="24"/>
          <w:szCs w:val="24"/>
        </w:rPr>
        <w:t xml:space="preserve">of </w:t>
      </w:r>
      <w:r w:rsidRPr="000A7FC3">
        <w:rPr>
          <w:rFonts w:ascii="Arial" w:hAnsi="Arial" w:cs="Arial"/>
          <w:sz w:val="24"/>
          <w:szCs w:val="24"/>
        </w:rPr>
        <w:t>strateg</w:t>
      </w:r>
      <w:r>
        <w:rPr>
          <w:rFonts w:ascii="Arial" w:hAnsi="Arial" w:cs="Arial"/>
          <w:sz w:val="24"/>
          <w:szCs w:val="24"/>
        </w:rPr>
        <w:t>ies</w:t>
      </w:r>
      <w:r w:rsidRPr="000A7FC3">
        <w:rPr>
          <w:rFonts w:ascii="Arial" w:hAnsi="Arial" w:cs="Arial"/>
          <w:sz w:val="24"/>
          <w:szCs w:val="24"/>
        </w:rPr>
        <w:t xml:space="preserve"> </w:t>
      </w:r>
      <w:r>
        <w:rPr>
          <w:rFonts w:ascii="Arial" w:hAnsi="Arial" w:cs="Arial"/>
          <w:sz w:val="24"/>
          <w:szCs w:val="24"/>
        </w:rPr>
        <w:t xml:space="preserve">more specific to the lesson set-up and approach in </w:t>
      </w:r>
      <w:r w:rsidRPr="000A7FC3">
        <w:rPr>
          <w:rFonts w:ascii="Arial" w:hAnsi="Arial" w:cs="Arial"/>
          <w:sz w:val="24"/>
          <w:szCs w:val="24"/>
        </w:rPr>
        <w:t>the voice studio. The</w:t>
      </w:r>
      <w:r>
        <w:rPr>
          <w:rFonts w:ascii="Arial" w:hAnsi="Arial" w:cs="Arial"/>
          <w:sz w:val="24"/>
          <w:szCs w:val="24"/>
        </w:rPr>
        <w:t>se have been</w:t>
      </w:r>
      <w:r w:rsidRPr="000A7FC3">
        <w:rPr>
          <w:rFonts w:ascii="Arial" w:hAnsi="Arial" w:cs="Arial"/>
          <w:sz w:val="24"/>
          <w:szCs w:val="24"/>
        </w:rPr>
        <w:t xml:space="preserve"> </w:t>
      </w:r>
      <w:r>
        <w:rPr>
          <w:rFonts w:ascii="Arial" w:hAnsi="Arial" w:cs="Arial"/>
          <w:sz w:val="24"/>
          <w:szCs w:val="24"/>
        </w:rPr>
        <w:t xml:space="preserve">classified as: </w:t>
      </w:r>
      <w:r w:rsidRPr="000A7FC3">
        <w:rPr>
          <w:rFonts w:ascii="Arial" w:hAnsi="Arial" w:cs="Arial"/>
          <w:sz w:val="24"/>
          <w:szCs w:val="24"/>
        </w:rPr>
        <w:t xml:space="preserve">teaching and learning processes, </w:t>
      </w:r>
      <w:r>
        <w:rPr>
          <w:rFonts w:ascii="Arial" w:hAnsi="Arial" w:cs="Arial"/>
          <w:sz w:val="24"/>
          <w:szCs w:val="24"/>
        </w:rPr>
        <w:t xml:space="preserve">environment, and </w:t>
      </w:r>
      <w:r w:rsidRPr="000A7FC3">
        <w:rPr>
          <w:rFonts w:ascii="Arial" w:hAnsi="Arial" w:cs="Arial"/>
          <w:sz w:val="24"/>
          <w:szCs w:val="24"/>
        </w:rPr>
        <w:t>creativity</w:t>
      </w:r>
      <w:r>
        <w:rPr>
          <w:rFonts w:ascii="Arial" w:hAnsi="Arial" w:cs="Arial"/>
          <w:sz w:val="24"/>
          <w:szCs w:val="24"/>
        </w:rPr>
        <w:t>.</w:t>
      </w:r>
    </w:p>
    <w:p w14:paraId="566C9B0C" w14:textId="436336ED" w:rsidR="007E3B8B" w:rsidRPr="002A0FC0" w:rsidRDefault="00B625CC" w:rsidP="001E4163">
      <w:pPr>
        <w:spacing w:line="360" w:lineRule="auto"/>
        <w:jc w:val="both"/>
        <w:rPr>
          <w:rFonts w:ascii="Arial" w:hAnsi="Arial" w:cs="Arial"/>
          <w:sz w:val="24"/>
          <w:szCs w:val="24"/>
        </w:rPr>
      </w:pPr>
      <w:r>
        <w:rPr>
          <w:rFonts w:ascii="Arial" w:hAnsi="Arial" w:cs="Arial"/>
          <w:sz w:val="24"/>
          <w:szCs w:val="24"/>
        </w:rPr>
        <w:t xml:space="preserve">The research </w:t>
      </w:r>
      <w:r w:rsidR="001E4163">
        <w:rPr>
          <w:rFonts w:ascii="Arial" w:hAnsi="Arial" w:cs="Arial"/>
          <w:sz w:val="24"/>
          <w:szCs w:val="24"/>
        </w:rPr>
        <w:t>suggest</w:t>
      </w:r>
      <w:r>
        <w:rPr>
          <w:rFonts w:ascii="Arial" w:hAnsi="Arial" w:cs="Arial"/>
          <w:sz w:val="24"/>
          <w:szCs w:val="24"/>
        </w:rPr>
        <w:t>s</w:t>
      </w:r>
      <w:r w:rsidR="001E4163">
        <w:rPr>
          <w:rFonts w:ascii="Arial" w:hAnsi="Arial" w:cs="Arial"/>
          <w:sz w:val="24"/>
          <w:szCs w:val="24"/>
        </w:rPr>
        <w:t xml:space="preserve"> an</w:t>
      </w:r>
      <w:r w:rsidR="007E3B8B">
        <w:rPr>
          <w:rFonts w:ascii="Arial" w:hAnsi="Arial" w:cs="Arial"/>
          <w:sz w:val="24"/>
          <w:szCs w:val="24"/>
        </w:rPr>
        <w:t xml:space="preserve"> overarching approach</w:t>
      </w:r>
      <w:r w:rsidR="001E4163">
        <w:rPr>
          <w:rFonts w:ascii="Arial" w:hAnsi="Arial" w:cs="Arial"/>
          <w:sz w:val="24"/>
          <w:szCs w:val="24"/>
        </w:rPr>
        <w:t xml:space="preserve"> </w:t>
      </w:r>
      <w:r>
        <w:rPr>
          <w:rFonts w:ascii="Arial" w:hAnsi="Arial" w:cs="Arial"/>
          <w:sz w:val="24"/>
          <w:szCs w:val="24"/>
        </w:rPr>
        <w:t xml:space="preserve">which </w:t>
      </w:r>
      <w:r w:rsidR="007E3B8B">
        <w:rPr>
          <w:rFonts w:ascii="Arial" w:hAnsi="Arial" w:cs="Arial"/>
          <w:sz w:val="24"/>
          <w:szCs w:val="24"/>
        </w:rPr>
        <w:t>keep</w:t>
      </w:r>
      <w:r>
        <w:rPr>
          <w:rFonts w:ascii="Arial" w:hAnsi="Arial" w:cs="Arial"/>
          <w:sz w:val="24"/>
          <w:szCs w:val="24"/>
        </w:rPr>
        <w:t>s</w:t>
      </w:r>
      <w:r w:rsidR="007E3B8B">
        <w:rPr>
          <w:rFonts w:ascii="Arial" w:hAnsi="Arial" w:cs="Arial"/>
          <w:sz w:val="24"/>
          <w:szCs w:val="24"/>
        </w:rPr>
        <w:t xml:space="preserve"> knowledge of </w:t>
      </w:r>
      <w:r w:rsidR="007E3B8B" w:rsidRPr="002A0FC0">
        <w:rPr>
          <w:rFonts w:ascii="Arial" w:hAnsi="Arial" w:cs="Arial"/>
          <w:sz w:val="24"/>
          <w:szCs w:val="24"/>
        </w:rPr>
        <w:t xml:space="preserve">singing agency </w:t>
      </w:r>
      <w:r w:rsidR="007E3B8B">
        <w:rPr>
          <w:rFonts w:ascii="Arial" w:hAnsi="Arial" w:cs="Arial"/>
          <w:sz w:val="24"/>
          <w:szCs w:val="24"/>
        </w:rPr>
        <w:t xml:space="preserve">and self-efficacy at the heart of the </w:t>
      </w:r>
      <w:r w:rsidR="007E3B8B" w:rsidRPr="00B625CC">
        <w:rPr>
          <w:rFonts w:ascii="Arial" w:hAnsi="Arial" w:cs="Arial"/>
          <w:b/>
          <w:bCs/>
          <w:i/>
          <w:iCs/>
          <w:sz w:val="24"/>
          <w:szCs w:val="24"/>
        </w:rPr>
        <w:t>teaching and learning process</w:t>
      </w:r>
      <w:r w:rsidR="00E45B74">
        <w:rPr>
          <w:rFonts w:ascii="Arial" w:hAnsi="Arial" w:cs="Arial"/>
          <w:sz w:val="24"/>
          <w:szCs w:val="24"/>
        </w:rPr>
        <w:t>. T</w:t>
      </w:r>
      <w:r w:rsidR="007E3B8B">
        <w:rPr>
          <w:rFonts w:ascii="Arial" w:hAnsi="Arial" w:cs="Arial"/>
          <w:sz w:val="24"/>
          <w:szCs w:val="24"/>
        </w:rPr>
        <w:t xml:space="preserve">his can influence a teacher’s choices and approach </w:t>
      </w:r>
      <w:r w:rsidR="00E45B74">
        <w:rPr>
          <w:rFonts w:ascii="Arial" w:hAnsi="Arial" w:cs="Arial"/>
          <w:sz w:val="24"/>
          <w:szCs w:val="24"/>
        </w:rPr>
        <w:t>which can</w:t>
      </w:r>
      <w:r w:rsidR="007E3B8B">
        <w:rPr>
          <w:rFonts w:ascii="Arial" w:hAnsi="Arial" w:cs="Arial"/>
          <w:sz w:val="24"/>
          <w:szCs w:val="24"/>
        </w:rPr>
        <w:t xml:space="preserve"> improve the self-efficacy of students </w:t>
      </w:r>
      <w:r w:rsidR="007E3B8B">
        <w:rPr>
          <w:rFonts w:ascii="Arial" w:hAnsi="Arial" w:cs="Arial"/>
          <w:sz w:val="24"/>
          <w:szCs w:val="24"/>
        </w:rPr>
        <w:fldChar w:fldCharType="begin" w:fldLock="1"/>
      </w:r>
      <w:r w:rsidR="007E3B8B">
        <w:rPr>
          <w:rFonts w:ascii="Arial" w:hAnsi="Arial" w:cs="Arial"/>
          <w:sz w:val="24"/>
          <w:szCs w:val="24"/>
        </w:rPr>
        <w:instrText>ADDIN CSL_CITATION {"citationItems":[{"id":"ITEM-1","itemData":{"DOI":"10.1080/13603116.2017.1414578","ISSN":"14645173","abstract":"Inclusion has a high priority in education policy all over the world and teachers must be able to handle in practice increasing student diversity and the demands for creating an inclusive learning environment. In spite of the enhanced political focus, there is a lack of research focusing on how those teachers working with inclusion can be supported with more tangible and meaningful ways of understanding and developing inclusive classrooms. This article argues that seeing research in inclusion in close connection with research in effective teaching strategies and classroom management will contribute to an enrichment of the two research fields and give teachers and researchers new opportunities for developing more inclusive schools. Based on research focused on teaching strategies that support students’ opportunities for learning, four dimensions of inclusive teaching strategies are presented: a framing, a relational, a didactic and an organisational dimension. In addition, and in order to further understand teachers work with inclusive education in a more structural perspective, light is shed on the complexity that teachers are required to handle in practice. This complexity, among other things, entails dilemmas emerging from different agendas teachers often must handle themselves.","author":[{"dropping-particle":"","family":"Molbaek","given":"Mette","non-dropping-particle":"","parse-names":false,"suffix":""}],"container-title":"International Journal of Inclusive Education","id":"ITEM-1","issue":"10","issued":{"date-parts":[["2018"]]},"page":"1048-1061","publisher":"Taylor &amp; Francis","title":"Inclusive teaching strategies–dimensions and agendas","type":"article-journal","volume":"22"},"uris":["http://www.mendeley.com/documents/?uuid=542f940e-b6ac-4869-8130-c3b6e9be2a28"]},{"id":"ITEM-2","itemData":{"DOI":"10.1177/1321103X20930426","ISSN":"18345530","abstract":"The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Education","id":"ITEM-2","issue":"2","issued":{"date-parts":[["2021"]]},"page":"179-194","title":"Fostering singing agency through emotional differentiation in an inclusive singing environment","type":"article-journal","volume":"43"},"uris":["http://www.mendeley.com/documents/?uuid=df4ddb6b-d417-411f-9261-d87aba0aa367"]},{"id":"ITEM-3","itemData":{"DOI":"10.18546/LRE.13.1.05","ISSN":"14748479","abstract":"The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Education","id":"ITEM-3","issue":"1","issued":{"date-parts":[["2015"]]},"page":"43-57","title":"Critical geragogy: A framework for facilitating older learners in community music","type":"article-journal","volume":"13"},"uris":["http://www.mendeley.com/documents/?uuid=fa50dd99-4e1e-44de-a3f2-30dd41815d00"]},{"id":"ITEM-4","itemData":{"DOI":"10.1177/02557614221074057","ISBN":"0255761422107","ISSN":"1744795X","abstract":"Fostering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Education","id":"ITEM-4","issued":{"date-parts":[["2022"]]},"title":"“It’s your body, it’s part of who you are!”: Influences upon collegiate vocalists’ performance self-efficacy beliefs","type":"article-journal"},"uris":["http://www.mendeley.com/documents/?uuid=d1469298-0bbc-4c76-afcd-e0c4086da712"]},{"id":"ITEM-5","itemData":{"ISSN":"10867732","abstract":"The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Singing","id":"ITEM-5","issue":"4","issued":{"date-parts":[["2018"]]},"page":"405-414","title":"Critical Thought, Intrinsic Motivation, and the Voice Studio: Perspectives of Master Teachers.","type":"article-journal","volume":"74"},"uris":["http://www.mendeley.com/documents/?uuid=4030f552-7b94-4abf-bab4-c0b97b7babca"]},{"id":"ITEM-6","itemData":{"DOI":"10.1080/14613808.2019.1598346","ISSN":"14699893","abstract":"We explored the role of self-efficacy in participatory music-making, and whether a single such music-making activity could make non-musician adults more open to seeing themselves as musical. Past research has suggested that even recipients of multiple years of school music education do not consider being musical as a part of their identity, and they do not exit adolescence with an independent musicianship that would facilitate their making music as adults. In our study, we invited older adults to participate in an informal music-making experience designed to be participatory and enjoyable. A questionnaire measured musical beliefs and self-perceptions before and after the music activity. The posttest version included items through which participants indicated their self-efficacy during the activity. Data analysis revealed that across the entire sample, the average rating of how musical they considered themselves to be did not change significantly, but there was a significant jump in their reported likelihood of engaging in a collection of musical life activities. Specifically, there was a rise in the likelihood of playing musical instruments informally. The study’s most important finding was that participants with higher self-efficacy during the activity emerged from it believing themselves to be more musical than they had previously thought.","author":[{"dropping-particle":"","family":"Woody","given":"Robert H.","non-dropping-particle":"","parse-names":false,"suffix":""},{"dropping-particle":"","family":"Fraser","given":"Amy","non-dropping-particle":"","parse-names":false,"suffix":""},{"dropping-particle":"","family":"Nannen","given":"Briana","non-dropping-particle":"","parse-names":false,"suffix":""},{"dropping-particle":"","family":"Yukevich","given":"Polly","non-dropping-particle":"","parse-names":false,"suffix":""}],"container-title":"Music Education Research","id":"ITEM-6","issue":"3","issued":{"date-parts":[["2019"]]},"page":"315-330","publisher":"Taylor &amp; Francis","title":"Musical identities of older adults are not easily changed: an exploratory study","type":"article-journal","volume":"21"},"uris":["http://www.mendeley.com/documents/?uuid=c0731686-1857-43a8-8fa8-ba5ac99fc6e4"]},{"id":"ITEM-7","itemData":{"DOI":"10.1177/0022429411405214","ISSN":"00224294","abstract":"The Self-Efficacy for Musical Learning questionnaire was adapted and tested with 404 primary school children, producing a robust Cronbach alpha (0.87) and confirming a single underlying factor through exploratory factor analysis. Test-retest scores showed the measure's stability over a 9-month period. Data were collected on children's prior music experience, extracurricular activities, and typical daily activities. Children also completed the Short Warwick-Edinburgh Mental Well-Being Scale and the Strengths and Difficulties Questionnaire. Those currently engaged in music tuition (learning an instrument or singing) had significantly higher self-efficacy scores than children who were not, and overall, girls' scores were significantly higher than boys'. Correlations with various additional measures, including wellbeing and reading for pleasure, highlighted multifaceted relationships of self-efficacy to children's lives. Regression analyses revealed that prior experience with instrumental tuition was the strongest predictor of music self-efficacy for learning; prosocial behaviors predicted boys' scores, and well-being predicted girls' scores. © 2011 MENC: The National Association for Music Education.","author":[{"dropping-particle":"","family":"Ritchie","given":"Laura","non-dropping-particle":"","parse-names":false,"suffix":""},{"dropping-particle":"","family":"Williamon","given":"Aaron","non-dropping-particle":"","parse-names":false,"suffix":""}],"container-title":"Journal of Research in Music Education","id":"ITEM-7","issue":"2","issued":{"date-parts":[["2011"]]},"page":"146-161","title":"Primary school children's Self-efficacy for Music Learning","type":"article-journal","volume":"59"},"uris":["http://www.mendeley.com/documents/?uuid=240473f6-1468-4960-8481-528f722fddd9"]}],"mendeley":{"formattedCitation":"(Ritchie and Williamon, 2011; Creech and Hallam, 2015; Molbaek, 2018; Stephenson, 2018; Woody &lt;i&gt;et al.&lt;/i&gt;, 2019; Hogle, 2021; Lewis and Hendricks, 2022)","plainTextFormattedCitation":"(Ritchie and Williamon, 2011; Creech and Hallam, 2015; Molbaek, 2018; Stephenson, 2018; Woody et al., 2019; Hogle, 2021; Lewis and Hendricks, 2022)","previouslyFormattedCitation":"(Ritchie and Williamon, 2011; Creech and Hallam, 2015; Molbaek, 2018; Stephenson, 2018; Woody &lt;i&gt;et al.&lt;/i&gt;, 2019; Hogle, 2021; Lewis and Hendricks, 2022)"},"properties":{"noteIndex":0},"schema":"https://github.com/citation-style-language/schema/raw/master/csl-citation.json"}</w:instrText>
      </w:r>
      <w:r w:rsidR="007E3B8B">
        <w:rPr>
          <w:rFonts w:ascii="Arial" w:hAnsi="Arial" w:cs="Arial"/>
          <w:sz w:val="24"/>
          <w:szCs w:val="24"/>
        </w:rPr>
        <w:fldChar w:fldCharType="separate"/>
      </w:r>
      <w:r w:rsidR="007E3B8B" w:rsidRPr="00E10ECC">
        <w:rPr>
          <w:rFonts w:ascii="Arial" w:hAnsi="Arial" w:cs="Arial"/>
          <w:noProof/>
          <w:sz w:val="24"/>
          <w:szCs w:val="24"/>
        </w:rPr>
        <w:t xml:space="preserve">(Ritchie and Williamon, 2011; Creech and Hallam, 2015; Molbaek, 2018; Stephenson, 2018; Woody </w:t>
      </w:r>
      <w:r w:rsidR="007E3B8B" w:rsidRPr="00E10ECC">
        <w:rPr>
          <w:rFonts w:ascii="Arial" w:hAnsi="Arial" w:cs="Arial"/>
          <w:i/>
          <w:noProof/>
          <w:sz w:val="24"/>
          <w:szCs w:val="24"/>
        </w:rPr>
        <w:t>et al.</w:t>
      </w:r>
      <w:r w:rsidR="007E3B8B" w:rsidRPr="00E10ECC">
        <w:rPr>
          <w:rFonts w:ascii="Arial" w:hAnsi="Arial" w:cs="Arial"/>
          <w:noProof/>
          <w:sz w:val="24"/>
          <w:szCs w:val="24"/>
        </w:rPr>
        <w:t>, 2019; Hogle, 2021; Lewis and Hendricks, 2022)</w:t>
      </w:r>
      <w:r w:rsidR="007E3B8B">
        <w:rPr>
          <w:rFonts w:ascii="Arial" w:hAnsi="Arial" w:cs="Arial"/>
          <w:sz w:val="24"/>
          <w:szCs w:val="24"/>
        </w:rPr>
        <w:fldChar w:fldCharType="end"/>
      </w:r>
      <w:r w:rsidR="007E3B8B">
        <w:rPr>
          <w:rFonts w:ascii="Arial" w:hAnsi="Arial" w:cs="Arial"/>
          <w:sz w:val="24"/>
          <w:szCs w:val="24"/>
        </w:rPr>
        <w:t>.</w:t>
      </w:r>
    </w:p>
    <w:p w14:paraId="1F84F520" w14:textId="352A5658" w:rsidR="007E3B8B" w:rsidRDefault="007E3B8B" w:rsidP="000C4B6C">
      <w:pPr>
        <w:spacing w:line="360" w:lineRule="auto"/>
        <w:jc w:val="both"/>
        <w:rPr>
          <w:rFonts w:ascii="Arial" w:hAnsi="Arial" w:cs="Arial"/>
          <w:sz w:val="24"/>
          <w:szCs w:val="24"/>
        </w:rPr>
      </w:pPr>
      <w:r>
        <w:rPr>
          <w:rFonts w:ascii="Arial" w:hAnsi="Arial" w:cs="Arial"/>
          <w:sz w:val="24"/>
          <w:szCs w:val="24"/>
        </w:rPr>
        <w:t xml:space="preserve">The next key area of focus is a </w:t>
      </w:r>
      <w:r w:rsidRPr="000C4B6C">
        <w:rPr>
          <w:rFonts w:ascii="Arial" w:hAnsi="Arial" w:cs="Arial"/>
          <w:b/>
          <w:bCs/>
          <w:i/>
          <w:iCs/>
          <w:sz w:val="24"/>
          <w:szCs w:val="24"/>
        </w:rPr>
        <w:t>student</w:t>
      </w:r>
      <w:r w:rsidR="00E720BD">
        <w:rPr>
          <w:rFonts w:ascii="Arial" w:hAnsi="Arial" w:cs="Arial"/>
          <w:b/>
          <w:bCs/>
          <w:i/>
          <w:iCs/>
          <w:sz w:val="24"/>
          <w:szCs w:val="24"/>
        </w:rPr>
        <w:t>-</w:t>
      </w:r>
      <w:r w:rsidRPr="000C4B6C">
        <w:rPr>
          <w:rFonts w:ascii="Arial" w:hAnsi="Arial" w:cs="Arial"/>
          <w:b/>
          <w:bCs/>
          <w:i/>
          <w:iCs/>
          <w:sz w:val="24"/>
          <w:szCs w:val="24"/>
        </w:rPr>
        <w:t>led process</w:t>
      </w:r>
      <w:r>
        <w:rPr>
          <w:rFonts w:ascii="Arial" w:hAnsi="Arial" w:cs="Arial"/>
          <w:b/>
          <w:bCs/>
          <w:i/>
          <w:iCs/>
          <w:sz w:val="24"/>
          <w:szCs w:val="24"/>
        </w:rPr>
        <w:t xml:space="preserve">. </w:t>
      </w:r>
      <w:r>
        <w:rPr>
          <w:rFonts w:ascii="Arial" w:hAnsi="Arial" w:cs="Arial"/>
          <w:sz w:val="24"/>
          <w:szCs w:val="24"/>
        </w:rPr>
        <w:t>Paying attention to each student and their needs aids d</w:t>
      </w:r>
      <w:r w:rsidRPr="00A42249">
        <w:rPr>
          <w:rFonts w:ascii="Arial" w:hAnsi="Arial" w:cs="Arial"/>
          <w:sz w:val="24"/>
          <w:szCs w:val="24"/>
        </w:rPr>
        <w:t>ifferentiation</w:t>
      </w:r>
      <w:r>
        <w:rPr>
          <w:rFonts w:ascii="Arial" w:hAnsi="Arial" w:cs="Arial"/>
          <w:sz w:val="24"/>
          <w:szCs w:val="24"/>
        </w:rPr>
        <w:t xml:space="preserve"> or task, feedback, emotional needs, and triggers </w:t>
      </w:r>
      <w:r>
        <w:rPr>
          <w:rFonts w:ascii="Arial" w:hAnsi="Arial" w:cs="Arial"/>
          <w:sz w:val="24"/>
          <w:szCs w:val="24"/>
        </w:rPr>
        <w:fldChar w:fldCharType="begin" w:fldLock="1"/>
      </w:r>
      <w:r>
        <w:rPr>
          <w:rFonts w:ascii="Arial" w:hAnsi="Arial" w:cs="Arial"/>
          <w:sz w:val="24"/>
          <w:szCs w:val="24"/>
        </w:rPr>
        <w:instrText>ADDIN CSL_CITATION {"citationItems":[{"id":"ITEM-1","itemData":{"DOI":"10.18546/LRE.13.1.05","ISSN":"14748479","abstract":"The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Education","id":"ITEM-1","issue":"1","issued":{"date-parts":[["2015"]]},"page":"43-57","title":"Critical geragogy: A framework for facilitating older learners in community music","type":"article-journal","volume":"13"},"uris":["http://www.mendeley.com/documents/?uuid=fa50dd99-4e1e-44de-a3f2-30dd41815d00"]},{"id":"ITEM-2","itemData":{"DOI":"10.1177/1321103X20930426","ISSN":"18345530","abstract":"The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Education","id":"ITEM-2","issue":"2","issued":{"date-parts":[["2021"]]},"page":"179-194","title":"Fostering singing agency through emotional differentiation in an inclusive singing environment","type":"article-journal","volume":"43"},"uris":["http://www.mendeley.com/documents/?uuid=df4ddb6b-d417-411f-9261-d87aba0aa367"]},{"id":"ITEM-3","itemData":{"DOI":"10.1177/02557614221074057","ISBN":"0255761422107","ISSN":"1744795X","abstract":"Fostering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Education","id":"ITEM-3","issued":{"date-parts":[["2022"]]},"title":"“It’s your body, it’s part of who you are!”: Influences upon collegiate vocalists’ performance self-efficacy beliefs","type":"article-journal"},"uris":["http://www.mendeley.com/documents/?uuid=d1469298-0bbc-4c76-afcd-e0c4086da712"]},{"id":"ITEM-4","itemData":{"DOI":"10.1177/0022429411405214","ISSN":"00224294","abstract":"The Self-Efficacy for Musical Learning questionnaire was adapted and tested with 404 primary school children, producing a robust Cronbach alpha (0.87) and confirming a single underlying factor through exploratory factor analysis. Test-retest scores showed the measure's stability over a 9-month period. Data were collected on children's prior music experience, extracurricular activities, and typical daily activities. Children also completed the Short Warwick-Edinburgh Mental Well-Being Scale and the Strengths and Difficulties Questionnaire. Those currently engaged in music tuition (learning an instrument or singing) had significantly higher self-efficacy scores than children who were not, and overall, girls' scores were significantly higher than boys'. Correlations with various additional measures, including wellbeing and reading for pleasure, highlighted multifaceted relationships of self-efficacy to children's lives. Regression analyses revealed that prior experience with instrumental tuition was the strongest predictor of music self-efficacy for learning; prosocial behaviors predicted boys' scores, and well-being predicted girls' scores. © 2011 MENC: The National Association for Music Education.","author":[{"dropping-particle":"","family":"Ritchie","given":"Laura","non-dropping-particle":"","parse-names":false,"suffix":""},{"dropping-particle":"","family":"Williamon","given":"Aaron","non-dropping-particle":"","parse-names":false,"suffix":""}],"container-title":"Journal of Research in Music Education","id":"ITEM-4","issue":"2","issued":{"date-parts":[["2011"]]},"page":"146-161","title":"Primary school children's Self-efficacy for Music Learning","type":"article-journal","volume":"59"},"uris":["http://www.mendeley.com/documents/?uuid=240473f6-1468-4960-8481-528f722fddd9"]},{"id":"ITEM-5","itemData":{"ISSN":"10867732","abstract":"The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Singing","id":"ITEM-5","issue":"4","issued":{"date-parts":[["2018"]]},"page":"405-414","title":"Critical Thought, Intrinsic Motivation, and the Voice Studio: Perspectives of Master Teachers.","type":"article-journal","volume":"74"},"uris":["http://www.mendeley.com/documents/?uuid=4030f552-7b94-4abf-bab4-c0b97b7babca"]}],"mendeley":{"formattedCitation":"(Ritchie and Williamon, 2011; Creech and Hallam, 2015; Stephenson, 2018; Hogle, 2021; Lewis and Hendricks, 2022)","plainTextFormattedCitation":"(Ritchie and Williamon, 2011; Creech and Hallam, 2015; Stephenson, 2018; Hogle, 2021; Lewis and Hendricks, 2022)","previouslyFormattedCitation":"(Ritchie and Williamon, 2011; Creech and Hallam, 2015; Stephenson, 2018; Hogle, 2021; Lewis and Hendricks, 2022)"},"properties":{"noteIndex":0},"schema":"https://github.com/citation-style-language/schema/raw/master/csl-citation.json"}</w:instrText>
      </w:r>
      <w:r>
        <w:rPr>
          <w:rFonts w:ascii="Arial" w:hAnsi="Arial" w:cs="Arial"/>
          <w:sz w:val="24"/>
          <w:szCs w:val="24"/>
        </w:rPr>
        <w:fldChar w:fldCharType="separate"/>
      </w:r>
      <w:r w:rsidRPr="00A73538">
        <w:rPr>
          <w:rFonts w:ascii="Arial" w:hAnsi="Arial" w:cs="Arial"/>
          <w:noProof/>
          <w:sz w:val="24"/>
          <w:szCs w:val="24"/>
        </w:rPr>
        <w:t>(Ritchie and Williamon, 2011; Creech and Hallam, 2015; Stephenson, 2018; Hogle, 2021; Lewis and Hendricks, 2022)</w:t>
      </w:r>
      <w:r>
        <w:rPr>
          <w:rFonts w:ascii="Arial" w:hAnsi="Arial" w:cs="Arial"/>
          <w:sz w:val="24"/>
          <w:szCs w:val="24"/>
        </w:rPr>
        <w:fldChar w:fldCharType="end"/>
      </w:r>
      <w:r>
        <w:rPr>
          <w:rFonts w:ascii="Arial" w:hAnsi="Arial" w:cs="Arial"/>
          <w:sz w:val="24"/>
          <w:szCs w:val="24"/>
        </w:rPr>
        <w:t>. This can extend to specific areas such as repertoire choice where appropriate challenge and familiarity can aid self-efficacy improvements</w:t>
      </w:r>
      <w:r w:rsidR="00FB3711">
        <w:rPr>
          <w:rFonts w:ascii="Arial" w:hAnsi="Arial" w:cs="Arial"/>
          <w:sz w:val="24"/>
          <w:szCs w:val="24"/>
        </w:rPr>
        <w:t xml:space="preserve"> </w:t>
      </w:r>
      <w:r w:rsidR="00FB3711">
        <w:rPr>
          <w:rFonts w:ascii="Arial" w:hAnsi="Arial" w:cs="Arial"/>
          <w:sz w:val="24"/>
          <w:szCs w:val="24"/>
        </w:rPr>
        <w:fldChar w:fldCharType="begin" w:fldLock="1"/>
      </w:r>
      <w:r w:rsidR="00525042">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beliefs","type":"article-journal"},"uris":["http://www.mendeley.com/documents/?uuid=d1469298-0bbc-4c76-afcd-e0c4086da712"]}],"mendeley":{"formattedCitation":"(Hogle, 2021; Lewis and Hendricks, 2022)","plainTextFormattedCitation":"(Hogle, 2021; Lewis and Hendricks, 2022)","previouslyFormattedCitation":"(Hogle, 2021; Lewis and Hendricks, 2022)"},"properties":{"noteIndex":0},"schema":"https://github.com/citation-style-language/schema/raw/master/csl-citation.json"}</w:instrText>
      </w:r>
      <w:r w:rsidR="00FB3711">
        <w:rPr>
          <w:rFonts w:ascii="Arial" w:hAnsi="Arial" w:cs="Arial"/>
          <w:sz w:val="24"/>
          <w:szCs w:val="24"/>
        </w:rPr>
        <w:fldChar w:fldCharType="separate"/>
      </w:r>
      <w:r w:rsidR="00FB3711" w:rsidRPr="00FB3711">
        <w:rPr>
          <w:rFonts w:ascii="Arial" w:hAnsi="Arial" w:cs="Arial"/>
          <w:noProof/>
          <w:sz w:val="24"/>
          <w:szCs w:val="24"/>
        </w:rPr>
        <w:t>(Hogle, 2021; Lewis and Hendricks, 2022)</w:t>
      </w:r>
      <w:r w:rsidR="00FB3711">
        <w:rPr>
          <w:rFonts w:ascii="Arial" w:hAnsi="Arial" w:cs="Arial"/>
          <w:sz w:val="24"/>
          <w:szCs w:val="24"/>
        </w:rPr>
        <w:fldChar w:fldCharType="end"/>
      </w:r>
      <w:r w:rsidR="00FB3711">
        <w:rPr>
          <w:rFonts w:ascii="Arial" w:hAnsi="Arial" w:cs="Arial"/>
          <w:sz w:val="24"/>
          <w:szCs w:val="24"/>
        </w:rPr>
        <w:t>. S</w:t>
      </w:r>
      <w:r>
        <w:rPr>
          <w:rFonts w:ascii="Arial" w:hAnsi="Arial" w:cs="Arial"/>
          <w:sz w:val="24"/>
          <w:szCs w:val="24"/>
        </w:rPr>
        <w:t>tudent engagement</w:t>
      </w:r>
      <w:r w:rsidR="00334701">
        <w:rPr>
          <w:rFonts w:ascii="Arial" w:hAnsi="Arial" w:cs="Arial"/>
          <w:sz w:val="24"/>
          <w:szCs w:val="24"/>
        </w:rPr>
        <w:t xml:space="preserve"> and </w:t>
      </w:r>
      <w:r>
        <w:rPr>
          <w:rFonts w:ascii="Arial" w:hAnsi="Arial" w:cs="Arial"/>
          <w:sz w:val="24"/>
          <w:szCs w:val="24"/>
        </w:rPr>
        <w:t xml:space="preserve"> student ownership of learning through choice</w:t>
      </w:r>
      <w:r w:rsidR="00334701">
        <w:rPr>
          <w:rFonts w:ascii="Arial" w:hAnsi="Arial" w:cs="Arial"/>
          <w:sz w:val="24"/>
          <w:szCs w:val="24"/>
        </w:rPr>
        <w:t xml:space="preserve"> can foster the</w:t>
      </w:r>
      <w:r>
        <w:rPr>
          <w:rFonts w:ascii="Arial" w:hAnsi="Arial" w:cs="Arial"/>
          <w:sz w:val="24"/>
          <w:szCs w:val="24"/>
        </w:rPr>
        <w:t xml:space="preserve"> mastery experiences</w:t>
      </w:r>
      <w:r w:rsidR="00334701">
        <w:rPr>
          <w:rFonts w:ascii="Arial" w:hAnsi="Arial" w:cs="Arial"/>
          <w:sz w:val="24"/>
          <w:szCs w:val="24"/>
        </w:rPr>
        <w:t xml:space="preserve"> required for self-efficacy </w:t>
      </w:r>
      <w:r w:rsidR="00616080">
        <w:rPr>
          <w:rFonts w:ascii="Arial" w:hAnsi="Arial" w:cs="Arial"/>
          <w:sz w:val="24"/>
          <w:szCs w:val="24"/>
        </w:rPr>
        <w:t>development</w:t>
      </w:r>
      <w:r>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beliefs","type":"article-journal"},"uris":["http://www.mendeley.com/documents/?uuid=d1469298-0bbc-4c76-afcd-e0c4086da712"]},{"id":"ITEM-2","itemData":{"abstract":"This dissertation is a study wrapped in a metaphor of voices, figurative and literal. It is a story of four singers over the course of 12 weeks and weaves through individuals in a group singing class. As a study, it used integral inquiry and emphasized action and narrative research. It explored one overarching research question, which naturally led to several sub-questions: In what ways might Mindfulness Awareness Practices (MAPS) and contemplative teaching and learning practices affect singers’ experiences of their own vocal and personal growth? (Sub- questions: What practices are reported as being successful?; How do participants experience growth?; How might singers and teachers shift to a mindset of process and progress throughout practicing and performing?; How do we create a space of mutuality and trust to foster self- reflection?; How do we balance instruction, offering feedback when needed and wanted while fostering self-trust and independence? While","author":[{"dropping-particle":"","family":"Blackhurst","given":"Lindsey Elizabeth","non-dropping-particle":"","parse-names":false,"suffix":""}],"container-title":"University of Colombia Doctor of Education submission","id":"ITEM-2","issued":{"date-parts":[["2021"]]},"title":"Exploring the Whole Singing Self with Technique, Contemplative Education, and Mindfulness","type":"thesis"},"uris":["http://www.mendeley.com/documents/?uuid=79851e18-e8d1-4fb1-960f-0d0a2b1452b7"]},{"id":"ITEM-3","itemData":{"abstract":"Based on Bandura's theory that those who believe they can do what they set out to do are healthier, more efficient and more successful than those with low self-efficacy expectations. This theory has stimulated programs of research in education, clinicaland developmental psychology, medicine and related fields, athletics and business organization.","author":[{"dropping-particle":"","family":"Bandura","given":"Albert","non-dropping-particle":"","parse-names":false,"suffix":""}],"id":"ITEM-3","issued":{"date-parts":[["1997"]]},"publisher":"W.H.Freeman &amp; Co Ltd","publisher-place":"New York","title":"Self-efficacy : The Exercise of Control.","type":"book"},"uris":["http://www.mendeley.com/documents/?uuid=29014b0e-1932-4150-a247-953655b38468"]},{"id":"ITEM-4","itemData":{"DOI":"10.1177/1321103X20930426","ISSN":"18345530","abstract":"The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Education","id":"ITEM-4","issue":"2","issued":{"date-parts":[["2021"]]},"page":"179-194","title":"Fostering singing agency through emotional differentiation in an inclusive singing environment","type":"article-journal","volume":"43"},"uris":["http://www.mendeley.com/documents/?uuid=df4ddb6b-d417-411f-9261-d87aba0aa367"]}],"mendeley":{"formattedCitation":"(Bandura, 1997; Blackhurst, 2021; Hogle, 2021; Lewis and Hendricks, 2022)","plainTextFormattedCitation":"(Bandura, 1997; Blackhurst, 2021; Hogle, 2021; Lewis and Hendricks, 2022)","previouslyFormattedCitation":"(Bandura, 1997; Blackhurst, 2021; Hogle, 2021; Lewis and Hendricks, 2022)"},"properties":{"noteIndex":0},"schema":"https://github.com/citation-style-language/schema/raw/master/csl-citation.json"}</w:instrText>
      </w:r>
      <w:r>
        <w:rPr>
          <w:rFonts w:ascii="Arial" w:hAnsi="Arial" w:cs="Arial"/>
          <w:sz w:val="24"/>
          <w:szCs w:val="24"/>
        </w:rPr>
        <w:fldChar w:fldCharType="separate"/>
      </w:r>
      <w:r w:rsidRPr="00A97A87">
        <w:rPr>
          <w:rFonts w:ascii="Arial" w:hAnsi="Arial" w:cs="Arial"/>
          <w:noProof/>
          <w:sz w:val="24"/>
          <w:szCs w:val="24"/>
        </w:rPr>
        <w:t>(Bandura, 1997; Blackhurst, 2021; Hogle, 2021; Lewis and Hendricks, 2022)</w:t>
      </w:r>
      <w:r>
        <w:rPr>
          <w:rFonts w:ascii="Arial" w:hAnsi="Arial" w:cs="Arial"/>
          <w:sz w:val="24"/>
          <w:szCs w:val="24"/>
        </w:rPr>
        <w:fldChar w:fldCharType="end"/>
      </w:r>
      <w:r>
        <w:rPr>
          <w:rFonts w:ascii="Arial" w:hAnsi="Arial" w:cs="Arial"/>
          <w:sz w:val="24"/>
          <w:szCs w:val="24"/>
        </w:rPr>
        <w:t>. A student</w:t>
      </w:r>
      <w:r w:rsidR="00E720BD">
        <w:rPr>
          <w:rFonts w:ascii="Arial" w:hAnsi="Arial" w:cs="Arial"/>
          <w:sz w:val="24"/>
          <w:szCs w:val="24"/>
        </w:rPr>
        <w:t>-</w:t>
      </w:r>
      <w:r>
        <w:rPr>
          <w:rFonts w:ascii="Arial" w:hAnsi="Arial" w:cs="Arial"/>
          <w:sz w:val="24"/>
          <w:szCs w:val="24"/>
        </w:rPr>
        <w:t>led process further keeps student comfort in mind with the addition of non-judgemental teaching, safely challenging fears, and the promotion of balance, choice, play, and accessibility</w:t>
      </w:r>
      <w:r w:rsidRPr="00BD7D55">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{"citationItems":[{"id":"ITEM-1","itemData":{"abstract":"This dissertation is a study wrapped in a metaphor of voices, figurative and literal. It is a story of four singers over the course of 12 weeks and weaves through individuals in a group singing class. As a study, it used integral inquiry and emphasized action and narrative research. It explored one overarching research question, which naturally led to several sub-questions: In what ways might Mindfulness Awareness Practices (MAPS) and contemplative teaching and learning practices affect singers’ experiences of their own vocal and personal growth? (Sub- questions: What practices are reported as being successful?; How do participants experience growth?; How might singers and teachers shift to a mindset of process and progress throughout practicing and performing?; How do we create a space of mutuality and trust to foster self- reflection?; How do we balance instruction, offering feedback when needed and wanted while fostering self-trust and independence? While","author":[{"dropping-particle":"","family":"Blackhurst","given":"Lindsey Elizabeth","non-dropping-particle":"","parse-names":false,"suffix":""}],"container-title":"University of Colombia Doctor of Education submission","id":"ITEM-1","issued":{"date-parts":[["2021"]]},"title":"Exploring the Whole Singing Self with Technique, Contemplative Education, and Mindfulness","type":"thesis"},"uris":["http://www.mendeley.com/documents/?uuid=79851e18-e8d1-4fb1-960f-0d0a2b1452b7"]},{"id":"ITEM-2","itemData":{"DOI":"10.18546/LRE.13.1.05","ISSN":"14748479","abstract":"The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Education","id":"ITEM-2","issue":"1","issued":{"date-parts":[["2015"]]},"page":"43-57","title":"Critical geragogy: A framework for facilitating older learners in community music","type":"article-journal","volume":"13"},"uris":["http://www.mendeley.com/documents/?uuid=fa50dd99-4e1e-44de-a3f2-30dd41815d00"]},{"id":"ITEM-3","itemData":{"DOI":"10.1177/1321103X20930426","ISSN":"18345530","abstract":"The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Education","id":"ITEM-3","issue":"2","issued":{"date-parts":[["2021"]]},"page":"179-194","title":"Fostering singing agency through emotional differentiation in an inclusive singing environment","type":"article-journal","volume":"43"},"uris":["http://www.mendeley.com/documents/?uuid=df4ddb6b-d417-411f-9261-d87aba0aa367"]},{"id":"ITEM-4","itemData":{"DOI":"10.1177/02557614221074057","ISBN":"0255761422107","ISSN":"1744795X","abstract":"Fostering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Education","id":"ITEM-4","issued":{"date-parts":[["2022"]]},"title":"“It’s your body, it’s part of who you are!”: Influences upon collegiate vocalists’ performance self-efficacy beliefs","type":"article-journal"},"uris":["http://www.mendeley.com/documents/?uuid=d1469298-0bbc-4c76-afcd-e0c4086da712"]}],"mendeley":{"formattedCitation":"(Creech and Hallam, 2015; Blackhurst, 2021; Hogle, 2021; Lewis and Hendricks, 2022)","plainTextFormattedCitation":"(Creech and Hallam, 2015; Blackhurst, 2021; Hogle, 2021; Lewis and Hendricks, 2022)","previouslyFormattedCitation":"(Creech and Hallam, 2015; Blackhurst, 2021; Hogle, 2021; Lewis and Hendricks, 2022)"},"properties":{"noteIndex":0},"schema":"https://github.com/citation-style-language/schema/raw/master/csl-citation.json"}</w:instrText>
      </w:r>
      <w:r>
        <w:rPr>
          <w:rFonts w:ascii="Arial" w:hAnsi="Arial" w:cs="Arial"/>
          <w:sz w:val="24"/>
          <w:szCs w:val="24"/>
        </w:rPr>
        <w:fldChar w:fldCharType="separate"/>
      </w:r>
      <w:r w:rsidRPr="00853EB9">
        <w:rPr>
          <w:rFonts w:ascii="Arial" w:hAnsi="Arial" w:cs="Arial"/>
          <w:noProof/>
          <w:sz w:val="24"/>
          <w:szCs w:val="24"/>
        </w:rPr>
        <w:t xml:space="preserve">(Creech and Hallam, 2015; </w:t>
      </w:r>
      <w:r w:rsidRPr="00853EB9">
        <w:rPr>
          <w:rFonts w:ascii="Arial" w:hAnsi="Arial" w:cs="Arial"/>
          <w:noProof/>
          <w:sz w:val="24"/>
          <w:szCs w:val="24"/>
        </w:rPr>
        <w:lastRenderedPageBreak/>
        <w:t>Blackhurst, 2021; Hogle, 2021; Lewis and Hendricks, 2022)</w:t>
      </w:r>
      <w:r>
        <w:rPr>
          <w:rFonts w:ascii="Arial" w:hAnsi="Arial" w:cs="Arial"/>
          <w:sz w:val="24"/>
          <w:szCs w:val="24"/>
        </w:rPr>
        <w:fldChar w:fldCharType="end"/>
      </w:r>
      <w:r>
        <w:rPr>
          <w:rFonts w:ascii="Arial" w:hAnsi="Arial" w:cs="Arial"/>
          <w:sz w:val="24"/>
          <w:szCs w:val="24"/>
        </w:rPr>
        <w:t xml:space="preserve">. </w:t>
      </w:r>
      <w:r w:rsidRPr="00C74624">
        <w:rPr>
          <w:rFonts w:ascii="Arial" w:hAnsi="Arial" w:cs="Arial"/>
          <w:b/>
          <w:bCs/>
          <w:i/>
          <w:iCs/>
          <w:sz w:val="24"/>
          <w:szCs w:val="24"/>
        </w:rPr>
        <w:t>Process</w:t>
      </w:r>
      <w:r w:rsidR="008B4851">
        <w:rPr>
          <w:rFonts w:ascii="Arial" w:hAnsi="Arial" w:cs="Arial"/>
          <w:b/>
          <w:bCs/>
          <w:i/>
          <w:iCs/>
          <w:sz w:val="24"/>
          <w:szCs w:val="24"/>
        </w:rPr>
        <w:t>-</w:t>
      </w:r>
      <w:r w:rsidRPr="00C74624">
        <w:rPr>
          <w:rFonts w:ascii="Arial" w:hAnsi="Arial" w:cs="Arial"/>
          <w:b/>
          <w:bCs/>
          <w:i/>
          <w:iCs/>
          <w:sz w:val="24"/>
          <w:szCs w:val="24"/>
        </w:rPr>
        <w:t>led work</w:t>
      </w:r>
      <w:r>
        <w:rPr>
          <w:rFonts w:ascii="Arial" w:hAnsi="Arial" w:cs="Arial"/>
          <w:b/>
          <w:bCs/>
          <w:i/>
          <w:iCs/>
          <w:sz w:val="24"/>
          <w:szCs w:val="24"/>
        </w:rPr>
        <w:t xml:space="preserve"> </w:t>
      </w:r>
      <w:r>
        <w:rPr>
          <w:rFonts w:ascii="Arial" w:hAnsi="Arial" w:cs="Arial"/>
          <w:sz w:val="24"/>
          <w:szCs w:val="24"/>
        </w:rPr>
        <w:t xml:space="preserve">can help a teacher have and promote a developmental/ growth mindset </w:t>
      </w:r>
      <w:r>
        <w:rPr>
          <w:rFonts w:ascii="Arial" w:hAnsi="Arial" w:cs="Arial"/>
          <w:sz w:val="24"/>
          <w:szCs w:val="24"/>
        </w:rPr>
        <w:fldChar w:fldCharType="begin" w:fldLock="1"/>
      </w:r>
      <w:r>
        <w:rPr>
          <w:rFonts w:ascii="Arial" w:hAnsi="Arial" w:cs="Arial"/>
          <w:sz w:val="24"/>
          <w:szCs w:val="24"/>
        </w:rPr>
        <w:instrText>ADDIN CSL_CITATION {"citationItems":[{"id":"ITEM-1","itemData":{"abstract":"This dissertation is a study wrapped in a metaphor of voices, figurative and literal. It is a story of four singers over the course of 12 weeks and weaves through individuals in a group singing class. As a study, it used integral inquiry and emphasized action and narrative research. It explored one overarching research question, which naturally led to several sub-questions: In what ways might Mindfulness Awareness Practices (MAPS) and contemplative teaching and learning practices affect singers’ experiences of their own vocal and personal growth? (Sub- questions: What practices are reported as being successful?; How do participants experience growth?; How might singers and teachers shift to a mindset of process and progress throughout practicing and performing?; How do we create a space of mutuality and trust to foster self- reflection?; How do we balance instruction, offering feedback when needed and wanted while fostering self-trust and independence? While","author":[{"dropping-particle":"","family":"Blackhurst","given":"Lindsey Elizabeth","non-dropping-particle":"","parse-names":false,"suffix":""}],"container-title":"University of Colombia Doctor of Education submission","id":"ITEM-1","issued":{"date-parts":[["2021"]]},"title":"Exploring the Whole Singing Self with Technique, Contemplative Education, and Mindfulness","type":"thesis"},"uris":["http://www.mendeley.com/documents/?uuid=79851e18-e8d1-4fb1-960f-0d0a2b1452b7"]}],"mendeley":{"formattedCitation":"(Blackhurst, 2021)","plainTextFormattedCitation":"(Blackhurst, 2021)","previouslyFormattedCitation":"(Blackhurst, 2021)"},"properties":{"noteIndex":0},"schema":"https://github.com/citation-style-language/schema/raw/master/csl-citation.json"}</w:instrText>
      </w:r>
      <w:r>
        <w:rPr>
          <w:rFonts w:ascii="Arial" w:hAnsi="Arial" w:cs="Arial"/>
          <w:sz w:val="24"/>
          <w:szCs w:val="24"/>
        </w:rPr>
        <w:fldChar w:fldCharType="separate"/>
      </w:r>
      <w:r w:rsidRPr="00180FB4">
        <w:rPr>
          <w:rFonts w:ascii="Arial" w:hAnsi="Arial" w:cs="Arial"/>
          <w:noProof/>
          <w:sz w:val="24"/>
          <w:szCs w:val="24"/>
        </w:rPr>
        <w:t>(Blackhurst, 2021)</w:t>
      </w:r>
      <w:r>
        <w:rPr>
          <w:rFonts w:ascii="Arial" w:hAnsi="Arial" w:cs="Arial"/>
          <w:sz w:val="24"/>
          <w:szCs w:val="24"/>
        </w:rPr>
        <w:fldChar w:fldCharType="end"/>
      </w:r>
      <w:r w:rsidR="006103A5">
        <w:rPr>
          <w:rFonts w:ascii="Arial" w:hAnsi="Arial" w:cs="Arial"/>
          <w:sz w:val="24"/>
          <w:szCs w:val="24"/>
        </w:rPr>
        <w:t>. This</w:t>
      </w:r>
      <w:r w:rsidR="0041186F">
        <w:rPr>
          <w:rFonts w:ascii="Arial" w:hAnsi="Arial" w:cs="Arial"/>
          <w:sz w:val="24"/>
          <w:szCs w:val="24"/>
        </w:rPr>
        <w:t xml:space="preserve"> would </w:t>
      </w:r>
      <w:r>
        <w:rPr>
          <w:rFonts w:ascii="Arial" w:hAnsi="Arial" w:cs="Arial"/>
          <w:sz w:val="24"/>
          <w:szCs w:val="24"/>
        </w:rPr>
        <w:t>increasing</w:t>
      </w:r>
      <w:r w:rsidR="0041186F">
        <w:rPr>
          <w:rFonts w:ascii="Arial" w:hAnsi="Arial" w:cs="Arial"/>
          <w:sz w:val="24"/>
          <w:szCs w:val="24"/>
        </w:rPr>
        <w:t xml:space="preserve"> a student’s </w:t>
      </w:r>
      <w:r>
        <w:rPr>
          <w:rFonts w:ascii="Arial" w:hAnsi="Arial" w:cs="Arial"/>
          <w:sz w:val="24"/>
          <w:szCs w:val="24"/>
        </w:rPr>
        <w:t xml:space="preserve">awareness of </w:t>
      </w:r>
      <w:r w:rsidR="0041186F">
        <w:rPr>
          <w:rFonts w:ascii="Arial" w:hAnsi="Arial" w:cs="Arial"/>
          <w:sz w:val="24"/>
          <w:szCs w:val="24"/>
        </w:rPr>
        <w:t>developments</w:t>
      </w:r>
      <w:r w:rsidR="00B91BD8">
        <w:rPr>
          <w:rFonts w:ascii="Arial" w:hAnsi="Arial" w:cs="Arial"/>
          <w:sz w:val="24"/>
          <w:szCs w:val="24"/>
        </w:rPr>
        <w:t xml:space="preserve"> which</w:t>
      </w:r>
      <w:r w:rsidR="0041186F">
        <w:rPr>
          <w:rFonts w:ascii="Arial" w:hAnsi="Arial" w:cs="Arial"/>
          <w:sz w:val="24"/>
          <w:szCs w:val="24"/>
        </w:rPr>
        <w:t xml:space="preserve"> </w:t>
      </w:r>
      <w:r>
        <w:rPr>
          <w:rFonts w:ascii="Arial" w:hAnsi="Arial" w:cs="Arial"/>
          <w:sz w:val="24"/>
          <w:szCs w:val="24"/>
        </w:rPr>
        <w:t xml:space="preserve">could </w:t>
      </w:r>
      <w:r w:rsidR="006827E7">
        <w:rPr>
          <w:rFonts w:ascii="Arial" w:hAnsi="Arial" w:cs="Arial"/>
          <w:sz w:val="24"/>
          <w:szCs w:val="24"/>
        </w:rPr>
        <w:t>feed</w:t>
      </w:r>
      <w:r>
        <w:rPr>
          <w:rFonts w:ascii="Arial" w:hAnsi="Arial" w:cs="Arial"/>
          <w:sz w:val="24"/>
          <w:szCs w:val="24"/>
        </w:rPr>
        <w:t xml:space="preserve"> </w:t>
      </w:r>
      <w:r w:rsidR="006827E7">
        <w:rPr>
          <w:rFonts w:ascii="Arial" w:hAnsi="Arial" w:cs="Arial"/>
          <w:sz w:val="24"/>
          <w:szCs w:val="24"/>
        </w:rPr>
        <w:t>in</w:t>
      </w:r>
      <w:r>
        <w:rPr>
          <w:rFonts w:ascii="Arial" w:hAnsi="Arial" w:cs="Arial"/>
          <w:sz w:val="24"/>
          <w:szCs w:val="24"/>
        </w:rPr>
        <w:t>t</w:t>
      </w:r>
      <w:r w:rsidR="003A6848">
        <w:rPr>
          <w:rFonts w:ascii="Arial" w:hAnsi="Arial" w:cs="Arial"/>
          <w:sz w:val="24"/>
          <w:szCs w:val="24"/>
        </w:rPr>
        <w:t>o</w:t>
      </w:r>
      <w:r>
        <w:rPr>
          <w:rFonts w:ascii="Arial" w:hAnsi="Arial" w:cs="Arial"/>
          <w:sz w:val="24"/>
          <w:szCs w:val="24"/>
        </w:rPr>
        <w:t xml:space="preserve"> </w:t>
      </w:r>
      <w:r w:rsidR="006827E7">
        <w:rPr>
          <w:rFonts w:ascii="Arial" w:hAnsi="Arial" w:cs="Arial"/>
          <w:sz w:val="24"/>
          <w:szCs w:val="24"/>
        </w:rPr>
        <w:t xml:space="preserve">student </w:t>
      </w:r>
      <w:r>
        <w:rPr>
          <w:rFonts w:ascii="Arial" w:hAnsi="Arial" w:cs="Arial"/>
          <w:sz w:val="24"/>
          <w:szCs w:val="24"/>
        </w:rPr>
        <w:t>m</w:t>
      </w:r>
      <w:r w:rsidRPr="000A7FC3">
        <w:rPr>
          <w:rFonts w:ascii="Arial" w:hAnsi="Arial" w:cs="Arial"/>
          <w:sz w:val="24"/>
          <w:szCs w:val="24"/>
        </w:rPr>
        <w:t>otivation</w:t>
      </w:r>
      <w:r w:rsidR="00F74197">
        <w:rPr>
          <w:rFonts w:ascii="Arial" w:hAnsi="Arial" w:cs="Arial"/>
          <w:sz w:val="24"/>
          <w:szCs w:val="24"/>
        </w:rPr>
        <w:t xml:space="preserve"> and engagement </w:t>
      </w:r>
      <w:r w:rsidR="003A6848">
        <w:rPr>
          <w:rFonts w:ascii="Arial" w:hAnsi="Arial" w:cs="Arial"/>
          <w:sz w:val="24"/>
          <w:szCs w:val="24"/>
        </w:rPr>
        <w:t xml:space="preserve">increases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Singing","id":"ITEM-2","issue":"4","issued":{"date-parts":[["2018"]]},"page":"405-414","title":"Critical Thought, Intrinsic Motivation, and the Voice Studio: Perspectives of Master Teachers.","type":"article-journal","volume":"74"},"uris":["http://www.mendeley.com/documents/?uuid=4030f552-7b94-4abf-bab4-c0b97b7babca"]}],"mendeley":{"formattedCitation":"(Stephenson, 2018; Lewis and Hendricks, 2022)","plainTextFormattedCitation":"(Stephenson, 2018; Lewis and Hendricks, 2022)","previouslyFormattedCitation":"(Stephenson, 2018; Lewis and Hendricks, 2022)"},"properties":{"noteIndex":0},"schema":"https://github.com/citation-style-language/schema/raw/master/csl-citation.json"}</w:instrText>
      </w:r>
      <w:r>
        <w:rPr>
          <w:rFonts w:ascii="Arial" w:hAnsi="Arial" w:cs="Arial"/>
          <w:sz w:val="24"/>
          <w:szCs w:val="24"/>
        </w:rPr>
        <w:fldChar w:fldCharType="separate"/>
      </w:r>
      <w:r w:rsidRPr="007550D2">
        <w:rPr>
          <w:rFonts w:ascii="Arial" w:hAnsi="Arial" w:cs="Arial"/>
          <w:noProof/>
          <w:sz w:val="24"/>
          <w:szCs w:val="24"/>
        </w:rPr>
        <w:t>(Stephenson, 2018; Lewis and Hendricks, 2022)</w:t>
      </w:r>
      <w:r>
        <w:rPr>
          <w:rFonts w:ascii="Arial" w:hAnsi="Arial" w:cs="Arial"/>
          <w:sz w:val="24"/>
          <w:szCs w:val="24"/>
        </w:rPr>
        <w:fldChar w:fldCharType="end"/>
      </w:r>
      <w:r>
        <w:rPr>
          <w:rFonts w:ascii="Arial" w:hAnsi="Arial" w:cs="Arial"/>
          <w:sz w:val="24"/>
          <w:szCs w:val="24"/>
        </w:rPr>
        <w:t xml:space="preserve">. Framing vocal development as a physiological process can make feedback ‘less personal’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2021)","plainTextFormattedCitation":"(Hogle, 2021)","previouslyFormattedCitation":"(Hogle, 2021)"},"properties":{"noteIndex":0},"schema":"https://github.com/citation-style-language/schema/raw/master/csl-citation.json"}</w:instrText>
      </w:r>
      <w:r>
        <w:rPr>
          <w:rFonts w:ascii="Arial" w:hAnsi="Arial" w:cs="Arial"/>
          <w:sz w:val="24"/>
          <w:szCs w:val="24"/>
        </w:rPr>
        <w:fldChar w:fldCharType="separate"/>
      </w:r>
      <w:r w:rsidRPr="00C12A16">
        <w:rPr>
          <w:rFonts w:ascii="Arial" w:hAnsi="Arial" w:cs="Arial"/>
          <w:noProof/>
          <w:sz w:val="24"/>
          <w:szCs w:val="24"/>
        </w:rPr>
        <w:t>(Hogle, 2021)</w:t>
      </w:r>
      <w:r>
        <w:rPr>
          <w:rFonts w:ascii="Arial" w:hAnsi="Arial" w:cs="Arial"/>
          <w:sz w:val="24"/>
          <w:szCs w:val="24"/>
        </w:rPr>
        <w:fldChar w:fldCharType="end"/>
      </w:r>
      <w:r>
        <w:rPr>
          <w:rFonts w:ascii="Arial" w:hAnsi="Arial" w:cs="Arial"/>
          <w:sz w:val="24"/>
          <w:szCs w:val="24"/>
        </w:rPr>
        <w:t xml:space="preserve"> </w:t>
      </w:r>
      <w:r w:rsidR="00D41813">
        <w:rPr>
          <w:rFonts w:ascii="Arial" w:hAnsi="Arial" w:cs="Arial"/>
          <w:sz w:val="24"/>
          <w:szCs w:val="24"/>
        </w:rPr>
        <w:t>which can</w:t>
      </w:r>
      <w:r>
        <w:rPr>
          <w:rFonts w:ascii="Arial" w:hAnsi="Arial" w:cs="Arial"/>
          <w:sz w:val="24"/>
          <w:szCs w:val="24"/>
        </w:rPr>
        <w:t xml:space="preserve"> aid student access to mastery experiences and self-efficacy improvements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Education","id":"ITEM-2","issue":"1","issued":{"date-parts":[["2015"]]},"page":"43-57","title":"Critical geragogy: A framework for facilitating older learners in community music","type":"article-journal","volume":"13"},"uris":["http://www.mendeley.com/documents/?uuid=fa50dd99-4e1e-44de-a3f2-30dd41815d00"]},{"id":"ITEM-3","itemData":{"abstract":"Based on Bandura's theory that those who believe they can do what they set out to do are healthier, more efficient and more successful than those with low self-efficacy expectations. This theory has stimulated programs of research in education, clinicaland developmental psychology, medicine and related fields, athletics and business organization.","author":[{"dropping-particle":"","family":"Bandura","given":"Albert","non-dropping-particle":"","parse-names":false,"suffix":""}],"id":"ITEM-3","issued":{"date-parts":[["1997"]]},"publisher":"W.H.Freeman &amp; Co Ltd","publisher-place":"New York","title":"Self-efficacy : The Exercise of Control.","type":"book"},"uris":["http://www.mendeley.com/documents/?uuid=29014b0e-1932-4150-a247-953655b38468"]}],"mendeley":{"formattedCitation":"(Bandura, 1997; Creech and Hallam, 2015; Lewis and Hendricks, 2022)","plainTextFormattedCitation":"(Bandura, 1997; Creech and Hallam, 2015; Lewis and Hendricks, 2022)","previouslyFormattedCitation":"(Bandura, 1997; Creech and Hallam, 2015; Lewis and Hendricks, 2022)"},"properties":{"noteIndex":0},"schema":"https://github.com/citation-style-language/schema/raw/master/csl-citation.json"}</w:instrText>
      </w:r>
      <w:r>
        <w:rPr>
          <w:rFonts w:ascii="Arial" w:hAnsi="Arial" w:cs="Arial"/>
          <w:sz w:val="24"/>
          <w:szCs w:val="24"/>
        </w:rPr>
        <w:fldChar w:fldCharType="separate"/>
      </w:r>
      <w:r w:rsidRPr="00151204">
        <w:rPr>
          <w:rFonts w:ascii="Arial" w:hAnsi="Arial" w:cs="Arial"/>
          <w:noProof/>
          <w:sz w:val="24"/>
          <w:szCs w:val="24"/>
        </w:rPr>
        <w:t>(Bandura, 1997; Creech and Hallam, 2015; Lewis and Hendricks, 2022)</w:t>
      </w:r>
      <w:r>
        <w:rPr>
          <w:rFonts w:ascii="Arial" w:hAnsi="Arial" w:cs="Arial"/>
          <w:sz w:val="24"/>
          <w:szCs w:val="24"/>
        </w:rPr>
        <w:fldChar w:fldCharType="end"/>
      </w:r>
      <w:r>
        <w:rPr>
          <w:rFonts w:ascii="Arial" w:hAnsi="Arial" w:cs="Arial"/>
          <w:sz w:val="24"/>
          <w:szCs w:val="24"/>
        </w:rPr>
        <w:t>.</w:t>
      </w:r>
    </w:p>
    <w:p w14:paraId="4ABC9754" w14:textId="48C86B4A" w:rsidR="007E3B8B" w:rsidRPr="00940323" w:rsidRDefault="007E3B8B" w:rsidP="00333F66">
      <w:pPr>
        <w:spacing w:line="360" w:lineRule="auto"/>
        <w:jc w:val="both"/>
        <w:rPr>
          <w:rFonts w:ascii="Arial" w:hAnsi="Arial" w:cs="Arial"/>
          <w:sz w:val="24"/>
          <w:szCs w:val="24"/>
        </w:rPr>
      </w:pPr>
      <w:r w:rsidRPr="00A14A70">
        <w:rPr>
          <w:rFonts w:ascii="Arial" w:hAnsi="Arial" w:cs="Arial"/>
          <w:sz w:val="24"/>
          <w:szCs w:val="24"/>
        </w:rPr>
        <w:t>The</w:t>
      </w:r>
      <w:r>
        <w:rPr>
          <w:rFonts w:ascii="Arial" w:hAnsi="Arial" w:cs="Arial"/>
          <w:i/>
          <w:iCs/>
          <w:sz w:val="24"/>
          <w:szCs w:val="24"/>
        </w:rPr>
        <w:t xml:space="preserve"> </w:t>
      </w:r>
      <w:r>
        <w:rPr>
          <w:rFonts w:ascii="Arial" w:hAnsi="Arial" w:cs="Arial"/>
          <w:sz w:val="24"/>
          <w:szCs w:val="24"/>
        </w:rPr>
        <w:t xml:space="preserve">learning </w:t>
      </w:r>
      <w:r w:rsidRPr="000D360E">
        <w:rPr>
          <w:rFonts w:ascii="Arial" w:hAnsi="Arial" w:cs="Arial"/>
          <w:b/>
          <w:bCs/>
          <w:i/>
          <w:iCs/>
          <w:sz w:val="24"/>
          <w:szCs w:val="24"/>
        </w:rPr>
        <w:t>Environment</w:t>
      </w:r>
      <w:r>
        <w:rPr>
          <w:rFonts w:ascii="Arial" w:hAnsi="Arial" w:cs="Arial"/>
          <w:b/>
          <w:bCs/>
          <w:i/>
          <w:iCs/>
          <w:sz w:val="24"/>
          <w:szCs w:val="24"/>
        </w:rPr>
        <w:t xml:space="preserve"> </w:t>
      </w:r>
      <w:r>
        <w:rPr>
          <w:rFonts w:ascii="Arial" w:hAnsi="Arial" w:cs="Arial"/>
          <w:sz w:val="24"/>
          <w:szCs w:val="24"/>
        </w:rPr>
        <w:t xml:space="preserve">has been referred to many times in the literature as having an impact on self-efficacy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beliefs","type":"article-journal"},"uris":["http://www.mendeley.com/documents/?uuid=d1469298-0bbc-4c76-afcd-e0c4086da712"]},{"id":"ITEM-3","itemData":{"DOI":"10.18546/LRE.13.1.05","ISSN":"14748479","abstract":"The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Education","id":"ITEM-3","issue":"1","issued":{"date-parts":[["2015"]]},"page":"43-57","title":"Critical geragogy: A framework for facilitating older learners in community music","type":"article-journal","volume":"13"},"uris":["http://www.mendeley.com/documents/?uuid=fa50dd99-4e1e-44de-a3f2-30dd41815d00"]}],"mendeley":{"formattedCitation":"(Creech and Hallam, 2015; Hogle, 2021; Lewis and Hendricks, 2022)","plainTextFormattedCitation":"(Creech and Hallam, 2015; Hogle, 2021; Lewis and Hendricks, 2022)","previouslyFormattedCitation":"(Creech and Hallam, 2015; Hogle, 2021; Lewis and Hendricks, 2022)"},"properties":{"noteIndex":0},"schema":"https://github.com/citation-style-language/schema/raw/master/csl-citation.json"}</w:instrText>
      </w:r>
      <w:r>
        <w:rPr>
          <w:rFonts w:ascii="Arial" w:hAnsi="Arial" w:cs="Arial"/>
          <w:sz w:val="24"/>
          <w:szCs w:val="24"/>
        </w:rPr>
        <w:fldChar w:fldCharType="separate"/>
      </w:r>
      <w:r w:rsidRPr="007C0AE4">
        <w:rPr>
          <w:rFonts w:ascii="Arial" w:hAnsi="Arial" w:cs="Arial"/>
          <w:noProof/>
          <w:sz w:val="24"/>
          <w:szCs w:val="24"/>
        </w:rPr>
        <w:t>(Creech and Hallam, 2015; Hogle, 2021; Lewis and Hendricks, 2022)</w:t>
      </w:r>
      <w:r>
        <w:rPr>
          <w:rFonts w:ascii="Arial" w:hAnsi="Arial" w:cs="Arial"/>
          <w:sz w:val="24"/>
          <w:szCs w:val="24"/>
        </w:rPr>
        <w:fldChar w:fldCharType="end"/>
      </w:r>
      <w:r>
        <w:rPr>
          <w:rFonts w:ascii="Arial" w:hAnsi="Arial" w:cs="Arial"/>
          <w:sz w:val="24"/>
          <w:szCs w:val="24"/>
        </w:rPr>
        <w:t xml:space="preserve">. The study by Molbaek </w:t>
      </w:r>
      <w:r>
        <w:rPr>
          <w:rFonts w:ascii="Arial" w:hAnsi="Arial" w:cs="Arial"/>
          <w:sz w:val="24"/>
          <w:szCs w:val="24"/>
        </w:rPr>
        <w:fldChar w:fldCharType="begin" w:fldLock="1"/>
      </w:r>
      <w:r>
        <w:rPr>
          <w:rFonts w:ascii="Arial" w:hAnsi="Arial" w:cs="Arial"/>
          <w:sz w:val="24"/>
          <w:szCs w:val="24"/>
        </w:rPr>
        <w:instrText>ADDIN CSL_CITATION {"citationItems":[{"id":"ITEM-1","itemData":{"DOI":"10.1080/13603116.2017.1414578","ISSN":"14645173","abstract":"Inclusion has a high priority in education policy all over the world and teachers must be able to handle in practice increasing student diversity and the demands for creating an inclusive learning environment. In spite of the enhanced political focus, there is a lack of research focusing on how those teachers working with inclusion can be supported with more tangible and meaningful ways of understanding and developing inclusive classrooms. This article argues that seeing research in inclusion in close connection with research in effective teaching strategies and classroom management will contribute to an enrichment of the two research fields and give teachers and researchers new opportunities for developing more inclusive schools. Based on research focused on teaching strategies that support students’ opportunities for learning, four dimensions of inclusive teaching strategies are presented: a framing, a relational, a didactic and an organisational dimension. In addition, and in order to further understand teachers work with inclusive education in a more structural perspective, light is shed on the complexity that teachers are required to handle in practice. This complexity, among other things, entails dilemmas emerging from different agendas teachers often must handle themselves.","author":[{"dropping-particle":"","family":"Molbaek","given":"Mette","non-dropping-particle":"","parse-names":false,"suffix":""}],"container-title":"International Journal of Inclusive Education","id":"ITEM-1","issue":"10","issued":{"date-parts":[["2018"]]},"page":"1048-1061","publisher":"Taylor &amp; Francis","title":"Inclusive teaching strategies–dimensions and agendas","type":"article-journal","volume":"22"},"uris":["http://www.mendeley.com/documents/?uuid=542f940e-b6ac-4869-8130-c3b6e9be2a28"]}],"mendeley":{"formattedCitation":"(Molbaek, 2018)","manualFormatting":"(2018)","plainTextFormattedCitation":"(Molbaek, 2018)","previouslyFormattedCitation":"(Molbaek, 2018)"},"properties":{"noteIndex":0},"schema":"https://github.com/citation-style-language/schema/raw/master/csl-citation.json"}</w:instrText>
      </w:r>
      <w:r>
        <w:rPr>
          <w:rFonts w:ascii="Arial" w:hAnsi="Arial" w:cs="Arial"/>
          <w:sz w:val="24"/>
          <w:szCs w:val="24"/>
        </w:rPr>
        <w:fldChar w:fldCharType="separate"/>
      </w:r>
      <w:r w:rsidRPr="00017C1E">
        <w:rPr>
          <w:rFonts w:ascii="Arial" w:hAnsi="Arial" w:cs="Arial"/>
          <w:noProof/>
          <w:sz w:val="24"/>
          <w:szCs w:val="24"/>
        </w:rPr>
        <w:t>(2018)</w:t>
      </w:r>
      <w:r>
        <w:rPr>
          <w:rFonts w:ascii="Arial" w:hAnsi="Arial" w:cs="Arial"/>
          <w:sz w:val="24"/>
          <w:szCs w:val="24"/>
        </w:rPr>
        <w:fldChar w:fldCharType="end"/>
      </w:r>
      <w:r>
        <w:rPr>
          <w:rFonts w:ascii="Arial" w:hAnsi="Arial" w:cs="Arial"/>
          <w:sz w:val="24"/>
          <w:szCs w:val="24"/>
        </w:rPr>
        <w:t xml:space="preserve"> into inclusive teaching strategies and Wehr’s study into the experiences of women in jazz </w:t>
      </w:r>
      <w:r>
        <w:rPr>
          <w:rFonts w:ascii="Arial" w:hAnsi="Arial" w:cs="Arial"/>
          <w:sz w:val="24"/>
          <w:szCs w:val="24"/>
        </w:rPr>
        <w:fldChar w:fldCharType="begin" w:fldLock="1"/>
      </w:r>
      <w:r>
        <w:rPr>
          <w:rFonts w:ascii="Arial" w:hAnsi="Arial" w:cs="Arial"/>
          <w:sz w:val="24"/>
          <w:szCs w:val="24"/>
        </w:rPr>
        <w:instrText>ADDIN CSL_CITATION {"citationItems":[{"id":"ITEM-1","itemData":{"DOI":"10.1177/0255761415619392","ISSN":"1744795X","abstract":"Jazz has long been recognized as a male-dominated field, with females traditionally having only limited acceptance, often in the roles of singer and pianist. Researchers have explored sources of the gender imbalance in the field of jazz and jazz education, but there is no theory or framework to organize such findings. This directed content analysis of the journal Jazz Changes, the official magazine of the International Association of Schools of Jazz published from 1994 to 2000, analyzed published answers to the following question posited by the journal editors, \"Women in Jazz: Why aren't there more women in jazz education?\" Analysis suggests a model including three social-psychological theories to describe the female experience in jazz. The theories include Rosabeth Kanter's theory of tokenism, which describes a learning environment that females might perceive or experience in jazz; Claude Steele and Joshua Aronson's theory of stereotype threat, which offers insight into why female musicians might make a choice to not participate, or discontinue participation, in the jazz idiom; and Albert Bandura's theory of self-efficacy, which is offered as a possible guide to providing instruction in jazz that fosters female participation. These theories are offered together as a model framework for future study of both historical and present experiences in gender and jazz.","author":[{"dropping-particle":"","family":"Wehr","given":"Erin L.","non-dropping-particle":"","parse-names":false,"suffix":""}],"container-title":"International Journal of Music Education","id":"ITEM-1","issue":"4","issued":{"date-parts":[["2016"]]},"page":"472-487","title":"Understanding the experiences of women in jazz: A suggested model","type":"article-journal","volume":"34"},"uris":["http://www.mendeley.com/documents/?uuid=add8c84d-1eb5-4330-b55e-bec3d25a4f5d"]}],"mendeley":{"formattedCitation":"(Wehr, 2016)","manualFormatting":"(2016)","plainTextFormattedCitation":"(Wehr, 2016)","previouslyFormattedCitation":"(Wehr, 2016)"},"properties":{"noteIndex":0},"schema":"https://github.com/citation-style-language/schema/raw/master/csl-citation.json"}</w:instrText>
      </w:r>
      <w:r>
        <w:rPr>
          <w:rFonts w:ascii="Arial" w:hAnsi="Arial" w:cs="Arial"/>
          <w:sz w:val="24"/>
          <w:szCs w:val="24"/>
        </w:rPr>
        <w:fldChar w:fldCharType="separate"/>
      </w:r>
      <w:r w:rsidRPr="003D61C0">
        <w:rPr>
          <w:rFonts w:ascii="Arial" w:hAnsi="Arial" w:cs="Arial"/>
          <w:noProof/>
          <w:sz w:val="24"/>
          <w:szCs w:val="24"/>
        </w:rPr>
        <w:t>(2016)</w:t>
      </w:r>
      <w:r>
        <w:rPr>
          <w:rFonts w:ascii="Arial" w:hAnsi="Arial" w:cs="Arial"/>
          <w:sz w:val="24"/>
          <w:szCs w:val="24"/>
        </w:rPr>
        <w:fldChar w:fldCharType="end"/>
      </w:r>
      <w:r>
        <w:rPr>
          <w:rFonts w:ascii="Arial" w:hAnsi="Arial" w:cs="Arial"/>
          <w:sz w:val="24"/>
          <w:szCs w:val="24"/>
        </w:rPr>
        <w:t xml:space="preserve"> both show that learning environment and culture can have a </w:t>
      </w:r>
      <w:r w:rsidR="002F6EE9">
        <w:rPr>
          <w:rFonts w:ascii="Arial" w:hAnsi="Arial" w:cs="Arial"/>
          <w:sz w:val="24"/>
          <w:szCs w:val="24"/>
        </w:rPr>
        <w:t>significant</w:t>
      </w:r>
      <w:r>
        <w:rPr>
          <w:rFonts w:ascii="Arial" w:hAnsi="Arial" w:cs="Arial"/>
          <w:sz w:val="24"/>
          <w:szCs w:val="24"/>
        </w:rPr>
        <w:t xml:space="preserve"> impact on student</w:t>
      </w:r>
      <w:r w:rsidR="00D13FFF">
        <w:rPr>
          <w:rFonts w:ascii="Arial" w:hAnsi="Arial" w:cs="Arial"/>
          <w:sz w:val="24"/>
          <w:szCs w:val="24"/>
        </w:rPr>
        <w:t xml:space="preserve">s. </w:t>
      </w:r>
      <w:r w:rsidR="00734DE6">
        <w:rPr>
          <w:rFonts w:ascii="Arial" w:hAnsi="Arial" w:cs="Arial"/>
          <w:sz w:val="24"/>
          <w:szCs w:val="24"/>
        </w:rPr>
        <w:t xml:space="preserve">These studies show </w:t>
      </w:r>
      <w:r w:rsidR="00A64BBD">
        <w:rPr>
          <w:rFonts w:ascii="Arial" w:hAnsi="Arial" w:cs="Arial"/>
          <w:sz w:val="24"/>
          <w:szCs w:val="24"/>
        </w:rPr>
        <w:t xml:space="preserve">how environment and culture can </w:t>
      </w:r>
      <w:r w:rsidR="00734DE6">
        <w:rPr>
          <w:rFonts w:ascii="Arial" w:hAnsi="Arial" w:cs="Arial"/>
          <w:sz w:val="24"/>
          <w:szCs w:val="24"/>
        </w:rPr>
        <w:t>impact student</w:t>
      </w:r>
      <w:r>
        <w:rPr>
          <w:rFonts w:ascii="Arial" w:hAnsi="Arial" w:cs="Arial"/>
          <w:sz w:val="24"/>
          <w:szCs w:val="24"/>
        </w:rPr>
        <w:t xml:space="preserve"> participation, perceptions, and qualifications</w:t>
      </w:r>
      <w:r w:rsidR="00A64BBD">
        <w:rPr>
          <w:rFonts w:ascii="Arial" w:hAnsi="Arial" w:cs="Arial"/>
          <w:sz w:val="24"/>
          <w:szCs w:val="24"/>
        </w:rPr>
        <w:t xml:space="preserve">. </w:t>
      </w:r>
      <w:r w:rsidR="00C11808">
        <w:rPr>
          <w:rFonts w:ascii="Arial" w:hAnsi="Arial" w:cs="Arial"/>
          <w:sz w:val="24"/>
          <w:szCs w:val="24"/>
        </w:rPr>
        <w:t>Each area</w:t>
      </w:r>
      <w:r>
        <w:rPr>
          <w:rFonts w:ascii="Arial" w:hAnsi="Arial" w:cs="Arial"/>
          <w:sz w:val="24"/>
          <w:szCs w:val="24"/>
        </w:rPr>
        <w:t xml:space="preserve"> ha</w:t>
      </w:r>
      <w:r w:rsidR="00C11808">
        <w:rPr>
          <w:rFonts w:ascii="Arial" w:hAnsi="Arial" w:cs="Arial"/>
          <w:sz w:val="24"/>
          <w:szCs w:val="24"/>
        </w:rPr>
        <w:t>s</w:t>
      </w:r>
      <w:r>
        <w:rPr>
          <w:rFonts w:ascii="Arial" w:hAnsi="Arial" w:cs="Arial"/>
          <w:sz w:val="24"/>
          <w:szCs w:val="24"/>
        </w:rPr>
        <w:t xml:space="preserve"> connections with mastery experiences </w:t>
      </w:r>
      <w:r w:rsidR="00C11808">
        <w:rPr>
          <w:rFonts w:ascii="Arial" w:hAnsi="Arial" w:cs="Arial"/>
          <w:sz w:val="24"/>
          <w:szCs w:val="24"/>
        </w:rPr>
        <w:t xml:space="preserve">which </w:t>
      </w:r>
      <w:r w:rsidR="006352A7">
        <w:rPr>
          <w:rFonts w:ascii="Arial" w:hAnsi="Arial" w:cs="Arial"/>
          <w:sz w:val="24"/>
          <w:szCs w:val="24"/>
        </w:rPr>
        <w:t>feed</w:t>
      </w:r>
      <w:r>
        <w:rPr>
          <w:rFonts w:ascii="Arial" w:hAnsi="Arial" w:cs="Arial"/>
          <w:sz w:val="24"/>
          <w:szCs w:val="24"/>
        </w:rPr>
        <w:t xml:space="preserve"> </w:t>
      </w:r>
      <w:r w:rsidR="006352A7">
        <w:rPr>
          <w:rFonts w:ascii="Arial" w:hAnsi="Arial" w:cs="Arial"/>
          <w:sz w:val="24"/>
          <w:szCs w:val="24"/>
        </w:rPr>
        <w:t>in</w:t>
      </w:r>
      <w:r>
        <w:rPr>
          <w:rFonts w:ascii="Arial" w:hAnsi="Arial" w:cs="Arial"/>
          <w:sz w:val="24"/>
          <w:szCs w:val="24"/>
        </w:rPr>
        <w:t xml:space="preserve">to </w:t>
      </w:r>
      <w:r w:rsidR="002F094C">
        <w:rPr>
          <w:rFonts w:ascii="Arial" w:hAnsi="Arial" w:cs="Arial"/>
          <w:sz w:val="24"/>
          <w:szCs w:val="24"/>
        </w:rPr>
        <w:t xml:space="preserve">a student’s sense of </w:t>
      </w:r>
      <w:r>
        <w:rPr>
          <w:rFonts w:ascii="Arial" w:hAnsi="Arial" w:cs="Arial"/>
          <w:sz w:val="24"/>
          <w:szCs w:val="24"/>
        </w:rPr>
        <w:t xml:space="preserve">self-efficacy </w:t>
      </w:r>
      <w:r>
        <w:rPr>
          <w:rFonts w:ascii="Arial" w:hAnsi="Arial" w:cs="Arial"/>
          <w:sz w:val="24"/>
          <w:szCs w:val="24"/>
        </w:rPr>
        <w:fldChar w:fldCharType="begin" w:fldLock="1"/>
      </w:r>
      <w:r>
        <w:rPr>
          <w:rFonts w:ascii="Arial" w:hAnsi="Arial" w:cs="Arial"/>
          <w:sz w:val="24"/>
          <w:szCs w:val="24"/>
        </w:rPr>
        <w:instrText>ADDIN CSL_CITATION {"citationItems":[{"id":"ITEM-1","itemData":{"abstract":"Based on Bandura's theory that those who believe they can do what they set out to do are healthier, more efficient and more successful than those with low self-efficacy expectations. This theory has stimulated programs of research in education, clinicaland developmental psychology, medicine and related fields, athletics and business organization.","author":[{"dropping-particle":"","family":"Bandura","given":"Albert","non-dropping-particle":"","parse-names":false,"suffix":""}],"id":"ITEM-1","issued":{"date-parts":[["1997"]]},"publisher":"W.H.Freeman &amp; Co Ltd","publisher-place":"New York","title":"Self-efficacy : The Exercise of Control.","type":"book"},"uris":["http://www.mendeley.com/documents/?uuid=29014b0e-1932-4150-a247-953655b38468"]}],"mendeley":{"formattedCitation":"(Bandura, 1997)","plainTextFormattedCitation":"(Bandura, 1997)","previouslyFormattedCitation":"(Bandura, 1997)"},"properties":{"noteIndex":0},"schema":"https://github.com/citation-style-language/schema/raw/master/csl-citation.json"}</w:instrText>
      </w:r>
      <w:r>
        <w:rPr>
          <w:rFonts w:ascii="Arial" w:hAnsi="Arial" w:cs="Arial"/>
          <w:sz w:val="24"/>
          <w:szCs w:val="24"/>
        </w:rPr>
        <w:fldChar w:fldCharType="separate"/>
      </w:r>
      <w:r w:rsidRPr="005920C2">
        <w:rPr>
          <w:rFonts w:ascii="Arial" w:hAnsi="Arial" w:cs="Arial"/>
          <w:noProof/>
          <w:sz w:val="24"/>
          <w:szCs w:val="24"/>
        </w:rPr>
        <w:t>(Bandura, 1997)</w:t>
      </w:r>
      <w:r>
        <w:rPr>
          <w:rFonts w:ascii="Arial" w:hAnsi="Arial" w:cs="Arial"/>
          <w:sz w:val="24"/>
          <w:szCs w:val="24"/>
        </w:rPr>
        <w:fldChar w:fldCharType="end"/>
      </w:r>
      <w:r>
        <w:rPr>
          <w:rFonts w:ascii="Arial" w:hAnsi="Arial" w:cs="Arial"/>
          <w:sz w:val="24"/>
          <w:szCs w:val="24"/>
        </w:rPr>
        <w:t xml:space="preserve">. Students reported the positive impact on their education when the learning environment is welcoming and engenders feelings of safety, connection and community </w:t>
      </w:r>
      <w:r>
        <w:rPr>
          <w:rFonts w:ascii="Arial" w:hAnsi="Arial" w:cs="Arial"/>
          <w:sz w:val="24"/>
          <w:szCs w:val="24"/>
        </w:rPr>
        <w:fldChar w:fldCharType="begin" w:fldLock="1"/>
      </w:r>
      <w:r>
        <w:rPr>
          <w:rFonts w:ascii="Arial" w:hAnsi="Arial" w:cs="Arial"/>
          <w:sz w:val="24"/>
          <w:szCs w:val="24"/>
        </w:rPr>
        <w:instrText>ADDIN CSL_CITATION {"citationItems":[{"id":"ITEM-1","itemData":{"DOI":"10.1080/13603116.2017.1414578","ISSN":"14645173","abstract":"Inclusion has a high priority in education policy all over the world and teachers must be able to handle in practice increasing student diversity and the demands for creating an inclusive learning environment. In spite of the enhanced political focus, there is a lack of research focusing on how those teachers working with inclusion can be supported with more tangible and meaningful ways of understanding and developing inclusive classrooms. This article argues that seeing research in inclusion in close connection with research in effective teaching strategies and classroom management will contribute to an enrichment of the two research fields and give teachers and researchers new opportunities for developing more inclusive schools. Based on research focused on teaching strategies that support students’ opportunities for learning, four dimensions of inclusive teaching strategies are presented: a framing, a relational, a didactic and an organisational dimension. In addition, and in order to further understand teachers work with inclusive education in a more structural perspective, light is shed on the complexity that teachers are required to handle in practice. This complexity, among other things, entails dilemmas emerging from different agendas teachers often must handle themselves.","author":[{"dropping-particle":"","family":"Molbaek","given":"Mette","non-dropping-particle":"","parse-names":false,"suffix":""}],"container-title":"International Journal of Inclusive Education","id":"ITEM-1","issue":"10","issued":{"date-parts":[["2018"]]},"page":"1048-1061","publisher":"Taylor &amp; Francis","title":"Inclusive teaching strategies–dimensions and agendas","type":"article-journal","volume":"22"},"uris":["http://www.mendeley.com/documents/?uuid=542f940e-b6ac-4869-8130-c3b6e9be2a28"]},{"id":"ITEM-2","itemData":{"DOI":"10.1177/1321103X20930426","ISSN":"18345530","abstract":"The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Education","id":"ITEM-2","issue":"2","issued":{"date-parts":[["2021"]]},"page":"179-194","title":"Fostering singing agency through emotional differentiation in an inclusive singing environment","type":"article-journal","volume":"43"},"uris":["http://www.mendeley.com/documents/?uuid=df4ddb6b-d417-411f-9261-d87aba0aa367"]},{"id":"ITEM-3","itemData":{"DOI":"10.1177/02557614221074057","ISBN":"0255761422107","ISSN":"1744795X","abstract":"Fostering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Education","id":"ITEM-3","issued":{"date-parts":[["2022"]]},"title":"“It’s your body, it’s part of who you are!”: Influences upon collegiate vocalists’ performance self-efficacy beliefs","type":"article-journal"},"uris":["http://www.mendeley.com/documents/?uuid=d1469298-0bbc-4c76-afcd-e0c4086da712"]}],"mendeley":{"formattedCitation":"(Molbaek, 2018; Hogle, 2021; Lewis and Hendricks, 2022)","plainTextFormattedCitation":"(Molbaek, 2018; Hogle, 2021; Lewis and Hendricks, 2022)","previouslyFormattedCitation":"(Molbaek, 2018; Hogle, 2021; Lewis and Hendricks, 2022)"},"properties":{"noteIndex":0},"schema":"https://github.com/citation-style-language/schema/raw/master/csl-citation.json"}</w:instrText>
      </w:r>
      <w:r>
        <w:rPr>
          <w:rFonts w:ascii="Arial" w:hAnsi="Arial" w:cs="Arial"/>
          <w:sz w:val="24"/>
          <w:szCs w:val="24"/>
        </w:rPr>
        <w:fldChar w:fldCharType="separate"/>
      </w:r>
      <w:r w:rsidRPr="00C576F3">
        <w:rPr>
          <w:rFonts w:ascii="Arial" w:hAnsi="Arial" w:cs="Arial"/>
          <w:noProof/>
          <w:sz w:val="24"/>
          <w:szCs w:val="24"/>
        </w:rPr>
        <w:t>(Molbaek, 2018; Hogle, 2021; Lewis and Hendricks, 2022)</w:t>
      </w:r>
      <w:r>
        <w:rPr>
          <w:rFonts w:ascii="Arial" w:hAnsi="Arial" w:cs="Arial"/>
          <w:sz w:val="24"/>
          <w:szCs w:val="24"/>
        </w:rPr>
        <w:fldChar w:fldCharType="end"/>
      </w:r>
      <w:r w:rsidR="00AD40B9">
        <w:rPr>
          <w:rFonts w:ascii="Arial" w:hAnsi="Arial" w:cs="Arial"/>
          <w:sz w:val="24"/>
          <w:szCs w:val="24"/>
        </w:rPr>
        <w:t xml:space="preserve">. These </w:t>
      </w:r>
      <w:r w:rsidR="00B271BC">
        <w:rPr>
          <w:rFonts w:ascii="Arial" w:hAnsi="Arial" w:cs="Arial"/>
          <w:sz w:val="24"/>
          <w:szCs w:val="24"/>
        </w:rPr>
        <w:t xml:space="preserve">learning environment factors </w:t>
      </w:r>
      <w:r>
        <w:rPr>
          <w:rFonts w:ascii="Arial" w:hAnsi="Arial" w:cs="Arial"/>
          <w:sz w:val="24"/>
          <w:szCs w:val="24"/>
        </w:rPr>
        <w:t xml:space="preserve">could aid </w:t>
      </w:r>
      <w:r w:rsidR="00E260F8">
        <w:rPr>
          <w:rFonts w:ascii="Arial" w:hAnsi="Arial" w:cs="Arial"/>
          <w:sz w:val="24"/>
          <w:szCs w:val="24"/>
        </w:rPr>
        <w:t>building a positive</w:t>
      </w:r>
      <w:r>
        <w:rPr>
          <w:rFonts w:ascii="Arial" w:hAnsi="Arial" w:cs="Arial"/>
          <w:sz w:val="24"/>
          <w:szCs w:val="24"/>
        </w:rPr>
        <w:t xml:space="preserve"> student-teacher relationship </w:t>
      </w:r>
      <w:r>
        <w:rPr>
          <w:rFonts w:ascii="Arial" w:hAnsi="Arial" w:cs="Arial"/>
          <w:sz w:val="24"/>
          <w:szCs w:val="24"/>
        </w:rPr>
        <w:fldChar w:fldCharType="begin" w:fldLock="1"/>
      </w:r>
      <w:r>
        <w:rPr>
          <w:rFonts w:ascii="Arial" w:hAnsi="Arial" w:cs="Arial"/>
          <w:sz w:val="24"/>
          <w:szCs w:val="24"/>
        </w:rPr>
        <w:instrText>ADDIN CSL_CITATION {"citationItems":[{"id":"ITEM-1","itemData":{"ISSN":"10867732","abstract":"The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Singing","id":"ITEM-1","issue":"4","issued":{"date-parts":[["2018"]]},"page":"405-414","title":"Critical Thought, Intrinsic Motivation, and the Voice Studio: Perspectives of Master Teachers.","type":"article-journal","volume":"74"},"uris":["http://www.mendeley.com/documents/?uuid=4030f552-7b94-4abf-bab4-c0b97b7babca"]}],"mendeley":{"formattedCitation":"(Stephenson, 2018)","plainTextFormattedCitation":"(Stephenson, 2018)","previouslyFormattedCitation":"(Stephenson, 2018)"},"properties":{"noteIndex":0},"schema":"https://github.com/citation-style-language/schema/raw/master/csl-citation.json"}</w:instrText>
      </w:r>
      <w:r>
        <w:rPr>
          <w:rFonts w:ascii="Arial" w:hAnsi="Arial" w:cs="Arial"/>
          <w:sz w:val="24"/>
          <w:szCs w:val="24"/>
        </w:rPr>
        <w:fldChar w:fldCharType="separate"/>
      </w:r>
      <w:r w:rsidRPr="00BB335F">
        <w:rPr>
          <w:rFonts w:ascii="Arial" w:hAnsi="Arial" w:cs="Arial"/>
          <w:noProof/>
          <w:sz w:val="24"/>
          <w:szCs w:val="24"/>
        </w:rPr>
        <w:t>(Stephenson, 2018)</w:t>
      </w:r>
      <w:r>
        <w:rPr>
          <w:rFonts w:ascii="Arial" w:hAnsi="Arial" w:cs="Arial"/>
          <w:sz w:val="24"/>
          <w:szCs w:val="24"/>
        </w:rPr>
        <w:fldChar w:fldCharType="end"/>
      </w:r>
      <w:r>
        <w:rPr>
          <w:rFonts w:ascii="Arial" w:hAnsi="Arial" w:cs="Arial"/>
          <w:sz w:val="24"/>
          <w:szCs w:val="24"/>
        </w:rPr>
        <w:t xml:space="preserve">. Safety in the learning environment can be augmented with mindfulness as exposure therapy </w:t>
      </w:r>
      <w:r w:rsidR="00957467">
        <w:rPr>
          <w:rFonts w:ascii="Arial" w:hAnsi="Arial" w:cs="Arial"/>
          <w:sz w:val="24"/>
          <w:szCs w:val="24"/>
        </w:rPr>
        <w:t>which can develop</w:t>
      </w:r>
      <w:r>
        <w:rPr>
          <w:rFonts w:ascii="Arial" w:hAnsi="Arial" w:cs="Arial"/>
          <w:sz w:val="24"/>
          <w:szCs w:val="24"/>
        </w:rPr>
        <w:t xml:space="preserve"> emotional regulation </w:t>
      </w:r>
      <w:r w:rsidR="00224670">
        <w:rPr>
          <w:rFonts w:ascii="Arial" w:hAnsi="Arial" w:cs="Arial"/>
          <w:sz w:val="24"/>
          <w:szCs w:val="24"/>
        </w:rPr>
        <w:t xml:space="preserve">skills </w:t>
      </w:r>
      <w:r>
        <w:rPr>
          <w:rFonts w:ascii="Arial" w:hAnsi="Arial" w:cs="Arial"/>
          <w:sz w:val="24"/>
          <w:szCs w:val="24"/>
        </w:rPr>
        <w:t xml:space="preserve">when exposed to potential sources of fear </w:t>
      </w:r>
      <w:r>
        <w:rPr>
          <w:rFonts w:ascii="Arial" w:hAnsi="Arial" w:cs="Arial"/>
          <w:sz w:val="24"/>
          <w:szCs w:val="24"/>
        </w:rPr>
        <w:fldChar w:fldCharType="begin" w:fldLock="1"/>
      </w:r>
      <w:r>
        <w:rPr>
          <w:rFonts w:ascii="Arial" w:hAnsi="Arial" w:cs="Arial"/>
          <w:sz w:val="24"/>
          <w:szCs w:val="24"/>
        </w:rPr>
        <w:instrText>ADDIN CSL_CITATION {"citationItems":[{"id":"ITEM-1","itemData":{"DOI":"10.1038/nrn3916","ISSN":"14710048","PMID":"25783612","abstract":"Research over the past two decades broadly supports the claim that mindfulness meditation - practiced widely for the reduction of stress and promotion of health - exerts beneficial effects on physical and mental health, and cognitive performance. Recent neuroimaging studies have begun to uncover the brain areas and networks that mediate these positive effects. However, the underlying neural mechanisms remain unclear, and it is apparent that more methodologically rigorous studies are required if we are to gain a full understanding of the neuronal and molecular bases of the changes in the brain that accompany mindfulness meditation.","author":[{"dropping-particle":"","family":"Tang","given":"Yi Yuan","non-dropping-particle":"","parse-names":false,"suffix":""},{"dropping-particle":"","family":"Hölzel","given":"Britta K.","non-dropping-particle":"","parse-names":false,"suffix":""},{"dropping-particle":"","family":"Posner","given":"Michael I.","non-dropping-particle":"","parse-names":false,"suffix":""}],"container-title":"Nature Reviews Neuroscience","id":"ITEM-1","issue":"4","issued":{"date-parts":[["2015"]]},"note":"there is emerging evidence that mindfulness meditation might cause neuroplastic changes in the struc- ture and function of brain regions involved in regulation of attention, emotion and self-awareness.\n\n\nthe sensory cortices and insula - areas that have been related to body awareness\n\nanterior cingulate cortex (ACC), mid -cingulate cortex and orbitofrontal cortex - self and emotion regulation\n\nhippocampus - related to memory processes\n\n\nBox 1 - Mindfulnness table a types of meditation and benefits\n\n21 studies - brain alterations - mindfulness\n\nfrontopolar cortex - might be related to enhanced meta-awareness\n\nthe sensory cortices and insula - areas that have been related to body awareness\n\nhippocampus - related to memory processes\n\nanterior cingulate cortex (ACC), mid -cingulate cortex and orbitofrontal cortex - self and emotion regulation\n\nsuperior longitudinal fasciculus and corpus callosum, - areas involved in intra- and inter-hemispherical communication\n\nFig 1 - Brain areas involved in mfn meditation","page":"213-225","publisher":"Nature Publishing Group","title":"The neuroscience of mindfulness meditation","type":"article-journal","volume":"16"},"uris":["http://www.mendeley.com/documents/?uuid=db8fb3d1-27cb-4186-b9e2-07bbbf244d40"]}],"mendeley":{"formattedCitation":"(Tang, Hölzel and Posner, 2015)","plainTextFormattedCitation":"(Tang, Hölzel and Posner, 2015)","previouslyFormattedCitation":"(Tang, Hölzel and Posner, 2015)"},"properties":{"noteIndex":0},"schema":"https://github.com/citation-style-language/schema/raw/master/csl-citation.json"}</w:instrText>
      </w:r>
      <w:r>
        <w:rPr>
          <w:rFonts w:ascii="Arial" w:hAnsi="Arial" w:cs="Arial"/>
          <w:sz w:val="24"/>
          <w:szCs w:val="24"/>
        </w:rPr>
        <w:fldChar w:fldCharType="separate"/>
      </w:r>
      <w:r w:rsidRPr="00E8455F">
        <w:rPr>
          <w:rFonts w:ascii="Arial" w:hAnsi="Arial" w:cs="Arial"/>
          <w:noProof/>
          <w:sz w:val="24"/>
          <w:szCs w:val="24"/>
        </w:rPr>
        <w:t>(Tang, Hölzel and Posner, 2015)</w:t>
      </w:r>
      <w:r>
        <w:rPr>
          <w:rFonts w:ascii="Arial" w:hAnsi="Arial" w:cs="Arial"/>
          <w:sz w:val="24"/>
          <w:szCs w:val="24"/>
        </w:rPr>
        <w:fldChar w:fldCharType="end"/>
      </w:r>
      <w:r>
        <w:rPr>
          <w:rFonts w:ascii="Arial" w:hAnsi="Arial" w:cs="Arial"/>
          <w:sz w:val="24"/>
          <w:szCs w:val="24"/>
        </w:rPr>
        <w:t>. Perfectionism may be counteracted by fostering self-compassion and shame resilience</w:t>
      </w:r>
      <w:r w:rsidR="002F3E3E">
        <w:rPr>
          <w:rFonts w:ascii="Arial" w:hAnsi="Arial" w:cs="Arial"/>
          <w:sz w:val="24"/>
          <w:szCs w:val="24"/>
        </w:rPr>
        <w:t xml:space="preserve">. </w:t>
      </w:r>
      <w:r w:rsidR="005C3DC3">
        <w:rPr>
          <w:rFonts w:ascii="Arial" w:hAnsi="Arial" w:cs="Arial"/>
          <w:sz w:val="24"/>
          <w:szCs w:val="24"/>
        </w:rPr>
        <w:t>Shame resilience has been shown to develop</w:t>
      </w:r>
      <w:r>
        <w:rPr>
          <w:rFonts w:ascii="Arial" w:hAnsi="Arial" w:cs="Arial"/>
          <w:sz w:val="24"/>
          <w:szCs w:val="24"/>
        </w:rPr>
        <w:t xml:space="preserve"> when a student describes vulnerable feelings and the teacher listens empathically and compassionately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environment","type":"article-journal","volume":"43"},"uris":["http://www.mendeley.com/documents/?uuid=df4ddb6b-d417-411f-9261-d87aba0aa367"]},{"id":"ITEM-2","itemData":{"DOI":"10.1177/1029864920941570","ISSN":"10298649","abstract":"Mindfulness courses are beneficial in clinical domains for anxiety and depression and are becoming more prevalent as interventions in education. However, little is known about what effects mindfulness might have on musicians. In an exploratory study, 25 music students, who completed one of four 8-week MBSR/MBCT mindfulness courses adapted for musicians at the Guildhall School of Music and Drama, completed the validated Five Facet Mindfulness Questionnaire and a bespoke Mindfulness for Musicians questionnaire pre- and post-intervention. Twenty-one music students also took part in a post-intervention one-to-one semi-structured interview. Post-intervention mindfulness scores for both questionnaires increased significantly in comparison to pre-intervention scores. In interviews, participants were reportedly more aware and focused in instrumental lessons, were less self-critical, and developed increased body awareness, which improved their learning of instrumental technique. Participants also described enhanced teacher/pupil communication. In instrumental practice sessions, participants reported more efficient, effective and creative practice, and said that mindfulness exercises helped them deal with problems experienced while practising. Participants also described enhanced listening skills and improved socio-collaboration in ensemble rehearsals. They reported that mindfulness strategies had positive effects on music performance anxiety and described changes in time perception, enhanced expressivity, and positive post-performance effects. Future researchers could adopt a more robust methodology, such as a randomised controlled trial, and incorporate further design elements, such as longitudinal follow-up. Providing more systematic evidence of the beneficial role of mindfulness for conservatoire music students as learners and performers may encourage greater provision of such opportunities in musical settings in the future.","author":[{"dropping-particle":"","family":"Czajkowski","given":"Anne Marie Louise","non-dropping-particle":"","parse-names":false,"suffix":""},{"dropping-particle":"","family":"Greasley","given":"Alinka Elizabeth","non-dropping-particle":"","parse-names":false,"suffix":""},{"dropping-particle":"","family":"Allis","given":"Michael","non-dropping-particle":"","parse-names":false,"suffix":""}],"container-title":"Musicae Scientiae","id":"ITEM-2","issued":{"date-parts":[["2020"]]},"title":"Mindfulness for musicians: A mixed methods study investigating the effects of 8-week mindfulness courses on music students at a leading conservatoire","type":"article-journal"},"uris":["http://www.mendeley.com/documents/?uuid=f970a755-f86e-4cfa-a2d0-19410e603fa3"]}],"mendeley":{"formattedCitation":"(Czajkowski, Greasley and Allis, 2020; Hogle, 2021)","plainTextFormattedCitation":"(Czajkowski, Greasley and Allis, 2020; Hogle, 2021)","previouslyFormattedCitation":"(Czajkowski, Greasley and Allis, 2020; Hogle, 2021)"},"properties":{"noteIndex":0},"schema":"https://github.com/citation-style-language/schema/raw/master/csl-citation.json"}</w:instrText>
      </w:r>
      <w:r>
        <w:rPr>
          <w:rFonts w:ascii="Arial" w:hAnsi="Arial" w:cs="Arial"/>
          <w:sz w:val="24"/>
          <w:szCs w:val="24"/>
        </w:rPr>
        <w:fldChar w:fldCharType="separate"/>
      </w:r>
      <w:r w:rsidRPr="00B316EB">
        <w:rPr>
          <w:rFonts w:ascii="Arial" w:hAnsi="Arial" w:cs="Arial"/>
          <w:noProof/>
          <w:sz w:val="24"/>
          <w:szCs w:val="24"/>
        </w:rPr>
        <w:t>(Czajkowski, Greasley and Allis, 2020; Hogle, 2021)</w:t>
      </w:r>
      <w:r>
        <w:rPr>
          <w:rFonts w:ascii="Arial" w:hAnsi="Arial" w:cs="Arial"/>
          <w:sz w:val="24"/>
          <w:szCs w:val="24"/>
        </w:rPr>
        <w:fldChar w:fldCharType="end"/>
      </w:r>
      <w:r w:rsidR="00D1526A">
        <w:rPr>
          <w:rFonts w:ascii="Arial" w:hAnsi="Arial" w:cs="Arial"/>
          <w:sz w:val="24"/>
          <w:szCs w:val="24"/>
        </w:rPr>
        <w:t>. Teacher-student interactions such as this</w:t>
      </w:r>
      <w:r>
        <w:rPr>
          <w:rFonts w:ascii="Arial" w:hAnsi="Arial" w:cs="Arial"/>
          <w:sz w:val="24"/>
          <w:szCs w:val="24"/>
        </w:rPr>
        <w:t xml:space="preserve"> </w:t>
      </w:r>
      <w:r w:rsidR="00D1526A">
        <w:rPr>
          <w:rFonts w:ascii="Arial" w:hAnsi="Arial" w:cs="Arial"/>
          <w:sz w:val="24"/>
          <w:szCs w:val="24"/>
        </w:rPr>
        <w:t>could contribute to</w:t>
      </w:r>
      <w:r>
        <w:rPr>
          <w:rFonts w:ascii="Arial" w:hAnsi="Arial" w:cs="Arial"/>
          <w:sz w:val="24"/>
          <w:szCs w:val="24"/>
        </w:rPr>
        <w:t xml:space="preserve"> a sense of safety in the learning environment and </w:t>
      </w:r>
      <w:r w:rsidR="00FA080F">
        <w:rPr>
          <w:rFonts w:ascii="Arial" w:hAnsi="Arial" w:cs="Arial"/>
          <w:sz w:val="24"/>
          <w:szCs w:val="24"/>
        </w:rPr>
        <w:t>c</w:t>
      </w:r>
      <w:r w:rsidR="00DF7F13">
        <w:rPr>
          <w:rFonts w:ascii="Arial" w:hAnsi="Arial" w:cs="Arial"/>
          <w:sz w:val="24"/>
          <w:szCs w:val="24"/>
        </w:rPr>
        <w:t xml:space="preserve">ould improve </w:t>
      </w:r>
      <w:r>
        <w:rPr>
          <w:rFonts w:ascii="Arial" w:hAnsi="Arial" w:cs="Arial"/>
          <w:sz w:val="24"/>
          <w:szCs w:val="24"/>
        </w:rPr>
        <w:t>student-teacher rapport.</w:t>
      </w:r>
      <w:r w:rsidRPr="00333F66">
        <w:rPr>
          <w:rFonts w:ascii="Arial" w:hAnsi="Arial" w:cs="Arial"/>
          <w:sz w:val="24"/>
          <w:szCs w:val="24"/>
        </w:rPr>
        <w:t xml:space="preserve"> </w:t>
      </w:r>
      <w:r>
        <w:rPr>
          <w:rFonts w:ascii="Arial" w:hAnsi="Arial" w:cs="Arial"/>
          <w:sz w:val="24"/>
          <w:szCs w:val="24"/>
        </w:rPr>
        <w:t xml:space="preserve">Community </w:t>
      </w:r>
      <w:r w:rsidRPr="00D36D97">
        <w:rPr>
          <w:rFonts w:ascii="Arial" w:hAnsi="Arial" w:cs="Arial"/>
          <w:b/>
          <w:bCs/>
          <w:i/>
          <w:iCs/>
          <w:sz w:val="24"/>
          <w:szCs w:val="24"/>
        </w:rPr>
        <w:t>a</w:t>
      </w:r>
      <w:r w:rsidRPr="00D11969">
        <w:rPr>
          <w:rFonts w:ascii="Arial" w:hAnsi="Arial" w:cs="Arial"/>
          <w:b/>
          <w:bCs/>
          <w:i/>
          <w:iCs/>
          <w:sz w:val="24"/>
          <w:szCs w:val="24"/>
        </w:rPr>
        <w:t>cceptance</w:t>
      </w:r>
      <w:r>
        <w:rPr>
          <w:rFonts w:ascii="Arial" w:hAnsi="Arial" w:cs="Arial"/>
          <w:b/>
          <w:bCs/>
          <w:i/>
          <w:iCs/>
          <w:sz w:val="24"/>
          <w:szCs w:val="24"/>
        </w:rPr>
        <w:t xml:space="preserve"> </w:t>
      </w:r>
      <w:r w:rsidRPr="00B627E7">
        <w:rPr>
          <w:rFonts w:ascii="Arial" w:hAnsi="Arial" w:cs="Arial"/>
          <w:sz w:val="24"/>
          <w:szCs w:val="24"/>
        </w:rPr>
        <w:t xml:space="preserve">and </w:t>
      </w:r>
      <w:r>
        <w:rPr>
          <w:rFonts w:ascii="Arial" w:hAnsi="Arial" w:cs="Arial"/>
          <w:sz w:val="24"/>
          <w:szCs w:val="24"/>
        </w:rPr>
        <w:t>self-acceptance</w:t>
      </w:r>
      <w:r>
        <w:rPr>
          <w:rFonts w:ascii="Arial" w:hAnsi="Arial" w:cs="Arial"/>
          <w:b/>
          <w:bCs/>
          <w:i/>
          <w:iCs/>
          <w:sz w:val="24"/>
          <w:szCs w:val="24"/>
        </w:rPr>
        <w:t xml:space="preserve"> </w:t>
      </w:r>
      <w:r>
        <w:rPr>
          <w:rFonts w:ascii="Arial" w:hAnsi="Arial" w:cs="Arial"/>
          <w:sz w:val="24"/>
          <w:szCs w:val="24"/>
        </w:rPr>
        <w:t xml:space="preserve">for singers and learners has been linked with safe learning environments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2021)","plainTextFormattedCitation":"(Hogle, 2021)","previouslyFormattedCitation":"(Hogle, 2021)"},"properties":{"noteIndex":0},"schema":"https://github.com/citation-style-language/schema/raw/master/csl-citation.json"}</w:instrText>
      </w:r>
      <w:r>
        <w:rPr>
          <w:rFonts w:ascii="Arial" w:hAnsi="Arial" w:cs="Arial"/>
          <w:sz w:val="24"/>
          <w:szCs w:val="24"/>
        </w:rPr>
        <w:fldChar w:fldCharType="separate"/>
      </w:r>
      <w:r w:rsidRPr="00025B20">
        <w:rPr>
          <w:rFonts w:ascii="Arial" w:hAnsi="Arial" w:cs="Arial"/>
          <w:noProof/>
          <w:sz w:val="24"/>
          <w:szCs w:val="24"/>
        </w:rPr>
        <w:t>(Hogle, 2021)</w:t>
      </w:r>
      <w:r>
        <w:rPr>
          <w:rFonts w:ascii="Arial" w:hAnsi="Arial" w:cs="Arial"/>
          <w:sz w:val="24"/>
          <w:szCs w:val="24"/>
        </w:rPr>
        <w:fldChar w:fldCharType="end"/>
      </w:r>
      <w:r>
        <w:rPr>
          <w:rFonts w:ascii="Arial" w:hAnsi="Arial" w:cs="Arial"/>
          <w:sz w:val="24"/>
          <w:szCs w:val="24"/>
        </w:rPr>
        <w:t xml:space="preserve">, increased participation in singing </w:t>
      </w:r>
      <w:r>
        <w:rPr>
          <w:rFonts w:ascii="Arial" w:hAnsi="Arial" w:cs="Arial"/>
          <w:sz w:val="24"/>
          <w:szCs w:val="24"/>
        </w:rPr>
        <w:fldChar w:fldCharType="begin" w:fldLock="1"/>
      </w:r>
      <w:r>
        <w:rPr>
          <w:rFonts w:ascii="Arial" w:hAnsi="Arial" w:cs="Arial"/>
          <w:sz w:val="24"/>
          <w:szCs w:val="24"/>
        </w:rPr>
        <w:instrText>ADDIN CSL_CITATION {"citationItems":[{"id":"ITEM-1","itemData":{"DOI":"10.1108/20428301111140930","ISSN":"20428316","abstract":"Purpose - This paper aims to describe the development and evaluation of an innovative community singing initiative with mental health services users and supporters in East Kent, UK.Design/methodology/approach - A network of seven singing groups was established between September 2009 and June 2010. The choirs met weekly in three terms with breaks for Christmas and Easter, and joined together for two public performances in February and June 2010. In total, 137 participants were involved in the evaluation processes over this period. Of these, 42 provided complete data on the CORE questionnaire, a widely used clinical measure of mental distress, at baseline and eight months later. Findings - Clinically significant improvements were observed in response to the CORE. These changes, together with qualitative feedback from participants, demonstrate that group singing can have substantial benefits in aiding the recovery of people with a history of serious and enduring mental health problems. A limited body of research has also shown that singing can be helpful for people with existing mental and physical health problems. Originality/value - The research finds marked improvements in mental wellbeing on a clinically validated measure for people with a range of enduring mental health issues participating in a network of small choirs. Qualitative evidence indicates that group singing can offer a wide range of emotional and social benefits for mental health service users. © Emerald Group Publishing Limited.","author":[{"dropping-particle":"","family":"Clift","given":"Stephen","non-dropping-particle":"","parse-names":false,"suffix":""},{"dropping-particle":"","family":"Morrison","given":"Ian","non-dropping-particle":"","parse-names":false,"suffix":""}],"container-title":"Mental Health and Social Inclusion","id":"ITEM-1","issue":"2","issued":{"date-parts":[["2011"]]},"page":"88-97","title":"Group singing fosters mental health and wellbeing: Findings from the East Kent \"singing for health\" network project","type":"article-journal","volume":"15"},"uris":["http://www.mendeley.com/documents/?uuid=cea75396-641a-497e-98c9-76ac37fc767f"]}],"mendeley":{"formattedCitation":"(Clift and Morrison, 2011)","plainTextFormattedCitation":"(Clift and Morrison, 2011)","previouslyFormattedCitation":"(Clift and Morrison, 2011)"},"properties":{"noteIndex":0},"schema":"https://github.com/citation-style-language/schema/raw/master/csl-citation.json"}</w:instrText>
      </w:r>
      <w:r>
        <w:rPr>
          <w:rFonts w:ascii="Arial" w:hAnsi="Arial" w:cs="Arial"/>
          <w:sz w:val="24"/>
          <w:szCs w:val="24"/>
        </w:rPr>
        <w:fldChar w:fldCharType="separate"/>
      </w:r>
      <w:r w:rsidRPr="000D5C1F">
        <w:rPr>
          <w:rFonts w:ascii="Arial" w:hAnsi="Arial" w:cs="Arial"/>
          <w:noProof/>
          <w:sz w:val="24"/>
          <w:szCs w:val="24"/>
        </w:rPr>
        <w:t>(Clift and Morrison, 2011)</w:t>
      </w:r>
      <w:r>
        <w:rPr>
          <w:rFonts w:ascii="Arial" w:hAnsi="Arial" w:cs="Arial"/>
          <w:sz w:val="24"/>
          <w:szCs w:val="24"/>
        </w:rPr>
        <w:fldChar w:fldCharType="end"/>
      </w:r>
      <w:r>
        <w:rPr>
          <w:rFonts w:ascii="Arial" w:hAnsi="Arial" w:cs="Arial"/>
          <w:sz w:val="24"/>
          <w:szCs w:val="24"/>
        </w:rPr>
        <w:t xml:space="preserve">, reducing avoidant behaviours </w:t>
      </w:r>
      <w:r>
        <w:rPr>
          <w:rFonts w:ascii="Arial" w:hAnsi="Arial" w:cs="Arial"/>
          <w:sz w:val="24"/>
          <w:szCs w:val="24"/>
        </w:rPr>
        <w:fldChar w:fldCharType="begin" w:fldLock="1"/>
      </w:r>
      <w:r>
        <w:rPr>
          <w:rFonts w:ascii="Arial" w:hAnsi="Arial" w:cs="Arial"/>
          <w:sz w:val="24"/>
          <w:szCs w:val="24"/>
        </w:rPr>
        <w:instrText>ADDIN CSL_CITATION {"citationItems":[{"id":"ITEM-1","itemData":{"author":[{"dropping-particle":"","family":"Moghal","given":"Sarwat","non-dropping-particle":"","parse-names":false,"suffix":""},{"dropping-particle":"","family":"Khanam","given":"Fazeela","non-dropping-particle":"","parse-names":false,"suffix":""}],"container-title":"Pakistan Journal of psychology","id":"ITEM-1","issue":"1","issued":{"date-parts":[["2012"]]},"page":"91-100","title":"Self esteem as a predictor of fear of negative evaluation and social anxiety","type":"article-journal","volume":"43"},"uris":["http://www.mendeley.com/documents/?uuid=a671e9c9-ce59-4224-b9d7-fb74206b7f40"]}],"mendeley":{"formattedCitation":"(Moghal and Khanam, 2012)","plainTextFormattedCitation":"(Moghal and Khanam, 2012)","previouslyFormattedCitation":"(Moghal and Khanam, 2012)"},"properties":{"noteIndex":0},"schema":"https://github.com/citation-style-language/schema/raw/master/csl-citation.json"}</w:instrText>
      </w:r>
      <w:r>
        <w:rPr>
          <w:rFonts w:ascii="Arial" w:hAnsi="Arial" w:cs="Arial"/>
          <w:sz w:val="24"/>
          <w:szCs w:val="24"/>
        </w:rPr>
        <w:fldChar w:fldCharType="separate"/>
      </w:r>
      <w:r w:rsidRPr="000B42A1">
        <w:rPr>
          <w:rFonts w:ascii="Arial" w:hAnsi="Arial" w:cs="Arial"/>
          <w:noProof/>
          <w:sz w:val="24"/>
          <w:szCs w:val="24"/>
        </w:rPr>
        <w:t>(Moghal and Khanam, 2012)</w:t>
      </w:r>
      <w:r>
        <w:rPr>
          <w:rFonts w:ascii="Arial" w:hAnsi="Arial" w:cs="Arial"/>
          <w:sz w:val="24"/>
          <w:szCs w:val="24"/>
        </w:rPr>
        <w:fldChar w:fldCharType="end"/>
      </w:r>
      <w:r>
        <w:rPr>
          <w:rFonts w:ascii="Arial" w:hAnsi="Arial" w:cs="Arial"/>
          <w:sz w:val="24"/>
          <w:szCs w:val="24"/>
        </w:rPr>
        <w:t>, and to increase</w:t>
      </w:r>
      <w:r w:rsidR="00F60020">
        <w:rPr>
          <w:rFonts w:ascii="Arial" w:hAnsi="Arial" w:cs="Arial"/>
          <w:sz w:val="24"/>
          <w:szCs w:val="24"/>
        </w:rPr>
        <w:t>d</w:t>
      </w:r>
      <w:r>
        <w:rPr>
          <w:rFonts w:ascii="Arial" w:hAnsi="Arial" w:cs="Arial"/>
          <w:sz w:val="24"/>
          <w:szCs w:val="24"/>
        </w:rPr>
        <w:t xml:space="preserve"> performance </w:t>
      </w:r>
      <w:r w:rsidR="00F60020">
        <w:rPr>
          <w:rFonts w:ascii="Arial" w:hAnsi="Arial" w:cs="Arial"/>
          <w:sz w:val="24"/>
          <w:szCs w:val="24"/>
        </w:rPr>
        <w:t>when</w:t>
      </w:r>
      <w:r>
        <w:rPr>
          <w:rFonts w:ascii="Arial" w:hAnsi="Arial" w:cs="Arial"/>
          <w:sz w:val="24"/>
          <w:szCs w:val="24"/>
        </w:rPr>
        <w:t xml:space="preserve"> learning new motor skills </w:t>
      </w:r>
      <w:r>
        <w:rPr>
          <w:rFonts w:ascii="Arial" w:hAnsi="Arial" w:cs="Arial"/>
          <w:sz w:val="24"/>
          <w:szCs w:val="24"/>
        </w:rPr>
        <w:fldChar w:fldCharType="begin" w:fldLock="1"/>
      </w:r>
      <w:r>
        <w:rPr>
          <w:rFonts w:ascii="Arial" w:hAnsi="Arial" w:cs="Arial"/>
          <w:sz w:val="24"/>
          <w:szCs w:val="24"/>
        </w:rPr>
        <w:instrText>ADDIN CSL_CITATION {"citationItems":[{"id":"ITEM-1","itemData":{"DOI":"10.1016/j.psychsport.2015.09.005","ISSN":"14690292","abstract":"Objectives: The present study was into whether or not mindfulness training, based on the mindfulness-acceptance-commitment approach (MAC), can improve beginners' skill acquisition of dart throwing. Design: Randomised controlled trial. Methods: A total of 43 first-year college students who had not played darts professionally prior to the study were randomly assigned to either an attention control group (n = 21) or a mindfulness training group (n = 22) during an eight-week dart training program. Dart throwing and psychological variables were assessed at pre-intervention, post-intervention, and two-week follow-up. Results: Two-way repeated measures ANOVA revealed that the mindfulness group, but not the attention control group had significant improvements in mindfulness, experiential acceptance, and flow at post-intervention and follow-up. Although both groups improved dart throwing performance after the intervention, the improvement of the mindfulness group was statistically higher in comparison to that of the attention control group. Conclusions: It was concluded that the MAC approach could improve the performance and adaptive sport experience of beginners in dart throwing.","author":[{"dropping-particle":"","family":"Zhang","given":"Chun Qing","non-dropping-particle":"","parse-names":false,"suffix":""},{"dropping-particle":"","family":"Si","given":"Gangyan","non-dropping-particle":"","parse-names":false,"suffix":""},{"dropping-particle":"","family":"Duan","given":"Yanping","non-dropping-particle":"","parse-names":false,"suffix":""},{"dropping-particle":"","family":"Lyu","given":"Yaojun","non-dropping-particle":"","parse-names":false,"suffix":""},{"dropping-particle":"","family":"Keatley","given":"David A.","non-dropping-particle":"","parse-names":false,"suffix":""},{"dropping-particle":"","family":"Chan","given":"Derwin K.C.","non-dropping-particle":"","parse-names":false,"suffix":""}],"container-title":"Psychology of Sport and Exercise","id":"ITEM-1","issued":{"date-parts":[["2016"]]},"page":"279-285","publisher":"Elsevier Ltd","title":"The effects of mindfulness training on beginners' skill acquisition in dart throwing: A randomized controlled trial","type":"article-journal","volume":"22"},"uris":["http://www.mendeley.com/documents/?uuid=202ce881-bede-407b-9c72-e2d0c30c64cc"]}],"mendeley":{"formattedCitation":"(Zhang &lt;i&gt;et al.&lt;/i&gt;, 2016)","plainTextFormattedCitation":"(Zhang et al., 2016)","previouslyFormattedCitation":"(Zhang &lt;i&gt;et al.&lt;/i&gt;, 2016)"},"properties":{"noteIndex":0},"schema":"https://github.com/citation-style-language/schema/raw/master/csl-citation.json"}</w:instrText>
      </w:r>
      <w:r>
        <w:rPr>
          <w:rFonts w:ascii="Arial" w:hAnsi="Arial" w:cs="Arial"/>
          <w:sz w:val="24"/>
          <w:szCs w:val="24"/>
        </w:rPr>
        <w:fldChar w:fldCharType="separate"/>
      </w:r>
      <w:r w:rsidRPr="00E9401D">
        <w:rPr>
          <w:rFonts w:ascii="Arial" w:hAnsi="Arial" w:cs="Arial"/>
          <w:noProof/>
          <w:sz w:val="24"/>
          <w:szCs w:val="24"/>
        </w:rPr>
        <w:t xml:space="preserve">(Zhang </w:t>
      </w:r>
      <w:r w:rsidRPr="00E9401D">
        <w:rPr>
          <w:rFonts w:ascii="Arial" w:hAnsi="Arial" w:cs="Arial"/>
          <w:i/>
          <w:noProof/>
          <w:sz w:val="24"/>
          <w:szCs w:val="24"/>
        </w:rPr>
        <w:t>et al.</w:t>
      </w:r>
      <w:r w:rsidRPr="00E9401D">
        <w:rPr>
          <w:rFonts w:ascii="Arial" w:hAnsi="Arial" w:cs="Arial"/>
          <w:noProof/>
          <w:sz w:val="24"/>
          <w:szCs w:val="24"/>
        </w:rPr>
        <w:t>, 2016)</w:t>
      </w:r>
      <w:r>
        <w:rPr>
          <w:rFonts w:ascii="Arial" w:hAnsi="Arial" w:cs="Arial"/>
          <w:sz w:val="24"/>
          <w:szCs w:val="24"/>
        </w:rPr>
        <w:fldChar w:fldCharType="end"/>
      </w:r>
      <w:r>
        <w:rPr>
          <w:rFonts w:ascii="Arial" w:hAnsi="Arial" w:cs="Arial"/>
          <w:sz w:val="24"/>
          <w:szCs w:val="24"/>
        </w:rPr>
        <w:t xml:space="preserve">. All of </w:t>
      </w:r>
      <w:r w:rsidR="00813D68">
        <w:rPr>
          <w:rFonts w:ascii="Arial" w:hAnsi="Arial" w:cs="Arial"/>
          <w:sz w:val="24"/>
          <w:szCs w:val="24"/>
        </w:rPr>
        <w:t>these</w:t>
      </w:r>
      <w:r>
        <w:rPr>
          <w:rFonts w:ascii="Arial" w:hAnsi="Arial" w:cs="Arial"/>
          <w:sz w:val="24"/>
          <w:szCs w:val="24"/>
        </w:rPr>
        <w:t xml:space="preserve"> could increase a singer’s opportunities for positive mastery experiences </w:t>
      </w:r>
      <w:r>
        <w:rPr>
          <w:rFonts w:ascii="Arial" w:hAnsi="Arial" w:cs="Arial"/>
          <w:sz w:val="24"/>
          <w:szCs w:val="24"/>
        </w:rPr>
        <w:fldChar w:fldCharType="begin" w:fldLock="1"/>
      </w:r>
      <w:r>
        <w:rPr>
          <w:rFonts w:ascii="Arial" w:hAnsi="Arial" w:cs="Arial"/>
          <w:sz w:val="24"/>
          <w:szCs w:val="24"/>
        </w:rPr>
        <w:instrText>ADDIN CSL_CITATION {"citationItems":[{"id":"ITEM-1","itemData":{"abstract":"Based on Bandura's theory that those who believe they can do what they set out to do are healthier, more efficient and more successful than those with low self-efficacy expectations. This theory has stimulated programs of research in education, clinicaland developmental psychology, medicine and related fields, athletics and business organization.","author":[{"dropping-particle":"","family":"Bandura","given":"Albert","non-dropping-particle":"","parse-names":false,"suffix":""}],"id":"ITEM-1","issued":{"date-parts":[["1997"]]},"publisher":"W.H.Freeman &amp; Co Ltd","publisher-place":"New York","title":"Self-efficacy : The Exercise of Control.","type":"book"},"uris":["http://www.mendeley.com/documents/?uuid=29014b0e-1932-4150-a247-953655b38468"]},{"id":"ITEM-2","itemData":{"DOI":"10.1177/02557614221074057","ISBN":"0255761422107","ISSN":"1744795X","abstract":"Fostering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beliefs","type":"article-journal"},"uris":["http://www.mendeley.com/documents/?uuid=d1469298-0bbc-4c76-afcd-e0c4086da712"]},{"id":"ITEM-3","itemData":{"DOI":"10.1177/0022429411405214","ISSN":"00224294","abstract":"The Self-Efficacy for Musical Learning questionnaire was adapted and tested with 404 primary school children, producing a robust Cronbach alpha (0.87) and confirming a single underlying factor through exploratory factor analysis. Test-retest scores showed the measure's stability over a 9-month period. Data were collected on children's prior music experience, extracurricular activities, and typical daily activities. Children also completed the Short Warwick-Edinburgh Mental Well-Being Scale and the Strengths and Difficulties Questionnaire. Those currently engaged in music tuition (learning an instrument or singing) had significantly higher self-efficacy scores than children who were not, and overall, girls' scores were significantly higher than boys'. Correlations with various additional measures, including wellbeing and reading for pleasure, highlighted multifaceted relationships of self-efficacy to children's lives. Regression analyses revealed that prior experience with instrumental tuition was the strongest predictor of music self-efficacy for learning; prosocial behaviors predicted boys' scores, and well-being predicted girls' scores. © 2011 MENC: The National Association for Music Education.","author":[{"dropping-particle":"","family":"Ritchie","given":"Laura","non-dropping-particle":"","parse-names":false,"suffix":""},{"dropping-particle":"","family":"Williamon","given":"Aaron","non-dropping-particle":"","parse-names":false,"suffix":""}],"container-title":"Journal of Research in Music Education","id":"ITEM-3","issue":"2","issued":{"date-parts":[["2011"]]},"page":"146-161","title":"Primary school children's Self-efficacy for Music Learning","type":"article-journal","volume":"59"},"uris":["http://www.mendeley.com/documents/?uuid=240473f6-1468-4960-8481-528f722fddd9"]}],"mendeley":{"formattedCitation":"(Bandura, 1997; Ritchie and Williamon, 2011; Lewis and Hendricks, 2022)","plainTextFormattedCitation":"(Bandura, 1997; Ritchie and Williamon, 2011; Lewis and Hendricks, 2022)","previouslyFormattedCitation":"(Bandura, 1997; Ritchie and Williamon, 2011; Lewis and Hendricks, 2022)"},"properties":{"noteIndex":0},"schema":"https://github.com/citation-style-language/schema/raw/master/csl-citation.json"}</w:instrText>
      </w:r>
      <w:r>
        <w:rPr>
          <w:rFonts w:ascii="Arial" w:hAnsi="Arial" w:cs="Arial"/>
          <w:sz w:val="24"/>
          <w:szCs w:val="24"/>
        </w:rPr>
        <w:fldChar w:fldCharType="separate"/>
      </w:r>
      <w:r w:rsidRPr="00520262">
        <w:rPr>
          <w:rFonts w:ascii="Arial" w:hAnsi="Arial" w:cs="Arial"/>
          <w:noProof/>
          <w:sz w:val="24"/>
          <w:szCs w:val="24"/>
        </w:rPr>
        <w:t xml:space="preserve">(Bandura, 1997; </w:t>
      </w:r>
      <w:r w:rsidRPr="00520262">
        <w:rPr>
          <w:rFonts w:ascii="Arial" w:hAnsi="Arial" w:cs="Arial"/>
          <w:noProof/>
          <w:sz w:val="24"/>
          <w:szCs w:val="24"/>
        </w:rPr>
        <w:lastRenderedPageBreak/>
        <w:t>Ritchie and Williamon, 2011; Lewis and Hendricks, 2022)</w:t>
      </w:r>
      <w:r>
        <w:rPr>
          <w:rFonts w:ascii="Arial" w:hAnsi="Arial" w:cs="Arial"/>
          <w:sz w:val="24"/>
          <w:szCs w:val="24"/>
        </w:rPr>
        <w:fldChar w:fldCharType="end"/>
      </w:r>
      <w:r>
        <w:rPr>
          <w:rFonts w:ascii="Arial" w:hAnsi="Arial" w:cs="Arial"/>
          <w:sz w:val="24"/>
          <w:szCs w:val="24"/>
        </w:rPr>
        <w:t xml:space="preserve">. Enhancing and encouraging learning environments also support improvements in self-efficacy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environment","type":"article-journal","volume":"43"},"uris":["http://www.mendeley.com/documents/?uuid=df4ddb6b-d417-411f-9261-d87aba0aa367"]},{"id":"ITEM-2","itemData":{"DOI":"10.1177/0022429411405214","ISSN":"00224294","abstract":"The Self-Efficacy for Musical Learning questionnaire was adapted and tested with 404 primary school children, producing a robust Cronbach alpha (0.87) and confirming a single underlying factor through exploratory factor analysis. Test-retest scores showed the measure's stability over a 9-month period. Data were collected on children's prior music experience, extracurricular activities, and typical daily activities. Children also completed the Short Warwick-Edinburgh Mental Well-Being Scale and the Strengths and Difficulties Questionnaire. Those currently engaged in music tuition (learning an instrument or singing) had significantly higher self-efficacy scores than children who were not, and overall, girls' scores were significantly higher than boys'. Correlations with various additional measures, including wellbeing and reading for pleasure, highlighted multifaceted relationships of self-efficacy to children's lives. Regression analyses revealed that prior experience with instrumental tuition was the strongest predictor of music self-efficacy for learning; prosocial behaviors predicted boys' scores, and well-being predicted girls' scores. © 2011 MENC: The National Association for Music Education.","author":[{"dropping-particle":"","family":"Ritchie","given":"Laura","non-dropping-particle":"","parse-names":false,"suffix":""},{"dropping-particle":"","family":"Williamon","given":"Aaron","non-dropping-particle":"","parse-names":false,"suffix":""}],"container-title":"Journal of Research in Music Education","id":"ITEM-2","issue":"2","issued":{"date-parts":[["2011"]]},"page":"146-161","title":"Primary school children's Self-efficacy for Music Learning","type":"article-journal","volume":"59"},"uris":["http://www.mendeley.com/documents/?uuid=240473f6-1468-4960-8481-528f722fddd9"]},{"id":"ITEM-3","itemData":{"DOI":"10.1177/02557614221074057","ISBN":"0255761422107","ISSN":"1744795X","abstract":"Fostering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Education","id":"ITEM-3","issued":{"date-parts":[["2022"]]},"title":"“It’s your body, it’s part of who you are!”: Influences upon collegiate vocalists’ performance self-efficacy beliefs","type":"article-journal"},"uris":["http://www.mendeley.com/documents/?uuid=d1469298-0bbc-4c76-afcd-e0c4086da712"]},{"id":"ITEM-4","itemData":{"DOI":"10.18546/LRE.13.1.05","ISSN":"14748479","abstract":"The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Education","id":"ITEM-4","issue":"1","issued":{"date-parts":[["2015"]]},"page":"43-57","title":"Critical geragogy: A framework for facilitating older learners in community music","type":"article-journal","volume":"13"},"uris":["http://www.mendeley.com/documents/?uuid=fa50dd99-4e1e-44de-a3f2-30dd41815d00"]}],"mendeley":{"formattedCitation":"(Ritchie and Williamon, 2011; Creech and Hallam, 2015; Hogle, 2021; Lewis and Hendricks, 2022)","plainTextFormattedCitation":"(Ritchie and Williamon, 2011; Creech and Hallam, 2015; Hogle, 2021; Lewis and Hendricks, 2022)","previouslyFormattedCitation":"(Ritchie and Williamon, 2011; Creech and Hallam, 2015; Hogle, 2021; Lewis and Hendricks, 2022)"},"properties":{"noteIndex":0},"schema":"https://github.com/citation-style-language/schema/raw/master/csl-citation.json"}</w:instrText>
      </w:r>
      <w:r>
        <w:rPr>
          <w:rFonts w:ascii="Arial" w:hAnsi="Arial" w:cs="Arial"/>
          <w:sz w:val="24"/>
          <w:szCs w:val="24"/>
        </w:rPr>
        <w:fldChar w:fldCharType="separate"/>
      </w:r>
      <w:r w:rsidRPr="00441C7B">
        <w:rPr>
          <w:rFonts w:ascii="Arial" w:hAnsi="Arial" w:cs="Arial"/>
          <w:noProof/>
          <w:sz w:val="24"/>
          <w:szCs w:val="24"/>
        </w:rPr>
        <w:t>(Ritchie and Williamon, 2011; Creech and Hallam, 2015; Hogle, 2021; Lewis and Hendricks, 2022)</w:t>
      </w:r>
      <w:r>
        <w:rPr>
          <w:rFonts w:ascii="Arial" w:hAnsi="Arial" w:cs="Arial"/>
          <w:sz w:val="24"/>
          <w:szCs w:val="24"/>
        </w:rPr>
        <w:fldChar w:fldCharType="end"/>
      </w:r>
      <w:r w:rsidR="00227115">
        <w:rPr>
          <w:rFonts w:ascii="Arial" w:hAnsi="Arial" w:cs="Arial"/>
          <w:sz w:val="24"/>
          <w:szCs w:val="24"/>
        </w:rPr>
        <w:t>.</w:t>
      </w:r>
      <w:r>
        <w:rPr>
          <w:rFonts w:ascii="Arial" w:hAnsi="Arial" w:cs="Arial"/>
          <w:sz w:val="24"/>
          <w:szCs w:val="24"/>
        </w:rPr>
        <w:t xml:space="preserve"> </w:t>
      </w:r>
      <w:r w:rsidR="00227115">
        <w:rPr>
          <w:rFonts w:ascii="Arial" w:hAnsi="Arial" w:cs="Arial"/>
          <w:sz w:val="24"/>
          <w:szCs w:val="24"/>
        </w:rPr>
        <w:t>T</w:t>
      </w:r>
      <w:r>
        <w:rPr>
          <w:rFonts w:ascii="Arial" w:hAnsi="Arial" w:cs="Arial"/>
          <w:sz w:val="24"/>
          <w:szCs w:val="24"/>
        </w:rPr>
        <w:t xml:space="preserve">his associated positive feelings </w:t>
      </w:r>
      <w:r w:rsidR="00732919">
        <w:rPr>
          <w:rFonts w:ascii="Arial" w:hAnsi="Arial" w:cs="Arial"/>
          <w:sz w:val="24"/>
          <w:szCs w:val="24"/>
        </w:rPr>
        <w:t>could</w:t>
      </w:r>
      <w:r w:rsidR="00EB396B">
        <w:rPr>
          <w:rFonts w:ascii="Arial" w:hAnsi="Arial" w:cs="Arial"/>
          <w:sz w:val="24"/>
          <w:szCs w:val="24"/>
        </w:rPr>
        <w:t xml:space="preserve"> support</w:t>
      </w:r>
      <w:r>
        <w:rPr>
          <w:rFonts w:ascii="Arial" w:hAnsi="Arial" w:cs="Arial"/>
          <w:sz w:val="24"/>
          <w:szCs w:val="24"/>
        </w:rPr>
        <w:t xml:space="preserve"> student </w:t>
      </w:r>
      <w:r w:rsidR="004C17E8">
        <w:rPr>
          <w:rFonts w:ascii="Arial" w:hAnsi="Arial" w:cs="Arial"/>
          <w:sz w:val="24"/>
          <w:szCs w:val="24"/>
        </w:rPr>
        <w:t xml:space="preserve">being guided </w:t>
      </w:r>
      <w:r>
        <w:rPr>
          <w:rFonts w:ascii="Arial" w:hAnsi="Arial" w:cs="Arial"/>
          <w:sz w:val="24"/>
          <w:szCs w:val="24"/>
        </w:rPr>
        <w:t xml:space="preserve">through </w:t>
      </w:r>
      <w:r w:rsidR="004C17E8">
        <w:rPr>
          <w:rFonts w:ascii="Arial" w:hAnsi="Arial" w:cs="Arial"/>
          <w:sz w:val="24"/>
          <w:szCs w:val="24"/>
        </w:rPr>
        <w:t xml:space="preserve">the </w:t>
      </w:r>
      <w:r>
        <w:rPr>
          <w:rFonts w:ascii="Arial" w:hAnsi="Arial" w:cs="Arial"/>
          <w:sz w:val="24"/>
          <w:szCs w:val="24"/>
        </w:rPr>
        <w:t xml:space="preserve">emotional difficulties which could have been stalling self-efficacy development </w:t>
      </w:r>
      <w:r>
        <w:rPr>
          <w:rFonts w:ascii="Arial" w:hAnsi="Arial" w:cs="Arial"/>
          <w:sz w:val="24"/>
          <w:szCs w:val="24"/>
        </w:rPr>
        <w:fldChar w:fldCharType="begin" w:fldLock="1"/>
      </w:r>
      <w:r>
        <w:rPr>
          <w:rFonts w:ascii="Arial" w:hAnsi="Arial" w:cs="Arial"/>
          <w:sz w:val="24"/>
          <w:szCs w:val="24"/>
        </w:rPr>
        <w:instrText>ADDIN CSL_CITATION {"citationItems":[{"id":"ITEM-1","itemData":{"DOI":"10.1017/S0265051715000145","ISBN":"0265051715000","ISSN":"14692104","abstract":"This paper reports the development and implementation of a unique Mindfulness for Singers (MfS) course designed to improve singers' vocal technique. Eight university students completed the intervention. Five Facet Mindfulness Questionnaire (FFMQ) scores showed general improvement across all five facets of mindfulness. Qualitative results showed benefits of daily mindfulness exercises on breathing, micro-muscular awareness, vocal tone, text communication and problem solving. Exercises also positively affected teacher/pupil relationships, concentration and focus in lessons and practice. Teachers identified six of the eight participants in a blind controlled study indicating that vocal students at any level would benefit greatly from a mindfulness course as a holistic intervention.","author":[{"dropping-particle":"","family":"Czajkowski","given":"Anne Marie L.","non-dropping-particle":"","parse-names":false,"suffix":""},{"dropping-particle":"","family":"Greasley","given":"Alinka E.","non-dropping-particle":"","parse-names":false,"suffix":""}],"container-title":"British Journal of Music Education","id":"ITEM-1","issue":"2","issued":{"date-parts":[["2015"]]},"page":"211-233","title":"Mindfulness for singers: The effects of a targeted mindfulness course on learning vocal technique","type":"article-journal","volume":"32"},"uris":["http://www.mendeley.com/documents/?uuid=ce43866b-d012-45af-a3f0-36cbd79f1965"]},{"id":"ITEM-2","itemData":{"ISSN":"10867732","abstract":"The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Singing","id":"ITEM-2","issue":"4","issued":{"date-parts":[["2018"]]},"page":"405-414","title":"Critical Thought, Intrinsic Motivation, and the Voice Studio: Perspectives of Master Teachers.","type":"article-journal","volume":"74"},"uris":["http://www.mendeley.com/documents/?uuid=4030f552-7b94-4abf-bab4-c0b97b7babca"]},{"id":"ITEM-3","itemData":{"DOI":"10.1177/1321103X20930426","ISSN":"18345530","abstract":"The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Education","id":"ITEM-3","issue":"2","issued":{"date-parts":[["2021"]]},"page":"179-194","title":"Fostering singing agency through emotional differentiation in an inclusive singing environment","type":"article-journal","volume":"43"},"uris":["http://www.mendeley.com/documents/?uuid=df4ddb6b-d417-411f-9261-d87aba0aa367"]},{"id":"ITEM-4","itemData":{"DOI":"10.1177/0022429411405214","ISSN":"00224294","abstract":"The Self-Efficacy for Musical Learning questionnaire was adapted and tested with 404 primary school children, producing a robust Cronbach alpha (0.87) and confirming a single underlying factor through exploratory factor analysis. Test-retest scores showed the measure's stability over a 9-month period. Data were collected on children's prior music experience, extracurricular activities, and typical daily activities. Children also completed the Short Warwick-Edinburgh Mental Well-Being Scale and the Strengths and Difficulties Questionnaire. Those currently engaged in music tuition (learning an instrument or singing) had significantly higher self-efficacy scores than children who were not, and overall, girls' scores were significantly higher than boys'. Correlations with various additional measures, including wellbeing and reading for pleasure, highlighted multifaceted relationships of self-efficacy to children's lives. Regression analyses revealed that prior experience with instrumental tuition was the strongest predictor of music self-efficacy for learning; prosocial behaviors predicted boys' scores, and well-being predicted girls' scores. © 2011 MENC: The National Association for Music Education.","author":[{"dropping-particle":"","family":"Ritchie","given":"Laura","non-dropping-particle":"","parse-names":false,"suffix":""},{"dropping-particle":"","family":"Williamon","given":"Aaron","non-dropping-particle":"","parse-names":false,"suffix":""}],"container-title":"Journal of Research in Music Education","id":"ITEM-4","issue":"2","issued":{"date-parts":[["2011"]]},"page":"146-161","title":"Primary school children's Self-efficacy for Music Learning","type":"article-journal","volume":"59"},"uris":["http://www.mendeley.com/documents/?uuid=240473f6-1468-4960-8481-528f722fddd9"]}],"mendeley":{"formattedCitation":"(Ritchie and Williamon, 2011; Czajkowski and Greasley, 2015; Stephenson, 2018; Hogle, 2021)","plainTextFormattedCitation":"(Ritchie and Williamon, 2011; Czajkowski and Greasley, 2015; Stephenson, 2018; Hogle, 2021)","previouslyFormattedCitation":"(Ritchie and Williamon, 2011; Czajkowski and Greasley, 2015; Stephenson, 2018; Hogle, 2021)"},"properties":{"noteIndex":0},"schema":"https://github.com/citation-style-language/schema/raw/master/csl-citation.json"}</w:instrText>
      </w:r>
      <w:r>
        <w:rPr>
          <w:rFonts w:ascii="Arial" w:hAnsi="Arial" w:cs="Arial"/>
          <w:sz w:val="24"/>
          <w:szCs w:val="24"/>
        </w:rPr>
        <w:fldChar w:fldCharType="separate"/>
      </w:r>
      <w:r w:rsidRPr="0019154A">
        <w:rPr>
          <w:rFonts w:ascii="Arial" w:hAnsi="Arial" w:cs="Arial"/>
          <w:noProof/>
          <w:sz w:val="24"/>
          <w:szCs w:val="24"/>
        </w:rPr>
        <w:t>(Ritchie and Williamon, 2011; Czajkowski and Greasley, 2015; Stephenson, 2018; Hogle, 2021)</w:t>
      </w:r>
      <w:r>
        <w:rPr>
          <w:rFonts w:ascii="Arial" w:hAnsi="Arial" w:cs="Arial"/>
          <w:sz w:val="24"/>
          <w:szCs w:val="24"/>
        </w:rPr>
        <w:fldChar w:fldCharType="end"/>
      </w:r>
      <w:r>
        <w:rPr>
          <w:rFonts w:ascii="Arial" w:hAnsi="Arial" w:cs="Arial"/>
          <w:sz w:val="24"/>
          <w:szCs w:val="24"/>
        </w:rPr>
        <w:t xml:space="preserve">. </w:t>
      </w:r>
      <w:r w:rsidR="00525042">
        <w:rPr>
          <w:rFonts w:ascii="Arial" w:hAnsi="Arial" w:cs="Arial"/>
          <w:sz w:val="24"/>
          <w:szCs w:val="24"/>
        </w:rPr>
        <w:t xml:space="preserve">Lewis and Hendricks </w:t>
      </w:r>
      <w:r w:rsidR="00525042">
        <w:rPr>
          <w:rFonts w:ascii="Arial" w:hAnsi="Arial" w:cs="Arial"/>
          <w:sz w:val="24"/>
          <w:szCs w:val="24"/>
        </w:rPr>
        <w:fldChar w:fldCharType="begin" w:fldLock="1"/>
      </w:r>
      <w:r w:rsidR="00B63926">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2022)","manualFormatting":"(2022)","plainTextFormattedCitation":"(Lewis and Hendricks, 2022)","previouslyFormattedCitation":"(Lewis and Hendricks, 2022)"},"properties":{"noteIndex":0},"schema":"https://github.com/citation-style-language/schema/raw/master/csl-citation.json"}</w:instrText>
      </w:r>
      <w:r w:rsidR="00525042">
        <w:rPr>
          <w:rFonts w:ascii="Arial" w:hAnsi="Arial" w:cs="Arial"/>
          <w:sz w:val="24"/>
          <w:szCs w:val="24"/>
        </w:rPr>
        <w:fldChar w:fldCharType="separate"/>
      </w:r>
      <w:r w:rsidR="00525042" w:rsidRPr="00525042">
        <w:rPr>
          <w:rFonts w:ascii="Arial" w:hAnsi="Arial" w:cs="Arial"/>
          <w:noProof/>
          <w:sz w:val="24"/>
          <w:szCs w:val="24"/>
        </w:rPr>
        <w:t>(2022)</w:t>
      </w:r>
      <w:r w:rsidR="00525042">
        <w:rPr>
          <w:rFonts w:ascii="Arial" w:hAnsi="Arial" w:cs="Arial"/>
          <w:sz w:val="24"/>
          <w:szCs w:val="24"/>
        </w:rPr>
        <w:fldChar w:fldCharType="end"/>
      </w:r>
      <w:r w:rsidR="0035046E">
        <w:rPr>
          <w:rFonts w:ascii="Arial" w:hAnsi="Arial" w:cs="Arial"/>
          <w:sz w:val="24"/>
          <w:szCs w:val="24"/>
        </w:rPr>
        <w:t xml:space="preserve"> suggest </w:t>
      </w:r>
      <w:r>
        <w:rPr>
          <w:rFonts w:ascii="Arial" w:hAnsi="Arial" w:cs="Arial"/>
          <w:sz w:val="24"/>
          <w:szCs w:val="24"/>
        </w:rPr>
        <w:t>foster a playful and exploratory attitude in singers</w:t>
      </w:r>
      <w:r w:rsidR="0035046E">
        <w:rPr>
          <w:rFonts w:ascii="Arial" w:hAnsi="Arial" w:cs="Arial"/>
          <w:sz w:val="24"/>
          <w:szCs w:val="24"/>
        </w:rPr>
        <w:t xml:space="preserve">. This </w:t>
      </w:r>
      <w:r>
        <w:rPr>
          <w:rFonts w:ascii="Arial" w:hAnsi="Arial" w:cs="Arial"/>
          <w:sz w:val="24"/>
          <w:szCs w:val="24"/>
        </w:rPr>
        <w:t xml:space="preserve">can help a student </w:t>
      </w:r>
      <w:r w:rsidR="0035046E">
        <w:rPr>
          <w:rFonts w:ascii="Arial" w:hAnsi="Arial" w:cs="Arial"/>
          <w:sz w:val="24"/>
          <w:szCs w:val="24"/>
        </w:rPr>
        <w:t xml:space="preserve">move </w:t>
      </w:r>
      <w:r>
        <w:rPr>
          <w:rFonts w:ascii="Arial" w:hAnsi="Arial" w:cs="Arial"/>
          <w:sz w:val="24"/>
          <w:szCs w:val="24"/>
        </w:rPr>
        <w:t xml:space="preserve">away from stalling points </w:t>
      </w:r>
      <w:r w:rsidR="000A4CB0">
        <w:rPr>
          <w:rFonts w:ascii="Arial" w:hAnsi="Arial" w:cs="Arial"/>
          <w:sz w:val="24"/>
          <w:szCs w:val="24"/>
        </w:rPr>
        <w:t>by steering them</w:t>
      </w:r>
      <w:r>
        <w:rPr>
          <w:rFonts w:ascii="Arial" w:hAnsi="Arial" w:cs="Arial"/>
          <w:sz w:val="24"/>
          <w:szCs w:val="24"/>
        </w:rPr>
        <w:t xml:space="preserve"> towards new skills and experiences </w:t>
      </w:r>
      <w:r w:rsidR="00401014">
        <w:rPr>
          <w:rFonts w:ascii="Arial" w:hAnsi="Arial" w:cs="Arial"/>
          <w:sz w:val="24"/>
          <w:szCs w:val="24"/>
        </w:rPr>
        <w:t xml:space="preserve">which </w:t>
      </w:r>
      <w:r>
        <w:rPr>
          <w:rFonts w:ascii="Arial" w:hAnsi="Arial" w:cs="Arial"/>
          <w:sz w:val="24"/>
          <w:szCs w:val="24"/>
        </w:rPr>
        <w:t xml:space="preserve">support self-efficacy improvements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Education","id":"ITEM-2","issue":"1","issued":{"date-parts":[["2015"]]},"page":"43-57","title":"Critical geragogy: A framework for facilitating older learners in community music","type":"article-journal","volume":"13"},"uris":["http://www.mendeley.com/documents/?uuid=fa50dd99-4e1e-44de-a3f2-30dd41815d00"]}],"mendeley":{"formattedCitation":"(Creech and Hallam, 2015; Lewis and Hendricks, 2022)","plainTextFormattedCitation":"(Creech and Hallam, 2015; Lewis and Hendricks, 2022)","previouslyFormattedCitation":"(Creech and Hallam, 2015; Lewis and Hendricks, 2022)"},"properties":{"noteIndex":0},"schema":"https://github.com/citation-style-language/schema/raw/master/csl-citation.json"}</w:instrText>
      </w:r>
      <w:r>
        <w:rPr>
          <w:rFonts w:ascii="Arial" w:hAnsi="Arial" w:cs="Arial"/>
          <w:sz w:val="24"/>
          <w:szCs w:val="24"/>
        </w:rPr>
        <w:fldChar w:fldCharType="separate"/>
      </w:r>
      <w:r w:rsidRPr="00675485">
        <w:rPr>
          <w:rFonts w:ascii="Arial" w:hAnsi="Arial" w:cs="Arial"/>
          <w:noProof/>
          <w:sz w:val="24"/>
          <w:szCs w:val="24"/>
        </w:rPr>
        <w:t>(Creech and Hallam, 2015; Lewis and Hendricks, 2022)</w:t>
      </w:r>
      <w:r>
        <w:rPr>
          <w:rFonts w:ascii="Arial" w:hAnsi="Arial" w:cs="Arial"/>
          <w:sz w:val="24"/>
          <w:szCs w:val="24"/>
        </w:rPr>
        <w:fldChar w:fldCharType="end"/>
      </w:r>
      <w:r>
        <w:rPr>
          <w:rFonts w:ascii="Arial" w:hAnsi="Arial" w:cs="Arial"/>
          <w:sz w:val="24"/>
          <w:szCs w:val="24"/>
        </w:rPr>
        <w:t xml:space="preserve">. It has been shown that learning a new motor task is more enjoyable and </w:t>
      </w:r>
      <w:r w:rsidR="00B74DF7">
        <w:rPr>
          <w:rFonts w:ascii="Arial" w:hAnsi="Arial" w:cs="Arial"/>
          <w:sz w:val="24"/>
          <w:szCs w:val="24"/>
        </w:rPr>
        <w:t>effective</w:t>
      </w:r>
      <w:r>
        <w:rPr>
          <w:rFonts w:ascii="Arial" w:hAnsi="Arial" w:cs="Arial"/>
          <w:sz w:val="24"/>
          <w:szCs w:val="24"/>
        </w:rPr>
        <w:t xml:space="preserve"> when a student has a higher disposition towards mindfulness </w:t>
      </w:r>
      <w:r>
        <w:rPr>
          <w:rFonts w:ascii="Arial" w:hAnsi="Arial" w:cs="Arial"/>
          <w:sz w:val="24"/>
          <w:szCs w:val="24"/>
        </w:rPr>
        <w:fldChar w:fldCharType="begin" w:fldLock="1"/>
      </w:r>
      <w:r>
        <w:rPr>
          <w:rFonts w:ascii="Arial" w:hAnsi="Arial" w:cs="Arial"/>
          <w:sz w:val="24"/>
          <w:szCs w:val="24"/>
        </w:rPr>
        <w:instrText>ADDIN CSL_CITATION {"citationItems":[{"id":"ITEM-1","itemData":{"DOI":"10.1016/j.lindif.2011.01.009","ISSN":"18733425","abstract":"Current literature suggests that mindful learning is beneficial to learning but its links with motor learning is seldom examined. In the present study, we examine the effects of learners' mindfulness disposition on the self-controlled learning of a novel motor task. Thirty-two participants undertook five practice sessions, in addition to a pre-, post- and retention test. Choices of difficulty after each outcome were recorded. They also provided subjective assessment of enjoyment after the sessions. Results show that the high mindfulness group performed significantly better during pre- and post-tests, but no difference is found for retention test. The mindfulness group also tended to adopt adaptive strategies in their selection of difficulty. Finally, mean enjoyment scores among the high mindfulness group were significantly higher. The findings suggest that mindfulness may be a positive quality that can enhance the process of motor learning. © 2011 Elsevier Inc.","author":[{"dropping-particle":"","family":"Kee","given":"Ying Hwa","non-dropping-particle":"","parse-names":false,"suffix":""},{"dropping-particle":"","family":"Liu","given":"Yeou Teh","non-dropping-particle":"","parse-names":false,"suffix":""}],"container-title":"Learning and Individual Differences","id":"ITEM-1","issue":"4","issued":{"date-parts":[["2011"]]},"page":"468-471","publisher":"Elsevier Inc.","title":"Effects of dispositional mindfulness on the self-controlled learning of a novel motor task","type":"article-journal","volume":"21"},"uris":["http://www.mendeley.com/documents/?uuid=5ff43209-a136-42cd-8ec3-dde79cba66c9"]}],"mendeley":{"formattedCitation":"(Kee and Liu, 2011)","plainTextFormattedCitation":"(Kee and Liu, 2011)","previouslyFormattedCitation":"(Kee and Liu, 2011)"},"properties":{"noteIndex":0},"schema":"https://github.com/citation-style-language/schema/raw/master/csl-citation.json"}</w:instrText>
      </w:r>
      <w:r>
        <w:rPr>
          <w:rFonts w:ascii="Arial" w:hAnsi="Arial" w:cs="Arial"/>
          <w:sz w:val="24"/>
          <w:szCs w:val="24"/>
        </w:rPr>
        <w:fldChar w:fldCharType="separate"/>
      </w:r>
      <w:r w:rsidRPr="003942B3">
        <w:rPr>
          <w:rFonts w:ascii="Arial" w:hAnsi="Arial" w:cs="Arial"/>
          <w:noProof/>
          <w:sz w:val="24"/>
          <w:szCs w:val="24"/>
        </w:rPr>
        <w:t>(Kee and Liu, 2011)</w:t>
      </w:r>
      <w:r>
        <w:rPr>
          <w:rFonts w:ascii="Arial" w:hAnsi="Arial" w:cs="Arial"/>
          <w:sz w:val="24"/>
          <w:szCs w:val="24"/>
        </w:rPr>
        <w:fldChar w:fldCharType="end"/>
      </w:r>
      <w:r>
        <w:rPr>
          <w:rFonts w:ascii="Arial" w:hAnsi="Arial" w:cs="Arial"/>
          <w:sz w:val="24"/>
          <w:szCs w:val="24"/>
        </w:rPr>
        <w:t>.</w:t>
      </w:r>
    </w:p>
    <w:p w14:paraId="0355668C" w14:textId="6CEF0E82" w:rsidR="00C5556C" w:rsidRDefault="007E3B8B" w:rsidP="0025579D">
      <w:pPr>
        <w:spacing w:line="360" w:lineRule="auto"/>
        <w:jc w:val="both"/>
        <w:rPr>
          <w:rFonts w:ascii="Arial" w:hAnsi="Arial" w:cs="Arial"/>
          <w:sz w:val="24"/>
          <w:szCs w:val="24"/>
        </w:rPr>
      </w:pPr>
      <w:r>
        <w:rPr>
          <w:rFonts w:ascii="Arial" w:hAnsi="Arial" w:cs="Arial"/>
          <w:sz w:val="24"/>
          <w:szCs w:val="24"/>
        </w:rPr>
        <w:t>Self-efficacy can be supported b</w:t>
      </w:r>
      <w:r w:rsidR="00D75FEB">
        <w:rPr>
          <w:rFonts w:ascii="Arial" w:hAnsi="Arial" w:cs="Arial"/>
          <w:sz w:val="24"/>
          <w:szCs w:val="24"/>
        </w:rPr>
        <w:t>y</w:t>
      </w:r>
      <w:r>
        <w:rPr>
          <w:rFonts w:ascii="Arial" w:hAnsi="Arial" w:cs="Arial"/>
          <w:sz w:val="24"/>
          <w:szCs w:val="24"/>
        </w:rPr>
        <w:t xml:space="preserve"> shifting the focus of a task towards </w:t>
      </w:r>
      <w:r>
        <w:rPr>
          <w:rFonts w:ascii="Arial" w:hAnsi="Arial" w:cs="Arial"/>
          <w:b/>
          <w:bCs/>
          <w:i/>
          <w:iCs/>
          <w:sz w:val="24"/>
          <w:szCs w:val="24"/>
        </w:rPr>
        <w:t>c</w:t>
      </w:r>
      <w:r w:rsidRPr="000D360E">
        <w:rPr>
          <w:rFonts w:ascii="Arial" w:hAnsi="Arial" w:cs="Arial"/>
          <w:b/>
          <w:bCs/>
          <w:i/>
          <w:iCs/>
          <w:sz w:val="24"/>
          <w:szCs w:val="24"/>
        </w:rPr>
        <w:t>reativity</w:t>
      </w:r>
      <w:r w:rsidR="00D92FD3">
        <w:rPr>
          <w:rFonts w:ascii="Arial" w:hAnsi="Arial" w:cs="Arial"/>
          <w:sz w:val="24"/>
          <w:szCs w:val="24"/>
        </w:rPr>
        <w:t xml:space="preserve">; this approach </w:t>
      </w:r>
      <w:r>
        <w:rPr>
          <w:rFonts w:ascii="Arial" w:hAnsi="Arial" w:cs="Arial"/>
          <w:sz w:val="24"/>
          <w:szCs w:val="24"/>
        </w:rPr>
        <w:t xml:space="preserve">can </w:t>
      </w:r>
      <w:r w:rsidR="00D92FD3">
        <w:rPr>
          <w:rFonts w:ascii="Arial" w:hAnsi="Arial" w:cs="Arial"/>
          <w:sz w:val="24"/>
          <w:szCs w:val="24"/>
        </w:rPr>
        <w:t xml:space="preserve">also </w:t>
      </w:r>
      <w:r>
        <w:rPr>
          <w:rFonts w:ascii="Arial" w:hAnsi="Arial" w:cs="Arial"/>
          <w:sz w:val="24"/>
          <w:szCs w:val="24"/>
        </w:rPr>
        <w:t xml:space="preserve">be used to </w:t>
      </w:r>
      <w:r w:rsidR="00D92FD3">
        <w:rPr>
          <w:rFonts w:ascii="Arial" w:hAnsi="Arial" w:cs="Arial"/>
          <w:sz w:val="24"/>
          <w:szCs w:val="24"/>
        </w:rPr>
        <w:t>increase</w:t>
      </w:r>
      <w:r>
        <w:rPr>
          <w:rFonts w:ascii="Arial" w:hAnsi="Arial" w:cs="Arial"/>
          <w:sz w:val="24"/>
          <w:szCs w:val="24"/>
        </w:rPr>
        <w:t xml:space="preserve"> a student’s comfort </w:t>
      </w:r>
      <w:r w:rsidR="004D04DC">
        <w:rPr>
          <w:rFonts w:ascii="Arial" w:hAnsi="Arial" w:cs="Arial"/>
          <w:sz w:val="24"/>
          <w:szCs w:val="24"/>
        </w:rPr>
        <w:t xml:space="preserve">in lessons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Education","id":"ITEM-2","issue":"1","issued":{"date-parts":[["2015"]]},"page":"43-57","title":"Critical geragogy: A framework for facilitating older learners in community music","type":"article-journal","volume":"13"},"uris":["http://www.mendeley.com/documents/?uuid=fa50dd99-4e1e-44de-a3f2-30dd41815d00"]}],"mendeley":{"formattedCitation":"(Creech and Hallam, 2015; Lewis and Hendricks, 2022)","plainTextFormattedCitation":"(Creech and Hallam, 2015; Lewis and Hendricks, 2022)","previouslyFormattedCitation":"(Creech and Hallam, 2015; Lewis and Hendricks, 2022)"},"properties":{"noteIndex":0},"schema":"https://github.com/citation-style-language/schema/raw/master/csl-citation.json"}</w:instrText>
      </w:r>
      <w:r>
        <w:rPr>
          <w:rFonts w:ascii="Arial" w:hAnsi="Arial" w:cs="Arial"/>
          <w:sz w:val="24"/>
          <w:szCs w:val="24"/>
        </w:rPr>
        <w:fldChar w:fldCharType="separate"/>
      </w:r>
      <w:r w:rsidRPr="00417C7E">
        <w:rPr>
          <w:rFonts w:ascii="Arial" w:hAnsi="Arial" w:cs="Arial"/>
          <w:noProof/>
          <w:sz w:val="24"/>
          <w:szCs w:val="24"/>
        </w:rPr>
        <w:t>(Creech and Hallam, 2015; Lewis and Hendricks, 2022)</w:t>
      </w:r>
      <w:r>
        <w:rPr>
          <w:rFonts w:ascii="Arial" w:hAnsi="Arial" w:cs="Arial"/>
          <w:sz w:val="24"/>
          <w:szCs w:val="24"/>
        </w:rPr>
        <w:fldChar w:fldCharType="end"/>
      </w:r>
      <w:r>
        <w:rPr>
          <w:rFonts w:ascii="Arial" w:hAnsi="Arial" w:cs="Arial"/>
          <w:sz w:val="24"/>
          <w:szCs w:val="24"/>
        </w:rPr>
        <w:t xml:space="preserve">. </w:t>
      </w:r>
      <w:r w:rsidRPr="000A7FC3">
        <w:rPr>
          <w:rFonts w:ascii="Arial" w:hAnsi="Arial" w:cs="Arial"/>
          <w:sz w:val="24"/>
          <w:szCs w:val="24"/>
        </w:rPr>
        <w:t>Incorporating these creative approaches points towards benefits in self-efficacy development</w:t>
      </w:r>
      <w:r>
        <w:rPr>
          <w:rFonts w:ascii="Arial" w:hAnsi="Arial" w:cs="Arial"/>
          <w:sz w:val="24"/>
          <w:szCs w:val="24"/>
        </w:rPr>
        <w:t>: e</w:t>
      </w:r>
      <w:r w:rsidRPr="000A7FC3">
        <w:rPr>
          <w:rFonts w:ascii="Arial" w:hAnsi="Arial" w:cs="Arial"/>
          <w:sz w:val="24"/>
          <w:szCs w:val="24"/>
        </w:rPr>
        <w:t>xpression</w:t>
      </w:r>
      <w:r>
        <w:rPr>
          <w:rFonts w:ascii="Arial" w:hAnsi="Arial" w:cs="Arial"/>
          <w:sz w:val="24"/>
          <w:szCs w:val="24"/>
        </w:rPr>
        <w:t>, emotional e</w:t>
      </w:r>
      <w:r w:rsidRPr="000A7FC3">
        <w:rPr>
          <w:rFonts w:ascii="Arial" w:hAnsi="Arial" w:cs="Arial"/>
          <w:sz w:val="24"/>
          <w:szCs w:val="24"/>
        </w:rPr>
        <w:t>ngagement</w:t>
      </w:r>
      <w:r>
        <w:rPr>
          <w:rFonts w:ascii="Arial" w:hAnsi="Arial" w:cs="Arial"/>
          <w:sz w:val="24"/>
          <w:szCs w:val="24"/>
        </w:rPr>
        <w:t>, m</w:t>
      </w:r>
      <w:r w:rsidRPr="000A7FC3">
        <w:rPr>
          <w:rFonts w:ascii="Arial" w:hAnsi="Arial" w:cs="Arial"/>
          <w:sz w:val="24"/>
          <w:szCs w:val="24"/>
        </w:rPr>
        <w:t>usicality</w:t>
      </w:r>
      <w:r>
        <w:rPr>
          <w:rFonts w:ascii="Arial" w:hAnsi="Arial" w:cs="Arial"/>
          <w:sz w:val="24"/>
          <w:szCs w:val="24"/>
        </w:rPr>
        <w:t>, and m</w:t>
      </w:r>
      <w:r w:rsidRPr="000A7FC3">
        <w:rPr>
          <w:rFonts w:ascii="Arial" w:hAnsi="Arial" w:cs="Arial"/>
          <w:sz w:val="24"/>
          <w:szCs w:val="24"/>
        </w:rPr>
        <w:t>ovement</w:t>
      </w:r>
      <w:r>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Education","id":"ITEM-2","issue":"1","issued":{"date-parts":[["2015"]]},"page":"43-57","title":"Critical geragogy: A framework for facilitating older learners in community music","type":"article-journal","volume":"13"},"uris":["http://www.mendeley.com/documents/?uuid=fa50dd99-4e1e-44de-a3f2-30dd41815d00"]},{"id":"ITEM-3","itemData":{"ISSN":"10867732","abstract":"The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Singing","id":"ITEM-3","issue":"4","issued":{"date-parts":[["2018"]]},"page":"405-414","title":"Critical Thought, Intrinsic Motivation, and the Voice Studio: Perspectives of Master Teachers.","type":"article-journal","volume":"74"},"uris":["http://www.mendeley.com/documents/?uuid=4030f552-7b94-4abf-bab4-c0b97b7babca"]}],"mendeley":{"formattedCitation":"(Creech and Hallam, 2015; Stephenson, 2018; Lewis and Hendricks, 2022)","plainTextFormattedCitation":"(Creech and Hallam, 2015; Stephenson, 2018; Lewis and Hendricks, 2022)","previouslyFormattedCitation":"(Creech and Hallam, 2015; Stephenson, 2018; Lewis and Hendricks, 2022)"},"properties":{"noteIndex":0},"schema":"https://github.com/citation-style-language/schema/raw/master/csl-citation.json"}</w:instrText>
      </w:r>
      <w:r>
        <w:rPr>
          <w:rFonts w:ascii="Arial" w:hAnsi="Arial" w:cs="Arial"/>
          <w:sz w:val="24"/>
          <w:szCs w:val="24"/>
        </w:rPr>
        <w:fldChar w:fldCharType="separate"/>
      </w:r>
      <w:r w:rsidRPr="003A7060">
        <w:rPr>
          <w:rFonts w:ascii="Arial" w:hAnsi="Arial" w:cs="Arial"/>
          <w:noProof/>
          <w:sz w:val="24"/>
          <w:szCs w:val="24"/>
        </w:rPr>
        <w:t>(Creech and Hallam, 2015; Stephenson, 2018; Lewis and Hendricks, 2022)</w:t>
      </w:r>
      <w:r>
        <w:rPr>
          <w:rFonts w:ascii="Arial" w:hAnsi="Arial" w:cs="Arial"/>
          <w:sz w:val="24"/>
          <w:szCs w:val="24"/>
        </w:rPr>
        <w:fldChar w:fldCharType="end"/>
      </w:r>
      <w:r>
        <w:rPr>
          <w:rFonts w:ascii="Arial" w:hAnsi="Arial" w:cs="Arial"/>
          <w:sz w:val="24"/>
          <w:szCs w:val="24"/>
        </w:rPr>
        <w:t xml:space="preserve">. </w:t>
      </w:r>
    </w:p>
    <w:p w14:paraId="14D2183C" w14:textId="2712778F" w:rsidR="00632377" w:rsidRDefault="007E3B8B" w:rsidP="0025579D">
      <w:pPr>
        <w:spacing w:line="360" w:lineRule="auto"/>
        <w:jc w:val="both"/>
        <w:rPr>
          <w:rFonts w:ascii="Arial" w:hAnsi="Arial" w:cs="Arial"/>
          <w:color w:val="111111"/>
          <w:sz w:val="24"/>
          <w:szCs w:val="24"/>
          <w:shd w:val="clear" w:color="auto" w:fill="FFFFFF"/>
        </w:rPr>
      </w:pPr>
      <w:r>
        <w:rPr>
          <w:rFonts w:ascii="Arial" w:hAnsi="Arial" w:cs="Arial"/>
          <w:color w:val="111111"/>
          <w:sz w:val="24"/>
          <w:szCs w:val="24"/>
          <w:shd w:val="clear" w:color="auto" w:fill="FFFFFF"/>
        </w:rPr>
        <w:t xml:space="preserve">Many of the attitudes and skills which support self-efficacy improvements are developed in </w:t>
      </w:r>
      <w:r w:rsidRPr="00796768">
        <w:rPr>
          <w:rFonts w:ascii="Arial" w:hAnsi="Arial" w:cs="Arial"/>
          <w:b/>
          <w:bCs/>
          <w:i/>
          <w:iCs/>
          <w:color w:val="111111"/>
          <w:sz w:val="24"/>
          <w:szCs w:val="24"/>
          <w:shd w:val="clear" w:color="auto" w:fill="FFFFFF"/>
        </w:rPr>
        <w:t>mindfulness training</w:t>
      </w:r>
      <w:r>
        <w:rPr>
          <w:rFonts w:ascii="Arial" w:hAnsi="Arial" w:cs="Arial"/>
          <w:color w:val="111111"/>
          <w:sz w:val="24"/>
          <w:szCs w:val="24"/>
          <w:shd w:val="clear" w:color="auto" w:fill="FFFFFF"/>
        </w:rPr>
        <w:t xml:space="preserve"> </w:t>
      </w:r>
      <w:r w:rsidR="006D1AB5">
        <w:rPr>
          <w:rFonts w:ascii="Arial" w:hAnsi="Arial" w:cs="Arial"/>
          <w:color w:val="111111"/>
          <w:sz w:val="24"/>
          <w:szCs w:val="24"/>
          <w:shd w:val="clear" w:color="auto" w:fill="FFFFFF"/>
        </w:rPr>
        <w:t>which</w:t>
      </w:r>
      <w:r>
        <w:rPr>
          <w:rFonts w:ascii="Arial" w:hAnsi="Arial" w:cs="Arial"/>
          <w:color w:val="111111"/>
          <w:sz w:val="24"/>
          <w:szCs w:val="24"/>
          <w:shd w:val="clear" w:color="auto" w:fill="FFFFFF"/>
        </w:rPr>
        <w:t xml:space="preserve"> </w:t>
      </w:r>
      <w:r w:rsidR="00EF1F1C">
        <w:rPr>
          <w:rFonts w:ascii="Arial" w:hAnsi="Arial" w:cs="Arial"/>
          <w:color w:val="111111"/>
          <w:sz w:val="24"/>
          <w:szCs w:val="24"/>
          <w:shd w:val="clear" w:color="auto" w:fill="FFFFFF"/>
        </w:rPr>
        <w:t>can develop</w:t>
      </w:r>
      <w:r>
        <w:rPr>
          <w:rFonts w:ascii="Arial" w:hAnsi="Arial" w:cs="Arial"/>
          <w:color w:val="111111"/>
          <w:sz w:val="24"/>
          <w:szCs w:val="24"/>
          <w:shd w:val="clear" w:color="auto" w:fill="FFFFFF"/>
        </w:rPr>
        <w:t xml:space="preserve"> emotional regulation skills </w:t>
      </w:r>
      <w:r>
        <w:rPr>
          <w:rFonts w:ascii="Arial" w:hAnsi="Arial" w:cs="Arial"/>
          <w:color w:val="111111"/>
          <w:sz w:val="24"/>
          <w:szCs w:val="24"/>
          <w:shd w:val="clear" w:color="auto" w:fill="FFFFFF"/>
        </w:rPr>
        <w:fldChar w:fldCharType="begin" w:fldLock="1"/>
      </w:r>
      <w:r>
        <w:rPr>
          <w:rFonts w:ascii="Arial" w:hAnsi="Arial" w:cs="Arial"/>
          <w:color w:val="111111"/>
          <w:sz w:val="24"/>
          <w:szCs w:val="24"/>
          <w:shd w:val="clear" w:color="auto" w:fill="FFFFFF"/>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beliefs","type":"article-journal"},"uris":["http://www.mendeley.com/documents/?uuid=d1469298-0bbc-4c76-afcd-e0c4086da712"]},{"id":"ITEM-2","itemData":{"DOI":"10.1017/S0265051715000145","ISBN":"0265051715000","ISSN":"14692104","abstract":"This paper reports the development and implementation of a unique Mindfulness for Singers (MfS) course designed to improve singers' vocal technique. Eight university students completed the intervention. Five Facet Mindfulness Questionnaire (FFMQ) scores showed general improvement across all five facets of mindfulness. Qualitative results showed benefits of daily mindfulness exercises on breathing, micro-muscular awareness, vocal tone, text communication and problem solving. Exercises also positively affected teacher/pupil relationships, concentration and focus in lessons and practice. Teachers identified six of the eight participants in a blind controlled study indicating that vocal students at any level would benefit greatly from a mindfulness course as a holistic intervention.","author":[{"dropping-particle":"","family":"Czajkowski","given":"Anne Marie L.","non-dropping-particle":"","parse-names":false,"suffix":""},{"dropping-particle":"","family":"Greasley","given":"Alinka E.","non-dropping-particle":"","parse-names":false,"suffix":""}],"container-title":"British Journal of Music Education","id":"ITEM-2","issue":"2","issued":{"date-parts":[["2015"]]},"page":"211-233","title":"Mindfulness for singers: The effects of a targeted mindfulness course on learning vocal technique","type":"article-journal","volume":"32"},"uris":["http://www.mendeley.com/documents/?uuid=ce43866b-d012-45af-a3f0-36cbd79f1965"]},{"id":"ITEM-3","itemData":{"DOI":"10.1037/a0018438","ISSN":"15283542","PMID":"20141302","abstract":"We investigated the impact of mindfulness training (MT) on working memory capacity (WMC) and affective experience. WMC is used in managing cognitive demands and regulating emotions. Yet, persistent and intensive demands, such as those experienced during high-stress intervals, may deplete WMC and lead to cognitive failures and emotional disturbances. We hypothesized that MT may mitigate these deleterious effects by bolstering WMC. We recruited 2 military cohorts during the high-stress predeployment interval and provided MT to 1 (MT, n = 31) but not the other group (military control group, MC, n = 17). The MT group attended an 8-week MT course and logged the amount of out-of-class time spent practicing formal MT exercises. The operation span task was used to index WMC at 2 testing sessions before and after the MT course. Although WMC remained stable over time in civilians (n = 12), it degraded in the MC group. In the MT group, WMC decreased over time in those with low MT practice time, but increased in those with high practice time. Higher MT practice time also corresponded to lower levels of negative affect and higher levels of positive affect (indexed by the Positive and Negative Affect Schedule). The relationship between practice time and negative, but not positive, affect was mediated by WMC, indicating that MT-related improvements in WMC may support some but not all of MT's salutary effects. Nonetheless, these findings suggest that sufficient MT practice may protect against functional impairments associated with high-stress contexts. © 2010 American Psychological Association.","author":[{"dropping-particle":"","family":"Jha","given":"Amishi P.","non-dropping-particle":"","parse-names":false,"suffix":""},{"dropping-particle":"","family":"Stanley","given":"Elizabeth A.","non-dropping-particle":"","parse-names":false,"suffix":""},{"dropping-particle":"","family":"Kiyonaga","given":"Anastasia","non-dropping-particle":"","parse-names":false,"suffix":""},{"dropping-particle":"","family":"Wong","given":"Ling","non-dropping-particle":"","parse-names":false,"suffix":""},{"dropping-particle":"","family":"Gelfand","given":"Lois","non-dropping-particle":"","parse-names":false,"suffix":""}],"container-title":"Emotion","id":"ITEM-3","issue":"1","issued":{"date-parts":[["2010"]]},"page":"54-64","title":"Examining the Protective Effects of Mindfulness Training on Working Memory Capacity and Affective Experience","type":"article-journal","volume":"10"},"uris":["http://www.mendeley.com/documents/?uuid=c34cc52e-2596-468d-8c25-f1d8634ca91b"]}],"mendeley":{"formattedCitation":"(Jha &lt;i&gt;et al.&lt;/i&gt;, 2010; Czajkowski and Greasley, 2015; Lewis and Hendricks, 2022)","plainTextFormattedCitation":"(Jha et al., 2010; Czajkowski and Greasley, 2015; Lewis and Hendricks, 2022)","previouslyFormattedCitation":"(Jha &lt;i&gt;et al.&lt;/i&gt;, 2010; Czajkowski and Greasley, 2015; Lewis and Hendricks, 2022)"},"properties":{"noteIndex":0},"schema":"https://github.com/citation-style-language/schema/raw/master/csl-citation.json"}</w:instrText>
      </w:r>
      <w:r>
        <w:rPr>
          <w:rFonts w:ascii="Arial" w:hAnsi="Arial" w:cs="Arial"/>
          <w:color w:val="111111"/>
          <w:sz w:val="24"/>
          <w:szCs w:val="24"/>
          <w:shd w:val="clear" w:color="auto" w:fill="FFFFFF"/>
        </w:rPr>
        <w:fldChar w:fldCharType="separate"/>
      </w:r>
      <w:r w:rsidRPr="00035F6E">
        <w:rPr>
          <w:rFonts w:ascii="Arial" w:hAnsi="Arial" w:cs="Arial"/>
          <w:noProof/>
          <w:color w:val="111111"/>
          <w:sz w:val="24"/>
          <w:szCs w:val="24"/>
          <w:shd w:val="clear" w:color="auto" w:fill="FFFFFF"/>
        </w:rPr>
        <w:t xml:space="preserve">(Jha </w:t>
      </w:r>
      <w:r w:rsidRPr="00035F6E">
        <w:rPr>
          <w:rFonts w:ascii="Arial" w:hAnsi="Arial" w:cs="Arial"/>
          <w:i/>
          <w:noProof/>
          <w:color w:val="111111"/>
          <w:sz w:val="24"/>
          <w:szCs w:val="24"/>
          <w:shd w:val="clear" w:color="auto" w:fill="FFFFFF"/>
        </w:rPr>
        <w:t>et al.</w:t>
      </w:r>
      <w:r w:rsidRPr="00035F6E">
        <w:rPr>
          <w:rFonts w:ascii="Arial" w:hAnsi="Arial" w:cs="Arial"/>
          <w:noProof/>
          <w:color w:val="111111"/>
          <w:sz w:val="24"/>
          <w:szCs w:val="24"/>
          <w:shd w:val="clear" w:color="auto" w:fill="FFFFFF"/>
        </w:rPr>
        <w:t>, 2010; Czajkowski and Greasley, 2015; Lewis and Hendricks, 2022)</w:t>
      </w:r>
      <w:r>
        <w:rPr>
          <w:rFonts w:ascii="Arial" w:hAnsi="Arial" w:cs="Arial"/>
          <w:color w:val="111111"/>
          <w:sz w:val="24"/>
          <w:szCs w:val="24"/>
          <w:shd w:val="clear" w:color="auto" w:fill="FFFFFF"/>
        </w:rPr>
        <w:fldChar w:fldCharType="end"/>
      </w:r>
      <w:r>
        <w:rPr>
          <w:rFonts w:ascii="Arial" w:hAnsi="Arial" w:cs="Arial"/>
          <w:color w:val="111111"/>
          <w:sz w:val="24"/>
          <w:szCs w:val="24"/>
          <w:shd w:val="clear" w:color="auto" w:fill="FFFFFF"/>
        </w:rPr>
        <w:t xml:space="preserve">. </w:t>
      </w:r>
      <w:r w:rsidR="00FC75CD">
        <w:rPr>
          <w:rFonts w:ascii="Arial" w:hAnsi="Arial" w:cs="Arial"/>
          <w:color w:val="111111"/>
          <w:sz w:val="24"/>
          <w:szCs w:val="24"/>
          <w:shd w:val="clear" w:color="auto" w:fill="FFFFFF"/>
        </w:rPr>
        <w:t>Czajkowski</w:t>
      </w:r>
      <w:r w:rsidR="00443C6B">
        <w:rPr>
          <w:rFonts w:ascii="Arial" w:hAnsi="Arial" w:cs="Arial"/>
          <w:color w:val="111111"/>
          <w:sz w:val="24"/>
          <w:szCs w:val="24"/>
          <w:shd w:val="clear" w:color="auto" w:fill="FFFFFF"/>
        </w:rPr>
        <w:t xml:space="preserve"> and Greasley </w:t>
      </w:r>
      <w:r w:rsidR="00443C6B">
        <w:rPr>
          <w:rFonts w:ascii="Arial" w:hAnsi="Arial" w:cs="Arial"/>
          <w:color w:val="111111"/>
          <w:sz w:val="24"/>
          <w:szCs w:val="24"/>
          <w:shd w:val="clear" w:color="auto" w:fill="FFFFFF"/>
        </w:rPr>
        <w:fldChar w:fldCharType="begin" w:fldLock="1"/>
      </w:r>
      <w:r w:rsidR="00C64A35">
        <w:rPr>
          <w:rFonts w:ascii="Arial" w:hAnsi="Arial" w:cs="Arial"/>
          <w:color w:val="111111"/>
          <w:sz w:val="24"/>
          <w:szCs w:val="24"/>
          <w:shd w:val="clear" w:color="auto" w:fill="FFFFFF"/>
        </w:rPr>
        <w:instrText>ADDIN CSL_CITATION {"citationItems":[{"id":"ITEM-1","itemData":{"DOI":"10.1017/S0265051715000145","ISBN":"0265051715000","ISSN":"14692104","abstract":"This paper reports the development and implementation of a unique Mindfulness for Singers (MfS) course designed to improve singers' vocal technique. Eight university students completed the intervention. Five Facet Mindfulness Questionnaire (FFMQ) scores showed general improvement across all five facets of mindfulness. Qualitative results showed benefits of daily mindfulness exercises on breathing, micro-muscular awareness, vocal tone, text communication and problem solving. Exercises also positively affected teacher/pupil relationships, concentration and focus in lessons and practice. Teachers identified six of the eight participants in a blind controlled study indicating that vocal students at any level would benefit greatly from a mindfulness course as a holistic intervention.","author":[{"dropping-particle":"","family":"Czajkowski","given":"Anne Marie L.","non-dropping-particle":"","parse-names":false,"suffix":""},{"dropping-particle":"","family":"Greasley","given":"Alinka E.","non-dropping-particle":"","parse-names":false,"suffix":""}],"container-title":"British Journal of Music Education","id":"ITEM-1","issue":"2","issued":{"date-parts":[["2015"]]},"page":"211-233","title":"Mindfulness for singers: The effects of a targeted mindfulness course on learning vocal technique","type":"article-journal","volume":"32"},"uris":["http://www.mendeley.com/documents/?uuid=ce43866b-d012-45af-a3f0-36cbd79f1965"]}],"mendeley":{"formattedCitation":"(Czajkowski and Greasley, 2015)","manualFormatting":"(2015)","plainTextFormattedCitation":"(Czajkowski and Greasley, 2015)","previouslyFormattedCitation":"(Czajkowski and Greasley, 2015)"},"properties":{"noteIndex":0},"schema":"https://github.com/citation-style-language/schema/raw/master/csl-citation.json"}</w:instrText>
      </w:r>
      <w:r w:rsidR="00443C6B">
        <w:rPr>
          <w:rFonts w:ascii="Arial" w:hAnsi="Arial" w:cs="Arial"/>
          <w:color w:val="111111"/>
          <w:sz w:val="24"/>
          <w:szCs w:val="24"/>
          <w:shd w:val="clear" w:color="auto" w:fill="FFFFFF"/>
        </w:rPr>
        <w:fldChar w:fldCharType="separate"/>
      </w:r>
      <w:r w:rsidR="00443C6B" w:rsidRPr="00443C6B">
        <w:rPr>
          <w:rFonts w:ascii="Arial" w:hAnsi="Arial" w:cs="Arial"/>
          <w:noProof/>
          <w:color w:val="111111"/>
          <w:sz w:val="24"/>
          <w:szCs w:val="24"/>
          <w:shd w:val="clear" w:color="auto" w:fill="FFFFFF"/>
        </w:rPr>
        <w:t>(2015)</w:t>
      </w:r>
      <w:r w:rsidR="00443C6B">
        <w:rPr>
          <w:rFonts w:ascii="Arial" w:hAnsi="Arial" w:cs="Arial"/>
          <w:color w:val="111111"/>
          <w:sz w:val="24"/>
          <w:szCs w:val="24"/>
          <w:shd w:val="clear" w:color="auto" w:fill="FFFFFF"/>
        </w:rPr>
        <w:fldChar w:fldCharType="end"/>
      </w:r>
      <w:r w:rsidR="00443C6B">
        <w:rPr>
          <w:rFonts w:ascii="Arial" w:hAnsi="Arial" w:cs="Arial"/>
          <w:color w:val="111111"/>
          <w:sz w:val="24"/>
          <w:szCs w:val="24"/>
          <w:shd w:val="clear" w:color="auto" w:fill="FFFFFF"/>
        </w:rPr>
        <w:t xml:space="preserve"> </w:t>
      </w:r>
      <w:r w:rsidR="003339E8">
        <w:rPr>
          <w:rFonts w:ascii="Arial" w:hAnsi="Arial" w:cs="Arial"/>
          <w:color w:val="111111"/>
          <w:sz w:val="24"/>
          <w:szCs w:val="24"/>
          <w:shd w:val="clear" w:color="auto" w:fill="FFFFFF"/>
        </w:rPr>
        <w:t xml:space="preserve">describe mindfulness </w:t>
      </w:r>
      <w:r w:rsidR="00793851">
        <w:rPr>
          <w:rFonts w:ascii="Arial" w:hAnsi="Arial" w:cs="Arial"/>
          <w:color w:val="111111"/>
          <w:sz w:val="24"/>
          <w:szCs w:val="24"/>
          <w:shd w:val="clear" w:color="auto" w:fill="FFFFFF"/>
        </w:rPr>
        <w:t>as being able to marry beautiful</w:t>
      </w:r>
      <w:r w:rsidR="00CA4C7D">
        <w:rPr>
          <w:rFonts w:ascii="Arial" w:hAnsi="Arial" w:cs="Arial"/>
          <w:color w:val="111111"/>
          <w:sz w:val="24"/>
          <w:szCs w:val="24"/>
          <w:shd w:val="clear" w:color="auto" w:fill="FFFFFF"/>
        </w:rPr>
        <w:t>ly</w:t>
      </w:r>
      <w:r w:rsidR="00793851">
        <w:rPr>
          <w:rFonts w:ascii="Arial" w:hAnsi="Arial" w:cs="Arial"/>
          <w:color w:val="111111"/>
          <w:sz w:val="24"/>
          <w:szCs w:val="24"/>
          <w:shd w:val="clear" w:color="auto" w:fill="FFFFFF"/>
        </w:rPr>
        <w:t xml:space="preserve"> with singing </w:t>
      </w:r>
      <w:r w:rsidR="000C01D5">
        <w:rPr>
          <w:rFonts w:ascii="Arial" w:hAnsi="Arial" w:cs="Arial"/>
          <w:color w:val="111111"/>
          <w:sz w:val="24"/>
          <w:szCs w:val="24"/>
          <w:shd w:val="clear" w:color="auto" w:fill="FFFFFF"/>
        </w:rPr>
        <w:t xml:space="preserve">and noted its potential for helping </w:t>
      </w:r>
      <w:r w:rsidR="00C07F30">
        <w:rPr>
          <w:rFonts w:ascii="Arial" w:hAnsi="Arial" w:cs="Arial"/>
          <w:color w:val="111111"/>
          <w:sz w:val="24"/>
          <w:szCs w:val="24"/>
          <w:shd w:val="clear" w:color="auto" w:fill="FFFFFF"/>
        </w:rPr>
        <w:t xml:space="preserve">people </w:t>
      </w:r>
      <w:r w:rsidR="000C01D5">
        <w:rPr>
          <w:rFonts w:ascii="Arial" w:hAnsi="Arial" w:cs="Arial"/>
          <w:color w:val="111111"/>
          <w:sz w:val="24"/>
          <w:szCs w:val="24"/>
          <w:shd w:val="clear" w:color="auto" w:fill="FFFFFF"/>
        </w:rPr>
        <w:t>to deal with stress</w:t>
      </w:r>
      <w:r w:rsidR="00CA4C7D">
        <w:rPr>
          <w:rFonts w:ascii="Arial" w:hAnsi="Arial" w:cs="Arial"/>
          <w:color w:val="111111"/>
          <w:sz w:val="24"/>
          <w:szCs w:val="24"/>
          <w:shd w:val="clear" w:color="auto" w:fill="FFFFFF"/>
        </w:rPr>
        <w:t>,</w:t>
      </w:r>
      <w:r w:rsidR="000C01D5">
        <w:rPr>
          <w:rFonts w:ascii="Arial" w:hAnsi="Arial" w:cs="Arial"/>
          <w:color w:val="111111"/>
          <w:sz w:val="24"/>
          <w:szCs w:val="24"/>
          <w:shd w:val="clear" w:color="auto" w:fill="FFFFFF"/>
        </w:rPr>
        <w:t xml:space="preserve"> anxiety</w:t>
      </w:r>
      <w:r w:rsidR="00CA4C7D">
        <w:rPr>
          <w:rFonts w:ascii="Arial" w:hAnsi="Arial" w:cs="Arial"/>
          <w:color w:val="111111"/>
          <w:sz w:val="24"/>
          <w:szCs w:val="24"/>
          <w:shd w:val="clear" w:color="auto" w:fill="FFFFFF"/>
        </w:rPr>
        <w:t>,</w:t>
      </w:r>
      <w:r w:rsidR="000C01D5">
        <w:rPr>
          <w:rFonts w:ascii="Arial" w:hAnsi="Arial" w:cs="Arial"/>
          <w:color w:val="111111"/>
          <w:sz w:val="24"/>
          <w:szCs w:val="24"/>
          <w:shd w:val="clear" w:color="auto" w:fill="FFFFFF"/>
        </w:rPr>
        <w:t xml:space="preserve"> and fear</w:t>
      </w:r>
      <w:r w:rsidR="004848F5">
        <w:rPr>
          <w:rFonts w:ascii="Arial" w:hAnsi="Arial" w:cs="Arial"/>
          <w:color w:val="111111"/>
          <w:sz w:val="24"/>
          <w:szCs w:val="24"/>
          <w:shd w:val="clear" w:color="auto" w:fill="FFFFFF"/>
        </w:rPr>
        <w:t xml:space="preserve">. These are challenges </w:t>
      </w:r>
      <w:r w:rsidR="00900B30">
        <w:rPr>
          <w:rFonts w:ascii="Arial" w:hAnsi="Arial" w:cs="Arial"/>
          <w:color w:val="111111"/>
          <w:sz w:val="24"/>
          <w:szCs w:val="24"/>
          <w:shd w:val="clear" w:color="auto" w:fill="FFFFFF"/>
        </w:rPr>
        <w:t xml:space="preserve">for </w:t>
      </w:r>
      <w:r w:rsidR="00C64A35">
        <w:rPr>
          <w:rFonts w:ascii="Arial" w:hAnsi="Arial" w:cs="Arial"/>
          <w:color w:val="111111"/>
          <w:sz w:val="24"/>
          <w:szCs w:val="24"/>
          <w:shd w:val="clear" w:color="auto" w:fill="FFFFFF"/>
        </w:rPr>
        <w:t xml:space="preserve">students with self-efficacy wounds </w:t>
      </w:r>
      <w:r w:rsidR="00C64A35">
        <w:rPr>
          <w:rFonts w:ascii="Arial" w:hAnsi="Arial" w:cs="Arial"/>
          <w:color w:val="111111"/>
          <w:sz w:val="24"/>
          <w:szCs w:val="24"/>
          <w:shd w:val="clear" w:color="auto" w:fill="FFFFFF"/>
        </w:rPr>
        <w:fldChar w:fldCharType="begin" w:fldLock="1"/>
      </w:r>
      <w:r w:rsidR="00462469">
        <w:rPr>
          <w:rFonts w:ascii="Arial" w:hAnsi="Arial" w:cs="Arial"/>
          <w:color w:val="111111"/>
          <w:sz w:val="24"/>
          <w:szCs w:val="24"/>
          <w:shd w:val="clear" w:color="auto" w:fill="FFFFFF"/>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beliefs","type":"article-journal"},"uris":["http://www.mendeley.com/documents/?uuid=d1469298-0bbc-4c76-afcd-e0c4086da712"]}],"mendeley":{"formattedCitation":"(Hogle, 2021; Lewis and Hendricks, 2022)","plainTextFormattedCitation":"(Hogle, 2021; Lewis and Hendricks, 2022)","previouslyFormattedCitation":"(Hogle, 2021; Lewis and Hendricks, 2022)"},"properties":{"noteIndex":0},"schema":"https://github.com/citation-style-language/schema/raw/master/csl-citation.json"}</w:instrText>
      </w:r>
      <w:r w:rsidR="00C64A35">
        <w:rPr>
          <w:rFonts w:ascii="Arial" w:hAnsi="Arial" w:cs="Arial"/>
          <w:color w:val="111111"/>
          <w:sz w:val="24"/>
          <w:szCs w:val="24"/>
          <w:shd w:val="clear" w:color="auto" w:fill="FFFFFF"/>
        </w:rPr>
        <w:fldChar w:fldCharType="separate"/>
      </w:r>
      <w:r w:rsidR="00C64A35" w:rsidRPr="00C64A35">
        <w:rPr>
          <w:rFonts w:ascii="Arial" w:hAnsi="Arial" w:cs="Arial"/>
          <w:noProof/>
          <w:color w:val="111111"/>
          <w:sz w:val="24"/>
          <w:szCs w:val="24"/>
          <w:shd w:val="clear" w:color="auto" w:fill="FFFFFF"/>
        </w:rPr>
        <w:t>(Hogle, 2021; Lewis and Hendricks, 2022)</w:t>
      </w:r>
      <w:r w:rsidR="00C64A35">
        <w:rPr>
          <w:rFonts w:ascii="Arial" w:hAnsi="Arial" w:cs="Arial"/>
          <w:color w:val="111111"/>
          <w:sz w:val="24"/>
          <w:szCs w:val="24"/>
          <w:shd w:val="clear" w:color="auto" w:fill="FFFFFF"/>
        </w:rPr>
        <w:fldChar w:fldCharType="end"/>
      </w:r>
      <w:r w:rsidR="00B16E02">
        <w:rPr>
          <w:rFonts w:ascii="Arial" w:hAnsi="Arial" w:cs="Arial"/>
          <w:color w:val="111111"/>
          <w:sz w:val="24"/>
          <w:szCs w:val="24"/>
          <w:shd w:val="clear" w:color="auto" w:fill="FFFFFF"/>
        </w:rPr>
        <w:t>.</w:t>
      </w:r>
      <w:r w:rsidR="00443C6B">
        <w:rPr>
          <w:rFonts w:ascii="Arial" w:hAnsi="Arial" w:cs="Arial"/>
          <w:color w:val="111111"/>
          <w:sz w:val="24"/>
          <w:szCs w:val="24"/>
          <w:shd w:val="clear" w:color="auto" w:fill="FFFFFF"/>
        </w:rPr>
        <w:t xml:space="preserve"> </w:t>
      </w:r>
      <w:r>
        <w:rPr>
          <w:rFonts w:ascii="Arial" w:hAnsi="Arial" w:cs="Arial"/>
          <w:color w:val="111111"/>
          <w:sz w:val="24"/>
          <w:szCs w:val="24"/>
          <w:shd w:val="clear" w:color="auto" w:fill="FFFFFF"/>
        </w:rPr>
        <w:t>The potential for mindfulness to support singing development has been research</w:t>
      </w:r>
      <w:r w:rsidR="000A4B2B">
        <w:rPr>
          <w:rFonts w:ascii="Arial" w:hAnsi="Arial" w:cs="Arial"/>
          <w:color w:val="111111"/>
          <w:sz w:val="24"/>
          <w:szCs w:val="24"/>
          <w:shd w:val="clear" w:color="auto" w:fill="FFFFFF"/>
        </w:rPr>
        <w:t>ed</w:t>
      </w:r>
      <w:r w:rsidR="0057586A">
        <w:rPr>
          <w:rFonts w:ascii="Arial" w:hAnsi="Arial" w:cs="Arial"/>
          <w:color w:val="111111"/>
          <w:sz w:val="24"/>
          <w:szCs w:val="24"/>
          <w:shd w:val="clear" w:color="auto" w:fill="FFFFFF"/>
        </w:rPr>
        <w:t xml:space="preserve">. </w:t>
      </w:r>
      <w:r w:rsidR="00FD08FE">
        <w:rPr>
          <w:rFonts w:ascii="Arial" w:hAnsi="Arial" w:cs="Arial"/>
          <w:color w:val="111111"/>
          <w:sz w:val="24"/>
          <w:szCs w:val="24"/>
          <w:shd w:val="clear" w:color="auto" w:fill="FFFFFF"/>
        </w:rPr>
        <w:t>Other b</w:t>
      </w:r>
      <w:r w:rsidR="0057586A">
        <w:rPr>
          <w:rFonts w:ascii="Arial" w:hAnsi="Arial" w:cs="Arial"/>
          <w:color w:val="111111"/>
          <w:sz w:val="24"/>
          <w:szCs w:val="24"/>
          <w:shd w:val="clear" w:color="auto" w:fill="FFFFFF"/>
        </w:rPr>
        <w:t>enefits of mindfulness</w:t>
      </w:r>
      <w:r w:rsidR="00957875">
        <w:rPr>
          <w:rFonts w:ascii="Arial" w:hAnsi="Arial" w:cs="Arial"/>
          <w:color w:val="111111"/>
          <w:sz w:val="24"/>
          <w:szCs w:val="24"/>
          <w:shd w:val="clear" w:color="auto" w:fill="FFFFFF"/>
        </w:rPr>
        <w:t xml:space="preserve"> which can help self-efficacy are</w:t>
      </w:r>
      <w:r>
        <w:rPr>
          <w:rFonts w:ascii="Arial" w:hAnsi="Arial" w:cs="Arial"/>
          <w:color w:val="111111"/>
          <w:sz w:val="24"/>
          <w:szCs w:val="24"/>
          <w:shd w:val="clear" w:color="auto" w:fill="FFFFFF"/>
        </w:rPr>
        <w:t xml:space="preserve"> improved motor learning,</w:t>
      </w:r>
      <w:r w:rsidR="00AC6E3A">
        <w:rPr>
          <w:rFonts w:ascii="Arial" w:hAnsi="Arial" w:cs="Arial"/>
          <w:color w:val="111111"/>
          <w:sz w:val="24"/>
          <w:szCs w:val="24"/>
          <w:shd w:val="clear" w:color="auto" w:fill="FFFFFF"/>
        </w:rPr>
        <w:t xml:space="preserve"> </w:t>
      </w:r>
      <w:r>
        <w:rPr>
          <w:rFonts w:ascii="Arial" w:hAnsi="Arial" w:cs="Arial"/>
          <w:color w:val="111111"/>
          <w:sz w:val="24"/>
          <w:szCs w:val="24"/>
          <w:shd w:val="clear" w:color="auto" w:fill="FFFFFF"/>
        </w:rPr>
        <w:t xml:space="preserve">verbal learning, </w:t>
      </w:r>
      <w:r w:rsidR="00AC6E3A">
        <w:rPr>
          <w:rFonts w:ascii="Arial" w:hAnsi="Arial" w:cs="Arial"/>
          <w:color w:val="111111"/>
          <w:sz w:val="24"/>
          <w:szCs w:val="24"/>
          <w:shd w:val="clear" w:color="auto" w:fill="FFFFFF"/>
        </w:rPr>
        <w:t xml:space="preserve">memory, </w:t>
      </w:r>
      <w:r>
        <w:rPr>
          <w:rFonts w:ascii="Arial" w:hAnsi="Arial" w:cs="Arial"/>
          <w:color w:val="111111"/>
          <w:sz w:val="24"/>
          <w:szCs w:val="24"/>
          <w:shd w:val="clear" w:color="auto" w:fill="FFFFFF"/>
        </w:rPr>
        <w:t xml:space="preserve">and body awareness </w:t>
      </w:r>
      <w:r>
        <w:rPr>
          <w:rFonts w:ascii="Arial" w:hAnsi="Arial" w:cs="Arial"/>
          <w:color w:val="111111"/>
          <w:sz w:val="24"/>
          <w:szCs w:val="24"/>
          <w:shd w:val="clear" w:color="auto" w:fill="FFFFFF"/>
        </w:rPr>
        <w:fldChar w:fldCharType="begin" w:fldLock="1"/>
      </w:r>
      <w:r>
        <w:rPr>
          <w:rFonts w:ascii="Arial" w:hAnsi="Arial" w:cs="Arial"/>
          <w:color w:val="111111"/>
          <w:sz w:val="24"/>
          <w:szCs w:val="24"/>
          <w:shd w:val="clear" w:color="auto" w:fill="FFFFFF"/>
        </w:rPr>
        <w:instrText>ADDIN CSL_CITATION {"citationItems":[{"id":"ITEM-1","itemData":{"DOI":"10.1037/a0018438","ISSN":"15283542","PMID":"20141302","abstract":"We investigated the impact of mindfulness training (MT) on working memory capacity (WMC) and affective experience. WMC is used in managing cognitive demands and regulating emotions. Yet, persistent and intensive demands, such as those experienced during high-stress intervals, may deplete WMC and lead to cognitive failures and emotional disturbances. We hypothesized that MT may mitigate these deleterious effects by bolstering WMC. We recruited 2 military cohorts during the high-stress predeployment interval and provided MT to 1 (MT, n = 31) but not the other group (military control group, MC, n = 17). The MT group attended an 8-week MT course and logged the amount of out-of-class time spent practicing formal MT exercises. The operation span task was used to index WMC at 2 testing sessions before and after the MT course. Although WMC remained stable over time in civilians (n = 12), it degraded in the MC group. In the MT group, WMC decreased over time in those with low MT practice time, but increased in those with high practice time. Higher MT practice time also corresponded to lower levels of negative affect and higher levels of positive affect (indexed by the Positive and Negative Affect Schedule). The relationship between practice time and negative, but not positive, affect was mediated by WMC, indicating that MT-related improvements in WMC may support some but not all of MT's salutary effects. Nonetheless, these findings suggest that sufficient MT practice may protect against functional impairments associated with high-stress contexts. © 2010 American Psychological Association.","author":[{"dropping-particle":"","family":"Jha","given":"Amishi P.","non-dropping-particle":"","parse-names":false,"suffix":""},{"dropping-particle":"","family":"Stanley","given":"Elizabeth A.","non-dropping-particle":"","parse-names":false,"suffix":""},{"dropping-particle":"","family":"Kiyonaga","given":"Anastasia","non-dropping-particle":"","parse-names":false,"suffix":""},{"dropping-particle":"","family":"Wong","given":"Ling","non-dropping-particle":"","parse-names":false,"suffix":""},{"dropping-particle":"","family":"Gelfand","given":"Lois","non-dropping-particle":"","parse-names":false,"suffix":""}],"container-title":"Emotion","id":"ITEM-1","issue":"1","issued":{"date-parts":[["2010"]]},"page":"54-64","title":"Examining the Protective Effects of Mindfulness Training on Working Memory Capacity and Affective Experience","type":"article-journal","volume":"10"},"uris":["http://www.mendeley.com/documents/?uuid=c34cc52e-2596-468d-8c25-f1d8634ca91b"]},{"id":"ITEM-2","itemData":{"DOI":"10.1016/j.psychsport.2015.09.005","ISSN":"14690292","abstract":"Objectives: The present study was into whether or not mindfulness training, based on the mindfulness-acceptance-commitment approach (MAC), can improve beginners' skill acquisition of dart throwing. Design: Randomised controlled trial. Methods: A total of 43 first-year college students who had not played darts professionally prior to the study were randomly assigned to either an attention control group (n = 21) or a mindfulness training group (n = 22) during an eight-week dart training program. Dart throwing and psychological variables were assessed at pre-intervention, post-intervention, and two-week follow-up. Results: Two-way repeated measures ANOVA revealed that the mindfulness group, but not the attention control group had significant improvements in mindfulness, experiential acceptance, and flow at post-intervention and follow-up. Although both groups improved dart throwing performance after the intervention, the improvement of the mindfulness group was statistically higher in comparison to that of the attention control group. Conclusions: It was concluded that the MAC approach could improve the performance and adaptive sport experience of beginners in dart throwing.","author":[{"dropping-particle":"","family":"Zhang","given":"Chun Qing","non-dropping-particle":"","parse-names":false,"suffix":""},{"dropping-particle":"","family":"Si","given":"Gangyan","non-dropping-particle":"","parse-names":false,"suffix":""},{"dropping-particle":"","family":"Duan","given":"Yanping","non-dropping-particle":"","parse-names":false,"suffix":""},{"dropping-particle":"","family":"Lyu","given":"Yaojun","non-dropping-particle":"","parse-names":false,"suffix":""},{"dropping-particle":"","family":"Keatley","given":"David A.","non-dropping-particle":"","parse-names":false,"suffix":""},{"dropping-particle":"","family":"Chan","given":"Derwin K.C.","non-dropping-particle":"","parse-names":false,"suffix":""}],"container-title":"Psychology of Sport and Exercise","id":"ITEM-2","issued":{"date-parts":[["2016"]]},"page":"279-285","publisher":"Elsevier Ltd","title":"The effects of mindfulness training on beginners' skill acquisition in dart throwing: A randomized controlled trial","type":"article-journal","volume":"22"},"uris":["http://www.mendeley.com/documents/?uuid=202ce881-bede-407b-9c72-e2d0c30c64cc"]},{"id":"ITEM-3","itemData":{"DOI":"10.3389/fnhum.2013.00012","ISSN":"16625161","abstract":"Mindfulness Based Stress Reduction (MBSR) and Mindfulness Based Cognitive Therapy (MBCT) use a common set of exercises to reduce distress in chronic pain and decrease risk of depression relapse. These standardized mindfulness (ST-Mindfulness) practices predominantly require attending to breath and body sensations. Here, we offer a novel view of ST-Mindfulness's somatic focus as a form of training for optimizing attentional modulation of 7-14 Hz alpha rhythms that play a key role in filtering inputs to primary sensory neocortex and organizing the flow of sensory information. In support of the framework, we describe our previous finding (Kerr et al, 2011) that ST-Mindfulness enhanced attentional regulation of alpha in primary somatosensory cortex (SI). The framework allows us to make several predictions. In chronic pain, we predict somatic attention in ST-Mindfulness \"de-biases alpha in SI, freeing up pain-focused attentional resources. In depression relapse, we predict ST-Mindfulness's somatic attention competes with internally focused rumination, as internally focused cognitive processes (e.g., working and short term memory) rely on alpha filtering of sensory input. Our computational model (Jones et al, 2009) predicts ST-Mindfulness enhances top-down modulation of alpha by facilitating precise alterations in timing and efficacy of SI thalamocortical inputs. We conclude by considering how the proposed framework aligns with Buddhist teachings that mindfulness starts with \"mindfulness of the body.\" Translating this theory into neurophysiology, we hypothesize that with its somatic focus, mindfulness' top-down alpha rhythm modulation in SI enhances gain control which, in turn, sensitizes practitioners to better detect and regulate when the mind wanders from its somatic focus. This enhanced regulation of somatic mind-wandering may be an early stage of mindfulness training, leading to cognitive regulation and metacognition. © 2013 Kerr, Sacchet, Lazar, Moore and Jones.","author":[{"dropping-particle":"","family":"Kerr","given":"Catherine E.","non-dropping-particle":"","parse-names":false,"suffix":""},{"dropping-particle":"","family":"Sacchet","given":"Matthew D.","non-dropping-particle":"","parse-names":false,"suffix":""},{"dropping-particle":"","family":"Lazar","given":"Sara W.","non-dropping-particle":"","parse-names":false,"suffix":""},{"dropping-particle":"","family":"Moore","given":"Christopher I.","non-dropping-particle":"","parse-names":false,"suffix":""},{"dropping-particle":"","family":"Jones","given":"Stephanie R.","non-dropping-particle":"","parse-names":false,"suffix":""}],"container-title":"Frontiers in Human Neuroscience","id":"ITEM-3","issue":"JAN","issued":{"date-parts":[["2013"]]},"page":"1-15","title":"Title: Mindfulness starts with the body: Somatosensory attention and top-down modulation of cortical alpha rhythms in mindfulness meditation","type":"article-journal","volume":"7"},"uris":["http://www.mendeley.com/documents/?uuid=53ffdad0-905d-4c04-820e-95fde3d9d4fa"]}],"mendeley":{"formattedCitation":"(Jha &lt;i&gt;et al.&lt;/i&gt;, 2010; Kerr &lt;i&gt;et al.&lt;/i&gt;, 2013; Zhang &lt;i&gt;et al.&lt;/i&gt;, 2016)","plainTextFormattedCitation":"(Jha et al., 2010; Kerr et al., 2013; Zhang et al., 2016)","previouslyFormattedCitation":"(Jha &lt;i&gt;et al.&lt;/i&gt;, 2010; Kerr &lt;i&gt;et al.&lt;/i&gt;, 2013; Zhang &lt;i&gt;et al.&lt;/i&gt;, 2016)"},"properties":{"noteIndex":0},"schema":"https://github.com/citation-style-language/schema/raw/master/csl-citation.json"}</w:instrText>
      </w:r>
      <w:r>
        <w:rPr>
          <w:rFonts w:ascii="Arial" w:hAnsi="Arial" w:cs="Arial"/>
          <w:color w:val="111111"/>
          <w:sz w:val="24"/>
          <w:szCs w:val="24"/>
          <w:shd w:val="clear" w:color="auto" w:fill="FFFFFF"/>
        </w:rPr>
        <w:fldChar w:fldCharType="separate"/>
      </w:r>
      <w:r w:rsidRPr="00B47E35">
        <w:rPr>
          <w:rFonts w:ascii="Arial" w:hAnsi="Arial" w:cs="Arial"/>
          <w:noProof/>
          <w:color w:val="111111"/>
          <w:sz w:val="24"/>
          <w:szCs w:val="24"/>
          <w:shd w:val="clear" w:color="auto" w:fill="FFFFFF"/>
        </w:rPr>
        <w:t xml:space="preserve">(Jha </w:t>
      </w:r>
      <w:r w:rsidRPr="00B47E35">
        <w:rPr>
          <w:rFonts w:ascii="Arial" w:hAnsi="Arial" w:cs="Arial"/>
          <w:i/>
          <w:noProof/>
          <w:color w:val="111111"/>
          <w:sz w:val="24"/>
          <w:szCs w:val="24"/>
          <w:shd w:val="clear" w:color="auto" w:fill="FFFFFF"/>
        </w:rPr>
        <w:t>et al.</w:t>
      </w:r>
      <w:r w:rsidRPr="00B47E35">
        <w:rPr>
          <w:rFonts w:ascii="Arial" w:hAnsi="Arial" w:cs="Arial"/>
          <w:noProof/>
          <w:color w:val="111111"/>
          <w:sz w:val="24"/>
          <w:szCs w:val="24"/>
          <w:shd w:val="clear" w:color="auto" w:fill="FFFFFF"/>
        </w:rPr>
        <w:t xml:space="preserve">, 2010; Kerr </w:t>
      </w:r>
      <w:r w:rsidRPr="00B47E35">
        <w:rPr>
          <w:rFonts w:ascii="Arial" w:hAnsi="Arial" w:cs="Arial"/>
          <w:i/>
          <w:noProof/>
          <w:color w:val="111111"/>
          <w:sz w:val="24"/>
          <w:szCs w:val="24"/>
          <w:shd w:val="clear" w:color="auto" w:fill="FFFFFF"/>
        </w:rPr>
        <w:t>et al.</w:t>
      </w:r>
      <w:r w:rsidRPr="00B47E35">
        <w:rPr>
          <w:rFonts w:ascii="Arial" w:hAnsi="Arial" w:cs="Arial"/>
          <w:noProof/>
          <w:color w:val="111111"/>
          <w:sz w:val="24"/>
          <w:szCs w:val="24"/>
          <w:shd w:val="clear" w:color="auto" w:fill="FFFFFF"/>
        </w:rPr>
        <w:t xml:space="preserve">, 2013; Zhang </w:t>
      </w:r>
      <w:r w:rsidRPr="00B47E35">
        <w:rPr>
          <w:rFonts w:ascii="Arial" w:hAnsi="Arial" w:cs="Arial"/>
          <w:i/>
          <w:noProof/>
          <w:color w:val="111111"/>
          <w:sz w:val="24"/>
          <w:szCs w:val="24"/>
          <w:shd w:val="clear" w:color="auto" w:fill="FFFFFF"/>
        </w:rPr>
        <w:t>et al.</w:t>
      </w:r>
      <w:r w:rsidRPr="00B47E35">
        <w:rPr>
          <w:rFonts w:ascii="Arial" w:hAnsi="Arial" w:cs="Arial"/>
          <w:noProof/>
          <w:color w:val="111111"/>
          <w:sz w:val="24"/>
          <w:szCs w:val="24"/>
          <w:shd w:val="clear" w:color="auto" w:fill="FFFFFF"/>
        </w:rPr>
        <w:t>, 2016)</w:t>
      </w:r>
      <w:r>
        <w:rPr>
          <w:rFonts w:ascii="Arial" w:hAnsi="Arial" w:cs="Arial"/>
          <w:color w:val="111111"/>
          <w:sz w:val="24"/>
          <w:szCs w:val="24"/>
          <w:shd w:val="clear" w:color="auto" w:fill="FFFFFF"/>
        </w:rPr>
        <w:fldChar w:fldCharType="end"/>
      </w:r>
      <w:r w:rsidR="003544C1">
        <w:rPr>
          <w:rFonts w:ascii="Arial" w:hAnsi="Arial" w:cs="Arial"/>
          <w:color w:val="111111"/>
          <w:sz w:val="24"/>
          <w:szCs w:val="24"/>
          <w:shd w:val="clear" w:color="auto" w:fill="FFFFFF"/>
        </w:rPr>
        <w:t xml:space="preserve">. </w:t>
      </w:r>
    </w:p>
    <w:p w14:paraId="07CCD23E" w14:textId="5E442548" w:rsidR="000C71C1" w:rsidRDefault="00C77973" w:rsidP="0025579D">
      <w:pPr>
        <w:spacing w:line="360" w:lineRule="auto"/>
        <w:jc w:val="both"/>
        <w:rPr>
          <w:rFonts w:ascii="Arial" w:hAnsi="Arial" w:cs="Arial"/>
          <w:color w:val="111111"/>
          <w:sz w:val="24"/>
          <w:szCs w:val="24"/>
          <w:shd w:val="clear" w:color="auto" w:fill="FFFFFF"/>
        </w:rPr>
      </w:pPr>
      <w:r>
        <w:rPr>
          <w:rFonts w:ascii="Arial" w:hAnsi="Arial" w:cs="Arial"/>
          <w:color w:val="111111"/>
          <w:sz w:val="24"/>
          <w:szCs w:val="24"/>
          <w:shd w:val="clear" w:color="auto" w:fill="FFFFFF"/>
        </w:rPr>
        <w:t xml:space="preserve">Research in the field </w:t>
      </w:r>
      <w:r w:rsidR="00632377">
        <w:rPr>
          <w:rFonts w:ascii="Arial" w:hAnsi="Arial" w:cs="Arial"/>
          <w:color w:val="111111"/>
          <w:sz w:val="24"/>
          <w:szCs w:val="24"/>
          <w:shd w:val="clear" w:color="auto" w:fill="FFFFFF"/>
        </w:rPr>
        <w:t>of choral singing</w:t>
      </w:r>
      <w:r w:rsidR="00B61504">
        <w:rPr>
          <w:rFonts w:ascii="Arial" w:hAnsi="Arial" w:cs="Arial"/>
          <w:color w:val="111111"/>
          <w:sz w:val="24"/>
          <w:szCs w:val="24"/>
          <w:shd w:val="clear" w:color="auto" w:fill="FFFFFF"/>
        </w:rPr>
        <w:t xml:space="preserve"> </w:t>
      </w:r>
      <w:r w:rsidR="005F6D73">
        <w:rPr>
          <w:rFonts w:ascii="Arial" w:hAnsi="Arial" w:cs="Arial"/>
          <w:color w:val="111111"/>
          <w:sz w:val="24"/>
          <w:szCs w:val="24"/>
          <w:shd w:val="clear" w:color="auto" w:fill="FFFFFF"/>
        </w:rPr>
        <w:t xml:space="preserve">found </w:t>
      </w:r>
      <w:r w:rsidR="00F66E9B">
        <w:rPr>
          <w:rFonts w:ascii="Arial" w:hAnsi="Arial" w:cs="Arial"/>
          <w:color w:val="111111"/>
          <w:sz w:val="24"/>
          <w:szCs w:val="24"/>
          <w:shd w:val="clear" w:color="auto" w:fill="FFFFFF"/>
        </w:rPr>
        <w:t xml:space="preserve">anxiety was reduced </w:t>
      </w:r>
      <w:r w:rsidR="00B61504">
        <w:rPr>
          <w:rFonts w:ascii="Arial" w:hAnsi="Arial" w:cs="Arial"/>
          <w:color w:val="111111"/>
          <w:sz w:val="24"/>
          <w:szCs w:val="24"/>
          <w:shd w:val="clear" w:color="auto" w:fill="FFFFFF"/>
        </w:rPr>
        <w:t xml:space="preserve">with the combination of music and mindfulness </w:t>
      </w:r>
      <w:r w:rsidR="00B61504">
        <w:rPr>
          <w:rFonts w:ascii="Arial" w:hAnsi="Arial" w:cs="Arial"/>
          <w:color w:val="111111"/>
          <w:sz w:val="24"/>
          <w:szCs w:val="24"/>
          <w:shd w:val="clear" w:color="auto" w:fill="FFFFFF"/>
        </w:rPr>
        <w:fldChar w:fldCharType="begin" w:fldLock="1"/>
      </w:r>
      <w:r w:rsidR="00FA4CA2">
        <w:rPr>
          <w:rFonts w:ascii="Arial" w:hAnsi="Arial" w:cs="Arial"/>
          <w:color w:val="111111"/>
          <w:sz w:val="24"/>
          <w:szCs w:val="24"/>
          <w:shd w:val="clear" w:color="auto" w:fill="FFFFFF"/>
        </w:rPr>
        <w:instrText>ADDIN CSL_CITATION {"citationItems":[{"id":"ITEM-1","itemData":{"DOI":"10.1177/0305735617729452","ISSN":"17413087","abstract":"A wealth of academic research demonstrates an empirical link between choral singing and well-being. This study investigated the construct of state mindfulness as a potential generative mechanism by which this link exists. A within-subject design measured levels of state mindfulness in choristers before and after a choir rehearsal. Assessing state mindfulness before and after listening to a piece of music at home acted as the control condition. State mindfulness was assessed by the Mindful State Questionnaire (MSQ) among a sample of 83 adult amateur choristers (65 females, mean age 51.9 years). The development and psychometric properties of the MSQ are described. Paired t-tests revealed significant increases in levels of state mindfulness for both conditions (choir singing; t = 10.82, p &lt;.001, η2 = 0.58; listening to music; t = 4.48, p &lt;.001, η2 = 0.21), however the effect sizes and confidence intervals indicated a far greater effect for the choral singing condition. Limitations and future recommendations are discussed, with examples of opportunities to incorporate these findings into the promotion of mental health in Ireland.","author":[{"dropping-particle":"","family":"Lynch","given":"Julie","non-dropping-particle":"","parse-names":false,"suffix":""},{"dropping-particle":"","family":"Wilson","given":"Charlotte E.","non-dropping-particle":"","parse-names":false,"suffix":""}],"container-title":"Psychology of Music","id":"ITEM-1","issue":"6","issued":{"date-parts":[["2018"]]},"page":"848-861","title":"Exploring the impact of choral singing on mindfulness","type":"article-journal","volume":"46"},"uris":["http://www.mendeley.com/documents/?uuid=b61c34cb-c145-40e3-a1cb-b9a0df97b151"]}],"mendeley":{"formattedCitation":"(Lynch and Wilson, 2018)","plainTextFormattedCitation":"(Lynch and Wilson, 2018)","previouslyFormattedCitation":"(Lynch and Wilson, 2018)"},"properties":{"noteIndex":0},"schema":"https://github.com/citation-style-language/schema/raw/master/csl-citation.json"}</w:instrText>
      </w:r>
      <w:r w:rsidR="00B61504">
        <w:rPr>
          <w:rFonts w:ascii="Arial" w:hAnsi="Arial" w:cs="Arial"/>
          <w:color w:val="111111"/>
          <w:sz w:val="24"/>
          <w:szCs w:val="24"/>
          <w:shd w:val="clear" w:color="auto" w:fill="FFFFFF"/>
        </w:rPr>
        <w:fldChar w:fldCharType="separate"/>
      </w:r>
      <w:r w:rsidR="00B61504" w:rsidRPr="00B61504">
        <w:rPr>
          <w:rFonts w:ascii="Arial" w:hAnsi="Arial" w:cs="Arial"/>
          <w:noProof/>
          <w:color w:val="111111"/>
          <w:sz w:val="24"/>
          <w:szCs w:val="24"/>
          <w:shd w:val="clear" w:color="auto" w:fill="FFFFFF"/>
        </w:rPr>
        <w:t>(Lynch and Wilson, 2018)</w:t>
      </w:r>
      <w:r w:rsidR="00B61504">
        <w:rPr>
          <w:rFonts w:ascii="Arial" w:hAnsi="Arial" w:cs="Arial"/>
          <w:color w:val="111111"/>
          <w:sz w:val="24"/>
          <w:szCs w:val="24"/>
          <w:shd w:val="clear" w:color="auto" w:fill="FFFFFF"/>
        </w:rPr>
        <w:fldChar w:fldCharType="end"/>
      </w:r>
      <w:r w:rsidR="00B61504">
        <w:rPr>
          <w:rFonts w:ascii="Arial" w:hAnsi="Arial" w:cs="Arial"/>
          <w:color w:val="111111"/>
          <w:sz w:val="24"/>
          <w:szCs w:val="24"/>
          <w:shd w:val="clear" w:color="auto" w:fill="FFFFFF"/>
        </w:rPr>
        <w:t xml:space="preserve">. </w:t>
      </w:r>
      <w:r w:rsidR="00FA4CA2">
        <w:rPr>
          <w:rFonts w:ascii="Arial" w:hAnsi="Arial" w:cs="Arial"/>
          <w:color w:val="111111"/>
          <w:sz w:val="24"/>
          <w:szCs w:val="24"/>
          <w:shd w:val="clear" w:color="auto" w:fill="FFFFFF"/>
        </w:rPr>
        <w:t xml:space="preserve">A study </w:t>
      </w:r>
      <w:r w:rsidR="0099011E">
        <w:rPr>
          <w:rFonts w:ascii="Arial" w:hAnsi="Arial" w:cs="Arial"/>
          <w:color w:val="111111"/>
          <w:sz w:val="24"/>
          <w:szCs w:val="24"/>
          <w:shd w:val="clear" w:color="auto" w:fill="FFFFFF"/>
        </w:rPr>
        <w:t>E</w:t>
      </w:r>
      <w:r w:rsidR="00FA4CA2" w:rsidRPr="00FA4CA2">
        <w:rPr>
          <w:rFonts w:ascii="Arial" w:hAnsi="Arial" w:cs="Arial"/>
          <w:noProof/>
          <w:color w:val="111111"/>
          <w:sz w:val="24"/>
          <w:szCs w:val="24"/>
          <w:shd w:val="clear" w:color="auto" w:fill="FFFFFF"/>
        </w:rPr>
        <w:t xml:space="preserve">vans </w:t>
      </w:r>
      <w:r w:rsidR="00FA4CA2" w:rsidRPr="00FA4CA2">
        <w:rPr>
          <w:rFonts w:ascii="Arial" w:hAnsi="Arial" w:cs="Arial"/>
          <w:i/>
          <w:noProof/>
          <w:color w:val="111111"/>
          <w:sz w:val="24"/>
          <w:szCs w:val="24"/>
          <w:shd w:val="clear" w:color="auto" w:fill="FFFFFF"/>
        </w:rPr>
        <w:t>et al.</w:t>
      </w:r>
      <w:r w:rsidR="00FA4CA2">
        <w:rPr>
          <w:rFonts w:ascii="Arial" w:hAnsi="Arial" w:cs="Arial"/>
          <w:color w:val="111111"/>
          <w:sz w:val="24"/>
          <w:szCs w:val="24"/>
          <w:shd w:val="clear" w:color="auto" w:fill="FFFFFF"/>
        </w:rPr>
        <w:t xml:space="preserve"> </w:t>
      </w:r>
      <w:r w:rsidR="00FA4CA2">
        <w:rPr>
          <w:rFonts w:ascii="Arial" w:hAnsi="Arial" w:cs="Arial"/>
          <w:color w:val="111111"/>
          <w:sz w:val="24"/>
          <w:szCs w:val="24"/>
          <w:shd w:val="clear" w:color="auto" w:fill="FFFFFF"/>
        </w:rPr>
        <w:fldChar w:fldCharType="begin" w:fldLock="1"/>
      </w:r>
      <w:r w:rsidR="000F0614">
        <w:rPr>
          <w:rFonts w:ascii="Arial" w:hAnsi="Arial" w:cs="Arial"/>
          <w:color w:val="111111"/>
          <w:sz w:val="24"/>
          <w:szCs w:val="24"/>
          <w:shd w:val="clear" w:color="auto" w:fill="FFFFFF"/>
        </w:rPr>
        <w:instrText>ADDIN CSL_CITATION {"citationItems":[{"id":"ITEM-1","itemData":{"DOI":"10.1177/2164956121989949","ISSN":"2164-9561","abstract":"The Mindfulness-Based Interventions: Teaching Assessment Criteria (MBI:TAC) is a useful framework for supporting teacher development in the context of mindfulness-based supervision (MBS). It offers a framework that enhances clarity, develops reflexive practice, gives a structure for feedback, and supports learning. MBS is a key component of Mindfulness-Based Program (MBP) teacher training and ongoing good practice. Integrating the MBI:TAC within the MBS process adds value in a number of ways including: offering a shared language around MBP teaching skills and processes; framing the core pedagogical features of MBP teaching; enabling assessment of developmental stage; and empowering supervisees to be proactive in their own development. The paper lays out principles for integrating the MBI:TAC framework into MBS. The supervisor needs awareness of the ways in which the tool can add value, and the ways it can inadvertently interrupt learning. The tool enables skills clarification, but the learning process needs to remain open to spontaneous experiential discovery; it can enable structured feedback but space is also needed for open reflective feedback; and it can enable conceptual engagement with the teaching process but space is needed for the supervisee to experientially sense the teaching process. The tool needs to be introduced in a carefully staged way to create optimal conditions for learning at the various stages of the MBP teacher-training journey. Practical guidance is presented to consolidate and develop current practice. The principles and processes discussed can be generalized to other forms of reflective dialogue such as mentoring, tutoring and peer reflection groups.","author":[{"dropping-particle":"","family":"Evans","given":"Alison","non-dropping-particle":"","parse-names":false,"suffix":""},{"dropping-particle":"","family":"Griffith","given":"Gemma M","non-dropping-particle":"","parse-names":false,"suffix":""},{"dropping-particle":"","family":"Crane","given":"Rebecca S","non-dropping-particle":"","parse-names":false,"suffix":""},{"dropping-particle":"","family":"Sansom","given":"Sophie A","non-dropping-particle":"","parse-names":false,"suffix":""}],"container-title":"Global Advances in Health and Medicine","id":"ITEM-1","issued":{"date-parts":[["2021"]]},"page":"216495612198994","title":"Using the Mindfulness-Based Interventions: Teaching Assessment Criteria (MBI:TAC) in Supervision","type":"article-journal","volume":"10"},"uris":["http://www.mendeley.com/documents/?uuid=9e378b85-f175-4b3b-9b0b-bffa0ada2a69"]}],"mendeley":{"formattedCitation":"(Evans &lt;i&gt;et al.&lt;/i&gt;, 2021)","manualFormatting":"(2021)","plainTextFormattedCitation":"(Evans et al., 2021)","previouslyFormattedCitation":"(Evans &lt;i&gt;et al.&lt;/i&gt;, 2021)"},"properties":{"noteIndex":0},"schema":"https://github.com/citation-style-language/schema/raw/master/csl-citation.json"}</w:instrText>
      </w:r>
      <w:r w:rsidR="00FA4CA2">
        <w:rPr>
          <w:rFonts w:ascii="Arial" w:hAnsi="Arial" w:cs="Arial"/>
          <w:color w:val="111111"/>
          <w:sz w:val="24"/>
          <w:szCs w:val="24"/>
          <w:shd w:val="clear" w:color="auto" w:fill="FFFFFF"/>
        </w:rPr>
        <w:fldChar w:fldCharType="separate"/>
      </w:r>
      <w:r w:rsidR="00FA4CA2" w:rsidRPr="00FA4CA2">
        <w:rPr>
          <w:rFonts w:ascii="Arial" w:hAnsi="Arial" w:cs="Arial"/>
          <w:noProof/>
          <w:color w:val="111111"/>
          <w:sz w:val="24"/>
          <w:szCs w:val="24"/>
          <w:shd w:val="clear" w:color="auto" w:fill="FFFFFF"/>
        </w:rPr>
        <w:t>(2021)</w:t>
      </w:r>
      <w:r w:rsidR="00FA4CA2">
        <w:rPr>
          <w:rFonts w:ascii="Arial" w:hAnsi="Arial" w:cs="Arial"/>
          <w:color w:val="111111"/>
          <w:sz w:val="24"/>
          <w:szCs w:val="24"/>
          <w:shd w:val="clear" w:color="auto" w:fill="FFFFFF"/>
        </w:rPr>
        <w:fldChar w:fldCharType="end"/>
      </w:r>
      <w:r w:rsidR="00FA4CA2">
        <w:rPr>
          <w:rFonts w:ascii="Arial" w:hAnsi="Arial" w:cs="Arial"/>
          <w:color w:val="111111"/>
          <w:sz w:val="24"/>
          <w:szCs w:val="24"/>
          <w:shd w:val="clear" w:color="auto" w:fill="FFFFFF"/>
        </w:rPr>
        <w:t xml:space="preserve"> investigated </w:t>
      </w:r>
      <w:r w:rsidR="006D40D9">
        <w:rPr>
          <w:rFonts w:ascii="Arial" w:hAnsi="Arial" w:cs="Arial"/>
          <w:color w:val="111111"/>
          <w:sz w:val="24"/>
          <w:szCs w:val="24"/>
          <w:shd w:val="clear" w:color="auto" w:fill="FFFFFF"/>
        </w:rPr>
        <w:t>mindfulness based-</w:t>
      </w:r>
      <w:r w:rsidR="00921F1C">
        <w:rPr>
          <w:rFonts w:ascii="Arial" w:hAnsi="Arial" w:cs="Arial"/>
          <w:color w:val="111111"/>
          <w:sz w:val="24"/>
          <w:szCs w:val="24"/>
          <w:shd w:val="clear" w:color="auto" w:fill="FFFFFF"/>
        </w:rPr>
        <w:t>interventions in the context of teaching</w:t>
      </w:r>
      <w:r w:rsidR="00E9697F">
        <w:rPr>
          <w:rFonts w:ascii="Arial" w:hAnsi="Arial" w:cs="Arial"/>
          <w:color w:val="111111"/>
          <w:sz w:val="24"/>
          <w:szCs w:val="24"/>
          <w:shd w:val="clear" w:color="auto" w:fill="FFFFFF"/>
        </w:rPr>
        <w:t xml:space="preserve">. They </w:t>
      </w:r>
      <w:r w:rsidR="00921F1C">
        <w:rPr>
          <w:rFonts w:ascii="Arial" w:hAnsi="Arial" w:cs="Arial"/>
          <w:color w:val="111111"/>
          <w:sz w:val="24"/>
          <w:szCs w:val="24"/>
          <w:shd w:val="clear" w:color="auto" w:fill="FFFFFF"/>
        </w:rPr>
        <w:t xml:space="preserve">found that </w:t>
      </w:r>
      <w:r w:rsidR="00B63926">
        <w:rPr>
          <w:rFonts w:ascii="Arial" w:hAnsi="Arial" w:cs="Arial"/>
          <w:color w:val="111111"/>
          <w:sz w:val="24"/>
          <w:szCs w:val="24"/>
          <w:shd w:val="clear" w:color="auto" w:fill="FFFFFF"/>
        </w:rPr>
        <w:t>mindfulness</w:t>
      </w:r>
      <w:r w:rsidR="000C71C1">
        <w:rPr>
          <w:rFonts w:ascii="Arial" w:hAnsi="Arial" w:cs="Arial"/>
          <w:color w:val="111111"/>
          <w:sz w:val="24"/>
          <w:szCs w:val="24"/>
          <w:shd w:val="clear" w:color="auto" w:fill="FFFFFF"/>
        </w:rPr>
        <w:t xml:space="preserve"> interventions</w:t>
      </w:r>
      <w:r w:rsidR="00360B3D">
        <w:rPr>
          <w:rFonts w:ascii="Arial" w:hAnsi="Arial" w:cs="Arial"/>
          <w:color w:val="111111"/>
          <w:sz w:val="24"/>
          <w:szCs w:val="24"/>
          <w:shd w:val="clear" w:color="auto" w:fill="FFFFFF"/>
        </w:rPr>
        <w:t xml:space="preserve"> reduced assessment pressure, </w:t>
      </w:r>
      <w:r w:rsidR="00B73593">
        <w:rPr>
          <w:rFonts w:ascii="Arial" w:hAnsi="Arial" w:cs="Arial"/>
          <w:color w:val="111111"/>
          <w:sz w:val="24"/>
          <w:szCs w:val="24"/>
          <w:shd w:val="clear" w:color="auto" w:fill="FFFFFF"/>
        </w:rPr>
        <w:t xml:space="preserve">aided reflective </w:t>
      </w:r>
      <w:r w:rsidR="00B73593">
        <w:rPr>
          <w:rFonts w:ascii="Arial" w:hAnsi="Arial" w:cs="Arial"/>
          <w:color w:val="111111"/>
          <w:sz w:val="24"/>
          <w:szCs w:val="24"/>
          <w:shd w:val="clear" w:color="auto" w:fill="FFFFFF"/>
        </w:rPr>
        <w:lastRenderedPageBreak/>
        <w:t>thinking</w:t>
      </w:r>
      <w:r w:rsidR="009833D5">
        <w:rPr>
          <w:rFonts w:ascii="Arial" w:hAnsi="Arial" w:cs="Arial"/>
          <w:color w:val="111111"/>
          <w:sz w:val="24"/>
          <w:szCs w:val="24"/>
          <w:shd w:val="clear" w:color="auto" w:fill="FFFFFF"/>
        </w:rPr>
        <w:t xml:space="preserve">, </w:t>
      </w:r>
      <w:r w:rsidR="0090152C">
        <w:rPr>
          <w:rFonts w:ascii="Arial" w:hAnsi="Arial" w:cs="Arial"/>
          <w:color w:val="111111"/>
          <w:sz w:val="24"/>
          <w:szCs w:val="24"/>
          <w:shd w:val="clear" w:color="auto" w:fill="FFFFFF"/>
        </w:rPr>
        <w:t>increased student ownership of learning</w:t>
      </w:r>
      <w:r w:rsidR="009833D5">
        <w:rPr>
          <w:rFonts w:ascii="Arial" w:hAnsi="Arial" w:cs="Arial"/>
          <w:color w:val="111111"/>
          <w:sz w:val="24"/>
          <w:szCs w:val="24"/>
          <w:shd w:val="clear" w:color="auto" w:fill="FFFFFF"/>
        </w:rPr>
        <w:t xml:space="preserve"> and</w:t>
      </w:r>
      <w:r w:rsidR="0090152C">
        <w:rPr>
          <w:rFonts w:ascii="Arial" w:hAnsi="Arial" w:cs="Arial"/>
          <w:color w:val="111111"/>
          <w:sz w:val="24"/>
          <w:szCs w:val="24"/>
          <w:shd w:val="clear" w:color="auto" w:fill="FFFFFF"/>
        </w:rPr>
        <w:t xml:space="preserve"> non-judgemental feedback</w:t>
      </w:r>
      <w:r w:rsidR="00B63926">
        <w:rPr>
          <w:rFonts w:ascii="Arial" w:hAnsi="Arial" w:cs="Arial"/>
          <w:color w:val="111111"/>
          <w:sz w:val="24"/>
          <w:szCs w:val="24"/>
          <w:shd w:val="clear" w:color="auto" w:fill="FFFFFF"/>
        </w:rPr>
        <w:t xml:space="preserve"> </w:t>
      </w:r>
      <w:r w:rsidR="00B63926">
        <w:rPr>
          <w:rFonts w:ascii="Arial" w:hAnsi="Arial" w:cs="Arial"/>
          <w:color w:val="111111"/>
          <w:sz w:val="24"/>
          <w:szCs w:val="24"/>
          <w:shd w:val="clear" w:color="auto" w:fill="FFFFFF"/>
        </w:rPr>
        <w:fldChar w:fldCharType="begin" w:fldLock="1"/>
      </w:r>
      <w:r w:rsidR="005832E2">
        <w:rPr>
          <w:rFonts w:ascii="Arial" w:hAnsi="Arial" w:cs="Arial"/>
          <w:color w:val="111111"/>
          <w:sz w:val="24"/>
          <w:szCs w:val="24"/>
          <w:shd w:val="clear" w:color="auto" w:fill="FFFFFF"/>
        </w:rPr>
        <w:instrText>ADDIN CSL_CITATION {"citationItems":[{"id":"ITEM-1","itemData":{"DOI":"10.1177/2164956121989949","ISSN":"2164-9561","abstract":"The Mindfulness-Based Interventions: Teaching Assessment Criteria (MBI:TAC) is a useful framework for supporting teacher development in the context of mindfulness-based supervision (MBS). It offers a framework that enhances clarity, develops reflexive practice, gives a structure for feedback, and supports learning. MBS is a key component of Mindfulness-Based Program (MBP) teacher training and ongoing good practice. Integrating the MBI:TAC within the MBS process adds value in a number of ways including: offering a shared language around MBP teaching skills and processes; framing the core pedagogical features of MBP teaching; enabling assessment of developmental stage; and empowering supervisees to be proactive in their own development. The paper lays out principles for integrating the MBI:TAC framework into MBS. The supervisor needs awareness of the ways in which the tool can add value, and the ways it can inadvertently interrupt learning. The tool enables skills clarification, but the learning process needs to remain open to spontaneous experiential discovery; it can enable structured feedback but space is also needed for open reflective feedback; and it can enable conceptual engagement with the teaching process but space is needed for the supervisee to experientially sense the teaching process. The tool needs to be introduced in a carefully staged way to create optimal conditions for learning at the various stages of the MBP teacher-training journey. Practical guidance is presented to consolidate and develop current practice. The principles and processes discussed can be generalized to other forms of reflective dialogue such as mentoring, tutoring and peer reflection groups.","author":[{"dropping-particle":"","family":"Evans","given":"Alison","non-dropping-particle":"","parse-names":false,"suffix":""},{"dropping-particle":"","family":"Griffith","given":"Gemma M","non-dropping-particle":"","parse-names":false,"suffix":""},{"dropping-particle":"","family":"Crane","given":"Rebecca S","non-dropping-particle":"","parse-names":false,"suffix":""},{"dropping-particle":"","family":"Sansom","given":"Sophie A","non-dropping-particle":"","parse-names":false,"suffix":""}],"container-title":"Global Advances in Health and Medicine","id":"ITEM-1","issued":{"date-parts":[["2021"]]},"page":"216495612198994","title":"Using the Mindfulness-Based Interventions: Teaching Assessment Criteria (MBI:TAC) in Supervision","type":"article-journal","volume":"10"},"uris":["http://www.mendeley.com/documents/?uuid=9e378b85-f175-4b3b-9b0b-bffa0ada2a69"]}],"mendeley":{"formattedCitation":"(Evans &lt;i&gt;et al.&lt;/i&gt;, 2021)","plainTextFormattedCitation":"(Evans et al., 2021)","previouslyFormattedCitation":"(Evans &lt;i&gt;et al.&lt;/i&gt;, 2021)"},"properties":{"noteIndex":0},"schema":"https://github.com/citation-style-language/schema/raw/master/csl-citation.json"}</w:instrText>
      </w:r>
      <w:r w:rsidR="00B63926">
        <w:rPr>
          <w:rFonts w:ascii="Arial" w:hAnsi="Arial" w:cs="Arial"/>
          <w:color w:val="111111"/>
          <w:sz w:val="24"/>
          <w:szCs w:val="24"/>
          <w:shd w:val="clear" w:color="auto" w:fill="FFFFFF"/>
        </w:rPr>
        <w:fldChar w:fldCharType="separate"/>
      </w:r>
      <w:r w:rsidR="00B63926" w:rsidRPr="00B63926">
        <w:rPr>
          <w:rFonts w:ascii="Arial" w:hAnsi="Arial" w:cs="Arial"/>
          <w:noProof/>
          <w:color w:val="111111"/>
          <w:sz w:val="24"/>
          <w:szCs w:val="24"/>
          <w:shd w:val="clear" w:color="auto" w:fill="FFFFFF"/>
        </w:rPr>
        <w:t xml:space="preserve">(Evans </w:t>
      </w:r>
      <w:r w:rsidR="00B63926" w:rsidRPr="00B63926">
        <w:rPr>
          <w:rFonts w:ascii="Arial" w:hAnsi="Arial" w:cs="Arial"/>
          <w:i/>
          <w:noProof/>
          <w:color w:val="111111"/>
          <w:sz w:val="24"/>
          <w:szCs w:val="24"/>
          <w:shd w:val="clear" w:color="auto" w:fill="FFFFFF"/>
        </w:rPr>
        <w:t>et al.</w:t>
      </w:r>
      <w:r w:rsidR="00B63926" w:rsidRPr="00B63926">
        <w:rPr>
          <w:rFonts w:ascii="Arial" w:hAnsi="Arial" w:cs="Arial"/>
          <w:noProof/>
          <w:color w:val="111111"/>
          <w:sz w:val="24"/>
          <w:szCs w:val="24"/>
          <w:shd w:val="clear" w:color="auto" w:fill="FFFFFF"/>
        </w:rPr>
        <w:t>, 2021)</w:t>
      </w:r>
      <w:r w:rsidR="00B63926">
        <w:rPr>
          <w:rFonts w:ascii="Arial" w:hAnsi="Arial" w:cs="Arial"/>
          <w:color w:val="111111"/>
          <w:sz w:val="24"/>
          <w:szCs w:val="24"/>
          <w:shd w:val="clear" w:color="auto" w:fill="FFFFFF"/>
        </w:rPr>
        <w:fldChar w:fldCharType="end"/>
      </w:r>
      <w:r w:rsidR="0090152C">
        <w:rPr>
          <w:rFonts w:ascii="Arial" w:hAnsi="Arial" w:cs="Arial"/>
          <w:color w:val="111111"/>
          <w:sz w:val="24"/>
          <w:szCs w:val="24"/>
          <w:shd w:val="clear" w:color="auto" w:fill="FFFFFF"/>
        </w:rPr>
        <w:t xml:space="preserve">. </w:t>
      </w:r>
    </w:p>
    <w:p w14:paraId="40064F07" w14:textId="666DF42E" w:rsidR="007E3B8B" w:rsidRPr="00C0113C" w:rsidRDefault="00340FA0" w:rsidP="0025579D">
      <w:pPr>
        <w:spacing w:line="360" w:lineRule="auto"/>
        <w:jc w:val="both"/>
        <w:rPr>
          <w:rFonts w:ascii="Arial" w:hAnsi="Arial" w:cs="Arial"/>
          <w:sz w:val="24"/>
          <w:szCs w:val="24"/>
        </w:rPr>
      </w:pPr>
      <w:r>
        <w:rPr>
          <w:rFonts w:ascii="Arial" w:hAnsi="Arial" w:cs="Arial"/>
          <w:color w:val="111111"/>
          <w:sz w:val="24"/>
          <w:szCs w:val="24"/>
          <w:shd w:val="clear" w:color="auto" w:fill="FFFFFF"/>
        </w:rPr>
        <w:t>Students and teachers cou</w:t>
      </w:r>
      <w:r w:rsidR="00E85ED4">
        <w:rPr>
          <w:rFonts w:ascii="Arial" w:hAnsi="Arial" w:cs="Arial"/>
          <w:color w:val="111111"/>
          <w:sz w:val="24"/>
          <w:szCs w:val="24"/>
          <w:shd w:val="clear" w:color="auto" w:fill="FFFFFF"/>
        </w:rPr>
        <w:t>ld benefit from m</w:t>
      </w:r>
      <w:r w:rsidR="007E3B8B">
        <w:rPr>
          <w:rFonts w:ascii="Arial" w:hAnsi="Arial" w:cs="Arial"/>
          <w:color w:val="111111"/>
          <w:sz w:val="24"/>
          <w:szCs w:val="24"/>
          <w:shd w:val="clear" w:color="auto" w:fill="FFFFFF"/>
        </w:rPr>
        <w:t>indfulness training</w:t>
      </w:r>
      <w:r w:rsidR="002869B3">
        <w:rPr>
          <w:rFonts w:ascii="Arial" w:hAnsi="Arial" w:cs="Arial"/>
          <w:color w:val="111111"/>
          <w:sz w:val="24"/>
          <w:szCs w:val="24"/>
          <w:shd w:val="clear" w:color="auto" w:fill="FFFFFF"/>
        </w:rPr>
        <w:t xml:space="preserve"> as it can</w:t>
      </w:r>
      <w:r w:rsidR="001E5F6D">
        <w:rPr>
          <w:rFonts w:ascii="Arial" w:hAnsi="Arial" w:cs="Arial"/>
          <w:color w:val="111111"/>
          <w:sz w:val="24"/>
          <w:szCs w:val="24"/>
          <w:shd w:val="clear" w:color="auto" w:fill="FFFFFF"/>
        </w:rPr>
        <w:t xml:space="preserve"> </w:t>
      </w:r>
      <w:r w:rsidR="007E3B8B">
        <w:rPr>
          <w:rFonts w:ascii="Arial" w:hAnsi="Arial" w:cs="Arial"/>
          <w:color w:val="111111"/>
          <w:sz w:val="24"/>
          <w:szCs w:val="24"/>
          <w:shd w:val="clear" w:color="auto" w:fill="FFFFFF"/>
        </w:rPr>
        <w:t>develop the skills of present moment awareness, acceptance, empathy, and compassion</w:t>
      </w:r>
      <w:r w:rsidR="00814461">
        <w:rPr>
          <w:rFonts w:ascii="Arial" w:hAnsi="Arial" w:cs="Arial"/>
          <w:color w:val="111111"/>
          <w:sz w:val="24"/>
          <w:szCs w:val="24"/>
          <w:shd w:val="clear" w:color="auto" w:fill="FFFFFF"/>
        </w:rPr>
        <w:t xml:space="preserve">; these skills are supported by </w:t>
      </w:r>
      <w:r w:rsidR="00146015">
        <w:rPr>
          <w:rFonts w:ascii="Arial" w:hAnsi="Arial" w:cs="Arial"/>
          <w:color w:val="111111"/>
          <w:sz w:val="24"/>
          <w:szCs w:val="24"/>
          <w:shd w:val="clear" w:color="auto" w:fill="FFFFFF"/>
        </w:rPr>
        <w:t xml:space="preserve">non-striving and non-judgemental </w:t>
      </w:r>
      <w:r w:rsidR="00814461">
        <w:rPr>
          <w:rFonts w:ascii="Arial" w:hAnsi="Arial" w:cs="Arial"/>
          <w:color w:val="111111"/>
          <w:sz w:val="24"/>
          <w:szCs w:val="24"/>
          <w:shd w:val="clear" w:color="auto" w:fill="FFFFFF"/>
        </w:rPr>
        <w:t xml:space="preserve">attitudes </w:t>
      </w:r>
      <w:r w:rsidR="007E3B8B">
        <w:rPr>
          <w:rFonts w:ascii="Arial" w:hAnsi="Arial" w:cs="Arial"/>
          <w:color w:val="111111"/>
          <w:sz w:val="24"/>
          <w:szCs w:val="24"/>
          <w:shd w:val="clear" w:color="auto" w:fill="FFFFFF"/>
        </w:rPr>
        <w:fldChar w:fldCharType="begin" w:fldLock="1"/>
      </w:r>
      <w:r w:rsidR="007E3B8B">
        <w:rPr>
          <w:rFonts w:ascii="Arial" w:hAnsi="Arial" w:cs="Arial"/>
          <w:color w:val="111111"/>
          <w:sz w:val="24"/>
          <w:szCs w:val="24"/>
          <w:shd w:val="clear" w:color="auto" w:fill="FFFFFF"/>
        </w:rPr>
        <w:instrText>ADDIN CSL_CITATION {"citationItems":[{"id":"ITEM-1","itemData":{"author":[{"dropping-particle":"","family":"Kabat-Zinn","given":"Jon","non-dropping-particle":"","parse-names":false,"suffix":""}],"id":"ITEM-1","issued":{"date-parts":[["2005"]]},"publisher":"Hyperion","publisher-place":"New York","title":"Wherever you go, there you are: mindfulness meditation in everyday life","type":"book"},"uris":["http://www.mendeley.com/documents/?uuid=5cddd663-007c-4b2b-9ddb-e54f2d7d328f"]},{"id":"ITEM-2","itemData":{"DOI":"10.1017/S0265051715000145","ISBN":"0265051715000","ISSN":"14692104","abstract":"This paper reports the development and implementation of a unique Mindfulness for Singers (MfS) course designed to improve singers' vocal technique. Eight university students completed the intervention. Five Facet Mindfulness Questionnaire (FFMQ) scores showed general improvement across all five facets of mindfulness. Qualitative results showed benefits of daily mindfulness exercises on breathing, micro-muscular awareness, vocal tone, text communication and problem solving. Exercises also positively affected teacher/pupil relationships, concentration and focus in lessons and practice. Teachers identified six of the eight participants in a blind controlled study indicating that vocal students at any level would benefit greatly from a mindfulness course as a holistic intervention.","author":[{"dropping-particle":"","family":"Czajkowski","given":"Anne Marie L.","non-dropping-particle":"","parse-names":false,"suffix":""},{"dropping-particle":"","family":"Greasley","given":"Alinka E.","non-dropping-particle":"","parse-names":false,"suffix":""}],"container-title":"British Journal of Music Education","id":"ITEM-2","issue":"2","issued":{"date-parts":[["2015"]]},"page":"211-233","title":"Mindfulness for singers: The effects of a targeted mindfulness course on learning vocal technique","type":"article-journal","volume":"32"},"uris":["http://www.mendeley.com/documents/?uuid=ce43866b-d012-45af-a3f0-36cbd79f1965"]},{"id":"ITEM-3","itemData":{"DOI":"10.1177/1029864920941570","ISSN":"10298649","abstract":"Mindfulness courses are beneficial in clinical domains for anxiety and depression and are becoming more prevalent as interventions in education. However, little is known about what effects mindfulness might have on musicians. In an exploratory study, 25 music students, who completed one of four 8-week MBSR/MBCT mindfulness courses adapted for musicians at the Guildhall School of Music and Drama, completed the validated Five Facet Mindfulness Questionnaire and a bespoke Mindfulness for Musicians questionnaire pre- and post-intervention. Twenty-one music students also took part in a post-intervention one-to-one semi-structured interview. Post-intervention mindfulness scores for both questionnaires increased significantly in comparison to pre-intervention scores. In interviews, participants were reportedly more aware and focused in instrumental lessons, were less self-critical, and developed increased body awareness, which improved their learning of instrumental technique. Participants also described enhanced teacher/pupil communication. In instrumental practice sessions, participants reported more efficient, effective and creative practice, and said that mindfulness exercises helped them deal with problems experienced while practising. Participants also described enhanced listening skills and improved socio-collaboration in ensemble rehearsals. They reported that mindfulness strategies had positive effects on music performance anxiety and described changes in time perception, enhanced expressivity, and positive post-performance effects. Future researchers could adopt a more robust methodology, such as a randomised controlled trial, and incorporate further design elements, such as longitudinal follow-up. Providing more systematic evidence of the beneficial role of mindfulness for conservatoire music students as learners and performers may encourage greater provision of such opportunities in musical settings in the future.","author":[{"dropping-particle":"","family":"Czajkowski","given":"Anne Marie Louise","non-dropping-particle":"","parse-names":false,"suffix":""},{"dropping-particle":"","family":"Greasley","given":"Alinka Elizabeth","non-dropping-particle":"","parse-names":false,"suffix":""},{"dropping-particle":"","family":"Allis","given":"Michael","non-dropping-particle":"","parse-names":false,"suffix":""}],"container-title":"Musicae Scientiae","id":"ITEM-3","issued":{"date-parts":[["2020"]]},"title":"Mindfulness for musicians: A mixed methods study investigating the effects of 8-week mindfulness courses on music students at a leading conservatoire","type":"article-journal"},"uris":["http://www.mendeley.com/documents/?uuid=f970a755-f86e-4cfa-a2d0-19410e603fa3"]},{"id":"ITEM-4","itemData":{"ISSN":"1086-7732","abstract":"The author examines the relationship between singing and mindfulness. According to the author, mindfulness is a way for individuals to pay attention to their present moment experience without judging the moment or becoming attached to it. She presents a brief historical overview of mindfulness, which is derived from Buddhist thought and practice, and discusses ways in which mindfulness training is beneficial to singing. Also discussed is the advantage singers have over non-singers in practicing mindfulness, the technique of mindfulness meditation, which includes the awareness of posture and breath, and the impact of thoughts and emotions on an individual's mindfulness state.","author":[{"dropping-particle":"","family":"Elliott","given":"Martha","non-dropping-particle":"","parse-names":false,"suffix":""}],"container-title":"Journal of Singing","id":"ITEM-4","issue":"1","issued":{"date-parts":[["2010"]]},"page":"35","title":"Singing and Mindfulness","type":"article-journal","volume":"67"},"uris":["http://www.mendeley.com/documents/?uuid=bb99926d-5cf4-40fd-8ade-6b444bf15ddf"]}],"mendeley":{"formattedCitation":"(Kabat-Zinn, 2005; Elliott, 2010; Czajkowski and Greasley, 2015; Czajkowski, Greasley and Allis, 2020)","plainTextFormattedCitation":"(Kabat-Zinn, 2005; Elliott, 2010; Czajkowski and Greasley, 2015; Czajkowski, Greasley and Allis, 2020)","previouslyFormattedCitation":"(Kabat-Zinn, 2005; Elliott, 2010; Czajkowski and Greasley, 2015; Czajkowski, Greasley and Allis, 2020)"},"properties":{"noteIndex":0},"schema":"https://github.com/citation-style-language/schema/raw/master/csl-citation.json"}</w:instrText>
      </w:r>
      <w:r w:rsidR="007E3B8B">
        <w:rPr>
          <w:rFonts w:ascii="Arial" w:hAnsi="Arial" w:cs="Arial"/>
          <w:color w:val="111111"/>
          <w:sz w:val="24"/>
          <w:szCs w:val="24"/>
          <w:shd w:val="clear" w:color="auto" w:fill="FFFFFF"/>
        </w:rPr>
        <w:fldChar w:fldCharType="separate"/>
      </w:r>
      <w:r w:rsidR="007E3B8B" w:rsidRPr="00ED52E1">
        <w:rPr>
          <w:rFonts w:ascii="Arial" w:hAnsi="Arial" w:cs="Arial"/>
          <w:noProof/>
          <w:color w:val="111111"/>
          <w:sz w:val="24"/>
          <w:szCs w:val="24"/>
          <w:shd w:val="clear" w:color="auto" w:fill="FFFFFF"/>
        </w:rPr>
        <w:t>(Kabat-Zinn, 2005; Elliott, 2010; Czajkowski and Greasley, 2015; Czajkowski, Greasley and Allis, 2020)</w:t>
      </w:r>
      <w:r w:rsidR="007E3B8B">
        <w:rPr>
          <w:rFonts w:ascii="Arial" w:hAnsi="Arial" w:cs="Arial"/>
          <w:color w:val="111111"/>
          <w:sz w:val="24"/>
          <w:szCs w:val="24"/>
          <w:shd w:val="clear" w:color="auto" w:fill="FFFFFF"/>
        </w:rPr>
        <w:fldChar w:fldCharType="end"/>
      </w:r>
      <w:r w:rsidR="007E3B8B">
        <w:rPr>
          <w:rFonts w:ascii="Arial" w:hAnsi="Arial" w:cs="Arial"/>
          <w:color w:val="111111"/>
          <w:sz w:val="24"/>
          <w:szCs w:val="24"/>
          <w:shd w:val="clear" w:color="auto" w:fill="FFFFFF"/>
        </w:rPr>
        <w:t>.</w:t>
      </w:r>
      <w:r w:rsidR="007E3B8B" w:rsidRPr="008038A9">
        <w:rPr>
          <w:rFonts w:ascii="Arial" w:hAnsi="Arial" w:cs="Arial"/>
          <w:b/>
          <w:bCs/>
          <w:sz w:val="24"/>
          <w:szCs w:val="24"/>
        </w:rPr>
        <w:t xml:space="preserve"> </w:t>
      </w:r>
      <w:r w:rsidR="00F75D97">
        <w:rPr>
          <w:rFonts w:ascii="Arial" w:hAnsi="Arial" w:cs="Arial"/>
          <w:sz w:val="24"/>
          <w:szCs w:val="24"/>
        </w:rPr>
        <w:t xml:space="preserve">One </w:t>
      </w:r>
      <w:r w:rsidR="00FE4ADD">
        <w:rPr>
          <w:rFonts w:ascii="Arial" w:hAnsi="Arial" w:cs="Arial"/>
          <w:sz w:val="24"/>
          <w:szCs w:val="24"/>
        </w:rPr>
        <w:t xml:space="preserve">study particularly noted that </w:t>
      </w:r>
      <w:r w:rsidR="003824E6">
        <w:rPr>
          <w:rFonts w:ascii="Arial" w:hAnsi="Arial" w:cs="Arial"/>
          <w:sz w:val="24"/>
          <w:szCs w:val="24"/>
        </w:rPr>
        <w:t xml:space="preserve">the mindfulness-based interventions helped feedback to feel less personal </w:t>
      </w:r>
      <w:r w:rsidR="006E3B49">
        <w:rPr>
          <w:rFonts w:ascii="Arial" w:hAnsi="Arial" w:cs="Arial"/>
          <w:sz w:val="24"/>
          <w:szCs w:val="24"/>
        </w:rPr>
        <w:t xml:space="preserve">which could reduce the formation of negative introjects </w:t>
      </w:r>
      <w:r w:rsidR="001F1C3F">
        <w:rPr>
          <w:rFonts w:ascii="Arial" w:hAnsi="Arial" w:cs="Arial"/>
          <w:sz w:val="24"/>
          <w:szCs w:val="24"/>
        </w:rPr>
        <w:fldChar w:fldCharType="begin" w:fldLock="1"/>
      </w:r>
      <w:r w:rsidR="00443C6B">
        <w:rPr>
          <w:rFonts w:ascii="Arial" w:hAnsi="Arial" w:cs="Arial"/>
          <w:sz w:val="24"/>
          <w:szCs w:val="24"/>
        </w:rPr>
        <w:instrText>ADDIN CSL_CITATION {"citationItems":[{"id":"ITEM-1","itemData":{"DOI":"10.1016/j.chiabu.2019.03.016","ISSN":"18737757","PMID":"30908992","abstract":"Background: Emotional abuse is a form of maltreatment that most strongly predicts adult depressive symptoms in community samples. Introject theories suggest that some depressive symptoms stem from survivors having learned to treat themselves the way they were treated by their perpetrators. Objective: Malevolent introjects may undermine self-compassion, which may subsequently maintain feelings of shame. Thus, we hypothesized that self-compassion and shame would mediate the path from retrospective reports of maltreatment to concurrent depressive symptoms in adulthood. Participants and Setting: Participants were 244 adult community members and college students living in a Southwestern American metroplex. Method: We ran a multiple mediator path model with emotional abuse as the independent variable. We specified four covariates: physical abuse, sexual abuse, physical neglect, and emotional neglect, and held constant the variance they explained in self-compassion, shame, and depression. Results: Our final model accounted for 53.1% of the variance in adult depressive symptoms. A significant indirect effect from emotional abuse passed through both mediators and ended in adult depressive symptoms. We also found an indirect path from emotional neglect to depression passing through both mediators. Conclusions: It appears emotional abuse and emotional neglect can undermine the formation of self-compassion. Low self-compassion predicts greater shame and depressive symptoms. Our model suggests self-compassion may be a particularly effective intervention point for survivors of emotional maltreatment.","author":[{"dropping-particle":"","family":"Ross","given":"Nicholas Dutra","non-dropping-particle":"","parse-names":false,"suffix":""},{"dropping-particle":"","family":"Kaminski","given":"Patricia L.","non-dropping-particle":"","parse-names":false,"suffix":""},{"dropping-particle":"","family":"Herrington","given":"Richard","non-dropping-particle":"","parse-names":false,"suffix":""}],"container-title":"Child Abuse and Neglect","id":"ITEM-1","issue":"March","issued":{"date-parts":[["2019"]]},"page":"32-42","publisher":"Elsevier","title":"From childhood emotional maltreatment to depressive symptoms in adulthood: The roles of self-compassion and shame","type":"article-journal","volume":"92"},"uris":["http://www.mendeley.com/documents/?uuid=5d2ba5ae-15f4-42b3-a6cd-782136c19572"]}],"mendeley":{"formattedCitation":"(Ross, Kaminski and Herrington, 2019)","plainTextFormattedCitation":"(Ross, Kaminski and Herrington, 2019)","previouslyFormattedCitation":"(Ross, Kaminski and Herrington, 2019)"},"properties":{"noteIndex":0},"schema":"https://github.com/citation-style-language/schema/raw/master/csl-citation.json"}</w:instrText>
      </w:r>
      <w:r w:rsidR="001F1C3F">
        <w:rPr>
          <w:rFonts w:ascii="Arial" w:hAnsi="Arial" w:cs="Arial"/>
          <w:sz w:val="24"/>
          <w:szCs w:val="24"/>
        </w:rPr>
        <w:fldChar w:fldCharType="separate"/>
      </w:r>
      <w:r w:rsidR="001F1C3F" w:rsidRPr="001F1C3F">
        <w:rPr>
          <w:rFonts w:ascii="Arial" w:hAnsi="Arial" w:cs="Arial"/>
          <w:noProof/>
          <w:sz w:val="24"/>
          <w:szCs w:val="24"/>
        </w:rPr>
        <w:t>(Ross, Kaminski and Herrington, 2019)</w:t>
      </w:r>
      <w:r w:rsidR="001F1C3F">
        <w:rPr>
          <w:rFonts w:ascii="Arial" w:hAnsi="Arial" w:cs="Arial"/>
          <w:sz w:val="24"/>
          <w:szCs w:val="24"/>
        </w:rPr>
        <w:fldChar w:fldCharType="end"/>
      </w:r>
      <w:r w:rsidR="00210BF3">
        <w:rPr>
          <w:rFonts w:ascii="Arial" w:hAnsi="Arial" w:cs="Arial"/>
          <w:sz w:val="24"/>
          <w:szCs w:val="24"/>
        </w:rPr>
        <w:t>. These benefits around feedback c</w:t>
      </w:r>
      <w:r w:rsidR="00093D20">
        <w:rPr>
          <w:rFonts w:ascii="Arial" w:hAnsi="Arial" w:cs="Arial"/>
          <w:sz w:val="24"/>
          <w:szCs w:val="24"/>
        </w:rPr>
        <w:t>ould</w:t>
      </w:r>
      <w:r w:rsidR="00210BF3">
        <w:rPr>
          <w:rFonts w:ascii="Arial" w:hAnsi="Arial" w:cs="Arial"/>
          <w:sz w:val="24"/>
          <w:szCs w:val="24"/>
        </w:rPr>
        <w:t xml:space="preserve"> </w:t>
      </w:r>
      <w:r w:rsidR="003446CD">
        <w:rPr>
          <w:rFonts w:ascii="Arial" w:hAnsi="Arial" w:cs="Arial"/>
          <w:sz w:val="24"/>
          <w:szCs w:val="24"/>
        </w:rPr>
        <w:t>decrease the chance</w:t>
      </w:r>
      <w:r w:rsidR="000E4722">
        <w:rPr>
          <w:rFonts w:ascii="Arial" w:hAnsi="Arial" w:cs="Arial"/>
          <w:sz w:val="24"/>
          <w:szCs w:val="24"/>
        </w:rPr>
        <w:t>s</w:t>
      </w:r>
      <w:r w:rsidR="003446CD">
        <w:rPr>
          <w:rFonts w:ascii="Arial" w:hAnsi="Arial" w:cs="Arial"/>
          <w:sz w:val="24"/>
          <w:szCs w:val="24"/>
        </w:rPr>
        <w:t xml:space="preserve"> of self-efficacy wounds being formed </w:t>
      </w:r>
      <w:r w:rsidR="000F0614">
        <w:rPr>
          <w:rFonts w:ascii="Arial" w:hAnsi="Arial" w:cs="Arial"/>
          <w:sz w:val="24"/>
          <w:szCs w:val="24"/>
        </w:rPr>
        <w:fldChar w:fldCharType="begin" w:fldLock="1"/>
      </w:r>
      <w:r w:rsidR="001F1C3F">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beliefs","type":"article-journal"},"uris":["http://www.mendeley.com/documents/?uuid=d1469298-0bbc-4c76-afcd-e0c4086da712"]}],"mendeley":{"formattedCitation":"(Hogle, 2021; Lewis and Hendricks, 2022)","plainTextFormattedCitation":"(Hogle, 2021; Lewis and Hendricks, 2022)","previouslyFormattedCitation":"(Hogle, 2021; Lewis and Hendricks, 2022)"},"properties":{"noteIndex":0},"schema":"https://github.com/citation-style-language/schema/raw/master/csl-citation.json"}</w:instrText>
      </w:r>
      <w:r w:rsidR="000F0614">
        <w:rPr>
          <w:rFonts w:ascii="Arial" w:hAnsi="Arial" w:cs="Arial"/>
          <w:sz w:val="24"/>
          <w:szCs w:val="24"/>
        </w:rPr>
        <w:fldChar w:fldCharType="separate"/>
      </w:r>
      <w:r w:rsidR="000F0614" w:rsidRPr="000F0614">
        <w:rPr>
          <w:rFonts w:ascii="Arial" w:hAnsi="Arial" w:cs="Arial"/>
          <w:noProof/>
          <w:sz w:val="24"/>
          <w:szCs w:val="24"/>
        </w:rPr>
        <w:t>(Hogle, 2021; Lewis and Hendricks, 2022)</w:t>
      </w:r>
      <w:r w:rsidR="000F0614">
        <w:rPr>
          <w:rFonts w:ascii="Arial" w:hAnsi="Arial" w:cs="Arial"/>
          <w:sz w:val="24"/>
          <w:szCs w:val="24"/>
        </w:rPr>
        <w:fldChar w:fldCharType="end"/>
      </w:r>
      <w:r w:rsidR="008263C3">
        <w:rPr>
          <w:rFonts w:ascii="Arial" w:hAnsi="Arial" w:cs="Arial"/>
          <w:sz w:val="24"/>
          <w:szCs w:val="24"/>
        </w:rPr>
        <w:t>.</w:t>
      </w:r>
    </w:p>
    <w:p w14:paraId="4D128D65" w14:textId="77777777" w:rsidR="007E3B8B" w:rsidRDefault="007E3B8B" w:rsidP="008038A9">
      <w:pPr>
        <w:spacing w:line="360" w:lineRule="auto"/>
        <w:rPr>
          <w:rFonts w:ascii="Arial" w:hAnsi="Arial" w:cs="Arial"/>
          <w:b/>
          <w:bCs/>
          <w:sz w:val="24"/>
          <w:szCs w:val="24"/>
        </w:rPr>
      </w:pPr>
      <w:r w:rsidRPr="000A7FC3">
        <w:rPr>
          <w:rFonts w:ascii="Arial" w:hAnsi="Arial" w:cs="Arial"/>
          <w:b/>
          <w:bCs/>
          <w:sz w:val="24"/>
          <w:szCs w:val="24"/>
        </w:rPr>
        <w:t>Conclusion</w:t>
      </w:r>
    </w:p>
    <w:p w14:paraId="5BC72AF7" w14:textId="13F856B2" w:rsidR="0081619A" w:rsidRDefault="007E3B8B" w:rsidP="008038A9">
      <w:pPr>
        <w:spacing w:line="360" w:lineRule="auto"/>
        <w:jc w:val="both"/>
        <w:rPr>
          <w:rFonts w:ascii="Arial" w:hAnsi="Arial" w:cs="Arial"/>
          <w:sz w:val="24"/>
          <w:szCs w:val="24"/>
        </w:rPr>
      </w:pPr>
      <w:r>
        <w:rPr>
          <w:rFonts w:ascii="Arial" w:hAnsi="Arial" w:cs="Arial"/>
          <w:sz w:val="24"/>
          <w:szCs w:val="24"/>
        </w:rPr>
        <w:t xml:space="preserve">Research across </w:t>
      </w:r>
      <w:r w:rsidR="00C81CFD">
        <w:rPr>
          <w:rFonts w:ascii="Arial" w:hAnsi="Arial" w:cs="Arial"/>
          <w:sz w:val="24"/>
          <w:szCs w:val="24"/>
        </w:rPr>
        <w:t xml:space="preserve">the corpus </w:t>
      </w:r>
      <w:r>
        <w:rPr>
          <w:rFonts w:ascii="Arial" w:hAnsi="Arial" w:cs="Arial"/>
          <w:sz w:val="24"/>
          <w:szCs w:val="24"/>
        </w:rPr>
        <w:t>show</w:t>
      </w:r>
      <w:r w:rsidR="00E667B4">
        <w:rPr>
          <w:rFonts w:ascii="Arial" w:hAnsi="Arial" w:cs="Arial"/>
          <w:sz w:val="24"/>
          <w:szCs w:val="24"/>
        </w:rPr>
        <w:t>s</w:t>
      </w:r>
      <w:r>
        <w:rPr>
          <w:rFonts w:ascii="Arial" w:hAnsi="Arial" w:cs="Arial"/>
          <w:sz w:val="24"/>
          <w:szCs w:val="24"/>
        </w:rPr>
        <w:t xml:space="preserve"> that under the right conditions self-efficacy can be influenced by teachers and learning experiences</w:t>
      </w:r>
      <w:r w:rsidR="00BA7111">
        <w:rPr>
          <w:rFonts w:ascii="Arial" w:hAnsi="Arial" w:cs="Arial"/>
          <w:sz w:val="24"/>
          <w:szCs w:val="24"/>
        </w:rPr>
        <w:t xml:space="preserve">; this </w:t>
      </w:r>
      <w:r w:rsidR="00FD1715">
        <w:rPr>
          <w:rFonts w:ascii="Arial" w:hAnsi="Arial" w:cs="Arial"/>
          <w:sz w:val="24"/>
          <w:szCs w:val="24"/>
        </w:rPr>
        <w:t>was shown</w:t>
      </w:r>
      <w:r>
        <w:rPr>
          <w:rFonts w:ascii="Arial" w:hAnsi="Arial" w:cs="Arial"/>
          <w:sz w:val="24"/>
          <w:szCs w:val="24"/>
        </w:rPr>
        <w:t xml:space="preserve"> across </w:t>
      </w:r>
      <w:r w:rsidR="00372C75">
        <w:rPr>
          <w:rFonts w:ascii="Arial" w:hAnsi="Arial" w:cs="Arial"/>
          <w:sz w:val="24"/>
          <w:szCs w:val="24"/>
        </w:rPr>
        <w:t xml:space="preserve">the </w:t>
      </w:r>
      <w:r>
        <w:rPr>
          <w:rFonts w:ascii="Arial" w:hAnsi="Arial" w:cs="Arial"/>
          <w:sz w:val="24"/>
          <w:szCs w:val="24"/>
        </w:rPr>
        <w:t xml:space="preserve">age groups of primary school children </w:t>
      </w:r>
      <w:r>
        <w:rPr>
          <w:rFonts w:ascii="Arial" w:hAnsi="Arial" w:cs="Arial"/>
          <w:sz w:val="24"/>
          <w:szCs w:val="24"/>
        </w:rPr>
        <w:fldChar w:fldCharType="begin" w:fldLock="1"/>
      </w:r>
      <w:r>
        <w:rPr>
          <w:rFonts w:ascii="Arial" w:hAnsi="Arial" w:cs="Arial"/>
          <w:sz w:val="24"/>
          <w:szCs w:val="24"/>
        </w:rPr>
        <w:instrText>ADDIN CSL_CITATION {"citationItems":[{"id":"ITEM-1","itemData":{"DOI":"10.1177/0022429411405214","ISSN":"00224294","abstract":"The Self-Efficacy for Musical Learning questionnaire was adapted and tested with 404 primary school children, producing a robust Cronbach alpha (0.87) and confirming a single underlying factor through exploratory factor analysis. Test-retest scores showed the measure's stability over a 9-month period. Data were collected on children's prior music experience, extracurricular activities, and typical daily activities. Children also completed the Short Warwick-Edinburgh Mental Well-Being Scale and the Strengths and Difficulties Questionnaire. Those currently engaged in music tuition (learning an instrument or singing) had significantly higher self-efficacy scores than children who were not, and overall, girls' scores were significantly higher than boys'. Correlations with various additional measures, including wellbeing and reading for pleasure, highlighted multifaceted relationships of self-efficacy to children's lives. Regression analyses revealed that prior experience with instrumental tuition was the strongest predictor of music self-efficacy for learning; prosocial behaviors predicted boys' scores, and well-being predicted girls' scores. © 2011 MENC: The National Association for Music Education.","author":[{"dropping-particle":"","family":"Ritchie","given":"Laura","non-dropping-particle":"","parse-names":false,"suffix":""},{"dropping-particle":"","family":"Williamon","given":"Aaron","non-dropping-particle":"","parse-names":false,"suffix":""}],"container-title":"Journal of Research in Music Education","id":"ITEM-1","issue":"2","issued":{"date-parts":[["2011"]]},"page":"146-161","title":"Primary school children's Self-efficacy for Music Learning","type":"article-journal","volume":"59"},"uris":["http://www.mendeley.com/documents/?uuid=240473f6-1468-4960-8481-528f722fddd9"]}],"mendeley":{"formattedCitation":"(Ritchie and Williamon, 2011)","plainTextFormattedCitation":"(Ritchie and Williamon, 2011)","previouslyFormattedCitation":"(Ritchie and Williamon, 2011)"},"properties":{"noteIndex":0},"schema":"https://github.com/citation-style-language/schema/raw/master/csl-citation.json"}</w:instrText>
      </w:r>
      <w:r>
        <w:rPr>
          <w:rFonts w:ascii="Arial" w:hAnsi="Arial" w:cs="Arial"/>
          <w:sz w:val="24"/>
          <w:szCs w:val="24"/>
        </w:rPr>
        <w:fldChar w:fldCharType="separate"/>
      </w:r>
      <w:r w:rsidRPr="00DA7BE1">
        <w:rPr>
          <w:rFonts w:ascii="Arial" w:hAnsi="Arial" w:cs="Arial"/>
          <w:noProof/>
          <w:sz w:val="24"/>
          <w:szCs w:val="24"/>
        </w:rPr>
        <w:t>(Ritchie and Williamon, 2011)</w:t>
      </w:r>
      <w:r>
        <w:rPr>
          <w:rFonts w:ascii="Arial" w:hAnsi="Arial" w:cs="Arial"/>
          <w:sz w:val="24"/>
          <w:szCs w:val="24"/>
        </w:rPr>
        <w:fldChar w:fldCharType="end"/>
      </w:r>
      <w:r>
        <w:rPr>
          <w:rFonts w:ascii="Arial" w:hAnsi="Arial" w:cs="Arial"/>
          <w:sz w:val="24"/>
          <w:szCs w:val="24"/>
        </w:rPr>
        <w:t xml:space="preserve">, collegiate singers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2022)","plainTextFormattedCitation":"(Lewis and Hendricks, 2022)","previouslyFormattedCitation":"(Lewis and Hendricks, 2022)"},"properties":{"noteIndex":0},"schema":"https://github.com/citation-style-language/schema/raw/master/csl-citation.json"}</w:instrText>
      </w:r>
      <w:r>
        <w:rPr>
          <w:rFonts w:ascii="Arial" w:hAnsi="Arial" w:cs="Arial"/>
          <w:sz w:val="24"/>
          <w:szCs w:val="24"/>
        </w:rPr>
        <w:fldChar w:fldCharType="separate"/>
      </w:r>
      <w:r w:rsidRPr="00DA7BE1">
        <w:rPr>
          <w:rFonts w:ascii="Arial" w:hAnsi="Arial" w:cs="Arial"/>
          <w:noProof/>
          <w:sz w:val="24"/>
          <w:szCs w:val="24"/>
        </w:rPr>
        <w:t>(Lewis and Hendricks, 2022)</w:t>
      </w:r>
      <w:r>
        <w:rPr>
          <w:rFonts w:ascii="Arial" w:hAnsi="Arial" w:cs="Arial"/>
          <w:sz w:val="24"/>
          <w:szCs w:val="24"/>
        </w:rPr>
        <w:fldChar w:fldCharType="end"/>
      </w:r>
      <w:r>
        <w:rPr>
          <w:rFonts w:ascii="Arial" w:hAnsi="Arial" w:cs="Arial"/>
          <w:sz w:val="24"/>
          <w:szCs w:val="24"/>
        </w:rPr>
        <w:t xml:space="preserve">, and mature learners </w:t>
      </w:r>
      <w:r>
        <w:rPr>
          <w:rFonts w:ascii="Arial" w:hAnsi="Arial" w:cs="Arial"/>
          <w:sz w:val="24"/>
          <w:szCs w:val="24"/>
        </w:rPr>
        <w:fldChar w:fldCharType="begin" w:fldLock="1"/>
      </w:r>
      <w:r>
        <w:rPr>
          <w:rFonts w:ascii="Arial" w:hAnsi="Arial" w:cs="Arial"/>
          <w:sz w:val="24"/>
          <w:szCs w:val="24"/>
        </w:rPr>
        <w:instrText>ADDIN CSL_CITATION {"citationItems":[{"id":"ITEM-1","itemData":{"DOI":"10.18546/LRE.13.1.05","ISSN":"14748479","abstract":"The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Education","id":"ITEM-1","issue":"1","issued":{"date-parts":[["2015"]]},"page":"43-57","title":"Critical geragogy: A framework for facilitating older learners in community music","type":"article-journal","volume":"13"},"uris":["http://www.mendeley.com/documents/?uuid=fa50dd99-4e1e-44de-a3f2-30dd41815d00"]}],"mendeley":{"formattedCitation":"(Creech and Hallam, 2015)","plainTextFormattedCitation":"(Creech and Hallam, 2015)","previouslyFormattedCitation":"(Creech and Hallam, 2015)"},"properties":{"noteIndex":0},"schema":"https://github.com/citation-style-language/schema/raw/master/csl-citation.json"}</w:instrText>
      </w:r>
      <w:r>
        <w:rPr>
          <w:rFonts w:ascii="Arial" w:hAnsi="Arial" w:cs="Arial"/>
          <w:sz w:val="24"/>
          <w:szCs w:val="24"/>
        </w:rPr>
        <w:fldChar w:fldCharType="separate"/>
      </w:r>
      <w:r w:rsidRPr="004D1FA3">
        <w:rPr>
          <w:rFonts w:ascii="Arial" w:hAnsi="Arial" w:cs="Arial"/>
          <w:noProof/>
          <w:sz w:val="24"/>
          <w:szCs w:val="24"/>
        </w:rPr>
        <w:t>(Creech and Hallam, 2015)</w:t>
      </w:r>
      <w:r>
        <w:rPr>
          <w:rFonts w:ascii="Arial" w:hAnsi="Arial" w:cs="Arial"/>
          <w:sz w:val="24"/>
          <w:szCs w:val="24"/>
        </w:rPr>
        <w:fldChar w:fldCharType="end"/>
      </w:r>
      <w:r>
        <w:rPr>
          <w:rFonts w:ascii="Arial" w:hAnsi="Arial" w:cs="Arial"/>
          <w:sz w:val="24"/>
          <w:szCs w:val="24"/>
        </w:rPr>
        <w:t xml:space="preserve">. Teacher </w:t>
      </w:r>
      <w:r w:rsidR="009B6231">
        <w:rPr>
          <w:rFonts w:ascii="Arial" w:hAnsi="Arial" w:cs="Arial"/>
          <w:sz w:val="24"/>
          <w:szCs w:val="24"/>
        </w:rPr>
        <w:t xml:space="preserve">beliefs </w:t>
      </w:r>
      <w:r>
        <w:rPr>
          <w:rFonts w:ascii="Arial" w:hAnsi="Arial" w:cs="Arial"/>
          <w:sz w:val="24"/>
          <w:szCs w:val="24"/>
        </w:rPr>
        <w:t>can influence t</w:t>
      </w:r>
      <w:r w:rsidR="009B6231">
        <w:rPr>
          <w:rFonts w:ascii="Arial" w:hAnsi="Arial" w:cs="Arial"/>
          <w:sz w:val="24"/>
          <w:szCs w:val="24"/>
        </w:rPr>
        <w:t>heir</w:t>
      </w:r>
      <w:r>
        <w:rPr>
          <w:rFonts w:ascii="Arial" w:hAnsi="Arial" w:cs="Arial"/>
          <w:sz w:val="24"/>
          <w:szCs w:val="24"/>
        </w:rPr>
        <w:t xml:space="preserve"> </w:t>
      </w:r>
      <w:r w:rsidR="009B6231">
        <w:rPr>
          <w:rFonts w:ascii="Arial" w:hAnsi="Arial" w:cs="Arial"/>
          <w:sz w:val="24"/>
          <w:szCs w:val="24"/>
        </w:rPr>
        <w:t>choices</w:t>
      </w:r>
      <w:r>
        <w:rPr>
          <w:rFonts w:ascii="Arial" w:hAnsi="Arial" w:cs="Arial"/>
          <w:sz w:val="24"/>
          <w:szCs w:val="24"/>
        </w:rPr>
        <w:t xml:space="preserve"> and communication which in turn can </w:t>
      </w:r>
      <w:r w:rsidR="00410AD6">
        <w:rPr>
          <w:rFonts w:ascii="Arial" w:hAnsi="Arial" w:cs="Arial"/>
          <w:sz w:val="24"/>
          <w:szCs w:val="24"/>
        </w:rPr>
        <w:t xml:space="preserve">have an </w:t>
      </w:r>
      <w:r>
        <w:rPr>
          <w:rFonts w:ascii="Arial" w:hAnsi="Arial" w:cs="Arial"/>
          <w:sz w:val="24"/>
          <w:szCs w:val="24"/>
        </w:rPr>
        <w:t xml:space="preserve">impact </w:t>
      </w:r>
      <w:r w:rsidR="002367DA">
        <w:rPr>
          <w:rFonts w:ascii="Arial" w:hAnsi="Arial" w:cs="Arial"/>
          <w:sz w:val="24"/>
          <w:szCs w:val="24"/>
        </w:rPr>
        <w:t xml:space="preserve">on </w:t>
      </w:r>
      <w:r>
        <w:rPr>
          <w:rFonts w:ascii="Arial" w:hAnsi="Arial" w:cs="Arial"/>
          <w:sz w:val="24"/>
          <w:szCs w:val="24"/>
        </w:rPr>
        <w:t xml:space="preserve">a student’s sense of singing self-efficacy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Education","id":"ITEM-2","issue":"2","issued":{"date-parts":[["2021"]]},"page":"179-194","title":"Fostering singing agency through emotional differentiation in an inclusive singing environment","type":"article-journal","volume":"43"},"uris":["http://www.mendeley.com/documents/?uuid=df4ddb6b-d417-411f-9261-d87aba0aa367"]},{"id":"ITEM-3","itemData":{"DOI":"10.1080/14613808.2019.1598346","ISSN":"14699893","abstract":"We explored the role of self-efficacy in participatory music-making, and whether a single such music-making activity could make non-musician adults more open to seeing themselves as musical. Past research has suggested that even recipients of multiple years of school music education do not consider being musical as a part of their identity, and they do not exit adolescence with an independent musicianship that would facilitate their making music as adults. In our study, we invited older adults to participate in an informal music-making experience designed to be participatory and enjoyable. A questionnaire measured musical beliefs and self-perceptions before and after the music activity. The posttest version included items through which participants indicated their self-efficacy during the activity. Data analysis revealed that across the entire sample, the average rating of how musical they considered themselves to be did not change significantly, but there was a significant jump in their reported likelihood of engaging in a collection of musical life activities. Specifically, there was a rise in the likelihood of playing musical instruments informally. The study’s most important finding was that participants with higher self-efficacy during the activity emerged from it believing themselves to be more musical than they had previously thought.","author":[{"dropping-particle":"","family":"Woody","given":"Robert H.","non-dropping-particle":"","parse-names":false,"suffix":""},{"dropping-particle":"","family":"Fraser","given":"Amy","non-dropping-particle":"","parse-names":false,"suffix":""},{"dropping-particle":"","family":"Nannen","given":"Briana","non-dropping-particle":"","parse-names":false,"suffix":""},{"dropping-particle":"","family":"Yukevich","given":"Polly","non-dropping-particle":"","parse-names":false,"suffix":""}],"container-title":"Music Education Research","id":"ITEM-3","issue":"3","issued":{"date-parts":[["2019"]]},"page":"315-330","publisher":"Taylor &amp; Francis","title":"Musical identities of older adults are not easily changed: an exploratory study","type":"article-journal","volume":"21"},"uris":["http://www.mendeley.com/documents/?uuid=c0731686-1857-43a8-8fa8-ba5ac99fc6e4"]},{"id":"ITEM-4","itemData":{"ISSN":"10867732","abstract":"The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Singing","id":"ITEM-4","issue":"4","issued":{"date-parts":[["2018"]]},"page":"405-414","title":"Critical Thought, Intrinsic Motivation, and the Voice Studio: Perspectives of Master Teachers.","type":"article-journal","volume":"74"},"uris":["http://www.mendeley.com/documents/?uuid=4030f552-7b94-4abf-bab4-c0b97b7babca"]}],"mendeley":{"formattedCitation":"(Stephenson, 2018; Woody &lt;i&gt;et al.&lt;/i&gt;, 2019; Hogle, 2021; Lewis and Hendricks, 2022)","plainTextFormattedCitation":"(Stephenson, 2018; Woody et al., 2019; Hogle, 2021; Lewis and Hendricks, 2022)","previouslyFormattedCitation":"(Stephenson, 2018; Woody &lt;i&gt;et al.&lt;/i&gt;, 2019; Hogle, 2021; Lewis and Hendricks, 2022)"},"properties":{"noteIndex":0},"schema":"https://github.com/citation-style-language/schema/raw/master/csl-citation.json"}</w:instrText>
      </w:r>
      <w:r>
        <w:rPr>
          <w:rFonts w:ascii="Arial" w:hAnsi="Arial" w:cs="Arial"/>
          <w:sz w:val="24"/>
          <w:szCs w:val="24"/>
        </w:rPr>
        <w:fldChar w:fldCharType="separate"/>
      </w:r>
      <w:r w:rsidRPr="009A592E">
        <w:rPr>
          <w:rFonts w:ascii="Arial" w:hAnsi="Arial" w:cs="Arial"/>
          <w:noProof/>
          <w:sz w:val="24"/>
          <w:szCs w:val="24"/>
        </w:rPr>
        <w:t xml:space="preserve">(Stephenson, 2018; Woody </w:t>
      </w:r>
      <w:r w:rsidRPr="009A592E">
        <w:rPr>
          <w:rFonts w:ascii="Arial" w:hAnsi="Arial" w:cs="Arial"/>
          <w:i/>
          <w:noProof/>
          <w:sz w:val="24"/>
          <w:szCs w:val="24"/>
        </w:rPr>
        <w:t>et al.</w:t>
      </w:r>
      <w:r w:rsidRPr="009A592E">
        <w:rPr>
          <w:rFonts w:ascii="Arial" w:hAnsi="Arial" w:cs="Arial"/>
          <w:noProof/>
          <w:sz w:val="24"/>
          <w:szCs w:val="24"/>
        </w:rPr>
        <w:t>, 2019; Hogle, 2021; Lewis and Hendricks, 2022)</w:t>
      </w:r>
      <w:r>
        <w:rPr>
          <w:rFonts w:ascii="Arial" w:hAnsi="Arial" w:cs="Arial"/>
          <w:sz w:val="24"/>
          <w:szCs w:val="24"/>
        </w:rPr>
        <w:fldChar w:fldCharType="end"/>
      </w:r>
      <w:r>
        <w:rPr>
          <w:rFonts w:ascii="Arial" w:hAnsi="Arial" w:cs="Arial"/>
          <w:sz w:val="24"/>
          <w:szCs w:val="24"/>
        </w:rPr>
        <w:t xml:space="preserve">. </w:t>
      </w:r>
      <w:r w:rsidR="009A6BD4">
        <w:rPr>
          <w:rFonts w:ascii="Arial" w:hAnsi="Arial" w:cs="Arial"/>
          <w:sz w:val="24"/>
          <w:szCs w:val="24"/>
        </w:rPr>
        <w:t>Teacher</w:t>
      </w:r>
      <w:r w:rsidR="00763C4D">
        <w:rPr>
          <w:rFonts w:ascii="Arial" w:hAnsi="Arial" w:cs="Arial"/>
          <w:sz w:val="24"/>
          <w:szCs w:val="24"/>
        </w:rPr>
        <w:t>s</w:t>
      </w:r>
      <w:r w:rsidR="009A6BD4">
        <w:rPr>
          <w:rFonts w:ascii="Arial" w:hAnsi="Arial" w:cs="Arial"/>
          <w:sz w:val="24"/>
          <w:szCs w:val="24"/>
        </w:rPr>
        <w:t xml:space="preserve"> can </w:t>
      </w:r>
      <w:r w:rsidR="00CA7B24">
        <w:rPr>
          <w:rFonts w:ascii="Arial" w:hAnsi="Arial" w:cs="Arial"/>
          <w:sz w:val="24"/>
          <w:szCs w:val="24"/>
        </w:rPr>
        <w:t>adapt using k</w:t>
      </w:r>
      <w:r>
        <w:rPr>
          <w:rFonts w:ascii="Arial" w:hAnsi="Arial" w:cs="Arial"/>
          <w:sz w:val="24"/>
          <w:szCs w:val="24"/>
        </w:rPr>
        <w:t xml:space="preserve">nowledge of self-efficacy and </w:t>
      </w:r>
      <w:r w:rsidR="00B82B4A">
        <w:rPr>
          <w:rFonts w:ascii="Arial" w:hAnsi="Arial" w:cs="Arial"/>
          <w:sz w:val="24"/>
          <w:szCs w:val="24"/>
        </w:rPr>
        <w:t xml:space="preserve">the </w:t>
      </w:r>
      <w:r>
        <w:rPr>
          <w:rFonts w:ascii="Arial" w:hAnsi="Arial" w:cs="Arial"/>
          <w:sz w:val="24"/>
          <w:szCs w:val="24"/>
        </w:rPr>
        <w:t>awareness of</w:t>
      </w:r>
      <w:r w:rsidR="00CA7B24">
        <w:rPr>
          <w:rFonts w:ascii="Arial" w:hAnsi="Arial" w:cs="Arial"/>
          <w:sz w:val="24"/>
          <w:szCs w:val="24"/>
        </w:rPr>
        <w:t xml:space="preserve"> the </w:t>
      </w:r>
      <w:r>
        <w:rPr>
          <w:rFonts w:ascii="Arial" w:hAnsi="Arial" w:cs="Arial"/>
          <w:sz w:val="24"/>
          <w:szCs w:val="24"/>
        </w:rPr>
        <w:t>challenges</w:t>
      </w:r>
      <w:r w:rsidR="00CA7B24">
        <w:rPr>
          <w:rFonts w:ascii="Arial" w:hAnsi="Arial" w:cs="Arial"/>
          <w:sz w:val="24"/>
          <w:szCs w:val="24"/>
        </w:rPr>
        <w:t xml:space="preserve"> of </w:t>
      </w:r>
      <w:r>
        <w:rPr>
          <w:rFonts w:ascii="Arial" w:hAnsi="Arial" w:cs="Arial"/>
          <w:sz w:val="24"/>
          <w:szCs w:val="24"/>
        </w:rPr>
        <w:t>student</w:t>
      </w:r>
      <w:r w:rsidR="00B82B4A">
        <w:rPr>
          <w:rFonts w:ascii="Arial" w:hAnsi="Arial" w:cs="Arial"/>
          <w:sz w:val="24"/>
          <w:szCs w:val="24"/>
        </w:rPr>
        <w:t>s</w:t>
      </w:r>
      <w:r w:rsidR="009A6BD4">
        <w:rPr>
          <w:rFonts w:ascii="Arial" w:hAnsi="Arial" w:cs="Arial"/>
          <w:sz w:val="24"/>
          <w:szCs w:val="24"/>
        </w:rPr>
        <w:t xml:space="preserve"> with se</w:t>
      </w:r>
      <w:r>
        <w:rPr>
          <w:rFonts w:ascii="Arial" w:hAnsi="Arial" w:cs="Arial"/>
          <w:sz w:val="24"/>
          <w:szCs w:val="24"/>
        </w:rPr>
        <w:t>lf-efficacy wound</w:t>
      </w:r>
      <w:r w:rsidR="00CA7B24">
        <w:rPr>
          <w:rFonts w:ascii="Arial" w:hAnsi="Arial" w:cs="Arial"/>
          <w:sz w:val="24"/>
          <w:szCs w:val="24"/>
        </w:rPr>
        <w:t>s</w:t>
      </w:r>
      <w:r w:rsidR="009A6BD4">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2021)","plainTextFormattedCitation":"(Hogle, 2021)","previouslyFormattedCitation":"(Hogle, 2021)"},"properties":{"noteIndex":0},"schema":"https://github.com/citation-style-language/schema/raw/master/csl-citation.json"}</w:instrText>
      </w:r>
      <w:r>
        <w:rPr>
          <w:rFonts w:ascii="Arial" w:hAnsi="Arial" w:cs="Arial"/>
          <w:sz w:val="24"/>
          <w:szCs w:val="24"/>
        </w:rPr>
        <w:fldChar w:fldCharType="separate"/>
      </w:r>
      <w:r w:rsidRPr="00161305">
        <w:rPr>
          <w:rFonts w:ascii="Arial" w:hAnsi="Arial" w:cs="Arial"/>
          <w:noProof/>
          <w:sz w:val="24"/>
          <w:szCs w:val="24"/>
        </w:rPr>
        <w:t>(Hogle, 2021)</w:t>
      </w:r>
      <w:r>
        <w:rPr>
          <w:rFonts w:ascii="Arial" w:hAnsi="Arial" w:cs="Arial"/>
          <w:sz w:val="24"/>
          <w:szCs w:val="24"/>
        </w:rPr>
        <w:fldChar w:fldCharType="end"/>
      </w:r>
      <w:r w:rsidR="00CA7B24">
        <w:rPr>
          <w:rFonts w:ascii="Arial" w:hAnsi="Arial" w:cs="Arial"/>
          <w:sz w:val="24"/>
          <w:szCs w:val="24"/>
        </w:rPr>
        <w:t>.</w:t>
      </w:r>
      <w:r w:rsidR="004166FC">
        <w:rPr>
          <w:rFonts w:ascii="Arial" w:hAnsi="Arial" w:cs="Arial"/>
          <w:sz w:val="24"/>
          <w:szCs w:val="24"/>
        </w:rPr>
        <w:t xml:space="preserve"> T</w:t>
      </w:r>
      <w:r>
        <w:rPr>
          <w:rFonts w:ascii="Arial" w:hAnsi="Arial" w:cs="Arial"/>
          <w:sz w:val="24"/>
          <w:szCs w:val="24"/>
        </w:rPr>
        <w:t>eacher</w:t>
      </w:r>
      <w:r w:rsidR="004166FC">
        <w:rPr>
          <w:rFonts w:ascii="Arial" w:hAnsi="Arial" w:cs="Arial"/>
          <w:sz w:val="24"/>
          <w:szCs w:val="24"/>
        </w:rPr>
        <w:t>s can</w:t>
      </w:r>
      <w:r>
        <w:rPr>
          <w:rFonts w:ascii="Arial" w:hAnsi="Arial" w:cs="Arial"/>
          <w:sz w:val="24"/>
          <w:szCs w:val="24"/>
        </w:rPr>
        <w:t xml:space="preserve"> differentiate lesson</w:t>
      </w:r>
      <w:r w:rsidR="004166FC">
        <w:rPr>
          <w:rFonts w:ascii="Arial" w:hAnsi="Arial" w:cs="Arial"/>
          <w:sz w:val="24"/>
          <w:szCs w:val="24"/>
        </w:rPr>
        <w:t>s</w:t>
      </w:r>
      <w:r>
        <w:rPr>
          <w:rFonts w:ascii="Arial" w:hAnsi="Arial" w:cs="Arial"/>
          <w:sz w:val="24"/>
          <w:szCs w:val="24"/>
        </w:rPr>
        <w:t xml:space="preserve"> to suit </w:t>
      </w:r>
      <w:r w:rsidR="004166FC">
        <w:rPr>
          <w:rFonts w:ascii="Arial" w:hAnsi="Arial" w:cs="Arial"/>
          <w:sz w:val="24"/>
          <w:szCs w:val="24"/>
        </w:rPr>
        <w:t xml:space="preserve">both </w:t>
      </w:r>
      <w:r>
        <w:rPr>
          <w:rFonts w:ascii="Arial" w:hAnsi="Arial" w:cs="Arial"/>
          <w:sz w:val="24"/>
          <w:szCs w:val="24"/>
        </w:rPr>
        <w:t xml:space="preserve">the technical development </w:t>
      </w:r>
      <w:r w:rsidR="004166FC">
        <w:rPr>
          <w:rFonts w:ascii="Arial" w:hAnsi="Arial" w:cs="Arial"/>
          <w:sz w:val="24"/>
          <w:szCs w:val="24"/>
        </w:rPr>
        <w:t xml:space="preserve">needs </w:t>
      </w:r>
      <w:r>
        <w:rPr>
          <w:rFonts w:ascii="Arial" w:hAnsi="Arial" w:cs="Arial"/>
          <w:sz w:val="24"/>
          <w:szCs w:val="24"/>
        </w:rPr>
        <w:t xml:space="preserve">of the singer </w:t>
      </w:r>
      <w:r w:rsidR="006443D3">
        <w:rPr>
          <w:rFonts w:ascii="Arial" w:hAnsi="Arial" w:cs="Arial"/>
          <w:sz w:val="24"/>
          <w:szCs w:val="24"/>
        </w:rPr>
        <w:t>and</w:t>
      </w:r>
      <w:r w:rsidR="00CD04C4">
        <w:rPr>
          <w:rFonts w:ascii="Arial" w:hAnsi="Arial" w:cs="Arial"/>
          <w:sz w:val="24"/>
          <w:szCs w:val="24"/>
        </w:rPr>
        <w:t xml:space="preserve"> car</w:t>
      </w:r>
      <w:r w:rsidR="006443D3">
        <w:rPr>
          <w:rFonts w:ascii="Arial" w:hAnsi="Arial" w:cs="Arial"/>
          <w:sz w:val="24"/>
          <w:szCs w:val="24"/>
        </w:rPr>
        <w:t>e</w:t>
      </w:r>
      <w:r>
        <w:rPr>
          <w:rFonts w:ascii="Arial" w:hAnsi="Arial" w:cs="Arial"/>
          <w:sz w:val="24"/>
          <w:szCs w:val="24"/>
        </w:rPr>
        <w:t xml:space="preserve"> the singer’s emotional needs</w:t>
      </w:r>
      <w:r w:rsidR="00CD04C4">
        <w:rPr>
          <w:rFonts w:ascii="Arial" w:hAnsi="Arial" w:cs="Arial"/>
          <w:sz w:val="24"/>
          <w:szCs w:val="24"/>
        </w:rPr>
        <w:t>;</w:t>
      </w:r>
      <w:r w:rsidR="003033A9">
        <w:rPr>
          <w:rFonts w:ascii="Arial" w:hAnsi="Arial" w:cs="Arial"/>
          <w:sz w:val="24"/>
          <w:szCs w:val="24"/>
        </w:rPr>
        <w:t xml:space="preserve"> this forms</w:t>
      </w:r>
      <w:r>
        <w:rPr>
          <w:rFonts w:ascii="Arial" w:hAnsi="Arial" w:cs="Arial"/>
          <w:sz w:val="24"/>
          <w:szCs w:val="24"/>
        </w:rPr>
        <w:t xml:space="preserve"> </w:t>
      </w:r>
      <w:r w:rsidR="00422135">
        <w:rPr>
          <w:rFonts w:ascii="Arial" w:hAnsi="Arial" w:cs="Arial"/>
          <w:sz w:val="24"/>
          <w:szCs w:val="24"/>
        </w:rPr>
        <w:t xml:space="preserve">part of </w:t>
      </w:r>
      <w:r>
        <w:rPr>
          <w:rFonts w:ascii="Arial" w:hAnsi="Arial" w:cs="Arial"/>
          <w:sz w:val="24"/>
          <w:szCs w:val="24"/>
        </w:rPr>
        <w:t>a student</w:t>
      </w:r>
      <w:r w:rsidR="003033A9">
        <w:rPr>
          <w:rFonts w:ascii="Arial" w:hAnsi="Arial" w:cs="Arial"/>
          <w:sz w:val="24"/>
          <w:szCs w:val="24"/>
        </w:rPr>
        <w:t>-</w:t>
      </w:r>
      <w:r>
        <w:rPr>
          <w:rFonts w:ascii="Arial" w:hAnsi="Arial" w:cs="Arial"/>
          <w:sz w:val="24"/>
          <w:szCs w:val="24"/>
        </w:rPr>
        <w:t xml:space="preserve">centred process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environment","type":"article-journal","volume":"43"},"uris":["http://www.mendeley.com/documents/?uuid=df4ddb6b-d417-411f-9261-d87aba0aa367"]},{"id":"ITEM-2","itemData":{"ISSN":"10867732","abstract":"The author recommends various resource and reading materials for vocal coaches. Topics covered include the book \"The Memoirs of Sylvia Olden Lee: Premier African-American Classical Vocal Coach,\" by Elizabeth Nash and Sylvia Olden Lee, the unfinished book \"The Arts of Song and Accompaniment,\" by Paul Ulanowsky, and Chris Foley's Collaborative Piano Blog.","author":[{"dropping-particle":"","family":"Garrett","given":"Margo","non-dropping-particle":"","parse-names":false,"suffix":""}],"container-title":"Journal of Singing","id":"ITEM-2","issue":"3","issued":{"date-parts":[["2019"]]},"page":"353-357","title":"The art and skills of vocal coaching: Lessons in print from master coaches.","type":"article-journal","volume":"75"},"uris":["http://www.mendeley.com/documents/?uuid=311f5397-805b-4780-b043-03cbc682b2de"]},{"id":"ITEM-3","itemData":{"DOI":"10.1080/13603116.2017.1414578","ISSN":"14645173","abstract":"Inclusion has a high priority in education policy all over the world and teachers must be able to handle in practice increasing student diversity and the demands for creating an inclusive learning environment. In spite of the enhanced political focus, there is a lack of research focusing on how those teachers working with inclusion can be supported with more tangible and meaningful ways of understanding and developing inclusive classrooms. This article argues that seeing research in inclusion in close connection with research in effective teaching strategies and classroom management will contribute to an enrichment of the two research fields and give teachers and researchers new opportunities for developing more inclusive schools. Based on research focused on teaching strategies that support students’ opportunities for learning, four dimensions of inclusive teaching strategies are presented: a framing, a relational, a didactic and an organisational dimension. In addition, and in order to further understand teachers work with inclusive education in a more structural perspective, light is shed on the complexity that teachers are required to handle in practice. This complexity, among other things, entails dilemmas emerging from different agendas teachers often must handle themselves.","author":[{"dropping-particle":"","family":"Molbaek","given":"Mette","non-dropping-particle":"","parse-names":false,"suffix":""}],"container-title":"International Journal of Inclusive Education","id":"ITEM-3","issue":"10","issued":{"date-parts":[["2018"]]},"page":"1048-1061","publisher":"Taylor &amp; Francis","title":"Inclusive teaching strategies–dimensions and agendas","type":"article-journal","volume":"22"},"uris":["http://www.mendeley.com/documents/?uuid=542f940e-b6ac-4869-8130-c3b6e9be2a28"]},{"id":"ITEM-4","itemData":{"ISSN":"10867732","abstract":"The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Singing","id":"ITEM-4","issue":"4","issued":{"date-parts":[["2018"]]},"page":"405-414","title":"Critical Thought, Intrinsic Motivation, and the Voice Studio: Perspectives of Master Teachers.","type":"article-journal","volume":"74"},"uris":["http://www.mendeley.com/documents/?uuid=4030f552-7b94-4abf-bab4-c0b97b7babca"]},{"id":"ITEM-5","itemData":{"DOI":"10.18546/LRE.13.1.05","ISSN":"14748479","abstract":"The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Education","id":"ITEM-5","issue":"1","issued":{"date-parts":[["2015"]]},"page":"43-57","title":"Critical geragogy: A framework for facilitating older learners in community music","type":"article-journal","volume":"13"},"uris":["http://www.mendeley.com/documents/?uuid=fa50dd99-4e1e-44de-a3f2-30dd41815d00"]}],"mendeley":{"formattedCitation":"(Creech and Hallam, 2015; Molbaek, 2018; Stephenson, 2018; Garrett, 2019; Hogle, 2021)","plainTextFormattedCitation":"(Creech and Hallam, 2015; Molbaek, 2018; Stephenson, 2018; Garrett, 2019; Hogle, 2021)","previouslyFormattedCitation":"(Creech and Hallam, 2015; Molbaek, 2018; Stephenson, 2018; Garrett, 2019; Hogle, 2021)"},"properties":{"noteIndex":0},"schema":"https://github.com/citation-style-language/schema/raw/master/csl-citation.json"}</w:instrText>
      </w:r>
      <w:r>
        <w:rPr>
          <w:rFonts w:ascii="Arial" w:hAnsi="Arial" w:cs="Arial"/>
          <w:sz w:val="24"/>
          <w:szCs w:val="24"/>
        </w:rPr>
        <w:fldChar w:fldCharType="separate"/>
      </w:r>
      <w:r w:rsidRPr="00844060">
        <w:rPr>
          <w:rFonts w:ascii="Arial" w:hAnsi="Arial" w:cs="Arial"/>
          <w:noProof/>
          <w:sz w:val="24"/>
          <w:szCs w:val="24"/>
        </w:rPr>
        <w:t>(Creech and Hallam, 2015; Molbaek, 2018; Stephenson, 2018; Garrett, 2019; Hogle, 2021)</w:t>
      </w:r>
      <w:r>
        <w:rPr>
          <w:rFonts w:ascii="Arial" w:hAnsi="Arial" w:cs="Arial"/>
          <w:sz w:val="24"/>
          <w:szCs w:val="24"/>
        </w:rPr>
        <w:fldChar w:fldCharType="end"/>
      </w:r>
      <w:r>
        <w:rPr>
          <w:rFonts w:ascii="Arial" w:hAnsi="Arial" w:cs="Arial"/>
          <w:sz w:val="24"/>
          <w:szCs w:val="24"/>
        </w:rPr>
        <w:t>. Specific strategies regarding process</w:t>
      </w:r>
      <w:r w:rsidR="008B4851">
        <w:rPr>
          <w:rFonts w:ascii="Arial" w:hAnsi="Arial" w:cs="Arial"/>
          <w:sz w:val="24"/>
          <w:szCs w:val="24"/>
        </w:rPr>
        <w:t>-</w:t>
      </w:r>
      <w:r>
        <w:rPr>
          <w:rFonts w:ascii="Arial" w:hAnsi="Arial" w:cs="Arial"/>
          <w:sz w:val="24"/>
          <w:szCs w:val="24"/>
        </w:rPr>
        <w:t xml:space="preserve">led work and the teaching environment can </w:t>
      </w:r>
      <w:r w:rsidR="00A16618">
        <w:rPr>
          <w:rFonts w:ascii="Arial" w:hAnsi="Arial" w:cs="Arial"/>
          <w:sz w:val="24"/>
          <w:szCs w:val="24"/>
        </w:rPr>
        <w:t>be used by a teacher to form a</w:t>
      </w:r>
      <w:r w:rsidR="00D042F8">
        <w:rPr>
          <w:rFonts w:ascii="Arial" w:hAnsi="Arial" w:cs="Arial"/>
          <w:sz w:val="24"/>
          <w:szCs w:val="24"/>
        </w:rPr>
        <w:t>n approach which supports</w:t>
      </w:r>
      <w:r w:rsidR="00A16618">
        <w:rPr>
          <w:rFonts w:ascii="Arial" w:hAnsi="Arial" w:cs="Arial"/>
          <w:sz w:val="24"/>
          <w:szCs w:val="24"/>
        </w:rPr>
        <w:t xml:space="preserve"> self-efficacy </w:t>
      </w:r>
      <w:r w:rsidR="00D042F8">
        <w:rPr>
          <w:rFonts w:ascii="Arial" w:hAnsi="Arial" w:cs="Arial"/>
          <w:sz w:val="24"/>
          <w:szCs w:val="24"/>
        </w:rPr>
        <w:t>development</w:t>
      </w:r>
      <w:r w:rsidR="005832E2">
        <w:rPr>
          <w:rFonts w:ascii="Arial" w:hAnsi="Arial" w:cs="Arial"/>
          <w:sz w:val="24"/>
          <w:szCs w:val="24"/>
        </w:rPr>
        <w:t xml:space="preserve"> </w:t>
      </w:r>
      <w:r w:rsidR="005832E2">
        <w:rPr>
          <w:rFonts w:ascii="Arial" w:hAnsi="Arial" w:cs="Arial"/>
          <w:sz w:val="24"/>
          <w:szCs w:val="24"/>
        </w:rPr>
        <w:fldChar w:fldCharType="begin" w:fldLock="1"/>
      </w:r>
      <w:r w:rsidR="000A1CDB">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2021)","plainTextFormattedCitation":"(Hogle, 2021)","previouslyFormattedCitation":"(Hogle, 2021)"},"properties":{"noteIndex":0},"schema":"https://github.com/citation-style-language/schema/raw/master/csl-citation.json"}</w:instrText>
      </w:r>
      <w:r w:rsidR="005832E2">
        <w:rPr>
          <w:rFonts w:ascii="Arial" w:hAnsi="Arial" w:cs="Arial"/>
          <w:sz w:val="24"/>
          <w:szCs w:val="24"/>
        </w:rPr>
        <w:fldChar w:fldCharType="separate"/>
      </w:r>
      <w:r w:rsidR="005832E2" w:rsidRPr="005832E2">
        <w:rPr>
          <w:rFonts w:ascii="Arial" w:hAnsi="Arial" w:cs="Arial"/>
          <w:noProof/>
          <w:sz w:val="24"/>
          <w:szCs w:val="24"/>
        </w:rPr>
        <w:t>(Hogle, 2021)</w:t>
      </w:r>
      <w:r w:rsidR="005832E2">
        <w:rPr>
          <w:rFonts w:ascii="Arial" w:hAnsi="Arial" w:cs="Arial"/>
          <w:sz w:val="24"/>
          <w:szCs w:val="24"/>
        </w:rPr>
        <w:fldChar w:fldCharType="end"/>
      </w:r>
      <w:r w:rsidR="00D042F8">
        <w:rPr>
          <w:rFonts w:ascii="Arial" w:hAnsi="Arial" w:cs="Arial"/>
          <w:sz w:val="24"/>
          <w:szCs w:val="24"/>
        </w:rPr>
        <w:t xml:space="preserve">. </w:t>
      </w:r>
      <w:r w:rsidR="00996A3E">
        <w:rPr>
          <w:rFonts w:ascii="Arial" w:hAnsi="Arial" w:cs="Arial"/>
          <w:sz w:val="24"/>
          <w:szCs w:val="24"/>
        </w:rPr>
        <w:t>Self-efficacy knowledge and strategies can allow</w:t>
      </w:r>
      <w:r>
        <w:rPr>
          <w:rFonts w:ascii="Arial" w:hAnsi="Arial" w:cs="Arial"/>
          <w:sz w:val="24"/>
          <w:szCs w:val="24"/>
        </w:rPr>
        <w:t xml:space="preserve"> teachers to guide a singer to </w:t>
      </w:r>
      <w:r w:rsidR="007F35C7">
        <w:rPr>
          <w:rFonts w:ascii="Arial" w:hAnsi="Arial" w:cs="Arial"/>
          <w:sz w:val="24"/>
          <w:szCs w:val="24"/>
        </w:rPr>
        <w:t xml:space="preserve">the </w:t>
      </w:r>
      <w:r>
        <w:rPr>
          <w:rFonts w:ascii="Arial" w:hAnsi="Arial" w:cs="Arial"/>
          <w:sz w:val="24"/>
          <w:szCs w:val="24"/>
        </w:rPr>
        <w:t>mastery experiences</w:t>
      </w:r>
      <w:r w:rsidR="001B43B8">
        <w:rPr>
          <w:rFonts w:ascii="Arial" w:hAnsi="Arial" w:cs="Arial"/>
          <w:sz w:val="24"/>
          <w:szCs w:val="24"/>
        </w:rPr>
        <w:t xml:space="preserve"> which </w:t>
      </w:r>
      <w:r>
        <w:rPr>
          <w:rFonts w:ascii="Arial" w:hAnsi="Arial" w:cs="Arial"/>
          <w:sz w:val="24"/>
          <w:szCs w:val="24"/>
        </w:rPr>
        <w:t>pav</w:t>
      </w:r>
      <w:r w:rsidR="001B43B8">
        <w:rPr>
          <w:rFonts w:ascii="Arial" w:hAnsi="Arial" w:cs="Arial"/>
          <w:sz w:val="24"/>
          <w:szCs w:val="24"/>
        </w:rPr>
        <w:t>e</w:t>
      </w:r>
      <w:r>
        <w:rPr>
          <w:rFonts w:ascii="Arial" w:hAnsi="Arial" w:cs="Arial"/>
          <w:sz w:val="24"/>
          <w:szCs w:val="24"/>
        </w:rPr>
        <w:t xml:space="preserve"> the way to self-efficacy improvements </w:t>
      </w:r>
      <w:r>
        <w:rPr>
          <w:rFonts w:ascii="Arial" w:hAnsi="Arial" w:cs="Arial"/>
          <w:sz w:val="24"/>
          <w:szCs w:val="24"/>
        </w:rPr>
        <w:fldChar w:fldCharType="begin" w:fldLock="1"/>
      </w:r>
      <w:r>
        <w:rPr>
          <w:rFonts w:ascii="Arial" w:hAnsi="Arial" w:cs="Arial"/>
          <w:sz w:val="24"/>
          <w:szCs w:val="24"/>
        </w:rPr>
        <w:instrText>ADDIN CSL_CITATION {"citationItems":[{"id":"ITEM-1","itemData":{"DOI":"10.18546/LRE.13.1.05","ISSN":"14748479","abstract":"The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Education","id":"ITEM-1","issue":"1","issued":{"date-parts":[["2015"]]},"page":"43-57","title":"Critical geragogy: A framework for facilitating older learners in community music","type":"article-journal","volume":"13"},"uris":["http://www.mendeley.com/documents/?uuid=fa50dd99-4e1e-44de-a3f2-30dd41815d00"]},{"id":"ITEM-2","itemData":{"DOI":"10.1177/02557614221074057","ISBN":"0255761422107","ISSN":"1744795X","abstract":"Fostering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beliefs","type":"article-journal"},"uris":["http://www.mendeley.com/documents/?uuid=d1469298-0bbc-4c76-afcd-e0c4086da712"]},{"id":"ITEM-3","itemData":{"abstract":"Based on Bandura's theory that those who believe they can do what they set out to do are healthier, more efficient and more successful than those with low self-efficacy expectations. This theory has stimulated programs of research in education, clinicaland developmental psychology, medicine and related fields, athletics and business organization.","author":[{"dropping-particle":"","family":"Bandura","given":"Albert","non-dropping-particle":"","parse-names":false,"suffix":""}],"id":"ITEM-3","issued":{"date-parts":[["1997"]]},"publisher":"W.H.Freeman &amp; Co Ltd","publisher-place":"New York","title":"Self-efficacy : The Exercise of Control.","type":"book"},"uris":["http://www.mendeley.com/documents/?uuid=29014b0e-1932-4150-a247-953655b38468"]},{"id":"ITEM-4","itemData":{"ISBN":"10867732","PMID":"85987196","abstract":"The article focuses on the use of feedback and biofeedback in voice studio learning. It states that feedback is only helpful when necessary, with less frequent feedback being more effective. It comments that voice instructors should avoid overloading students with unnecessary information and to wait a few seconds before providing feedback so students can develop the ability to critically evaluate their performances. It talks about differences in prescriptive and descriptive feedback, along with disadvantages of each. It recommends keeping biofeedback in perspective and suggests while it can be beneficial, its use should receive the same consideration as other types of feedback.","author":[{"dropping-particle":"","family":"Maxfield","given":"Lynn","non-dropping-particle":"","parse-names":false,"suffix":""}],"container-title":"Journal of Singing","id":"ITEM-4","issue":"4","issued":{"date-parts":[["2013"]]},"page":"471-478","title":"Improve Your Students' Learning by Improving Your Feedback","type":"article-journal","volume":"69"},"uris":["http://www.mendeley.com/documents/?uuid=666bc0d7-3b6f-4772-b00d-e201036e218f"]}],"mendeley":{"formattedCitation":"(Bandura, 1997; Maxfield, 2013; Creech and Hallam, 2015; Lewis and Hendricks, 2022)","plainTextFormattedCitation":"(Bandura, 1997; Maxfield, 2013; Creech and Hallam, 2015; Lewis and Hendricks, 2022)","previouslyFormattedCitation":"(Bandura, 1997; Maxfield, 2013; Creech and Hallam, 2015; Lewis and Hendricks, 2022)"},"properties":{"noteIndex":0},"schema":"https://github.com/citation-style-language/schema/raw/master/csl-citation.json"}</w:instrText>
      </w:r>
      <w:r>
        <w:rPr>
          <w:rFonts w:ascii="Arial" w:hAnsi="Arial" w:cs="Arial"/>
          <w:sz w:val="24"/>
          <w:szCs w:val="24"/>
        </w:rPr>
        <w:fldChar w:fldCharType="separate"/>
      </w:r>
      <w:r w:rsidRPr="00A13D8B">
        <w:rPr>
          <w:rFonts w:ascii="Arial" w:hAnsi="Arial" w:cs="Arial"/>
          <w:noProof/>
          <w:sz w:val="24"/>
          <w:szCs w:val="24"/>
        </w:rPr>
        <w:t>(Bandura, 1997; Maxfield, 2013; Creech and Hallam, 2015; Lewis and Hendricks, 2022)</w:t>
      </w:r>
      <w:r>
        <w:rPr>
          <w:rFonts w:ascii="Arial" w:hAnsi="Arial" w:cs="Arial"/>
          <w:sz w:val="24"/>
          <w:szCs w:val="24"/>
        </w:rPr>
        <w:fldChar w:fldCharType="end"/>
      </w:r>
      <w:r>
        <w:rPr>
          <w:rFonts w:ascii="Arial" w:hAnsi="Arial" w:cs="Arial"/>
          <w:sz w:val="24"/>
          <w:szCs w:val="24"/>
        </w:rPr>
        <w:t xml:space="preserve">. Mindfulness training of teachers and students shows evidence in support of many aspects of singing development including aiding skills which support self-efficacy improvements </w:t>
      </w:r>
      <w:r>
        <w:rPr>
          <w:rFonts w:ascii="Arial" w:hAnsi="Arial" w:cs="Arial"/>
          <w:sz w:val="24"/>
          <w:szCs w:val="24"/>
        </w:rPr>
        <w:fldChar w:fldCharType="begin" w:fldLock="1"/>
      </w:r>
      <w:r>
        <w:rPr>
          <w:rFonts w:ascii="Arial" w:hAnsi="Arial" w:cs="Arial"/>
          <w:sz w:val="24"/>
          <w:szCs w:val="24"/>
        </w:rPr>
        <w:instrText>ADDIN CSL_CITATION {"citationItems":[{"id":"ITEM-1","itemData":{"ISSN":"1086-7732","abstract":"The author examines the relationship between singing and mindfulness. According to the author, mindfulness is a way for individuals to pay attention to their present moment experience without judging the moment or becoming attached to it. She presents a brief historical overview of mindfulness, which is derived from Buddhist thought and practice, and discusses ways in which mindfulness training is beneficial to singing. Also discussed is the advantage singers have over non-singers in practicing mindfulness, the technique of mindfulness meditation, which includes the awareness of posture and breath, and the impact of thoughts and emotions on an individual's mindfulness state.","author":[{"dropping-particle":"","family":"Elliott","given":"Martha","non-dropping-particle":"","parse-names":false,"suffix":""}],"container-title":"Journal of Singing","id":"ITEM-1","issue":"1","issued":{"date-parts":[["2010"]]},"page":"35","title":"Singing and Mindfulness","type":"article-journal","volume":"67"},"uris":["http://www.mendeley.com/documents/?uuid=bb99926d-5cf4-40fd-8ade-6b444bf15ddf"]},{"id":"ITEM-2","itemData":{"DOI":"10.1017/S0265051715000145","ISBN":"0265051715000","ISSN":"14692104","abstract":"This paper reports the development and implementation of a unique Mindfulness for Singers (MfS) course designed to improve singers' vocal technique. Eight university students completed the intervention. Five Facet Mindfulness Questionnaire (FFMQ) scores showed general improvement across all five facets of mindfulness. Qualitative results showed benefits of daily mindfulness exercises on breathing, micro-muscular awareness, vocal tone, text communication and problem solving. Exercises also positively affected teacher/pupil relationships, concentration and focus in lessons and practice. Teachers identified six of the eight participants in a blind controlled study indicating that vocal students at any level would benefit greatly from a mindfulness course as a holistic intervention.","author":[{"dropping-particle":"","family":"Czajkowski","given":"Anne Marie L.","non-dropping-particle":"","parse-names":false,"suffix":""},{"dropping-particle":"","family":"Greasley","given":"Alinka E.","non-dropping-particle":"","parse-names":false,"suffix":""}],"container-title":"British Journal of Music Education","id":"ITEM-2","issue":"2","issued":{"date-parts":[["2015"]]},"page":"211-233","title":"Mindfulness for singers: The effects of a targeted mindfulness course on learning vocal technique","type":"article-journal","volume":"32"},"uris":["http://www.mendeley.com/documents/?uuid=ce43866b-d012-45af-a3f0-36cbd79f1965"]},{"id":"ITEM-3","itemData":{"DOI":"10.1177/1321103X20930426","ISSN":"18345530","abstract":"The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Education","id":"ITEM-3","issue":"2","issued":{"date-parts":[["2021"]]},"page":"179-194","title":"Fostering singing agency through emotional differentiation in an inclusive singing environment","type":"article-journal","volume":"43"},"uris":["http://www.mendeley.com/documents/?uuid=df4ddb6b-d417-411f-9261-d87aba0aa367"]},{"id":"ITEM-4","itemData":{"DOI":"10.18546/LRE.13.1.05","ISSN":"14748479","abstract":"The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Education","id":"ITEM-4","issue":"1","issued":{"date-parts":[["2015"]]},"page":"43-57","title":"Critical geragogy: A framework for facilitating older learners in community music","type":"article-journal","volume":"13"},"uris":["http://www.mendeley.com/documents/?uuid=fa50dd99-4e1e-44de-a3f2-30dd41815d00"]}],"mendeley":{"formattedCitation":"(Elliott, 2010; Creech and Hallam, 2015; Czajkowski and Greasley, 2015; Hogle, 2021)","plainTextFormattedCitation":"(Elliott, 2010; Creech and Hallam, 2015; Czajkowski and Greasley, 2015; Hogle, 2021)","previouslyFormattedCitation":"(Elliott, 2010; Creech and Hallam, 2015; Czajkowski and Greasley, 2015; Hogle, 2021)"},"properties":{"noteIndex":0},"schema":"https://github.com/citation-style-language/schema/raw/master/csl-citation.json"}</w:instrText>
      </w:r>
      <w:r>
        <w:rPr>
          <w:rFonts w:ascii="Arial" w:hAnsi="Arial" w:cs="Arial"/>
          <w:sz w:val="24"/>
          <w:szCs w:val="24"/>
        </w:rPr>
        <w:fldChar w:fldCharType="separate"/>
      </w:r>
      <w:r w:rsidRPr="00A214CF">
        <w:rPr>
          <w:rFonts w:ascii="Arial" w:hAnsi="Arial" w:cs="Arial"/>
          <w:noProof/>
          <w:sz w:val="24"/>
          <w:szCs w:val="24"/>
        </w:rPr>
        <w:t>(Elliott, 2010; Creech and Hallam, 2015; Czajkowski and Greasley, 2015; Hogle, 2021)</w:t>
      </w:r>
      <w:r>
        <w:rPr>
          <w:rFonts w:ascii="Arial" w:hAnsi="Arial" w:cs="Arial"/>
          <w:sz w:val="24"/>
          <w:szCs w:val="24"/>
        </w:rPr>
        <w:fldChar w:fldCharType="end"/>
      </w:r>
      <w:r>
        <w:rPr>
          <w:rFonts w:ascii="Arial" w:hAnsi="Arial" w:cs="Arial"/>
          <w:sz w:val="24"/>
          <w:szCs w:val="24"/>
        </w:rPr>
        <w:t xml:space="preserve">. </w:t>
      </w:r>
      <w:r w:rsidR="0081619A">
        <w:rPr>
          <w:rFonts w:ascii="Arial" w:hAnsi="Arial" w:cs="Arial"/>
          <w:sz w:val="24"/>
          <w:szCs w:val="24"/>
        </w:rPr>
        <w:br w:type="page"/>
      </w:r>
    </w:p>
    <w:p w14:paraId="02C82651" w14:textId="77777777" w:rsidR="007E3B8B" w:rsidRPr="00756B91" w:rsidRDefault="007E3B8B" w:rsidP="00756B91">
      <w:pPr>
        <w:spacing w:line="360" w:lineRule="auto"/>
        <w:rPr>
          <w:rFonts w:ascii="Arial" w:hAnsi="Arial" w:cs="Arial"/>
          <w:b/>
          <w:bCs/>
          <w:sz w:val="24"/>
          <w:szCs w:val="24"/>
        </w:rPr>
      </w:pPr>
      <w:r w:rsidRPr="00756B91">
        <w:rPr>
          <w:rFonts w:ascii="Arial" w:hAnsi="Arial" w:cs="Arial"/>
          <w:b/>
          <w:bCs/>
          <w:sz w:val="24"/>
          <w:szCs w:val="24"/>
        </w:rPr>
        <w:lastRenderedPageBreak/>
        <w:t>Critical reflection:</w:t>
      </w:r>
    </w:p>
    <w:p w14:paraId="5372AA12" w14:textId="5BFF074F" w:rsidR="007E3B8B" w:rsidRPr="00CC04A8" w:rsidRDefault="007E3B8B" w:rsidP="00756B91">
      <w:pPr>
        <w:spacing w:line="360" w:lineRule="auto"/>
        <w:jc w:val="both"/>
        <w:rPr>
          <w:rFonts w:ascii="Arial" w:hAnsi="Arial" w:cs="Arial"/>
          <w:color w:val="000000"/>
          <w:sz w:val="24"/>
          <w:szCs w:val="24"/>
        </w:rPr>
      </w:pPr>
      <w:r>
        <w:rPr>
          <w:rFonts w:ascii="Arial" w:hAnsi="Arial" w:cs="Arial"/>
          <w:color w:val="000000"/>
          <w:sz w:val="24"/>
          <w:szCs w:val="24"/>
        </w:rPr>
        <w:t xml:space="preserve">I will analyse this research, the methodologies, the impact on my teaching, and any potential for a broader impact using a model which takes critical reflection questions from Middleton </w:t>
      </w:r>
      <w:r w:rsidRPr="007A3490">
        <w:rPr>
          <w:rFonts w:ascii="Arial" w:hAnsi="Arial" w:cs="Arial"/>
          <w:i/>
          <w:iCs/>
          <w:color w:val="000000"/>
          <w:sz w:val="24"/>
          <w:szCs w:val="24"/>
        </w:rPr>
        <w:t>et al.</w:t>
      </w:r>
      <w:r w:rsidRPr="00756B91">
        <w:rPr>
          <w:rFonts w:ascii="Arial" w:hAnsi="Arial" w:cs="Arial"/>
          <w:color w:val="000000"/>
          <w:sz w:val="24"/>
          <w:szCs w:val="24"/>
        </w:rPr>
        <w:t xml:space="preserve"> </w:t>
      </w:r>
      <w:r w:rsidRPr="00756B91">
        <w:rPr>
          <w:rFonts w:ascii="Arial" w:hAnsi="Arial" w:cs="Arial"/>
          <w:color w:val="000000"/>
          <w:sz w:val="24"/>
          <w:szCs w:val="24"/>
        </w:rPr>
        <w:fldChar w:fldCharType="begin" w:fldLock="1"/>
      </w:r>
      <w:r>
        <w:rPr>
          <w:rFonts w:ascii="Arial" w:hAnsi="Arial" w:cs="Arial"/>
          <w:color w:val="000000"/>
          <w:sz w:val="24"/>
          <w:szCs w:val="24"/>
        </w:rPr>
        <w:instrText>ADDIN CSL_CITATION {"citationItems":[{"id":"ITEM-1","itemData":{"DOI":"10.4324/9780429455407-25","abstract":"Infection of sheep with Brucella ovis results in ovine brucellosis, a disease characterized by infertility in rams, abortion in ewes and increased perinatal mortality in lambs. During the course of the infection both the ovine immune response and host cell gene expression are modified. The objective of this research was to conduct a preliminary characterization of differential gene expression in rams experimentally infected with B. ovis by microarray hybridization and real-time RT-PCR. Of the 600 ruminant inflammatory and immune response genes that were analyzed in the microarray, 20 and 14 genes displayed an expression fold change &gt;1.75 with a P-value &lt;0.05 at 15 and 60 days post-challenge (dpc), respectively. Of these genes, 16 were upregulated and 4 were downregulated in infected rams at 15 dpc. At 60 dpc, 11 and 3 genes were up- and down-regulated in infected rams, respectively. Only four genes, desmoglein, epithelial sodium channel, alpha subunit (ENaC-alpha), interleukin 18 binding protein (IL18BP) and macrophage migration inhibition factor (MIF) were found upregulated in infected rams at both 15 and 60 dpc. The analysis of differentially expressed genes demonstrated activation of inflammatory and innate immune pathways in infected animals. B. ovis infection also resulted in upregulation of genes involved in phagocytosis and downregulation of protective host defense mechanisms, both of which may contribute to the chronicity of B. ovis infection. The gene expression profiles differed between rams with severe and moderate B. ovis infection. This is the first analysis of differential gene expression in rough brucellae and particularly in B. ovis-infected rams. The characterization of the genes and their expression profiles in response to B. ovis infection further contributes to our understanding of the molecular mechanisms of infection and the pathogenesis of brucellosis. ¬© 2008 Elsevier B.V. All rights reserved.","author":[{"dropping-particle":"","family":"Middleton","given":"Tristan","non-dropping-particle":"","parse-names":false,"suffix":""},{"dropping-particle":"","family":"Kay","given":"Lynda","non-dropping-particle":"","parse-names":false,"suffix":""},{"dropping-particle":"","family":"Middleton","given":"Tristan","non-dropping-particle":"","parse-names":false,"suffix":""},{"dropping-particle":"","family":"Kay","given":"Lynda","non-dropping-particle":"","parse-names":false,"suffix":""}],"container-title":"Using an Inclusive Approach to Reduce School Exclusion","id":"ITEM-1","issued":{"date-parts":[["2019"]]},"page":"199-208","title":"Framework for Reflection","type":"article-journal"},"uris":["http://www.mendeley.com/documents/?uuid=1e064446-beeb-49e6-84a3-bc56fc841d2f"]}],"mendeley":{"formattedCitation":"(Middleton &lt;i&gt;et al.&lt;/i&gt;, 2019)","manualFormatting":"(2019)","plainTextFormattedCitation":"(Middleton et al., 2019)","previouslyFormattedCitation":"(Middleton &lt;i&gt;et al.&lt;/i&gt;, 2019)"},"properties":{"noteIndex":0},"schema":"https://github.com/citation-style-language/schema/raw/master/csl-citation.json"}</w:instrText>
      </w:r>
      <w:r w:rsidRPr="00756B91">
        <w:rPr>
          <w:rFonts w:ascii="Arial" w:hAnsi="Arial" w:cs="Arial"/>
          <w:color w:val="000000"/>
          <w:sz w:val="24"/>
          <w:szCs w:val="24"/>
        </w:rPr>
        <w:fldChar w:fldCharType="separate"/>
      </w:r>
      <w:r w:rsidRPr="00756B91">
        <w:rPr>
          <w:rFonts w:ascii="Arial" w:hAnsi="Arial" w:cs="Arial"/>
          <w:noProof/>
          <w:color w:val="000000"/>
          <w:sz w:val="24"/>
          <w:szCs w:val="24"/>
        </w:rPr>
        <w:t>(2019)</w:t>
      </w:r>
      <w:r w:rsidRPr="00756B91">
        <w:rPr>
          <w:rFonts w:ascii="Arial" w:hAnsi="Arial" w:cs="Arial"/>
          <w:color w:val="000000"/>
          <w:sz w:val="24"/>
          <w:szCs w:val="24"/>
        </w:rPr>
        <w:fldChar w:fldCharType="end"/>
      </w:r>
      <w:r w:rsidRPr="00756B91">
        <w:rPr>
          <w:rFonts w:ascii="Arial" w:hAnsi="Arial" w:cs="Arial"/>
          <w:color w:val="000000"/>
          <w:sz w:val="24"/>
          <w:szCs w:val="24"/>
        </w:rPr>
        <w:t xml:space="preserve"> </w:t>
      </w:r>
      <w:r>
        <w:rPr>
          <w:rFonts w:ascii="Arial" w:hAnsi="Arial" w:cs="Arial"/>
          <w:color w:val="000000"/>
          <w:sz w:val="24"/>
          <w:szCs w:val="24"/>
        </w:rPr>
        <w:t>and blends them</w:t>
      </w:r>
      <w:r w:rsidRPr="00756B91">
        <w:rPr>
          <w:rFonts w:ascii="Arial" w:hAnsi="Arial" w:cs="Arial"/>
          <w:color w:val="000000"/>
          <w:sz w:val="24"/>
          <w:szCs w:val="24"/>
        </w:rPr>
        <w:t xml:space="preserve"> into the Gibb’s cycle of self-reflection </w:t>
      </w:r>
      <w:r w:rsidRPr="00756B91">
        <w:rPr>
          <w:rFonts w:ascii="Arial" w:hAnsi="Arial" w:cs="Arial"/>
          <w:color w:val="000000"/>
          <w:sz w:val="24"/>
          <w:szCs w:val="24"/>
        </w:rPr>
        <w:fldChar w:fldCharType="begin" w:fldLock="1"/>
      </w:r>
      <w:r w:rsidRPr="00756B91">
        <w:rPr>
          <w:rFonts w:ascii="Arial" w:hAnsi="Arial" w:cs="Arial"/>
          <w:color w:val="000000"/>
          <w:sz w:val="24"/>
          <w:szCs w:val="24"/>
        </w:rPr>
        <w:instrText>ADDIN CSL_CITATION {"citationItems":[{"id":"ITEM-1","itemData":{"abstract":"Gibbs’ reflective cycle encourages you to think systematically about the phases of an experience or activity, and you should use all the headings to structure your reflection. See how we have used Gibbs' reflective cycle in our Health Visitor example . Forgotten the Health Visitor example?","author":[{"dropping-particle":"","family":"Gibbs","given":"","non-dropping-particle":"","parse-names":false,"suffix":""}],"container-title":"Academic Liasion, Employability and Skills (ALES)","id":"ITEM-1","issued":{"date-parts":[["1988"]]},"page":"1-4","title":"Reflective Cycle","type":"article-journal"},"uris":["http://www.mendeley.com/documents/?uuid=8e782df3-33a2-47fc-a950-29df34aeee74"]}],"mendeley":{"formattedCitation":"(Gibbs, 1988)","plainTextFormattedCitation":"(Gibbs, 1988)","previouslyFormattedCitation":"(Gibbs, 1988)"},"properties":{"noteIndex":0},"schema":"https://github.com/citation-style-language/schema/raw/master/csl-citation.json"}</w:instrText>
      </w:r>
      <w:r w:rsidRPr="00756B91">
        <w:rPr>
          <w:rFonts w:ascii="Arial" w:hAnsi="Arial" w:cs="Arial"/>
          <w:color w:val="000000"/>
          <w:sz w:val="24"/>
          <w:szCs w:val="24"/>
        </w:rPr>
        <w:fldChar w:fldCharType="separate"/>
      </w:r>
      <w:r w:rsidRPr="00756B91">
        <w:rPr>
          <w:rFonts w:ascii="Arial" w:hAnsi="Arial" w:cs="Arial"/>
          <w:noProof/>
          <w:color w:val="000000"/>
          <w:sz w:val="24"/>
          <w:szCs w:val="24"/>
        </w:rPr>
        <w:t>(Gibbs, 1988)</w:t>
      </w:r>
      <w:r w:rsidRPr="00756B91">
        <w:rPr>
          <w:rFonts w:ascii="Arial" w:hAnsi="Arial" w:cs="Arial"/>
          <w:color w:val="000000"/>
          <w:sz w:val="24"/>
          <w:szCs w:val="24"/>
        </w:rPr>
        <w:fldChar w:fldCharType="end"/>
      </w:r>
      <w:r>
        <w:rPr>
          <w:rFonts w:ascii="Arial" w:hAnsi="Arial" w:cs="Arial"/>
          <w:color w:val="000000"/>
          <w:sz w:val="24"/>
          <w:szCs w:val="24"/>
        </w:rPr>
        <w:t>.</w:t>
      </w:r>
      <w:r w:rsidR="00C273EA">
        <w:rPr>
          <w:rFonts w:ascii="Arial" w:hAnsi="Arial" w:cs="Arial"/>
          <w:color w:val="000000"/>
          <w:sz w:val="24"/>
          <w:szCs w:val="24"/>
        </w:rPr>
        <w:t xml:space="preserve"> </w:t>
      </w:r>
      <w:r w:rsidR="00CC04A8">
        <w:rPr>
          <w:rFonts w:ascii="Arial" w:hAnsi="Arial" w:cs="Arial"/>
          <w:color w:val="000000"/>
          <w:sz w:val="24"/>
          <w:szCs w:val="24"/>
        </w:rPr>
        <w:t xml:space="preserve">This </w:t>
      </w:r>
      <w:r w:rsidR="00CC04A8" w:rsidRPr="00CC04A8">
        <w:rPr>
          <w:rFonts w:ascii="Arial" w:hAnsi="Arial" w:cs="Arial"/>
          <w:b/>
          <w:bCs/>
          <w:i/>
          <w:iCs/>
          <w:color w:val="000000"/>
          <w:sz w:val="24"/>
          <w:szCs w:val="24"/>
        </w:rPr>
        <w:t>reflective model</w:t>
      </w:r>
      <w:r w:rsidR="00CC04A8">
        <w:rPr>
          <w:rFonts w:ascii="Arial" w:hAnsi="Arial" w:cs="Arial"/>
          <w:b/>
          <w:bCs/>
          <w:i/>
          <w:iCs/>
          <w:color w:val="000000"/>
          <w:sz w:val="24"/>
          <w:szCs w:val="24"/>
        </w:rPr>
        <w:t xml:space="preserve"> </w:t>
      </w:r>
      <w:r w:rsidR="00CC04A8">
        <w:rPr>
          <w:rFonts w:ascii="Arial" w:hAnsi="Arial" w:cs="Arial"/>
          <w:color w:val="000000"/>
          <w:sz w:val="24"/>
          <w:szCs w:val="24"/>
        </w:rPr>
        <w:t xml:space="preserve">has formed the structure behind the </w:t>
      </w:r>
      <w:r w:rsidR="00E26277">
        <w:rPr>
          <w:rFonts w:ascii="Arial" w:hAnsi="Arial" w:cs="Arial"/>
          <w:color w:val="000000"/>
          <w:sz w:val="24"/>
          <w:szCs w:val="24"/>
        </w:rPr>
        <w:t>following reflections.</w:t>
      </w:r>
    </w:p>
    <w:p w14:paraId="7E57B23A" w14:textId="77777777" w:rsidR="00BD2F0C" w:rsidRDefault="007E3B8B" w:rsidP="00756B91">
      <w:pPr>
        <w:spacing w:line="360" w:lineRule="auto"/>
        <w:jc w:val="both"/>
        <w:rPr>
          <w:rFonts w:ascii="Arial" w:hAnsi="Arial" w:cs="Arial"/>
          <w:sz w:val="24"/>
          <w:szCs w:val="24"/>
        </w:rPr>
      </w:pPr>
      <w:r>
        <w:rPr>
          <w:rFonts w:ascii="Arial" w:hAnsi="Arial" w:cs="Arial"/>
          <w:sz w:val="24"/>
          <w:szCs w:val="24"/>
        </w:rPr>
        <w:t xml:space="preserve">The research into self-efficacy stemmed from my interest in the connections between the inner workings of students and the impact of that on the learning process. </w:t>
      </w:r>
      <w:r w:rsidR="0029214C">
        <w:rPr>
          <w:rFonts w:ascii="Arial" w:hAnsi="Arial" w:cs="Arial"/>
          <w:sz w:val="24"/>
          <w:szCs w:val="24"/>
        </w:rPr>
        <w:t>I</w:t>
      </w:r>
      <w:r>
        <w:rPr>
          <w:rFonts w:ascii="Arial" w:hAnsi="Arial" w:cs="Arial"/>
          <w:sz w:val="24"/>
          <w:szCs w:val="24"/>
        </w:rPr>
        <w:t>ncreasing</w:t>
      </w:r>
      <w:r w:rsidR="00D35673">
        <w:rPr>
          <w:rFonts w:ascii="Arial" w:hAnsi="Arial" w:cs="Arial"/>
          <w:sz w:val="24"/>
          <w:szCs w:val="24"/>
        </w:rPr>
        <w:t xml:space="preserve"> my</w:t>
      </w:r>
      <w:r>
        <w:rPr>
          <w:rFonts w:ascii="Arial" w:hAnsi="Arial" w:cs="Arial"/>
          <w:sz w:val="24"/>
          <w:szCs w:val="24"/>
        </w:rPr>
        <w:t xml:space="preserve"> understanding of any aspect of the teaching and learning process can lead to improvements in </w:t>
      </w:r>
      <w:r w:rsidR="00D35673">
        <w:rPr>
          <w:rFonts w:ascii="Arial" w:hAnsi="Arial" w:cs="Arial"/>
          <w:sz w:val="24"/>
          <w:szCs w:val="24"/>
        </w:rPr>
        <w:t>my</w:t>
      </w:r>
      <w:r>
        <w:rPr>
          <w:rFonts w:ascii="Arial" w:hAnsi="Arial" w:cs="Arial"/>
          <w:sz w:val="24"/>
          <w:szCs w:val="24"/>
        </w:rPr>
        <w:t xml:space="preserve"> approach and</w:t>
      </w:r>
      <w:r w:rsidR="00ED0B8E">
        <w:rPr>
          <w:rFonts w:ascii="Arial" w:hAnsi="Arial" w:cs="Arial"/>
          <w:sz w:val="24"/>
          <w:szCs w:val="24"/>
        </w:rPr>
        <w:t xml:space="preserve"> the</w:t>
      </w:r>
      <w:r>
        <w:rPr>
          <w:rFonts w:ascii="Arial" w:hAnsi="Arial" w:cs="Arial"/>
          <w:sz w:val="24"/>
          <w:szCs w:val="24"/>
        </w:rPr>
        <w:t xml:space="preserve"> learning </w:t>
      </w:r>
      <w:r w:rsidR="00ED0B8E">
        <w:rPr>
          <w:rFonts w:ascii="Arial" w:hAnsi="Arial" w:cs="Arial"/>
          <w:sz w:val="24"/>
          <w:szCs w:val="24"/>
        </w:rPr>
        <w:t xml:space="preserve">of my students </w:t>
      </w:r>
      <w:r>
        <w:rPr>
          <w:rFonts w:ascii="Arial" w:hAnsi="Arial" w:cs="Arial"/>
          <w:sz w:val="24"/>
          <w:szCs w:val="24"/>
        </w:rPr>
        <w:fldChar w:fldCharType="begin" w:fldLock="1"/>
      </w:r>
      <w:r>
        <w:rPr>
          <w:rFonts w:ascii="Arial" w:hAnsi="Arial" w:cs="Arial"/>
          <w:sz w:val="24"/>
          <w:szCs w:val="24"/>
        </w:rPr>
        <w:instrText>ADDIN CSL_CITATION {"citationItems":[{"id":"ITEM-1","itemData":{"ISSN":"10867732","abstract":"The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Singing","id":"ITEM-1","issue":"4","issued":{"date-parts":[["2018"]]},"page":"405-414","title":"Critical Thought, Intrinsic Motivation, and the Voice Studio: Perspectives of Master Teachers.","type":"article-journal","volume":"74"},"uris":["http://www.mendeley.com/documents/?uuid=4030f552-7b94-4abf-bab4-c0b97b7babca"]}],"mendeley":{"formattedCitation":"(Stephenson, 2018)","plainTextFormattedCitation":"(Stephenson, 2018)","previouslyFormattedCitation":"(Stephenson, 2018)"},"properties":{"noteIndex":0},"schema":"https://github.com/citation-style-language/schema/raw/master/csl-citation.json"}</w:instrText>
      </w:r>
      <w:r>
        <w:rPr>
          <w:rFonts w:ascii="Arial" w:hAnsi="Arial" w:cs="Arial"/>
          <w:sz w:val="24"/>
          <w:szCs w:val="24"/>
        </w:rPr>
        <w:fldChar w:fldCharType="separate"/>
      </w:r>
      <w:r w:rsidRPr="000C514F">
        <w:rPr>
          <w:rFonts w:ascii="Arial" w:hAnsi="Arial" w:cs="Arial"/>
          <w:noProof/>
          <w:sz w:val="24"/>
          <w:szCs w:val="24"/>
        </w:rPr>
        <w:t>(Stephenson, 2018)</w:t>
      </w:r>
      <w:r>
        <w:rPr>
          <w:rFonts w:ascii="Arial" w:hAnsi="Arial" w:cs="Arial"/>
          <w:sz w:val="24"/>
          <w:szCs w:val="24"/>
        </w:rPr>
        <w:fldChar w:fldCharType="end"/>
      </w:r>
      <w:r>
        <w:rPr>
          <w:rFonts w:ascii="Arial" w:hAnsi="Arial" w:cs="Arial"/>
          <w:sz w:val="24"/>
          <w:szCs w:val="24"/>
        </w:rPr>
        <w:t xml:space="preserve">. </w:t>
      </w:r>
    </w:p>
    <w:p w14:paraId="70F35AAA" w14:textId="65094E7A" w:rsidR="007E3B8B" w:rsidRPr="00756B91" w:rsidRDefault="007E3B8B" w:rsidP="00756B91">
      <w:pPr>
        <w:spacing w:line="360" w:lineRule="auto"/>
        <w:jc w:val="both"/>
        <w:rPr>
          <w:rFonts w:ascii="Arial" w:hAnsi="Arial" w:cs="Arial"/>
          <w:b/>
          <w:color w:val="000000"/>
          <w:sz w:val="24"/>
          <w:szCs w:val="24"/>
        </w:rPr>
      </w:pPr>
      <w:r>
        <w:rPr>
          <w:rFonts w:ascii="Arial" w:hAnsi="Arial" w:cs="Arial"/>
          <w:sz w:val="24"/>
          <w:szCs w:val="24"/>
        </w:rPr>
        <w:t xml:space="preserve">At the beginning of this work, I had not anticipated my training and knowledge of mindfulness </w:t>
      </w:r>
      <w:r w:rsidR="00EA64B1">
        <w:rPr>
          <w:rFonts w:ascii="Arial" w:hAnsi="Arial" w:cs="Arial"/>
          <w:sz w:val="24"/>
          <w:szCs w:val="24"/>
        </w:rPr>
        <w:t>would</w:t>
      </w:r>
      <w:r>
        <w:rPr>
          <w:rFonts w:ascii="Arial" w:hAnsi="Arial" w:cs="Arial"/>
          <w:sz w:val="24"/>
          <w:szCs w:val="24"/>
        </w:rPr>
        <w:t xml:space="preserve"> connect with self-efficacy which I understood to be from the fields of psychology, coaching, and teaching </w:t>
      </w:r>
      <w:r>
        <w:rPr>
          <w:rFonts w:ascii="Arial" w:hAnsi="Arial" w:cs="Arial"/>
          <w:sz w:val="24"/>
          <w:szCs w:val="24"/>
        </w:rPr>
        <w:fldChar w:fldCharType="begin" w:fldLock="1"/>
      </w:r>
      <w:r>
        <w:rPr>
          <w:rFonts w:ascii="Arial" w:hAnsi="Arial" w:cs="Arial"/>
          <w:sz w:val="24"/>
          <w:szCs w:val="24"/>
        </w:rPr>
        <w:instrText>ADDIN CSL_CITATION {"citationItems":[{"id":"ITEM-1","itemData":{"abstract":"Based on Bandura's theory that those who believe they can do what they set out to do are healthier, more efficient and more successful than those with low self-efficacy expectations. This theory has stimulated programs of research in education, clinicaland developmental psychology, medicine and related fields, athletics and business organization.","author":[{"dropping-particle":"","family":"Bandura","given":"Albert","non-dropping-particle":"","parse-names":false,"suffix":""}],"id":"ITEM-1","issued":{"date-parts":[["1997"]]},"publisher":"W.H.Freeman &amp; Co Ltd","publisher-place":"New York","title":"Self-efficacy : The Exercise of Control.","type":"book"},"uris":["http://www.mendeley.com/documents/?uuid=29014b0e-1932-4150-a247-953655b38468"]},{"id":"ITEM-2","itemData":{"DOI":"10.1016/j.system.2005.12.002","ISSN":"0346251X","abstract":"The goal of the study was to test whether student teachers trained using a peer coaching training program after teaching practicum sessions in teaching of English as a foreign language would demonstrate greater improvement on measures of a number of identified instructional skills and self-efficacy than those just receiving traditional supervisor visits. Two groups of student teachers (32 in total) from English language teaching Department of European University of Lefke, North Cyprus doing their Teaching Practicum course (EDU 420) as part of a B.A. teacher education program were compared in regard to their (a) self-efficacy, and (b) development of (clarity) instructional skills. Results showed statistically significant differences in favor of the experimental condition on 7 variables measured. The findings also have implications for how peer coaching can be a vehicle to develop self-efficacy. © 2006 Elsevier Ltd. All rights reserved.","author":[{"dropping-particle":"","family":"Goker","given":"Suleyman Davut","non-dropping-particle":"","parse-names":false,"suffix":""}],"container-title":"System","id":"ITEM-2","issue":"2","issued":{"date-parts":[["2006"]]},"page":"239-254","title":"Impact of peer coaching on self-efficacy and instructional skills in TEFL teacher education","type":"article-journal","volume":"34"},"uris":["http://www.mendeley.com/documents/?uuid=3d58296e-687a-4eda-804d-05c65210b6fb"]},{"id":"ITEM-3","itemData":{"DOI":"10.1080/1046560X.2021.1965751","ISSN":"15731847","abstract":"Elementary students’ interest in science and careers in STEM are typically associated with their curiosity along with engagement in science activities and whether they find these activities to be fun, exciting, and enjoyable. Thus, early exposure of elementary students to STEM lessons must be engaging and enjoyable, which in turn increases the students’ awareness and interests in these fields. Elementary school teachers are typically a major influence on their students’ attitudes toward STEM. However, many elementary teachers have negative or unfavorable attitudes toward STEM areas. Consequently, many elementary students receive science instruction only a few days a week or only during some weeks of the year. This study aimed to enhance elementary teachers’ interest, knowledge, and self-efficacy in teaching science that, in turn, will effectively build their students’ interest in STEM areas. To accomplish this goal, we developed a PD program that consists of practice-based interventions with inquiry-based science curricula and instructional models. Then, we examined the effects of the interventions within the PD program, a practice-based summer workshop, and distance-based instructional coaching. We also investigated the effects of the instructional coaching delivered by two different types of coaches, peer elementary teacher vs. high-school science teacher, on the elementary teachers’ inquiry-based instructional practices.","author":[{"dropping-particle":"","family":"Lee","given":"Soon C.","non-dropping-particle":"","parse-names":false,"suffix":""},{"dropping-particle":"","family":"Jack","given":"Ashlie R.","non-dropping-particle":"","parse-names":false,"suffix":""},{"dropping-particle":"","family":"Novacek","given":"Greg","non-dropping-particle":"","parse-names":false,"suffix":""}],"container-title":"Journal of Science Teacher Education","id":"ITEM-3","issue":"5","issued":{"date-parts":[["2022"]]},"page":"509-530","publisher":"Routledge","title":"PD with Distance-Based Instructional Coaching to Improve Elementary Teacher’ Self-Efficacy in Teaching Science","type":"article-journal","volume":"33"},"uris":["http://www.mendeley.com/documents/?uuid=0b8b9001-eefa-4c6f-a7b9-d8021af4b11f"]},{"id":"ITEM-4","itemData":{"DOI":"10.1007/s11365-008-0078-z","ISSN":"15547191","abstract":"Increasingly companies seek to enhance employee entrepreneurial behaviour. In this study we explore how coaching first reduces role conflicts associated with acting entrepreneurial and at the same time improving efficiency and reducing failure and secondly increases the entrepreneurial self-efficacy of employees. Building on previous conceptual and empirical studies on intrapreneurship, social psychology and human resource management we formulate several hypotheses concerning the relationship between self-efficacy, coaching and entrepreneurial behaviour of account managers that are tested in the context of a large service organization operating in the financial sector. In doing so we confirm and extend our insights on entrepreneurial behaviour in existing companies. © The Author(s) 2008.","author":[{"dropping-particle":"","family":"Wakkee","given":"Ingrid","non-dropping-particle":"","parse-names":false,"suffix":""},{"dropping-particle":"","family":"Elfring","given":"Tom","non-dropping-particle":"","parse-names":false,"suffix":""},{"dropping-particle":"","family":"Monaghan","given":"Sylvia","non-dropping-particle":"","parse-names":false,"suffix":""}],"container-title":"International Entrepreneurship and Management Journal","id":"ITEM-4","issue":"1","issued":{"date-parts":[["2010"]]},"page":"1-21","title":"Creating entrepreneurial employees in traditional service sectors: The role of coaching and self-efficacy","type":"article-journal","volume":"6"},"uris":["http://www.mendeley.com/documents/?uuid=57ce6b46-3df7-4239-87d0-ca2de9a69212"]}],"mendeley":{"formattedCitation":"(Bandura, 1997; Goker, 2006; Wakkee, Elfring and Monaghan, 2010; Lee, Jack and Novacek, 2022)","plainTextFormattedCitation":"(Bandura, 1997; Goker, 2006; Wakkee, Elfring and Monaghan, 2010; Lee, Jack and Novacek, 2022)","previouslyFormattedCitation":"(Bandura, 1997; Goker, 2006; Wakkee, Elfring and Monaghan, 2010; Lee, Jack and Novacek, 2022)"},"properties":{"noteIndex":0},"schema":"https://github.com/citation-style-language/schema/raw/master/csl-citation.json"}</w:instrText>
      </w:r>
      <w:r>
        <w:rPr>
          <w:rFonts w:ascii="Arial" w:hAnsi="Arial" w:cs="Arial"/>
          <w:sz w:val="24"/>
          <w:szCs w:val="24"/>
        </w:rPr>
        <w:fldChar w:fldCharType="separate"/>
      </w:r>
      <w:r w:rsidRPr="000E3718">
        <w:rPr>
          <w:rFonts w:ascii="Arial" w:hAnsi="Arial" w:cs="Arial"/>
          <w:noProof/>
          <w:sz w:val="24"/>
          <w:szCs w:val="24"/>
        </w:rPr>
        <w:t>(Bandura, 1997; Goker, 2006; Wakkee, Elfring and Monaghan, 2010; Lee, Jack and Novacek, 2022)</w:t>
      </w:r>
      <w:r>
        <w:rPr>
          <w:rFonts w:ascii="Arial" w:hAnsi="Arial" w:cs="Arial"/>
          <w:sz w:val="24"/>
          <w:szCs w:val="24"/>
        </w:rPr>
        <w:fldChar w:fldCharType="end"/>
      </w:r>
      <w:r>
        <w:rPr>
          <w:rFonts w:ascii="Arial" w:hAnsi="Arial" w:cs="Arial"/>
          <w:sz w:val="24"/>
          <w:szCs w:val="24"/>
        </w:rPr>
        <w:t xml:space="preserve">. </w:t>
      </w:r>
      <w:r w:rsidR="00B21037">
        <w:rPr>
          <w:rFonts w:ascii="Arial" w:hAnsi="Arial" w:cs="Arial"/>
          <w:sz w:val="24"/>
          <w:szCs w:val="24"/>
        </w:rPr>
        <w:t xml:space="preserve">My initial research </w:t>
      </w:r>
      <w:r w:rsidR="001C5057">
        <w:rPr>
          <w:rFonts w:ascii="Arial" w:hAnsi="Arial" w:cs="Arial"/>
          <w:sz w:val="24"/>
          <w:szCs w:val="24"/>
        </w:rPr>
        <w:t xml:space="preserve">into self-efficacy </w:t>
      </w:r>
      <w:r w:rsidR="00B21037">
        <w:rPr>
          <w:rFonts w:ascii="Arial" w:hAnsi="Arial" w:cs="Arial"/>
          <w:sz w:val="24"/>
          <w:szCs w:val="24"/>
        </w:rPr>
        <w:t>uncovered documents relevant to the fields of singing and music</w:t>
      </w:r>
      <w:r w:rsidR="00615C50">
        <w:rPr>
          <w:rFonts w:ascii="Arial" w:hAnsi="Arial" w:cs="Arial"/>
          <w:sz w:val="24"/>
          <w:szCs w:val="24"/>
        </w:rPr>
        <w:t xml:space="preserve">. </w:t>
      </w:r>
      <w:r w:rsidR="00B918C8">
        <w:rPr>
          <w:rFonts w:ascii="Arial" w:hAnsi="Arial" w:cs="Arial"/>
          <w:sz w:val="24"/>
          <w:szCs w:val="24"/>
        </w:rPr>
        <w:t xml:space="preserve">These documents </w:t>
      </w:r>
      <w:r w:rsidR="00B21037">
        <w:rPr>
          <w:rFonts w:ascii="Arial" w:hAnsi="Arial" w:cs="Arial"/>
          <w:sz w:val="24"/>
          <w:szCs w:val="24"/>
        </w:rPr>
        <w:t>contained qualitative research and methodologies</w:t>
      </w:r>
      <w:r w:rsidR="002C70B3">
        <w:rPr>
          <w:rFonts w:ascii="Arial" w:hAnsi="Arial" w:cs="Arial"/>
          <w:sz w:val="24"/>
          <w:szCs w:val="24"/>
        </w:rPr>
        <w:t>,</w:t>
      </w:r>
      <w:r w:rsidR="00B21037">
        <w:rPr>
          <w:rFonts w:ascii="Arial" w:hAnsi="Arial" w:cs="Arial"/>
          <w:sz w:val="24"/>
          <w:szCs w:val="24"/>
        </w:rPr>
        <w:t xml:space="preserve"> for example the key documents of this project </w:t>
      </w:r>
      <w:r w:rsidR="00B21037">
        <w:rPr>
          <w:rFonts w:ascii="Arial" w:hAnsi="Arial" w:cs="Arial"/>
          <w:sz w:val="24"/>
          <w:szCs w:val="24"/>
        </w:rPr>
        <w:fldChar w:fldCharType="begin" w:fldLock="1"/>
      </w:r>
      <w:r w:rsidR="00B21037">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Education","id":"ITEM-2","issue":"1","issued":{"date-parts":[["2015"]]},"page":"43-57","title":"Critical geragogy: A framework for facilitating older learners in community music","type":"article-journal","volume":"13"},"uris":["http://www.mendeley.com/documents/?uuid=fa50dd99-4e1e-44de-a3f2-30dd41815d00"]},{"id":"ITEM-3","itemData":{"DOI":"10.1177/02557614221074057","ISBN":"0255761422107","ISSN":"1744795X","abstract":"Fostering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Education","id":"ITEM-3","issued":{"date-parts":[["2022"]]},"title":"“It’s your body, it’s part of who you are!”: Influences upon collegiate vocalists’ performance self-efficacy beliefs","type":"article-journal"},"uris":["http://www.mendeley.com/documents/?uuid=d1469298-0bbc-4c76-afcd-e0c4086da712"]}],"mendeley":{"formattedCitation":"(Creech and Hallam, 2015; Hogle, 2021; Lewis and Hendricks, 2022)","plainTextFormattedCitation":"(Creech and Hallam, 2015; Hogle, 2021; Lewis and Hendricks, 2022)","previouslyFormattedCitation":"(Creech and Hallam, 2015; Hogle, 2021; Lewis and Hendricks, 2022)"},"properties":{"noteIndex":0},"schema":"https://github.com/citation-style-language/schema/raw/master/csl-citation.json"}</w:instrText>
      </w:r>
      <w:r w:rsidR="00B21037">
        <w:rPr>
          <w:rFonts w:ascii="Arial" w:hAnsi="Arial" w:cs="Arial"/>
          <w:sz w:val="24"/>
          <w:szCs w:val="24"/>
        </w:rPr>
        <w:fldChar w:fldCharType="separate"/>
      </w:r>
      <w:r w:rsidR="00B21037" w:rsidRPr="004B75E0">
        <w:rPr>
          <w:rFonts w:ascii="Arial" w:hAnsi="Arial" w:cs="Arial"/>
          <w:noProof/>
          <w:sz w:val="24"/>
          <w:szCs w:val="24"/>
        </w:rPr>
        <w:t>(Creech and Hallam, 2015; Hogle, 2021; Lewis and Hendricks, 2022)</w:t>
      </w:r>
      <w:r w:rsidR="00B21037">
        <w:rPr>
          <w:rFonts w:ascii="Arial" w:hAnsi="Arial" w:cs="Arial"/>
          <w:sz w:val="24"/>
          <w:szCs w:val="24"/>
        </w:rPr>
        <w:fldChar w:fldCharType="end"/>
      </w:r>
      <w:r w:rsidR="00B21037">
        <w:rPr>
          <w:rFonts w:ascii="Arial" w:hAnsi="Arial" w:cs="Arial"/>
          <w:sz w:val="24"/>
          <w:szCs w:val="24"/>
        </w:rPr>
        <w:t xml:space="preserve">. </w:t>
      </w:r>
      <w:r>
        <w:rPr>
          <w:rFonts w:ascii="Arial" w:hAnsi="Arial" w:cs="Arial"/>
          <w:sz w:val="24"/>
          <w:szCs w:val="24"/>
        </w:rPr>
        <w:t xml:space="preserve">Once I had chosen the research area </w:t>
      </w:r>
      <w:r w:rsidR="00B21037">
        <w:rPr>
          <w:rFonts w:ascii="Arial" w:hAnsi="Arial" w:cs="Arial"/>
          <w:sz w:val="24"/>
          <w:szCs w:val="24"/>
        </w:rPr>
        <w:t xml:space="preserve">and </w:t>
      </w:r>
      <w:r w:rsidR="00536B43">
        <w:rPr>
          <w:rFonts w:ascii="Arial" w:hAnsi="Arial" w:cs="Arial"/>
          <w:sz w:val="24"/>
          <w:szCs w:val="24"/>
        </w:rPr>
        <w:t>carried out</w:t>
      </w:r>
      <w:r w:rsidR="00C17A50">
        <w:rPr>
          <w:rFonts w:ascii="Arial" w:hAnsi="Arial" w:cs="Arial"/>
          <w:sz w:val="24"/>
          <w:szCs w:val="24"/>
        </w:rPr>
        <w:t xml:space="preserve"> some initial reading, </w:t>
      </w:r>
      <w:r>
        <w:rPr>
          <w:rFonts w:ascii="Arial" w:hAnsi="Arial" w:cs="Arial"/>
          <w:sz w:val="24"/>
          <w:szCs w:val="24"/>
        </w:rPr>
        <w:t xml:space="preserve">it was clear I would be working with qualitative </w:t>
      </w:r>
      <w:r w:rsidR="00C17A50">
        <w:rPr>
          <w:rFonts w:ascii="Arial" w:hAnsi="Arial" w:cs="Arial"/>
          <w:sz w:val="24"/>
          <w:szCs w:val="24"/>
        </w:rPr>
        <w:t>data</w:t>
      </w:r>
      <w:r w:rsidR="00CB7836">
        <w:rPr>
          <w:rFonts w:ascii="Arial" w:hAnsi="Arial" w:cs="Arial"/>
          <w:sz w:val="24"/>
          <w:szCs w:val="24"/>
        </w:rPr>
        <w:t xml:space="preserve">. </w:t>
      </w:r>
      <w:proofErr w:type="gramStart"/>
      <w:r>
        <w:rPr>
          <w:rFonts w:ascii="Arial" w:hAnsi="Arial" w:cs="Arial"/>
          <w:sz w:val="24"/>
          <w:szCs w:val="24"/>
        </w:rPr>
        <w:t>In order to</w:t>
      </w:r>
      <w:proofErr w:type="gramEnd"/>
      <w:r>
        <w:rPr>
          <w:rFonts w:ascii="Arial" w:hAnsi="Arial" w:cs="Arial"/>
          <w:sz w:val="24"/>
          <w:szCs w:val="24"/>
        </w:rPr>
        <w:t xml:space="preserve"> have a rigorous approach to the research and analysis I investigated qualitative literature review methodologies</w:t>
      </w:r>
      <w:r w:rsidR="00E81AEB">
        <w:rPr>
          <w:rFonts w:ascii="Arial" w:hAnsi="Arial" w:cs="Arial"/>
          <w:sz w:val="24"/>
          <w:szCs w:val="24"/>
        </w:rPr>
        <w:t xml:space="preserve">. </w:t>
      </w:r>
      <w:r w:rsidR="00616F74">
        <w:rPr>
          <w:rFonts w:ascii="Arial" w:hAnsi="Arial" w:cs="Arial"/>
          <w:sz w:val="24"/>
          <w:szCs w:val="24"/>
        </w:rPr>
        <w:t>I</w:t>
      </w:r>
      <w:r>
        <w:rPr>
          <w:rFonts w:ascii="Arial" w:hAnsi="Arial" w:cs="Arial"/>
          <w:sz w:val="24"/>
          <w:szCs w:val="24"/>
        </w:rPr>
        <w:t xml:space="preserve"> chose thematic analysis because it is a reflective, active and flexible process which acknowledges the researcher in the process as part of its process </w:t>
      </w:r>
      <w:r>
        <w:rPr>
          <w:rFonts w:ascii="Arial" w:hAnsi="Arial" w:cs="Arial"/>
          <w:sz w:val="24"/>
          <w:szCs w:val="24"/>
        </w:rPr>
        <w:fldChar w:fldCharType="begin" w:fldLock="1"/>
      </w:r>
      <w:r>
        <w:rPr>
          <w:rFonts w:ascii="Arial" w:hAnsi="Arial" w:cs="Arial"/>
          <w:sz w:val="24"/>
          <w:szCs w:val="24"/>
        </w:rPr>
        <w:instrText>ADDIN CSL_CITATION {"citationItems":[{"id":"ITEM-1","itemData":{"DOI":"10.1080/2159676X.2019.1628806","ISSN":"1939845X","abstract":"Since initially writing on thematic analysis in 2006, the popularity of the method we outlined has exploded, the variety of TA approaches have expanded, and, not least, our thinking has developed and shifted. In this reflexive commentary, we look back at some of the unspoken assumptions that informed how we wrote our 2006 paper. We connect some of these un-identified assumptions, and developments in the method over the years, with some conceptual mismatches and confusions we see in published TA studies. In order to facilitate better TA practice, we reflect on how our thinking has evolved–and in some cases sedimented–since the publication of our 2006 paper, and clarify and revise some of the ways we phrased or conceptualised TA, and the elements of, and processes around, a method we now prefer to call reflexive TA.","author":[{"dropping-particle":"","family":"Braun","given":"Virginia","non-dropping-particle":"","parse-names":false,"suffix":""},{"dropping-particle":"","family":"Clarke","given":"Victoria","non-dropping-particle":"","parse-names":false,"suffix":""}],"container-title":"Qualitative Research in Sport, Exercise and Health","id":"ITEM-1","issue":"4","issued":{"date-parts":[["2019"]]},"page":"589-597","publisher":"Routledge","title":"Reflecting on reflexive thematic analysis","type":"article-journal","volume":"11"},"uris":["http://www.mendeley.com/documents/?uuid=e24d767a-9c14-4ae2-b026-6f8fa0177c0e"]}],"mendeley":{"formattedCitation":"(Braun and Clarke, 2019)","plainTextFormattedCitation":"(Braun and Clarke, 2019)","previouslyFormattedCitation":"(Braun and Clarke, 2019)"},"properties":{"noteIndex":0},"schema":"https://github.com/citation-style-language/schema/raw/master/csl-citation.json"}</w:instrText>
      </w:r>
      <w:r>
        <w:rPr>
          <w:rFonts w:ascii="Arial" w:hAnsi="Arial" w:cs="Arial"/>
          <w:sz w:val="24"/>
          <w:szCs w:val="24"/>
        </w:rPr>
        <w:fldChar w:fldCharType="separate"/>
      </w:r>
      <w:r w:rsidRPr="00484CFD">
        <w:rPr>
          <w:rFonts w:ascii="Arial" w:hAnsi="Arial" w:cs="Arial"/>
          <w:noProof/>
          <w:sz w:val="24"/>
          <w:szCs w:val="24"/>
        </w:rPr>
        <w:t>(Braun and Clarke, 2019)</w:t>
      </w:r>
      <w:r>
        <w:rPr>
          <w:rFonts w:ascii="Arial" w:hAnsi="Arial" w:cs="Arial"/>
          <w:sz w:val="24"/>
          <w:szCs w:val="24"/>
        </w:rPr>
        <w:fldChar w:fldCharType="end"/>
      </w:r>
      <w:r>
        <w:rPr>
          <w:rFonts w:ascii="Arial" w:hAnsi="Arial" w:cs="Arial"/>
          <w:sz w:val="24"/>
          <w:szCs w:val="24"/>
        </w:rPr>
        <w:t>.</w:t>
      </w:r>
    </w:p>
    <w:p w14:paraId="42EA32B4" w14:textId="2F9F8C3B" w:rsidR="007E3B8B" w:rsidRPr="00756B91" w:rsidRDefault="007E3B8B" w:rsidP="00756B91">
      <w:pPr>
        <w:spacing w:line="360" w:lineRule="auto"/>
        <w:jc w:val="both"/>
        <w:rPr>
          <w:rFonts w:ascii="Arial" w:hAnsi="Arial" w:cs="Arial"/>
          <w:b/>
          <w:color w:val="000000"/>
          <w:sz w:val="24"/>
          <w:szCs w:val="24"/>
        </w:rPr>
      </w:pPr>
      <w:r>
        <w:rPr>
          <w:rFonts w:ascii="Arial" w:hAnsi="Arial" w:cs="Arial"/>
          <w:sz w:val="24"/>
          <w:szCs w:val="24"/>
        </w:rPr>
        <w:t xml:space="preserve">I </w:t>
      </w:r>
      <w:r w:rsidR="00537798">
        <w:rPr>
          <w:rFonts w:ascii="Arial" w:hAnsi="Arial" w:cs="Arial"/>
          <w:sz w:val="24"/>
          <w:szCs w:val="24"/>
        </w:rPr>
        <w:t>concluded</w:t>
      </w:r>
      <w:r>
        <w:rPr>
          <w:rFonts w:ascii="Arial" w:hAnsi="Arial" w:cs="Arial"/>
          <w:sz w:val="24"/>
          <w:szCs w:val="24"/>
        </w:rPr>
        <w:t xml:space="preserve"> that thematic analysis was a process which was akin to my existing process</w:t>
      </w:r>
      <w:r w:rsidR="00064C3D">
        <w:rPr>
          <w:rFonts w:ascii="Arial" w:hAnsi="Arial" w:cs="Arial"/>
          <w:sz w:val="24"/>
          <w:szCs w:val="24"/>
        </w:rPr>
        <w:t xml:space="preserve"> and that it </w:t>
      </w:r>
      <w:r>
        <w:rPr>
          <w:rFonts w:ascii="Arial" w:hAnsi="Arial" w:cs="Arial"/>
          <w:sz w:val="24"/>
          <w:szCs w:val="24"/>
        </w:rPr>
        <w:t xml:space="preserve">would </w:t>
      </w:r>
      <w:r w:rsidR="00071BDA">
        <w:rPr>
          <w:rFonts w:ascii="Arial" w:hAnsi="Arial" w:cs="Arial"/>
          <w:sz w:val="24"/>
          <w:szCs w:val="24"/>
        </w:rPr>
        <w:t xml:space="preserve">also </w:t>
      </w:r>
      <w:r w:rsidR="00435667">
        <w:rPr>
          <w:rFonts w:ascii="Arial" w:hAnsi="Arial" w:cs="Arial"/>
          <w:sz w:val="24"/>
          <w:szCs w:val="24"/>
        </w:rPr>
        <w:t xml:space="preserve">elevate my research </w:t>
      </w:r>
      <w:r w:rsidR="001D094A">
        <w:rPr>
          <w:rFonts w:ascii="Arial" w:hAnsi="Arial" w:cs="Arial"/>
          <w:sz w:val="24"/>
          <w:szCs w:val="24"/>
        </w:rPr>
        <w:t>by</w:t>
      </w:r>
      <w:r w:rsidR="00D84224">
        <w:rPr>
          <w:rFonts w:ascii="Arial" w:hAnsi="Arial" w:cs="Arial"/>
          <w:sz w:val="24"/>
          <w:szCs w:val="24"/>
        </w:rPr>
        <w:t xml:space="preserve"> </w:t>
      </w:r>
      <w:r w:rsidR="00C1752D">
        <w:rPr>
          <w:rFonts w:ascii="Arial" w:hAnsi="Arial" w:cs="Arial"/>
          <w:sz w:val="24"/>
          <w:szCs w:val="24"/>
        </w:rPr>
        <w:t xml:space="preserve">the </w:t>
      </w:r>
      <w:r>
        <w:rPr>
          <w:rFonts w:ascii="Arial" w:hAnsi="Arial" w:cs="Arial"/>
          <w:sz w:val="24"/>
          <w:szCs w:val="24"/>
        </w:rPr>
        <w:t>challenge</w:t>
      </w:r>
      <w:r w:rsidR="001D094A">
        <w:rPr>
          <w:rFonts w:ascii="Arial" w:hAnsi="Arial" w:cs="Arial"/>
          <w:sz w:val="24"/>
          <w:szCs w:val="24"/>
        </w:rPr>
        <w:t xml:space="preserve"> involved</w:t>
      </w:r>
      <w:r w:rsidR="00A85C5D">
        <w:rPr>
          <w:rFonts w:ascii="Arial" w:hAnsi="Arial" w:cs="Arial"/>
          <w:sz w:val="24"/>
          <w:szCs w:val="24"/>
        </w:rPr>
        <w:t xml:space="preserve"> </w:t>
      </w:r>
      <w:r w:rsidR="001D094A">
        <w:rPr>
          <w:rFonts w:ascii="Arial" w:hAnsi="Arial" w:cs="Arial"/>
          <w:sz w:val="24"/>
          <w:szCs w:val="24"/>
        </w:rPr>
        <w:t>with</w:t>
      </w:r>
      <w:r w:rsidR="00A85C5D">
        <w:rPr>
          <w:rFonts w:ascii="Arial" w:hAnsi="Arial" w:cs="Arial"/>
          <w:sz w:val="24"/>
          <w:szCs w:val="24"/>
        </w:rPr>
        <w:t xml:space="preserve"> </w:t>
      </w:r>
      <w:r w:rsidR="009459CF">
        <w:rPr>
          <w:rFonts w:ascii="Arial" w:hAnsi="Arial" w:cs="Arial"/>
          <w:sz w:val="24"/>
          <w:szCs w:val="24"/>
        </w:rPr>
        <w:t>its</w:t>
      </w:r>
      <w:r w:rsidR="001D094A">
        <w:rPr>
          <w:rFonts w:ascii="Arial" w:hAnsi="Arial" w:cs="Arial"/>
          <w:sz w:val="24"/>
          <w:szCs w:val="24"/>
        </w:rPr>
        <w:t xml:space="preserve"> </w:t>
      </w:r>
      <w:r w:rsidR="005C6048">
        <w:rPr>
          <w:rFonts w:ascii="Arial" w:hAnsi="Arial" w:cs="Arial"/>
          <w:sz w:val="24"/>
          <w:szCs w:val="24"/>
        </w:rPr>
        <w:t>systematic approach</w:t>
      </w:r>
      <w:r w:rsidR="00E102A6">
        <w:rPr>
          <w:rFonts w:ascii="Arial" w:hAnsi="Arial" w:cs="Arial"/>
          <w:sz w:val="24"/>
          <w:szCs w:val="24"/>
        </w:rPr>
        <w:t xml:space="preserve">. This would allow for </w:t>
      </w:r>
      <w:r>
        <w:rPr>
          <w:rFonts w:ascii="Arial" w:hAnsi="Arial" w:cs="Arial"/>
          <w:sz w:val="24"/>
          <w:szCs w:val="24"/>
        </w:rPr>
        <w:t xml:space="preserve">a higher standard </w:t>
      </w:r>
      <w:r w:rsidR="00C00356">
        <w:rPr>
          <w:rFonts w:ascii="Arial" w:hAnsi="Arial" w:cs="Arial"/>
          <w:sz w:val="24"/>
          <w:szCs w:val="24"/>
        </w:rPr>
        <w:t xml:space="preserve">of work </w:t>
      </w:r>
      <w:r>
        <w:rPr>
          <w:rFonts w:ascii="Arial" w:hAnsi="Arial" w:cs="Arial"/>
          <w:sz w:val="24"/>
          <w:szCs w:val="24"/>
        </w:rPr>
        <w:t>which would aid</w:t>
      </w:r>
      <w:r w:rsidR="00C00356">
        <w:rPr>
          <w:rFonts w:ascii="Arial" w:hAnsi="Arial" w:cs="Arial"/>
          <w:sz w:val="24"/>
          <w:szCs w:val="24"/>
        </w:rPr>
        <w:t xml:space="preserve"> </w:t>
      </w:r>
      <w:r>
        <w:rPr>
          <w:rFonts w:ascii="Arial" w:hAnsi="Arial" w:cs="Arial"/>
          <w:sz w:val="24"/>
          <w:szCs w:val="24"/>
        </w:rPr>
        <w:t xml:space="preserve">the transparency and reliability of the research </w:t>
      </w:r>
      <w:r>
        <w:rPr>
          <w:rFonts w:ascii="Arial" w:hAnsi="Arial" w:cs="Arial"/>
          <w:sz w:val="24"/>
          <w:szCs w:val="24"/>
        </w:rPr>
        <w:fldChar w:fldCharType="begin" w:fldLock="1"/>
      </w:r>
      <w:r>
        <w:rPr>
          <w:rFonts w:ascii="Arial" w:hAnsi="Arial" w:cs="Arial"/>
          <w:sz w:val="24"/>
          <w:szCs w:val="24"/>
        </w:rPr>
        <w:instrText>ADDIN CSL_CITATION {"citationItems":[{"id":"ITEM-1","itemData":{"DOI":"10.1191/1478088706qp063oa","ISSN":"14780887","abstract":"Thematic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author":[{"dropping-particle":"","family":"Braun","given":"Virginia","non-dropping-particle":"","parse-names":false,"suffix":""},{"dropping-particle":"","family":"Clarke","given":"Victoria","non-dropping-particle":"","parse-names":false,"suffix":""}],"container-title":"Qualitative Research in Psychology","id":"ITEM-1","issue":"2","issued":{"date-parts":[["2006"]]},"note":"Highlights by: Doc page - Journal page - Topic\n\np3 - p78 Foundational method\np3 - p78 - Epistomological approach\np6 - p81 &amp;quot; &amp;quot; yellow\np6 - p81 &amp;quot; &amp;quot; green\np4 - p79 - Importance of how research is done\np5 - p80 Researcher activer in finding themes (not emerging-passive)\np5 - p80 Researcher position and decisions in the process\n\nTheme - \np7 - p82 theme definition yellow, how many instances to qualify (not defined), \np7 - p82 - researcher judgemnt required\np7 - p82 - prevelence of a theme is not essential yellow\np8 - p83 - Inductive approach \n\nDefinitions:\np4 - p79 - Thematic analysis - Pink highlight\np4 - p79 - Corpus - all data collected for a a project\np4 - p79 Data set - all the data from the corpus being used for a particular analysis\np4 - p79 Data item - each idiviual pice of data collected to form the corpus (i.e. each article)\np4 - p79 Extract - coded chonk of data taken from an extract\np7 - p82 theme definition yellow","page":"77-101","title":"Using thematic analysis in psychology","type":"article-journal","volume":"3"},"uris":["http://www.mendeley.com/documents/?uuid=d79a4bb1-1383-4be0-9dfb-77bad2f80283"]},{"id":"ITEM-2","itemData":{"DOI":"10.1038/sj.bdj.2008.292","ISSN":"00070610","PMID":"18438371","abstract":"This paper provides a pragmatic approach to analysing qualitative data, using actual data from a qualitative dental public health study for demonstration purposes. The paper also critically explores how computers can be used to facilitate this process, the debate about the verification (validation) of qualitative analyses and how to write up and present qualitative research studies. ©British Dental Journal 2008.","author":[{"dropping-particle":"","family":"Burnard","given":"P.","non-dropping-particle":"","parse-names":false,"suffix":""},{"dropping-particle":"","family":"Gill","given":"P.","non-dropping-particle":"","parse-names":false,"suffix":""},{"dropping-particle":"","family":"Stewart","given":"K.","non-dropping-particle":"","parse-names":false,"suffix":""},{"dropping-particle":"","family":"Treasure","given":"E.","non-dropping-particle":"","parse-names":false,"suffix":""},{"dropping-particle":"","family":"Chadwick","given":"B.","non-dropping-particle":"","parse-names":false,"suffix":""}],"container-title":"British Dental Journal","id":"ITEM-2","issue":"8","issued":{"date-parts":[["2008"]]},"page":"429-432","title":"Analysing and presenting qualitative data","type":"article-journal","volume":"204"},"uris":["http://www.mendeley.com/documents/?uuid=40364750-cbf6-4eef-9b76-445c9b7173b1"]},{"id":"ITEM-3","itemData":{"DOI":"10.5430/jnep.v6n5p100","ISSN":"1925-4040","abstract":"Sufficient knowledge is available about the definition, details and differences of qualitative content and thematic analysis as two approaches of qualitative descriptive research. However, identifying the main features of theme as the data analysis product and the method of its development remain unclear. The purpose of this study was to describe the meaning of theme and offer a method on theme construction that can be used by qualitative content analysis and thematic analysis researchers in line with the underpinning specific approach to data analysis. This methodological paper comprises an analytical overview of qualitative descriptive research products and the meaning of theme. Also, our practical experiences of qualitative analysis supported by relevant published literature informed the generation of a stage like model of theme construction for qualitative content analysis and thematic analysis. This paper comprises: (i) analytical importance of theme, (ii) meaning of theme, (iii) meaning of category, (iv) theme and category in terms of level of content, and (v) theme development. This paper offers a conceptual clarification and a pragmatic step by step method of theme development that has the capacity of assisting nurse researchers understand how theme is developed. As nursing is a pragmatic discipline, nurse researchers have tried to develop practical findings and devise some way to “do something” with findings to enhance the action and impact of nursing. The application of a precise method of theme development for qualitative descriptive data analysis suggested in this paper helps yield meaningful, credible and practical results for nursing.","author":[{"dropping-particle":"","family":"Vaismoradi","given":"Mojtaba","non-dropping-particle":"","parse-names":false,"suffix":""},{"dropping-particle":"","family":"Jones","given":"Jacqueline","non-dropping-particle":"","parse-names":false,"suffix":""},{"dropping-particle":"","family":"Turunen","given":"Hannele","non-dropping-particle":"","parse-names":false,"suffix":""},{"dropping-particle":"","family":"Snelgrove","given":"Sherrill","non-dropping-particle":"","parse-names":false,"suffix":""}],"container-title":"Journal of Nursing Education and Practice","id":"ITEM-3","issue":"5","issued":{"date-parts":[["2016"]]},"title":"Theme development in qualitative content analysis and thematic analysis","type":"article-journal","volume":"6"},"uris":["http://www.mendeley.com/documents/?uuid=eaebd822-59af-4c6e-9ae4-fbcf80f2223f"]},{"id":"ITEM-4","itemData":{"DOI":"10.1201/b19093","ISBN":"9781482253436","abstract":"Qualitative methods, such as depth interviews (Chapter 23) and group interviews (Chapter 24), are increasingly popular as investigators explore the broader context of pharmacy services (e.g. the behaviours and attitudes of users and providers of pharmaceutical services). The use of qualitative methods in pharmacy practice research, as in much health services research, produces analytical insights from recounted experiences, beliefs and views.","author":[{"dropping-particle":"","family":"Harding","given":"Geoffrey","non-dropping-particle":"","parse-names":false,"suffix":""},{"dropping-particle":"","family":"Gantley","given":"Madeleine","non-dropping-particle":"","parse-names":false,"suffix":""},{"dropping-particle":"","family":"Taylor","given":"Kevin","non-dropping-particle":"","parse-names":false,"suffix":""}],"container-title":"Pharmacy Practice: Second Edition","id":"ITEM-4","issue":"January","issued":{"date-parts":[["2017"]]},"page":"417-423","title":"Analysing qualitative data","type":"article-journal","volume":"320"},"uris":["http://www.mendeley.com/documents/?uuid=665045dc-6ef0-4689-b4ae-b97af850018b"]}],"mendeley":{"formattedCitation":"(Braun and Clarke, 2006; Burnard &lt;i&gt;et al.&lt;/i&gt;, 2008; Vaismoradi &lt;i&gt;et al.&lt;/i&gt;, 2016; Harding, Gantley and Taylor, 2017)","plainTextFormattedCitation":"(Braun and Clarke, 2006; Burnard et al., 2008; Vaismoradi et al., 2016; Harding, Gantley and Taylor, 2017)","previouslyFormattedCitation":"(Braun and Clarke, 2006; Burnard &lt;i&gt;et al.&lt;/i&gt;, 2008; Vaismoradi &lt;i&gt;et al.&lt;/i&gt;, 2016; Harding, Gantley and Taylor, 2017)"},"properties":{"noteIndex":0},"schema":"https://github.com/citation-style-language/schema/raw/master/csl-citation.json"}</w:instrText>
      </w:r>
      <w:r>
        <w:rPr>
          <w:rFonts w:ascii="Arial" w:hAnsi="Arial" w:cs="Arial"/>
          <w:sz w:val="24"/>
          <w:szCs w:val="24"/>
        </w:rPr>
        <w:fldChar w:fldCharType="separate"/>
      </w:r>
      <w:r w:rsidRPr="00B96714">
        <w:rPr>
          <w:rFonts w:ascii="Arial" w:hAnsi="Arial" w:cs="Arial"/>
          <w:noProof/>
          <w:sz w:val="24"/>
          <w:szCs w:val="24"/>
        </w:rPr>
        <w:t xml:space="preserve">(Braun and Clarke, 2006; Burnard </w:t>
      </w:r>
      <w:r w:rsidRPr="00B96714">
        <w:rPr>
          <w:rFonts w:ascii="Arial" w:hAnsi="Arial" w:cs="Arial"/>
          <w:i/>
          <w:noProof/>
          <w:sz w:val="24"/>
          <w:szCs w:val="24"/>
        </w:rPr>
        <w:t>et al.</w:t>
      </w:r>
      <w:r w:rsidRPr="00B96714">
        <w:rPr>
          <w:rFonts w:ascii="Arial" w:hAnsi="Arial" w:cs="Arial"/>
          <w:noProof/>
          <w:sz w:val="24"/>
          <w:szCs w:val="24"/>
        </w:rPr>
        <w:t xml:space="preserve">, 2008; Vaismoradi </w:t>
      </w:r>
      <w:r w:rsidRPr="00B96714">
        <w:rPr>
          <w:rFonts w:ascii="Arial" w:hAnsi="Arial" w:cs="Arial"/>
          <w:i/>
          <w:noProof/>
          <w:sz w:val="24"/>
          <w:szCs w:val="24"/>
        </w:rPr>
        <w:t>et al.</w:t>
      </w:r>
      <w:r w:rsidRPr="00B96714">
        <w:rPr>
          <w:rFonts w:ascii="Arial" w:hAnsi="Arial" w:cs="Arial"/>
          <w:noProof/>
          <w:sz w:val="24"/>
          <w:szCs w:val="24"/>
        </w:rPr>
        <w:t>, 2016; Harding, Gantley and Taylor, 2017)</w:t>
      </w:r>
      <w:r>
        <w:rPr>
          <w:rFonts w:ascii="Arial" w:hAnsi="Arial" w:cs="Arial"/>
          <w:sz w:val="24"/>
          <w:szCs w:val="24"/>
        </w:rPr>
        <w:fldChar w:fldCharType="end"/>
      </w:r>
      <w:r>
        <w:rPr>
          <w:rFonts w:ascii="Arial" w:hAnsi="Arial" w:cs="Arial"/>
          <w:sz w:val="24"/>
          <w:szCs w:val="24"/>
        </w:rPr>
        <w:t>. The process is laborious and time consuming which felt daunting at times. Having gone through the process as a lone researcher, I can understand why this is more effective as a research team</w:t>
      </w:r>
      <w:r w:rsidR="00031012">
        <w:rPr>
          <w:rFonts w:ascii="Arial" w:hAnsi="Arial" w:cs="Arial"/>
          <w:sz w:val="24"/>
          <w:szCs w:val="24"/>
        </w:rPr>
        <w:t>. I can see the benefits</w:t>
      </w:r>
      <w:r>
        <w:rPr>
          <w:rFonts w:ascii="Arial" w:hAnsi="Arial" w:cs="Arial"/>
          <w:sz w:val="24"/>
          <w:szCs w:val="24"/>
        </w:rPr>
        <w:t xml:space="preserve"> from the perspectives of workflow management, </w:t>
      </w:r>
      <w:r>
        <w:rPr>
          <w:rFonts w:ascii="Arial" w:hAnsi="Arial" w:cs="Arial"/>
          <w:sz w:val="24"/>
          <w:szCs w:val="24"/>
        </w:rPr>
        <w:lastRenderedPageBreak/>
        <w:t xml:space="preserve">bias reduction, </w:t>
      </w:r>
      <w:r w:rsidR="009B22AF">
        <w:rPr>
          <w:rFonts w:ascii="Arial" w:hAnsi="Arial" w:cs="Arial"/>
          <w:sz w:val="24"/>
          <w:szCs w:val="24"/>
        </w:rPr>
        <w:t xml:space="preserve">and </w:t>
      </w:r>
      <w:r>
        <w:rPr>
          <w:rFonts w:ascii="Arial" w:hAnsi="Arial" w:cs="Arial"/>
          <w:sz w:val="24"/>
          <w:szCs w:val="24"/>
        </w:rPr>
        <w:t xml:space="preserve">increasing the reliability of conclusions </w:t>
      </w:r>
      <w:r>
        <w:rPr>
          <w:rFonts w:ascii="Arial" w:hAnsi="Arial" w:cs="Arial"/>
          <w:sz w:val="24"/>
          <w:szCs w:val="24"/>
        </w:rPr>
        <w:fldChar w:fldCharType="begin" w:fldLock="1"/>
      </w:r>
      <w:r>
        <w:rPr>
          <w:rFonts w:ascii="Arial" w:hAnsi="Arial" w:cs="Arial"/>
          <w:sz w:val="24"/>
          <w:szCs w:val="24"/>
        </w:rPr>
        <w:instrText>ADDIN CSL_CITATION {"citationItems":[{"id":"ITEM-1","itemData":{"DOI":"10.1080/2159676X.2019.1628806","ISSN":"1939845X","abstract":"Since initially writing on thematic analysis in 2006, the popularity of the method we outlined has exploded, the variety of TA approaches have expanded, and, not least, our thinking has developed and shifted. In this reflexive commentary, we look back at some of the unspoken assumptions that informed how we wrote our 2006 paper. We connect some of these un-identified assumptions, and developments in the method over the years, with some conceptual mismatches and confusions we see in published TA studies. In order to facilitate better TA practice, we reflect on how our thinking has evolved–and in some cases sedimented–since the publication of our 2006 paper, and clarify and revise some of the ways we phrased or conceptualised TA, and the elements of, and processes around, a method we now prefer to call reflexive TA.","author":[{"dropping-particle":"","family":"Braun","given":"Virginia","non-dropping-particle":"","parse-names":false,"suffix":""},{"dropping-particle":"","family":"Clarke","given":"Victoria","non-dropping-particle":"","parse-names":false,"suffix":""}],"container-title":"Qualitative Research in Sport, Exercise and Health","id":"ITEM-1","issue":"4","issued":{"date-parts":[["2019"]]},"page":"589-597","publisher":"Routledge","title":"Reflecting on reflexive thematic analysis","type":"article-journal","volume":"11"},"uris":["http://www.mendeley.com/documents/?uuid=e24d767a-9c14-4ae2-b026-6f8fa0177c0e"]},{"id":"ITEM-2","itemData":{"DOI":"10.1038/sj.bdj.2008.292","ISSN":"00070610","PMID":"18438371","abstract":"This paper provides a pragmatic approach to analysing qualitative data, using actual data from a qualitative dental public health study for demonstration purposes. The paper also critically explores how computers can be used to facilitate this process, the debate about the verification (validation) of qualitative analyses and how to write up and present qualitative research studies. ©British Dental Journal 2008.","author":[{"dropping-particle":"","family":"Burnard","given":"P.","non-dropping-particle":"","parse-names":false,"suffix":""},{"dropping-particle":"","family":"Gill","given":"P.","non-dropping-particle":"","parse-names":false,"suffix":""},{"dropping-particle":"","family":"Stewart","given":"K.","non-dropping-particle":"","parse-names":false,"suffix":""},{"dropping-particle":"","family":"Treasure","given":"E.","non-dropping-particle":"","parse-names":false,"suffix":""},{"dropping-particle":"","family":"Chadwick","given":"B.","non-dropping-particle":"","parse-names":false,"suffix":""}],"container-title":"British Dental Journal","id":"ITEM-2","issue":"8","issued":{"date-parts":[["2008"]]},"page":"429-432","title":"Analysing and presenting qualitative data","type":"article-journal","volume":"204"},"uris":["http://www.mendeley.com/documents/?uuid=40364750-cbf6-4eef-9b76-445c9b7173b1"]}],"mendeley":{"formattedCitation":"(Burnard &lt;i&gt;et al.&lt;/i&gt;, 2008; Braun and Clarke, 2019)","plainTextFormattedCitation":"(Burnard et al., 2008; Braun and Clarke, 2019)","previouslyFormattedCitation":"(Burnard &lt;i&gt;et al.&lt;/i&gt;, 2008; Braun and Clarke, 2019)"},"properties":{"noteIndex":0},"schema":"https://github.com/citation-style-language/schema/raw/master/csl-citation.json"}</w:instrText>
      </w:r>
      <w:r>
        <w:rPr>
          <w:rFonts w:ascii="Arial" w:hAnsi="Arial" w:cs="Arial"/>
          <w:sz w:val="24"/>
          <w:szCs w:val="24"/>
        </w:rPr>
        <w:fldChar w:fldCharType="separate"/>
      </w:r>
      <w:r w:rsidRPr="006D2843">
        <w:rPr>
          <w:rFonts w:ascii="Arial" w:hAnsi="Arial" w:cs="Arial"/>
          <w:noProof/>
          <w:sz w:val="24"/>
          <w:szCs w:val="24"/>
        </w:rPr>
        <w:t xml:space="preserve">(Burnard </w:t>
      </w:r>
      <w:r w:rsidRPr="006D2843">
        <w:rPr>
          <w:rFonts w:ascii="Arial" w:hAnsi="Arial" w:cs="Arial"/>
          <w:i/>
          <w:noProof/>
          <w:sz w:val="24"/>
          <w:szCs w:val="24"/>
        </w:rPr>
        <w:t>et al.</w:t>
      </w:r>
      <w:r w:rsidRPr="006D2843">
        <w:rPr>
          <w:rFonts w:ascii="Arial" w:hAnsi="Arial" w:cs="Arial"/>
          <w:noProof/>
          <w:sz w:val="24"/>
          <w:szCs w:val="24"/>
        </w:rPr>
        <w:t>, 2008; Braun and Clarke, 2019)</w:t>
      </w:r>
      <w:r>
        <w:rPr>
          <w:rFonts w:ascii="Arial" w:hAnsi="Arial" w:cs="Arial"/>
          <w:sz w:val="24"/>
          <w:szCs w:val="24"/>
        </w:rPr>
        <w:fldChar w:fldCharType="end"/>
      </w:r>
      <w:r>
        <w:rPr>
          <w:rFonts w:ascii="Arial" w:hAnsi="Arial" w:cs="Arial"/>
          <w:sz w:val="24"/>
          <w:szCs w:val="24"/>
        </w:rPr>
        <w:t xml:space="preserve">. The research was encouraging from two perspectives: self-efficacy has the possibility of being improved by teaching strategies and </w:t>
      </w:r>
      <w:r w:rsidR="00231D32">
        <w:rPr>
          <w:rFonts w:ascii="Arial" w:hAnsi="Arial" w:cs="Arial"/>
          <w:sz w:val="24"/>
          <w:szCs w:val="24"/>
        </w:rPr>
        <w:t>this can</w:t>
      </w:r>
      <w:r>
        <w:rPr>
          <w:rFonts w:ascii="Arial" w:hAnsi="Arial" w:cs="Arial"/>
          <w:sz w:val="24"/>
          <w:szCs w:val="24"/>
        </w:rPr>
        <w:t xml:space="preserve"> be reinforced by mindfulness</w:t>
      </w:r>
      <w:r w:rsidR="005F5444">
        <w:rPr>
          <w:rFonts w:ascii="Arial" w:hAnsi="Arial" w:cs="Arial"/>
          <w:sz w:val="24"/>
          <w:szCs w:val="24"/>
        </w:rPr>
        <w:t>,</w:t>
      </w:r>
      <w:r>
        <w:rPr>
          <w:rFonts w:ascii="Arial" w:hAnsi="Arial" w:cs="Arial"/>
          <w:sz w:val="24"/>
          <w:szCs w:val="24"/>
        </w:rPr>
        <w:t xml:space="preserve"> an area </w:t>
      </w:r>
      <w:r w:rsidR="00DE42CD">
        <w:rPr>
          <w:rFonts w:ascii="Arial" w:hAnsi="Arial" w:cs="Arial"/>
          <w:sz w:val="24"/>
          <w:szCs w:val="24"/>
        </w:rPr>
        <w:t xml:space="preserve">in </w:t>
      </w:r>
      <w:r>
        <w:rPr>
          <w:rFonts w:ascii="Arial" w:hAnsi="Arial" w:cs="Arial"/>
          <w:sz w:val="24"/>
          <w:szCs w:val="24"/>
        </w:rPr>
        <w:t xml:space="preserve">which I have existing knowledge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Education","id":"ITEM-2","issue":"1","issued":{"date-parts":[["2015"]]},"page":"43-57","title":"Critical geragogy: A framework for facilitating older learners in community music","type":"article-journal","volume":"13"},"uris":["http://www.mendeley.com/documents/?uuid=fa50dd99-4e1e-44de-a3f2-30dd41815d00"]},{"id":"ITEM-3","itemData":{"DOI":"10.1177/1029864920941570","ISSN":"10298649","abstract":"Mindfulness courses are beneficial in clinical domains for anxiety and depression and are becoming more prevalent as interventions in education. However, little is known about what effects mindfulness might have on musicians. In an exploratory study, 25 music students, who completed one of four 8-week MBSR/MBCT mindfulness courses adapted for musicians at the Guildhall School of Music and Drama, completed the validated Five Facet Mindfulness Questionnaire and a bespoke Mindfulness for Musicians questionnaire pre- and post-intervention. Twenty-one music students also took part in a post-intervention one-to-one semi-structured interview. Post-intervention mindfulness scores for both questionnaires increased significantly in comparison to pre-intervention scores. In interviews, participants were reportedly more aware and focused in instrumental lessons, were less self-critical, and developed increased body awareness, which improved their learning of instrumental technique. Participants also described enhanced teacher/pupil communication. In instrumental practice sessions, participants reported more efficient, effective and creative practice, and said that mindfulness exercises helped them deal with problems experienced while practising. Participants also described enhanced listening skills and improved socio-collaboration in ensemble rehearsals. They reported that mindfulness strategies had positive effects on music performance anxiety and described changes in time perception, enhanced expressivity, and positive post-performance effects. Future researchers could adopt a more robust methodology, such as a randomised controlled trial, and incorporate further design elements, such as longitudinal follow-up. Providing more systematic evidence of the beneficial role of mindfulness for conservatoire music students as learners and performers may encourage greater provision of such opportunities in musical settings in the future.","author":[{"dropping-particle":"","family":"Czajkowski","given":"Anne Marie Louise","non-dropping-particle":"","parse-names":false,"suffix":""},{"dropping-particle":"","family":"Greasley","given":"Alinka Elizabeth","non-dropping-particle":"","parse-names":false,"suffix":""},{"dropping-particle":"","family":"Allis","given":"Michael","non-dropping-particle":"","parse-names":false,"suffix":""}],"container-title":"Musicae Scientiae","id":"ITEM-3","issued":{"date-parts":[["2020"]]},"title":"Mindfulness for musicians: A mixed methods study investigating the effects of 8-week mindfulness courses on music students at a leading conservatoire","type":"article-journal"},"uris":["http://www.mendeley.com/documents/?uuid=f970a755-f86e-4cfa-a2d0-19410e603fa3"]}],"mendeley":{"formattedCitation":"(Creech and Hallam, 2015; Czajkowski, Greasley and Allis, 2020; Hogle, 2021)","plainTextFormattedCitation":"(Creech and Hallam, 2015; Czajkowski, Greasley and Allis, 2020; Hogle, 2021)","previouslyFormattedCitation":"(Creech and Hallam, 2015; Czajkowski, Greasley and Allis, 2020; Hogle, 2021)"},"properties":{"noteIndex":0},"schema":"https://github.com/citation-style-language/schema/raw/master/csl-citation.json"}</w:instrText>
      </w:r>
      <w:r>
        <w:rPr>
          <w:rFonts w:ascii="Arial" w:hAnsi="Arial" w:cs="Arial"/>
          <w:sz w:val="24"/>
          <w:szCs w:val="24"/>
        </w:rPr>
        <w:fldChar w:fldCharType="separate"/>
      </w:r>
      <w:r w:rsidRPr="00983465">
        <w:rPr>
          <w:rFonts w:ascii="Arial" w:hAnsi="Arial" w:cs="Arial"/>
          <w:noProof/>
          <w:sz w:val="24"/>
          <w:szCs w:val="24"/>
        </w:rPr>
        <w:t>(Creech and Hallam, 2015; Czajkowski, Greasley and Allis, 2020; Hogle, 2021)</w:t>
      </w:r>
      <w:r>
        <w:rPr>
          <w:rFonts w:ascii="Arial" w:hAnsi="Arial" w:cs="Arial"/>
          <w:sz w:val="24"/>
          <w:szCs w:val="24"/>
        </w:rPr>
        <w:fldChar w:fldCharType="end"/>
      </w:r>
      <w:r>
        <w:rPr>
          <w:rFonts w:ascii="Arial" w:hAnsi="Arial" w:cs="Arial"/>
          <w:sz w:val="24"/>
          <w:szCs w:val="24"/>
        </w:rPr>
        <w:t>.</w:t>
      </w:r>
    </w:p>
    <w:p w14:paraId="2DA8027A" w14:textId="22E42432" w:rsidR="007E3B8B" w:rsidRPr="00756B91" w:rsidRDefault="007E3B8B" w:rsidP="00756B91">
      <w:pPr>
        <w:spacing w:line="360" w:lineRule="auto"/>
        <w:jc w:val="both"/>
        <w:rPr>
          <w:rFonts w:ascii="Arial" w:hAnsi="Arial" w:cs="Arial"/>
          <w:b/>
          <w:color w:val="000000"/>
          <w:sz w:val="24"/>
          <w:szCs w:val="24"/>
        </w:rPr>
      </w:pPr>
      <w:r>
        <w:rPr>
          <w:rFonts w:ascii="Arial" w:hAnsi="Arial" w:cs="Arial"/>
          <w:sz w:val="24"/>
          <w:szCs w:val="24"/>
        </w:rPr>
        <w:t xml:space="preserve">The knowledge I gained from this research will influence my teaching choices immediately in preserving or improving self-efficacy in my students </w:t>
      </w:r>
      <w:r>
        <w:rPr>
          <w:rFonts w:ascii="Arial" w:hAnsi="Arial" w:cs="Arial"/>
          <w:sz w:val="24"/>
          <w:szCs w:val="24"/>
        </w:rPr>
        <w:fldChar w:fldCharType="begin" w:fldLock="1"/>
      </w:r>
      <w:r>
        <w:rPr>
          <w:rFonts w:ascii="Arial" w:hAnsi="Arial" w:cs="Arial"/>
          <w:sz w:val="24"/>
          <w:szCs w:val="24"/>
        </w:rPr>
        <w:instrText>ADDIN CSL_CITATION {"citationItems":[{"id":"ITEM-1","itemData":{"ISSN":"10867732","abstract":"The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Singing","id":"ITEM-1","issue":"4","issued":{"date-parts":[["2018"]]},"page":"405-414","title":"Critical Thought, Intrinsic Motivation, and the Voice Studio: Perspectives of Master Teachers.","type":"article-journal","volume":"74"},"uris":["http://www.mendeley.com/documents/?uuid=4030f552-7b94-4abf-bab4-c0b97b7babca"]}],"mendeley":{"formattedCitation":"(Stephenson, 2018)","plainTextFormattedCitation":"(Stephenson, 2018)","previouslyFormattedCitation":"(Stephenson, 2018)"},"properties":{"noteIndex":0},"schema":"https://github.com/citation-style-language/schema/raw/master/csl-citation.json"}</w:instrText>
      </w:r>
      <w:r>
        <w:rPr>
          <w:rFonts w:ascii="Arial" w:hAnsi="Arial" w:cs="Arial"/>
          <w:sz w:val="24"/>
          <w:szCs w:val="24"/>
        </w:rPr>
        <w:fldChar w:fldCharType="separate"/>
      </w:r>
      <w:r w:rsidRPr="006844ED">
        <w:rPr>
          <w:rFonts w:ascii="Arial" w:hAnsi="Arial" w:cs="Arial"/>
          <w:noProof/>
          <w:sz w:val="24"/>
          <w:szCs w:val="24"/>
        </w:rPr>
        <w:t>(Stephenson, 2018)</w:t>
      </w:r>
      <w:r>
        <w:rPr>
          <w:rFonts w:ascii="Arial" w:hAnsi="Arial" w:cs="Arial"/>
          <w:sz w:val="24"/>
          <w:szCs w:val="24"/>
        </w:rPr>
        <w:fldChar w:fldCharType="end"/>
      </w:r>
      <w:r>
        <w:rPr>
          <w:rFonts w:ascii="Arial" w:hAnsi="Arial" w:cs="Arial"/>
          <w:sz w:val="24"/>
          <w:szCs w:val="24"/>
        </w:rPr>
        <w:t xml:space="preserve">. It is particularly encouraging to know that there is hope for students </w:t>
      </w:r>
      <w:r w:rsidR="008D6789">
        <w:rPr>
          <w:rFonts w:ascii="Arial" w:hAnsi="Arial" w:cs="Arial"/>
          <w:sz w:val="24"/>
          <w:szCs w:val="24"/>
        </w:rPr>
        <w:t>who</w:t>
      </w:r>
      <w:r>
        <w:rPr>
          <w:rFonts w:ascii="Arial" w:hAnsi="Arial" w:cs="Arial"/>
          <w:sz w:val="24"/>
          <w:szCs w:val="24"/>
        </w:rPr>
        <w:t xml:space="preserve"> have self-efficacy wounds</w:t>
      </w:r>
      <w:r w:rsidR="009B67ED">
        <w:rPr>
          <w:rFonts w:ascii="Arial" w:hAnsi="Arial" w:cs="Arial"/>
          <w:sz w:val="24"/>
          <w:szCs w:val="24"/>
        </w:rPr>
        <w:t xml:space="preserve">; </w:t>
      </w:r>
      <w:r w:rsidR="00B90EE6">
        <w:rPr>
          <w:rFonts w:ascii="Arial" w:hAnsi="Arial" w:cs="Arial"/>
          <w:sz w:val="24"/>
          <w:szCs w:val="24"/>
        </w:rPr>
        <w:t>I</w:t>
      </w:r>
      <w:r w:rsidR="00FC5A97">
        <w:rPr>
          <w:rFonts w:ascii="Arial" w:hAnsi="Arial" w:cs="Arial"/>
          <w:sz w:val="24"/>
          <w:szCs w:val="24"/>
        </w:rPr>
        <w:t>’m pleased that they can</w:t>
      </w:r>
      <w:r>
        <w:rPr>
          <w:rFonts w:ascii="Arial" w:hAnsi="Arial" w:cs="Arial"/>
          <w:sz w:val="24"/>
          <w:szCs w:val="24"/>
        </w:rPr>
        <w:t xml:space="preserve"> greater enjoyment and comfort in their singing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beliefs","type":"article-journal"},"uris":["http://www.mendeley.com/documents/?uuid=d1469298-0bbc-4c76-afcd-e0c4086da712"]},{"id":"ITEM-3","itemData":{"DOI":"10.18546/LRE.13.1.05","ISSN":"14748479","abstract":"The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Education","id":"ITEM-3","issue":"1","issued":{"date-parts":[["2015"]]},"page":"43-57","title":"Critical geragogy: A framework for facilitating older learners in community music","type":"article-journal","volume":"13"},"uris":["http://www.mendeley.com/documents/?uuid=fa50dd99-4e1e-44de-a3f2-30dd41815d00"]}],"mendeley":{"formattedCitation":"(Creech and Hallam, 2015; Hogle, 2021; Lewis and Hendricks, 2022)","plainTextFormattedCitation":"(Creech and Hallam, 2015; Hogle, 2021; Lewis and Hendricks, 2022)","previouslyFormattedCitation":"(Creech and Hallam, 2015; Hogle, 2021; Lewis and Hendricks, 2022)"},"properties":{"noteIndex":0},"schema":"https://github.com/citation-style-language/schema/raw/master/csl-citation.json"}</w:instrText>
      </w:r>
      <w:r>
        <w:rPr>
          <w:rFonts w:ascii="Arial" w:hAnsi="Arial" w:cs="Arial"/>
          <w:sz w:val="24"/>
          <w:szCs w:val="24"/>
        </w:rPr>
        <w:fldChar w:fldCharType="separate"/>
      </w:r>
      <w:r w:rsidRPr="00712EA9">
        <w:rPr>
          <w:rFonts w:ascii="Arial" w:hAnsi="Arial" w:cs="Arial"/>
          <w:noProof/>
          <w:sz w:val="24"/>
          <w:szCs w:val="24"/>
        </w:rPr>
        <w:t>(Creech and Hallam, 2015; Hogle, 2021; Lewis and Hendricks, 2022)</w:t>
      </w:r>
      <w:r>
        <w:rPr>
          <w:rFonts w:ascii="Arial" w:hAnsi="Arial" w:cs="Arial"/>
          <w:sz w:val="24"/>
          <w:szCs w:val="24"/>
        </w:rPr>
        <w:fldChar w:fldCharType="end"/>
      </w:r>
      <w:r>
        <w:rPr>
          <w:rFonts w:ascii="Arial" w:hAnsi="Arial" w:cs="Arial"/>
          <w:sz w:val="24"/>
          <w:szCs w:val="24"/>
        </w:rPr>
        <w:t xml:space="preserve">. Having </w:t>
      </w:r>
      <w:r w:rsidR="00364F14">
        <w:rPr>
          <w:rFonts w:ascii="Arial" w:hAnsi="Arial" w:cs="Arial"/>
          <w:sz w:val="24"/>
          <w:szCs w:val="24"/>
        </w:rPr>
        <w:t xml:space="preserve">gained </w:t>
      </w:r>
      <w:r>
        <w:rPr>
          <w:rFonts w:ascii="Arial" w:hAnsi="Arial" w:cs="Arial"/>
          <w:sz w:val="24"/>
          <w:szCs w:val="24"/>
        </w:rPr>
        <w:t>a</w:t>
      </w:r>
      <w:r w:rsidR="00DC3E81">
        <w:rPr>
          <w:rFonts w:ascii="Arial" w:hAnsi="Arial" w:cs="Arial"/>
          <w:sz w:val="24"/>
          <w:szCs w:val="24"/>
        </w:rPr>
        <w:t>n</w:t>
      </w:r>
      <w:r>
        <w:rPr>
          <w:rFonts w:ascii="Arial" w:hAnsi="Arial" w:cs="Arial"/>
          <w:sz w:val="24"/>
          <w:szCs w:val="24"/>
        </w:rPr>
        <w:t xml:space="preserve"> understanding of self-efficacy</w:t>
      </w:r>
      <w:r w:rsidR="00364F14">
        <w:rPr>
          <w:rFonts w:ascii="Arial" w:hAnsi="Arial" w:cs="Arial"/>
          <w:sz w:val="24"/>
          <w:szCs w:val="24"/>
        </w:rPr>
        <w:t>, I can</w:t>
      </w:r>
      <w:r>
        <w:rPr>
          <w:rFonts w:ascii="Arial" w:hAnsi="Arial" w:cs="Arial"/>
          <w:sz w:val="24"/>
          <w:szCs w:val="24"/>
        </w:rPr>
        <w:t xml:space="preserve"> incorporat</w:t>
      </w:r>
      <w:r w:rsidR="00364F14">
        <w:rPr>
          <w:rFonts w:ascii="Arial" w:hAnsi="Arial" w:cs="Arial"/>
          <w:sz w:val="24"/>
          <w:szCs w:val="24"/>
        </w:rPr>
        <w:t>e</w:t>
      </w:r>
      <w:r>
        <w:rPr>
          <w:rFonts w:ascii="Arial" w:hAnsi="Arial" w:cs="Arial"/>
          <w:sz w:val="24"/>
          <w:szCs w:val="24"/>
        </w:rPr>
        <w:t xml:space="preserve"> </w:t>
      </w:r>
      <w:r w:rsidR="001866D7">
        <w:rPr>
          <w:rFonts w:ascii="Arial" w:hAnsi="Arial" w:cs="Arial"/>
          <w:sz w:val="24"/>
          <w:szCs w:val="24"/>
        </w:rPr>
        <w:t>additional</w:t>
      </w:r>
      <w:r>
        <w:rPr>
          <w:rFonts w:ascii="Arial" w:hAnsi="Arial" w:cs="Arial"/>
          <w:sz w:val="24"/>
          <w:szCs w:val="24"/>
        </w:rPr>
        <w:t xml:space="preserve"> strategies into my teaching</w:t>
      </w:r>
      <w:r w:rsidR="00364F14">
        <w:rPr>
          <w:rFonts w:ascii="Arial" w:hAnsi="Arial" w:cs="Arial"/>
          <w:sz w:val="24"/>
          <w:szCs w:val="24"/>
        </w:rPr>
        <w:t xml:space="preserve">. </w:t>
      </w:r>
      <w:r w:rsidR="006E5D08">
        <w:rPr>
          <w:rFonts w:ascii="Arial" w:hAnsi="Arial" w:cs="Arial"/>
          <w:sz w:val="24"/>
          <w:szCs w:val="24"/>
        </w:rPr>
        <w:t>These additional strategies</w:t>
      </w:r>
      <w:r>
        <w:rPr>
          <w:rFonts w:ascii="Arial" w:hAnsi="Arial" w:cs="Arial"/>
          <w:sz w:val="24"/>
          <w:szCs w:val="24"/>
        </w:rPr>
        <w:t xml:space="preserve"> </w:t>
      </w:r>
      <w:r w:rsidR="006E5D08">
        <w:rPr>
          <w:rFonts w:ascii="Arial" w:hAnsi="Arial" w:cs="Arial"/>
          <w:sz w:val="24"/>
          <w:szCs w:val="24"/>
        </w:rPr>
        <w:t xml:space="preserve">can lead to </w:t>
      </w:r>
      <w:r>
        <w:rPr>
          <w:rFonts w:ascii="Arial" w:hAnsi="Arial" w:cs="Arial"/>
          <w:sz w:val="24"/>
          <w:szCs w:val="24"/>
        </w:rPr>
        <w:t>increased opportunities for my students</w:t>
      </w:r>
      <w:r w:rsidR="00AB5C65">
        <w:rPr>
          <w:rFonts w:ascii="Arial" w:hAnsi="Arial" w:cs="Arial"/>
          <w:sz w:val="24"/>
          <w:szCs w:val="24"/>
        </w:rPr>
        <w:t>,</w:t>
      </w:r>
      <w:r>
        <w:rPr>
          <w:rFonts w:ascii="Arial" w:hAnsi="Arial" w:cs="Arial"/>
          <w:sz w:val="24"/>
          <w:szCs w:val="24"/>
        </w:rPr>
        <w:t xml:space="preserve"> of any age</w:t>
      </w:r>
      <w:r w:rsidR="00AB5C65">
        <w:rPr>
          <w:rFonts w:ascii="Arial" w:hAnsi="Arial" w:cs="Arial"/>
          <w:sz w:val="24"/>
          <w:szCs w:val="24"/>
        </w:rPr>
        <w:t>,</w:t>
      </w:r>
      <w:r>
        <w:rPr>
          <w:rFonts w:ascii="Arial" w:hAnsi="Arial" w:cs="Arial"/>
          <w:sz w:val="24"/>
          <w:szCs w:val="24"/>
        </w:rPr>
        <w:t xml:space="preserve"> to have positive learning experiences which support their self-efficacy </w:t>
      </w:r>
      <w:r>
        <w:rPr>
          <w:rFonts w:ascii="Arial" w:hAnsi="Arial" w:cs="Arial"/>
          <w:sz w:val="24"/>
          <w:szCs w:val="24"/>
        </w:rPr>
        <w:fldChar w:fldCharType="begin" w:fldLock="1"/>
      </w:r>
      <w:r>
        <w:rPr>
          <w:rFonts w:ascii="Arial" w:hAnsi="Arial" w:cs="Arial"/>
          <w:sz w:val="24"/>
          <w:szCs w:val="24"/>
        </w:rPr>
        <w:instrText>ADDIN CSL_CITATION {"citationItems":[{"id":"ITEM-1","itemData":{"ISSN":"10867732","abstract":"The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Singing","id":"ITEM-1","issue":"4","issued":{"date-parts":[["2018"]]},"page":"405-414","title":"Critical Thought, Intrinsic Motivation, and the Voice Studio: Perspectives of Master Teachers.","type":"article-journal","volume":"74"},"uris":["http://www.mendeley.com/documents/?uuid=4030f552-7b94-4abf-bab4-c0b97b7babca"]},{"id":"ITEM-2","itemData":{"DOI":"10.1177/1321103X20930426","ISSN":"18345530","abstract":"The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Education","id":"ITEM-2","issue":"2","issued":{"date-parts":[["2021"]]},"page":"179-194","title":"Fostering singing agency through emotional differentiation in an inclusive singing environment","type":"article-journal","volume":"43"},"uris":["http://www.mendeley.com/documents/?uuid=df4ddb6b-d417-411f-9261-d87aba0aa367"]},{"id":"ITEM-3","itemData":{"DOI":"10.18546/LRE.13.1.05","ISSN":"14748479","abstract":"The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Education","id":"ITEM-3","issue":"1","issued":{"date-parts":[["2015"]]},"page":"43-57","title":"Critical geragogy: A framework for facilitating older learners in community music","type":"article-journal","volume":"13"},"uris":["http://www.mendeley.com/documents/?uuid=fa50dd99-4e1e-44de-a3f2-30dd41815d00"]},{"id":"ITEM-4","itemData":{"DOI":"10.1177/0022429411405214","ISSN":"00224294","abstract":"The Self-Efficacy for Musical Learning questionnaire was adapted and tested with 404 primary school children, producing a robust Cronbach alpha (0.87) and confirming a single underlying factor through exploratory factor analysis. Test-retest scores showed the measure's stability over a 9-month period. Data were collected on children's prior music experience, extracurricular activities, and typical daily activities. Children also completed the Short Warwick-Edinburgh Mental Well-Being Scale and the Strengths and Difficulties Questionnaire. Those currently engaged in music tuition (learning an instrument or singing) had significantly higher self-efficacy scores than children who were not, and overall, girls' scores were significantly higher than boys'. Correlations with various additional measures, including wellbeing and reading for pleasure, highlighted multifaceted relationships of self-efficacy to children's lives. Regression analyses revealed that prior experience with instrumental tuition was the strongest predictor of music self-efficacy for learning; prosocial behaviors predicted boys' scores, and well-being predicted girls' scores. © 2011 MENC: The National Association for Music Education.","author":[{"dropping-particle":"","family":"Ritchie","given":"Laura","non-dropping-particle":"","parse-names":false,"suffix":""},{"dropping-particle":"","family":"Williamon","given":"Aaron","non-dropping-particle":"","parse-names":false,"suffix":""}],"container-title":"Journal of Research in Music Education","id":"ITEM-4","issue":"2","issued":{"date-parts":[["2011"]]},"page":"146-161","title":"Primary school children's Self-efficacy for Music Learning","type":"article-journal","volume":"59"},"uris":["http://www.mendeley.com/documents/?uuid=240473f6-1468-4960-8481-528f722fddd9"]}],"mendeley":{"formattedCitation":"(Ritchie and Williamon, 2011; Creech and Hallam, 2015; Stephenson, 2018; Hogle, 2021)","plainTextFormattedCitation":"(Ritchie and Williamon, 2011; Creech and Hallam, 2015; Stephenson, 2018; Hogle, 2021)","previouslyFormattedCitation":"(Ritchie and Williamon, 2011; Creech and Hallam, 2015; Stephenson, 2018; Hogle, 2021)"},"properties":{"noteIndex":0},"schema":"https://github.com/citation-style-language/schema/raw/master/csl-citation.json"}</w:instrText>
      </w:r>
      <w:r>
        <w:rPr>
          <w:rFonts w:ascii="Arial" w:hAnsi="Arial" w:cs="Arial"/>
          <w:sz w:val="24"/>
          <w:szCs w:val="24"/>
        </w:rPr>
        <w:fldChar w:fldCharType="separate"/>
      </w:r>
      <w:r w:rsidRPr="004424FA">
        <w:rPr>
          <w:rFonts w:ascii="Arial" w:hAnsi="Arial" w:cs="Arial"/>
          <w:noProof/>
          <w:sz w:val="24"/>
          <w:szCs w:val="24"/>
        </w:rPr>
        <w:t>(Ritchie and Williamon, 2011; Creech and Hallam, 2015; Stephenson, 2018; Hogle, 2021)</w:t>
      </w:r>
      <w:r>
        <w:rPr>
          <w:rFonts w:ascii="Arial" w:hAnsi="Arial" w:cs="Arial"/>
          <w:sz w:val="24"/>
          <w:szCs w:val="24"/>
        </w:rPr>
        <w:fldChar w:fldCharType="end"/>
      </w:r>
      <w:r>
        <w:rPr>
          <w:rFonts w:ascii="Arial" w:hAnsi="Arial" w:cs="Arial"/>
          <w:sz w:val="24"/>
          <w:szCs w:val="24"/>
        </w:rPr>
        <w:t xml:space="preserve">. </w:t>
      </w:r>
      <w:r w:rsidR="00960047">
        <w:rPr>
          <w:rFonts w:ascii="Arial" w:hAnsi="Arial" w:cs="Arial"/>
          <w:sz w:val="24"/>
          <w:szCs w:val="24"/>
        </w:rPr>
        <w:t>See appendix 5</w:t>
      </w:r>
      <w:r w:rsidR="00E61C2B">
        <w:rPr>
          <w:rFonts w:ascii="Arial" w:hAnsi="Arial" w:cs="Arial"/>
          <w:sz w:val="24"/>
          <w:szCs w:val="24"/>
        </w:rPr>
        <w:t xml:space="preserve">: Self-efficacy toolkit, a summary of findings from this report. </w:t>
      </w:r>
      <w:r w:rsidR="00752E30">
        <w:rPr>
          <w:rFonts w:ascii="Arial" w:hAnsi="Arial" w:cs="Arial"/>
          <w:sz w:val="24"/>
          <w:szCs w:val="24"/>
        </w:rPr>
        <w:t>Outside my teaching practice, t</w:t>
      </w:r>
      <w:r>
        <w:rPr>
          <w:rFonts w:ascii="Arial" w:hAnsi="Arial" w:cs="Arial"/>
          <w:sz w:val="24"/>
          <w:szCs w:val="24"/>
        </w:rPr>
        <w:t xml:space="preserve">his knowledge could </w:t>
      </w:r>
      <w:r w:rsidR="00132EF1">
        <w:rPr>
          <w:rFonts w:ascii="Arial" w:hAnsi="Arial" w:cs="Arial"/>
          <w:sz w:val="24"/>
          <w:szCs w:val="24"/>
        </w:rPr>
        <w:t>help</w:t>
      </w:r>
      <w:r>
        <w:rPr>
          <w:rFonts w:ascii="Arial" w:hAnsi="Arial" w:cs="Arial"/>
          <w:sz w:val="24"/>
          <w:szCs w:val="24"/>
        </w:rPr>
        <w:t xml:space="preserve"> the singing community to avoid situations which cause self-efficacy wounds</w:t>
      </w:r>
      <w:r w:rsidR="003D5FC5">
        <w:rPr>
          <w:rFonts w:ascii="Arial" w:hAnsi="Arial" w:cs="Arial"/>
          <w:sz w:val="24"/>
          <w:szCs w:val="24"/>
        </w:rPr>
        <w:t xml:space="preserve">. Singer teachers could </w:t>
      </w:r>
      <w:r w:rsidR="006F24B0">
        <w:rPr>
          <w:rFonts w:ascii="Arial" w:hAnsi="Arial" w:cs="Arial"/>
          <w:sz w:val="24"/>
          <w:szCs w:val="24"/>
        </w:rPr>
        <w:t>achieve this</w:t>
      </w:r>
      <w:r>
        <w:rPr>
          <w:rFonts w:ascii="Arial" w:hAnsi="Arial" w:cs="Arial"/>
          <w:sz w:val="24"/>
          <w:szCs w:val="24"/>
        </w:rPr>
        <w:t xml:space="preserve"> </w:t>
      </w:r>
      <w:r w:rsidR="00132EF1">
        <w:rPr>
          <w:rFonts w:ascii="Arial" w:hAnsi="Arial" w:cs="Arial"/>
          <w:sz w:val="24"/>
          <w:szCs w:val="24"/>
        </w:rPr>
        <w:t>by</w:t>
      </w:r>
      <w:r>
        <w:rPr>
          <w:rFonts w:ascii="Arial" w:hAnsi="Arial" w:cs="Arial"/>
          <w:sz w:val="24"/>
          <w:szCs w:val="24"/>
        </w:rPr>
        <w:t xml:space="preserve"> incorporat</w:t>
      </w:r>
      <w:r w:rsidR="00132EF1">
        <w:rPr>
          <w:rFonts w:ascii="Arial" w:hAnsi="Arial" w:cs="Arial"/>
          <w:sz w:val="24"/>
          <w:szCs w:val="24"/>
        </w:rPr>
        <w:t>ing</w:t>
      </w:r>
      <w:r>
        <w:rPr>
          <w:rFonts w:ascii="Arial" w:hAnsi="Arial" w:cs="Arial"/>
          <w:sz w:val="24"/>
          <w:szCs w:val="24"/>
        </w:rPr>
        <w:t xml:space="preserve"> self-efficacy strategies into their lessons</w:t>
      </w:r>
      <w:r w:rsidR="006F24B0">
        <w:rPr>
          <w:rFonts w:ascii="Arial" w:hAnsi="Arial" w:cs="Arial"/>
          <w:sz w:val="24"/>
          <w:szCs w:val="24"/>
        </w:rPr>
        <w:t xml:space="preserve"> and the singing community could </w:t>
      </w:r>
      <w:r w:rsidR="00BD0AF4">
        <w:rPr>
          <w:rFonts w:ascii="Arial" w:hAnsi="Arial" w:cs="Arial"/>
          <w:sz w:val="24"/>
          <w:szCs w:val="24"/>
        </w:rPr>
        <w:t>adopt styles of feedback which support self-efficacy</w:t>
      </w:r>
      <w:r>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Education","id":"ITEM-2","issue":"1","issued":{"date-parts":[["2015"]]},"page":"43-57","title":"Critical geragogy: A framework for facilitating older learners in community music","type":"article-journal","volume":"13"},"uris":["http://www.mendeley.com/documents/?uuid=fa50dd99-4e1e-44de-a3f2-30dd41815d00"]},{"id":"ITEM-3","itemData":{"DOI":"10.1177/02557614221074057","ISBN":"0255761422107","ISSN":"1744795X","abstract":"Fostering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Education","id":"ITEM-3","issued":{"date-parts":[["2022"]]},"title":"“It’s your body, it’s part of who you are!”: Influences upon collegiate vocalists’ performance self-efficacy beliefs","type":"article-journal"},"uris":["http://www.mendeley.com/documents/?uuid=d1469298-0bbc-4c76-afcd-e0c4086da712"]},{"id":"ITEM-4","itemData":{"ISSN":"10867732","abstract":"The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Singing","id":"ITEM-4","issue":"4","issued":{"date-parts":[["2018"]]},"page":"405-414","title":"Critical Thought, Intrinsic Motivation, and the Voice Studio: Perspectives of Master Teachers.","type":"article-journal","volume":"74"},"uris":["http://www.mendeley.com/documents/?uuid=4030f552-7b94-4abf-bab4-c0b97b7babca"]}],"mendeley":{"formattedCitation":"(Creech and Hallam, 2015; Stephenson, 2018; Hogle, 2021; Lewis and Hendricks, 2022)","plainTextFormattedCitation":"(Creech and Hallam, 2015; Stephenson, 2018; Hogle, 2021; Lewis and Hendricks, 2022)","previouslyFormattedCitation":"(Creech and Hallam, 2015; Stephenson, 2018; Hogle, 2021; Lewis and Hendricks, 2022)"},"properties":{"noteIndex":0},"schema":"https://github.com/citation-style-language/schema/raw/master/csl-citation.json"}</w:instrText>
      </w:r>
      <w:r>
        <w:rPr>
          <w:rFonts w:ascii="Arial" w:hAnsi="Arial" w:cs="Arial"/>
          <w:sz w:val="24"/>
          <w:szCs w:val="24"/>
        </w:rPr>
        <w:fldChar w:fldCharType="separate"/>
      </w:r>
      <w:r w:rsidRPr="00F30396">
        <w:rPr>
          <w:rFonts w:ascii="Arial" w:hAnsi="Arial" w:cs="Arial"/>
          <w:noProof/>
          <w:sz w:val="24"/>
          <w:szCs w:val="24"/>
        </w:rPr>
        <w:t>(Creech and Hallam, 2015; Stephenson, 2018; Hogle, 2021; Lewis and Hendricks, 2022)</w:t>
      </w:r>
      <w:r>
        <w:rPr>
          <w:rFonts w:ascii="Arial" w:hAnsi="Arial" w:cs="Arial"/>
          <w:sz w:val="24"/>
          <w:szCs w:val="24"/>
        </w:rPr>
        <w:fldChar w:fldCharType="end"/>
      </w:r>
      <w:r>
        <w:rPr>
          <w:rFonts w:ascii="Arial" w:hAnsi="Arial" w:cs="Arial"/>
          <w:sz w:val="24"/>
          <w:szCs w:val="24"/>
        </w:rPr>
        <w:t xml:space="preserve">. </w:t>
      </w:r>
      <w:r w:rsidR="00D37760">
        <w:rPr>
          <w:rFonts w:ascii="Arial" w:hAnsi="Arial" w:cs="Arial"/>
          <w:sz w:val="24"/>
          <w:szCs w:val="24"/>
        </w:rPr>
        <w:t xml:space="preserve">It is possible that </w:t>
      </w:r>
      <w:r w:rsidR="001E75AA">
        <w:rPr>
          <w:rFonts w:ascii="Arial" w:hAnsi="Arial" w:cs="Arial"/>
          <w:sz w:val="24"/>
          <w:szCs w:val="24"/>
        </w:rPr>
        <w:t xml:space="preserve">some attitudes of the singing community could </w:t>
      </w:r>
      <w:r w:rsidR="00DE4F15">
        <w:rPr>
          <w:rFonts w:ascii="Arial" w:hAnsi="Arial" w:cs="Arial"/>
          <w:sz w:val="24"/>
          <w:szCs w:val="24"/>
        </w:rPr>
        <w:t>change</w:t>
      </w:r>
      <w:r w:rsidR="000B67CC">
        <w:rPr>
          <w:rFonts w:ascii="Arial" w:hAnsi="Arial" w:cs="Arial"/>
          <w:sz w:val="24"/>
          <w:szCs w:val="24"/>
        </w:rPr>
        <w:t>. If binary ideas</w:t>
      </w:r>
      <w:r w:rsidR="001430A3">
        <w:rPr>
          <w:rFonts w:ascii="Arial" w:hAnsi="Arial" w:cs="Arial"/>
          <w:sz w:val="24"/>
          <w:szCs w:val="24"/>
        </w:rPr>
        <w:t>,</w:t>
      </w:r>
      <w:r w:rsidR="000B67CC">
        <w:rPr>
          <w:rFonts w:ascii="Arial" w:hAnsi="Arial" w:cs="Arial"/>
          <w:sz w:val="24"/>
          <w:szCs w:val="24"/>
        </w:rPr>
        <w:t xml:space="preserve"> such</w:t>
      </w:r>
      <w:r w:rsidR="001430A3">
        <w:rPr>
          <w:rFonts w:ascii="Arial" w:hAnsi="Arial" w:cs="Arial"/>
          <w:sz w:val="24"/>
          <w:szCs w:val="24"/>
        </w:rPr>
        <w:t xml:space="preserve"> as singers being gifted, </w:t>
      </w:r>
      <w:r w:rsidR="00E82B1E">
        <w:rPr>
          <w:rFonts w:ascii="Arial" w:hAnsi="Arial" w:cs="Arial"/>
          <w:sz w:val="24"/>
          <w:szCs w:val="24"/>
        </w:rPr>
        <w:t>became developmental process</w:t>
      </w:r>
      <w:r w:rsidR="00354A9F">
        <w:rPr>
          <w:rFonts w:ascii="Arial" w:hAnsi="Arial" w:cs="Arial"/>
          <w:sz w:val="24"/>
          <w:szCs w:val="24"/>
        </w:rPr>
        <w:t>-</w:t>
      </w:r>
      <w:r w:rsidR="00E82B1E">
        <w:rPr>
          <w:rFonts w:ascii="Arial" w:hAnsi="Arial" w:cs="Arial"/>
          <w:sz w:val="24"/>
          <w:szCs w:val="24"/>
        </w:rPr>
        <w:t xml:space="preserve">led </w:t>
      </w:r>
      <w:r w:rsidR="00024CC4">
        <w:rPr>
          <w:rFonts w:ascii="Arial" w:hAnsi="Arial" w:cs="Arial"/>
          <w:sz w:val="24"/>
          <w:szCs w:val="24"/>
        </w:rPr>
        <w:t xml:space="preserve">approaches it could lead to </w:t>
      </w:r>
      <w:r w:rsidR="00DE4F15">
        <w:rPr>
          <w:rFonts w:ascii="Arial" w:hAnsi="Arial" w:cs="Arial"/>
          <w:sz w:val="24"/>
          <w:szCs w:val="24"/>
        </w:rPr>
        <w:t>increased opportunities</w:t>
      </w:r>
      <w:r w:rsidR="00024CC4">
        <w:rPr>
          <w:rFonts w:ascii="Arial" w:hAnsi="Arial" w:cs="Arial"/>
          <w:sz w:val="24"/>
          <w:szCs w:val="24"/>
        </w:rPr>
        <w:t xml:space="preserve"> for singers </w:t>
      </w:r>
      <w:r w:rsidR="0019657B">
        <w:rPr>
          <w:rFonts w:ascii="Arial" w:hAnsi="Arial" w:cs="Arial"/>
          <w:sz w:val="24"/>
          <w:szCs w:val="24"/>
        </w:rPr>
        <w:t>to develop self-efficacy</w:t>
      </w:r>
      <w:r w:rsidR="00B43BFD">
        <w:rPr>
          <w:rFonts w:ascii="Arial" w:hAnsi="Arial" w:cs="Arial"/>
          <w:sz w:val="24"/>
          <w:szCs w:val="24"/>
        </w:rPr>
        <w:t xml:space="preserve">. This could be an antidote to situations such as </w:t>
      </w:r>
      <w:r w:rsidR="000A1CDB">
        <w:rPr>
          <w:rFonts w:ascii="Arial" w:hAnsi="Arial" w:cs="Arial"/>
          <w:sz w:val="24"/>
          <w:szCs w:val="24"/>
        </w:rPr>
        <w:t xml:space="preserve">fewer </w:t>
      </w:r>
      <w:r w:rsidR="00044C56">
        <w:rPr>
          <w:rFonts w:ascii="Arial" w:hAnsi="Arial" w:cs="Arial"/>
          <w:sz w:val="24"/>
          <w:szCs w:val="24"/>
        </w:rPr>
        <w:t xml:space="preserve">women entering the </w:t>
      </w:r>
      <w:r w:rsidR="000A1CDB">
        <w:rPr>
          <w:rFonts w:ascii="Arial" w:hAnsi="Arial" w:cs="Arial"/>
          <w:sz w:val="24"/>
          <w:szCs w:val="24"/>
        </w:rPr>
        <w:t xml:space="preserve">field of </w:t>
      </w:r>
      <w:r w:rsidR="00044C56">
        <w:rPr>
          <w:rFonts w:ascii="Arial" w:hAnsi="Arial" w:cs="Arial"/>
          <w:sz w:val="24"/>
          <w:szCs w:val="24"/>
        </w:rPr>
        <w:t xml:space="preserve">jazz </w:t>
      </w:r>
      <w:r w:rsidR="000A1CDB">
        <w:rPr>
          <w:rFonts w:ascii="Arial" w:hAnsi="Arial" w:cs="Arial"/>
          <w:sz w:val="24"/>
          <w:szCs w:val="24"/>
        </w:rPr>
        <w:fldChar w:fldCharType="begin" w:fldLock="1"/>
      </w:r>
      <w:r w:rsidR="009827C5">
        <w:rPr>
          <w:rFonts w:ascii="Arial" w:hAnsi="Arial" w:cs="Arial"/>
          <w:sz w:val="24"/>
          <w:szCs w:val="24"/>
        </w:rPr>
        <w:instrText>ADDIN CSL_CITATION {"citationItems":[{"id":"ITEM-1","itemData":{"DOI":"10.1177/0255761415619392","ISSN":"1744795X","abstract":"Jazz has long been recognized as a male-dominated field, with females traditionally having only limited acceptance, often in the roles of singer and pianist. Researchers have explored sources of the gender imbalance in the field of jazz and jazz education, but there is no theory or framework to organize such findings. This directed content analysis of the journal Jazz Changes, the official magazine of the International Association of Schools of Jazz published from 1994 to 2000, analyzed published answers to the following question posited by the journal editors, \"Women in Jazz: Why aren't there more women in jazz education?\" Analysis suggests a model including three social-psychological theories to describe the female experience in jazz. The theories include Rosabeth Kanter's theory of tokenism, which describes a learning environment that females might perceive or experience in jazz; Claude Steele and Joshua Aronson's theory of stereotype threat, which offers insight into why female musicians might make a choice to not participate, or discontinue participation, in the jazz idiom; and Albert Bandura's theory of self-efficacy, which is offered as a possible guide to providing instruction in jazz that fosters female participation. These theories are offered together as a model framework for future study of both historical and present experiences in gender and jazz.","author":[{"dropping-particle":"","family":"Wehr","given":"Erin L.","non-dropping-particle":"","parse-names":false,"suffix":""}],"container-title":"International Journal of Music Education","id":"ITEM-1","issue":"4","issued":{"date-parts":[["2016"]]},"page":"472-487","title":"Understanding the experiences of women in jazz: A suggested model","type":"article-journal","volume":"34"},"uris":["http://www.mendeley.com/documents/?uuid=add8c84d-1eb5-4330-b55e-bec3d25a4f5d"]}],"mendeley":{"formattedCitation":"(Wehr, 2016)","plainTextFormattedCitation":"(Wehr, 2016)","previouslyFormattedCitation":"(Wehr, 2016)"},"properties":{"noteIndex":0},"schema":"https://github.com/citation-style-language/schema/raw/master/csl-citation.json"}</w:instrText>
      </w:r>
      <w:r w:rsidR="000A1CDB">
        <w:rPr>
          <w:rFonts w:ascii="Arial" w:hAnsi="Arial" w:cs="Arial"/>
          <w:sz w:val="24"/>
          <w:szCs w:val="24"/>
        </w:rPr>
        <w:fldChar w:fldCharType="separate"/>
      </w:r>
      <w:r w:rsidR="000A1CDB" w:rsidRPr="000A1CDB">
        <w:rPr>
          <w:rFonts w:ascii="Arial" w:hAnsi="Arial" w:cs="Arial"/>
          <w:noProof/>
          <w:sz w:val="24"/>
          <w:szCs w:val="24"/>
        </w:rPr>
        <w:t>(Wehr, 2016)</w:t>
      </w:r>
      <w:r w:rsidR="000A1CDB">
        <w:rPr>
          <w:rFonts w:ascii="Arial" w:hAnsi="Arial" w:cs="Arial"/>
          <w:sz w:val="24"/>
          <w:szCs w:val="24"/>
        </w:rPr>
        <w:fldChar w:fldCharType="end"/>
      </w:r>
      <w:r w:rsidR="000A1CDB">
        <w:rPr>
          <w:rFonts w:ascii="Arial" w:hAnsi="Arial" w:cs="Arial"/>
          <w:sz w:val="24"/>
          <w:szCs w:val="24"/>
        </w:rPr>
        <w:t>.</w:t>
      </w:r>
      <w:r w:rsidR="00DE4F15">
        <w:rPr>
          <w:rFonts w:ascii="Arial" w:hAnsi="Arial" w:cs="Arial"/>
          <w:sz w:val="24"/>
          <w:szCs w:val="24"/>
        </w:rPr>
        <w:t xml:space="preserve"> </w:t>
      </w:r>
      <w:r w:rsidR="001E75AA">
        <w:rPr>
          <w:rFonts w:ascii="Arial" w:hAnsi="Arial" w:cs="Arial"/>
          <w:sz w:val="24"/>
          <w:szCs w:val="24"/>
        </w:rPr>
        <w:t xml:space="preserve"> </w:t>
      </w:r>
      <w:r>
        <w:rPr>
          <w:rFonts w:ascii="Arial" w:hAnsi="Arial" w:cs="Arial"/>
          <w:sz w:val="24"/>
          <w:szCs w:val="24"/>
        </w:rPr>
        <w:t xml:space="preserve">Singing teachers and students </w:t>
      </w:r>
      <w:r w:rsidR="00122410">
        <w:rPr>
          <w:rFonts w:ascii="Arial" w:hAnsi="Arial" w:cs="Arial"/>
          <w:sz w:val="24"/>
          <w:szCs w:val="24"/>
        </w:rPr>
        <w:t xml:space="preserve">may also </w:t>
      </w:r>
      <w:r>
        <w:rPr>
          <w:rFonts w:ascii="Arial" w:hAnsi="Arial" w:cs="Arial"/>
          <w:sz w:val="24"/>
          <w:szCs w:val="24"/>
        </w:rPr>
        <w:t xml:space="preserve">find greater enjoyment and satisfaction from the improved rapport that can accompany a self-efficacy led process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Singing","id":"ITEM-2","issue":"4","issued":{"date-parts":[["2018"]]},"page":"405-414","title":"Critical Thought, Intrinsic Motivation, and the Voice Studio: Perspectives of Master Teachers.","type":"article-journal","volume":"74"},"uris":["http://www.mendeley.com/documents/?uuid=4030f552-7b94-4abf-bab4-c0b97b7babca"]},{"id":"ITEM-3","itemData":{"ISBN":"10867732","PMID":"85987196","abstract":"The article focuses on the use of feedback and biofeedback in voice studio learning. It states that feedback is only helpful when necessary, with less frequent feedback being more effective. It comments that voice instructors should avoid overloading students with unnecessary information and to wait a few seconds before providing feedback so students can develop the ability to critically evaluate their performances. It talks about differences in prescriptive and descriptive feedback, along with disadvantages of each. It recommends keeping biofeedback in perspective and suggests while it can be beneficial, its use should receive the same consideration as other types of feedback.","author":[{"dropping-particle":"","family":"Maxfield","given":"Lynn","non-dropping-particle":"","parse-names":false,"suffix":""}],"container-title":"Journal of Singing","id":"ITEM-3","issue":"4","issued":{"date-parts":[["2013"]]},"page":"471-478","title":"Improve Your Students' Learning by Improving Your Feedback","type":"article-journal","volume":"69"},"uris":["http://www.mendeley.com/documents/?uuid=666bc0d7-3b6f-4772-b00d-e201036e218f"]}],"mendeley":{"formattedCitation":"(Maxfield, 2013; Stephenson, 2018; Lewis and Hendricks, 2022)","plainTextFormattedCitation":"(Maxfield, 2013; Stephenson, 2018; Lewis and Hendricks, 2022)","previouslyFormattedCitation":"(Maxfield, 2013; Stephenson, 2018; Lewis and Hendricks, 2022)"},"properties":{"noteIndex":0},"schema":"https://github.com/citation-style-language/schema/raw/master/csl-citation.json"}</w:instrText>
      </w:r>
      <w:r>
        <w:rPr>
          <w:rFonts w:ascii="Arial" w:hAnsi="Arial" w:cs="Arial"/>
          <w:sz w:val="24"/>
          <w:szCs w:val="24"/>
        </w:rPr>
        <w:fldChar w:fldCharType="separate"/>
      </w:r>
      <w:r w:rsidRPr="00554FE4">
        <w:rPr>
          <w:rFonts w:ascii="Arial" w:hAnsi="Arial" w:cs="Arial"/>
          <w:noProof/>
          <w:sz w:val="24"/>
          <w:szCs w:val="24"/>
        </w:rPr>
        <w:t>(Maxfield, 2013; Stephenson, 2018; Lewis and Hendricks, 2022)</w:t>
      </w:r>
      <w:r>
        <w:rPr>
          <w:rFonts w:ascii="Arial" w:hAnsi="Arial" w:cs="Arial"/>
          <w:sz w:val="24"/>
          <w:szCs w:val="24"/>
        </w:rPr>
        <w:fldChar w:fldCharType="end"/>
      </w:r>
      <w:r>
        <w:rPr>
          <w:rFonts w:ascii="Arial" w:hAnsi="Arial" w:cs="Arial"/>
          <w:sz w:val="24"/>
          <w:szCs w:val="24"/>
        </w:rPr>
        <w:t>.</w:t>
      </w:r>
    </w:p>
    <w:p w14:paraId="71F4E38B" w14:textId="72211C22" w:rsidR="007E3B8B" w:rsidRDefault="007E3B8B" w:rsidP="003030F0">
      <w:pPr>
        <w:overflowPunct w:val="0"/>
        <w:autoSpaceDE w:val="0"/>
        <w:autoSpaceDN w:val="0"/>
        <w:adjustRightInd w:val="0"/>
        <w:spacing w:before="120" w:after="0" w:line="360" w:lineRule="auto"/>
        <w:jc w:val="both"/>
        <w:textAlignment w:val="baseline"/>
        <w:rPr>
          <w:rFonts w:ascii="Arial" w:hAnsi="Arial" w:cs="Arial"/>
          <w:sz w:val="24"/>
          <w:szCs w:val="24"/>
        </w:rPr>
      </w:pPr>
      <w:r>
        <w:rPr>
          <w:rFonts w:ascii="Arial" w:hAnsi="Arial" w:cs="Arial"/>
          <w:sz w:val="24"/>
          <w:szCs w:val="24"/>
        </w:rPr>
        <w:t>Referring to my aims for this project, I can immediately apply</w:t>
      </w:r>
      <w:r w:rsidR="00A94EEA">
        <w:rPr>
          <w:rFonts w:ascii="Arial" w:hAnsi="Arial" w:cs="Arial"/>
          <w:sz w:val="24"/>
          <w:szCs w:val="24"/>
        </w:rPr>
        <w:t xml:space="preserve"> ideas</w:t>
      </w:r>
      <w:r>
        <w:rPr>
          <w:rFonts w:ascii="Arial" w:hAnsi="Arial" w:cs="Arial"/>
          <w:sz w:val="24"/>
          <w:szCs w:val="24"/>
        </w:rPr>
        <w:t xml:space="preserve"> to my teaching practice</w:t>
      </w:r>
      <w:r w:rsidR="00A94EEA">
        <w:rPr>
          <w:rFonts w:ascii="Arial" w:hAnsi="Arial" w:cs="Arial"/>
          <w:sz w:val="24"/>
          <w:szCs w:val="24"/>
        </w:rPr>
        <w:t>. T</w:t>
      </w:r>
      <w:r>
        <w:rPr>
          <w:rFonts w:ascii="Arial" w:hAnsi="Arial" w:cs="Arial"/>
          <w:sz w:val="24"/>
          <w:szCs w:val="24"/>
        </w:rPr>
        <w:t xml:space="preserve">he knowledge of self-efficacy and related teaching strategies </w:t>
      </w:r>
      <w:r w:rsidR="00177CC4">
        <w:rPr>
          <w:rFonts w:ascii="Arial" w:hAnsi="Arial" w:cs="Arial"/>
          <w:sz w:val="24"/>
          <w:szCs w:val="24"/>
        </w:rPr>
        <w:t xml:space="preserve">will </w:t>
      </w:r>
      <w:r w:rsidR="00646744">
        <w:rPr>
          <w:rFonts w:ascii="Arial" w:hAnsi="Arial" w:cs="Arial"/>
          <w:sz w:val="24"/>
          <w:szCs w:val="24"/>
        </w:rPr>
        <w:t xml:space="preserve">have an </w:t>
      </w:r>
      <w:r w:rsidR="009A65ED">
        <w:rPr>
          <w:rFonts w:ascii="Arial" w:hAnsi="Arial" w:cs="Arial"/>
          <w:sz w:val="24"/>
          <w:szCs w:val="24"/>
        </w:rPr>
        <w:t xml:space="preserve">on </w:t>
      </w:r>
      <w:r w:rsidR="00177CC4">
        <w:rPr>
          <w:rFonts w:ascii="Arial" w:hAnsi="Arial" w:cs="Arial"/>
          <w:sz w:val="24"/>
          <w:szCs w:val="24"/>
        </w:rPr>
        <w:t xml:space="preserve">impact my </w:t>
      </w:r>
      <w:r w:rsidR="009F66DE">
        <w:rPr>
          <w:rFonts w:ascii="Arial" w:hAnsi="Arial" w:cs="Arial"/>
          <w:sz w:val="24"/>
          <w:szCs w:val="24"/>
        </w:rPr>
        <w:t xml:space="preserve">teaching </w:t>
      </w:r>
      <w:r w:rsidR="00177CC4">
        <w:rPr>
          <w:rFonts w:ascii="Arial" w:hAnsi="Arial" w:cs="Arial"/>
          <w:sz w:val="24"/>
          <w:szCs w:val="24"/>
        </w:rPr>
        <w:t>choices</w:t>
      </w:r>
      <w:r w:rsidR="003922EC">
        <w:rPr>
          <w:rFonts w:ascii="Arial" w:hAnsi="Arial" w:cs="Arial"/>
          <w:sz w:val="24"/>
          <w:szCs w:val="24"/>
        </w:rPr>
        <w:t xml:space="preserve">. </w:t>
      </w:r>
      <w:r w:rsidR="003608FF">
        <w:rPr>
          <w:rFonts w:ascii="Arial" w:hAnsi="Arial" w:cs="Arial"/>
          <w:sz w:val="24"/>
          <w:szCs w:val="24"/>
        </w:rPr>
        <w:t>T</w:t>
      </w:r>
      <w:r w:rsidR="00DC3751">
        <w:rPr>
          <w:rFonts w:ascii="Arial" w:hAnsi="Arial" w:cs="Arial"/>
          <w:sz w:val="24"/>
          <w:szCs w:val="24"/>
        </w:rPr>
        <w:t xml:space="preserve">his </w:t>
      </w:r>
      <w:r w:rsidR="00DF631F">
        <w:rPr>
          <w:rFonts w:ascii="Arial" w:hAnsi="Arial" w:cs="Arial"/>
          <w:sz w:val="24"/>
          <w:szCs w:val="24"/>
        </w:rPr>
        <w:t>will</w:t>
      </w:r>
      <w:r w:rsidR="00A27ADB">
        <w:rPr>
          <w:rFonts w:ascii="Arial" w:hAnsi="Arial" w:cs="Arial"/>
          <w:sz w:val="24"/>
          <w:szCs w:val="24"/>
        </w:rPr>
        <w:t xml:space="preserve"> improve my </w:t>
      </w:r>
      <w:r w:rsidR="00CD03CC">
        <w:rPr>
          <w:rFonts w:ascii="Arial" w:hAnsi="Arial" w:cs="Arial"/>
          <w:sz w:val="24"/>
          <w:szCs w:val="24"/>
        </w:rPr>
        <w:t xml:space="preserve">chances of </w:t>
      </w:r>
      <w:r w:rsidR="006C7E3E">
        <w:rPr>
          <w:rFonts w:ascii="Arial" w:hAnsi="Arial" w:cs="Arial"/>
          <w:sz w:val="24"/>
          <w:szCs w:val="24"/>
        </w:rPr>
        <w:t xml:space="preserve">having </w:t>
      </w:r>
      <w:r w:rsidR="00CD03CC">
        <w:rPr>
          <w:rFonts w:ascii="Arial" w:hAnsi="Arial" w:cs="Arial"/>
          <w:sz w:val="24"/>
          <w:szCs w:val="24"/>
        </w:rPr>
        <w:t xml:space="preserve">a positive </w:t>
      </w:r>
      <w:r w:rsidR="00A27ADB">
        <w:rPr>
          <w:rFonts w:ascii="Arial" w:hAnsi="Arial" w:cs="Arial"/>
          <w:sz w:val="24"/>
          <w:szCs w:val="24"/>
        </w:rPr>
        <w:t xml:space="preserve">influence on the </w:t>
      </w:r>
      <w:r>
        <w:rPr>
          <w:rFonts w:ascii="Arial" w:hAnsi="Arial" w:cs="Arial"/>
          <w:sz w:val="24"/>
          <w:szCs w:val="24"/>
        </w:rPr>
        <w:t xml:space="preserve">self-efficacy </w:t>
      </w:r>
      <w:r w:rsidR="00A27ADB">
        <w:rPr>
          <w:rFonts w:ascii="Arial" w:hAnsi="Arial" w:cs="Arial"/>
          <w:sz w:val="24"/>
          <w:szCs w:val="24"/>
        </w:rPr>
        <w:t xml:space="preserve">of my students </w:t>
      </w:r>
      <w:r>
        <w:rPr>
          <w:rFonts w:ascii="Arial" w:hAnsi="Arial" w:cs="Arial"/>
          <w:sz w:val="24"/>
          <w:szCs w:val="24"/>
        </w:rPr>
        <w:fldChar w:fldCharType="begin" w:fldLock="1"/>
      </w:r>
      <w:r w:rsidR="0058119C">
        <w:rPr>
          <w:rFonts w:ascii="Arial" w:hAnsi="Arial" w:cs="Arial"/>
          <w:sz w:val="24"/>
          <w:szCs w:val="24"/>
        </w:rPr>
        <w:instrText>ADDIN CSL_CITATION {"citationItems":[{"id":"ITEM-1","itemData":{"ISSN":"10867732","abstract":"The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Singing","id":"ITEM-1","issue":"4","issued":{"date-parts":[["2018"]]},"page":"405-414","title":"Critical Thought, Intrinsic Motivation, and the Voice Studio: Perspectives of Master Teachers.","type":"article-journal","volume":"74"},"uris":["http://www.mendeley.com/documents/?uuid=4030f552-7b94-4abf-bab4-c0b97b7babca"]},{"id":"ITEM-2","itemData":{"DOI":"10.1111/bjep.12016","ISSN":"00070998","PMID":"23692533","abstract":"Background: Although the evidence in support of the variability of students' learning strategies has expanded in recent years, less is known about the explanatory base of these individual differences in terms of the joint influences of personal and contextual characteristics. Aims: Previous studies have often investigated how student learning is associated with either personal or contextual factors. This study takes an integrative research perspective into account and examines the joint effects of personality, academic motivation, and teaching strategies on students' learning strategies in a same educational context in first-year higher education. Sample: In this study, 1,126 undergraduate students and 90 lecturers from eight professional bachelor programmes in a university college participated. Methods: Self-report measures were used to measure students' personality, academic motivation, and learning strategies. Students' processing and regulation strategies are mapped using the Inventory of Learning Styles. Key characteristics of more content-focused versus learning-focused teaching strategies were measured. Multivariate multi-level analysis was used to take the nested data structure and interrelatedness of learning strategies into account. Results: Different personality traits (openness, conscientiousness, and neuroticism) and academic motivation (amotivation, autonomous, and controlled motivation) were found to be independently associated with student learning strategies. Besides these student characteristics, also teaching strategies were found to be directly associated with learning strategies. Conclusions: The study makes clear that the impact of teaching strategies on learning strategies in first-year higher education cannot be overlooked nor overinterpreted, due to the importance of students' personality and academic motivation which also partly explain why students learn the way they do. © 2013 The British Psychological Society.","author":[{"dropping-particle":"","family":"Donche","given":"Vincent","non-dropping-particle":"","parse-names":false,"suffix":""},{"dropping-particle":"","family":"Maeyer","given":"Sven","non-dropping-particle":"De","parse-names":false,"suffix":""},{"dropping-particle":"","family":"Coertjens","given":"Liesje","non-dropping-particle":"","parse-names":false,"suffix":""},{"dropping-particle":"","family":"Daal","given":"Tine","non-dropping-particle":"Van","parse-names":false,"suffix":""},{"dropping-particle":"","family":"Petegem","given":"Peter","non-dropping-particle":"Van","parse-names":false,"suffix":""}],"container-title":"British Journal of Educational Psychology","id":"ITEM-2","issue":"2","issued":{"date-parts":[["2013"]]},"page":"238-251","title":"Differential use of learning strategies in first-year higher education: The impact of personality, academic motivation, and teaching strategies","type":"article-journal","volume":"83"},"uris":["http://www.mendeley.com/documents/?uuid=c800d91c-5a61-4ef5-8e5a-1843a9b0f09c"]},{"id":"ITEM-3","itemData":{"DOI":"10.1080/13603116.2017.1414578","ISSN":"14645173","abstract":"Inclusion has a high priority in education policy all over the world and teachers must be able to handle in practice increasing student diversity and the demands for creating an inclusive learning environment. In spite of the enhanced political focus, there is a lack of research focusing on how those teachers working with inclusion can be supported with more tangible and meaningful ways of understanding and developing inclusive classrooms. This article argues that seeing research in inclusion in close connection with research in effective teaching strategies and classroom management will contribute to an enrichment of the two research fields and give teachers and researchers new opportunities for developing more inclusive schools. Based on research focused on teaching strategies that support students’ opportunities for learning, four dimensions of inclusive teaching strategies are presented: a framing, a relational, a didactic and an organisational dimension. In addition, and in order to further understand teachers work with inclusive education in a more structural perspective, light is shed on the complexity that teachers are required to handle in practice. This complexity, among other things, entails dilemmas emerging from different agendas teachers often must handle themselves.","author":[{"dropping-particle":"","family":"Molbaek","given":"Mette","non-dropping-particle":"","parse-names":false,"suffix":""}],"container-title":"International Journal of Inclusive Education","id":"ITEM-3","issue":"10","issued":{"date-parts":[["2018"]]},"page":"1048-1061","publisher":"Taylor &amp; Francis","title":"Inclusive teaching strategies–dimensions and agendas","type":"article-journal","volume":"22"},"uris":["http://www.mendeley.com/documents/?uuid=542f940e-b6ac-4869-8130-c3b6e9be2a28"]}],"mendeley":{"formattedCitation":"(Donche &lt;i&gt;et al.&lt;/i&gt;, 2013; Molbaek, 2018; Stephenson, 2018)","plainTextFormattedCitation":"(Donche et al., 2013; Molbaek, 2018; Stephenson, 2018)","previouslyFormattedCitation":"(Donche &lt;i&gt;et al.&lt;/i&gt;, 2013; Molbaek, 2018; Stephenson, 2018)"},"properties":{"noteIndex":0},"schema":"https://github.com/citation-style-language/schema/raw/master/csl-citation.json"}</w:instrText>
      </w:r>
      <w:r>
        <w:rPr>
          <w:rFonts w:ascii="Arial" w:hAnsi="Arial" w:cs="Arial"/>
          <w:sz w:val="24"/>
          <w:szCs w:val="24"/>
        </w:rPr>
        <w:fldChar w:fldCharType="separate"/>
      </w:r>
      <w:r w:rsidRPr="00A82974">
        <w:rPr>
          <w:rFonts w:ascii="Arial" w:hAnsi="Arial" w:cs="Arial"/>
          <w:noProof/>
          <w:sz w:val="24"/>
          <w:szCs w:val="24"/>
        </w:rPr>
        <w:t xml:space="preserve">(Donche </w:t>
      </w:r>
      <w:r w:rsidRPr="00A82974">
        <w:rPr>
          <w:rFonts w:ascii="Arial" w:hAnsi="Arial" w:cs="Arial"/>
          <w:i/>
          <w:noProof/>
          <w:sz w:val="24"/>
          <w:szCs w:val="24"/>
        </w:rPr>
        <w:t>et al.</w:t>
      </w:r>
      <w:r w:rsidRPr="00A82974">
        <w:rPr>
          <w:rFonts w:ascii="Arial" w:hAnsi="Arial" w:cs="Arial"/>
          <w:noProof/>
          <w:sz w:val="24"/>
          <w:szCs w:val="24"/>
        </w:rPr>
        <w:t>, 2013; Molbaek, 2018; Stephenson, 2018)</w:t>
      </w:r>
      <w:r>
        <w:rPr>
          <w:rFonts w:ascii="Arial" w:hAnsi="Arial" w:cs="Arial"/>
          <w:sz w:val="24"/>
          <w:szCs w:val="24"/>
        </w:rPr>
        <w:fldChar w:fldCharType="end"/>
      </w:r>
      <w:r>
        <w:rPr>
          <w:rFonts w:ascii="Arial" w:hAnsi="Arial" w:cs="Arial"/>
          <w:sz w:val="24"/>
          <w:szCs w:val="24"/>
        </w:rPr>
        <w:t xml:space="preserve">. I understand how teacher-student interactions can affect student </w:t>
      </w:r>
      <w:r>
        <w:rPr>
          <w:rFonts w:ascii="Arial" w:hAnsi="Arial" w:cs="Arial"/>
          <w:sz w:val="24"/>
          <w:szCs w:val="24"/>
        </w:rPr>
        <w:lastRenderedPageBreak/>
        <w:t>self-efficacy</w:t>
      </w:r>
      <w:r w:rsidR="00AD1373">
        <w:rPr>
          <w:rFonts w:ascii="Arial" w:hAnsi="Arial" w:cs="Arial"/>
          <w:sz w:val="24"/>
          <w:szCs w:val="24"/>
        </w:rPr>
        <w:t xml:space="preserve"> </w:t>
      </w:r>
      <w:r w:rsidR="009827C5">
        <w:rPr>
          <w:rFonts w:ascii="Arial" w:hAnsi="Arial" w:cs="Arial"/>
          <w:sz w:val="24"/>
          <w:szCs w:val="24"/>
        </w:rPr>
        <w:fldChar w:fldCharType="begin" w:fldLock="1"/>
      </w:r>
      <w:r w:rsidR="00F04F49">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beliefs","type":"article-journal"},"uris":["http://www.mendeley.com/documents/?uuid=d1469298-0bbc-4c76-afcd-e0c4086da712"]}],"mendeley":{"formattedCitation":"(Hogle, 2021; Lewis and Hendricks, 2022)","plainTextFormattedCitation":"(Hogle, 2021; Lewis and Hendricks, 2022)","previouslyFormattedCitation":"(Hogle, 2021; Lewis and Hendricks, 2022)"},"properties":{"noteIndex":0},"schema":"https://github.com/citation-style-language/schema/raw/master/csl-citation.json"}</w:instrText>
      </w:r>
      <w:r w:rsidR="009827C5">
        <w:rPr>
          <w:rFonts w:ascii="Arial" w:hAnsi="Arial" w:cs="Arial"/>
          <w:sz w:val="24"/>
          <w:szCs w:val="24"/>
        </w:rPr>
        <w:fldChar w:fldCharType="separate"/>
      </w:r>
      <w:r w:rsidR="009827C5" w:rsidRPr="009827C5">
        <w:rPr>
          <w:rFonts w:ascii="Arial" w:hAnsi="Arial" w:cs="Arial"/>
          <w:noProof/>
          <w:sz w:val="24"/>
          <w:szCs w:val="24"/>
        </w:rPr>
        <w:t>(Hogle, 2021; Lewis and Hendricks, 2022)</w:t>
      </w:r>
      <w:r w:rsidR="009827C5">
        <w:rPr>
          <w:rFonts w:ascii="Arial" w:hAnsi="Arial" w:cs="Arial"/>
          <w:sz w:val="24"/>
          <w:szCs w:val="24"/>
        </w:rPr>
        <w:fldChar w:fldCharType="end"/>
      </w:r>
      <w:r>
        <w:rPr>
          <w:rFonts w:ascii="Arial" w:hAnsi="Arial" w:cs="Arial"/>
          <w:sz w:val="24"/>
          <w:szCs w:val="24"/>
        </w:rPr>
        <w:t xml:space="preserve">. Learning about literature review methodologies and working thematic analysis has greatly improved my knowledge of effective and efficient literature review processes </w:t>
      </w:r>
      <w:r>
        <w:rPr>
          <w:rFonts w:ascii="Arial" w:hAnsi="Arial" w:cs="Arial"/>
          <w:sz w:val="24"/>
          <w:szCs w:val="24"/>
        </w:rPr>
        <w:fldChar w:fldCharType="begin" w:fldLock="1"/>
      </w:r>
      <w:r>
        <w:rPr>
          <w:rFonts w:ascii="Arial" w:hAnsi="Arial" w:cs="Arial"/>
          <w:sz w:val="24"/>
          <w:szCs w:val="24"/>
        </w:rPr>
        <w:instrText>ADDIN CSL_CITATION {"citationItems":[{"id":"ITEM-1","itemData":{"DOI":"10.1191/1478088706qp063oa","ISSN":"14780887","abstract":"Thematic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author":[{"dropping-particle":"","family":"Braun","given":"Virginia","non-dropping-particle":"","parse-names":false,"suffix":""},{"dropping-particle":"","family":"Clarke","given":"Victoria","non-dropping-particle":"","parse-names":false,"suffix":""}],"container-title":"Qualitative Research in Psychology","id":"ITEM-1","issue":"2","issued":{"date-parts":[["2006"]]},"note":"Highlights by: Doc page - Journal page - Topic\n\np3 - p78 Foundational method\np3 - p78 - Epistomological approach\np6 - p81 &amp;quot; &amp;quot; yellow\np6 - p81 &amp;quot; &amp;quot; green\np4 - p79 - Importance of how research is done\np5 - p80 Researcher activer in finding themes (not emerging-passive)\np5 - p80 Researcher position and decisions in the process\n\nTheme - \np7 - p82 theme definition yellow, how many instances to qualify (not defined), \np7 - p82 - researcher judgemnt required\np7 - p82 - prevelence of a theme is not essential yellow\np8 - p83 - Inductive approach \n\nDefinitions:\np4 - p79 - Thematic analysis - Pink highlight\np4 - p79 - Corpus - all data collected for a a project\np4 - p79 Data set - all the data from the corpus being used for a particular analysis\np4 - p79 Data item - each idiviual pice of data collected to form the corpus (i.e. each article)\np4 - p79 Extract - coded chonk of data taken from an extract\np7 - p82 theme definition yellow","page":"77-101","title":"Using thematic analysis in psychology","type":"article-journal","volume":"3"},"uris":["http://www.mendeley.com/documents/?uuid=d79a4bb1-1383-4be0-9dfb-77bad2f80283"]}],"mendeley":{"formattedCitation":"(Braun and Clarke, 2006)","plainTextFormattedCitation":"(Braun and Clarke, 2006)","previouslyFormattedCitation":"(Braun and Clarke, 2006)"},"properties":{"noteIndex":0},"schema":"https://github.com/citation-style-language/schema/raw/master/csl-citation.json"}</w:instrText>
      </w:r>
      <w:r>
        <w:rPr>
          <w:rFonts w:ascii="Arial" w:hAnsi="Arial" w:cs="Arial"/>
          <w:sz w:val="24"/>
          <w:szCs w:val="24"/>
        </w:rPr>
        <w:fldChar w:fldCharType="separate"/>
      </w:r>
      <w:r w:rsidRPr="00126DAC">
        <w:rPr>
          <w:rFonts w:ascii="Arial" w:hAnsi="Arial" w:cs="Arial"/>
          <w:noProof/>
          <w:sz w:val="24"/>
          <w:szCs w:val="24"/>
        </w:rPr>
        <w:t>(Braun and Clarke, 2006)</w:t>
      </w:r>
      <w:r>
        <w:rPr>
          <w:rFonts w:ascii="Arial" w:hAnsi="Arial" w:cs="Arial"/>
          <w:sz w:val="24"/>
          <w:szCs w:val="24"/>
        </w:rPr>
        <w:fldChar w:fldCharType="end"/>
      </w:r>
      <w:r>
        <w:rPr>
          <w:rFonts w:ascii="Arial" w:hAnsi="Arial" w:cs="Arial"/>
          <w:sz w:val="24"/>
          <w:szCs w:val="24"/>
        </w:rPr>
        <w:t>.</w:t>
      </w:r>
      <w:r w:rsidR="00113C29">
        <w:rPr>
          <w:rFonts w:ascii="Arial" w:hAnsi="Arial" w:cs="Arial"/>
          <w:sz w:val="24"/>
          <w:szCs w:val="24"/>
        </w:rPr>
        <w:t xml:space="preserve"> I feel </w:t>
      </w:r>
      <w:r w:rsidR="001F36E9">
        <w:rPr>
          <w:rFonts w:ascii="Arial" w:hAnsi="Arial" w:cs="Arial"/>
          <w:sz w:val="24"/>
          <w:szCs w:val="24"/>
        </w:rPr>
        <w:t xml:space="preserve">this has </w:t>
      </w:r>
      <w:r w:rsidR="00BD2444">
        <w:rPr>
          <w:rFonts w:ascii="Arial" w:hAnsi="Arial" w:cs="Arial"/>
          <w:sz w:val="24"/>
          <w:szCs w:val="24"/>
        </w:rPr>
        <w:t>enhanced</w:t>
      </w:r>
      <w:r w:rsidR="001F36E9">
        <w:rPr>
          <w:rFonts w:ascii="Arial" w:hAnsi="Arial" w:cs="Arial"/>
          <w:sz w:val="24"/>
          <w:szCs w:val="24"/>
        </w:rPr>
        <w:t xml:space="preserve"> my research skills and I am </w:t>
      </w:r>
      <w:r w:rsidR="00113C29">
        <w:rPr>
          <w:rFonts w:ascii="Arial" w:hAnsi="Arial" w:cs="Arial"/>
          <w:sz w:val="24"/>
          <w:szCs w:val="24"/>
        </w:rPr>
        <w:t xml:space="preserve">confident that I </w:t>
      </w:r>
      <w:r w:rsidR="004277BC">
        <w:rPr>
          <w:rFonts w:ascii="Arial" w:hAnsi="Arial" w:cs="Arial"/>
          <w:sz w:val="24"/>
          <w:szCs w:val="24"/>
        </w:rPr>
        <w:t>can</w:t>
      </w:r>
      <w:r w:rsidR="00113C29">
        <w:rPr>
          <w:rFonts w:ascii="Arial" w:hAnsi="Arial" w:cs="Arial"/>
          <w:sz w:val="24"/>
          <w:szCs w:val="24"/>
        </w:rPr>
        <w:t xml:space="preserve"> apply this knowledge </w:t>
      </w:r>
      <w:r w:rsidR="00FA0A0A">
        <w:rPr>
          <w:rFonts w:ascii="Arial" w:hAnsi="Arial" w:cs="Arial"/>
          <w:sz w:val="24"/>
          <w:szCs w:val="24"/>
        </w:rPr>
        <w:t>in the</w:t>
      </w:r>
      <w:r w:rsidR="00113C29">
        <w:rPr>
          <w:rFonts w:ascii="Arial" w:hAnsi="Arial" w:cs="Arial"/>
          <w:sz w:val="24"/>
          <w:szCs w:val="24"/>
        </w:rPr>
        <w:t xml:space="preserve"> </w:t>
      </w:r>
      <w:r w:rsidR="00FA0A0A">
        <w:rPr>
          <w:rFonts w:ascii="Arial" w:hAnsi="Arial" w:cs="Arial"/>
          <w:sz w:val="24"/>
          <w:szCs w:val="24"/>
        </w:rPr>
        <w:t>future.</w:t>
      </w:r>
      <w:r w:rsidR="008D2A66">
        <w:rPr>
          <w:rFonts w:ascii="Arial" w:hAnsi="Arial" w:cs="Arial"/>
          <w:sz w:val="24"/>
          <w:szCs w:val="24"/>
        </w:rPr>
        <w:t xml:space="preserve"> </w:t>
      </w:r>
      <w:r>
        <w:rPr>
          <w:rFonts w:ascii="Arial" w:hAnsi="Arial" w:cs="Arial"/>
          <w:sz w:val="24"/>
          <w:szCs w:val="24"/>
        </w:rPr>
        <w:t>Thematic analysis has aided my</w:t>
      </w:r>
      <w:r w:rsidR="00C5473A">
        <w:rPr>
          <w:rFonts w:ascii="Arial" w:hAnsi="Arial" w:cs="Arial"/>
          <w:sz w:val="24"/>
          <w:szCs w:val="24"/>
        </w:rPr>
        <w:t xml:space="preserve"> academic</w:t>
      </w:r>
      <w:r>
        <w:rPr>
          <w:rFonts w:ascii="Arial" w:hAnsi="Arial" w:cs="Arial"/>
          <w:sz w:val="24"/>
          <w:szCs w:val="24"/>
        </w:rPr>
        <w:t xml:space="preserve"> development objectives</w:t>
      </w:r>
      <w:r w:rsidR="008448BB">
        <w:rPr>
          <w:rFonts w:ascii="Arial" w:hAnsi="Arial" w:cs="Arial"/>
          <w:sz w:val="24"/>
          <w:szCs w:val="24"/>
        </w:rPr>
        <w:t xml:space="preserve"> which </w:t>
      </w:r>
      <w:r w:rsidR="00392970">
        <w:rPr>
          <w:rFonts w:ascii="Arial" w:hAnsi="Arial" w:cs="Arial"/>
          <w:sz w:val="24"/>
          <w:szCs w:val="24"/>
        </w:rPr>
        <w:t>in turn has supported</w:t>
      </w:r>
      <w:r w:rsidR="008448BB">
        <w:rPr>
          <w:rFonts w:ascii="Arial" w:hAnsi="Arial" w:cs="Arial"/>
          <w:sz w:val="24"/>
          <w:szCs w:val="24"/>
        </w:rPr>
        <w:t xml:space="preserve"> my</w:t>
      </w:r>
      <w:r w:rsidR="00C5473A" w:rsidRPr="00C5473A">
        <w:rPr>
          <w:rFonts w:ascii="Arial" w:hAnsi="Arial" w:cs="Arial"/>
          <w:sz w:val="24"/>
          <w:szCs w:val="24"/>
        </w:rPr>
        <w:t xml:space="preserve"> </w:t>
      </w:r>
      <w:r w:rsidR="00C5473A">
        <w:rPr>
          <w:rFonts w:ascii="Arial" w:hAnsi="Arial" w:cs="Arial"/>
          <w:sz w:val="24"/>
          <w:szCs w:val="24"/>
        </w:rPr>
        <w:t>professional</w:t>
      </w:r>
      <w:r w:rsidR="008448BB">
        <w:rPr>
          <w:rFonts w:ascii="Arial" w:hAnsi="Arial" w:cs="Arial"/>
          <w:sz w:val="24"/>
          <w:szCs w:val="24"/>
        </w:rPr>
        <w:t xml:space="preserve"> development</w:t>
      </w:r>
      <w:r w:rsidR="00433763">
        <w:rPr>
          <w:rFonts w:ascii="Arial" w:hAnsi="Arial" w:cs="Arial"/>
          <w:sz w:val="24"/>
          <w:szCs w:val="24"/>
        </w:rPr>
        <w:t>. It has done this by</w:t>
      </w:r>
      <w:r>
        <w:rPr>
          <w:rFonts w:ascii="Arial" w:hAnsi="Arial" w:cs="Arial"/>
          <w:sz w:val="24"/>
          <w:szCs w:val="24"/>
        </w:rPr>
        <w:t xml:space="preserve"> guiding my creation of a literature review methodology</w:t>
      </w:r>
      <w:r w:rsidR="00433763">
        <w:rPr>
          <w:rFonts w:ascii="Arial" w:hAnsi="Arial" w:cs="Arial"/>
          <w:sz w:val="24"/>
          <w:szCs w:val="24"/>
        </w:rPr>
        <w:t xml:space="preserve"> and </w:t>
      </w:r>
      <w:r>
        <w:rPr>
          <w:rFonts w:ascii="Arial" w:hAnsi="Arial" w:cs="Arial"/>
          <w:sz w:val="24"/>
          <w:szCs w:val="24"/>
        </w:rPr>
        <w:t xml:space="preserve">conducting a rigorous literature review </w:t>
      </w:r>
      <w:r w:rsidR="00403FEC">
        <w:rPr>
          <w:rFonts w:ascii="Arial" w:hAnsi="Arial" w:cs="Arial"/>
          <w:sz w:val="24"/>
          <w:szCs w:val="24"/>
        </w:rPr>
        <w:t xml:space="preserve">both of </w:t>
      </w:r>
      <w:r>
        <w:rPr>
          <w:rFonts w:ascii="Arial" w:hAnsi="Arial" w:cs="Arial"/>
          <w:sz w:val="24"/>
          <w:szCs w:val="24"/>
        </w:rPr>
        <w:t xml:space="preserve">which </w:t>
      </w:r>
      <w:r w:rsidR="0047315F">
        <w:rPr>
          <w:rFonts w:ascii="Arial" w:hAnsi="Arial" w:cs="Arial"/>
          <w:sz w:val="24"/>
          <w:szCs w:val="24"/>
        </w:rPr>
        <w:t xml:space="preserve">have </w:t>
      </w:r>
      <w:r>
        <w:rPr>
          <w:rFonts w:ascii="Arial" w:hAnsi="Arial" w:cs="Arial"/>
          <w:sz w:val="24"/>
          <w:szCs w:val="24"/>
        </w:rPr>
        <w:t xml:space="preserve">aided the process </w:t>
      </w:r>
      <w:r w:rsidR="00740343">
        <w:rPr>
          <w:rFonts w:ascii="Arial" w:hAnsi="Arial" w:cs="Arial"/>
          <w:sz w:val="24"/>
          <w:szCs w:val="24"/>
        </w:rPr>
        <w:t xml:space="preserve">of </w:t>
      </w:r>
      <w:r>
        <w:rPr>
          <w:rFonts w:ascii="Arial" w:hAnsi="Arial" w:cs="Arial"/>
          <w:sz w:val="24"/>
          <w:szCs w:val="24"/>
        </w:rPr>
        <w:t xml:space="preserve">critical reflection </w:t>
      </w:r>
      <w:r>
        <w:rPr>
          <w:rFonts w:ascii="Arial" w:hAnsi="Arial" w:cs="Arial"/>
          <w:sz w:val="24"/>
          <w:szCs w:val="24"/>
        </w:rPr>
        <w:fldChar w:fldCharType="begin" w:fldLock="1"/>
      </w:r>
      <w:r>
        <w:rPr>
          <w:rFonts w:ascii="Arial" w:hAnsi="Arial" w:cs="Arial"/>
          <w:sz w:val="24"/>
          <w:szCs w:val="24"/>
        </w:rPr>
        <w:instrText>ADDIN CSL_CITATION {"citationItems":[{"id":"ITEM-1","itemData":{"DOI":"10.1080/2159676X.2019.1628806","ISSN":"1939845X","abstract":"Since initially writing on thematic analysis in 2006, the popularity of the method we outlined has exploded, the variety of TA approaches have expanded, and, not least, our thinking has developed and shifted. In this reflexive commentary, we look back at some of the unspoken assumptions that informed how we wrote our 2006 paper. We connect some of these un-identified assumptions, and developments in the method over the years, with some conceptual mismatches and confusions we see in published TA studies. In order to facilitate better TA practice, we reflect on how our thinking has evolved–and in some cases sedimented–since the publication of our 2006 paper, and clarify and revise some of the ways we phrased or conceptualised TA, and the elements of, and processes around, a method we now prefer to call reflexive TA.","author":[{"dropping-particle":"","family":"Braun","given":"Virginia","non-dropping-particle":"","parse-names":false,"suffix":""},{"dropping-particle":"","family":"Clarke","given":"Victoria","non-dropping-particle":"","parse-names":false,"suffix":""}],"container-title":"Qualitative Research in Sport, Exercise and Health","id":"ITEM-1","issue":"4","issued":{"date-parts":[["2019"]]},"page":"589-597","publisher":"Routledge","title":"Reflecting on reflexive thematic analysis","type":"article-journal","volume":"11"},"uris":["http://www.mendeley.com/documents/?uuid=e24d767a-9c14-4ae2-b026-6f8fa0177c0e"]}],"mendeley":{"formattedCitation":"(Braun and Clarke, 2019)","plainTextFormattedCitation":"(Braun and Clarke, 2019)","previouslyFormattedCitation":"(Braun and Clarke, 2019)"},"properties":{"noteIndex":0},"schema":"https://github.com/citation-style-language/schema/raw/master/csl-citation.json"}</w:instrText>
      </w:r>
      <w:r>
        <w:rPr>
          <w:rFonts w:ascii="Arial" w:hAnsi="Arial" w:cs="Arial"/>
          <w:sz w:val="24"/>
          <w:szCs w:val="24"/>
        </w:rPr>
        <w:fldChar w:fldCharType="separate"/>
      </w:r>
      <w:r w:rsidRPr="00471055">
        <w:rPr>
          <w:rFonts w:ascii="Arial" w:hAnsi="Arial" w:cs="Arial"/>
          <w:noProof/>
          <w:sz w:val="24"/>
          <w:szCs w:val="24"/>
        </w:rPr>
        <w:t>(Braun and Clarke, 2019)</w:t>
      </w:r>
      <w:r>
        <w:rPr>
          <w:rFonts w:ascii="Arial" w:hAnsi="Arial" w:cs="Arial"/>
          <w:sz w:val="24"/>
          <w:szCs w:val="24"/>
        </w:rPr>
        <w:fldChar w:fldCharType="end"/>
      </w:r>
      <w:r>
        <w:rPr>
          <w:rFonts w:ascii="Arial" w:hAnsi="Arial" w:cs="Arial"/>
          <w:sz w:val="24"/>
          <w:szCs w:val="24"/>
        </w:rPr>
        <w:t>. I feel th</w:t>
      </w:r>
      <w:r w:rsidR="00E76DD3">
        <w:rPr>
          <w:rFonts w:ascii="Arial" w:hAnsi="Arial" w:cs="Arial"/>
          <w:sz w:val="24"/>
          <w:szCs w:val="24"/>
        </w:rPr>
        <w:t>at</w:t>
      </w:r>
      <w:r>
        <w:rPr>
          <w:rFonts w:ascii="Arial" w:hAnsi="Arial" w:cs="Arial"/>
          <w:sz w:val="24"/>
          <w:szCs w:val="24"/>
        </w:rPr>
        <w:t xml:space="preserve"> </w:t>
      </w:r>
      <w:r w:rsidR="00E27E3D">
        <w:rPr>
          <w:rFonts w:ascii="Arial" w:hAnsi="Arial" w:cs="Arial"/>
          <w:sz w:val="24"/>
          <w:szCs w:val="24"/>
        </w:rPr>
        <w:t xml:space="preserve">conducting </w:t>
      </w:r>
      <w:r>
        <w:rPr>
          <w:rFonts w:ascii="Arial" w:hAnsi="Arial" w:cs="Arial"/>
          <w:sz w:val="24"/>
          <w:szCs w:val="24"/>
        </w:rPr>
        <w:t>th</w:t>
      </w:r>
      <w:r w:rsidR="006B6650">
        <w:rPr>
          <w:rFonts w:ascii="Arial" w:hAnsi="Arial" w:cs="Arial"/>
          <w:sz w:val="24"/>
          <w:szCs w:val="24"/>
        </w:rPr>
        <w:t>is</w:t>
      </w:r>
      <w:r>
        <w:rPr>
          <w:rFonts w:ascii="Arial" w:hAnsi="Arial" w:cs="Arial"/>
          <w:sz w:val="24"/>
          <w:szCs w:val="24"/>
        </w:rPr>
        <w:t xml:space="preserve"> research</w:t>
      </w:r>
      <w:r w:rsidR="006B6650">
        <w:rPr>
          <w:rFonts w:ascii="Arial" w:hAnsi="Arial" w:cs="Arial"/>
          <w:sz w:val="24"/>
          <w:szCs w:val="24"/>
        </w:rPr>
        <w:t xml:space="preserve"> </w:t>
      </w:r>
      <w:r w:rsidR="000C3475">
        <w:rPr>
          <w:rFonts w:ascii="Arial" w:hAnsi="Arial" w:cs="Arial"/>
          <w:sz w:val="24"/>
          <w:szCs w:val="24"/>
        </w:rPr>
        <w:t>project</w:t>
      </w:r>
      <w:r w:rsidR="00A7774B">
        <w:rPr>
          <w:rFonts w:ascii="Arial" w:hAnsi="Arial" w:cs="Arial"/>
          <w:sz w:val="24"/>
          <w:szCs w:val="24"/>
        </w:rPr>
        <w:t xml:space="preserve"> </w:t>
      </w:r>
      <w:r>
        <w:rPr>
          <w:rFonts w:ascii="Arial" w:hAnsi="Arial" w:cs="Arial"/>
          <w:sz w:val="24"/>
          <w:szCs w:val="24"/>
        </w:rPr>
        <w:t>ha</w:t>
      </w:r>
      <w:r w:rsidR="000C3475">
        <w:rPr>
          <w:rFonts w:ascii="Arial" w:hAnsi="Arial" w:cs="Arial"/>
          <w:sz w:val="24"/>
          <w:szCs w:val="24"/>
        </w:rPr>
        <w:t>s</w:t>
      </w:r>
      <w:r>
        <w:rPr>
          <w:rFonts w:ascii="Arial" w:hAnsi="Arial" w:cs="Arial"/>
          <w:sz w:val="24"/>
          <w:szCs w:val="24"/>
        </w:rPr>
        <w:t xml:space="preserve"> met the learning outcomes outlined in the portfolio</w:t>
      </w:r>
      <w:r w:rsidR="00A7774B">
        <w:rPr>
          <w:rFonts w:ascii="Arial" w:hAnsi="Arial" w:cs="Arial"/>
          <w:sz w:val="24"/>
          <w:szCs w:val="24"/>
        </w:rPr>
        <w:t xml:space="preserve">. </w:t>
      </w:r>
      <w:r w:rsidR="00FD0BF9">
        <w:rPr>
          <w:rFonts w:ascii="Arial" w:hAnsi="Arial" w:cs="Arial"/>
          <w:sz w:val="24"/>
          <w:szCs w:val="24"/>
        </w:rPr>
        <w:t xml:space="preserve">I </w:t>
      </w:r>
      <w:r w:rsidR="00076B48">
        <w:rPr>
          <w:rFonts w:ascii="Arial" w:hAnsi="Arial" w:cs="Arial"/>
          <w:sz w:val="24"/>
          <w:szCs w:val="24"/>
        </w:rPr>
        <w:t>am certain</w:t>
      </w:r>
      <w:r w:rsidR="00FD0BF9">
        <w:rPr>
          <w:rFonts w:ascii="Arial" w:hAnsi="Arial" w:cs="Arial"/>
          <w:sz w:val="24"/>
          <w:szCs w:val="24"/>
        </w:rPr>
        <w:t xml:space="preserve"> this project</w:t>
      </w:r>
      <w:r>
        <w:rPr>
          <w:rFonts w:ascii="Arial" w:hAnsi="Arial" w:cs="Arial"/>
          <w:sz w:val="24"/>
          <w:szCs w:val="24"/>
        </w:rPr>
        <w:t xml:space="preserve"> will have an ongoing positive impact on my </w:t>
      </w:r>
      <w:r w:rsidR="00FD7CBA">
        <w:rPr>
          <w:rFonts w:ascii="Arial" w:hAnsi="Arial" w:cs="Arial"/>
          <w:sz w:val="24"/>
          <w:szCs w:val="24"/>
        </w:rPr>
        <w:t>teaching</w:t>
      </w:r>
      <w:r w:rsidR="004808B3">
        <w:rPr>
          <w:rFonts w:ascii="Arial" w:hAnsi="Arial" w:cs="Arial"/>
          <w:sz w:val="24"/>
          <w:szCs w:val="24"/>
        </w:rPr>
        <w:t xml:space="preserve"> and my students.</w:t>
      </w:r>
    </w:p>
    <w:p w14:paraId="5ACA33F2" w14:textId="6897809F" w:rsidR="00137476" w:rsidRDefault="007E3B8B" w:rsidP="00831D78">
      <w:pPr>
        <w:spacing w:line="360" w:lineRule="auto"/>
        <w:jc w:val="both"/>
        <w:rPr>
          <w:rFonts w:ascii="Arial" w:hAnsi="Arial" w:cs="Arial"/>
          <w:sz w:val="24"/>
          <w:szCs w:val="24"/>
        </w:rPr>
      </w:pPr>
      <w:r>
        <w:rPr>
          <w:rFonts w:ascii="Arial" w:hAnsi="Arial" w:cs="Arial"/>
          <w:sz w:val="24"/>
          <w:szCs w:val="24"/>
        </w:rPr>
        <w:t xml:space="preserve">The largest challenge of this project was processing each document using thematic analysis. This took longer than estimated and caused a delay in completing </w:t>
      </w:r>
      <w:r w:rsidR="002A5397">
        <w:rPr>
          <w:rFonts w:ascii="Arial" w:hAnsi="Arial" w:cs="Arial"/>
          <w:sz w:val="24"/>
          <w:szCs w:val="24"/>
        </w:rPr>
        <w:t xml:space="preserve">the </w:t>
      </w:r>
      <w:r>
        <w:rPr>
          <w:rFonts w:ascii="Arial" w:hAnsi="Arial" w:cs="Arial"/>
          <w:sz w:val="24"/>
          <w:szCs w:val="24"/>
        </w:rPr>
        <w:t>first full drafts of each assignment.</w:t>
      </w:r>
      <w:r w:rsidR="00053372">
        <w:rPr>
          <w:rFonts w:ascii="Arial" w:hAnsi="Arial" w:cs="Arial"/>
          <w:sz w:val="24"/>
          <w:szCs w:val="24"/>
        </w:rPr>
        <w:t xml:space="preserve"> This </w:t>
      </w:r>
      <w:r w:rsidR="00F52BFF">
        <w:rPr>
          <w:rFonts w:ascii="Arial" w:hAnsi="Arial" w:cs="Arial"/>
          <w:sz w:val="24"/>
          <w:szCs w:val="24"/>
        </w:rPr>
        <w:t xml:space="preserve">delay </w:t>
      </w:r>
      <w:r w:rsidR="00053372">
        <w:rPr>
          <w:rFonts w:ascii="Arial" w:hAnsi="Arial" w:cs="Arial"/>
          <w:sz w:val="24"/>
          <w:szCs w:val="24"/>
        </w:rPr>
        <w:t xml:space="preserve">was further compounded by the </w:t>
      </w:r>
      <w:r w:rsidR="002E7E75">
        <w:rPr>
          <w:rFonts w:ascii="Arial" w:hAnsi="Arial" w:cs="Arial"/>
          <w:sz w:val="24"/>
          <w:szCs w:val="24"/>
        </w:rPr>
        <w:t>project running through the Christmas break. Although I had not anticipated doing a</w:t>
      </w:r>
      <w:r w:rsidR="00F836E5">
        <w:rPr>
          <w:rFonts w:ascii="Arial" w:hAnsi="Arial" w:cs="Arial"/>
          <w:sz w:val="24"/>
          <w:szCs w:val="24"/>
        </w:rPr>
        <w:t xml:space="preserve"> high workload</w:t>
      </w:r>
      <w:r w:rsidR="002E7E75">
        <w:rPr>
          <w:rFonts w:ascii="Arial" w:hAnsi="Arial" w:cs="Arial"/>
          <w:sz w:val="24"/>
          <w:szCs w:val="24"/>
        </w:rPr>
        <w:t xml:space="preserve"> during </w:t>
      </w:r>
      <w:r w:rsidR="00F836E5">
        <w:rPr>
          <w:rFonts w:ascii="Arial" w:hAnsi="Arial" w:cs="Arial"/>
          <w:sz w:val="24"/>
          <w:szCs w:val="24"/>
        </w:rPr>
        <w:t xml:space="preserve">that time, </w:t>
      </w:r>
      <w:r w:rsidR="00CF41ED">
        <w:rPr>
          <w:rFonts w:ascii="Arial" w:hAnsi="Arial" w:cs="Arial"/>
          <w:sz w:val="24"/>
          <w:szCs w:val="24"/>
        </w:rPr>
        <w:t>finding time to work</w:t>
      </w:r>
      <w:r w:rsidR="00F836E5">
        <w:rPr>
          <w:rFonts w:ascii="Arial" w:hAnsi="Arial" w:cs="Arial"/>
          <w:sz w:val="24"/>
          <w:szCs w:val="24"/>
        </w:rPr>
        <w:t xml:space="preserve"> </w:t>
      </w:r>
      <w:r w:rsidR="00791E13">
        <w:rPr>
          <w:rFonts w:ascii="Arial" w:hAnsi="Arial" w:cs="Arial"/>
          <w:sz w:val="24"/>
          <w:szCs w:val="24"/>
        </w:rPr>
        <w:t>was</w:t>
      </w:r>
      <w:r w:rsidR="00DD7F34">
        <w:rPr>
          <w:rFonts w:ascii="Arial" w:hAnsi="Arial" w:cs="Arial"/>
          <w:sz w:val="24"/>
          <w:szCs w:val="24"/>
        </w:rPr>
        <w:t xml:space="preserve"> a challeng</w:t>
      </w:r>
      <w:r w:rsidR="00791E13">
        <w:rPr>
          <w:rFonts w:ascii="Arial" w:hAnsi="Arial" w:cs="Arial"/>
          <w:sz w:val="24"/>
          <w:szCs w:val="24"/>
        </w:rPr>
        <w:t>ing</w:t>
      </w:r>
      <w:r w:rsidR="00DD7F34">
        <w:rPr>
          <w:rFonts w:ascii="Arial" w:hAnsi="Arial" w:cs="Arial"/>
          <w:sz w:val="24"/>
          <w:szCs w:val="24"/>
        </w:rPr>
        <w:t xml:space="preserve">. </w:t>
      </w:r>
      <w:r w:rsidR="00221EE7">
        <w:rPr>
          <w:rFonts w:ascii="Arial" w:hAnsi="Arial" w:cs="Arial"/>
          <w:sz w:val="24"/>
          <w:szCs w:val="24"/>
        </w:rPr>
        <w:t>I would plan a break i</w:t>
      </w:r>
      <w:r w:rsidR="00430F17">
        <w:rPr>
          <w:rFonts w:ascii="Arial" w:hAnsi="Arial" w:cs="Arial"/>
          <w:sz w:val="24"/>
          <w:szCs w:val="24"/>
        </w:rPr>
        <w:t>f</w:t>
      </w:r>
      <w:r w:rsidR="005F3DE5">
        <w:rPr>
          <w:rFonts w:ascii="Arial" w:hAnsi="Arial" w:cs="Arial"/>
          <w:sz w:val="24"/>
          <w:szCs w:val="24"/>
        </w:rPr>
        <w:t xml:space="preserve"> future projects </w:t>
      </w:r>
      <w:r w:rsidR="001E036C">
        <w:rPr>
          <w:rFonts w:ascii="Arial" w:hAnsi="Arial" w:cs="Arial"/>
          <w:sz w:val="24"/>
          <w:szCs w:val="24"/>
        </w:rPr>
        <w:t xml:space="preserve">were to </w:t>
      </w:r>
      <w:r w:rsidR="005F3DE5">
        <w:rPr>
          <w:rFonts w:ascii="Arial" w:hAnsi="Arial" w:cs="Arial"/>
          <w:sz w:val="24"/>
          <w:szCs w:val="24"/>
        </w:rPr>
        <w:t xml:space="preserve">run through </w:t>
      </w:r>
      <w:r w:rsidR="001E1397">
        <w:rPr>
          <w:rFonts w:ascii="Arial" w:hAnsi="Arial" w:cs="Arial"/>
          <w:sz w:val="24"/>
          <w:szCs w:val="24"/>
        </w:rPr>
        <w:t>Christmas</w:t>
      </w:r>
      <w:r w:rsidR="004F50B0">
        <w:rPr>
          <w:rFonts w:ascii="Arial" w:hAnsi="Arial" w:cs="Arial"/>
          <w:sz w:val="24"/>
          <w:szCs w:val="24"/>
        </w:rPr>
        <w:t xml:space="preserve">. </w:t>
      </w:r>
      <w:r w:rsidR="008A2DA1">
        <w:rPr>
          <w:rFonts w:ascii="Arial" w:hAnsi="Arial" w:cs="Arial"/>
          <w:sz w:val="24"/>
          <w:szCs w:val="24"/>
        </w:rPr>
        <w:t>Fortunately, t</w:t>
      </w:r>
      <w:r>
        <w:rPr>
          <w:rFonts w:ascii="Arial" w:hAnsi="Arial" w:cs="Arial"/>
          <w:sz w:val="24"/>
          <w:szCs w:val="24"/>
        </w:rPr>
        <w:t xml:space="preserve">he project planning had enough buffer time that this </w:t>
      </w:r>
      <w:r w:rsidR="001E1397">
        <w:rPr>
          <w:rFonts w:ascii="Arial" w:hAnsi="Arial" w:cs="Arial"/>
          <w:sz w:val="24"/>
          <w:szCs w:val="24"/>
        </w:rPr>
        <w:t xml:space="preserve">delay </w:t>
      </w:r>
      <w:r>
        <w:rPr>
          <w:rFonts w:ascii="Arial" w:hAnsi="Arial" w:cs="Arial"/>
          <w:sz w:val="24"/>
          <w:szCs w:val="24"/>
        </w:rPr>
        <w:t xml:space="preserve">did not </w:t>
      </w:r>
      <w:r w:rsidR="00782F20">
        <w:rPr>
          <w:rFonts w:ascii="Arial" w:hAnsi="Arial" w:cs="Arial"/>
          <w:sz w:val="24"/>
          <w:szCs w:val="24"/>
        </w:rPr>
        <w:t>affect</w:t>
      </w:r>
      <w:r>
        <w:rPr>
          <w:rFonts w:ascii="Arial" w:hAnsi="Arial" w:cs="Arial"/>
          <w:sz w:val="24"/>
          <w:szCs w:val="24"/>
        </w:rPr>
        <w:t xml:space="preserve"> being ready for the deadline. If I were to use thematic analysis for a future literature</w:t>
      </w:r>
      <w:r w:rsidR="000400D2">
        <w:rPr>
          <w:rFonts w:ascii="Arial" w:hAnsi="Arial" w:cs="Arial"/>
          <w:sz w:val="24"/>
          <w:szCs w:val="24"/>
        </w:rPr>
        <w:t xml:space="preserve"> review</w:t>
      </w:r>
      <w:r>
        <w:rPr>
          <w:rFonts w:ascii="Arial" w:hAnsi="Arial" w:cs="Arial"/>
          <w:sz w:val="24"/>
          <w:szCs w:val="24"/>
        </w:rPr>
        <w:t xml:space="preserve">, I would plan with the knowledge of how time consuming it can be. I can see </w:t>
      </w:r>
      <w:r w:rsidR="004F6A71">
        <w:rPr>
          <w:rFonts w:ascii="Arial" w:hAnsi="Arial" w:cs="Arial"/>
          <w:sz w:val="24"/>
          <w:szCs w:val="24"/>
        </w:rPr>
        <w:t>many</w:t>
      </w:r>
      <w:r>
        <w:rPr>
          <w:rFonts w:ascii="Arial" w:hAnsi="Arial" w:cs="Arial"/>
          <w:sz w:val="24"/>
          <w:szCs w:val="24"/>
        </w:rPr>
        <w:t xml:space="preserve"> benefits of thematic analysis</w:t>
      </w:r>
      <w:r w:rsidR="008711A8">
        <w:rPr>
          <w:rFonts w:ascii="Arial" w:hAnsi="Arial" w:cs="Arial"/>
          <w:sz w:val="24"/>
          <w:szCs w:val="24"/>
        </w:rPr>
        <w:t>. It has the</w:t>
      </w:r>
      <w:r w:rsidR="00D15A8F">
        <w:rPr>
          <w:rFonts w:ascii="Arial" w:hAnsi="Arial" w:cs="Arial"/>
          <w:sz w:val="24"/>
          <w:szCs w:val="24"/>
        </w:rPr>
        <w:t xml:space="preserve"> </w:t>
      </w:r>
      <w:r>
        <w:rPr>
          <w:rFonts w:ascii="Arial" w:hAnsi="Arial" w:cs="Arial"/>
          <w:sz w:val="24"/>
          <w:szCs w:val="24"/>
        </w:rPr>
        <w:t xml:space="preserve">potential to aid deep immersion, familiarity, and understanding of data through its methodical process which supports critical thinking at each stage </w:t>
      </w:r>
      <w:r>
        <w:rPr>
          <w:rFonts w:ascii="Arial" w:hAnsi="Arial" w:cs="Arial"/>
          <w:sz w:val="24"/>
          <w:szCs w:val="24"/>
        </w:rPr>
        <w:fldChar w:fldCharType="begin" w:fldLock="1"/>
      </w:r>
      <w:r>
        <w:rPr>
          <w:rFonts w:ascii="Arial" w:hAnsi="Arial" w:cs="Arial"/>
          <w:sz w:val="24"/>
          <w:szCs w:val="24"/>
        </w:rPr>
        <w:instrText>ADDIN CSL_CITATION {"citationItems":[{"id":"ITEM-1","itemData":{"DOI":"10.1191/1478088706qp063oa","ISSN":"14780887","abstract":"Thematic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author":[{"dropping-particle":"","family":"Braun","given":"Virginia","non-dropping-particle":"","parse-names":false,"suffix":""},{"dropping-particle":"","family":"Clarke","given":"Victoria","non-dropping-particle":"","parse-names":false,"suffix":""}],"container-title":"Qualitative Research in Psychology","id":"ITEM-1","issue":"2","issued":{"date-parts":[["2006"]]},"note":"Highlights by: Doc page - Journal page - Topic\n\np3 - p78 Foundational method\np3 - p78 - Epistomological approach\np6 - p81 &amp;quot; &amp;quot; yellow\np6 - p81 &amp;quot; &amp;quot; green\np4 - p79 - Importance of how research is done\np5 - p80 Researcher activer in finding themes (not emerging-passive)\np5 - p80 Researcher position and decisions in the process\n\nTheme - \np7 - p82 theme definition yellow, how many instances to qualify (not defined), \np7 - p82 - researcher judgemnt required\np7 - p82 - prevelence of a theme is not essential yellow\np8 - p83 - Inductive approach \n\nDefinitions:\np4 - p79 - Thematic analysis - Pink highlight\np4 - p79 - Corpus - all data collected for a a project\np4 - p79 Data set - all the data from the corpus being used for a particular analysis\np4 - p79 Data item - each idiviual pice of data collected to form the corpus (i.e. each article)\np4 - p79 Extract - coded chonk of data taken from an extract\np7 - p82 theme definition yellow","page":"77-101","title":"Using thematic analysis in psychology","type":"article-journal","volume":"3"},"uris":["http://www.mendeley.com/documents/?uuid=d79a4bb1-1383-4be0-9dfb-77bad2f80283"]},{"id":"ITEM-2","itemData":{"DOI":"10.1080/2159676X.2019.1628806","ISSN":"1939845X","abstract":"Since initially writing on thematic analysis in 2006, the popularity of the method we outlined has exploded, the variety of TA approaches have expanded, and, not least, our thinking has developed and shifted. In this reflexive commentary, we look back at some of the unspoken assumptions that informed how we wrote our 2006 paper. We connect some of these un-identified assumptions, and developments in the method over the years, with some conceptual mismatches and confusions we see in published TA studies. In order to facilitate better TA practice, we reflect on how our thinking has evolved–and in some cases sedimented–since the publication of our 2006 paper, and clarify and revise some of the ways we phrased or conceptualised TA, and the elements of, and processes around, a method we now prefer to call reflexive TA.","author":[{"dropping-particle":"","family":"Braun","given":"Virginia","non-dropping-particle":"","parse-names":false,"suffix":""},{"dropping-particle":"","family":"Clarke","given":"Victoria","non-dropping-particle":"","parse-names":false,"suffix":""}],"container-title":"Qualitative Research in Sport, Exercise and Health","id":"ITEM-2","issue":"4","issued":{"date-parts":[["2019"]]},"page":"589-597","publisher":"Routledge","title":"Reflecting on reflexive thematic analysis","type":"article-journal","volume":"11"},"uris":["http://www.mendeley.com/documents/?uuid=e24d767a-9c14-4ae2-b026-6f8fa0177c0e"]}],"mendeley":{"formattedCitation":"(Braun and Clarke, 2006, 2019)","plainTextFormattedCitation":"(Braun and Clarke, 2006, 2019)","previouslyFormattedCitation":"(Braun and Clarke, 2006, 2019)"},"properties":{"noteIndex":0},"schema":"https://github.com/citation-style-language/schema/raw/master/csl-citation.json"}</w:instrText>
      </w:r>
      <w:r>
        <w:rPr>
          <w:rFonts w:ascii="Arial" w:hAnsi="Arial" w:cs="Arial"/>
          <w:sz w:val="24"/>
          <w:szCs w:val="24"/>
        </w:rPr>
        <w:fldChar w:fldCharType="separate"/>
      </w:r>
      <w:r w:rsidRPr="008B5ED8">
        <w:rPr>
          <w:rFonts w:ascii="Arial" w:hAnsi="Arial" w:cs="Arial"/>
          <w:noProof/>
          <w:sz w:val="24"/>
          <w:szCs w:val="24"/>
        </w:rPr>
        <w:t>(Braun and Clarke, 2006, 2019)</w:t>
      </w:r>
      <w:r>
        <w:rPr>
          <w:rFonts w:ascii="Arial" w:hAnsi="Arial" w:cs="Arial"/>
          <w:sz w:val="24"/>
          <w:szCs w:val="24"/>
        </w:rPr>
        <w:fldChar w:fldCharType="end"/>
      </w:r>
      <w:r>
        <w:rPr>
          <w:rFonts w:ascii="Arial" w:hAnsi="Arial" w:cs="Arial"/>
          <w:sz w:val="24"/>
          <w:szCs w:val="24"/>
        </w:rPr>
        <w:t>. I feel self-efficacy knowledge is important for singing teachers, and teachers in any field, as it can have a</w:t>
      </w:r>
      <w:r w:rsidR="0045216C">
        <w:rPr>
          <w:rFonts w:ascii="Arial" w:hAnsi="Arial" w:cs="Arial"/>
          <w:sz w:val="24"/>
          <w:szCs w:val="24"/>
        </w:rPr>
        <w:t xml:space="preserve"> significant</w:t>
      </w:r>
      <w:r>
        <w:rPr>
          <w:rFonts w:ascii="Arial" w:hAnsi="Arial" w:cs="Arial"/>
          <w:sz w:val="24"/>
          <w:szCs w:val="24"/>
        </w:rPr>
        <w:t xml:space="preserve"> impact on students</w:t>
      </w:r>
      <w:r w:rsidR="00D15A8F">
        <w:rPr>
          <w:rFonts w:ascii="Arial" w:hAnsi="Arial" w:cs="Arial"/>
          <w:sz w:val="24"/>
          <w:szCs w:val="24"/>
        </w:rPr>
        <w:t>’</w:t>
      </w:r>
      <w:r>
        <w:rPr>
          <w:rFonts w:ascii="Arial" w:hAnsi="Arial" w:cs="Arial"/>
          <w:sz w:val="24"/>
          <w:szCs w:val="24"/>
        </w:rPr>
        <w:t xml:space="preserve"> learning and their mental health.</w:t>
      </w:r>
      <w:r w:rsidR="00137476">
        <w:rPr>
          <w:rFonts w:ascii="Arial" w:hAnsi="Arial" w:cs="Arial"/>
          <w:sz w:val="24"/>
          <w:szCs w:val="24"/>
        </w:rPr>
        <w:br w:type="page"/>
      </w:r>
    </w:p>
    <w:p w14:paraId="7F8C0F9E" w14:textId="29434A57" w:rsidR="0058119C" w:rsidRDefault="0058119C" w:rsidP="0058119C">
      <w:pPr>
        <w:widowControl w:val="0"/>
        <w:autoSpaceDE w:val="0"/>
        <w:autoSpaceDN w:val="0"/>
        <w:adjustRightInd w:val="0"/>
        <w:spacing w:line="360" w:lineRule="auto"/>
        <w:rPr>
          <w:rFonts w:ascii="Arial" w:hAnsi="Arial" w:cs="Arial"/>
          <w:b/>
          <w:color w:val="000000"/>
          <w:sz w:val="24"/>
          <w:szCs w:val="24"/>
        </w:rPr>
      </w:pPr>
      <w:r>
        <w:rPr>
          <w:rFonts w:ascii="Arial" w:hAnsi="Arial" w:cs="Arial"/>
          <w:b/>
          <w:color w:val="000000"/>
          <w:sz w:val="24"/>
          <w:szCs w:val="24"/>
        </w:rPr>
        <w:lastRenderedPageBreak/>
        <w:t>Bibliography:</w:t>
      </w:r>
    </w:p>
    <w:p w14:paraId="3A4A62E2" w14:textId="07E61B1C" w:rsidR="000834D4" w:rsidRPr="000834D4" w:rsidRDefault="00F04F49" w:rsidP="000834D4">
      <w:pPr>
        <w:widowControl w:val="0"/>
        <w:autoSpaceDE w:val="0"/>
        <w:autoSpaceDN w:val="0"/>
        <w:adjustRightInd w:val="0"/>
        <w:spacing w:line="360" w:lineRule="auto"/>
        <w:rPr>
          <w:rFonts w:ascii="Arial" w:hAnsi="Arial" w:cs="Arial"/>
          <w:noProof/>
          <w:sz w:val="24"/>
          <w:szCs w:val="24"/>
        </w:rPr>
      </w:pPr>
      <w:r>
        <w:rPr>
          <w:rFonts w:ascii="Arial" w:hAnsi="Arial" w:cs="Arial"/>
          <w:b/>
          <w:color w:val="000000"/>
          <w:sz w:val="24"/>
          <w:szCs w:val="24"/>
        </w:rPr>
        <w:fldChar w:fldCharType="begin" w:fldLock="1"/>
      </w:r>
      <w:r>
        <w:rPr>
          <w:rFonts w:ascii="Arial" w:hAnsi="Arial" w:cs="Arial"/>
          <w:b/>
          <w:color w:val="000000"/>
          <w:sz w:val="24"/>
          <w:szCs w:val="24"/>
        </w:rPr>
        <w:instrText xml:space="preserve">ADDIN Mendeley Bibliography CSL_BIBLIOGRAPHY </w:instrText>
      </w:r>
      <w:r>
        <w:rPr>
          <w:rFonts w:ascii="Arial" w:hAnsi="Arial" w:cs="Arial"/>
          <w:b/>
          <w:color w:val="000000"/>
          <w:sz w:val="24"/>
          <w:szCs w:val="24"/>
        </w:rPr>
        <w:fldChar w:fldCharType="separate"/>
      </w:r>
      <w:r w:rsidR="000834D4" w:rsidRPr="000834D4">
        <w:rPr>
          <w:rFonts w:ascii="Arial" w:hAnsi="Arial" w:cs="Arial"/>
          <w:noProof/>
          <w:sz w:val="24"/>
          <w:szCs w:val="24"/>
        </w:rPr>
        <w:t xml:space="preserve">Bandura, A. (1997) </w:t>
      </w:r>
      <w:r w:rsidR="000834D4" w:rsidRPr="000834D4">
        <w:rPr>
          <w:rFonts w:ascii="Arial" w:hAnsi="Arial" w:cs="Arial"/>
          <w:i/>
          <w:iCs/>
          <w:noProof/>
          <w:sz w:val="24"/>
          <w:szCs w:val="24"/>
        </w:rPr>
        <w:t>Self-efficacy : The Exercise of Control.</w:t>
      </w:r>
      <w:r w:rsidR="000834D4" w:rsidRPr="000834D4">
        <w:rPr>
          <w:rFonts w:ascii="Arial" w:hAnsi="Arial" w:cs="Arial"/>
          <w:noProof/>
          <w:sz w:val="24"/>
          <w:szCs w:val="24"/>
        </w:rPr>
        <w:t xml:space="preserve"> New York: W.H.Freeman &amp; Co Ltd.</w:t>
      </w:r>
    </w:p>
    <w:p w14:paraId="52C0468D"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Blackhurst, L. E. (2021) </w:t>
      </w:r>
      <w:r w:rsidRPr="000834D4">
        <w:rPr>
          <w:rFonts w:ascii="Arial" w:hAnsi="Arial" w:cs="Arial"/>
          <w:i/>
          <w:iCs/>
          <w:noProof/>
          <w:sz w:val="24"/>
          <w:szCs w:val="24"/>
        </w:rPr>
        <w:t>Exploring the Whole Singing Self with Technique, Contemplative Education, and Mindfulness</w:t>
      </w:r>
      <w:r w:rsidRPr="000834D4">
        <w:rPr>
          <w:rFonts w:ascii="Arial" w:hAnsi="Arial" w:cs="Arial"/>
          <w:noProof/>
          <w:sz w:val="24"/>
          <w:szCs w:val="24"/>
        </w:rPr>
        <w:t xml:space="preserve">, </w:t>
      </w:r>
      <w:r w:rsidRPr="000834D4">
        <w:rPr>
          <w:rFonts w:ascii="Arial" w:hAnsi="Arial" w:cs="Arial"/>
          <w:i/>
          <w:iCs/>
          <w:noProof/>
          <w:sz w:val="24"/>
          <w:szCs w:val="24"/>
        </w:rPr>
        <w:t>University of Colombia Doctor of Education submission</w:t>
      </w:r>
      <w:r w:rsidRPr="000834D4">
        <w:rPr>
          <w:rFonts w:ascii="Arial" w:hAnsi="Arial" w:cs="Arial"/>
          <w:noProof/>
          <w:sz w:val="24"/>
          <w:szCs w:val="24"/>
        </w:rPr>
        <w:t>.</w:t>
      </w:r>
    </w:p>
    <w:p w14:paraId="355F6FE2"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Braun, V. and Clarke, V. (2006) ‘Using thematic analysis in psychology’, </w:t>
      </w:r>
      <w:r w:rsidRPr="000834D4">
        <w:rPr>
          <w:rFonts w:ascii="Arial" w:hAnsi="Arial" w:cs="Arial"/>
          <w:i/>
          <w:iCs/>
          <w:noProof/>
          <w:sz w:val="24"/>
          <w:szCs w:val="24"/>
        </w:rPr>
        <w:t>Qualitative Research in Psychology</w:t>
      </w:r>
      <w:r w:rsidRPr="000834D4">
        <w:rPr>
          <w:rFonts w:ascii="Arial" w:hAnsi="Arial" w:cs="Arial"/>
          <w:noProof/>
          <w:sz w:val="24"/>
          <w:szCs w:val="24"/>
        </w:rPr>
        <w:t>, 3(2), pp. 77–101. doi: 10.1191/1478088706qp063oa.</w:t>
      </w:r>
    </w:p>
    <w:p w14:paraId="2953F0B8"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Braun, V. and Clarke, V. (2019) ‘Reflecting on reflexive thematic analysis’, </w:t>
      </w:r>
      <w:r w:rsidRPr="000834D4">
        <w:rPr>
          <w:rFonts w:ascii="Arial" w:hAnsi="Arial" w:cs="Arial"/>
          <w:i/>
          <w:iCs/>
          <w:noProof/>
          <w:sz w:val="24"/>
          <w:szCs w:val="24"/>
        </w:rPr>
        <w:t>Qualitative Research in Sport, Exercise and Health</w:t>
      </w:r>
      <w:r w:rsidRPr="000834D4">
        <w:rPr>
          <w:rFonts w:ascii="Arial" w:hAnsi="Arial" w:cs="Arial"/>
          <w:noProof/>
          <w:sz w:val="24"/>
          <w:szCs w:val="24"/>
        </w:rPr>
        <w:t>, 11(4), pp. 589–597. doi: 10.1080/2159676X.2019.1628806.</w:t>
      </w:r>
    </w:p>
    <w:p w14:paraId="14467E7D"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Bridges, D. and Smith, R. (2006) ‘Philosophy, methodology and educational research: Introduction’, </w:t>
      </w:r>
      <w:r w:rsidRPr="000834D4">
        <w:rPr>
          <w:rFonts w:ascii="Arial" w:hAnsi="Arial" w:cs="Arial"/>
          <w:i/>
          <w:iCs/>
          <w:noProof/>
          <w:sz w:val="24"/>
          <w:szCs w:val="24"/>
        </w:rPr>
        <w:t>Journal of Philosophy of Education</w:t>
      </w:r>
      <w:r w:rsidRPr="000834D4">
        <w:rPr>
          <w:rFonts w:ascii="Arial" w:hAnsi="Arial" w:cs="Arial"/>
          <w:noProof/>
          <w:sz w:val="24"/>
          <w:szCs w:val="24"/>
        </w:rPr>
        <w:t>, 40(2), pp. 131–135. doi: 10.1111/j.1467-9752.2006.00512.x.</w:t>
      </w:r>
    </w:p>
    <w:p w14:paraId="6F6F4B5D"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Burnard, P. </w:t>
      </w:r>
      <w:r w:rsidRPr="000834D4">
        <w:rPr>
          <w:rFonts w:ascii="Arial" w:hAnsi="Arial" w:cs="Arial"/>
          <w:i/>
          <w:iCs/>
          <w:noProof/>
          <w:sz w:val="24"/>
          <w:szCs w:val="24"/>
        </w:rPr>
        <w:t>et al.</w:t>
      </w:r>
      <w:r w:rsidRPr="000834D4">
        <w:rPr>
          <w:rFonts w:ascii="Arial" w:hAnsi="Arial" w:cs="Arial"/>
          <w:noProof/>
          <w:sz w:val="24"/>
          <w:szCs w:val="24"/>
        </w:rPr>
        <w:t xml:space="preserve"> (2008) ‘Analysing and presenting qualitative data’, </w:t>
      </w:r>
      <w:r w:rsidRPr="000834D4">
        <w:rPr>
          <w:rFonts w:ascii="Arial" w:hAnsi="Arial" w:cs="Arial"/>
          <w:i/>
          <w:iCs/>
          <w:noProof/>
          <w:sz w:val="24"/>
          <w:szCs w:val="24"/>
        </w:rPr>
        <w:t>British Dental Journal</w:t>
      </w:r>
      <w:r w:rsidRPr="000834D4">
        <w:rPr>
          <w:rFonts w:ascii="Arial" w:hAnsi="Arial" w:cs="Arial"/>
          <w:noProof/>
          <w:sz w:val="24"/>
          <w:szCs w:val="24"/>
        </w:rPr>
        <w:t>, 204(8), pp. 429–432. doi: 10.1038/sj.bdj.2008.292.</w:t>
      </w:r>
    </w:p>
    <w:p w14:paraId="1BAB1357"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Burton, D. (2000) ‘Research Training for Social Scientists’, in </w:t>
      </w:r>
      <w:r w:rsidRPr="000834D4">
        <w:rPr>
          <w:rFonts w:ascii="Arial" w:hAnsi="Arial" w:cs="Arial"/>
          <w:i/>
          <w:iCs/>
          <w:noProof/>
          <w:sz w:val="24"/>
          <w:szCs w:val="24"/>
        </w:rPr>
        <w:t>Research Training for Social Scientists</w:t>
      </w:r>
      <w:r w:rsidRPr="000834D4">
        <w:rPr>
          <w:rFonts w:ascii="Arial" w:hAnsi="Arial" w:cs="Arial"/>
          <w:noProof/>
          <w:sz w:val="24"/>
          <w:szCs w:val="24"/>
        </w:rPr>
        <w:t>. London: SAGE Publications Ltd.</w:t>
      </w:r>
    </w:p>
    <w:p w14:paraId="0D11C175"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Clift, S. and Morrison, I. (2011) ‘Group singing fosters mental health and wellbeing: Findings from the East Kent “singing for health” network project’, </w:t>
      </w:r>
      <w:r w:rsidRPr="000834D4">
        <w:rPr>
          <w:rFonts w:ascii="Arial" w:hAnsi="Arial" w:cs="Arial"/>
          <w:i/>
          <w:iCs/>
          <w:noProof/>
          <w:sz w:val="24"/>
          <w:szCs w:val="24"/>
        </w:rPr>
        <w:t>Mental Health and Social Inclusion</w:t>
      </w:r>
      <w:r w:rsidRPr="000834D4">
        <w:rPr>
          <w:rFonts w:ascii="Arial" w:hAnsi="Arial" w:cs="Arial"/>
          <w:noProof/>
          <w:sz w:val="24"/>
          <w:szCs w:val="24"/>
        </w:rPr>
        <w:t>, 15(2), pp. 88–97. doi: 10.1108/20428301111140930.</w:t>
      </w:r>
    </w:p>
    <w:p w14:paraId="7D37589A"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Cohen, L. et al (2011) </w:t>
      </w:r>
      <w:r w:rsidRPr="000834D4">
        <w:rPr>
          <w:rFonts w:ascii="Arial" w:hAnsi="Arial" w:cs="Arial"/>
          <w:i/>
          <w:iCs/>
          <w:noProof/>
          <w:sz w:val="24"/>
          <w:szCs w:val="24"/>
        </w:rPr>
        <w:t>Research methods in eductation</w:t>
      </w:r>
      <w:r w:rsidRPr="000834D4">
        <w:rPr>
          <w:rFonts w:ascii="Arial" w:hAnsi="Arial" w:cs="Arial"/>
          <w:noProof/>
          <w:sz w:val="24"/>
          <w:szCs w:val="24"/>
        </w:rPr>
        <w:t>. New York: Routledge.</w:t>
      </w:r>
    </w:p>
    <w:p w14:paraId="4F4F0780"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Constantin, K. L., Powell, D. M. and McCarthy, J. M. (2021) ‘Expanding conceptual understanding of interview anxiety and performance: Integrating cognitive, behavioral, and physiological features’, </w:t>
      </w:r>
      <w:r w:rsidRPr="000834D4">
        <w:rPr>
          <w:rFonts w:ascii="Arial" w:hAnsi="Arial" w:cs="Arial"/>
          <w:i/>
          <w:iCs/>
          <w:noProof/>
          <w:sz w:val="24"/>
          <w:szCs w:val="24"/>
        </w:rPr>
        <w:t>International Journal of Selection and Assessment</w:t>
      </w:r>
      <w:r w:rsidRPr="000834D4">
        <w:rPr>
          <w:rFonts w:ascii="Arial" w:hAnsi="Arial" w:cs="Arial"/>
          <w:noProof/>
          <w:sz w:val="24"/>
          <w:szCs w:val="24"/>
        </w:rPr>
        <w:t>, 29(2), pp. 234–252. doi: 10.1111/ijsa.12326.</w:t>
      </w:r>
    </w:p>
    <w:p w14:paraId="25DFA792"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Cramer, P. (2000) ‘Defense mechanisms in psychology today: Further processes for adaptation’, </w:t>
      </w:r>
      <w:r w:rsidRPr="000834D4">
        <w:rPr>
          <w:rFonts w:ascii="Arial" w:hAnsi="Arial" w:cs="Arial"/>
          <w:i/>
          <w:iCs/>
          <w:noProof/>
          <w:sz w:val="24"/>
          <w:szCs w:val="24"/>
        </w:rPr>
        <w:t>American Psychologist</w:t>
      </w:r>
      <w:r w:rsidRPr="000834D4">
        <w:rPr>
          <w:rFonts w:ascii="Arial" w:hAnsi="Arial" w:cs="Arial"/>
          <w:noProof/>
          <w:sz w:val="24"/>
          <w:szCs w:val="24"/>
        </w:rPr>
        <w:t>, 55(6), pp. 637–646. doi: 10.1037/0003-066X.55.6.637.</w:t>
      </w:r>
    </w:p>
    <w:p w14:paraId="102C5F5D"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lastRenderedPageBreak/>
        <w:t xml:space="preserve">Creech, A. and Hallam, S. (2015) ‘Critical geragogy: A framework for facilitating older learners in community music’, </w:t>
      </w:r>
      <w:r w:rsidRPr="000834D4">
        <w:rPr>
          <w:rFonts w:ascii="Arial" w:hAnsi="Arial" w:cs="Arial"/>
          <w:i/>
          <w:iCs/>
          <w:noProof/>
          <w:sz w:val="24"/>
          <w:szCs w:val="24"/>
        </w:rPr>
        <w:t>London Review of Education</w:t>
      </w:r>
      <w:r w:rsidRPr="000834D4">
        <w:rPr>
          <w:rFonts w:ascii="Arial" w:hAnsi="Arial" w:cs="Arial"/>
          <w:noProof/>
          <w:sz w:val="24"/>
          <w:szCs w:val="24"/>
        </w:rPr>
        <w:t>, 13(1), pp. 43–57. doi: 10.18546/LRE.13.1.05.</w:t>
      </w:r>
    </w:p>
    <w:p w14:paraId="115325AA"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Czajkowski, A. M. L. and Greasley, A. E. (2015) ‘Mindfulness for singers: The effects of a targeted mindfulness course on learning vocal technique’, </w:t>
      </w:r>
      <w:r w:rsidRPr="000834D4">
        <w:rPr>
          <w:rFonts w:ascii="Arial" w:hAnsi="Arial" w:cs="Arial"/>
          <w:i/>
          <w:iCs/>
          <w:noProof/>
          <w:sz w:val="24"/>
          <w:szCs w:val="24"/>
        </w:rPr>
        <w:t>British Journal of Music Education</w:t>
      </w:r>
      <w:r w:rsidRPr="000834D4">
        <w:rPr>
          <w:rFonts w:ascii="Arial" w:hAnsi="Arial" w:cs="Arial"/>
          <w:noProof/>
          <w:sz w:val="24"/>
          <w:szCs w:val="24"/>
        </w:rPr>
        <w:t>, 32(2), pp. 211–233. doi: 10.1017/S0265051715000145.</w:t>
      </w:r>
    </w:p>
    <w:p w14:paraId="3DD8AB0C"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Czajkowski, A. M. L., Greasley, A. E. and Allis, M. (2020) ‘Mindfulness for musicians: A mixed methods study investigating the effects of 8-week mindfulness courses on music students at a leading conservatoire’, </w:t>
      </w:r>
      <w:r w:rsidRPr="000834D4">
        <w:rPr>
          <w:rFonts w:ascii="Arial" w:hAnsi="Arial" w:cs="Arial"/>
          <w:i/>
          <w:iCs/>
          <w:noProof/>
          <w:sz w:val="24"/>
          <w:szCs w:val="24"/>
        </w:rPr>
        <w:t>Musicae Scientiae</w:t>
      </w:r>
      <w:r w:rsidRPr="000834D4">
        <w:rPr>
          <w:rFonts w:ascii="Arial" w:hAnsi="Arial" w:cs="Arial"/>
          <w:noProof/>
          <w:sz w:val="24"/>
          <w:szCs w:val="24"/>
        </w:rPr>
        <w:t>. doi: 10.1177/1029864920941570.</w:t>
      </w:r>
    </w:p>
    <w:p w14:paraId="3C26BF5B"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Darwin Holmes, A. G. (2020) ‘Researcher Positionality - A Consideration of Its Influence and Place in Qualitative Research - A New Researcher Guide’, </w:t>
      </w:r>
      <w:r w:rsidRPr="000834D4">
        <w:rPr>
          <w:rFonts w:ascii="Arial" w:hAnsi="Arial" w:cs="Arial"/>
          <w:i/>
          <w:iCs/>
          <w:noProof/>
          <w:sz w:val="24"/>
          <w:szCs w:val="24"/>
        </w:rPr>
        <w:t>Shanlax International Journal of Education</w:t>
      </w:r>
      <w:r w:rsidRPr="000834D4">
        <w:rPr>
          <w:rFonts w:ascii="Arial" w:hAnsi="Arial" w:cs="Arial"/>
          <w:noProof/>
          <w:sz w:val="24"/>
          <w:szCs w:val="24"/>
        </w:rPr>
        <w:t>, 8(4), pp. 1–10. doi: 10.34293/education.v8i4.3232.</w:t>
      </w:r>
    </w:p>
    <w:p w14:paraId="3587D14A"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Denscombe, M. (2014) </w:t>
      </w:r>
      <w:r w:rsidRPr="000834D4">
        <w:rPr>
          <w:rFonts w:ascii="Arial" w:hAnsi="Arial" w:cs="Arial"/>
          <w:i/>
          <w:iCs/>
          <w:noProof/>
          <w:sz w:val="24"/>
          <w:szCs w:val="24"/>
        </w:rPr>
        <w:t>O pen UP Study Skills The Good Research Guide</w:t>
      </w:r>
      <w:r w:rsidRPr="000834D4">
        <w:rPr>
          <w:rFonts w:ascii="Arial" w:hAnsi="Arial" w:cs="Arial"/>
          <w:noProof/>
          <w:sz w:val="24"/>
          <w:szCs w:val="24"/>
        </w:rPr>
        <w:t>.</w:t>
      </w:r>
    </w:p>
    <w:p w14:paraId="3674C572"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Donche, V. </w:t>
      </w:r>
      <w:r w:rsidRPr="000834D4">
        <w:rPr>
          <w:rFonts w:ascii="Arial" w:hAnsi="Arial" w:cs="Arial"/>
          <w:i/>
          <w:iCs/>
          <w:noProof/>
          <w:sz w:val="24"/>
          <w:szCs w:val="24"/>
        </w:rPr>
        <w:t>et al.</w:t>
      </w:r>
      <w:r w:rsidRPr="000834D4">
        <w:rPr>
          <w:rFonts w:ascii="Arial" w:hAnsi="Arial" w:cs="Arial"/>
          <w:noProof/>
          <w:sz w:val="24"/>
          <w:szCs w:val="24"/>
        </w:rPr>
        <w:t xml:space="preserve"> (2013) ‘Differential use of learning strategies in first-year higher education: The impact of personality, academic motivation, and teaching strategies’, </w:t>
      </w:r>
      <w:r w:rsidRPr="000834D4">
        <w:rPr>
          <w:rFonts w:ascii="Arial" w:hAnsi="Arial" w:cs="Arial"/>
          <w:i/>
          <w:iCs/>
          <w:noProof/>
          <w:sz w:val="24"/>
          <w:szCs w:val="24"/>
        </w:rPr>
        <w:t>British Journal of Educational Psychology</w:t>
      </w:r>
      <w:r w:rsidRPr="000834D4">
        <w:rPr>
          <w:rFonts w:ascii="Arial" w:hAnsi="Arial" w:cs="Arial"/>
          <w:noProof/>
          <w:sz w:val="24"/>
          <w:szCs w:val="24"/>
        </w:rPr>
        <w:t>, 83(2), pp. 238–251. doi: 10.1111/bjep.12016.</w:t>
      </w:r>
    </w:p>
    <w:p w14:paraId="38C77DC8"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Elliott, M. (2010) ‘Singing and Mindfulness’, </w:t>
      </w:r>
      <w:r w:rsidRPr="000834D4">
        <w:rPr>
          <w:rFonts w:ascii="Arial" w:hAnsi="Arial" w:cs="Arial"/>
          <w:i/>
          <w:iCs/>
          <w:noProof/>
          <w:sz w:val="24"/>
          <w:szCs w:val="24"/>
        </w:rPr>
        <w:t>Journal of Singing</w:t>
      </w:r>
      <w:r w:rsidRPr="000834D4">
        <w:rPr>
          <w:rFonts w:ascii="Arial" w:hAnsi="Arial" w:cs="Arial"/>
          <w:noProof/>
          <w:sz w:val="24"/>
          <w:szCs w:val="24"/>
        </w:rPr>
        <w:t>, 67(1), p. 35.</w:t>
      </w:r>
    </w:p>
    <w:p w14:paraId="5831338D"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Eva, K. W. and Regehr, G. (2005) ‘Self-assessment in the health professions: A reformulation and research agenda’, </w:t>
      </w:r>
      <w:r w:rsidRPr="000834D4">
        <w:rPr>
          <w:rFonts w:ascii="Arial" w:hAnsi="Arial" w:cs="Arial"/>
          <w:i/>
          <w:iCs/>
          <w:noProof/>
          <w:sz w:val="24"/>
          <w:szCs w:val="24"/>
        </w:rPr>
        <w:t>Academic Medicine</w:t>
      </w:r>
      <w:r w:rsidRPr="000834D4">
        <w:rPr>
          <w:rFonts w:ascii="Arial" w:hAnsi="Arial" w:cs="Arial"/>
          <w:noProof/>
          <w:sz w:val="24"/>
          <w:szCs w:val="24"/>
        </w:rPr>
        <w:t>, 80(10 SUPPL.), pp. 46–54. doi: 10.1097/00001888-200510001-00015.</w:t>
      </w:r>
    </w:p>
    <w:p w14:paraId="72939684"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Evans, A. </w:t>
      </w:r>
      <w:r w:rsidRPr="000834D4">
        <w:rPr>
          <w:rFonts w:ascii="Arial" w:hAnsi="Arial" w:cs="Arial"/>
          <w:i/>
          <w:iCs/>
          <w:noProof/>
          <w:sz w:val="24"/>
          <w:szCs w:val="24"/>
        </w:rPr>
        <w:t>et al.</w:t>
      </w:r>
      <w:r w:rsidRPr="000834D4">
        <w:rPr>
          <w:rFonts w:ascii="Arial" w:hAnsi="Arial" w:cs="Arial"/>
          <w:noProof/>
          <w:sz w:val="24"/>
          <w:szCs w:val="24"/>
        </w:rPr>
        <w:t xml:space="preserve"> (2021) ‘Using the Mindfulness-Based Interventions: Teaching Assessment Criteria (MBI:TAC) in Supervision’, </w:t>
      </w:r>
      <w:r w:rsidRPr="000834D4">
        <w:rPr>
          <w:rFonts w:ascii="Arial" w:hAnsi="Arial" w:cs="Arial"/>
          <w:i/>
          <w:iCs/>
          <w:noProof/>
          <w:sz w:val="24"/>
          <w:szCs w:val="24"/>
        </w:rPr>
        <w:t>Global Advances in Health and Medicine</w:t>
      </w:r>
      <w:r w:rsidRPr="000834D4">
        <w:rPr>
          <w:rFonts w:ascii="Arial" w:hAnsi="Arial" w:cs="Arial"/>
          <w:noProof/>
          <w:sz w:val="24"/>
          <w:szCs w:val="24"/>
        </w:rPr>
        <w:t>, 10, p. 216495612198994. doi: 10.1177/2164956121989949.</w:t>
      </w:r>
    </w:p>
    <w:p w14:paraId="23022E2E"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Garrett, M. (2019) ‘The art and skills of vocal coaching: Lessons in print from master coaches.’, </w:t>
      </w:r>
      <w:r w:rsidRPr="000834D4">
        <w:rPr>
          <w:rFonts w:ascii="Arial" w:hAnsi="Arial" w:cs="Arial"/>
          <w:i/>
          <w:iCs/>
          <w:noProof/>
          <w:sz w:val="24"/>
          <w:szCs w:val="24"/>
        </w:rPr>
        <w:t>Journal of Singing</w:t>
      </w:r>
      <w:r w:rsidRPr="000834D4">
        <w:rPr>
          <w:rFonts w:ascii="Arial" w:hAnsi="Arial" w:cs="Arial"/>
          <w:noProof/>
          <w:sz w:val="24"/>
          <w:szCs w:val="24"/>
        </w:rPr>
        <w:t>, 75(3), pp. 353–357. Available at: https://www.nats.org/cgi/page.cgi/_article.html/Journal_of_Singing/Collab_Corner_The_Art_and_the_Skills_of_Vocal_Coaching_Lessons_in_Print_from_Master_Coach</w:t>
      </w:r>
      <w:r w:rsidRPr="000834D4">
        <w:rPr>
          <w:rFonts w:ascii="Arial" w:hAnsi="Arial" w:cs="Arial"/>
          <w:noProof/>
          <w:sz w:val="24"/>
          <w:szCs w:val="24"/>
        </w:rPr>
        <w:lastRenderedPageBreak/>
        <w:t>es.</w:t>
      </w:r>
    </w:p>
    <w:p w14:paraId="25B267AA"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Gibbs (1988) ‘Reflective Cycle’, </w:t>
      </w:r>
      <w:r w:rsidRPr="000834D4">
        <w:rPr>
          <w:rFonts w:ascii="Arial" w:hAnsi="Arial" w:cs="Arial"/>
          <w:i/>
          <w:iCs/>
          <w:noProof/>
          <w:sz w:val="24"/>
          <w:szCs w:val="24"/>
        </w:rPr>
        <w:t>Academic Liasion, Employability and Skills (ALES)</w:t>
      </w:r>
      <w:r w:rsidRPr="000834D4">
        <w:rPr>
          <w:rFonts w:ascii="Arial" w:hAnsi="Arial" w:cs="Arial"/>
          <w:noProof/>
          <w:sz w:val="24"/>
          <w:szCs w:val="24"/>
        </w:rPr>
        <w:t>, pp. 1–4.</w:t>
      </w:r>
    </w:p>
    <w:p w14:paraId="483FAD23"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Goker, S. D. (2006) ‘Impact of peer coaching on self-efficacy and instructional skills in TEFL teacher education’, </w:t>
      </w:r>
      <w:r w:rsidRPr="000834D4">
        <w:rPr>
          <w:rFonts w:ascii="Arial" w:hAnsi="Arial" w:cs="Arial"/>
          <w:i/>
          <w:iCs/>
          <w:noProof/>
          <w:sz w:val="24"/>
          <w:szCs w:val="24"/>
        </w:rPr>
        <w:t>System</w:t>
      </w:r>
      <w:r w:rsidRPr="000834D4">
        <w:rPr>
          <w:rFonts w:ascii="Arial" w:hAnsi="Arial" w:cs="Arial"/>
          <w:noProof/>
          <w:sz w:val="24"/>
          <w:szCs w:val="24"/>
        </w:rPr>
        <w:t>, 34(2), pp. 239–254. doi: 10.1016/j.system.2005.12.002.</w:t>
      </w:r>
    </w:p>
    <w:p w14:paraId="4DE20363"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Greschner, D. (2019) ‘Review: Helding, Lynn. The Musician’s Mind: Teaching, Learning, and Performance in the Age of Brain Science.’, </w:t>
      </w:r>
      <w:r w:rsidRPr="000834D4">
        <w:rPr>
          <w:rFonts w:ascii="Arial" w:hAnsi="Arial" w:cs="Arial"/>
          <w:i/>
          <w:iCs/>
          <w:noProof/>
          <w:sz w:val="24"/>
          <w:szCs w:val="24"/>
        </w:rPr>
        <w:t>Journal of Singing</w:t>
      </w:r>
      <w:r w:rsidRPr="000834D4">
        <w:rPr>
          <w:rFonts w:ascii="Arial" w:hAnsi="Arial" w:cs="Arial"/>
          <w:noProof/>
          <w:sz w:val="24"/>
          <w:szCs w:val="24"/>
        </w:rPr>
        <w:t>, 75(4), pp. 503–506.</w:t>
      </w:r>
    </w:p>
    <w:p w14:paraId="72A8C77A"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Haase, L. </w:t>
      </w:r>
      <w:r w:rsidRPr="000834D4">
        <w:rPr>
          <w:rFonts w:ascii="Arial" w:hAnsi="Arial" w:cs="Arial"/>
          <w:i/>
          <w:iCs/>
          <w:noProof/>
          <w:sz w:val="24"/>
          <w:szCs w:val="24"/>
        </w:rPr>
        <w:t>et al.</w:t>
      </w:r>
      <w:r w:rsidRPr="000834D4">
        <w:rPr>
          <w:rFonts w:ascii="Arial" w:hAnsi="Arial" w:cs="Arial"/>
          <w:noProof/>
          <w:sz w:val="24"/>
          <w:szCs w:val="24"/>
        </w:rPr>
        <w:t xml:space="preserve"> (2015) ‘A pilot study investigating changes in neural processing after mindfulness training in elite athletes’, </w:t>
      </w:r>
      <w:r w:rsidRPr="000834D4">
        <w:rPr>
          <w:rFonts w:ascii="Arial" w:hAnsi="Arial" w:cs="Arial"/>
          <w:i/>
          <w:iCs/>
          <w:noProof/>
          <w:sz w:val="24"/>
          <w:szCs w:val="24"/>
        </w:rPr>
        <w:t>Frontiers in Behavioral Neuroscience</w:t>
      </w:r>
      <w:r w:rsidRPr="000834D4">
        <w:rPr>
          <w:rFonts w:ascii="Arial" w:hAnsi="Arial" w:cs="Arial"/>
          <w:noProof/>
          <w:sz w:val="24"/>
          <w:szCs w:val="24"/>
        </w:rPr>
        <w:t>, 9(AUGUST), pp. 1–12. doi: 10.3389/fnbeh.2015.00229.</w:t>
      </w:r>
    </w:p>
    <w:p w14:paraId="4FF97D58"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Harding, G., Gantley, M. and Taylor, K. (2017) ‘Analysing qualitative data’, </w:t>
      </w:r>
      <w:r w:rsidRPr="000834D4">
        <w:rPr>
          <w:rFonts w:ascii="Arial" w:hAnsi="Arial" w:cs="Arial"/>
          <w:i/>
          <w:iCs/>
          <w:noProof/>
          <w:sz w:val="24"/>
          <w:szCs w:val="24"/>
        </w:rPr>
        <w:t>Pharmacy Practice: Second Edition</w:t>
      </w:r>
      <w:r w:rsidRPr="000834D4">
        <w:rPr>
          <w:rFonts w:ascii="Arial" w:hAnsi="Arial" w:cs="Arial"/>
          <w:noProof/>
          <w:sz w:val="24"/>
          <w:szCs w:val="24"/>
        </w:rPr>
        <w:t>, 320(January), pp. 417–423. doi: 10.1201/b19093.</w:t>
      </w:r>
    </w:p>
    <w:p w14:paraId="314A73B5"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Herbst, T. H. H. (2020) ‘Gender differences in self-perception accuracy: The confidence gap and women leaders’ underrepresentation in academia’, </w:t>
      </w:r>
      <w:r w:rsidRPr="000834D4">
        <w:rPr>
          <w:rFonts w:ascii="Arial" w:hAnsi="Arial" w:cs="Arial"/>
          <w:i/>
          <w:iCs/>
          <w:noProof/>
          <w:sz w:val="24"/>
          <w:szCs w:val="24"/>
        </w:rPr>
        <w:t>SA Journal of Industrial Psychology</w:t>
      </w:r>
      <w:r w:rsidRPr="000834D4">
        <w:rPr>
          <w:rFonts w:ascii="Arial" w:hAnsi="Arial" w:cs="Arial"/>
          <w:noProof/>
          <w:sz w:val="24"/>
          <w:szCs w:val="24"/>
        </w:rPr>
        <w:t>, 46, pp. 1–9. doi: 10.4102/sajip.v46i0.1704.</w:t>
      </w:r>
    </w:p>
    <w:p w14:paraId="1045BF53"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Hogle, L. A. (2021) ‘Fostering singing agency through emotional differentiation in an inclusive singing environment’, </w:t>
      </w:r>
      <w:r w:rsidRPr="000834D4">
        <w:rPr>
          <w:rFonts w:ascii="Arial" w:hAnsi="Arial" w:cs="Arial"/>
          <w:i/>
          <w:iCs/>
          <w:noProof/>
          <w:sz w:val="24"/>
          <w:szCs w:val="24"/>
        </w:rPr>
        <w:t>Research Studies in Music Education</w:t>
      </w:r>
      <w:r w:rsidRPr="000834D4">
        <w:rPr>
          <w:rFonts w:ascii="Arial" w:hAnsi="Arial" w:cs="Arial"/>
          <w:noProof/>
          <w:sz w:val="24"/>
          <w:szCs w:val="24"/>
        </w:rPr>
        <w:t>, 43(2), pp. 179–194. doi: 10.1177/1321103X20930426.</w:t>
      </w:r>
    </w:p>
    <w:p w14:paraId="5EC97B16"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Jha, A. P. </w:t>
      </w:r>
      <w:r w:rsidRPr="000834D4">
        <w:rPr>
          <w:rFonts w:ascii="Arial" w:hAnsi="Arial" w:cs="Arial"/>
          <w:i/>
          <w:iCs/>
          <w:noProof/>
          <w:sz w:val="24"/>
          <w:szCs w:val="24"/>
        </w:rPr>
        <w:t>et al.</w:t>
      </w:r>
      <w:r w:rsidRPr="000834D4">
        <w:rPr>
          <w:rFonts w:ascii="Arial" w:hAnsi="Arial" w:cs="Arial"/>
          <w:noProof/>
          <w:sz w:val="24"/>
          <w:szCs w:val="24"/>
        </w:rPr>
        <w:t xml:space="preserve"> (2010) ‘Examining the Protective Effects of Mindfulness Training on Working Memory Capacity and Affective Experience’, </w:t>
      </w:r>
      <w:r w:rsidRPr="000834D4">
        <w:rPr>
          <w:rFonts w:ascii="Arial" w:hAnsi="Arial" w:cs="Arial"/>
          <w:i/>
          <w:iCs/>
          <w:noProof/>
          <w:sz w:val="24"/>
          <w:szCs w:val="24"/>
        </w:rPr>
        <w:t>Emotion</w:t>
      </w:r>
      <w:r w:rsidRPr="000834D4">
        <w:rPr>
          <w:rFonts w:ascii="Arial" w:hAnsi="Arial" w:cs="Arial"/>
          <w:noProof/>
          <w:sz w:val="24"/>
          <w:szCs w:val="24"/>
        </w:rPr>
        <w:t>, 10(1), pp. 54–64. doi: 10.1037/a0018438.</w:t>
      </w:r>
    </w:p>
    <w:p w14:paraId="7283F413"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Kabat-Zinn, J. (2005) </w:t>
      </w:r>
      <w:r w:rsidRPr="000834D4">
        <w:rPr>
          <w:rFonts w:ascii="Arial" w:hAnsi="Arial" w:cs="Arial"/>
          <w:i/>
          <w:iCs/>
          <w:noProof/>
          <w:sz w:val="24"/>
          <w:szCs w:val="24"/>
        </w:rPr>
        <w:t>Wherever you go, there you are: mindfulness meditation in everyday life</w:t>
      </w:r>
      <w:r w:rsidRPr="000834D4">
        <w:rPr>
          <w:rFonts w:ascii="Arial" w:hAnsi="Arial" w:cs="Arial"/>
          <w:noProof/>
          <w:sz w:val="24"/>
          <w:szCs w:val="24"/>
        </w:rPr>
        <w:t>. New York: Hyperion.</w:t>
      </w:r>
    </w:p>
    <w:p w14:paraId="4B376B1F"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Kee, Y. H. and Liu, Y. T. (2011) ‘Effects of dispositional mindfulness on the self-controlled learning of a novel motor task’, </w:t>
      </w:r>
      <w:r w:rsidRPr="000834D4">
        <w:rPr>
          <w:rFonts w:ascii="Arial" w:hAnsi="Arial" w:cs="Arial"/>
          <w:i/>
          <w:iCs/>
          <w:noProof/>
          <w:sz w:val="24"/>
          <w:szCs w:val="24"/>
        </w:rPr>
        <w:t>Learning and Individual Differences</w:t>
      </w:r>
      <w:r w:rsidRPr="000834D4">
        <w:rPr>
          <w:rFonts w:ascii="Arial" w:hAnsi="Arial" w:cs="Arial"/>
          <w:noProof/>
          <w:sz w:val="24"/>
          <w:szCs w:val="24"/>
        </w:rPr>
        <w:t>, 21(4), pp. 468–471. doi: 10.1016/j.lindif.2011.01.009.</w:t>
      </w:r>
    </w:p>
    <w:p w14:paraId="28156598"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Kerr, C. E. </w:t>
      </w:r>
      <w:r w:rsidRPr="000834D4">
        <w:rPr>
          <w:rFonts w:ascii="Arial" w:hAnsi="Arial" w:cs="Arial"/>
          <w:i/>
          <w:iCs/>
          <w:noProof/>
          <w:sz w:val="24"/>
          <w:szCs w:val="24"/>
        </w:rPr>
        <w:t>et al.</w:t>
      </w:r>
      <w:r w:rsidRPr="000834D4">
        <w:rPr>
          <w:rFonts w:ascii="Arial" w:hAnsi="Arial" w:cs="Arial"/>
          <w:noProof/>
          <w:sz w:val="24"/>
          <w:szCs w:val="24"/>
        </w:rPr>
        <w:t xml:space="preserve"> (2013) ‘Title: Mindfulness starts with the body: Somatosensory </w:t>
      </w:r>
      <w:r w:rsidRPr="000834D4">
        <w:rPr>
          <w:rFonts w:ascii="Arial" w:hAnsi="Arial" w:cs="Arial"/>
          <w:noProof/>
          <w:sz w:val="24"/>
          <w:szCs w:val="24"/>
        </w:rPr>
        <w:lastRenderedPageBreak/>
        <w:t xml:space="preserve">attention and top-down modulation of cortical alpha rhythms in mindfulness meditation’, </w:t>
      </w:r>
      <w:r w:rsidRPr="000834D4">
        <w:rPr>
          <w:rFonts w:ascii="Arial" w:hAnsi="Arial" w:cs="Arial"/>
          <w:i/>
          <w:iCs/>
          <w:noProof/>
          <w:sz w:val="24"/>
          <w:szCs w:val="24"/>
        </w:rPr>
        <w:t>Frontiers in Human Neuroscience</w:t>
      </w:r>
      <w:r w:rsidRPr="000834D4">
        <w:rPr>
          <w:rFonts w:ascii="Arial" w:hAnsi="Arial" w:cs="Arial"/>
          <w:noProof/>
          <w:sz w:val="24"/>
          <w:szCs w:val="24"/>
        </w:rPr>
        <w:t>, 7(JAN), pp. 1–15. doi: 10.3389/fnhum.2013.00012.</w:t>
      </w:r>
    </w:p>
    <w:p w14:paraId="57E7502F"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Lee, S. C., Jack, A. R. and Novacek, G. (2022) ‘PD with Distance-Based Instructional Coaching to Improve Elementary Teacher’ Self-Efficacy in Teaching Science’, </w:t>
      </w:r>
      <w:r w:rsidRPr="000834D4">
        <w:rPr>
          <w:rFonts w:ascii="Arial" w:hAnsi="Arial" w:cs="Arial"/>
          <w:i/>
          <w:iCs/>
          <w:noProof/>
          <w:sz w:val="24"/>
          <w:szCs w:val="24"/>
        </w:rPr>
        <w:t>Journal of Science Teacher Education</w:t>
      </w:r>
      <w:r w:rsidRPr="000834D4">
        <w:rPr>
          <w:rFonts w:ascii="Arial" w:hAnsi="Arial" w:cs="Arial"/>
          <w:noProof/>
          <w:sz w:val="24"/>
          <w:szCs w:val="24"/>
        </w:rPr>
        <w:t>, 33(5), pp. 509–530. doi: 10.1080/1046560X.2021.1965751.</w:t>
      </w:r>
    </w:p>
    <w:p w14:paraId="5FFBFE5A"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Lester, S. and Costley, C. (2010) ‘Work-based learning at higher education level: Value, practice and critique’, </w:t>
      </w:r>
      <w:r w:rsidRPr="000834D4">
        <w:rPr>
          <w:rFonts w:ascii="Arial" w:hAnsi="Arial" w:cs="Arial"/>
          <w:i/>
          <w:iCs/>
          <w:noProof/>
          <w:sz w:val="24"/>
          <w:szCs w:val="24"/>
        </w:rPr>
        <w:t>Studies in Higher Education</w:t>
      </w:r>
      <w:r w:rsidRPr="000834D4">
        <w:rPr>
          <w:rFonts w:ascii="Arial" w:hAnsi="Arial" w:cs="Arial"/>
          <w:noProof/>
          <w:sz w:val="24"/>
          <w:szCs w:val="24"/>
        </w:rPr>
        <w:t>, 35(5), pp. 561–575. doi: 10.1080/03075070903216635.</w:t>
      </w:r>
    </w:p>
    <w:p w14:paraId="6159B662"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Lewis, M. C. and Hendricks, K. S. (2022) ‘“It’s your body, it’s part of who you are!”: Influences upon collegiate vocalists’ performance self-efficacy beliefs’, </w:t>
      </w:r>
      <w:r w:rsidRPr="000834D4">
        <w:rPr>
          <w:rFonts w:ascii="Arial" w:hAnsi="Arial" w:cs="Arial"/>
          <w:i/>
          <w:iCs/>
          <w:noProof/>
          <w:sz w:val="24"/>
          <w:szCs w:val="24"/>
        </w:rPr>
        <w:t>International Journal of Music Education</w:t>
      </w:r>
      <w:r w:rsidRPr="000834D4">
        <w:rPr>
          <w:rFonts w:ascii="Arial" w:hAnsi="Arial" w:cs="Arial"/>
          <w:noProof/>
          <w:sz w:val="24"/>
          <w:szCs w:val="24"/>
        </w:rPr>
        <w:t>. doi: 10.1177/02557614221074057.</w:t>
      </w:r>
    </w:p>
    <w:p w14:paraId="49B6B8D3"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Little, T. D. (2013) </w:t>
      </w:r>
      <w:r w:rsidRPr="000834D4">
        <w:rPr>
          <w:rFonts w:ascii="Arial" w:hAnsi="Arial" w:cs="Arial"/>
          <w:i/>
          <w:iCs/>
          <w:noProof/>
          <w:sz w:val="24"/>
          <w:szCs w:val="24"/>
        </w:rPr>
        <w:t>The Oxford Handbook of Quantitative Methods</w:t>
      </w:r>
      <w:r w:rsidRPr="000834D4">
        <w:rPr>
          <w:rFonts w:ascii="Arial" w:hAnsi="Arial" w:cs="Arial"/>
          <w:noProof/>
          <w:sz w:val="24"/>
          <w:szCs w:val="24"/>
        </w:rPr>
        <w:t>. New York: Oxford University Press.</w:t>
      </w:r>
    </w:p>
    <w:p w14:paraId="01DD4DB9"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Lynch, J. and Wilson, C. E. (2018) ‘Exploring the impact of choral singing on mindfulness’, </w:t>
      </w:r>
      <w:r w:rsidRPr="000834D4">
        <w:rPr>
          <w:rFonts w:ascii="Arial" w:hAnsi="Arial" w:cs="Arial"/>
          <w:i/>
          <w:iCs/>
          <w:noProof/>
          <w:sz w:val="24"/>
          <w:szCs w:val="24"/>
        </w:rPr>
        <w:t>Psychology of Music</w:t>
      </w:r>
      <w:r w:rsidRPr="000834D4">
        <w:rPr>
          <w:rFonts w:ascii="Arial" w:hAnsi="Arial" w:cs="Arial"/>
          <w:noProof/>
          <w:sz w:val="24"/>
          <w:szCs w:val="24"/>
        </w:rPr>
        <w:t>, 46(6), pp. 848–861. doi: 10.1177/0305735617729452.</w:t>
      </w:r>
    </w:p>
    <w:p w14:paraId="21FB683C"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Mann, K., Gordon, J. and MacLeod, A. (2009) ‘Reflection and reflective practice in health professions education: A systematic review’, </w:t>
      </w:r>
      <w:r w:rsidRPr="000834D4">
        <w:rPr>
          <w:rFonts w:ascii="Arial" w:hAnsi="Arial" w:cs="Arial"/>
          <w:i/>
          <w:iCs/>
          <w:noProof/>
          <w:sz w:val="24"/>
          <w:szCs w:val="24"/>
        </w:rPr>
        <w:t>Advances in Health Sciences Education</w:t>
      </w:r>
      <w:r w:rsidRPr="000834D4">
        <w:rPr>
          <w:rFonts w:ascii="Arial" w:hAnsi="Arial" w:cs="Arial"/>
          <w:noProof/>
          <w:sz w:val="24"/>
          <w:szCs w:val="24"/>
        </w:rPr>
        <w:t>, 14(4), pp. 595–621. doi: 10.1007/s10459-007-9090-2.</w:t>
      </w:r>
    </w:p>
    <w:p w14:paraId="44DA77DA"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Maxfield, L. (2013) ‘Improve Your Students’ Learning by Improving Your Feedback’, </w:t>
      </w:r>
      <w:r w:rsidRPr="000834D4">
        <w:rPr>
          <w:rFonts w:ascii="Arial" w:hAnsi="Arial" w:cs="Arial"/>
          <w:i/>
          <w:iCs/>
          <w:noProof/>
          <w:sz w:val="24"/>
          <w:szCs w:val="24"/>
        </w:rPr>
        <w:t>Journal of Singing</w:t>
      </w:r>
      <w:r w:rsidRPr="000834D4">
        <w:rPr>
          <w:rFonts w:ascii="Arial" w:hAnsi="Arial" w:cs="Arial"/>
          <w:noProof/>
          <w:sz w:val="24"/>
          <w:szCs w:val="24"/>
        </w:rPr>
        <w:t>, 69(4), pp. 471–478. Available at: http://proxy-s.mercer.edu/login?url=http://search.ebscohost.com/login.aspx?direct=true&amp;db=eft&amp;AN=85987196&amp;site=ehost-live.</w:t>
      </w:r>
    </w:p>
    <w:p w14:paraId="0C34BD91"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Maxfield, L. M. (2011) ‘Application of principles from motor-learning theory to the studio voice lesson: Effects of feedback frequency on retention of classical singing technique’, </w:t>
      </w:r>
      <w:r w:rsidRPr="000834D4">
        <w:rPr>
          <w:rFonts w:ascii="Arial" w:hAnsi="Arial" w:cs="Arial"/>
          <w:i/>
          <w:iCs/>
          <w:noProof/>
          <w:sz w:val="24"/>
          <w:szCs w:val="24"/>
        </w:rPr>
        <w:t>ProQuest Dissertations and Theses</w:t>
      </w:r>
      <w:r w:rsidRPr="000834D4">
        <w:rPr>
          <w:rFonts w:ascii="Arial" w:hAnsi="Arial" w:cs="Arial"/>
          <w:noProof/>
          <w:sz w:val="24"/>
          <w:szCs w:val="24"/>
        </w:rPr>
        <w:t>, p. 191. Available at: http://ezproxy.auckland.ac.nz/login?url=http://search.proquest.com/docview/879636063?accountid=8424%5Cnhttp://openurl.auckland.ac.nz/resolve?url_ver=Z39.88-</w:t>
      </w:r>
      <w:r w:rsidRPr="000834D4">
        <w:rPr>
          <w:rFonts w:ascii="Arial" w:hAnsi="Arial" w:cs="Arial"/>
          <w:noProof/>
          <w:sz w:val="24"/>
          <w:szCs w:val="24"/>
        </w:rPr>
        <w:lastRenderedPageBreak/>
        <w:t>2004&amp;rft_val_fmt=info:ofi/fmt:kev:mtx:dissertation&amp;genre=dissertations+%26+theses&amp;sid=ProQ:ProQuest.</w:t>
      </w:r>
    </w:p>
    <w:p w14:paraId="5E590F35"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McLeod, C. and Maxfield, L. (2020) ‘Causal Learning: Addressing Barriers in Learning to Sing MINDFUL VOICE’, </w:t>
      </w:r>
      <w:r w:rsidRPr="000834D4">
        <w:rPr>
          <w:rFonts w:ascii="Arial" w:hAnsi="Arial" w:cs="Arial"/>
          <w:i/>
          <w:iCs/>
          <w:noProof/>
          <w:sz w:val="24"/>
          <w:szCs w:val="24"/>
        </w:rPr>
        <w:t>Journal of Singing</w:t>
      </w:r>
      <w:r w:rsidRPr="000834D4">
        <w:rPr>
          <w:rFonts w:ascii="Arial" w:hAnsi="Arial" w:cs="Arial"/>
          <w:noProof/>
          <w:sz w:val="24"/>
          <w:szCs w:val="24"/>
        </w:rPr>
        <w:t>, 76(3), pp. 327–332.</w:t>
      </w:r>
    </w:p>
    <w:p w14:paraId="19A9528D"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Merriam, S. (1995) ‘Merriam - Issue of validity in Qual research.pdf’, </w:t>
      </w:r>
      <w:r w:rsidRPr="000834D4">
        <w:rPr>
          <w:rFonts w:ascii="Arial" w:hAnsi="Arial" w:cs="Arial"/>
          <w:i/>
          <w:iCs/>
          <w:noProof/>
          <w:sz w:val="24"/>
          <w:szCs w:val="24"/>
        </w:rPr>
        <w:t>Journal of Lifelong Learning</w:t>
      </w:r>
      <w:r w:rsidRPr="000834D4">
        <w:rPr>
          <w:rFonts w:ascii="Arial" w:hAnsi="Arial" w:cs="Arial"/>
          <w:noProof/>
          <w:sz w:val="24"/>
          <w:szCs w:val="24"/>
        </w:rPr>
        <w:t>, 4, pp. 51–60.</w:t>
      </w:r>
    </w:p>
    <w:p w14:paraId="0FD0AD17"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Merriam, S. and Tisdell, E. (2016) </w:t>
      </w:r>
      <w:r w:rsidRPr="000834D4">
        <w:rPr>
          <w:rFonts w:ascii="Arial" w:hAnsi="Arial" w:cs="Arial"/>
          <w:i/>
          <w:iCs/>
          <w:noProof/>
          <w:sz w:val="24"/>
          <w:szCs w:val="24"/>
        </w:rPr>
        <w:t>Qualitative Research</w:t>
      </w:r>
      <w:r w:rsidRPr="000834D4">
        <w:rPr>
          <w:rFonts w:ascii="Arial" w:hAnsi="Arial" w:cs="Arial"/>
          <w:noProof/>
          <w:sz w:val="24"/>
          <w:szCs w:val="24"/>
        </w:rPr>
        <w:t xml:space="preserve">. Fourth, </w:t>
      </w:r>
      <w:r w:rsidRPr="000834D4">
        <w:rPr>
          <w:rFonts w:ascii="Arial" w:hAnsi="Arial" w:cs="Arial"/>
          <w:i/>
          <w:iCs/>
          <w:noProof/>
          <w:sz w:val="24"/>
          <w:szCs w:val="24"/>
        </w:rPr>
        <w:t>Paper Knowledge . Toward a Media History of Documents</w:t>
      </w:r>
      <w:r w:rsidRPr="000834D4">
        <w:rPr>
          <w:rFonts w:ascii="Arial" w:hAnsi="Arial" w:cs="Arial"/>
          <w:noProof/>
          <w:sz w:val="24"/>
          <w:szCs w:val="24"/>
        </w:rPr>
        <w:t>. Fourth. San Francisco: Jossey-Bass.</w:t>
      </w:r>
    </w:p>
    <w:p w14:paraId="538CF1DE"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Middleton, T. </w:t>
      </w:r>
      <w:r w:rsidRPr="000834D4">
        <w:rPr>
          <w:rFonts w:ascii="Arial" w:hAnsi="Arial" w:cs="Arial"/>
          <w:i/>
          <w:iCs/>
          <w:noProof/>
          <w:sz w:val="24"/>
          <w:szCs w:val="24"/>
        </w:rPr>
        <w:t>et al.</w:t>
      </w:r>
      <w:r w:rsidRPr="000834D4">
        <w:rPr>
          <w:rFonts w:ascii="Arial" w:hAnsi="Arial" w:cs="Arial"/>
          <w:noProof/>
          <w:sz w:val="24"/>
          <w:szCs w:val="24"/>
        </w:rPr>
        <w:t xml:space="preserve"> (2019) ‘Framework for Reflection’, </w:t>
      </w:r>
      <w:r w:rsidRPr="000834D4">
        <w:rPr>
          <w:rFonts w:ascii="Arial" w:hAnsi="Arial" w:cs="Arial"/>
          <w:i/>
          <w:iCs/>
          <w:noProof/>
          <w:sz w:val="24"/>
          <w:szCs w:val="24"/>
        </w:rPr>
        <w:t>Using an Inclusive Approach to Reduce School Exclusion</w:t>
      </w:r>
      <w:r w:rsidRPr="000834D4">
        <w:rPr>
          <w:rFonts w:ascii="Arial" w:hAnsi="Arial" w:cs="Arial"/>
          <w:noProof/>
          <w:sz w:val="24"/>
          <w:szCs w:val="24"/>
        </w:rPr>
        <w:t>, pp. 199–208. doi: 10.4324/9780429455407-25.</w:t>
      </w:r>
    </w:p>
    <w:p w14:paraId="6127B96C"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Moghal, S. and Khanam, F. (2012) ‘Self esteem as a predictor of fear of negative evaluation and social anxiety’, </w:t>
      </w:r>
      <w:r w:rsidRPr="000834D4">
        <w:rPr>
          <w:rFonts w:ascii="Arial" w:hAnsi="Arial" w:cs="Arial"/>
          <w:i/>
          <w:iCs/>
          <w:noProof/>
          <w:sz w:val="24"/>
          <w:szCs w:val="24"/>
        </w:rPr>
        <w:t>Pakistan Journal of psychology</w:t>
      </w:r>
      <w:r w:rsidRPr="000834D4">
        <w:rPr>
          <w:rFonts w:ascii="Arial" w:hAnsi="Arial" w:cs="Arial"/>
          <w:noProof/>
          <w:sz w:val="24"/>
          <w:szCs w:val="24"/>
        </w:rPr>
        <w:t>, 43(1), pp. 91–100.</w:t>
      </w:r>
    </w:p>
    <w:p w14:paraId="4C015407"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Molbaek, M. (2018) ‘Inclusive teaching strategies–dimensions and agendas’, </w:t>
      </w:r>
      <w:r w:rsidRPr="000834D4">
        <w:rPr>
          <w:rFonts w:ascii="Arial" w:hAnsi="Arial" w:cs="Arial"/>
          <w:i/>
          <w:iCs/>
          <w:noProof/>
          <w:sz w:val="24"/>
          <w:szCs w:val="24"/>
        </w:rPr>
        <w:t>International Journal of Inclusive Education</w:t>
      </w:r>
      <w:r w:rsidRPr="000834D4">
        <w:rPr>
          <w:rFonts w:ascii="Arial" w:hAnsi="Arial" w:cs="Arial"/>
          <w:noProof/>
          <w:sz w:val="24"/>
          <w:szCs w:val="24"/>
        </w:rPr>
        <w:t>, 22(10), pp. 1048–1061. doi: 10.1080/13603116.2017.1414578.</w:t>
      </w:r>
    </w:p>
    <w:p w14:paraId="6A016AAE"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Morse, J. M. </w:t>
      </w:r>
      <w:r w:rsidRPr="000834D4">
        <w:rPr>
          <w:rFonts w:ascii="Arial" w:hAnsi="Arial" w:cs="Arial"/>
          <w:i/>
          <w:iCs/>
          <w:noProof/>
          <w:sz w:val="24"/>
          <w:szCs w:val="24"/>
        </w:rPr>
        <w:t>et al.</w:t>
      </w:r>
      <w:r w:rsidRPr="000834D4">
        <w:rPr>
          <w:rFonts w:ascii="Arial" w:hAnsi="Arial" w:cs="Arial"/>
          <w:noProof/>
          <w:sz w:val="24"/>
          <w:szCs w:val="24"/>
        </w:rPr>
        <w:t xml:space="preserve"> (2002) ‘Verification Strategies for Establishing Reliability and Validity in Qualitative Research’, </w:t>
      </w:r>
      <w:r w:rsidRPr="000834D4">
        <w:rPr>
          <w:rFonts w:ascii="Arial" w:hAnsi="Arial" w:cs="Arial"/>
          <w:i/>
          <w:iCs/>
          <w:noProof/>
          <w:sz w:val="24"/>
          <w:szCs w:val="24"/>
        </w:rPr>
        <w:t>International Journal of Qualitative Methods</w:t>
      </w:r>
      <w:r w:rsidRPr="000834D4">
        <w:rPr>
          <w:rFonts w:ascii="Arial" w:hAnsi="Arial" w:cs="Arial"/>
          <w:noProof/>
          <w:sz w:val="24"/>
          <w:szCs w:val="24"/>
        </w:rPr>
        <w:t>, 1(2), pp. 13–22. doi: 10.1177/160940690200100202.</w:t>
      </w:r>
    </w:p>
    <w:p w14:paraId="536682C1"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Ritchie, L. and Williamon, A. (2011) ‘Primary school children’s Self-efficacy for Music Learning’, </w:t>
      </w:r>
      <w:r w:rsidRPr="000834D4">
        <w:rPr>
          <w:rFonts w:ascii="Arial" w:hAnsi="Arial" w:cs="Arial"/>
          <w:i/>
          <w:iCs/>
          <w:noProof/>
          <w:sz w:val="24"/>
          <w:szCs w:val="24"/>
        </w:rPr>
        <w:t>Journal of Research in Music Education</w:t>
      </w:r>
      <w:r w:rsidRPr="000834D4">
        <w:rPr>
          <w:rFonts w:ascii="Arial" w:hAnsi="Arial" w:cs="Arial"/>
          <w:noProof/>
          <w:sz w:val="24"/>
          <w:szCs w:val="24"/>
        </w:rPr>
        <w:t>, 59(2), pp. 146–161. doi: 10.1177/0022429411405214.</w:t>
      </w:r>
    </w:p>
    <w:p w14:paraId="1EB31562"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Ross, N. D., Kaminski, P. L. and Herrington, R. (2019) ‘From childhood emotional maltreatment to depressive symptoms in adulthood: The roles of self-compassion and shame’, </w:t>
      </w:r>
      <w:r w:rsidRPr="000834D4">
        <w:rPr>
          <w:rFonts w:ascii="Arial" w:hAnsi="Arial" w:cs="Arial"/>
          <w:i/>
          <w:iCs/>
          <w:noProof/>
          <w:sz w:val="24"/>
          <w:szCs w:val="24"/>
        </w:rPr>
        <w:t>Child Abuse and Neglect</w:t>
      </w:r>
      <w:r w:rsidRPr="000834D4">
        <w:rPr>
          <w:rFonts w:ascii="Arial" w:hAnsi="Arial" w:cs="Arial"/>
          <w:noProof/>
          <w:sz w:val="24"/>
          <w:szCs w:val="24"/>
        </w:rPr>
        <w:t>, 92(March), pp. 32–42. doi: 10.1016/j.chiabu.2019.03.016.</w:t>
      </w:r>
    </w:p>
    <w:p w14:paraId="57482053"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Saldaña, J. (2013) </w:t>
      </w:r>
      <w:r w:rsidRPr="000834D4">
        <w:rPr>
          <w:rFonts w:ascii="Arial" w:hAnsi="Arial" w:cs="Arial"/>
          <w:i/>
          <w:iCs/>
          <w:noProof/>
          <w:sz w:val="24"/>
          <w:szCs w:val="24"/>
        </w:rPr>
        <w:t>The Coding Manual for Qualitative Researchers (3rd edition)</w:t>
      </w:r>
      <w:r w:rsidRPr="000834D4">
        <w:rPr>
          <w:rFonts w:ascii="Arial" w:hAnsi="Arial" w:cs="Arial"/>
          <w:noProof/>
          <w:sz w:val="24"/>
          <w:szCs w:val="24"/>
        </w:rPr>
        <w:t xml:space="preserve">. Second, </w:t>
      </w:r>
      <w:r w:rsidRPr="000834D4">
        <w:rPr>
          <w:rFonts w:ascii="Arial" w:hAnsi="Arial" w:cs="Arial"/>
          <w:i/>
          <w:iCs/>
          <w:noProof/>
          <w:sz w:val="24"/>
          <w:szCs w:val="24"/>
        </w:rPr>
        <w:t>Qualitative Research in Organizations and Management: An International Journal</w:t>
      </w:r>
      <w:r w:rsidRPr="000834D4">
        <w:rPr>
          <w:rFonts w:ascii="Arial" w:hAnsi="Arial" w:cs="Arial"/>
          <w:noProof/>
          <w:sz w:val="24"/>
          <w:szCs w:val="24"/>
        </w:rPr>
        <w:t>. Second. Sage. doi: 10.1108/qrom-08-2016-1408.</w:t>
      </w:r>
    </w:p>
    <w:p w14:paraId="050CF42F"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Sitzmann, T. and Yeo, G. (2013) ‘A Meta-Analytic Investigation of the Within-Person </w:t>
      </w:r>
      <w:r w:rsidRPr="000834D4">
        <w:rPr>
          <w:rFonts w:ascii="Arial" w:hAnsi="Arial" w:cs="Arial"/>
          <w:noProof/>
          <w:sz w:val="24"/>
          <w:szCs w:val="24"/>
        </w:rPr>
        <w:lastRenderedPageBreak/>
        <w:t xml:space="preserve">Self-Efficacy Domain: Is Self-Efficacy a Product of Past Performance or a Driver of Future Performance?’, </w:t>
      </w:r>
      <w:r w:rsidRPr="000834D4">
        <w:rPr>
          <w:rFonts w:ascii="Arial" w:hAnsi="Arial" w:cs="Arial"/>
          <w:i/>
          <w:iCs/>
          <w:noProof/>
          <w:sz w:val="24"/>
          <w:szCs w:val="24"/>
        </w:rPr>
        <w:t>Personnel Psychology</w:t>
      </w:r>
      <w:r w:rsidRPr="000834D4">
        <w:rPr>
          <w:rFonts w:ascii="Arial" w:hAnsi="Arial" w:cs="Arial"/>
          <w:noProof/>
          <w:sz w:val="24"/>
          <w:szCs w:val="24"/>
        </w:rPr>
        <w:t>, 66(3), pp. 531–568. doi: 10.1111/peps.12035.</w:t>
      </w:r>
    </w:p>
    <w:p w14:paraId="5D00755B"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Stephenson, K. (2018) ‘Critical Thought, Intrinsic Motivation, and the Voice Studio: Perspectives of Master Teachers.’, </w:t>
      </w:r>
      <w:r w:rsidRPr="000834D4">
        <w:rPr>
          <w:rFonts w:ascii="Arial" w:hAnsi="Arial" w:cs="Arial"/>
          <w:i/>
          <w:iCs/>
          <w:noProof/>
          <w:sz w:val="24"/>
          <w:szCs w:val="24"/>
        </w:rPr>
        <w:t>Journal of Singing</w:t>
      </w:r>
      <w:r w:rsidRPr="000834D4">
        <w:rPr>
          <w:rFonts w:ascii="Arial" w:hAnsi="Arial" w:cs="Arial"/>
          <w:noProof/>
          <w:sz w:val="24"/>
          <w:szCs w:val="24"/>
        </w:rPr>
        <w:t>, 74(4), pp. 405–414. Available at: http://search.ebscohost.com/login.aspx?direct=true&amp;db=ehh&amp;AN=128924806&amp;site=ehost-live.</w:t>
      </w:r>
    </w:p>
    <w:p w14:paraId="75A30C6E"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Tang, Y. Y., Hölzel, B. K. and Posner, M. I. (2015) ‘The neuroscience of mindfulness meditation’, </w:t>
      </w:r>
      <w:r w:rsidRPr="000834D4">
        <w:rPr>
          <w:rFonts w:ascii="Arial" w:hAnsi="Arial" w:cs="Arial"/>
          <w:i/>
          <w:iCs/>
          <w:noProof/>
          <w:sz w:val="24"/>
          <w:szCs w:val="24"/>
        </w:rPr>
        <w:t>Nature Reviews Neuroscience</w:t>
      </w:r>
      <w:r w:rsidRPr="000834D4">
        <w:rPr>
          <w:rFonts w:ascii="Arial" w:hAnsi="Arial" w:cs="Arial"/>
          <w:noProof/>
          <w:sz w:val="24"/>
          <w:szCs w:val="24"/>
        </w:rPr>
        <w:t>, 16(4), pp. 213–225. doi: 10.1038/nrn3916.</w:t>
      </w:r>
    </w:p>
    <w:p w14:paraId="0B20D924"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Vaismoradi, M. </w:t>
      </w:r>
      <w:r w:rsidRPr="000834D4">
        <w:rPr>
          <w:rFonts w:ascii="Arial" w:hAnsi="Arial" w:cs="Arial"/>
          <w:i/>
          <w:iCs/>
          <w:noProof/>
          <w:sz w:val="24"/>
          <w:szCs w:val="24"/>
        </w:rPr>
        <w:t>et al.</w:t>
      </w:r>
      <w:r w:rsidRPr="000834D4">
        <w:rPr>
          <w:rFonts w:ascii="Arial" w:hAnsi="Arial" w:cs="Arial"/>
          <w:noProof/>
          <w:sz w:val="24"/>
          <w:szCs w:val="24"/>
        </w:rPr>
        <w:t xml:space="preserve"> (2016) ‘Theme development in qualitative content analysis and thematic analysis’, </w:t>
      </w:r>
      <w:r w:rsidRPr="000834D4">
        <w:rPr>
          <w:rFonts w:ascii="Arial" w:hAnsi="Arial" w:cs="Arial"/>
          <w:i/>
          <w:iCs/>
          <w:noProof/>
          <w:sz w:val="24"/>
          <w:szCs w:val="24"/>
        </w:rPr>
        <w:t>Journal of Nursing Education and Practice</w:t>
      </w:r>
      <w:r w:rsidRPr="000834D4">
        <w:rPr>
          <w:rFonts w:ascii="Arial" w:hAnsi="Arial" w:cs="Arial"/>
          <w:noProof/>
          <w:sz w:val="24"/>
          <w:szCs w:val="24"/>
        </w:rPr>
        <w:t>, 6(5). doi: 10.5430/jnep.v6n5p100.</w:t>
      </w:r>
    </w:p>
    <w:p w14:paraId="0636F341"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Wakkee, I., Elfring, T. and Monaghan, S. (2010) ‘Creating entrepreneurial employees in traditional service sectors: The role of coaching and self-efficacy’, </w:t>
      </w:r>
      <w:r w:rsidRPr="000834D4">
        <w:rPr>
          <w:rFonts w:ascii="Arial" w:hAnsi="Arial" w:cs="Arial"/>
          <w:i/>
          <w:iCs/>
          <w:noProof/>
          <w:sz w:val="24"/>
          <w:szCs w:val="24"/>
        </w:rPr>
        <w:t>International Entrepreneurship and Management Journal</w:t>
      </w:r>
      <w:r w:rsidRPr="000834D4">
        <w:rPr>
          <w:rFonts w:ascii="Arial" w:hAnsi="Arial" w:cs="Arial"/>
          <w:noProof/>
          <w:sz w:val="24"/>
          <w:szCs w:val="24"/>
        </w:rPr>
        <w:t>, 6(1), pp. 1–21. doi: 10.1007/s11365-008-0078-z.</w:t>
      </w:r>
    </w:p>
    <w:p w14:paraId="051EA86F"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Walker, C. L. and Shore, B. M. (2015) ‘Understanding classroom roles in inquiry education: Linking role theory and social constructivism to the concept of role diversification’, </w:t>
      </w:r>
      <w:r w:rsidRPr="000834D4">
        <w:rPr>
          <w:rFonts w:ascii="Arial" w:hAnsi="Arial" w:cs="Arial"/>
          <w:i/>
          <w:iCs/>
          <w:noProof/>
          <w:sz w:val="24"/>
          <w:szCs w:val="24"/>
        </w:rPr>
        <w:t>SAGE Open</w:t>
      </w:r>
      <w:r w:rsidRPr="000834D4">
        <w:rPr>
          <w:rFonts w:ascii="Arial" w:hAnsi="Arial" w:cs="Arial"/>
          <w:noProof/>
          <w:sz w:val="24"/>
          <w:szCs w:val="24"/>
        </w:rPr>
        <w:t>, 5(4). doi: 10.1177/2158244015607584.</w:t>
      </w:r>
    </w:p>
    <w:p w14:paraId="0430570F"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Walliman, N. (2001) </w:t>
      </w:r>
      <w:r w:rsidRPr="000834D4">
        <w:rPr>
          <w:rFonts w:ascii="Arial" w:hAnsi="Arial" w:cs="Arial"/>
          <w:i/>
          <w:iCs/>
          <w:noProof/>
          <w:sz w:val="24"/>
          <w:szCs w:val="24"/>
        </w:rPr>
        <w:t>Your Rersearch Project</w:t>
      </w:r>
      <w:r w:rsidRPr="000834D4">
        <w:rPr>
          <w:rFonts w:ascii="Arial" w:hAnsi="Arial" w:cs="Arial"/>
          <w:noProof/>
          <w:sz w:val="24"/>
          <w:szCs w:val="24"/>
        </w:rPr>
        <w:t>. London: SAGE Publications Ltd.</w:t>
      </w:r>
    </w:p>
    <w:p w14:paraId="4D889EC9"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Wehr, E. L. (2016) ‘Understanding the experiences of women in jazz: A suggested model’, </w:t>
      </w:r>
      <w:r w:rsidRPr="000834D4">
        <w:rPr>
          <w:rFonts w:ascii="Arial" w:hAnsi="Arial" w:cs="Arial"/>
          <w:i/>
          <w:iCs/>
          <w:noProof/>
          <w:sz w:val="24"/>
          <w:szCs w:val="24"/>
        </w:rPr>
        <w:t>International Journal of Music Education</w:t>
      </w:r>
      <w:r w:rsidRPr="000834D4">
        <w:rPr>
          <w:rFonts w:ascii="Arial" w:hAnsi="Arial" w:cs="Arial"/>
          <w:noProof/>
          <w:sz w:val="24"/>
          <w:szCs w:val="24"/>
        </w:rPr>
        <w:t>, 34(4), pp. 472–487. doi: 10.1177/0255761415619392.</w:t>
      </w:r>
    </w:p>
    <w:p w14:paraId="0D4051AD"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Winstein, C. J., Pohl, P. S. and Lewthwaite, R. (1994) ‘Effects of physical guidance and knowledge of results on motor learning: Support for the guidance hypothesis’, </w:t>
      </w:r>
      <w:r w:rsidRPr="000834D4">
        <w:rPr>
          <w:rFonts w:ascii="Arial" w:hAnsi="Arial" w:cs="Arial"/>
          <w:i/>
          <w:iCs/>
          <w:noProof/>
          <w:sz w:val="24"/>
          <w:szCs w:val="24"/>
        </w:rPr>
        <w:t>Research Quarterly for Exercise and Sport</w:t>
      </w:r>
      <w:r w:rsidRPr="000834D4">
        <w:rPr>
          <w:rFonts w:ascii="Arial" w:hAnsi="Arial" w:cs="Arial"/>
          <w:noProof/>
          <w:sz w:val="24"/>
          <w:szCs w:val="24"/>
        </w:rPr>
        <w:t>, 65(4), pp. 316–323. doi: 10.1080/02701367.1994.10607635.</w:t>
      </w:r>
    </w:p>
    <w:p w14:paraId="778A065A"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Winstein, C. J. and Schmidt, R. A. (1990) ‘Reduced frequency of knowledge of </w:t>
      </w:r>
      <w:r w:rsidRPr="000834D4">
        <w:rPr>
          <w:rFonts w:ascii="Arial" w:hAnsi="Arial" w:cs="Arial"/>
          <w:noProof/>
          <w:sz w:val="24"/>
          <w:szCs w:val="24"/>
        </w:rPr>
        <w:lastRenderedPageBreak/>
        <w:t xml:space="preserve">results enhances motor skill learning.’, </w:t>
      </w:r>
      <w:r w:rsidRPr="000834D4">
        <w:rPr>
          <w:rFonts w:ascii="Arial" w:hAnsi="Arial" w:cs="Arial"/>
          <w:i/>
          <w:iCs/>
          <w:noProof/>
          <w:sz w:val="24"/>
          <w:szCs w:val="24"/>
        </w:rPr>
        <w:t>Journal of Experimental Psychology: Learning, Memory, and Cognition</w:t>
      </w:r>
      <w:r w:rsidRPr="000834D4">
        <w:rPr>
          <w:rFonts w:ascii="Arial" w:hAnsi="Arial" w:cs="Arial"/>
          <w:noProof/>
          <w:sz w:val="24"/>
          <w:szCs w:val="24"/>
        </w:rPr>
        <w:t>, 16(4), pp. 677–691. doi: 10.1037//0278-7393.16.4.677.</w:t>
      </w:r>
    </w:p>
    <w:p w14:paraId="0522A6DB"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Wolfswinkel, J. F., Furtmueller, E. and Wilderom, C. P. M. (2013) ‘Using grounded theory as a method for rigorously reviewing literature’, </w:t>
      </w:r>
      <w:r w:rsidRPr="000834D4">
        <w:rPr>
          <w:rFonts w:ascii="Arial" w:hAnsi="Arial" w:cs="Arial"/>
          <w:i/>
          <w:iCs/>
          <w:noProof/>
          <w:sz w:val="24"/>
          <w:szCs w:val="24"/>
        </w:rPr>
        <w:t>European Journal of Information Systems</w:t>
      </w:r>
      <w:r w:rsidRPr="000834D4">
        <w:rPr>
          <w:rFonts w:ascii="Arial" w:hAnsi="Arial" w:cs="Arial"/>
          <w:noProof/>
          <w:sz w:val="24"/>
          <w:szCs w:val="24"/>
        </w:rPr>
        <w:t>, 22(1), pp. 45–55. doi: 10.1057/ejis.2011.51.</w:t>
      </w:r>
    </w:p>
    <w:p w14:paraId="1D67D24A" w14:textId="77777777" w:rsidR="000834D4" w:rsidRPr="000834D4" w:rsidRDefault="000834D4" w:rsidP="000834D4">
      <w:pPr>
        <w:widowControl w:val="0"/>
        <w:autoSpaceDE w:val="0"/>
        <w:autoSpaceDN w:val="0"/>
        <w:adjustRightInd w:val="0"/>
        <w:spacing w:line="360" w:lineRule="auto"/>
        <w:rPr>
          <w:rFonts w:ascii="Arial" w:hAnsi="Arial" w:cs="Arial"/>
          <w:noProof/>
          <w:sz w:val="24"/>
          <w:szCs w:val="24"/>
        </w:rPr>
      </w:pPr>
      <w:r w:rsidRPr="000834D4">
        <w:rPr>
          <w:rFonts w:ascii="Arial" w:hAnsi="Arial" w:cs="Arial"/>
          <w:noProof/>
          <w:sz w:val="24"/>
          <w:szCs w:val="24"/>
        </w:rPr>
        <w:t xml:space="preserve">Woody, R. H. </w:t>
      </w:r>
      <w:r w:rsidRPr="000834D4">
        <w:rPr>
          <w:rFonts w:ascii="Arial" w:hAnsi="Arial" w:cs="Arial"/>
          <w:i/>
          <w:iCs/>
          <w:noProof/>
          <w:sz w:val="24"/>
          <w:szCs w:val="24"/>
        </w:rPr>
        <w:t>et al.</w:t>
      </w:r>
      <w:r w:rsidRPr="000834D4">
        <w:rPr>
          <w:rFonts w:ascii="Arial" w:hAnsi="Arial" w:cs="Arial"/>
          <w:noProof/>
          <w:sz w:val="24"/>
          <w:szCs w:val="24"/>
        </w:rPr>
        <w:t xml:space="preserve"> (2019) ‘Musical identities of older adults are not easily changed: an exploratory study’, </w:t>
      </w:r>
      <w:r w:rsidRPr="000834D4">
        <w:rPr>
          <w:rFonts w:ascii="Arial" w:hAnsi="Arial" w:cs="Arial"/>
          <w:i/>
          <w:iCs/>
          <w:noProof/>
          <w:sz w:val="24"/>
          <w:szCs w:val="24"/>
        </w:rPr>
        <w:t>Music Education Research</w:t>
      </w:r>
      <w:r w:rsidRPr="000834D4">
        <w:rPr>
          <w:rFonts w:ascii="Arial" w:hAnsi="Arial" w:cs="Arial"/>
          <w:noProof/>
          <w:sz w:val="24"/>
          <w:szCs w:val="24"/>
        </w:rPr>
        <w:t>, 21(3), pp. 315–330. doi: 10.1080/14613808.2019.1598346.</w:t>
      </w:r>
    </w:p>
    <w:p w14:paraId="32FB133C" w14:textId="77777777" w:rsidR="000834D4" w:rsidRPr="000834D4" w:rsidRDefault="000834D4" w:rsidP="000834D4">
      <w:pPr>
        <w:widowControl w:val="0"/>
        <w:autoSpaceDE w:val="0"/>
        <w:autoSpaceDN w:val="0"/>
        <w:adjustRightInd w:val="0"/>
        <w:spacing w:line="360" w:lineRule="auto"/>
        <w:rPr>
          <w:rFonts w:ascii="Arial" w:hAnsi="Arial" w:cs="Arial"/>
          <w:noProof/>
          <w:sz w:val="24"/>
        </w:rPr>
      </w:pPr>
      <w:r w:rsidRPr="000834D4">
        <w:rPr>
          <w:rFonts w:ascii="Arial" w:hAnsi="Arial" w:cs="Arial"/>
          <w:noProof/>
          <w:sz w:val="24"/>
          <w:szCs w:val="24"/>
        </w:rPr>
        <w:t xml:space="preserve">Zhang, C. Q. </w:t>
      </w:r>
      <w:r w:rsidRPr="000834D4">
        <w:rPr>
          <w:rFonts w:ascii="Arial" w:hAnsi="Arial" w:cs="Arial"/>
          <w:i/>
          <w:iCs/>
          <w:noProof/>
          <w:sz w:val="24"/>
          <w:szCs w:val="24"/>
        </w:rPr>
        <w:t>et al.</w:t>
      </w:r>
      <w:r w:rsidRPr="000834D4">
        <w:rPr>
          <w:rFonts w:ascii="Arial" w:hAnsi="Arial" w:cs="Arial"/>
          <w:noProof/>
          <w:sz w:val="24"/>
          <w:szCs w:val="24"/>
        </w:rPr>
        <w:t xml:space="preserve"> (2016) ‘The effects of mindfulness training on beginners’ skill acquisition in dart throwing: A randomized controlled trial’, </w:t>
      </w:r>
      <w:r w:rsidRPr="000834D4">
        <w:rPr>
          <w:rFonts w:ascii="Arial" w:hAnsi="Arial" w:cs="Arial"/>
          <w:i/>
          <w:iCs/>
          <w:noProof/>
          <w:sz w:val="24"/>
          <w:szCs w:val="24"/>
        </w:rPr>
        <w:t>Psychology of Sport and Exercise</w:t>
      </w:r>
      <w:r w:rsidRPr="000834D4">
        <w:rPr>
          <w:rFonts w:ascii="Arial" w:hAnsi="Arial" w:cs="Arial"/>
          <w:noProof/>
          <w:sz w:val="24"/>
          <w:szCs w:val="24"/>
        </w:rPr>
        <w:t>, 22, pp. 279–285. doi: 10.1016/j.psychsport.2015.09.005.</w:t>
      </w:r>
    </w:p>
    <w:p w14:paraId="582C4E3E" w14:textId="03797DD2" w:rsidR="00356298" w:rsidRPr="00797004" w:rsidRDefault="00F04F49" w:rsidP="00B42FBF">
      <w:pPr>
        <w:widowControl w:val="0"/>
        <w:autoSpaceDE w:val="0"/>
        <w:autoSpaceDN w:val="0"/>
        <w:adjustRightInd w:val="0"/>
        <w:spacing w:line="360" w:lineRule="auto"/>
        <w:rPr>
          <w:rFonts w:ascii="Arial" w:hAnsi="Arial" w:cs="Arial"/>
          <w:sz w:val="24"/>
          <w:szCs w:val="24"/>
        </w:rPr>
      </w:pPr>
      <w:r>
        <w:rPr>
          <w:rFonts w:ascii="Arial" w:hAnsi="Arial" w:cs="Arial"/>
          <w:b/>
          <w:color w:val="000000"/>
          <w:sz w:val="24"/>
          <w:szCs w:val="24"/>
        </w:rPr>
        <w:fldChar w:fldCharType="end"/>
      </w:r>
      <w:r w:rsidR="00356298" w:rsidRPr="00797004">
        <w:rPr>
          <w:rFonts w:ascii="Arial" w:hAnsi="Arial" w:cs="Arial"/>
          <w:b/>
          <w:color w:val="000000"/>
          <w:sz w:val="24"/>
          <w:szCs w:val="24"/>
        </w:rPr>
        <w:t xml:space="preserve">Appendix 1: </w:t>
      </w:r>
      <w:r w:rsidR="00356298" w:rsidRPr="00797004">
        <w:rPr>
          <w:rFonts w:ascii="Arial" w:hAnsi="Arial" w:cs="Arial"/>
          <w:b/>
          <w:bCs/>
          <w:sz w:val="24"/>
          <w:szCs w:val="24"/>
        </w:rPr>
        <w:t>Inclusion criteria and rating</w:t>
      </w:r>
    </w:p>
    <w:p w14:paraId="36C282FB" w14:textId="77777777" w:rsidR="00356298" w:rsidRPr="00797004" w:rsidRDefault="00356298" w:rsidP="00164EF6">
      <w:pPr>
        <w:spacing w:line="360" w:lineRule="auto"/>
        <w:rPr>
          <w:rFonts w:ascii="Arial" w:hAnsi="Arial" w:cs="Arial"/>
          <w:sz w:val="24"/>
          <w:szCs w:val="24"/>
        </w:rPr>
      </w:pPr>
      <w:r w:rsidRPr="00797004">
        <w:rPr>
          <w:rFonts w:ascii="Arial" w:hAnsi="Arial" w:cs="Arial"/>
          <w:sz w:val="24"/>
          <w:szCs w:val="24"/>
        </w:rPr>
        <w:t xml:space="preserve">Inclusion criteria for any document when </w:t>
      </w:r>
      <w:r w:rsidRPr="00797004">
        <w:rPr>
          <w:rFonts w:ascii="Arial" w:hAnsi="Arial" w:cs="Arial"/>
          <w:b/>
          <w:bCs/>
          <w:i/>
          <w:iCs/>
          <w:sz w:val="24"/>
          <w:szCs w:val="24"/>
        </w:rPr>
        <w:t>applied to</w:t>
      </w:r>
      <w:r w:rsidRPr="00797004">
        <w:rPr>
          <w:rFonts w:ascii="Arial" w:hAnsi="Arial" w:cs="Arial"/>
          <w:sz w:val="24"/>
          <w:szCs w:val="24"/>
        </w:rPr>
        <w:t xml:space="preserve"> teaching and learning in </w:t>
      </w:r>
      <w:r w:rsidRPr="00797004">
        <w:rPr>
          <w:rFonts w:ascii="Arial" w:hAnsi="Arial" w:cs="Arial"/>
          <w:b/>
          <w:bCs/>
          <w:i/>
          <w:iCs/>
          <w:sz w:val="24"/>
          <w:szCs w:val="24"/>
        </w:rPr>
        <w:t>singing</w:t>
      </w:r>
      <w:r w:rsidRPr="00797004">
        <w:rPr>
          <w:rFonts w:ascii="Arial" w:hAnsi="Arial" w:cs="Arial"/>
          <w:sz w:val="24"/>
          <w:szCs w:val="24"/>
        </w:rPr>
        <w:t xml:space="preserve"> lessons or vocal coaching:</w:t>
      </w:r>
    </w:p>
    <w:p w14:paraId="5F27A495" w14:textId="54893020" w:rsidR="00356298" w:rsidRPr="00797004" w:rsidRDefault="00356298" w:rsidP="00164EF6">
      <w:pPr>
        <w:pStyle w:val="ListParagraph"/>
        <w:numPr>
          <w:ilvl w:val="0"/>
          <w:numId w:val="4"/>
        </w:numPr>
        <w:spacing w:line="360" w:lineRule="auto"/>
        <w:rPr>
          <w:rFonts w:ascii="Arial" w:hAnsi="Arial" w:cs="Arial"/>
          <w:sz w:val="24"/>
          <w:szCs w:val="24"/>
        </w:rPr>
      </w:pPr>
      <w:r w:rsidRPr="00797004">
        <w:rPr>
          <w:rFonts w:ascii="Arial" w:hAnsi="Arial" w:cs="Arial"/>
          <w:sz w:val="24"/>
          <w:szCs w:val="24"/>
        </w:rPr>
        <w:t>Peer</w:t>
      </w:r>
      <w:r w:rsidR="00003EDF">
        <w:rPr>
          <w:rFonts w:ascii="Arial" w:hAnsi="Arial" w:cs="Arial"/>
          <w:sz w:val="24"/>
          <w:szCs w:val="24"/>
        </w:rPr>
        <w:t>-</w:t>
      </w:r>
      <w:r w:rsidRPr="00797004">
        <w:rPr>
          <w:rFonts w:ascii="Arial" w:hAnsi="Arial" w:cs="Arial"/>
          <w:sz w:val="24"/>
          <w:szCs w:val="24"/>
        </w:rPr>
        <w:t xml:space="preserve">reviewed articles </w:t>
      </w:r>
      <w:r w:rsidRPr="00797004">
        <w:rPr>
          <w:rFonts w:ascii="Arial" w:hAnsi="Arial" w:cs="Arial"/>
          <w:b/>
          <w:bCs/>
          <w:i/>
          <w:iCs/>
          <w:sz w:val="24"/>
          <w:szCs w:val="24"/>
        </w:rPr>
        <w:t>(3 points)</w:t>
      </w:r>
    </w:p>
    <w:p w14:paraId="0EE1DA53" w14:textId="77777777" w:rsidR="00356298" w:rsidRPr="00797004" w:rsidRDefault="00356298" w:rsidP="00164EF6">
      <w:pPr>
        <w:pStyle w:val="ListParagraph"/>
        <w:numPr>
          <w:ilvl w:val="0"/>
          <w:numId w:val="4"/>
        </w:numPr>
        <w:spacing w:line="360" w:lineRule="auto"/>
        <w:rPr>
          <w:rFonts w:ascii="Arial" w:hAnsi="Arial" w:cs="Arial"/>
          <w:sz w:val="24"/>
          <w:szCs w:val="24"/>
        </w:rPr>
      </w:pPr>
      <w:r w:rsidRPr="00797004">
        <w:rPr>
          <w:rFonts w:ascii="Arial" w:hAnsi="Arial" w:cs="Arial"/>
          <w:sz w:val="24"/>
          <w:szCs w:val="24"/>
        </w:rPr>
        <w:t xml:space="preserve">Author has 15+ years of experience teaching singing </w:t>
      </w:r>
      <w:r w:rsidRPr="00797004">
        <w:rPr>
          <w:rFonts w:ascii="Arial" w:hAnsi="Arial" w:cs="Arial"/>
          <w:b/>
          <w:bCs/>
          <w:i/>
          <w:iCs/>
          <w:sz w:val="24"/>
          <w:szCs w:val="24"/>
        </w:rPr>
        <w:t>(2 points)</w:t>
      </w:r>
    </w:p>
    <w:p w14:paraId="09814EBD" w14:textId="40874932" w:rsidR="00356298" w:rsidRPr="00797004" w:rsidRDefault="00EF6CBE" w:rsidP="00164EF6">
      <w:pPr>
        <w:pStyle w:val="ListParagraph"/>
        <w:numPr>
          <w:ilvl w:val="0"/>
          <w:numId w:val="4"/>
        </w:numPr>
        <w:spacing w:line="360" w:lineRule="auto"/>
        <w:rPr>
          <w:rFonts w:ascii="Arial" w:hAnsi="Arial" w:cs="Arial"/>
          <w:sz w:val="24"/>
          <w:szCs w:val="24"/>
        </w:rPr>
      </w:pPr>
      <w:r>
        <w:rPr>
          <w:rFonts w:ascii="Arial" w:hAnsi="Arial" w:cs="Arial"/>
          <w:sz w:val="24"/>
          <w:szCs w:val="24"/>
        </w:rPr>
        <w:t>Author h</w:t>
      </w:r>
      <w:r w:rsidR="00356298" w:rsidRPr="00797004">
        <w:rPr>
          <w:rFonts w:ascii="Arial" w:hAnsi="Arial" w:cs="Arial"/>
          <w:sz w:val="24"/>
          <w:szCs w:val="24"/>
        </w:rPr>
        <w:t>as postgraduate qualification in field relevant to singing, teaching, and</w:t>
      </w:r>
      <w:r w:rsidR="001334FA">
        <w:rPr>
          <w:rFonts w:ascii="Arial" w:hAnsi="Arial" w:cs="Arial"/>
          <w:sz w:val="24"/>
          <w:szCs w:val="24"/>
        </w:rPr>
        <w:t>/ or</w:t>
      </w:r>
      <w:r w:rsidR="00356298" w:rsidRPr="00797004">
        <w:rPr>
          <w:rFonts w:ascii="Arial" w:hAnsi="Arial" w:cs="Arial"/>
          <w:sz w:val="24"/>
          <w:szCs w:val="24"/>
        </w:rPr>
        <w:t xml:space="preserve"> learning </w:t>
      </w:r>
      <w:r w:rsidR="00356298" w:rsidRPr="00797004">
        <w:rPr>
          <w:rFonts w:ascii="Arial" w:hAnsi="Arial" w:cs="Arial"/>
          <w:b/>
          <w:bCs/>
          <w:i/>
          <w:iCs/>
          <w:sz w:val="24"/>
          <w:szCs w:val="24"/>
        </w:rPr>
        <w:t>(1 point)</w:t>
      </w:r>
    </w:p>
    <w:p w14:paraId="40B65F0F" w14:textId="77777777" w:rsidR="00356298" w:rsidRPr="00797004" w:rsidRDefault="00356298" w:rsidP="00164EF6">
      <w:pPr>
        <w:pStyle w:val="ListParagraph"/>
        <w:numPr>
          <w:ilvl w:val="0"/>
          <w:numId w:val="4"/>
        </w:numPr>
        <w:spacing w:line="360" w:lineRule="auto"/>
        <w:rPr>
          <w:rFonts w:ascii="Arial" w:hAnsi="Arial" w:cs="Arial"/>
          <w:sz w:val="24"/>
          <w:szCs w:val="24"/>
        </w:rPr>
      </w:pPr>
      <w:r w:rsidRPr="00797004">
        <w:rPr>
          <w:rFonts w:ascii="Arial" w:hAnsi="Arial" w:cs="Arial"/>
          <w:sz w:val="24"/>
          <w:szCs w:val="24"/>
        </w:rPr>
        <w:t xml:space="preserve">Evidence of stringency behind the article, i.e., researched area presented as a commentary not specifically aimed at an academic readership </w:t>
      </w:r>
      <w:r w:rsidRPr="00797004">
        <w:rPr>
          <w:rFonts w:ascii="Arial" w:hAnsi="Arial" w:cs="Arial"/>
          <w:b/>
          <w:bCs/>
          <w:i/>
          <w:iCs/>
          <w:sz w:val="24"/>
          <w:szCs w:val="24"/>
        </w:rPr>
        <w:t>(1 point)</w:t>
      </w:r>
    </w:p>
    <w:p w14:paraId="2F699758" w14:textId="77777777" w:rsidR="00356298" w:rsidRPr="00797004" w:rsidRDefault="00356298" w:rsidP="00164EF6">
      <w:pPr>
        <w:spacing w:line="360" w:lineRule="auto"/>
        <w:jc w:val="right"/>
        <w:rPr>
          <w:rFonts w:ascii="Arial" w:hAnsi="Arial" w:cs="Arial"/>
          <w:sz w:val="24"/>
          <w:szCs w:val="24"/>
        </w:rPr>
      </w:pPr>
      <w:r w:rsidRPr="00797004">
        <w:rPr>
          <w:rFonts w:ascii="Arial" w:hAnsi="Arial" w:cs="Arial"/>
          <w:sz w:val="24"/>
          <w:szCs w:val="24"/>
        </w:rPr>
        <w:t>Point range: 1 to 7 points.</w:t>
      </w:r>
    </w:p>
    <w:p w14:paraId="00DFDD18" w14:textId="77777777" w:rsidR="00356298" w:rsidRPr="00797004" w:rsidRDefault="00356298" w:rsidP="00164EF6">
      <w:pPr>
        <w:spacing w:line="360" w:lineRule="auto"/>
        <w:rPr>
          <w:rFonts w:ascii="Arial" w:hAnsi="Arial" w:cs="Arial"/>
          <w:sz w:val="24"/>
          <w:szCs w:val="24"/>
        </w:rPr>
      </w:pPr>
      <w:r w:rsidRPr="00797004">
        <w:rPr>
          <w:rFonts w:ascii="Arial" w:hAnsi="Arial" w:cs="Arial"/>
          <w:sz w:val="24"/>
          <w:szCs w:val="24"/>
        </w:rPr>
        <w:t xml:space="preserve">Inclusion criteria for any document when </w:t>
      </w:r>
      <w:r w:rsidRPr="00797004">
        <w:rPr>
          <w:rFonts w:ascii="Arial" w:hAnsi="Arial" w:cs="Arial"/>
          <w:b/>
          <w:bCs/>
          <w:i/>
          <w:iCs/>
          <w:sz w:val="24"/>
          <w:szCs w:val="24"/>
        </w:rPr>
        <w:t>applied to</w:t>
      </w:r>
      <w:r w:rsidRPr="00797004">
        <w:rPr>
          <w:rFonts w:ascii="Arial" w:hAnsi="Arial" w:cs="Arial"/>
          <w:sz w:val="24"/>
          <w:szCs w:val="24"/>
        </w:rPr>
        <w:t xml:space="preserve"> teaching and learning in </w:t>
      </w:r>
      <w:r w:rsidRPr="00797004">
        <w:rPr>
          <w:rFonts w:ascii="Arial" w:hAnsi="Arial" w:cs="Arial"/>
          <w:b/>
          <w:bCs/>
          <w:i/>
          <w:iCs/>
          <w:sz w:val="24"/>
          <w:szCs w:val="24"/>
        </w:rPr>
        <w:t>music</w:t>
      </w:r>
      <w:r w:rsidRPr="00797004">
        <w:rPr>
          <w:rFonts w:ascii="Arial" w:hAnsi="Arial" w:cs="Arial"/>
          <w:sz w:val="24"/>
          <w:szCs w:val="24"/>
        </w:rPr>
        <w:t xml:space="preserve"> lessons or vocal coaching:</w:t>
      </w:r>
    </w:p>
    <w:p w14:paraId="27319832" w14:textId="0623D3CE" w:rsidR="00356298" w:rsidRPr="00797004" w:rsidRDefault="00356298" w:rsidP="00164EF6">
      <w:pPr>
        <w:pStyle w:val="ListParagraph"/>
        <w:numPr>
          <w:ilvl w:val="0"/>
          <w:numId w:val="4"/>
        </w:numPr>
        <w:spacing w:line="360" w:lineRule="auto"/>
        <w:rPr>
          <w:rFonts w:ascii="Arial" w:hAnsi="Arial" w:cs="Arial"/>
          <w:sz w:val="24"/>
          <w:szCs w:val="24"/>
        </w:rPr>
      </w:pPr>
      <w:r w:rsidRPr="00797004">
        <w:rPr>
          <w:rFonts w:ascii="Arial" w:hAnsi="Arial" w:cs="Arial"/>
          <w:sz w:val="24"/>
          <w:szCs w:val="24"/>
        </w:rPr>
        <w:t>Peer</w:t>
      </w:r>
      <w:r w:rsidR="00003EDF">
        <w:rPr>
          <w:rFonts w:ascii="Arial" w:hAnsi="Arial" w:cs="Arial"/>
          <w:sz w:val="24"/>
          <w:szCs w:val="24"/>
        </w:rPr>
        <w:t>-</w:t>
      </w:r>
      <w:r w:rsidRPr="00797004">
        <w:rPr>
          <w:rFonts w:ascii="Arial" w:hAnsi="Arial" w:cs="Arial"/>
          <w:sz w:val="24"/>
          <w:szCs w:val="24"/>
        </w:rPr>
        <w:t xml:space="preserve">reviewed articles </w:t>
      </w:r>
      <w:r w:rsidRPr="00797004">
        <w:rPr>
          <w:rFonts w:ascii="Arial" w:hAnsi="Arial" w:cs="Arial"/>
          <w:b/>
          <w:bCs/>
          <w:i/>
          <w:iCs/>
          <w:sz w:val="24"/>
          <w:szCs w:val="24"/>
        </w:rPr>
        <w:t>(3 points)</w:t>
      </w:r>
    </w:p>
    <w:p w14:paraId="34A86BAA" w14:textId="77777777" w:rsidR="00356298" w:rsidRPr="00797004" w:rsidRDefault="00356298" w:rsidP="00164EF6">
      <w:pPr>
        <w:pStyle w:val="ListParagraph"/>
        <w:numPr>
          <w:ilvl w:val="0"/>
          <w:numId w:val="4"/>
        </w:numPr>
        <w:spacing w:line="360" w:lineRule="auto"/>
        <w:rPr>
          <w:rFonts w:ascii="Arial" w:hAnsi="Arial" w:cs="Arial"/>
          <w:sz w:val="24"/>
          <w:szCs w:val="24"/>
        </w:rPr>
      </w:pPr>
      <w:r w:rsidRPr="00797004">
        <w:rPr>
          <w:rFonts w:ascii="Arial" w:hAnsi="Arial" w:cs="Arial"/>
          <w:sz w:val="24"/>
          <w:szCs w:val="24"/>
        </w:rPr>
        <w:t xml:space="preserve">Author has 15+ years of experience teaching music </w:t>
      </w:r>
      <w:r w:rsidRPr="00797004">
        <w:rPr>
          <w:rFonts w:ascii="Arial" w:hAnsi="Arial" w:cs="Arial"/>
          <w:b/>
          <w:bCs/>
          <w:i/>
          <w:iCs/>
          <w:sz w:val="24"/>
          <w:szCs w:val="24"/>
        </w:rPr>
        <w:t>(1 point)</w:t>
      </w:r>
    </w:p>
    <w:p w14:paraId="3C373243" w14:textId="1B1753B2" w:rsidR="00356298" w:rsidRPr="00797004" w:rsidRDefault="00EF6CBE" w:rsidP="00164EF6">
      <w:pPr>
        <w:pStyle w:val="ListParagraph"/>
        <w:numPr>
          <w:ilvl w:val="0"/>
          <w:numId w:val="4"/>
        </w:numPr>
        <w:spacing w:line="360" w:lineRule="auto"/>
        <w:rPr>
          <w:rFonts w:ascii="Arial" w:hAnsi="Arial" w:cs="Arial"/>
          <w:sz w:val="24"/>
          <w:szCs w:val="24"/>
        </w:rPr>
      </w:pPr>
      <w:r>
        <w:rPr>
          <w:rFonts w:ascii="Arial" w:hAnsi="Arial" w:cs="Arial"/>
          <w:sz w:val="24"/>
          <w:szCs w:val="24"/>
        </w:rPr>
        <w:t>Author h</w:t>
      </w:r>
      <w:r w:rsidRPr="00797004">
        <w:rPr>
          <w:rFonts w:ascii="Arial" w:hAnsi="Arial" w:cs="Arial"/>
          <w:sz w:val="24"/>
          <w:szCs w:val="24"/>
        </w:rPr>
        <w:t>as</w:t>
      </w:r>
      <w:r w:rsidR="00356298" w:rsidRPr="00797004">
        <w:rPr>
          <w:rFonts w:ascii="Arial" w:hAnsi="Arial" w:cs="Arial"/>
          <w:sz w:val="24"/>
          <w:szCs w:val="24"/>
        </w:rPr>
        <w:t xml:space="preserve"> postgraduate qualification in field relevant to </w:t>
      </w:r>
      <w:r w:rsidR="001334FA">
        <w:rPr>
          <w:rFonts w:ascii="Arial" w:hAnsi="Arial" w:cs="Arial"/>
          <w:sz w:val="24"/>
          <w:szCs w:val="24"/>
        </w:rPr>
        <w:t>music</w:t>
      </w:r>
      <w:r w:rsidR="00356298" w:rsidRPr="00797004">
        <w:rPr>
          <w:rFonts w:ascii="Arial" w:hAnsi="Arial" w:cs="Arial"/>
          <w:sz w:val="24"/>
          <w:szCs w:val="24"/>
        </w:rPr>
        <w:t>, teaching, and</w:t>
      </w:r>
      <w:r w:rsidR="00795200">
        <w:rPr>
          <w:rFonts w:ascii="Arial" w:hAnsi="Arial" w:cs="Arial"/>
          <w:sz w:val="24"/>
          <w:szCs w:val="24"/>
        </w:rPr>
        <w:t>/ or</w:t>
      </w:r>
      <w:r w:rsidR="00356298" w:rsidRPr="00797004">
        <w:rPr>
          <w:rFonts w:ascii="Arial" w:hAnsi="Arial" w:cs="Arial"/>
          <w:sz w:val="24"/>
          <w:szCs w:val="24"/>
        </w:rPr>
        <w:t xml:space="preserve"> learning </w:t>
      </w:r>
      <w:r w:rsidR="00356298" w:rsidRPr="00797004">
        <w:rPr>
          <w:rFonts w:ascii="Arial" w:hAnsi="Arial" w:cs="Arial"/>
          <w:b/>
          <w:bCs/>
          <w:i/>
          <w:iCs/>
          <w:sz w:val="24"/>
          <w:szCs w:val="24"/>
        </w:rPr>
        <w:t>(1 point)</w:t>
      </w:r>
    </w:p>
    <w:p w14:paraId="2C8FF9D6" w14:textId="77777777" w:rsidR="00356298" w:rsidRPr="00797004" w:rsidRDefault="00356298" w:rsidP="00164EF6">
      <w:pPr>
        <w:pStyle w:val="ListParagraph"/>
        <w:numPr>
          <w:ilvl w:val="0"/>
          <w:numId w:val="4"/>
        </w:numPr>
        <w:spacing w:line="360" w:lineRule="auto"/>
        <w:rPr>
          <w:rFonts w:ascii="Arial" w:hAnsi="Arial" w:cs="Arial"/>
          <w:sz w:val="24"/>
          <w:szCs w:val="24"/>
        </w:rPr>
      </w:pPr>
      <w:r w:rsidRPr="00797004">
        <w:rPr>
          <w:rFonts w:ascii="Arial" w:hAnsi="Arial" w:cs="Arial"/>
          <w:sz w:val="24"/>
          <w:szCs w:val="24"/>
        </w:rPr>
        <w:lastRenderedPageBreak/>
        <w:t xml:space="preserve">Evidence of stringency behind the article, i.e., researched area presented as a commentary not specifically aimed at an academic readership </w:t>
      </w:r>
      <w:r w:rsidRPr="00797004">
        <w:rPr>
          <w:rFonts w:ascii="Arial" w:hAnsi="Arial" w:cs="Arial"/>
          <w:b/>
          <w:bCs/>
          <w:i/>
          <w:iCs/>
          <w:sz w:val="24"/>
          <w:szCs w:val="24"/>
        </w:rPr>
        <w:t>(1 point)</w:t>
      </w:r>
    </w:p>
    <w:p w14:paraId="2A705F75" w14:textId="77777777" w:rsidR="00356298" w:rsidRPr="00797004" w:rsidRDefault="00356298" w:rsidP="00164EF6">
      <w:pPr>
        <w:spacing w:line="360" w:lineRule="auto"/>
        <w:jc w:val="right"/>
        <w:rPr>
          <w:rFonts w:ascii="Arial" w:hAnsi="Arial" w:cs="Arial"/>
          <w:sz w:val="24"/>
          <w:szCs w:val="24"/>
        </w:rPr>
      </w:pPr>
      <w:r w:rsidRPr="00797004">
        <w:rPr>
          <w:rFonts w:ascii="Arial" w:hAnsi="Arial" w:cs="Arial"/>
          <w:sz w:val="24"/>
          <w:szCs w:val="24"/>
        </w:rPr>
        <w:t>Point range: 1 to 6 points.</w:t>
      </w:r>
    </w:p>
    <w:p w14:paraId="340AE7BE" w14:textId="77777777" w:rsidR="00356298" w:rsidRPr="00797004" w:rsidRDefault="00356298" w:rsidP="00164EF6">
      <w:pPr>
        <w:spacing w:line="360" w:lineRule="auto"/>
        <w:rPr>
          <w:rFonts w:ascii="Arial" w:hAnsi="Arial" w:cs="Arial"/>
          <w:sz w:val="24"/>
          <w:szCs w:val="24"/>
        </w:rPr>
      </w:pPr>
      <w:r w:rsidRPr="00797004">
        <w:rPr>
          <w:rFonts w:ascii="Arial" w:hAnsi="Arial" w:cs="Arial"/>
          <w:sz w:val="24"/>
          <w:szCs w:val="24"/>
        </w:rPr>
        <w:t xml:space="preserve">Inclusion criteria for any document which </w:t>
      </w:r>
      <w:r w:rsidRPr="00797004">
        <w:rPr>
          <w:rFonts w:ascii="Arial" w:hAnsi="Arial" w:cs="Arial"/>
          <w:b/>
          <w:bCs/>
          <w:i/>
          <w:iCs/>
          <w:sz w:val="24"/>
          <w:szCs w:val="24"/>
        </w:rPr>
        <w:t>has not been applied to</w:t>
      </w:r>
      <w:r w:rsidRPr="00797004">
        <w:rPr>
          <w:rFonts w:ascii="Arial" w:hAnsi="Arial" w:cs="Arial"/>
          <w:sz w:val="24"/>
          <w:szCs w:val="24"/>
        </w:rPr>
        <w:t xml:space="preserve"> teaching and learning in </w:t>
      </w:r>
      <w:r w:rsidRPr="00797004">
        <w:rPr>
          <w:rFonts w:ascii="Arial" w:hAnsi="Arial" w:cs="Arial"/>
          <w:b/>
          <w:bCs/>
          <w:i/>
          <w:iCs/>
          <w:sz w:val="24"/>
          <w:szCs w:val="24"/>
        </w:rPr>
        <w:t>singing</w:t>
      </w:r>
      <w:r w:rsidRPr="00797004">
        <w:rPr>
          <w:rFonts w:ascii="Arial" w:hAnsi="Arial" w:cs="Arial"/>
          <w:sz w:val="24"/>
          <w:szCs w:val="24"/>
        </w:rPr>
        <w:t xml:space="preserve"> lessons or vocal coaching but </w:t>
      </w:r>
      <w:r w:rsidRPr="00797004">
        <w:rPr>
          <w:rFonts w:ascii="Arial" w:hAnsi="Arial" w:cs="Arial"/>
          <w:b/>
          <w:bCs/>
          <w:i/>
          <w:iCs/>
          <w:sz w:val="24"/>
          <w:szCs w:val="24"/>
        </w:rPr>
        <w:t>may be of benefit</w:t>
      </w:r>
      <w:r w:rsidRPr="00797004">
        <w:rPr>
          <w:rFonts w:ascii="Arial" w:hAnsi="Arial" w:cs="Arial"/>
          <w:sz w:val="24"/>
          <w:szCs w:val="24"/>
        </w:rPr>
        <w:t xml:space="preserve"> in the voice studio:</w:t>
      </w:r>
    </w:p>
    <w:p w14:paraId="21692E81" w14:textId="22C2CC46" w:rsidR="00356298" w:rsidRPr="00797004" w:rsidRDefault="00356298" w:rsidP="00164EF6">
      <w:pPr>
        <w:pStyle w:val="ListParagraph"/>
        <w:numPr>
          <w:ilvl w:val="0"/>
          <w:numId w:val="4"/>
        </w:numPr>
        <w:spacing w:line="360" w:lineRule="auto"/>
        <w:rPr>
          <w:rFonts w:ascii="Arial" w:hAnsi="Arial" w:cs="Arial"/>
          <w:sz w:val="24"/>
          <w:szCs w:val="24"/>
        </w:rPr>
      </w:pPr>
      <w:r w:rsidRPr="00797004">
        <w:rPr>
          <w:rFonts w:ascii="Arial" w:hAnsi="Arial" w:cs="Arial"/>
          <w:sz w:val="24"/>
          <w:szCs w:val="24"/>
        </w:rPr>
        <w:t>Peer</w:t>
      </w:r>
      <w:r w:rsidR="00003EDF">
        <w:rPr>
          <w:rFonts w:ascii="Arial" w:hAnsi="Arial" w:cs="Arial"/>
          <w:sz w:val="24"/>
          <w:szCs w:val="24"/>
        </w:rPr>
        <w:t>-</w:t>
      </w:r>
      <w:r w:rsidRPr="00797004">
        <w:rPr>
          <w:rFonts w:ascii="Arial" w:hAnsi="Arial" w:cs="Arial"/>
          <w:sz w:val="24"/>
          <w:szCs w:val="24"/>
        </w:rPr>
        <w:t xml:space="preserve">reviewed articles from experts in the areas of study </w:t>
      </w:r>
      <w:r w:rsidRPr="00797004">
        <w:rPr>
          <w:rFonts w:ascii="Arial" w:hAnsi="Arial" w:cs="Arial"/>
          <w:b/>
          <w:bCs/>
          <w:i/>
          <w:iCs/>
          <w:sz w:val="24"/>
          <w:szCs w:val="24"/>
        </w:rPr>
        <w:t>(1 point)</w:t>
      </w:r>
    </w:p>
    <w:p w14:paraId="5B29D378" w14:textId="77777777" w:rsidR="00356298" w:rsidRPr="00797004" w:rsidRDefault="00356298" w:rsidP="00164EF6">
      <w:pPr>
        <w:pStyle w:val="ListParagraph"/>
        <w:numPr>
          <w:ilvl w:val="0"/>
          <w:numId w:val="4"/>
        </w:numPr>
        <w:spacing w:line="360" w:lineRule="auto"/>
        <w:rPr>
          <w:rFonts w:ascii="Arial" w:hAnsi="Arial" w:cs="Arial"/>
          <w:sz w:val="24"/>
          <w:szCs w:val="24"/>
        </w:rPr>
      </w:pPr>
      <w:r w:rsidRPr="00797004">
        <w:rPr>
          <w:rFonts w:ascii="Arial" w:hAnsi="Arial" w:cs="Arial"/>
          <w:sz w:val="24"/>
          <w:szCs w:val="24"/>
        </w:rPr>
        <w:t xml:space="preserve">Author has 15+ years of experience teaching singing </w:t>
      </w:r>
      <w:r w:rsidRPr="00797004">
        <w:rPr>
          <w:rFonts w:ascii="Arial" w:hAnsi="Arial" w:cs="Arial"/>
          <w:b/>
          <w:bCs/>
          <w:i/>
          <w:iCs/>
          <w:sz w:val="24"/>
          <w:szCs w:val="24"/>
        </w:rPr>
        <w:t>(1 point)</w:t>
      </w:r>
    </w:p>
    <w:p w14:paraId="6EA27CCE" w14:textId="66954D14" w:rsidR="00356298" w:rsidRPr="00797004" w:rsidRDefault="00EF6CBE" w:rsidP="00164EF6">
      <w:pPr>
        <w:pStyle w:val="ListParagraph"/>
        <w:numPr>
          <w:ilvl w:val="0"/>
          <w:numId w:val="4"/>
        </w:numPr>
        <w:spacing w:line="360" w:lineRule="auto"/>
        <w:rPr>
          <w:rFonts w:ascii="Arial" w:hAnsi="Arial" w:cs="Arial"/>
          <w:sz w:val="24"/>
          <w:szCs w:val="24"/>
        </w:rPr>
      </w:pPr>
      <w:r>
        <w:rPr>
          <w:rFonts w:ascii="Arial" w:hAnsi="Arial" w:cs="Arial"/>
          <w:sz w:val="24"/>
          <w:szCs w:val="24"/>
        </w:rPr>
        <w:t>Author h</w:t>
      </w:r>
      <w:r w:rsidRPr="00797004">
        <w:rPr>
          <w:rFonts w:ascii="Arial" w:hAnsi="Arial" w:cs="Arial"/>
          <w:sz w:val="24"/>
          <w:szCs w:val="24"/>
        </w:rPr>
        <w:t>as</w:t>
      </w:r>
      <w:r w:rsidR="00356298" w:rsidRPr="00797004">
        <w:rPr>
          <w:rFonts w:ascii="Arial" w:hAnsi="Arial" w:cs="Arial"/>
          <w:sz w:val="24"/>
          <w:szCs w:val="24"/>
        </w:rPr>
        <w:t xml:space="preserve"> postgraduate qualification in field relevant </w:t>
      </w:r>
      <w:r w:rsidR="00795200">
        <w:rPr>
          <w:rFonts w:ascii="Arial" w:hAnsi="Arial" w:cs="Arial"/>
          <w:sz w:val="24"/>
          <w:szCs w:val="24"/>
        </w:rPr>
        <w:t xml:space="preserve">to the subject </w:t>
      </w:r>
      <w:r w:rsidR="00356298" w:rsidRPr="00797004">
        <w:rPr>
          <w:rFonts w:ascii="Arial" w:hAnsi="Arial" w:cs="Arial"/>
          <w:b/>
          <w:bCs/>
          <w:i/>
          <w:iCs/>
          <w:sz w:val="24"/>
          <w:szCs w:val="24"/>
        </w:rPr>
        <w:t>(1 point)</w:t>
      </w:r>
    </w:p>
    <w:p w14:paraId="6A9ADF59" w14:textId="77777777" w:rsidR="00356298" w:rsidRPr="00797004" w:rsidRDefault="00356298" w:rsidP="00164EF6">
      <w:pPr>
        <w:pStyle w:val="ListParagraph"/>
        <w:numPr>
          <w:ilvl w:val="0"/>
          <w:numId w:val="4"/>
        </w:numPr>
        <w:spacing w:line="360" w:lineRule="auto"/>
        <w:rPr>
          <w:rFonts w:ascii="Arial" w:hAnsi="Arial" w:cs="Arial"/>
          <w:sz w:val="24"/>
          <w:szCs w:val="24"/>
        </w:rPr>
      </w:pPr>
      <w:r w:rsidRPr="00797004">
        <w:rPr>
          <w:rFonts w:ascii="Arial" w:hAnsi="Arial" w:cs="Arial"/>
          <w:sz w:val="24"/>
          <w:szCs w:val="24"/>
        </w:rPr>
        <w:t xml:space="preserve">Evidence of stringency behind the article, i.e., researched area presented as a commentary not specifically aimed at an academic readership </w:t>
      </w:r>
      <w:r w:rsidRPr="00797004">
        <w:rPr>
          <w:rFonts w:ascii="Arial" w:hAnsi="Arial" w:cs="Arial"/>
          <w:b/>
          <w:bCs/>
          <w:i/>
          <w:iCs/>
          <w:sz w:val="24"/>
          <w:szCs w:val="24"/>
        </w:rPr>
        <w:t>(1 point)</w:t>
      </w:r>
    </w:p>
    <w:p w14:paraId="5277448E" w14:textId="308DF437" w:rsidR="00137476" w:rsidRDefault="00356298" w:rsidP="00164EF6">
      <w:pPr>
        <w:spacing w:line="360" w:lineRule="auto"/>
        <w:jc w:val="both"/>
        <w:rPr>
          <w:rFonts w:ascii="Arial" w:hAnsi="Arial" w:cs="Arial"/>
          <w:sz w:val="24"/>
          <w:szCs w:val="24"/>
        </w:rPr>
      </w:pPr>
      <w:r w:rsidRPr="00797004">
        <w:rPr>
          <w:rFonts w:ascii="Arial" w:hAnsi="Arial" w:cs="Arial"/>
          <w:sz w:val="24"/>
          <w:szCs w:val="24"/>
        </w:rPr>
        <w:t>Point range: 1 to 4 points.</w:t>
      </w:r>
      <w:r w:rsidR="00137476">
        <w:rPr>
          <w:rFonts w:ascii="Arial" w:hAnsi="Arial" w:cs="Arial"/>
          <w:sz w:val="24"/>
          <w:szCs w:val="24"/>
        </w:rPr>
        <w:br w:type="page"/>
      </w:r>
    </w:p>
    <w:p w14:paraId="448DD2A7" w14:textId="0C2A9990" w:rsidR="00356298" w:rsidRPr="00797004" w:rsidRDefault="00356298" w:rsidP="007473BE">
      <w:pPr>
        <w:spacing w:line="360" w:lineRule="auto"/>
        <w:jc w:val="both"/>
        <w:rPr>
          <w:rFonts w:ascii="Arial" w:hAnsi="Arial" w:cs="Arial"/>
          <w:b/>
          <w:color w:val="000000"/>
          <w:sz w:val="24"/>
          <w:szCs w:val="24"/>
        </w:rPr>
      </w:pPr>
      <w:r w:rsidRPr="00797004">
        <w:rPr>
          <w:rFonts w:ascii="Arial" w:hAnsi="Arial" w:cs="Arial"/>
          <w:b/>
          <w:color w:val="000000"/>
          <w:sz w:val="24"/>
          <w:szCs w:val="24"/>
        </w:rPr>
        <w:lastRenderedPageBreak/>
        <w:t xml:space="preserve">Appendix </w:t>
      </w:r>
      <w:r>
        <w:rPr>
          <w:rFonts w:ascii="Arial" w:hAnsi="Arial" w:cs="Arial"/>
          <w:b/>
          <w:color w:val="000000"/>
          <w:sz w:val="24"/>
          <w:szCs w:val="24"/>
        </w:rPr>
        <w:t>2</w:t>
      </w:r>
      <w:r w:rsidRPr="00797004">
        <w:rPr>
          <w:rFonts w:ascii="Arial" w:hAnsi="Arial" w:cs="Arial"/>
          <w:b/>
          <w:color w:val="000000"/>
          <w:sz w:val="24"/>
          <w:szCs w:val="24"/>
        </w:rPr>
        <w:t>: Critical reflection model</w:t>
      </w:r>
    </w:p>
    <w:p w14:paraId="0FD72D0F" w14:textId="77777777" w:rsidR="00356298" w:rsidRPr="00797004" w:rsidRDefault="00356298" w:rsidP="007473BE">
      <w:pPr>
        <w:spacing w:line="360" w:lineRule="auto"/>
        <w:jc w:val="both"/>
        <w:rPr>
          <w:rFonts w:ascii="Arial" w:hAnsi="Arial" w:cs="Arial"/>
          <w:color w:val="000000"/>
          <w:sz w:val="24"/>
          <w:szCs w:val="24"/>
        </w:rPr>
      </w:pPr>
      <w:r w:rsidRPr="00797004">
        <w:rPr>
          <w:rFonts w:ascii="Arial" w:hAnsi="Arial" w:cs="Arial"/>
          <w:color w:val="000000"/>
          <w:sz w:val="24"/>
          <w:szCs w:val="24"/>
        </w:rPr>
        <w:t xml:space="preserve">The questions by Johns </w:t>
      </w:r>
      <w:r w:rsidRPr="00797004">
        <w:rPr>
          <w:rFonts w:ascii="Arial" w:hAnsi="Arial" w:cs="Arial"/>
          <w:color w:val="000000"/>
          <w:sz w:val="24"/>
          <w:szCs w:val="24"/>
        </w:rPr>
        <w:fldChar w:fldCharType="begin" w:fldLock="1"/>
      </w:r>
      <w:r w:rsidRPr="00797004">
        <w:rPr>
          <w:rFonts w:ascii="Arial" w:hAnsi="Arial" w:cs="Arial"/>
          <w:color w:val="000000"/>
          <w:sz w:val="24"/>
          <w:szCs w:val="24"/>
        </w:rPr>
        <w:instrText>ADDIN CSL_CITATION {"citationItems":[{"id":"ITEM-1","itemData":{"DOI":"10.4324/9780429455407-25","abstract":"Infection of sheep with Brucella ovis results in ovine brucellosis, a disease characterized by infertility in rams, abortion in ewes and increased perinatal mortality in lambs. During the course of the infection both the ovine immune response and host cell gene expression are modified. The objective of this research was to conduct a preliminary characterization of differential gene expression in rams experimentally infected with B. ovis by microarray hybridization and real-time RT-PCR. Of the 600 ruminant inflammatory and immune response genes that were analyzed in the microarray, 20 and 14 genes displayed an expression fold change &gt;1.75 with a P-value &lt;0.05 at 15 and 60 days post-challenge (dpc), respectively. Of these genes, 16 were upregulated and 4 were downregulated in infected rams at 15 dpc. At 60 dpc, 11 and 3 genes were up- and down-regulated in infected rams, respectively. Only four genes, desmoglein, epithelial sodium channel, alpha subunit (ENaC-alpha), interleukin 18 binding protein (IL18BP) and macrophage migration inhibition factor (MIF) were found upregulated in infected rams at both 15 and 60 dpc. The analysis of differentially expressed genes demonstrated activation of inflammatory and innate immune pathways in infected animals. B. ovis infection also resulted in upregulation of genes involved in phagocytosis and downregulation of protective host defense mechanisms, both of which may contribute to the chronicity of B. ovis infection. The gene expression profiles differed between rams with severe and moderate B. ovis infection. This is the first analysis of differential gene expression in rough brucellae and particularly in B. ovis-infected rams. The characterization of the genes and their expression profiles in response to B. ovis infection further contributes to our understanding of the molecular mechanisms of infection and the pathogenesis of brucellosis. ¬© 2008 Elsevier B.V. All rights reserved.","author":[{"dropping-particle":"","family":"Middleton","given":"Tristan","non-dropping-particle":"","parse-names":false,"suffix":""},{"dropping-particle":"","family":"Kay","given":"Lynda","non-dropping-particle":"","parse-names":false,"suffix":""},{"dropping-particle":"","family":"Middleton","given":"Tristan","non-dropping-particle":"","parse-names":false,"suffix":""},{"dropping-particle":"","family":"Kay","given":"Lynda","non-dropping-particle":"","parse-names":false,"suffix":""}],"container-title":"Using an Inclusive Approach to Reduce School Exclusion","id":"ITEM-1","issued":{"date-parts":[["2019"]]},"page":"199-208","title":"Framework for Reflection","type":"article-journal"},"uris":["http://www.mendeley.com/documents/?uuid=1e064446-beeb-49e6-84a3-bc56fc841d2f"]}],"mendeley":{"formattedCitation":"(Middleton &lt;i&gt;et al.&lt;/i&gt;, 2019)","plainTextFormattedCitation":"(Middleton et al., 2019)","previouslyFormattedCitation":"(Middleton &lt;i&gt;et al.&lt;/i&gt;, 2019)"},"properties":{"noteIndex":0},"schema":"https://github.com/citation-style-language/schema/raw/master/csl-citation.json"}</w:instrText>
      </w:r>
      <w:r w:rsidRPr="00797004">
        <w:rPr>
          <w:rFonts w:ascii="Arial" w:hAnsi="Arial" w:cs="Arial"/>
          <w:color w:val="000000"/>
          <w:sz w:val="24"/>
          <w:szCs w:val="24"/>
        </w:rPr>
        <w:fldChar w:fldCharType="separate"/>
      </w:r>
      <w:r w:rsidRPr="00797004">
        <w:rPr>
          <w:rFonts w:ascii="Arial" w:hAnsi="Arial" w:cs="Arial"/>
          <w:noProof/>
          <w:color w:val="000000"/>
          <w:sz w:val="24"/>
          <w:szCs w:val="24"/>
        </w:rPr>
        <w:t xml:space="preserve">(Middleton </w:t>
      </w:r>
      <w:r w:rsidRPr="00797004">
        <w:rPr>
          <w:rFonts w:ascii="Arial" w:hAnsi="Arial" w:cs="Arial"/>
          <w:i/>
          <w:noProof/>
          <w:color w:val="000000"/>
          <w:sz w:val="24"/>
          <w:szCs w:val="24"/>
        </w:rPr>
        <w:t>et al.</w:t>
      </w:r>
      <w:r w:rsidRPr="00797004">
        <w:rPr>
          <w:rFonts w:ascii="Arial" w:hAnsi="Arial" w:cs="Arial"/>
          <w:noProof/>
          <w:color w:val="000000"/>
          <w:sz w:val="24"/>
          <w:szCs w:val="24"/>
        </w:rPr>
        <w:t>, 2019)</w:t>
      </w:r>
      <w:r w:rsidRPr="00797004">
        <w:rPr>
          <w:rFonts w:ascii="Arial" w:hAnsi="Arial" w:cs="Arial"/>
          <w:color w:val="000000"/>
          <w:sz w:val="24"/>
          <w:szCs w:val="24"/>
        </w:rPr>
        <w:fldChar w:fldCharType="end"/>
      </w:r>
      <w:r w:rsidRPr="00797004">
        <w:rPr>
          <w:rFonts w:ascii="Arial" w:hAnsi="Arial" w:cs="Arial"/>
          <w:color w:val="000000"/>
          <w:sz w:val="24"/>
          <w:szCs w:val="24"/>
        </w:rPr>
        <w:t xml:space="preserve"> fitted into the Gibb’s cycle of self-reflection </w:t>
      </w:r>
      <w:r w:rsidRPr="00797004">
        <w:rPr>
          <w:rFonts w:ascii="Arial" w:hAnsi="Arial" w:cs="Arial"/>
          <w:color w:val="000000"/>
          <w:sz w:val="24"/>
          <w:szCs w:val="24"/>
        </w:rPr>
        <w:fldChar w:fldCharType="begin" w:fldLock="1"/>
      </w:r>
      <w:r w:rsidRPr="00797004">
        <w:rPr>
          <w:rFonts w:ascii="Arial" w:hAnsi="Arial" w:cs="Arial"/>
          <w:color w:val="000000"/>
          <w:sz w:val="24"/>
          <w:szCs w:val="24"/>
        </w:rPr>
        <w:instrText>ADDIN CSL_CITATION {"citationItems":[{"id":"ITEM-1","itemData":{"abstract":"Gibbs’ reflective cycle encourages you to think systematically about the phases of an experience or activity, and you should use all the headings to structure your reflection. See how we have used Gibbs' reflective cycle in our Health Visitor example . Forgotten the Health Visitor example?","author":[{"dropping-particle":"","family":"Gibbs","given":"","non-dropping-particle":"","parse-names":false,"suffix":""}],"container-title":"Academic Liasion, Employability and Skills (ALES)","id":"ITEM-1","issued":{"date-parts":[["1988"]]},"page":"1-4","title":"Reflective Cycle","type":"article-journal"},"uris":["http://www.mendeley.com/documents/?uuid=8e782df3-33a2-47fc-a950-29df34aeee74"]}],"mendeley":{"formattedCitation":"(Gibbs, 1988)","plainTextFormattedCitation":"(Gibbs, 1988)","previouslyFormattedCitation":"(Gibbs, 1988)"},"properties":{"noteIndex":0},"schema":"https://github.com/citation-style-language/schema/raw/master/csl-citation.json"}</w:instrText>
      </w:r>
      <w:r w:rsidRPr="00797004">
        <w:rPr>
          <w:rFonts w:ascii="Arial" w:hAnsi="Arial" w:cs="Arial"/>
          <w:color w:val="000000"/>
          <w:sz w:val="24"/>
          <w:szCs w:val="24"/>
        </w:rPr>
        <w:fldChar w:fldCharType="separate"/>
      </w:r>
      <w:r w:rsidRPr="00797004">
        <w:rPr>
          <w:rFonts w:ascii="Arial" w:hAnsi="Arial" w:cs="Arial"/>
          <w:noProof/>
          <w:color w:val="000000"/>
          <w:sz w:val="24"/>
          <w:szCs w:val="24"/>
        </w:rPr>
        <w:t>(Gibbs, 1988)</w:t>
      </w:r>
      <w:r w:rsidRPr="00797004">
        <w:rPr>
          <w:rFonts w:ascii="Arial" w:hAnsi="Arial" w:cs="Arial"/>
          <w:color w:val="000000"/>
          <w:sz w:val="24"/>
          <w:szCs w:val="24"/>
        </w:rPr>
        <w:fldChar w:fldCharType="end"/>
      </w:r>
      <w:r w:rsidRPr="00797004">
        <w:rPr>
          <w:rFonts w:ascii="Arial" w:hAnsi="Arial" w:cs="Arial"/>
          <w:color w:val="000000"/>
          <w:sz w:val="24"/>
          <w:szCs w:val="24"/>
        </w:rPr>
        <w:t>:</w:t>
      </w:r>
    </w:p>
    <w:p w14:paraId="4CE84A80" w14:textId="77777777" w:rsidR="00356298" w:rsidRPr="00797004" w:rsidRDefault="00356298" w:rsidP="007473BE">
      <w:pPr>
        <w:spacing w:line="360" w:lineRule="auto"/>
        <w:jc w:val="both"/>
        <w:rPr>
          <w:rFonts w:ascii="Arial" w:hAnsi="Arial" w:cs="Arial"/>
          <w:b/>
          <w:color w:val="000000"/>
          <w:sz w:val="24"/>
          <w:szCs w:val="24"/>
        </w:rPr>
      </w:pPr>
      <w:r w:rsidRPr="00797004">
        <w:rPr>
          <w:rFonts w:ascii="Arial" w:hAnsi="Arial" w:cs="Arial"/>
          <w:b/>
          <w:color w:val="000000"/>
          <w:sz w:val="24"/>
          <w:szCs w:val="24"/>
        </w:rPr>
        <w:t>Description: What happened?</w:t>
      </w:r>
    </w:p>
    <w:p w14:paraId="067EF73B" w14:textId="77777777" w:rsidR="00356298" w:rsidRPr="00797004" w:rsidRDefault="00356298" w:rsidP="007473BE">
      <w:pPr>
        <w:pStyle w:val="ListParagraph"/>
        <w:numPr>
          <w:ilvl w:val="0"/>
          <w:numId w:val="8"/>
        </w:numPr>
        <w:spacing w:after="200" w:line="360" w:lineRule="auto"/>
        <w:jc w:val="both"/>
        <w:rPr>
          <w:rFonts w:ascii="Arial" w:hAnsi="Arial" w:cs="Arial"/>
          <w:color w:val="000000"/>
          <w:sz w:val="24"/>
          <w:szCs w:val="24"/>
        </w:rPr>
      </w:pPr>
      <w:r w:rsidRPr="00797004">
        <w:rPr>
          <w:rFonts w:ascii="Arial" w:hAnsi="Arial" w:cs="Arial"/>
          <w:color w:val="000000"/>
          <w:sz w:val="24"/>
          <w:szCs w:val="24"/>
        </w:rPr>
        <w:t xml:space="preserve">Casual – what essential factors contributed to this experience? </w:t>
      </w:r>
    </w:p>
    <w:p w14:paraId="4FDF4708" w14:textId="77777777" w:rsidR="00356298" w:rsidRPr="00797004" w:rsidRDefault="00356298" w:rsidP="007473BE">
      <w:pPr>
        <w:pStyle w:val="ListParagraph"/>
        <w:numPr>
          <w:ilvl w:val="0"/>
          <w:numId w:val="8"/>
        </w:numPr>
        <w:spacing w:after="200" w:line="360" w:lineRule="auto"/>
        <w:jc w:val="both"/>
        <w:rPr>
          <w:rFonts w:ascii="Arial" w:hAnsi="Arial" w:cs="Arial"/>
          <w:color w:val="000000"/>
          <w:sz w:val="24"/>
          <w:szCs w:val="24"/>
        </w:rPr>
      </w:pPr>
      <w:r w:rsidRPr="00797004">
        <w:rPr>
          <w:rFonts w:ascii="Arial" w:hAnsi="Arial" w:cs="Arial"/>
          <w:color w:val="000000"/>
          <w:sz w:val="24"/>
          <w:szCs w:val="24"/>
        </w:rPr>
        <w:t xml:space="preserve">Context - what are the significant background factors to this experience? </w:t>
      </w:r>
    </w:p>
    <w:p w14:paraId="43B4EB60" w14:textId="77777777" w:rsidR="00356298" w:rsidRPr="00797004" w:rsidRDefault="00356298" w:rsidP="007473BE">
      <w:pPr>
        <w:pStyle w:val="ListParagraph"/>
        <w:numPr>
          <w:ilvl w:val="0"/>
          <w:numId w:val="8"/>
        </w:numPr>
        <w:spacing w:after="200" w:line="360" w:lineRule="auto"/>
        <w:jc w:val="both"/>
        <w:rPr>
          <w:rFonts w:ascii="Arial" w:hAnsi="Arial" w:cs="Arial"/>
          <w:color w:val="000000"/>
          <w:sz w:val="24"/>
          <w:szCs w:val="24"/>
        </w:rPr>
      </w:pPr>
      <w:r w:rsidRPr="00797004">
        <w:rPr>
          <w:rFonts w:ascii="Arial" w:hAnsi="Arial" w:cs="Arial"/>
          <w:color w:val="000000"/>
          <w:sz w:val="24"/>
          <w:szCs w:val="24"/>
        </w:rPr>
        <w:t>Clarifying – what are the key processes for reflection in this experience?</w:t>
      </w:r>
    </w:p>
    <w:p w14:paraId="0EB6AA2E" w14:textId="77777777" w:rsidR="00356298" w:rsidRDefault="00356298" w:rsidP="007473BE">
      <w:pPr>
        <w:pStyle w:val="ListParagraph"/>
        <w:numPr>
          <w:ilvl w:val="0"/>
          <w:numId w:val="8"/>
        </w:numPr>
        <w:spacing w:after="200" w:line="360" w:lineRule="auto"/>
        <w:jc w:val="both"/>
        <w:rPr>
          <w:rFonts w:ascii="Arial" w:hAnsi="Arial" w:cs="Arial"/>
          <w:color w:val="000000"/>
          <w:sz w:val="24"/>
          <w:szCs w:val="24"/>
        </w:rPr>
      </w:pPr>
      <w:r w:rsidRPr="00797004">
        <w:rPr>
          <w:rFonts w:ascii="Arial" w:hAnsi="Arial" w:cs="Arial"/>
          <w:color w:val="000000"/>
          <w:sz w:val="24"/>
          <w:szCs w:val="24"/>
        </w:rPr>
        <w:t>What were the consequences of my actions for me and the student?</w:t>
      </w:r>
    </w:p>
    <w:p w14:paraId="2E550407" w14:textId="77777777" w:rsidR="00BC73F8" w:rsidRPr="00797004" w:rsidRDefault="00BC73F8" w:rsidP="007473BE">
      <w:pPr>
        <w:pStyle w:val="ListParagraph"/>
        <w:numPr>
          <w:ilvl w:val="0"/>
          <w:numId w:val="8"/>
        </w:numPr>
        <w:spacing w:after="200" w:line="360" w:lineRule="auto"/>
        <w:jc w:val="both"/>
        <w:rPr>
          <w:rFonts w:ascii="Arial" w:hAnsi="Arial" w:cs="Arial"/>
          <w:color w:val="000000"/>
          <w:sz w:val="24"/>
          <w:szCs w:val="24"/>
        </w:rPr>
      </w:pPr>
    </w:p>
    <w:p w14:paraId="10AB5432" w14:textId="77777777" w:rsidR="00356298" w:rsidRPr="00797004" w:rsidRDefault="00356298" w:rsidP="007473BE">
      <w:pPr>
        <w:spacing w:line="360" w:lineRule="auto"/>
        <w:jc w:val="both"/>
        <w:rPr>
          <w:rFonts w:ascii="Arial" w:hAnsi="Arial" w:cs="Arial"/>
          <w:b/>
          <w:color w:val="000000"/>
          <w:sz w:val="24"/>
          <w:szCs w:val="24"/>
        </w:rPr>
      </w:pPr>
      <w:r w:rsidRPr="00797004">
        <w:rPr>
          <w:rFonts w:ascii="Arial" w:hAnsi="Arial" w:cs="Arial"/>
          <w:b/>
          <w:color w:val="000000"/>
          <w:sz w:val="24"/>
          <w:szCs w:val="24"/>
        </w:rPr>
        <w:t>Feelings: What were you thinking and feeling?</w:t>
      </w:r>
    </w:p>
    <w:p w14:paraId="17C9BF75" w14:textId="77777777" w:rsidR="00356298" w:rsidRPr="00797004" w:rsidRDefault="00356298" w:rsidP="007473BE">
      <w:pPr>
        <w:pStyle w:val="ListParagraph"/>
        <w:numPr>
          <w:ilvl w:val="0"/>
          <w:numId w:val="8"/>
        </w:numPr>
        <w:spacing w:after="200" w:line="360" w:lineRule="auto"/>
        <w:jc w:val="both"/>
        <w:rPr>
          <w:rFonts w:ascii="Arial" w:hAnsi="Arial" w:cs="Arial"/>
          <w:color w:val="000000"/>
          <w:sz w:val="24"/>
          <w:szCs w:val="24"/>
        </w:rPr>
      </w:pPr>
      <w:r w:rsidRPr="00797004">
        <w:rPr>
          <w:rFonts w:ascii="Arial" w:hAnsi="Arial" w:cs="Arial"/>
          <w:color w:val="000000"/>
          <w:sz w:val="24"/>
          <w:szCs w:val="24"/>
        </w:rPr>
        <w:t xml:space="preserve">What was I trying to achieve? </w:t>
      </w:r>
    </w:p>
    <w:p w14:paraId="31C2B54F" w14:textId="77777777" w:rsidR="00356298" w:rsidRPr="00797004" w:rsidRDefault="00356298" w:rsidP="007473BE">
      <w:pPr>
        <w:pStyle w:val="ListParagraph"/>
        <w:numPr>
          <w:ilvl w:val="0"/>
          <w:numId w:val="8"/>
        </w:numPr>
        <w:spacing w:after="200" w:line="360" w:lineRule="auto"/>
        <w:jc w:val="both"/>
        <w:rPr>
          <w:rFonts w:ascii="Arial" w:hAnsi="Arial" w:cs="Arial"/>
          <w:b/>
          <w:color w:val="000000"/>
          <w:sz w:val="24"/>
          <w:szCs w:val="24"/>
        </w:rPr>
      </w:pPr>
      <w:r w:rsidRPr="00797004">
        <w:rPr>
          <w:rFonts w:ascii="Arial" w:hAnsi="Arial" w:cs="Arial"/>
          <w:color w:val="000000"/>
          <w:sz w:val="24"/>
          <w:szCs w:val="24"/>
        </w:rPr>
        <w:t xml:space="preserve">Why did I intervene as I did? </w:t>
      </w:r>
    </w:p>
    <w:p w14:paraId="15B26E52" w14:textId="77777777" w:rsidR="00356298" w:rsidRPr="00BC73F8" w:rsidRDefault="00356298" w:rsidP="007473BE">
      <w:pPr>
        <w:pStyle w:val="ListParagraph"/>
        <w:numPr>
          <w:ilvl w:val="0"/>
          <w:numId w:val="8"/>
        </w:numPr>
        <w:spacing w:after="200" w:line="360" w:lineRule="auto"/>
        <w:jc w:val="both"/>
        <w:rPr>
          <w:rFonts w:ascii="Arial" w:hAnsi="Arial" w:cs="Arial"/>
          <w:b/>
          <w:color w:val="000000"/>
          <w:sz w:val="24"/>
          <w:szCs w:val="24"/>
        </w:rPr>
      </w:pPr>
      <w:r w:rsidRPr="00797004">
        <w:rPr>
          <w:rFonts w:ascii="Arial" w:hAnsi="Arial" w:cs="Arial"/>
          <w:color w:val="000000"/>
          <w:sz w:val="24"/>
          <w:szCs w:val="24"/>
        </w:rPr>
        <w:t>How did I feel about this experience when it was happening?</w:t>
      </w:r>
    </w:p>
    <w:p w14:paraId="1F175DC0" w14:textId="77777777" w:rsidR="00BC73F8" w:rsidRPr="00797004" w:rsidRDefault="00BC73F8" w:rsidP="007473BE">
      <w:pPr>
        <w:pStyle w:val="ListParagraph"/>
        <w:numPr>
          <w:ilvl w:val="0"/>
          <w:numId w:val="8"/>
        </w:numPr>
        <w:spacing w:after="200" w:line="360" w:lineRule="auto"/>
        <w:jc w:val="both"/>
        <w:rPr>
          <w:rFonts w:ascii="Arial" w:hAnsi="Arial" w:cs="Arial"/>
          <w:b/>
          <w:color w:val="000000"/>
          <w:sz w:val="24"/>
          <w:szCs w:val="24"/>
        </w:rPr>
      </w:pPr>
    </w:p>
    <w:p w14:paraId="793EF25D" w14:textId="77777777" w:rsidR="00356298" w:rsidRPr="00797004" w:rsidRDefault="00356298" w:rsidP="007473BE">
      <w:pPr>
        <w:spacing w:line="360" w:lineRule="auto"/>
        <w:jc w:val="both"/>
        <w:rPr>
          <w:rFonts w:ascii="Arial" w:hAnsi="Arial" w:cs="Arial"/>
          <w:b/>
          <w:color w:val="000000"/>
          <w:sz w:val="24"/>
          <w:szCs w:val="24"/>
        </w:rPr>
      </w:pPr>
      <w:r w:rsidRPr="00797004">
        <w:rPr>
          <w:rFonts w:ascii="Arial" w:hAnsi="Arial" w:cs="Arial"/>
          <w:b/>
          <w:color w:val="000000"/>
          <w:sz w:val="24"/>
          <w:szCs w:val="24"/>
        </w:rPr>
        <w:t>Evaluation: What was good and bad about the experience?</w:t>
      </w:r>
    </w:p>
    <w:p w14:paraId="7EE4CAEC" w14:textId="77777777" w:rsidR="00356298" w:rsidRPr="00797004" w:rsidRDefault="00356298" w:rsidP="007473BE">
      <w:pPr>
        <w:pStyle w:val="ListParagraph"/>
        <w:numPr>
          <w:ilvl w:val="0"/>
          <w:numId w:val="9"/>
        </w:numPr>
        <w:spacing w:after="200" w:line="360" w:lineRule="auto"/>
        <w:jc w:val="both"/>
        <w:rPr>
          <w:rFonts w:ascii="Arial" w:hAnsi="Arial" w:cs="Arial"/>
          <w:b/>
          <w:color w:val="000000"/>
          <w:sz w:val="24"/>
          <w:szCs w:val="24"/>
        </w:rPr>
      </w:pPr>
      <w:r w:rsidRPr="00797004">
        <w:rPr>
          <w:rFonts w:ascii="Arial" w:hAnsi="Arial" w:cs="Arial"/>
          <w:color w:val="000000"/>
          <w:sz w:val="24"/>
          <w:szCs w:val="24"/>
        </w:rPr>
        <w:t xml:space="preserve">How did the student feel about it? </w:t>
      </w:r>
    </w:p>
    <w:p w14:paraId="2A49CABA" w14:textId="77777777" w:rsidR="00356298" w:rsidRPr="00797004" w:rsidRDefault="00356298" w:rsidP="007473BE">
      <w:pPr>
        <w:pStyle w:val="ListParagraph"/>
        <w:numPr>
          <w:ilvl w:val="0"/>
          <w:numId w:val="9"/>
        </w:numPr>
        <w:spacing w:after="200" w:line="360" w:lineRule="auto"/>
        <w:jc w:val="both"/>
        <w:rPr>
          <w:rFonts w:ascii="Arial" w:hAnsi="Arial" w:cs="Arial"/>
          <w:b/>
          <w:color w:val="000000"/>
          <w:sz w:val="24"/>
          <w:szCs w:val="24"/>
        </w:rPr>
      </w:pPr>
      <w:r w:rsidRPr="00797004">
        <w:rPr>
          <w:rFonts w:ascii="Arial" w:hAnsi="Arial" w:cs="Arial"/>
          <w:color w:val="000000"/>
          <w:sz w:val="24"/>
          <w:szCs w:val="24"/>
        </w:rPr>
        <w:t>How do I know how the student felt about it?</w:t>
      </w:r>
    </w:p>
    <w:p w14:paraId="6BF3194F" w14:textId="74230514" w:rsidR="00356298" w:rsidRPr="00797004" w:rsidRDefault="00356298" w:rsidP="007473BE">
      <w:pPr>
        <w:pStyle w:val="ListParagraph"/>
        <w:numPr>
          <w:ilvl w:val="0"/>
          <w:numId w:val="9"/>
        </w:numPr>
        <w:spacing w:after="200" w:line="360" w:lineRule="auto"/>
        <w:jc w:val="both"/>
        <w:rPr>
          <w:rFonts w:ascii="Arial" w:hAnsi="Arial" w:cs="Arial"/>
          <w:color w:val="000000"/>
          <w:sz w:val="24"/>
          <w:szCs w:val="24"/>
        </w:rPr>
      </w:pPr>
      <w:r w:rsidRPr="00797004">
        <w:rPr>
          <w:rFonts w:ascii="Arial" w:hAnsi="Arial" w:cs="Arial"/>
          <w:color w:val="000000"/>
          <w:sz w:val="24"/>
          <w:szCs w:val="24"/>
        </w:rPr>
        <w:t xml:space="preserve">What internal factors influenced my decision making? </w:t>
      </w:r>
    </w:p>
    <w:p w14:paraId="681EE06F" w14:textId="1212BEB6" w:rsidR="00356298" w:rsidRPr="00797004" w:rsidRDefault="00356298" w:rsidP="007473BE">
      <w:pPr>
        <w:pStyle w:val="ListParagraph"/>
        <w:numPr>
          <w:ilvl w:val="0"/>
          <w:numId w:val="9"/>
        </w:numPr>
        <w:spacing w:after="200" w:line="360" w:lineRule="auto"/>
        <w:jc w:val="both"/>
        <w:rPr>
          <w:rFonts w:ascii="Arial" w:hAnsi="Arial" w:cs="Arial"/>
          <w:color w:val="000000"/>
          <w:sz w:val="24"/>
          <w:szCs w:val="24"/>
        </w:rPr>
      </w:pPr>
      <w:r w:rsidRPr="00797004">
        <w:rPr>
          <w:rFonts w:ascii="Arial" w:hAnsi="Arial" w:cs="Arial"/>
          <w:color w:val="000000"/>
          <w:sz w:val="24"/>
          <w:szCs w:val="24"/>
        </w:rPr>
        <w:t xml:space="preserve">What external factors influenced my decision making? </w:t>
      </w:r>
    </w:p>
    <w:p w14:paraId="03950288" w14:textId="2FF58365" w:rsidR="00356298" w:rsidRDefault="00356298" w:rsidP="007473BE">
      <w:pPr>
        <w:pStyle w:val="ListParagraph"/>
        <w:numPr>
          <w:ilvl w:val="0"/>
          <w:numId w:val="9"/>
        </w:numPr>
        <w:spacing w:after="200" w:line="360" w:lineRule="auto"/>
        <w:jc w:val="both"/>
        <w:rPr>
          <w:rFonts w:ascii="Arial" w:hAnsi="Arial" w:cs="Arial"/>
          <w:color w:val="000000"/>
          <w:sz w:val="24"/>
          <w:szCs w:val="24"/>
        </w:rPr>
      </w:pPr>
      <w:r w:rsidRPr="00797004">
        <w:rPr>
          <w:rFonts w:ascii="Arial" w:hAnsi="Arial" w:cs="Arial"/>
          <w:color w:val="000000"/>
          <w:sz w:val="24"/>
          <w:szCs w:val="24"/>
        </w:rPr>
        <w:t>What sources of knowledge did / should have influenced my decision making?</w:t>
      </w:r>
    </w:p>
    <w:p w14:paraId="31142F17" w14:textId="77777777" w:rsidR="00BC73F8" w:rsidRPr="00797004" w:rsidRDefault="00BC73F8" w:rsidP="007473BE">
      <w:pPr>
        <w:pStyle w:val="ListParagraph"/>
        <w:numPr>
          <w:ilvl w:val="0"/>
          <w:numId w:val="9"/>
        </w:numPr>
        <w:spacing w:after="200" w:line="360" w:lineRule="auto"/>
        <w:jc w:val="both"/>
        <w:rPr>
          <w:rFonts w:ascii="Arial" w:hAnsi="Arial" w:cs="Arial"/>
          <w:color w:val="000000"/>
          <w:sz w:val="24"/>
          <w:szCs w:val="24"/>
        </w:rPr>
      </w:pPr>
    </w:p>
    <w:p w14:paraId="068EC6B8" w14:textId="77777777" w:rsidR="00356298" w:rsidRPr="00797004" w:rsidRDefault="00356298" w:rsidP="007473BE">
      <w:pPr>
        <w:spacing w:line="360" w:lineRule="auto"/>
        <w:jc w:val="both"/>
        <w:rPr>
          <w:rFonts w:ascii="Arial" w:hAnsi="Arial" w:cs="Arial"/>
          <w:b/>
          <w:color w:val="000000"/>
          <w:sz w:val="24"/>
          <w:szCs w:val="24"/>
        </w:rPr>
      </w:pPr>
      <w:r w:rsidRPr="00797004">
        <w:rPr>
          <w:rFonts w:ascii="Arial" w:hAnsi="Arial" w:cs="Arial"/>
          <w:b/>
          <w:color w:val="000000"/>
          <w:sz w:val="24"/>
          <w:szCs w:val="24"/>
        </w:rPr>
        <w:t>Analysis: What sense can you make of the situation?</w:t>
      </w:r>
    </w:p>
    <w:p w14:paraId="2E6A33DF" w14:textId="77777777" w:rsidR="00356298" w:rsidRPr="00797004" w:rsidRDefault="00356298" w:rsidP="007473BE">
      <w:pPr>
        <w:pStyle w:val="ListParagraph"/>
        <w:numPr>
          <w:ilvl w:val="0"/>
          <w:numId w:val="9"/>
        </w:numPr>
        <w:spacing w:after="200" w:line="360" w:lineRule="auto"/>
        <w:jc w:val="both"/>
        <w:rPr>
          <w:rFonts w:ascii="Arial" w:hAnsi="Arial" w:cs="Arial"/>
          <w:color w:val="000000"/>
          <w:sz w:val="24"/>
          <w:szCs w:val="24"/>
        </w:rPr>
      </w:pPr>
      <w:r w:rsidRPr="00797004">
        <w:rPr>
          <w:rFonts w:ascii="Arial" w:hAnsi="Arial" w:cs="Arial"/>
          <w:color w:val="000000"/>
          <w:sz w:val="24"/>
          <w:szCs w:val="24"/>
        </w:rPr>
        <w:t xml:space="preserve">Could I have dealt with the situation better? </w:t>
      </w:r>
    </w:p>
    <w:p w14:paraId="5C386E4F" w14:textId="7D2FE071" w:rsidR="00BC73F8" w:rsidRDefault="00356298" w:rsidP="00BC73F8">
      <w:pPr>
        <w:pStyle w:val="ListParagraph"/>
        <w:numPr>
          <w:ilvl w:val="0"/>
          <w:numId w:val="10"/>
        </w:numPr>
        <w:spacing w:after="200" w:line="360" w:lineRule="auto"/>
        <w:jc w:val="both"/>
        <w:rPr>
          <w:rFonts w:ascii="Arial" w:hAnsi="Arial" w:cs="Arial"/>
          <w:color w:val="000000"/>
          <w:sz w:val="24"/>
          <w:szCs w:val="24"/>
        </w:rPr>
      </w:pPr>
      <w:r w:rsidRPr="00797004">
        <w:rPr>
          <w:rFonts w:ascii="Arial" w:hAnsi="Arial" w:cs="Arial"/>
          <w:color w:val="000000"/>
          <w:sz w:val="24"/>
          <w:szCs w:val="24"/>
        </w:rPr>
        <w:t xml:space="preserve">How have I made sense of this experience </w:t>
      </w:r>
      <w:proofErr w:type="gramStart"/>
      <w:r w:rsidRPr="00797004">
        <w:rPr>
          <w:rFonts w:ascii="Arial" w:hAnsi="Arial" w:cs="Arial"/>
          <w:color w:val="000000"/>
          <w:sz w:val="24"/>
          <w:szCs w:val="24"/>
        </w:rPr>
        <w:t>in light of</w:t>
      </w:r>
      <w:proofErr w:type="gramEnd"/>
      <w:r w:rsidRPr="00797004">
        <w:rPr>
          <w:rFonts w:ascii="Arial" w:hAnsi="Arial" w:cs="Arial"/>
          <w:color w:val="000000"/>
          <w:sz w:val="24"/>
          <w:szCs w:val="24"/>
        </w:rPr>
        <w:t xml:space="preserve"> past experiences and future practice? </w:t>
      </w:r>
      <w:r w:rsidR="00BC73F8">
        <w:rPr>
          <w:rFonts w:ascii="Arial" w:hAnsi="Arial" w:cs="Arial"/>
          <w:color w:val="000000"/>
          <w:sz w:val="24"/>
          <w:szCs w:val="24"/>
        </w:rPr>
        <w:br w:type="page"/>
      </w:r>
    </w:p>
    <w:p w14:paraId="3D5FAFEA" w14:textId="77777777" w:rsidR="00356298" w:rsidRPr="00797004" w:rsidRDefault="00356298" w:rsidP="007473BE">
      <w:pPr>
        <w:spacing w:line="360" w:lineRule="auto"/>
        <w:jc w:val="both"/>
        <w:rPr>
          <w:rFonts w:ascii="Arial" w:hAnsi="Arial" w:cs="Arial"/>
          <w:b/>
          <w:color w:val="000000"/>
          <w:sz w:val="24"/>
          <w:szCs w:val="24"/>
        </w:rPr>
      </w:pPr>
      <w:r w:rsidRPr="00797004">
        <w:rPr>
          <w:rFonts w:ascii="Arial" w:hAnsi="Arial" w:cs="Arial"/>
          <w:b/>
          <w:color w:val="000000"/>
          <w:sz w:val="24"/>
          <w:szCs w:val="24"/>
        </w:rPr>
        <w:lastRenderedPageBreak/>
        <w:t>Conclusion: What else could you have done?</w:t>
      </w:r>
    </w:p>
    <w:p w14:paraId="1AEC6FFD" w14:textId="77777777" w:rsidR="00356298" w:rsidRPr="00797004" w:rsidRDefault="00356298" w:rsidP="007473BE">
      <w:pPr>
        <w:pStyle w:val="ListParagraph"/>
        <w:numPr>
          <w:ilvl w:val="0"/>
          <w:numId w:val="9"/>
        </w:numPr>
        <w:spacing w:after="200" w:line="360" w:lineRule="auto"/>
        <w:jc w:val="both"/>
        <w:rPr>
          <w:rFonts w:ascii="Arial" w:hAnsi="Arial" w:cs="Arial"/>
          <w:color w:val="000000"/>
          <w:sz w:val="24"/>
          <w:szCs w:val="24"/>
        </w:rPr>
      </w:pPr>
      <w:r w:rsidRPr="00797004">
        <w:rPr>
          <w:rFonts w:ascii="Arial" w:hAnsi="Arial" w:cs="Arial"/>
          <w:color w:val="000000"/>
          <w:sz w:val="24"/>
          <w:szCs w:val="24"/>
        </w:rPr>
        <w:t xml:space="preserve">What other choices did I have? </w:t>
      </w:r>
    </w:p>
    <w:p w14:paraId="7B90F76D" w14:textId="77777777" w:rsidR="00356298" w:rsidRPr="00797004" w:rsidRDefault="00356298" w:rsidP="007473BE">
      <w:pPr>
        <w:pStyle w:val="ListParagraph"/>
        <w:numPr>
          <w:ilvl w:val="0"/>
          <w:numId w:val="9"/>
        </w:numPr>
        <w:spacing w:after="200" w:line="360" w:lineRule="auto"/>
        <w:jc w:val="both"/>
        <w:rPr>
          <w:rFonts w:ascii="Arial" w:hAnsi="Arial" w:cs="Arial"/>
          <w:color w:val="000000"/>
          <w:sz w:val="24"/>
          <w:szCs w:val="24"/>
        </w:rPr>
      </w:pPr>
      <w:r w:rsidRPr="00797004">
        <w:rPr>
          <w:rFonts w:ascii="Arial" w:hAnsi="Arial" w:cs="Arial"/>
          <w:color w:val="000000"/>
          <w:sz w:val="24"/>
          <w:szCs w:val="24"/>
        </w:rPr>
        <w:t>What would be the consequences of these choices?</w:t>
      </w:r>
    </w:p>
    <w:p w14:paraId="03710B7C" w14:textId="77777777" w:rsidR="00356298" w:rsidRPr="00797004" w:rsidRDefault="00356298" w:rsidP="007473BE">
      <w:pPr>
        <w:pStyle w:val="ListParagraph"/>
        <w:numPr>
          <w:ilvl w:val="0"/>
          <w:numId w:val="10"/>
        </w:numPr>
        <w:spacing w:after="200" w:line="360" w:lineRule="auto"/>
        <w:jc w:val="both"/>
        <w:rPr>
          <w:rFonts w:ascii="Arial" w:hAnsi="Arial" w:cs="Arial"/>
          <w:color w:val="000000"/>
          <w:sz w:val="24"/>
          <w:szCs w:val="24"/>
        </w:rPr>
      </w:pPr>
      <w:r w:rsidRPr="00797004">
        <w:rPr>
          <w:rFonts w:ascii="Arial" w:hAnsi="Arial" w:cs="Arial"/>
          <w:color w:val="000000"/>
          <w:sz w:val="24"/>
          <w:szCs w:val="24"/>
        </w:rPr>
        <w:t xml:space="preserve">How do I now feel about this experience? </w:t>
      </w:r>
    </w:p>
    <w:p w14:paraId="22D24354" w14:textId="77777777" w:rsidR="00356298" w:rsidRPr="00797004" w:rsidRDefault="00356298" w:rsidP="007473BE">
      <w:pPr>
        <w:pStyle w:val="ListParagraph"/>
        <w:numPr>
          <w:ilvl w:val="0"/>
          <w:numId w:val="10"/>
        </w:numPr>
        <w:spacing w:after="200" w:line="360" w:lineRule="auto"/>
        <w:jc w:val="both"/>
        <w:rPr>
          <w:rFonts w:ascii="Arial" w:hAnsi="Arial" w:cs="Arial"/>
          <w:color w:val="000000"/>
          <w:sz w:val="24"/>
          <w:szCs w:val="24"/>
        </w:rPr>
      </w:pPr>
      <w:r w:rsidRPr="00797004">
        <w:rPr>
          <w:rFonts w:ascii="Arial" w:hAnsi="Arial" w:cs="Arial"/>
          <w:color w:val="000000"/>
          <w:sz w:val="24"/>
          <w:szCs w:val="24"/>
        </w:rPr>
        <w:t>How has this experience changed my ways of knowing?</w:t>
      </w:r>
    </w:p>
    <w:p w14:paraId="776DB897" w14:textId="77777777" w:rsidR="00356298" w:rsidRPr="00797004" w:rsidRDefault="00356298" w:rsidP="007473BE">
      <w:pPr>
        <w:pStyle w:val="ListParagraph"/>
        <w:numPr>
          <w:ilvl w:val="1"/>
          <w:numId w:val="7"/>
        </w:numPr>
        <w:spacing w:after="200" w:line="360" w:lineRule="auto"/>
        <w:jc w:val="both"/>
        <w:rPr>
          <w:rFonts w:ascii="Arial" w:hAnsi="Arial" w:cs="Arial"/>
          <w:color w:val="000000"/>
          <w:sz w:val="24"/>
          <w:szCs w:val="24"/>
        </w:rPr>
      </w:pPr>
      <w:r w:rsidRPr="00797004">
        <w:rPr>
          <w:rFonts w:ascii="Arial" w:hAnsi="Arial" w:cs="Arial"/>
          <w:i/>
          <w:color w:val="000000"/>
          <w:sz w:val="24"/>
          <w:szCs w:val="24"/>
        </w:rPr>
        <w:t xml:space="preserve">Empirics </w:t>
      </w:r>
      <w:r w:rsidRPr="00797004">
        <w:rPr>
          <w:rFonts w:ascii="Arial" w:hAnsi="Arial" w:cs="Arial"/>
          <w:color w:val="000000"/>
          <w:sz w:val="24"/>
          <w:szCs w:val="24"/>
        </w:rPr>
        <w:t xml:space="preserve">– scientific, </w:t>
      </w:r>
      <w:r w:rsidRPr="00797004">
        <w:rPr>
          <w:rFonts w:ascii="Arial" w:hAnsi="Arial" w:cs="Arial"/>
          <w:i/>
          <w:color w:val="000000"/>
          <w:sz w:val="24"/>
          <w:szCs w:val="24"/>
        </w:rPr>
        <w:t>Ethics</w:t>
      </w:r>
      <w:r w:rsidRPr="00797004">
        <w:rPr>
          <w:rFonts w:ascii="Arial" w:hAnsi="Arial" w:cs="Arial"/>
          <w:color w:val="000000"/>
          <w:sz w:val="24"/>
          <w:szCs w:val="24"/>
        </w:rPr>
        <w:t xml:space="preserve"> – moral knowledge, </w:t>
      </w:r>
      <w:r w:rsidRPr="00797004">
        <w:rPr>
          <w:rFonts w:ascii="Arial" w:hAnsi="Arial" w:cs="Arial"/>
          <w:i/>
          <w:color w:val="000000"/>
          <w:sz w:val="24"/>
          <w:szCs w:val="24"/>
        </w:rPr>
        <w:t>Personal</w:t>
      </w:r>
      <w:r w:rsidRPr="00797004">
        <w:rPr>
          <w:rFonts w:ascii="Arial" w:hAnsi="Arial" w:cs="Arial"/>
          <w:color w:val="000000"/>
          <w:sz w:val="24"/>
          <w:szCs w:val="24"/>
        </w:rPr>
        <w:t xml:space="preserve"> – self awareness </w:t>
      </w:r>
    </w:p>
    <w:p w14:paraId="474F7935" w14:textId="77777777" w:rsidR="00356298" w:rsidRPr="00797004" w:rsidRDefault="00356298" w:rsidP="007473BE">
      <w:pPr>
        <w:pStyle w:val="ListParagraph"/>
        <w:numPr>
          <w:ilvl w:val="0"/>
          <w:numId w:val="7"/>
        </w:numPr>
        <w:spacing w:after="200" w:line="360" w:lineRule="auto"/>
        <w:jc w:val="both"/>
        <w:rPr>
          <w:rFonts w:ascii="Arial" w:hAnsi="Arial" w:cs="Arial"/>
          <w:color w:val="000000"/>
          <w:sz w:val="24"/>
          <w:szCs w:val="24"/>
        </w:rPr>
      </w:pPr>
      <w:r w:rsidRPr="00797004">
        <w:rPr>
          <w:rFonts w:ascii="Arial" w:hAnsi="Arial" w:cs="Arial"/>
          <w:color w:val="000000"/>
          <w:sz w:val="24"/>
          <w:szCs w:val="24"/>
        </w:rPr>
        <w:t xml:space="preserve">Aesthetics – the art of what we do, our own </w:t>
      </w:r>
      <w:proofErr w:type="gramStart"/>
      <w:r w:rsidRPr="00797004">
        <w:rPr>
          <w:rFonts w:ascii="Arial" w:hAnsi="Arial" w:cs="Arial"/>
          <w:color w:val="000000"/>
          <w:sz w:val="24"/>
          <w:szCs w:val="24"/>
        </w:rPr>
        <w:t>experiences</w:t>
      </w:r>
      <w:proofErr w:type="gramEnd"/>
    </w:p>
    <w:p w14:paraId="4EE9C5F0" w14:textId="77777777" w:rsidR="00356298" w:rsidRPr="00797004" w:rsidRDefault="00356298" w:rsidP="00336F26">
      <w:pPr>
        <w:spacing w:line="360" w:lineRule="auto"/>
        <w:jc w:val="both"/>
        <w:rPr>
          <w:rFonts w:ascii="Arial" w:hAnsi="Arial" w:cs="Arial"/>
          <w:sz w:val="24"/>
          <w:szCs w:val="24"/>
        </w:rPr>
      </w:pPr>
      <w:r w:rsidRPr="00797004">
        <w:rPr>
          <w:rFonts w:ascii="Arial" w:hAnsi="Arial" w:cs="Arial"/>
          <w:b/>
          <w:color w:val="000000"/>
          <w:sz w:val="24"/>
          <w:szCs w:val="24"/>
        </w:rPr>
        <w:t>Action plan: If it arose again, what would you do?</w:t>
      </w:r>
    </w:p>
    <w:p w14:paraId="16980839" w14:textId="05D3D222" w:rsidR="00137476" w:rsidRDefault="00137476">
      <w:r>
        <w:br w:type="page"/>
      </w:r>
    </w:p>
    <w:p w14:paraId="2A3116CE" w14:textId="387AC84C" w:rsidR="00356298" w:rsidRDefault="00137476">
      <w:pPr>
        <w:rPr>
          <w:rFonts w:ascii="Arial" w:hAnsi="Arial" w:cs="Arial"/>
          <w:b/>
          <w:color w:val="000000"/>
          <w:sz w:val="24"/>
          <w:szCs w:val="24"/>
        </w:rPr>
      </w:pPr>
      <w:r w:rsidRPr="00797004">
        <w:rPr>
          <w:rFonts w:ascii="Arial" w:hAnsi="Arial" w:cs="Arial"/>
          <w:b/>
          <w:color w:val="000000"/>
          <w:sz w:val="24"/>
          <w:szCs w:val="24"/>
        </w:rPr>
        <w:lastRenderedPageBreak/>
        <w:t xml:space="preserve">Appendix </w:t>
      </w:r>
      <w:r>
        <w:rPr>
          <w:rFonts w:ascii="Arial" w:hAnsi="Arial" w:cs="Arial"/>
          <w:b/>
          <w:color w:val="000000"/>
          <w:sz w:val="24"/>
          <w:szCs w:val="24"/>
        </w:rPr>
        <w:t>3</w:t>
      </w:r>
      <w:r w:rsidRPr="00797004">
        <w:rPr>
          <w:rFonts w:ascii="Arial" w:hAnsi="Arial" w:cs="Arial"/>
          <w:b/>
          <w:color w:val="000000"/>
          <w:sz w:val="24"/>
          <w:szCs w:val="24"/>
        </w:rPr>
        <w:t>:</w:t>
      </w:r>
      <w:r>
        <w:rPr>
          <w:rFonts w:ascii="Arial" w:hAnsi="Arial" w:cs="Arial"/>
          <w:b/>
          <w:color w:val="000000"/>
          <w:sz w:val="24"/>
          <w:szCs w:val="24"/>
        </w:rPr>
        <w:t xml:space="preserve"> </w:t>
      </w:r>
      <w:r w:rsidR="00DC5121">
        <w:rPr>
          <w:rFonts w:ascii="Arial" w:hAnsi="Arial" w:cs="Arial"/>
          <w:b/>
          <w:color w:val="000000"/>
          <w:sz w:val="24"/>
          <w:szCs w:val="24"/>
        </w:rPr>
        <w:t>Excerpt</w:t>
      </w:r>
      <w:r>
        <w:rPr>
          <w:rFonts w:ascii="Arial" w:hAnsi="Arial" w:cs="Arial"/>
          <w:b/>
          <w:color w:val="000000"/>
          <w:sz w:val="24"/>
          <w:szCs w:val="24"/>
        </w:rPr>
        <w:t xml:space="preserve"> of thematic anal</w:t>
      </w:r>
      <w:r w:rsidR="00B64EB9">
        <w:rPr>
          <w:rFonts w:ascii="Arial" w:hAnsi="Arial" w:cs="Arial"/>
          <w:b/>
          <w:color w:val="000000"/>
          <w:sz w:val="24"/>
          <w:szCs w:val="24"/>
        </w:rPr>
        <w:t>ysis from this project</w:t>
      </w:r>
    </w:p>
    <w:tbl>
      <w:tblPr>
        <w:tblStyle w:val="TableGrid"/>
        <w:tblW w:w="0" w:type="auto"/>
        <w:tblLook w:val="04A0" w:firstRow="1" w:lastRow="0" w:firstColumn="1" w:lastColumn="0" w:noHBand="0" w:noVBand="1"/>
      </w:tblPr>
      <w:tblGrid>
        <w:gridCol w:w="2709"/>
        <w:gridCol w:w="2061"/>
        <w:gridCol w:w="2316"/>
        <w:gridCol w:w="1930"/>
      </w:tblGrid>
      <w:tr w:rsidR="00BE04BC" w14:paraId="71872B38" w14:textId="77777777" w:rsidTr="00DC5121">
        <w:tc>
          <w:tcPr>
            <w:tcW w:w="9016" w:type="dxa"/>
            <w:gridSpan w:val="4"/>
          </w:tcPr>
          <w:p w14:paraId="091EB8EE" w14:textId="77777777" w:rsidR="00BE04BC" w:rsidRDefault="00BE04BC" w:rsidP="00443A3B">
            <w:pPr>
              <w:spacing w:line="360" w:lineRule="auto"/>
              <w:rPr>
                <w:b/>
                <w:bCs/>
              </w:rPr>
            </w:pPr>
            <w:r>
              <w:rPr>
                <w:b/>
                <w:bCs/>
              </w:rPr>
              <w:t xml:space="preserve">Data source: TSD library - </w:t>
            </w:r>
            <w:r w:rsidRPr="00F5032D">
              <w:rPr>
                <w:b/>
                <w:bCs/>
              </w:rPr>
              <w:t>Research Studies in Music Education 2021, Vol. 43(2) 179 –194</w:t>
            </w:r>
            <w:r>
              <w:rPr>
                <w:b/>
                <w:bCs/>
              </w:rPr>
              <w:t xml:space="preserve"> SAGE</w:t>
            </w:r>
          </w:p>
          <w:p w14:paraId="35EB0465" w14:textId="77777777" w:rsidR="00ED7047" w:rsidRDefault="00ED7047" w:rsidP="00443A3B">
            <w:pPr>
              <w:spacing w:line="360" w:lineRule="auto"/>
              <w:rPr>
                <w:b/>
                <w:bCs/>
              </w:rPr>
            </w:pPr>
          </w:p>
          <w:p w14:paraId="7AA94046" w14:textId="77777777" w:rsidR="00BE04BC" w:rsidRDefault="00BE04BC" w:rsidP="00443A3B">
            <w:pPr>
              <w:rPr>
                <w:b/>
                <w:bCs/>
              </w:rPr>
            </w:pPr>
            <w:r>
              <w:rPr>
                <w:b/>
                <w:bCs/>
              </w:rPr>
              <w:t xml:space="preserve">Title: </w:t>
            </w:r>
            <w:r w:rsidRPr="006A6140">
              <w:t>Fostering singing agency through emotional differentiation in an inclusive singing environment</w:t>
            </w:r>
            <w:r>
              <w:t xml:space="preserve"> (</w:t>
            </w:r>
            <w:r w:rsidRPr="00F2760F">
              <w:t>Hogle</w:t>
            </w:r>
            <w:r>
              <w:t xml:space="preserve">, </w:t>
            </w:r>
            <w:r w:rsidRPr="00F2760F">
              <w:t>2021</w:t>
            </w:r>
            <w:r>
              <w:t>)</w:t>
            </w:r>
            <w:r>
              <w:rPr>
                <w:b/>
                <w:bCs/>
              </w:rPr>
              <w:t xml:space="preserve"> </w:t>
            </w:r>
          </w:p>
          <w:p w14:paraId="6E7BAB18" w14:textId="77777777" w:rsidR="00ED7047" w:rsidRDefault="00ED7047" w:rsidP="00443A3B">
            <w:pPr>
              <w:rPr>
                <w:b/>
                <w:bCs/>
              </w:rPr>
            </w:pPr>
          </w:p>
          <w:p w14:paraId="061A41C3" w14:textId="77777777" w:rsidR="00BE04BC" w:rsidRDefault="00BE04BC" w:rsidP="00443A3B">
            <w:pPr>
              <w:jc w:val="center"/>
              <w:rPr>
                <w:b/>
                <w:bCs/>
              </w:rPr>
            </w:pPr>
            <w:r w:rsidRPr="00DD2D03">
              <w:rPr>
                <w:b/>
                <w:bCs/>
              </w:rPr>
              <w:t>Inclusion score:</w:t>
            </w:r>
            <w:r>
              <w:rPr>
                <w:b/>
                <w:bCs/>
              </w:rPr>
              <w:t xml:space="preserve"> 7</w:t>
            </w:r>
          </w:p>
          <w:p w14:paraId="4A13B803" w14:textId="195FAA70" w:rsidR="00ED7047" w:rsidRDefault="00ED7047" w:rsidP="00443A3B">
            <w:pPr>
              <w:jc w:val="center"/>
              <w:rPr>
                <w:b/>
                <w:bCs/>
              </w:rPr>
            </w:pPr>
          </w:p>
        </w:tc>
      </w:tr>
      <w:tr w:rsidR="00BE04BC" w:rsidRPr="00910D24" w14:paraId="068281E4" w14:textId="77777777" w:rsidTr="00DC5121">
        <w:tc>
          <w:tcPr>
            <w:tcW w:w="2709" w:type="dxa"/>
          </w:tcPr>
          <w:p w14:paraId="69920544" w14:textId="77777777" w:rsidR="00BE04BC" w:rsidRPr="00910D24" w:rsidRDefault="00BE04BC" w:rsidP="00443A3B">
            <w:pPr>
              <w:jc w:val="center"/>
              <w:rPr>
                <w:b/>
                <w:bCs/>
              </w:rPr>
            </w:pPr>
            <w:r>
              <w:rPr>
                <w:b/>
                <w:bCs/>
              </w:rPr>
              <w:t>Quote</w:t>
            </w:r>
          </w:p>
        </w:tc>
        <w:tc>
          <w:tcPr>
            <w:tcW w:w="2061" w:type="dxa"/>
          </w:tcPr>
          <w:p w14:paraId="21E100B5" w14:textId="77777777" w:rsidR="00BE04BC" w:rsidRPr="00910D24" w:rsidRDefault="00BE04BC" w:rsidP="00443A3B">
            <w:pPr>
              <w:jc w:val="center"/>
              <w:rPr>
                <w:b/>
                <w:bCs/>
              </w:rPr>
            </w:pPr>
            <w:r>
              <w:rPr>
                <w:b/>
                <w:bCs/>
              </w:rPr>
              <w:t>Meaning (summary)</w:t>
            </w:r>
          </w:p>
        </w:tc>
        <w:tc>
          <w:tcPr>
            <w:tcW w:w="2316" w:type="dxa"/>
          </w:tcPr>
          <w:p w14:paraId="4FE4F506" w14:textId="77777777" w:rsidR="00BE04BC" w:rsidRPr="00910D24" w:rsidRDefault="00BE04BC" w:rsidP="00443A3B">
            <w:pPr>
              <w:jc w:val="center"/>
              <w:rPr>
                <w:b/>
                <w:bCs/>
              </w:rPr>
            </w:pPr>
            <w:r>
              <w:rPr>
                <w:b/>
                <w:bCs/>
              </w:rPr>
              <w:t>Category</w:t>
            </w:r>
          </w:p>
        </w:tc>
        <w:tc>
          <w:tcPr>
            <w:tcW w:w="1930" w:type="dxa"/>
          </w:tcPr>
          <w:p w14:paraId="1D98B5C8" w14:textId="3F4B59FD" w:rsidR="00BE04BC" w:rsidRPr="00910D24" w:rsidRDefault="00BE04BC" w:rsidP="00443A3B">
            <w:pPr>
              <w:jc w:val="center"/>
              <w:rPr>
                <w:b/>
                <w:bCs/>
              </w:rPr>
            </w:pPr>
            <w:r>
              <w:rPr>
                <w:b/>
                <w:bCs/>
              </w:rPr>
              <w:t>Theme</w:t>
            </w:r>
          </w:p>
        </w:tc>
      </w:tr>
      <w:tr w:rsidR="00BE04BC" w14:paraId="52025A91" w14:textId="77777777" w:rsidTr="00DC5121">
        <w:tc>
          <w:tcPr>
            <w:tcW w:w="2709" w:type="dxa"/>
          </w:tcPr>
          <w:p w14:paraId="60DE389A" w14:textId="77777777" w:rsidR="00ED7047" w:rsidRDefault="00ED7047" w:rsidP="00443A3B">
            <w:pPr>
              <w:rPr>
                <w:rFonts w:cs="Arial"/>
              </w:rPr>
            </w:pPr>
          </w:p>
          <w:p w14:paraId="332C56B3" w14:textId="77777777" w:rsidR="00BE04BC" w:rsidRDefault="00BE04BC" w:rsidP="00443A3B">
            <w:pPr>
              <w:rPr>
                <w:rFonts w:cs="Arial"/>
              </w:rPr>
            </w:pPr>
            <w:r w:rsidRPr="00813945">
              <w:rPr>
                <w:rFonts w:cs="Arial"/>
              </w:rPr>
              <w:t xml:space="preserve">Singing agency in music learning, one’s belief in one’s own capacity to sing </w:t>
            </w:r>
            <w:proofErr w:type="gramStart"/>
            <w:r w:rsidRPr="00813945">
              <w:rPr>
                <w:rFonts w:cs="Arial"/>
              </w:rPr>
              <w:t>aloud</w:t>
            </w:r>
            <w:proofErr w:type="gramEnd"/>
          </w:p>
          <w:p w14:paraId="57BDBF33" w14:textId="482E4C27" w:rsidR="00ED7047" w:rsidRPr="000345CC" w:rsidRDefault="00ED7047" w:rsidP="00443A3B">
            <w:pPr>
              <w:rPr>
                <w:rFonts w:cs="Arial"/>
              </w:rPr>
            </w:pPr>
          </w:p>
        </w:tc>
        <w:tc>
          <w:tcPr>
            <w:tcW w:w="2061" w:type="dxa"/>
          </w:tcPr>
          <w:p w14:paraId="2D046323" w14:textId="77777777" w:rsidR="00ED7047" w:rsidRDefault="00ED7047" w:rsidP="00443A3B"/>
          <w:p w14:paraId="255CEA49" w14:textId="5536A929" w:rsidR="00BE04BC" w:rsidRDefault="00BE04BC" w:rsidP="00443A3B">
            <w:r>
              <w:t>Singing agency is self-belief in that skill</w:t>
            </w:r>
          </w:p>
        </w:tc>
        <w:tc>
          <w:tcPr>
            <w:tcW w:w="2316" w:type="dxa"/>
          </w:tcPr>
          <w:p w14:paraId="0EF9585C" w14:textId="77777777" w:rsidR="00ED7047" w:rsidRDefault="00ED7047" w:rsidP="00443A3B"/>
          <w:p w14:paraId="7894B56D" w14:textId="1C5BF601" w:rsidR="00BE04BC" w:rsidRDefault="00BE04BC" w:rsidP="00443A3B">
            <w:r>
              <w:t>Self-belief</w:t>
            </w:r>
          </w:p>
        </w:tc>
        <w:tc>
          <w:tcPr>
            <w:tcW w:w="1930" w:type="dxa"/>
          </w:tcPr>
          <w:p w14:paraId="6583A43A" w14:textId="77777777" w:rsidR="00ED7047" w:rsidRDefault="00ED7047" w:rsidP="00443A3B"/>
          <w:p w14:paraId="7C011EAA" w14:textId="0EBF8CA7" w:rsidR="00BE04BC" w:rsidRDefault="00BE04BC" w:rsidP="00443A3B">
            <w:r>
              <w:t>Beliefs</w:t>
            </w:r>
          </w:p>
        </w:tc>
      </w:tr>
      <w:tr w:rsidR="00BE04BC" w14:paraId="041771E1" w14:textId="77777777" w:rsidTr="00DC5121">
        <w:tc>
          <w:tcPr>
            <w:tcW w:w="2709" w:type="dxa"/>
          </w:tcPr>
          <w:p w14:paraId="6E9B41C2" w14:textId="77777777" w:rsidR="00ED7047" w:rsidRDefault="00ED7047" w:rsidP="00443A3B">
            <w:pPr>
              <w:rPr>
                <w:rFonts w:cs="Arial"/>
              </w:rPr>
            </w:pPr>
          </w:p>
          <w:p w14:paraId="3F593B6D" w14:textId="4706E566" w:rsidR="00BE04BC" w:rsidRPr="000345CC" w:rsidRDefault="00BE04BC" w:rsidP="00443A3B">
            <w:pPr>
              <w:rPr>
                <w:rFonts w:cs="Arial"/>
              </w:rPr>
            </w:pPr>
            <w:r w:rsidRPr="003E0777">
              <w:rPr>
                <w:rFonts w:cs="Arial"/>
              </w:rPr>
              <w:t>15 adults who self-identified as non-singers, provided understanding of experiences that they believed undermined their capacity for singing agency</w:t>
            </w:r>
          </w:p>
        </w:tc>
        <w:tc>
          <w:tcPr>
            <w:tcW w:w="2061" w:type="dxa"/>
          </w:tcPr>
          <w:p w14:paraId="6A4F845E" w14:textId="77777777" w:rsidR="00ED7047" w:rsidRDefault="00ED7047" w:rsidP="00443A3B"/>
          <w:p w14:paraId="5D499AC4" w14:textId="064042CE" w:rsidR="00BE04BC" w:rsidRDefault="00BE04BC" w:rsidP="00443A3B">
            <w:r>
              <w:t>Self-identification as non-singer</w:t>
            </w:r>
          </w:p>
          <w:p w14:paraId="6BC326B2" w14:textId="77777777" w:rsidR="00BE04BC" w:rsidRDefault="00BE04BC" w:rsidP="00443A3B"/>
          <w:p w14:paraId="38B05E2B" w14:textId="77777777" w:rsidR="00BE04BC" w:rsidRDefault="00BE04BC" w:rsidP="00443A3B">
            <w:r>
              <w:t xml:space="preserve">Self-identification may not be connected with singing ability in the view of </w:t>
            </w:r>
            <w:proofErr w:type="gramStart"/>
            <w:r>
              <w:t>others</w:t>
            </w:r>
            <w:proofErr w:type="gramEnd"/>
          </w:p>
          <w:p w14:paraId="611979DA" w14:textId="77777777" w:rsidR="00BE04BC" w:rsidRDefault="00BE04BC" w:rsidP="00443A3B"/>
          <w:p w14:paraId="29647F0E" w14:textId="77777777" w:rsidR="00BE04BC" w:rsidRDefault="00BE04BC" w:rsidP="00443A3B">
            <w:r>
              <w:t xml:space="preserve">Experience(s) caused their belief of lack of </w:t>
            </w:r>
            <w:proofErr w:type="gramStart"/>
            <w:r>
              <w:t>ability</w:t>
            </w:r>
            <w:proofErr w:type="gramEnd"/>
          </w:p>
          <w:p w14:paraId="0F6B1448" w14:textId="77777777" w:rsidR="00BE04BC" w:rsidRDefault="00BE04BC" w:rsidP="00443A3B"/>
          <w:p w14:paraId="19F5B99E" w14:textId="77777777" w:rsidR="00BE04BC" w:rsidRDefault="00BE04BC" w:rsidP="00443A3B">
            <w:r>
              <w:t xml:space="preserve">Experiences can undermine </w:t>
            </w:r>
            <w:proofErr w:type="gramStart"/>
            <w:r>
              <w:t>confidence</w:t>
            </w:r>
            <w:proofErr w:type="gramEnd"/>
          </w:p>
          <w:p w14:paraId="02DEA35E" w14:textId="77777777" w:rsidR="00BE04BC" w:rsidRDefault="00BE04BC" w:rsidP="00443A3B"/>
        </w:tc>
        <w:tc>
          <w:tcPr>
            <w:tcW w:w="2316" w:type="dxa"/>
          </w:tcPr>
          <w:p w14:paraId="1F68EF47" w14:textId="77777777" w:rsidR="00ED7047" w:rsidRDefault="00ED7047" w:rsidP="00443A3B"/>
          <w:p w14:paraId="322DECC5" w14:textId="0795F872" w:rsidR="00BE04BC" w:rsidRDefault="00BE04BC" w:rsidP="00443A3B">
            <w:r>
              <w:t>Self-identification</w:t>
            </w:r>
          </w:p>
          <w:p w14:paraId="26E10E13" w14:textId="77777777" w:rsidR="00BE04BC" w:rsidRDefault="00BE04BC" w:rsidP="00443A3B"/>
          <w:p w14:paraId="22E5A47A" w14:textId="77777777" w:rsidR="00BE04BC" w:rsidRDefault="00BE04BC" w:rsidP="00443A3B"/>
          <w:p w14:paraId="5EE3B14A" w14:textId="77777777" w:rsidR="00BE04BC" w:rsidRDefault="00BE04BC" w:rsidP="00443A3B">
            <w:r>
              <w:t>Self-assessment vs external assessment</w:t>
            </w:r>
          </w:p>
          <w:p w14:paraId="60153CF9" w14:textId="77777777" w:rsidR="00BE04BC" w:rsidRDefault="00BE04BC" w:rsidP="00443A3B"/>
          <w:p w14:paraId="31EEBB0A" w14:textId="77777777" w:rsidR="00934B07" w:rsidRDefault="00934B07" w:rsidP="00443A3B"/>
          <w:p w14:paraId="0947A46D" w14:textId="77777777" w:rsidR="00934B07" w:rsidRDefault="00934B07" w:rsidP="00443A3B"/>
          <w:p w14:paraId="4EF4E02D" w14:textId="77777777" w:rsidR="00934B07" w:rsidRDefault="00934B07" w:rsidP="00443A3B"/>
          <w:p w14:paraId="29D0F52C" w14:textId="1C7BA851" w:rsidR="00BE04BC" w:rsidRDefault="00BE04BC" w:rsidP="00443A3B">
            <w:proofErr w:type="gramStart"/>
            <w:r>
              <w:t>Past experience</w:t>
            </w:r>
            <w:proofErr w:type="gramEnd"/>
          </w:p>
          <w:p w14:paraId="505A7538" w14:textId="77777777" w:rsidR="00BE04BC" w:rsidRDefault="00BE04BC" w:rsidP="00443A3B">
            <w:r>
              <w:t>Wound</w:t>
            </w:r>
          </w:p>
          <w:p w14:paraId="394FD630" w14:textId="77777777" w:rsidR="00BE04BC" w:rsidRDefault="00BE04BC" w:rsidP="00443A3B"/>
          <w:p w14:paraId="40AE2363" w14:textId="77777777" w:rsidR="00934B07" w:rsidRDefault="00934B07" w:rsidP="00443A3B"/>
          <w:p w14:paraId="46D8B80B" w14:textId="2348F365" w:rsidR="00BE04BC" w:rsidRDefault="00BE04BC" w:rsidP="00443A3B">
            <w:r>
              <w:t>Confidence</w:t>
            </w:r>
          </w:p>
        </w:tc>
        <w:tc>
          <w:tcPr>
            <w:tcW w:w="1930" w:type="dxa"/>
          </w:tcPr>
          <w:p w14:paraId="6020DEE5" w14:textId="77777777" w:rsidR="00ED7047" w:rsidRDefault="00ED7047" w:rsidP="00443A3B"/>
          <w:p w14:paraId="03195837" w14:textId="17B043AC" w:rsidR="00BE04BC" w:rsidRDefault="00BE04BC" w:rsidP="00443A3B">
            <w:r>
              <w:t>Self-identification</w:t>
            </w:r>
          </w:p>
          <w:p w14:paraId="7E59DDC4" w14:textId="77777777" w:rsidR="00BE04BC" w:rsidRDefault="00BE04BC" w:rsidP="00443A3B"/>
          <w:p w14:paraId="589D935A" w14:textId="77777777" w:rsidR="00BE04BC" w:rsidRDefault="00BE04BC" w:rsidP="00443A3B"/>
          <w:p w14:paraId="302ACADF" w14:textId="77777777" w:rsidR="00BE04BC" w:rsidRDefault="00BE04BC" w:rsidP="00443A3B">
            <w:r>
              <w:t>Assessment</w:t>
            </w:r>
          </w:p>
          <w:p w14:paraId="74B5AB6B" w14:textId="77777777" w:rsidR="00BE04BC" w:rsidRDefault="00BE04BC" w:rsidP="00443A3B"/>
          <w:p w14:paraId="787E22FA" w14:textId="77777777" w:rsidR="00BE04BC" w:rsidRDefault="00BE04BC" w:rsidP="00443A3B"/>
          <w:p w14:paraId="04FB8791" w14:textId="77777777" w:rsidR="00934B07" w:rsidRDefault="00934B07" w:rsidP="00443A3B"/>
          <w:p w14:paraId="653C3F6E" w14:textId="77777777" w:rsidR="00934B07" w:rsidRDefault="00934B07" w:rsidP="00443A3B"/>
          <w:p w14:paraId="47981E44" w14:textId="77777777" w:rsidR="00934B07" w:rsidRDefault="00934B07" w:rsidP="00443A3B"/>
          <w:p w14:paraId="1A10BB72" w14:textId="535A3B0C" w:rsidR="00BE04BC" w:rsidRDefault="00BE04BC" w:rsidP="00443A3B">
            <w:r>
              <w:t>Experiences</w:t>
            </w:r>
          </w:p>
          <w:p w14:paraId="0EF3CA2D" w14:textId="77777777" w:rsidR="00BE04BC" w:rsidRDefault="00BE04BC" w:rsidP="00443A3B"/>
          <w:p w14:paraId="4338E5B0" w14:textId="77777777" w:rsidR="00934B07" w:rsidRDefault="00934B07" w:rsidP="00443A3B"/>
          <w:p w14:paraId="399FD7F2" w14:textId="77777777" w:rsidR="00BE04BC" w:rsidRDefault="00BE04BC" w:rsidP="00443A3B"/>
          <w:p w14:paraId="442C3036" w14:textId="77777777" w:rsidR="00BE04BC" w:rsidRDefault="00BE04BC" w:rsidP="00443A3B">
            <w:r>
              <w:t>Confidence</w:t>
            </w:r>
          </w:p>
          <w:p w14:paraId="6E426487" w14:textId="77777777" w:rsidR="00BE04BC" w:rsidRDefault="00BE04BC" w:rsidP="00443A3B"/>
        </w:tc>
      </w:tr>
      <w:tr w:rsidR="00BE04BC" w14:paraId="6A29EB5D" w14:textId="77777777" w:rsidTr="00DC5121">
        <w:tc>
          <w:tcPr>
            <w:tcW w:w="2709" w:type="dxa"/>
          </w:tcPr>
          <w:p w14:paraId="5E912BAF" w14:textId="77777777" w:rsidR="00ED7047" w:rsidRDefault="00ED7047" w:rsidP="00443A3B">
            <w:pPr>
              <w:rPr>
                <w:rFonts w:cs="Arial"/>
              </w:rPr>
            </w:pPr>
          </w:p>
          <w:p w14:paraId="4B97F2B1" w14:textId="77777777" w:rsidR="00BE04BC" w:rsidRDefault="00BE04BC" w:rsidP="00443A3B">
            <w:pPr>
              <w:rPr>
                <w:rFonts w:cs="Arial"/>
              </w:rPr>
            </w:pPr>
            <w:r w:rsidRPr="00C154B0">
              <w:rPr>
                <w:rFonts w:cs="Arial"/>
              </w:rPr>
              <w:t xml:space="preserve">Four initial themes emerged as participants described wounding incidents with resultant perceptions of deficit, disability, and </w:t>
            </w:r>
            <w:proofErr w:type="gramStart"/>
            <w:r w:rsidRPr="00C154B0">
              <w:rPr>
                <w:rFonts w:cs="Arial"/>
              </w:rPr>
              <w:t>shame</w:t>
            </w:r>
            <w:proofErr w:type="gramEnd"/>
          </w:p>
          <w:p w14:paraId="66D935C6" w14:textId="77777777" w:rsidR="00BD0EAA" w:rsidRDefault="00BD0EAA" w:rsidP="00443A3B">
            <w:pPr>
              <w:rPr>
                <w:rFonts w:cs="Arial"/>
              </w:rPr>
            </w:pPr>
          </w:p>
          <w:p w14:paraId="740002F7" w14:textId="77777777" w:rsidR="00BD0EAA" w:rsidRDefault="00BD0EAA" w:rsidP="00443A3B">
            <w:pPr>
              <w:rPr>
                <w:rFonts w:cs="Arial"/>
              </w:rPr>
            </w:pPr>
          </w:p>
          <w:p w14:paraId="79890B54" w14:textId="77777777" w:rsidR="00BD0EAA" w:rsidRDefault="00BD0EAA" w:rsidP="00443A3B">
            <w:pPr>
              <w:rPr>
                <w:rFonts w:cs="Arial"/>
              </w:rPr>
            </w:pPr>
          </w:p>
          <w:p w14:paraId="0C8ABB86" w14:textId="77777777" w:rsidR="00BD0EAA" w:rsidRDefault="00BD0EAA" w:rsidP="00443A3B">
            <w:pPr>
              <w:rPr>
                <w:rFonts w:cs="Arial"/>
              </w:rPr>
            </w:pPr>
          </w:p>
          <w:p w14:paraId="208FC9B6" w14:textId="77777777" w:rsidR="00BD0EAA" w:rsidRDefault="00BD0EAA" w:rsidP="00443A3B">
            <w:pPr>
              <w:rPr>
                <w:rFonts w:cs="Arial"/>
              </w:rPr>
            </w:pPr>
          </w:p>
          <w:p w14:paraId="17DD33E7" w14:textId="77777777" w:rsidR="00BD0EAA" w:rsidRDefault="00BD0EAA" w:rsidP="00443A3B">
            <w:pPr>
              <w:rPr>
                <w:rFonts w:cs="Arial"/>
              </w:rPr>
            </w:pPr>
          </w:p>
          <w:p w14:paraId="228AA3B9" w14:textId="77777777" w:rsidR="00BD0EAA" w:rsidRDefault="00BD0EAA" w:rsidP="00443A3B">
            <w:pPr>
              <w:rPr>
                <w:rFonts w:cs="Arial"/>
              </w:rPr>
            </w:pPr>
          </w:p>
          <w:p w14:paraId="12786855" w14:textId="473A04F6" w:rsidR="00BD0EAA" w:rsidRPr="000345CC" w:rsidRDefault="00BD0EAA" w:rsidP="00443A3B">
            <w:pPr>
              <w:rPr>
                <w:rFonts w:cs="Arial"/>
              </w:rPr>
            </w:pPr>
          </w:p>
        </w:tc>
        <w:tc>
          <w:tcPr>
            <w:tcW w:w="2061" w:type="dxa"/>
          </w:tcPr>
          <w:p w14:paraId="274C4E77" w14:textId="77777777" w:rsidR="007A2D45" w:rsidRDefault="007A2D45" w:rsidP="00443A3B"/>
          <w:p w14:paraId="30474312" w14:textId="5CC90832" w:rsidR="00BE04BC" w:rsidRDefault="00BE04BC" w:rsidP="00443A3B">
            <w:r>
              <w:t>Experiencing feedback which wounded caused negative self-</w:t>
            </w:r>
            <w:proofErr w:type="gramStart"/>
            <w:r>
              <w:t>perceptions</w:t>
            </w:r>
            <w:proofErr w:type="gramEnd"/>
          </w:p>
          <w:p w14:paraId="116626AB" w14:textId="77777777" w:rsidR="007A2D45" w:rsidRDefault="007A2D45" w:rsidP="00443A3B"/>
          <w:p w14:paraId="17922603" w14:textId="77777777" w:rsidR="007A2D45" w:rsidRDefault="007A2D45" w:rsidP="00443A3B"/>
          <w:p w14:paraId="38E4DA3D" w14:textId="77777777" w:rsidR="00BE04BC" w:rsidRDefault="00BE04BC" w:rsidP="00443A3B"/>
          <w:p w14:paraId="3E9521B0" w14:textId="77777777" w:rsidR="00BE04BC" w:rsidRPr="000511BF" w:rsidRDefault="00BE04BC" w:rsidP="00443A3B">
            <w:pPr>
              <w:rPr>
                <w:i/>
                <w:iCs/>
              </w:rPr>
            </w:pPr>
            <w:r w:rsidRPr="000511BF">
              <w:rPr>
                <w:i/>
                <w:iCs/>
              </w:rPr>
              <w:t>What effect do these perceptions have on singing?</w:t>
            </w:r>
          </w:p>
        </w:tc>
        <w:tc>
          <w:tcPr>
            <w:tcW w:w="2316" w:type="dxa"/>
          </w:tcPr>
          <w:p w14:paraId="49CE5C2B" w14:textId="77777777" w:rsidR="00ED7047" w:rsidRDefault="00ED7047" w:rsidP="00443A3B"/>
          <w:p w14:paraId="7A3A3A5F" w14:textId="0245C620" w:rsidR="00BE04BC" w:rsidRDefault="00BE04BC" w:rsidP="00443A3B">
            <w:r>
              <w:t>Wounding feedback</w:t>
            </w:r>
          </w:p>
          <w:p w14:paraId="26DE3BC2" w14:textId="77777777" w:rsidR="00BE04BC" w:rsidRDefault="00BE04BC" w:rsidP="00443A3B"/>
          <w:p w14:paraId="36A75506" w14:textId="77777777" w:rsidR="00BE04BC" w:rsidRDefault="00BE04BC" w:rsidP="00443A3B">
            <w:r>
              <w:t>Negative self-perception</w:t>
            </w:r>
          </w:p>
          <w:p w14:paraId="4C758EF6" w14:textId="77777777" w:rsidR="00BE04BC" w:rsidRDefault="00BE04BC" w:rsidP="00443A3B"/>
          <w:p w14:paraId="54FA4DA8" w14:textId="77777777" w:rsidR="00BE04BC" w:rsidRDefault="00BE04BC" w:rsidP="00443A3B">
            <w:r>
              <w:t>Self-perceptions-influence on singing</w:t>
            </w:r>
          </w:p>
        </w:tc>
        <w:tc>
          <w:tcPr>
            <w:tcW w:w="1930" w:type="dxa"/>
          </w:tcPr>
          <w:p w14:paraId="3DB10400" w14:textId="77777777" w:rsidR="00ED7047" w:rsidRDefault="00ED7047" w:rsidP="00443A3B"/>
          <w:p w14:paraId="2181FB27" w14:textId="0CB2AD5A" w:rsidR="00BE04BC" w:rsidRDefault="00BE04BC" w:rsidP="00443A3B">
            <w:r>
              <w:t>Wound</w:t>
            </w:r>
          </w:p>
          <w:p w14:paraId="128CC7D6" w14:textId="77777777" w:rsidR="00BE04BC" w:rsidRDefault="00BE04BC" w:rsidP="00443A3B"/>
          <w:p w14:paraId="3DDB06DA" w14:textId="77777777" w:rsidR="00BE04BC" w:rsidRDefault="00BE04BC" w:rsidP="00443A3B">
            <w:r>
              <w:t>Perceptions</w:t>
            </w:r>
          </w:p>
          <w:p w14:paraId="16A2B62F" w14:textId="77777777" w:rsidR="00BE04BC" w:rsidRDefault="00BE04BC" w:rsidP="00443A3B"/>
          <w:p w14:paraId="7B33EC82" w14:textId="77777777" w:rsidR="00BE04BC" w:rsidRDefault="00BE04BC" w:rsidP="00443A3B"/>
          <w:p w14:paraId="1205235A" w14:textId="77777777" w:rsidR="00BE04BC" w:rsidRDefault="00BE04BC" w:rsidP="00443A3B">
            <w:r>
              <w:t>perceptions</w:t>
            </w:r>
          </w:p>
        </w:tc>
      </w:tr>
      <w:tr w:rsidR="00BE04BC" w14:paraId="32DF19E8" w14:textId="77777777" w:rsidTr="00DC5121">
        <w:tc>
          <w:tcPr>
            <w:tcW w:w="2709" w:type="dxa"/>
          </w:tcPr>
          <w:p w14:paraId="18D495CF" w14:textId="77777777" w:rsidR="00BD0EAA" w:rsidRDefault="00BD0EAA" w:rsidP="00443A3B"/>
          <w:p w14:paraId="65374D69" w14:textId="1C1CD2ED" w:rsidR="00BE04BC" w:rsidRDefault="00BE04BC" w:rsidP="00443A3B">
            <w:r w:rsidRPr="00C651B9">
              <w:t>The purpose of the current study is to contribute to this conversation by seeking insight into experiences of adults who expressed personal discomfort with singing, either alone or when others might hear them.</w:t>
            </w:r>
          </w:p>
        </w:tc>
        <w:tc>
          <w:tcPr>
            <w:tcW w:w="2061" w:type="dxa"/>
          </w:tcPr>
          <w:p w14:paraId="12487EC6" w14:textId="77777777" w:rsidR="00BD0EAA" w:rsidRDefault="00BD0EAA" w:rsidP="00443A3B"/>
          <w:p w14:paraId="15A1B44D" w14:textId="2E83D328" w:rsidR="00BE04BC" w:rsidRDefault="00BE04BC" w:rsidP="00443A3B">
            <w:r>
              <w:t xml:space="preserve">Some participants may always feel discomfort when </w:t>
            </w:r>
            <w:r w:rsidR="007A2D45">
              <w:t>singing.</w:t>
            </w:r>
          </w:p>
          <w:p w14:paraId="778EAAD0" w14:textId="77777777" w:rsidR="00BE04BC" w:rsidRDefault="00BE04BC" w:rsidP="00443A3B"/>
          <w:p w14:paraId="373BDA49" w14:textId="166FEC74" w:rsidR="00BE04BC" w:rsidRDefault="00BE04BC" w:rsidP="00443A3B">
            <w:r>
              <w:t xml:space="preserve">Some participants may only feel discomfort when singing in the presence of </w:t>
            </w:r>
            <w:r w:rsidR="007A2D45">
              <w:t>others.</w:t>
            </w:r>
          </w:p>
          <w:p w14:paraId="796AF599" w14:textId="3E131A2B" w:rsidR="00BE04BC" w:rsidRDefault="007A2D45" w:rsidP="00BE04BC">
            <w:r>
              <w:rPr>
                <w:i/>
                <w:iCs/>
              </w:rPr>
              <w:t>P</w:t>
            </w:r>
            <w:r w:rsidR="009D5935">
              <w:rPr>
                <w:i/>
                <w:iCs/>
              </w:rPr>
              <w:t>erceived</w:t>
            </w:r>
            <w:r w:rsidR="00BE04BC">
              <w:rPr>
                <w:i/>
                <w:iCs/>
              </w:rPr>
              <w:t xml:space="preserve"> judgement?</w:t>
            </w:r>
          </w:p>
        </w:tc>
        <w:tc>
          <w:tcPr>
            <w:tcW w:w="2316" w:type="dxa"/>
          </w:tcPr>
          <w:p w14:paraId="27776257" w14:textId="77777777" w:rsidR="00BD0EAA" w:rsidRDefault="00BD0EAA" w:rsidP="00443A3B"/>
          <w:p w14:paraId="175CDBFB" w14:textId="02343239" w:rsidR="00BE04BC" w:rsidRDefault="00BE04BC" w:rsidP="00443A3B">
            <w:r>
              <w:t xml:space="preserve">Emotional discomfort </w:t>
            </w:r>
          </w:p>
          <w:p w14:paraId="606FE727" w14:textId="77777777" w:rsidR="00BE04BC" w:rsidRDefault="00BE04BC" w:rsidP="00443A3B"/>
          <w:p w14:paraId="40039B22" w14:textId="77777777" w:rsidR="00BE04BC" w:rsidRDefault="00BE04BC" w:rsidP="00443A3B"/>
          <w:p w14:paraId="64C85F8E" w14:textId="77777777" w:rsidR="007A2D45" w:rsidRDefault="007A2D45" w:rsidP="00443A3B"/>
          <w:p w14:paraId="7B3754BA" w14:textId="77777777" w:rsidR="007A2D45" w:rsidRDefault="007A2D45" w:rsidP="00443A3B"/>
          <w:p w14:paraId="65634AA1" w14:textId="77777777" w:rsidR="00BE04BC" w:rsidRDefault="00BE04BC" w:rsidP="00443A3B">
            <w:r>
              <w:t>Perceived judgement</w:t>
            </w:r>
          </w:p>
          <w:p w14:paraId="2D32F62E" w14:textId="77777777" w:rsidR="00BE04BC" w:rsidRDefault="00BE04BC" w:rsidP="00443A3B"/>
          <w:p w14:paraId="171B0793" w14:textId="77777777" w:rsidR="00BE04BC" w:rsidRDefault="00BE04BC" w:rsidP="00443A3B">
            <w:r>
              <w:t>Judgement</w:t>
            </w:r>
          </w:p>
        </w:tc>
        <w:tc>
          <w:tcPr>
            <w:tcW w:w="1930" w:type="dxa"/>
          </w:tcPr>
          <w:p w14:paraId="071CE050" w14:textId="77777777" w:rsidR="00BD0EAA" w:rsidRDefault="00BD0EAA" w:rsidP="00443A3B"/>
          <w:p w14:paraId="02FE431C" w14:textId="2A046ED6" w:rsidR="00BE04BC" w:rsidRDefault="00BE04BC" w:rsidP="00443A3B">
            <w:r>
              <w:t>Emotions</w:t>
            </w:r>
          </w:p>
          <w:p w14:paraId="6F613F31" w14:textId="77777777" w:rsidR="00BE04BC" w:rsidRDefault="00BE04BC" w:rsidP="00443A3B"/>
          <w:p w14:paraId="4D6FF63A" w14:textId="77777777" w:rsidR="007A2D45" w:rsidRDefault="007A2D45" w:rsidP="00443A3B"/>
          <w:p w14:paraId="26A885ED" w14:textId="77777777" w:rsidR="007A2D45" w:rsidRDefault="007A2D45" w:rsidP="00443A3B"/>
          <w:p w14:paraId="00C23996" w14:textId="77777777" w:rsidR="00BE04BC" w:rsidRDefault="00BE04BC" w:rsidP="00443A3B"/>
          <w:p w14:paraId="3627E092" w14:textId="77777777" w:rsidR="00BE04BC" w:rsidRDefault="00BE04BC" w:rsidP="00443A3B">
            <w:r>
              <w:t>judgement</w:t>
            </w:r>
          </w:p>
        </w:tc>
      </w:tr>
    </w:tbl>
    <w:p w14:paraId="121D1F13" w14:textId="16F65D2C" w:rsidR="00BD0EAA" w:rsidRDefault="00BD0EAA">
      <w:pPr>
        <w:rPr>
          <w:rFonts w:ascii="Arial" w:hAnsi="Arial" w:cs="Arial"/>
          <w:b/>
          <w:color w:val="000000"/>
          <w:sz w:val="24"/>
          <w:szCs w:val="24"/>
        </w:rPr>
      </w:pPr>
      <w:r>
        <w:rPr>
          <w:rFonts w:ascii="Arial" w:hAnsi="Arial" w:cs="Arial"/>
          <w:b/>
          <w:color w:val="000000"/>
          <w:sz w:val="24"/>
          <w:szCs w:val="24"/>
        </w:rPr>
        <w:br w:type="page"/>
      </w:r>
    </w:p>
    <w:p w14:paraId="23963D7C" w14:textId="3BB7B810" w:rsidR="00DC5121" w:rsidRDefault="00DC5121" w:rsidP="00BC73F8">
      <w:pPr>
        <w:jc w:val="both"/>
        <w:rPr>
          <w:rFonts w:ascii="Arial" w:hAnsi="Arial" w:cs="Arial"/>
          <w:b/>
          <w:color w:val="000000"/>
          <w:sz w:val="24"/>
          <w:szCs w:val="24"/>
        </w:rPr>
      </w:pPr>
      <w:r w:rsidRPr="00797004">
        <w:rPr>
          <w:rFonts w:ascii="Arial" w:hAnsi="Arial" w:cs="Arial"/>
          <w:b/>
          <w:color w:val="000000"/>
          <w:sz w:val="24"/>
          <w:szCs w:val="24"/>
        </w:rPr>
        <w:lastRenderedPageBreak/>
        <w:t xml:space="preserve">Appendix </w:t>
      </w:r>
      <w:r>
        <w:rPr>
          <w:rFonts w:ascii="Arial" w:hAnsi="Arial" w:cs="Arial"/>
          <w:b/>
          <w:color w:val="000000"/>
          <w:sz w:val="24"/>
          <w:szCs w:val="24"/>
        </w:rPr>
        <w:t>4</w:t>
      </w:r>
      <w:r w:rsidRPr="00797004">
        <w:rPr>
          <w:rFonts w:ascii="Arial" w:hAnsi="Arial" w:cs="Arial"/>
          <w:b/>
          <w:color w:val="000000"/>
          <w:sz w:val="24"/>
          <w:szCs w:val="24"/>
        </w:rPr>
        <w:t>:</w:t>
      </w:r>
      <w:r w:rsidR="00162E7B">
        <w:rPr>
          <w:rFonts w:ascii="Arial" w:hAnsi="Arial" w:cs="Arial"/>
          <w:b/>
          <w:color w:val="000000"/>
          <w:sz w:val="24"/>
          <w:szCs w:val="24"/>
        </w:rPr>
        <w:t xml:space="preserve"> Example of thematic analysis reflective notes</w:t>
      </w:r>
    </w:p>
    <w:tbl>
      <w:tblPr>
        <w:tblStyle w:val="TableGrid"/>
        <w:tblW w:w="0" w:type="auto"/>
        <w:tblLook w:val="04A0" w:firstRow="1" w:lastRow="0" w:firstColumn="1" w:lastColumn="0" w:noHBand="0" w:noVBand="1"/>
      </w:tblPr>
      <w:tblGrid>
        <w:gridCol w:w="2405"/>
        <w:gridCol w:w="6611"/>
      </w:tblGrid>
      <w:tr w:rsidR="00EF4ADD" w14:paraId="4F96D121" w14:textId="77777777" w:rsidTr="00443A3B">
        <w:tc>
          <w:tcPr>
            <w:tcW w:w="9016" w:type="dxa"/>
            <w:gridSpan w:val="2"/>
          </w:tcPr>
          <w:p w14:paraId="1D6F3D7E" w14:textId="77777777" w:rsidR="00EF4ADD" w:rsidRPr="007E1926" w:rsidRDefault="00EF4ADD" w:rsidP="00443A3B">
            <w:pPr>
              <w:spacing w:line="360" w:lineRule="auto"/>
            </w:pPr>
            <w:r>
              <w:rPr>
                <w:b/>
                <w:bCs/>
              </w:rPr>
              <w:t xml:space="preserve">Dates: 10/11/2022, </w:t>
            </w:r>
          </w:p>
        </w:tc>
      </w:tr>
      <w:tr w:rsidR="00EF4ADD" w14:paraId="13CAF2AE" w14:textId="77777777" w:rsidTr="00443A3B">
        <w:tc>
          <w:tcPr>
            <w:tcW w:w="9016" w:type="dxa"/>
            <w:gridSpan w:val="2"/>
          </w:tcPr>
          <w:p w14:paraId="67E1CE54" w14:textId="77777777" w:rsidR="00EF4ADD" w:rsidRDefault="00EF4ADD" w:rsidP="00443A3B">
            <w:pPr>
              <w:spacing w:line="360" w:lineRule="auto"/>
              <w:rPr>
                <w:b/>
                <w:bCs/>
              </w:rPr>
            </w:pPr>
            <w:r>
              <w:rPr>
                <w:b/>
                <w:bCs/>
              </w:rPr>
              <w:t xml:space="preserve">Data source: </w:t>
            </w:r>
            <w:r w:rsidRPr="00AE5F04">
              <w:t>TSD library - Research Studies in Music Education 2021, Vol. 43(2) 179 –194 SAGE</w:t>
            </w:r>
          </w:p>
          <w:p w14:paraId="5CB56992" w14:textId="77777777" w:rsidR="00EF4ADD" w:rsidRDefault="00EF4ADD" w:rsidP="00443A3B">
            <w:pPr>
              <w:spacing w:line="360" w:lineRule="auto"/>
              <w:rPr>
                <w:b/>
                <w:bCs/>
              </w:rPr>
            </w:pPr>
            <w:r>
              <w:rPr>
                <w:b/>
                <w:bCs/>
              </w:rPr>
              <w:t xml:space="preserve">Title: </w:t>
            </w:r>
            <w:r w:rsidRPr="006A6140">
              <w:t>Fostering singing agency through emotional differentiation in an inclusive singing environment</w:t>
            </w:r>
            <w:r>
              <w:t xml:space="preserve"> (</w:t>
            </w:r>
            <w:r w:rsidRPr="00F2760F">
              <w:t>Hogle</w:t>
            </w:r>
            <w:r>
              <w:t xml:space="preserve">, </w:t>
            </w:r>
            <w:r w:rsidRPr="00F2760F">
              <w:t>2021</w:t>
            </w:r>
            <w:r>
              <w:t>)</w:t>
            </w:r>
            <w:r>
              <w:rPr>
                <w:b/>
                <w:bCs/>
              </w:rPr>
              <w:t xml:space="preserve"> </w:t>
            </w:r>
          </w:p>
          <w:p w14:paraId="369FE5F3" w14:textId="77777777" w:rsidR="00EF4ADD" w:rsidRDefault="00EF4ADD" w:rsidP="00443A3B">
            <w:pPr>
              <w:spacing w:line="360" w:lineRule="auto"/>
              <w:rPr>
                <w:b/>
                <w:bCs/>
              </w:rPr>
            </w:pPr>
          </w:p>
          <w:p w14:paraId="2F4561F0" w14:textId="77777777" w:rsidR="00EF4ADD" w:rsidRPr="00DD2D03" w:rsidRDefault="00EF4ADD" w:rsidP="00443A3B">
            <w:pPr>
              <w:spacing w:line="360" w:lineRule="auto"/>
              <w:rPr>
                <w:b/>
                <w:bCs/>
              </w:rPr>
            </w:pPr>
            <w:r w:rsidRPr="00DD2D03">
              <w:rPr>
                <w:b/>
                <w:bCs/>
              </w:rPr>
              <w:t>Inclusion score:</w:t>
            </w:r>
            <w:r>
              <w:rPr>
                <w:b/>
                <w:bCs/>
              </w:rPr>
              <w:t xml:space="preserve"> 7</w:t>
            </w:r>
          </w:p>
        </w:tc>
      </w:tr>
      <w:tr w:rsidR="00EF4ADD" w14:paraId="74CC81BA" w14:textId="77777777" w:rsidTr="00443A3B">
        <w:tc>
          <w:tcPr>
            <w:tcW w:w="2405" w:type="dxa"/>
          </w:tcPr>
          <w:p w14:paraId="6BCCC36B" w14:textId="77777777" w:rsidR="00EF4ADD" w:rsidRDefault="00EF4ADD" w:rsidP="00443A3B">
            <w:pPr>
              <w:spacing w:line="360" w:lineRule="auto"/>
              <w:rPr>
                <w:b/>
                <w:bCs/>
              </w:rPr>
            </w:pPr>
            <w:r>
              <w:rPr>
                <w:b/>
                <w:bCs/>
              </w:rPr>
              <w:t>Personal interaction with the phenomenon</w:t>
            </w:r>
          </w:p>
        </w:tc>
        <w:tc>
          <w:tcPr>
            <w:tcW w:w="6611" w:type="dxa"/>
          </w:tcPr>
          <w:p w14:paraId="2971C148" w14:textId="77777777" w:rsidR="00EF4ADD" w:rsidRDefault="00EF4ADD" w:rsidP="00443A3B">
            <w:pPr>
              <w:spacing w:line="360" w:lineRule="auto"/>
            </w:pPr>
            <w:r>
              <w:t>Sadness that people have carried negative feelings about their voices when they could have had positive experiences.</w:t>
            </w:r>
          </w:p>
          <w:p w14:paraId="0C109FBB" w14:textId="77777777" w:rsidR="00EF4ADD" w:rsidRPr="007E1926" w:rsidRDefault="00EF4ADD" w:rsidP="00443A3B">
            <w:pPr>
              <w:spacing w:line="360" w:lineRule="auto"/>
            </w:pPr>
          </w:p>
        </w:tc>
      </w:tr>
      <w:tr w:rsidR="00EF4ADD" w14:paraId="1FD64483" w14:textId="77777777" w:rsidTr="00443A3B">
        <w:tc>
          <w:tcPr>
            <w:tcW w:w="2405" w:type="dxa"/>
          </w:tcPr>
          <w:p w14:paraId="6499B0A2" w14:textId="77777777" w:rsidR="00EF4ADD" w:rsidRDefault="00EF4ADD" w:rsidP="00443A3B">
            <w:pPr>
              <w:spacing w:line="360" w:lineRule="auto"/>
              <w:rPr>
                <w:b/>
                <w:bCs/>
              </w:rPr>
            </w:pPr>
            <w:r>
              <w:rPr>
                <w:b/>
                <w:bCs/>
              </w:rPr>
              <w:t>Code choices and operational definitions</w:t>
            </w:r>
          </w:p>
        </w:tc>
        <w:tc>
          <w:tcPr>
            <w:tcW w:w="6611" w:type="dxa"/>
          </w:tcPr>
          <w:p w14:paraId="771A1EA0" w14:textId="77777777" w:rsidR="00EF4ADD" w:rsidRDefault="00EF4ADD" w:rsidP="00443A3B">
            <w:pPr>
              <w:spacing w:line="360" w:lineRule="auto"/>
            </w:pPr>
            <w:r w:rsidRPr="00992670">
              <w:t>See theme tracker</w:t>
            </w:r>
            <w:r>
              <w:t>.</w:t>
            </w:r>
          </w:p>
          <w:p w14:paraId="4015CFEB" w14:textId="77777777" w:rsidR="00EF4ADD" w:rsidRPr="00992670" w:rsidRDefault="00EF4ADD" w:rsidP="00443A3B">
            <w:pPr>
              <w:spacing w:line="360" w:lineRule="auto"/>
            </w:pPr>
            <w:r>
              <w:t>Codes evolved from descriptions and have not yet been fully collapsed to remove overlap of meaning.</w:t>
            </w:r>
          </w:p>
        </w:tc>
      </w:tr>
      <w:tr w:rsidR="00EF4ADD" w14:paraId="2812F0EF" w14:textId="77777777" w:rsidTr="00443A3B">
        <w:tc>
          <w:tcPr>
            <w:tcW w:w="2405" w:type="dxa"/>
          </w:tcPr>
          <w:p w14:paraId="7A0F1CC5" w14:textId="77777777" w:rsidR="00EF4ADD" w:rsidRDefault="00EF4ADD" w:rsidP="00443A3B">
            <w:pPr>
              <w:spacing w:line="360" w:lineRule="auto"/>
              <w:rPr>
                <w:b/>
                <w:bCs/>
              </w:rPr>
            </w:pPr>
            <w:r>
              <w:rPr>
                <w:b/>
                <w:bCs/>
              </w:rPr>
              <w:t>Emergent patterns, categories, themes, concepts, and assertations</w:t>
            </w:r>
          </w:p>
        </w:tc>
        <w:tc>
          <w:tcPr>
            <w:tcW w:w="6611" w:type="dxa"/>
          </w:tcPr>
          <w:p w14:paraId="30CFA0D6" w14:textId="77777777" w:rsidR="00EF4ADD" w:rsidRDefault="00EF4ADD" w:rsidP="00443A3B">
            <w:pPr>
              <w:spacing w:line="360" w:lineRule="auto"/>
            </w:pPr>
            <w:r w:rsidRPr="001B59A9">
              <w:rPr>
                <w:i/>
                <w:iCs/>
              </w:rPr>
              <w:t>Self-identification</w:t>
            </w:r>
            <w:r>
              <w:t xml:space="preserve"> connected with lack of singing </w:t>
            </w:r>
            <w:proofErr w:type="gramStart"/>
            <w:r>
              <w:t>agency</w:t>
            </w:r>
            <w:proofErr w:type="gramEnd"/>
            <w:r>
              <w:t xml:space="preserve"> </w:t>
            </w:r>
          </w:p>
          <w:p w14:paraId="285A018B" w14:textId="77777777" w:rsidR="00EF4ADD" w:rsidRDefault="00EF4ADD" w:rsidP="00443A3B">
            <w:pPr>
              <w:spacing w:line="360" w:lineRule="auto"/>
            </w:pPr>
            <w:r w:rsidRPr="001B59A9">
              <w:rPr>
                <w:i/>
                <w:iCs/>
              </w:rPr>
              <w:t>Experiences (negative)</w:t>
            </w:r>
            <w:r>
              <w:t xml:space="preserve"> caused the lack of singing </w:t>
            </w:r>
            <w:proofErr w:type="gramStart"/>
            <w:r>
              <w:t>agency</w:t>
            </w:r>
            <w:proofErr w:type="gramEnd"/>
          </w:p>
          <w:p w14:paraId="1FF9F622" w14:textId="77777777" w:rsidR="00EF4ADD" w:rsidRDefault="00EF4ADD" w:rsidP="00443A3B">
            <w:pPr>
              <w:spacing w:line="360" w:lineRule="auto"/>
            </w:pPr>
            <w:r>
              <w:t>Wounding and pain at root of lack of agency</w:t>
            </w:r>
          </w:p>
          <w:p w14:paraId="53643883" w14:textId="4C0B9395" w:rsidR="00EF4ADD" w:rsidRDefault="009D5935" w:rsidP="00443A3B">
            <w:pPr>
              <w:spacing w:line="360" w:lineRule="auto"/>
            </w:pPr>
            <w:r>
              <w:t>Hogle</w:t>
            </w:r>
            <w:r w:rsidR="00EF4ADD">
              <w:t xml:space="preserve"> 2021 labelled </w:t>
            </w:r>
            <w:r w:rsidR="00EF4ADD" w:rsidRPr="00FD781C">
              <w:t xml:space="preserve">theme as </w:t>
            </w:r>
            <w:r w:rsidR="00EF4ADD">
              <w:t>‘</w:t>
            </w:r>
            <w:r w:rsidR="00EF4ADD" w:rsidRPr="00FD781C">
              <w:t>wounding produces deficit, disability, shame.</w:t>
            </w:r>
            <w:r w:rsidR="00EF4ADD">
              <w:t>’</w:t>
            </w:r>
          </w:p>
          <w:p w14:paraId="46D8E257" w14:textId="77777777" w:rsidR="00EF4ADD" w:rsidRDefault="00EF4ADD" w:rsidP="00443A3B">
            <w:pPr>
              <w:spacing w:line="360" w:lineRule="auto"/>
            </w:pPr>
            <w:r>
              <w:t xml:space="preserve">Singing agency connected to </w:t>
            </w:r>
            <w:proofErr w:type="gramStart"/>
            <w:r>
              <w:t>emotions</w:t>
            </w:r>
            <w:proofErr w:type="gramEnd"/>
          </w:p>
          <w:p w14:paraId="096FFAE7" w14:textId="77777777" w:rsidR="00EF4ADD" w:rsidRDefault="00EF4ADD" w:rsidP="00443A3B">
            <w:pPr>
              <w:spacing w:line="360" w:lineRule="auto"/>
            </w:pPr>
            <w:r>
              <w:t xml:space="preserve">Singing agency connected to socio-contextual </w:t>
            </w:r>
            <w:proofErr w:type="gramStart"/>
            <w:r>
              <w:t>environment</w:t>
            </w:r>
            <w:proofErr w:type="gramEnd"/>
          </w:p>
          <w:p w14:paraId="27F9147C" w14:textId="77777777" w:rsidR="00EF4ADD" w:rsidRDefault="00EF4ADD" w:rsidP="00443A3B">
            <w:pPr>
              <w:spacing w:line="360" w:lineRule="auto"/>
            </w:pPr>
            <w:r>
              <w:t>Relationship between voice and self</w:t>
            </w:r>
          </w:p>
          <w:p w14:paraId="1993A51A" w14:textId="77777777" w:rsidR="00EF4ADD" w:rsidRDefault="00EF4ADD" w:rsidP="00443A3B">
            <w:pPr>
              <w:spacing w:line="360" w:lineRule="auto"/>
              <w:rPr>
                <w:i/>
                <w:iCs/>
              </w:rPr>
            </w:pPr>
            <w:r w:rsidRPr="001B59A9">
              <w:rPr>
                <w:i/>
                <w:iCs/>
              </w:rPr>
              <w:t>Perceived judgement</w:t>
            </w:r>
          </w:p>
          <w:p w14:paraId="503197EF" w14:textId="77777777" w:rsidR="00EF4ADD" w:rsidRDefault="00EF4ADD" w:rsidP="00443A3B">
            <w:pPr>
              <w:spacing w:line="360" w:lineRule="auto"/>
            </w:pPr>
            <w:r>
              <w:t xml:space="preserve">Perceived obstacles to singing </w:t>
            </w:r>
            <w:proofErr w:type="gramStart"/>
            <w:r>
              <w:t>agency</w:t>
            </w:r>
            <w:proofErr w:type="gramEnd"/>
          </w:p>
          <w:p w14:paraId="199E7C3A" w14:textId="77777777" w:rsidR="00EF4ADD" w:rsidRDefault="00EF4ADD" w:rsidP="00443A3B">
            <w:pPr>
              <w:spacing w:line="360" w:lineRule="auto"/>
            </w:pPr>
            <w:r>
              <w:t>Comparison to a perceived standard</w:t>
            </w:r>
          </w:p>
          <w:p w14:paraId="70106CB9" w14:textId="77777777" w:rsidR="00EF4ADD" w:rsidRDefault="00EF4ADD" w:rsidP="00443A3B">
            <w:pPr>
              <w:spacing w:line="360" w:lineRule="auto"/>
            </w:pPr>
            <w:r>
              <w:t xml:space="preserve">Comparison leading to wanting to hide their </w:t>
            </w:r>
            <w:proofErr w:type="gramStart"/>
            <w:r>
              <w:t>singing</w:t>
            </w:r>
            <w:proofErr w:type="gramEnd"/>
          </w:p>
          <w:p w14:paraId="4127E321" w14:textId="7C384CA9" w:rsidR="00EF4ADD" w:rsidRDefault="00EF4ADD" w:rsidP="00443A3B">
            <w:pPr>
              <w:spacing w:line="360" w:lineRule="auto"/>
            </w:pPr>
            <w:r>
              <w:t>Comparison and no language used show</w:t>
            </w:r>
            <w:r w:rsidR="009D5935">
              <w:t>s</w:t>
            </w:r>
            <w:r>
              <w:t xml:space="preserve"> perception that abilities can change/ </w:t>
            </w:r>
            <w:proofErr w:type="gramStart"/>
            <w:r>
              <w:t>develop</w:t>
            </w:r>
            <w:proofErr w:type="gramEnd"/>
          </w:p>
          <w:p w14:paraId="32412E73" w14:textId="77777777" w:rsidR="00EF4ADD" w:rsidRDefault="00EF4ADD" w:rsidP="00443A3B">
            <w:pPr>
              <w:spacing w:line="360" w:lineRule="auto"/>
              <w:rPr>
                <w:i/>
                <w:iCs/>
              </w:rPr>
            </w:pPr>
          </w:p>
          <w:p w14:paraId="099FB3DE" w14:textId="77777777" w:rsidR="00EF4ADD" w:rsidRDefault="00EF4ADD" w:rsidP="00443A3B">
            <w:pPr>
              <w:spacing w:line="360" w:lineRule="auto"/>
            </w:pPr>
            <w:r>
              <w:t xml:space="preserve">Non-singers’ belief that singing ability is </w:t>
            </w:r>
            <w:proofErr w:type="gramStart"/>
            <w:r>
              <w:t>inborn</w:t>
            </w:r>
            <w:proofErr w:type="gramEnd"/>
          </w:p>
          <w:p w14:paraId="4EC40711" w14:textId="77777777" w:rsidR="00EF4ADD" w:rsidRDefault="00EF4ADD" w:rsidP="00443A3B">
            <w:pPr>
              <w:spacing w:line="360" w:lineRule="auto"/>
            </w:pPr>
            <w:r>
              <w:t xml:space="preserve">Belief connection with ability to </w:t>
            </w:r>
            <w:proofErr w:type="gramStart"/>
            <w:r>
              <w:t>develop</w:t>
            </w:r>
            <w:proofErr w:type="gramEnd"/>
          </w:p>
          <w:p w14:paraId="514FF296" w14:textId="77777777" w:rsidR="00EF4ADD" w:rsidRDefault="00EF4ADD" w:rsidP="00443A3B">
            <w:pPr>
              <w:spacing w:line="360" w:lineRule="auto"/>
            </w:pPr>
            <w:r>
              <w:t xml:space="preserve">Belief in negative outcome can reflect perception of lack of musical </w:t>
            </w:r>
            <w:proofErr w:type="gramStart"/>
            <w:r>
              <w:t>agency</w:t>
            </w:r>
            <w:proofErr w:type="gramEnd"/>
          </w:p>
          <w:p w14:paraId="031A556A" w14:textId="77777777" w:rsidR="00EF4ADD" w:rsidRDefault="00EF4ADD" w:rsidP="00443A3B">
            <w:pPr>
              <w:spacing w:line="360" w:lineRule="auto"/>
            </w:pPr>
            <w:r>
              <w:t>Anxiety</w:t>
            </w:r>
          </w:p>
          <w:p w14:paraId="244B6CB8" w14:textId="77777777" w:rsidR="00EF4ADD" w:rsidRDefault="00EF4ADD" w:rsidP="00443A3B">
            <w:pPr>
              <w:spacing w:line="360" w:lineRule="auto"/>
            </w:pPr>
            <w:r>
              <w:lastRenderedPageBreak/>
              <w:t>Personal definitions of good singing</w:t>
            </w:r>
          </w:p>
          <w:p w14:paraId="7C96A4EF" w14:textId="77777777" w:rsidR="00EF4ADD" w:rsidRDefault="00EF4ADD" w:rsidP="00443A3B">
            <w:pPr>
              <w:spacing w:line="360" w:lineRule="auto"/>
            </w:pPr>
          </w:p>
          <w:p w14:paraId="3A4270B7" w14:textId="77777777" w:rsidR="00EF4ADD" w:rsidRDefault="00EF4ADD" w:rsidP="00443A3B">
            <w:pPr>
              <w:spacing w:line="360" w:lineRule="auto"/>
            </w:pPr>
            <w:r>
              <w:t>Criticism from music educators</w:t>
            </w:r>
          </w:p>
          <w:p w14:paraId="21EAFB1E" w14:textId="77777777" w:rsidR="00EF4ADD" w:rsidRDefault="00EF4ADD" w:rsidP="00443A3B">
            <w:pPr>
              <w:spacing w:line="360" w:lineRule="auto"/>
            </w:pPr>
            <w:r>
              <w:t xml:space="preserve">What the music educators said was perceived as </w:t>
            </w:r>
            <w:proofErr w:type="gramStart"/>
            <w:r>
              <w:t>criticism</w:t>
            </w:r>
            <w:proofErr w:type="gramEnd"/>
          </w:p>
          <w:p w14:paraId="4EB0712F" w14:textId="77777777" w:rsidR="00EF4ADD" w:rsidRDefault="00EF4ADD" w:rsidP="00443A3B">
            <w:pPr>
              <w:spacing w:line="360" w:lineRule="auto"/>
            </w:pPr>
            <w:r>
              <w:t xml:space="preserve">Music educators word became </w:t>
            </w:r>
            <w:proofErr w:type="gramStart"/>
            <w:r>
              <w:t>introjects</w:t>
            </w:r>
            <w:proofErr w:type="gramEnd"/>
          </w:p>
          <w:p w14:paraId="61F2F642" w14:textId="77777777" w:rsidR="00EF4ADD" w:rsidRDefault="00EF4ADD" w:rsidP="00443A3B">
            <w:pPr>
              <w:spacing w:line="360" w:lineRule="auto"/>
            </w:pPr>
            <w:r>
              <w:t xml:space="preserve">These experiences had lasting, negative </w:t>
            </w:r>
            <w:proofErr w:type="gramStart"/>
            <w:r>
              <w:t>effects</w:t>
            </w:r>
            <w:proofErr w:type="gramEnd"/>
          </w:p>
          <w:p w14:paraId="40DE282E" w14:textId="77777777" w:rsidR="00EF4ADD" w:rsidRDefault="00EF4ADD" w:rsidP="00443A3B">
            <w:pPr>
              <w:spacing w:line="360" w:lineRule="auto"/>
            </w:pPr>
          </w:p>
          <w:p w14:paraId="25B83D43" w14:textId="77777777" w:rsidR="00EF4ADD" w:rsidRPr="001B59A9" w:rsidRDefault="00EF4ADD" w:rsidP="00443A3B">
            <w:pPr>
              <w:spacing w:line="360" w:lineRule="auto"/>
              <w:rPr>
                <w:i/>
                <w:iCs/>
              </w:rPr>
            </w:pPr>
          </w:p>
        </w:tc>
      </w:tr>
      <w:tr w:rsidR="00EF4ADD" w14:paraId="7B547492" w14:textId="77777777" w:rsidTr="00443A3B">
        <w:tc>
          <w:tcPr>
            <w:tcW w:w="2405" w:type="dxa"/>
          </w:tcPr>
          <w:p w14:paraId="79B1C023" w14:textId="77777777" w:rsidR="00EF4ADD" w:rsidRDefault="00EF4ADD" w:rsidP="00443A3B">
            <w:pPr>
              <w:spacing w:line="360" w:lineRule="auto"/>
              <w:rPr>
                <w:b/>
                <w:bCs/>
              </w:rPr>
            </w:pPr>
            <w:r>
              <w:rPr>
                <w:b/>
                <w:bCs/>
              </w:rPr>
              <w:lastRenderedPageBreak/>
              <w:t>Networks: connections, links, overlaps, and flows in the above</w:t>
            </w:r>
          </w:p>
        </w:tc>
        <w:tc>
          <w:tcPr>
            <w:tcW w:w="6611" w:type="dxa"/>
          </w:tcPr>
          <w:p w14:paraId="3324EB36" w14:textId="77777777" w:rsidR="00EF4ADD" w:rsidRDefault="00EF4ADD" w:rsidP="00443A3B">
            <w:pPr>
              <w:spacing w:line="360" w:lineRule="auto"/>
            </w:pPr>
            <w:r>
              <w:t>Perceived judgement and anxiety link</w:t>
            </w:r>
          </w:p>
          <w:p w14:paraId="2A60510F" w14:textId="77777777" w:rsidR="00EF4ADD" w:rsidRDefault="00EF4ADD" w:rsidP="00443A3B">
            <w:pPr>
              <w:spacing w:line="360" w:lineRule="auto"/>
            </w:pPr>
            <w:r>
              <w:t xml:space="preserve">Anxiety connected with ‘non-singer’ </w:t>
            </w:r>
            <w:proofErr w:type="gramStart"/>
            <w:r>
              <w:t>label</w:t>
            </w:r>
            <w:proofErr w:type="gramEnd"/>
          </w:p>
          <w:p w14:paraId="4C126924" w14:textId="77777777" w:rsidR="00EF4ADD" w:rsidRDefault="00EF4ADD" w:rsidP="00443A3B">
            <w:pPr>
              <w:spacing w:line="360" w:lineRule="auto"/>
            </w:pPr>
            <w:r w:rsidRPr="001B59A9">
              <w:rPr>
                <w:i/>
                <w:iCs/>
              </w:rPr>
              <w:t>Self-identification</w:t>
            </w:r>
            <w:r>
              <w:t xml:space="preserve"> connected with lack of singing </w:t>
            </w:r>
            <w:proofErr w:type="gramStart"/>
            <w:r>
              <w:t>agency</w:t>
            </w:r>
            <w:proofErr w:type="gramEnd"/>
            <w:r>
              <w:t xml:space="preserve"> </w:t>
            </w:r>
          </w:p>
          <w:p w14:paraId="795868DC" w14:textId="77777777" w:rsidR="00EF4ADD" w:rsidRDefault="00EF4ADD" w:rsidP="00443A3B">
            <w:pPr>
              <w:spacing w:line="360" w:lineRule="auto"/>
            </w:pPr>
            <w:r w:rsidRPr="001B59A9">
              <w:rPr>
                <w:i/>
                <w:iCs/>
              </w:rPr>
              <w:t>Experiences (negative)</w:t>
            </w:r>
            <w:r>
              <w:t xml:space="preserve"> caused the lack of singing </w:t>
            </w:r>
            <w:proofErr w:type="gramStart"/>
            <w:r>
              <w:t>agency</w:t>
            </w:r>
            <w:proofErr w:type="gramEnd"/>
          </w:p>
          <w:p w14:paraId="4FBBB782" w14:textId="77777777" w:rsidR="00EF4ADD" w:rsidRDefault="00EF4ADD" w:rsidP="00443A3B">
            <w:pPr>
              <w:spacing w:line="360" w:lineRule="auto"/>
            </w:pPr>
          </w:p>
          <w:p w14:paraId="6F7BCC2B" w14:textId="77777777" w:rsidR="00EF4ADD" w:rsidRPr="007E1926" w:rsidRDefault="00EF4ADD" w:rsidP="00443A3B">
            <w:pPr>
              <w:spacing w:line="360" w:lineRule="auto"/>
            </w:pPr>
          </w:p>
        </w:tc>
      </w:tr>
      <w:tr w:rsidR="00EF4ADD" w14:paraId="66E1EE54" w14:textId="77777777" w:rsidTr="00443A3B">
        <w:tc>
          <w:tcPr>
            <w:tcW w:w="2405" w:type="dxa"/>
          </w:tcPr>
          <w:p w14:paraId="7208F50E" w14:textId="77777777" w:rsidR="00EF4ADD" w:rsidRDefault="00EF4ADD" w:rsidP="00443A3B">
            <w:pPr>
              <w:spacing w:line="360" w:lineRule="auto"/>
              <w:rPr>
                <w:b/>
                <w:bCs/>
              </w:rPr>
            </w:pPr>
            <w:r>
              <w:rPr>
                <w:b/>
                <w:bCs/>
              </w:rPr>
              <w:t xml:space="preserve">Emergent or existing theory: </w:t>
            </w:r>
          </w:p>
          <w:p w14:paraId="5CAE0934" w14:textId="77777777" w:rsidR="00EF4ADD" w:rsidRDefault="00EF4ADD" w:rsidP="00443A3B">
            <w:pPr>
              <w:spacing w:line="360" w:lineRule="auto"/>
              <w:rPr>
                <w:b/>
                <w:bCs/>
              </w:rPr>
            </w:pPr>
            <w:r>
              <w:rPr>
                <w:b/>
                <w:bCs/>
              </w:rPr>
              <w:t xml:space="preserve">How could this apply in a larger context? </w:t>
            </w:r>
          </w:p>
          <w:p w14:paraId="1BA3F81E" w14:textId="77777777" w:rsidR="00EF4ADD" w:rsidRDefault="00EF4ADD" w:rsidP="00443A3B">
            <w:pPr>
              <w:spacing w:line="360" w:lineRule="auto"/>
              <w:rPr>
                <w:b/>
                <w:bCs/>
              </w:rPr>
            </w:pPr>
            <w:r>
              <w:rPr>
                <w:b/>
                <w:bCs/>
              </w:rPr>
              <w:t>Is it generalisable (Universal?)?</w:t>
            </w:r>
          </w:p>
          <w:p w14:paraId="7C7263C6" w14:textId="77777777" w:rsidR="00EF4ADD" w:rsidRDefault="00EF4ADD" w:rsidP="00443A3B">
            <w:pPr>
              <w:spacing w:line="360" w:lineRule="auto"/>
              <w:rPr>
                <w:b/>
                <w:bCs/>
              </w:rPr>
            </w:pPr>
            <w:r>
              <w:rPr>
                <w:b/>
                <w:bCs/>
              </w:rPr>
              <w:t>Metaphor and symbols at work in the data.</w:t>
            </w:r>
          </w:p>
          <w:p w14:paraId="4B6A8AB4" w14:textId="77777777" w:rsidR="00EF4ADD" w:rsidRDefault="00EF4ADD" w:rsidP="00443A3B">
            <w:pPr>
              <w:spacing w:line="360" w:lineRule="auto"/>
              <w:rPr>
                <w:b/>
                <w:bCs/>
              </w:rPr>
            </w:pPr>
            <w:r>
              <w:rPr>
                <w:b/>
                <w:bCs/>
              </w:rPr>
              <w:t xml:space="preserve">Speculate about how your theory predicts human action and why those actions </w:t>
            </w:r>
            <w:proofErr w:type="gramStart"/>
            <w:r>
              <w:rPr>
                <w:b/>
                <w:bCs/>
              </w:rPr>
              <w:t>occur</w:t>
            </w:r>
            <w:proofErr w:type="gramEnd"/>
          </w:p>
          <w:p w14:paraId="51580B42" w14:textId="77777777" w:rsidR="00EF4ADD" w:rsidRDefault="00EF4ADD" w:rsidP="00443A3B">
            <w:pPr>
              <w:spacing w:line="360" w:lineRule="auto"/>
              <w:rPr>
                <w:b/>
                <w:bCs/>
              </w:rPr>
            </w:pPr>
          </w:p>
        </w:tc>
        <w:tc>
          <w:tcPr>
            <w:tcW w:w="6611" w:type="dxa"/>
          </w:tcPr>
          <w:p w14:paraId="39B4C416" w14:textId="77777777" w:rsidR="00EF4ADD" w:rsidRDefault="00EF4ADD" w:rsidP="00443A3B">
            <w:pPr>
              <w:spacing w:line="360" w:lineRule="auto"/>
            </w:pPr>
            <w:r w:rsidRPr="000E4493">
              <w:t>Relationship be</w:t>
            </w:r>
            <w:r>
              <w:t>tween external feedback and self-perceptions can limit development opportunities.</w:t>
            </w:r>
          </w:p>
          <w:p w14:paraId="66D3430D" w14:textId="77777777" w:rsidR="00EF4ADD" w:rsidRDefault="00EF4ADD" w:rsidP="00443A3B">
            <w:pPr>
              <w:spacing w:line="360" w:lineRule="auto"/>
            </w:pPr>
          </w:p>
          <w:p w14:paraId="51C0395D" w14:textId="77777777" w:rsidR="00EF4ADD" w:rsidRDefault="00EF4ADD" w:rsidP="00443A3B">
            <w:pPr>
              <w:spacing w:line="360" w:lineRule="auto"/>
            </w:pPr>
            <w:r>
              <w:t>Student perceived judgment and perceived obstacles – how do we work around this?</w:t>
            </w:r>
          </w:p>
          <w:p w14:paraId="56659759" w14:textId="77777777" w:rsidR="00EF4ADD" w:rsidRDefault="00EF4ADD" w:rsidP="00443A3B">
            <w:pPr>
              <w:spacing w:line="360" w:lineRule="auto"/>
            </w:pPr>
          </w:p>
          <w:p w14:paraId="126C271F" w14:textId="77777777" w:rsidR="00EF4ADD" w:rsidRDefault="00EF4ADD" w:rsidP="00443A3B">
            <w:pPr>
              <w:spacing w:line="360" w:lineRule="auto"/>
            </w:pPr>
            <w:r>
              <w:t>Belief – how can we work with this to help singers?</w:t>
            </w:r>
          </w:p>
          <w:p w14:paraId="5A25986B" w14:textId="77777777" w:rsidR="00EF4ADD" w:rsidRDefault="00EF4ADD" w:rsidP="00443A3B">
            <w:pPr>
              <w:spacing w:line="360" w:lineRule="auto"/>
            </w:pPr>
          </w:p>
          <w:p w14:paraId="6F5517A3" w14:textId="77777777" w:rsidR="00EF4ADD" w:rsidRDefault="00EF4ADD" w:rsidP="00443A3B">
            <w:pPr>
              <w:spacing w:line="360" w:lineRule="auto"/>
            </w:pPr>
            <w:r>
              <w:t>Emotions and anxiety link with singing</w:t>
            </w:r>
          </w:p>
          <w:p w14:paraId="2E78AF18" w14:textId="77777777" w:rsidR="00EF4ADD" w:rsidRPr="000E4493" w:rsidRDefault="00EF4ADD" w:rsidP="00443A3B">
            <w:pPr>
              <w:spacing w:line="360" w:lineRule="auto"/>
            </w:pPr>
          </w:p>
        </w:tc>
      </w:tr>
      <w:tr w:rsidR="00EF4ADD" w14:paraId="69B2950E" w14:textId="77777777" w:rsidTr="00443A3B">
        <w:tc>
          <w:tcPr>
            <w:tcW w:w="2405" w:type="dxa"/>
          </w:tcPr>
          <w:p w14:paraId="0480F8B7" w14:textId="4EB599D9" w:rsidR="00EF4ADD" w:rsidRDefault="00EF4ADD" w:rsidP="00443A3B">
            <w:pPr>
              <w:spacing w:line="360" w:lineRule="auto"/>
              <w:rPr>
                <w:b/>
                <w:bCs/>
              </w:rPr>
            </w:pPr>
            <w:r>
              <w:rPr>
                <w:b/>
                <w:bCs/>
              </w:rPr>
              <w:t xml:space="preserve">Problems with </w:t>
            </w:r>
            <w:r w:rsidR="00263A2B">
              <w:rPr>
                <w:b/>
                <w:bCs/>
              </w:rPr>
              <w:t>my study</w:t>
            </w:r>
            <w:r>
              <w:rPr>
                <w:b/>
                <w:bCs/>
              </w:rPr>
              <w:t>:</w:t>
            </w:r>
          </w:p>
          <w:p w14:paraId="62D2430B" w14:textId="77777777" w:rsidR="00EF4ADD" w:rsidRDefault="00EF4ADD" w:rsidP="00443A3B">
            <w:pPr>
              <w:spacing w:line="360" w:lineRule="auto"/>
              <w:rPr>
                <w:b/>
                <w:bCs/>
              </w:rPr>
            </w:pPr>
            <w:r>
              <w:rPr>
                <w:b/>
                <w:bCs/>
              </w:rPr>
              <w:t>Can they be solved?</w:t>
            </w:r>
          </w:p>
        </w:tc>
        <w:tc>
          <w:tcPr>
            <w:tcW w:w="6611" w:type="dxa"/>
          </w:tcPr>
          <w:p w14:paraId="3762F089" w14:textId="77777777" w:rsidR="00EF4ADD" w:rsidRPr="007E1926" w:rsidRDefault="00EF4ADD" w:rsidP="00443A3B">
            <w:pPr>
              <w:spacing w:line="360" w:lineRule="auto"/>
            </w:pPr>
            <w:r>
              <w:t>This document has information relevant to my research question and contextualises the origins of experiences which caused reduced self-efficacy.</w:t>
            </w:r>
          </w:p>
        </w:tc>
      </w:tr>
      <w:tr w:rsidR="00EF4ADD" w14:paraId="53B65CFA" w14:textId="77777777" w:rsidTr="00443A3B">
        <w:tc>
          <w:tcPr>
            <w:tcW w:w="2405" w:type="dxa"/>
          </w:tcPr>
          <w:p w14:paraId="030D1966" w14:textId="77777777" w:rsidR="00EF4ADD" w:rsidRDefault="00EF4ADD" w:rsidP="00443A3B">
            <w:pPr>
              <w:spacing w:line="360" w:lineRule="auto"/>
              <w:rPr>
                <w:b/>
                <w:bCs/>
              </w:rPr>
            </w:pPr>
            <w:r>
              <w:rPr>
                <w:b/>
                <w:bCs/>
              </w:rPr>
              <w:t>Ethical dilemmas</w:t>
            </w:r>
          </w:p>
        </w:tc>
        <w:tc>
          <w:tcPr>
            <w:tcW w:w="6611" w:type="dxa"/>
          </w:tcPr>
          <w:p w14:paraId="28941355" w14:textId="77777777" w:rsidR="00EF4ADD" w:rsidRPr="007E1926" w:rsidRDefault="00EF4ADD" w:rsidP="00443A3B">
            <w:pPr>
              <w:spacing w:line="360" w:lineRule="auto"/>
            </w:pPr>
            <w:r>
              <w:t>Avoiding plagiarism.</w:t>
            </w:r>
          </w:p>
        </w:tc>
      </w:tr>
      <w:tr w:rsidR="00EF4ADD" w14:paraId="5BDA8410" w14:textId="77777777" w:rsidTr="00443A3B">
        <w:tc>
          <w:tcPr>
            <w:tcW w:w="2405" w:type="dxa"/>
          </w:tcPr>
          <w:p w14:paraId="1619BD09" w14:textId="77777777" w:rsidR="00EF4ADD" w:rsidRDefault="00EF4ADD" w:rsidP="00443A3B">
            <w:pPr>
              <w:spacing w:line="360" w:lineRule="auto"/>
              <w:rPr>
                <w:b/>
                <w:bCs/>
              </w:rPr>
            </w:pPr>
            <w:r>
              <w:rPr>
                <w:b/>
                <w:bCs/>
              </w:rPr>
              <w:t xml:space="preserve">Further reading from document references </w:t>
            </w:r>
          </w:p>
        </w:tc>
        <w:tc>
          <w:tcPr>
            <w:tcW w:w="6611" w:type="dxa"/>
          </w:tcPr>
          <w:p w14:paraId="7475D06B" w14:textId="77777777" w:rsidR="00EF4ADD" w:rsidRDefault="00EF4ADD" w:rsidP="00443A3B">
            <w:pPr>
              <w:spacing w:line="360" w:lineRule="auto"/>
            </w:pPr>
            <w:r w:rsidRPr="005F4B8B">
              <w:t>(Welch, 2017)</w:t>
            </w:r>
          </w:p>
          <w:p w14:paraId="66C98404" w14:textId="152D910B" w:rsidR="00EF4ADD" w:rsidRPr="007E1926" w:rsidRDefault="00EF4ADD" w:rsidP="00443A3B">
            <w:pPr>
              <w:spacing w:line="360" w:lineRule="auto"/>
            </w:pPr>
            <w:proofErr w:type="spellStart"/>
            <w:r w:rsidRPr="00517E38">
              <w:t>Turino’s</w:t>
            </w:r>
            <w:proofErr w:type="spellEnd"/>
            <w:r w:rsidRPr="00517E38">
              <w:t xml:space="preserve"> (2008) concept of participatory performance, in which all participate in an assessment</w:t>
            </w:r>
            <w:r w:rsidR="00263A2B">
              <w:t xml:space="preserve"> </w:t>
            </w:r>
            <w:r w:rsidRPr="00517E38">
              <w:t>free, non-evaluative experience</w:t>
            </w:r>
          </w:p>
        </w:tc>
      </w:tr>
      <w:tr w:rsidR="00EF4ADD" w14:paraId="5B6D25ED" w14:textId="77777777" w:rsidTr="00443A3B">
        <w:tc>
          <w:tcPr>
            <w:tcW w:w="2405" w:type="dxa"/>
          </w:tcPr>
          <w:p w14:paraId="69094841" w14:textId="77777777" w:rsidR="00EF4ADD" w:rsidRDefault="00EF4ADD" w:rsidP="00443A3B">
            <w:pPr>
              <w:spacing w:line="360" w:lineRule="auto"/>
              <w:rPr>
                <w:b/>
                <w:bCs/>
              </w:rPr>
            </w:pPr>
            <w:r>
              <w:rPr>
                <w:b/>
                <w:bCs/>
              </w:rPr>
              <w:lastRenderedPageBreak/>
              <w:t>Possible future direction of the study</w:t>
            </w:r>
          </w:p>
        </w:tc>
        <w:tc>
          <w:tcPr>
            <w:tcW w:w="6611" w:type="dxa"/>
          </w:tcPr>
          <w:p w14:paraId="2425DBC7" w14:textId="77777777" w:rsidR="00EF4ADD" w:rsidRPr="007E1926" w:rsidRDefault="00EF4ADD" w:rsidP="00443A3B">
            <w:pPr>
              <w:spacing w:line="360" w:lineRule="auto"/>
            </w:pPr>
            <w:r>
              <w:t>Analysing the network of themes should reveal any overlap of meaning (to reduce themes). It appears that this analysis will have clear outcomes which would contribute to answering the research question.</w:t>
            </w:r>
          </w:p>
        </w:tc>
      </w:tr>
      <w:tr w:rsidR="00EF4ADD" w14:paraId="252B49E2" w14:textId="77777777" w:rsidTr="00443A3B">
        <w:tc>
          <w:tcPr>
            <w:tcW w:w="2405" w:type="dxa"/>
          </w:tcPr>
          <w:p w14:paraId="0554DDA0" w14:textId="77777777" w:rsidR="00EF4ADD" w:rsidRDefault="00EF4ADD" w:rsidP="00443A3B">
            <w:pPr>
              <w:spacing w:line="360" w:lineRule="auto"/>
              <w:rPr>
                <w:b/>
                <w:bCs/>
              </w:rPr>
            </w:pPr>
            <w:r>
              <w:rPr>
                <w:b/>
                <w:bCs/>
              </w:rPr>
              <w:t>Reflect on previous reflective memos so far</w:t>
            </w:r>
          </w:p>
        </w:tc>
        <w:tc>
          <w:tcPr>
            <w:tcW w:w="6611" w:type="dxa"/>
          </w:tcPr>
          <w:p w14:paraId="23C70583" w14:textId="77777777" w:rsidR="00EF4ADD" w:rsidRPr="007E1926" w:rsidRDefault="00EF4ADD" w:rsidP="00443A3B">
            <w:pPr>
              <w:spacing w:line="360" w:lineRule="auto"/>
            </w:pPr>
            <w:r>
              <w:t>This is the first document to undergo TA.</w:t>
            </w:r>
          </w:p>
        </w:tc>
      </w:tr>
      <w:tr w:rsidR="00EF4ADD" w14:paraId="55C1B306" w14:textId="77777777" w:rsidTr="00443A3B">
        <w:tc>
          <w:tcPr>
            <w:tcW w:w="2405" w:type="dxa"/>
          </w:tcPr>
          <w:p w14:paraId="08BE2E09" w14:textId="77777777" w:rsidR="00EF4ADD" w:rsidRDefault="00EF4ADD" w:rsidP="00443A3B">
            <w:pPr>
              <w:spacing w:line="360" w:lineRule="auto"/>
              <w:rPr>
                <w:b/>
                <w:bCs/>
              </w:rPr>
            </w:pPr>
            <w:r>
              <w:rPr>
                <w:b/>
                <w:bCs/>
              </w:rPr>
              <w:t>Thoughts for the final report</w:t>
            </w:r>
          </w:p>
        </w:tc>
        <w:tc>
          <w:tcPr>
            <w:tcW w:w="6611" w:type="dxa"/>
          </w:tcPr>
          <w:p w14:paraId="02F8B4F6" w14:textId="77777777" w:rsidR="00EF4ADD" w:rsidRPr="00593B6C" w:rsidRDefault="00EF4ADD" w:rsidP="00443A3B">
            <w:pPr>
              <w:spacing w:line="360" w:lineRule="auto"/>
              <w:rPr>
                <w:rFonts w:cstheme="minorHAnsi"/>
              </w:rPr>
            </w:pPr>
            <w:r w:rsidRPr="00593B6C">
              <w:rPr>
                <w:rFonts w:cstheme="minorHAnsi"/>
              </w:rPr>
              <w:t>Write up style ideas in:</w:t>
            </w:r>
          </w:p>
          <w:p w14:paraId="1A4302DB" w14:textId="77777777" w:rsidR="00EF4ADD" w:rsidRPr="00593B6C" w:rsidRDefault="00EF4ADD" w:rsidP="00443A3B">
            <w:pPr>
              <w:autoSpaceDE w:val="0"/>
              <w:autoSpaceDN w:val="0"/>
              <w:adjustRightInd w:val="0"/>
              <w:rPr>
                <w:rFonts w:cstheme="minorHAnsi"/>
              </w:rPr>
            </w:pPr>
            <w:r w:rsidRPr="00593B6C">
              <w:rPr>
                <w:rFonts w:cstheme="minorHAnsi"/>
              </w:rPr>
              <w:t>Involvement of Critical Thinking Education in University Studies:</w:t>
            </w:r>
          </w:p>
          <w:p w14:paraId="17D15BF6" w14:textId="77777777" w:rsidR="00EF4ADD" w:rsidRPr="007E1926" w:rsidRDefault="00EF4ADD" w:rsidP="00443A3B">
            <w:pPr>
              <w:spacing w:line="360" w:lineRule="auto"/>
            </w:pPr>
            <w:r w:rsidRPr="00593B6C">
              <w:rPr>
                <w:rFonts w:cstheme="minorHAnsi"/>
              </w:rPr>
              <w:t xml:space="preserve">A Qualitative Research </w:t>
            </w:r>
            <w:proofErr w:type="spellStart"/>
            <w:r w:rsidRPr="00593B6C">
              <w:rPr>
                <w:rFonts w:cstheme="minorHAnsi"/>
              </w:rPr>
              <w:t>Saulius</w:t>
            </w:r>
            <w:proofErr w:type="spellEnd"/>
            <w:r w:rsidRPr="00593B6C">
              <w:rPr>
                <w:rFonts w:cstheme="minorHAnsi"/>
              </w:rPr>
              <w:t xml:space="preserve"> and </w:t>
            </w:r>
            <w:proofErr w:type="spellStart"/>
            <w:r w:rsidRPr="00593B6C">
              <w:rPr>
                <w:rFonts w:cstheme="minorHAnsi"/>
              </w:rPr>
              <w:t>Malinauskas</w:t>
            </w:r>
            <w:proofErr w:type="spellEnd"/>
            <w:r w:rsidRPr="00593B6C">
              <w:rPr>
                <w:rFonts w:cstheme="minorHAnsi"/>
              </w:rPr>
              <w:t xml:space="preserve"> (2021)</w:t>
            </w:r>
          </w:p>
        </w:tc>
      </w:tr>
    </w:tbl>
    <w:p w14:paraId="384F020D" w14:textId="77777777" w:rsidR="00162E7B" w:rsidRDefault="00162E7B"/>
    <w:p w14:paraId="2EA28649" w14:textId="77777777" w:rsidR="00CD2AD5" w:rsidRDefault="00CD2AD5" w:rsidP="007E7F78">
      <w:pPr>
        <w:rPr>
          <w:rFonts w:ascii="Arial" w:hAnsi="Arial" w:cs="Arial"/>
          <w:b/>
          <w:color w:val="000000"/>
          <w:sz w:val="24"/>
          <w:szCs w:val="24"/>
        </w:rPr>
      </w:pPr>
      <w:r>
        <w:rPr>
          <w:rFonts w:ascii="Arial" w:hAnsi="Arial" w:cs="Arial"/>
          <w:b/>
          <w:color w:val="000000"/>
          <w:sz w:val="24"/>
          <w:szCs w:val="24"/>
        </w:rPr>
        <w:br w:type="page"/>
      </w:r>
    </w:p>
    <w:p w14:paraId="5B07BBE4" w14:textId="059B373B" w:rsidR="007E7F78" w:rsidRPr="00680611" w:rsidRDefault="007E7F78" w:rsidP="007E7F78">
      <w:pPr>
        <w:rPr>
          <w:rFonts w:ascii="Arial" w:hAnsi="Arial" w:cs="Arial"/>
          <w:b/>
          <w:bCs/>
          <w:sz w:val="24"/>
          <w:szCs w:val="24"/>
        </w:rPr>
      </w:pPr>
      <w:r w:rsidRPr="00797004">
        <w:rPr>
          <w:rFonts w:ascii="Arial" w:hAnsi="Arial" w:cs="Arial"/>
          <w:b/>
          <w:color w:val="000000"/>
          <w:sz w:val="24"/>
          <w:szCs w:val="24"/>
        </w:rPr>
        <w:lastRenderedPageBreak/>
        <w:t xml:space="preserve">Appendix </w:t>
      </w:r>
      <w:r>
        <w:rPr>
          <w:rFonts w:ascii="Arial" w:hAnsi="Arial" w:cs="Arial"/>
          <w:b/>
          <w:color w:val="000000"/>
          <w:sz w:val="24"/>
          <w:szCs w:val="24"/>
        </w:rPr>
        <w:t>5</w:t>
      </w:r>
      <w:r w:rsidRPr="00797004">
        <w:rPr>
          <w:rFonts w:ascii="Arial" w:hAnsi="Arial" w:cs="Arial"/>
          <w:b/>
          <w:color w:val="000000"/>
          <w:sz w:val="24"/>
          <w:szCs w:val="24"/>
        </w:rPr>
        <w:t>:</w:t>
      </w:r>
      <w:r>
        <w:rPr>
          <w:rFonts w:ascii="Arial" w:hAnsi="Arial" w:cs="Arial"/>
          <w:b/>
          <w:color w:val="000000"/>
          <w:sz w:val="24"/>
          <w:szCs w:val="24"/>
        </w:rPr>
        <w:t xml:space="preserve"> </w:t>
      </w:r>
      <w:r w:rsidRPr="00680611">
        <w:rPr>
          <w:rFonts w:ascii="Arial" w:hAnsi="Arial" w:cs="Arial"/>
          <w:b/>
          <w:bCs/>
          <w:sz w:val="24"/>
          <w:szCs w:val="24"/>
        </w:rPr>
        <w:t>Self-efficacy toolkit</w:t>
      </w:r>
    </w:p>
    <w:p w14:paraId="52C00D5E" w14:textId="3B4DE670" w:rsidR="007E7F78" w:rsidRPr="00CD2AD5" w:rsidRDefault="00CD2AD5" w:rsidP="007E7F78">
      <w:pPr>
        <w:spacing w:line="360" w:lineRule="auto"/>
        <w:jc w:val="both"/>
        <w:rPr>
          <w:rFonts w:ascii="Arial" w:hAnsi="Arial" w:cs="Arial"/>
          <w:sz w:val="24"/>
          <w:szCs w:val="24"/>
        </w:rPr>
      </w:pPr>
      <w:r>
        <w:rPr>
          <w:rFonts w:ascii="Arial" w:hAnsi="Arial" w:cs="Arial"/>
          <w:sz w:val="24"/>
          <w:szCs w:val="24"/>
        </w:rPr>
        <w:t>How to n</w:t>
      </w:r>
      <w:r w:rsidR="007E7F78" w:rsidRPr="00CD2AD5">
        <w:rPr>
          <w:rFonts w:ascii="Arial" w:hAnsi="Arial" w:cs="Arial"/>
          <w:sz w:val="24"/>
          <w:szCs w:val="24"/>
        </w:rPr>
        <w:t>otic</w:t>
      </w:r>
      <w:r>
        <w:rPr>
          <w:rFonts w:ascii="Arial" w:hAnsi="Arial" w:cs="Arial"/>
          <w:sz w:val="24"/>
          <w:szCs w:val="24"/>
        </w:rPr>
        <w:t>e</w:t>
      </w:r>
      <w:r w:rsidR="007E7F78" w:rsidRPr="00CD2AD5">
        <w:rPr>
          <w:rFonts w:ascii="Arial" w:hAnsi="Arial" w:cs="Arial"/>
          <w:sz w:val="24"/>
          <w:szCs w:val="24"/>
        </w:rPr>
        <w:t xml:space="preserve"> a lowered sense of self-efficacy:</w:t>
      </w:r>
    </w:p>
    <w:p w14:paraId="2CCDAC70" w14:textId="77777777" w:rsidR="007E7F78" w:rsidRPr="00680611" w:rsidRDefault="007E7F78" w:rsidP="007E7F78">
      <w:pPr>
        <w:spacing w:line="360" w:lineRule="auto"/>
        <w:jc w:val="both"/>
        <w:rPr>
          <w:rFonts w:ascii="Arial" w:hAnsi="Arial" w:cs="Arial"/>
          <w:sz w:val="24"/>
          <w:szCs w:val="24"/>
        </w:rPr>
      </w:pPr>
      <w:r>
        <w:rPr>
          <w:rFonts w:ascii="Arial" w:hAnsi="Arial" w:cs="Arial"/>
          <w:sz w:val="24"/>
          <w:szCs w:val="24"/>
        </w:rPr>
        <w:t xml:space="preserve">If </w:t>
      </w:r>
      <w:r w:rsidRPr="00972C8E">
        <w:rPr>
          <w:rFonts w:ascii="Arial" w:hAnsi="Arial" w:cs="Arial"/>
          <w:b/>
          <w:bCs/>
          <w:i/>
          <w:iCs/>
          <w:sz w:val="24"/>
          <w:szCs w:val="24"/>
        </w:rPr>
        <w:t>a student disclosed an experience</w:t>
      </w:r>
      <w:r>
        <w:rPr>
          <w:rFonts w:ascii="Arial" w:hAnsi="Arial" w:cs="Arial"/>
          <w:sz w:val="24"/>
          <w:szCs w:val="24"/>
        </w:rPr>
        <w:t xml:space="preserve"> which wounded their self-efficacy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2021)","plainTextFormattedCitation":"(Hogle, 2021)","previouslyFormattedCitation":"(Hogle, 2021)"},"properties":{"noteIndex":0},"schema":"https://github.com/citation-style-language/schema/raw/master/csl-citation.json"}</w:instrText>
      </w:r>
      <w:r>
        <w:rPr>
          <w:rFonts w:ascii="Arial" w:hAnsi="Arial" w:cs="Arial"/>
          <w:sz w:val="24"/>
          <w:szCs w:val="24"/>
        </w:rPr>
        <w:fldChar w:fldCharType="separate"/>
      </w:r>
      <w:r w:rsidRPr="006F7D4C">
        <w:rPr>
          <w:rFonts w:ascii="Arial" w:hAnsi="Arial" w:cs="Arial"/>
          <w:noProof/>
          <w:sz w:val="24"/>
          <w:szCs w:val="24"/>
        </w:rPr>
        <w:t>(Hogle, 2021)</w:t>
      </w:r>
      <w:r>
        <w:rPr>
          <w:rFonts w:ascii="Arial" w:hAnsi="Arial" w:cs="Arial"/>
          <w:sz w:val="24"/>
          <w:szCs w:val="24"/>
        </w:rPr>
        <w:fldChar w:fldCharType="end"/>
      </w:r>
      <w:r>
        <w:rPr>
          <w:rFonts w:ascii="Arial" w:hAnsi="Arial" w:cs="Arial"/>
          <w:sz w:val="24"/>
          <w:szCs w:val="24"/>
        </w:rPr>
        <w:t>:</w:t>
      </w:r>
    </w:p>
    <w:p w14:paraId="695CFDA1" w14:textId="77777777" w:rsidR="007E7F78" w:rsidRDefault="007E7F78" w:rsidP="007E7F78">
      <w:pPr>
        <w:pStyle w:val="ListParagraph"/>
        <w:numPr>
          <w:ilvl w:val="0"/>
          <w:numId w:val="27"/>
        </w:numPr>
        <w:spacing w:line="360" w:lineRule="auto"/>
        <w:jc w:val="both"/>
        <w:rPr>
          <w:rFonts w:ascii="Arial" w:hAnsi="Arial" w:cs="Arial"/>
          <w:sz w:val="24"/>
          <w:szCs w:val="24"/>
        </w:rPr>
      </w:pPr>
      <w:r>
        <w:rPr>
          <w:rFonts w:ascii="Arial" w:hAnsi="Arial" w:cs="Arial"/>
          <w:sz w:val="24"/>
          <w:szCs w:val="24"/>
        </w:rPr>
        <w:t>Remember details of the wounding incidents</w:t>
      </w:r>
    </w:p>
    <w:p w14:paraId="2F7B0B7D" w14:textId="77777777" w:rsidR="007E7F78" w:rsidRDefault="007E7F78" w:rsidP="007E7F78">
      <w:pPr>
        <w:pStyle w:val="ListParagraph"/>
        <w:numPr>
          <w:ilvl w:val="0"/>
          <w:numId w:val="27"/>
        </w:numPr>
        <w:spacing w:line="360" w:lineRule="auto"/>
        <w:jc w:val="both"/>
        <w:rPr>
          <w:rFonts w:ascii="Arial" w:hAnsi="Arial" w:cs="Arial"/>
          <w:sz w:val="24"/>
          <w:szCs w:val="24"/>
        </w:rPr>
      </w:pPr>
      <w:r>
        <w:rPr>
          <w:rFonts w:ascii="Arial" w:hAnsi="Arial" w:cs="Arial"/>
          <w:sz w:val="24"/>
          <w:szCs w:val="24"/>
        </w:rPr>
        <w:t xml:space="preserve">Note potential triggers for that </w:t>
      </w:r>
      <w:proofErr w:type="gramStart"/>
      <w:r>
        <w:rPr>
          <w:rFonts w:ascii="Arial" w:hAnsi="Arial" w:cs="Arial"/>
          <w:sz w:val="24"/>
          <w:szCs w:val="24"/>
        </w:rPr>
        <w:t>singer</w:t>
      </w:r>
      <w:proofErr w:type="gramEnd"/>
    </w:p>
    <w:p w14:paraId="1E7499DF" w14:textId="77777777" w:rsidR="007E7F78" w:rsidRDefault="007E7F78" w:rsidP="007E7F78">
      <w:pPr>
        <w:pStyle w:val="ListParagraph"/>
        <w:numPr>
          <w:ilvl w:val="0"/>
          <w:numId w:val="27"/>
        </w:numPr>
        <w:spacing w:line="360" w:lineRule="auto"/>
        <w:jc w:val="both"/>
        <w:rPr>
          <w:rFonts w:ascii="Arial" w:hAnsi="Arial" w:cs="Arial"/>
          <w:sz w:val="24"/>
          <w:szCs w:val="24"/>
        </w:rPr>
      </w:pPr>
      <w:r>
        <w:rPr>
          <w:rFonts w:ascii="Arial" w:hAnsi="Arial" w:cs="Arial"/>
          <w:sz w:val="24"/>
          <w:szCs w:val="24"/>
        </w:rPr>
        <w:t xml:space="preserve">Discuss empathically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2021)","plainTextFormattedCitation":"(Hogle, 2021)","previouslyFormattedCitation":"(Hogle, 2021)"},"properties":{"noteIndex":0},"schema":"https://github.com/citation-style-language/schema/raw/master/csl-citation.json"}</w:instrText>
      </w:r>
      <w:r>
        <w:rPr>
          <w:rFonts w:ascii="Arial" w:hAnsi="Arial" w:cs="Arial"/>
          <w:sz w:val="24"/>
          <w:szCs w:val="24"/>
        </w:rPr>
        <w:fldChar w:fldCharType="separate"/>
      </w:r>
      <w:r w:rsidRPr="006F7D4C">
        <w:rPr>
          <w:rFonts w:ascii="Arial" w:hAnsi="Arial" w:cs="Arial"/>
          <w:noProof/>
          <w:sz w:val="24"/>
          <w:szCs w:val="24"/>
        </w:rPr>
        <w:t>(Hogle, 2021)</w:t>
      </w:r>
      <w:r>
        <w:rPr>
          <w:rFonts w:ascii="Arial" w:hAnsi="Arial" w:cs="Arial"/>
          <w:sz w:val="24"/>
          <w:szCs w:val="24"/>
        </w:rPr>
        <w:fldChar w:fldCharType="end"/>
      </w:r>
    </w:p>
    <w:p w14:paraId="7A3FC338" w14:textId="77777777" w:rsidR="007E7F78" w:rsidRDefault="007E7F78" w:rsidP="007E7F78">
      <w:pPr>
        <w:pStyle w:val="ListParagraph"/>
        <w:numPr>
          <w:ilvl w:val="0"/>
          <w:numId w:val="27"/>
        </w:numPr>
        <w:spacing w:line="360" w:lineRule="auto"/>
        <w:jc w:val="both"/>
        <w:rPr>
          <w:rFonts w:ascii="Arial" w:hAnsi="Arial" w:cs="Arial"/>
          <w:sz w:val="24"/>
          <w:szCs w:val="24"/>
        </w:rPr>
      </w:pPr>
      <w:r>
        <w:rPr>
          <w:rFonts w:ascii="Arial" w:hAnsi="Arial" w:cs="Arial"/>
          <w:sz w:val="24"/>
          <w:szCs w:val="24"/>
        </w:rPr>
        <w:t xml:space="preserve">Empower student by involving them in a problem solving process </w:t>
      </w:r>
      <w:r>
        <w:rPr>
          <w:rFonts w:ascii="Arial" w:hAnsi="Arial" w:cs="Arial"/>
          <w:sz w:val="24"/>
          <w:szCs w:val="24"/>
        </w:rPr>
        <w:fldChar w:fldCharType="begin" w:fldLock="1"/>
      </w:r>
      <w:r>
        <w:rPr>
          <w:rFonts w:ascii="Arial" w:hAnsi="Arial" w:cs="Arial"/>
          <w:sz w:val="24"/>
          <w:szCs w:val="24"/>
        </w:rPr>
        <w:instrText>ADDIN CSL_CITATION {"citationItems":[{"id":"ITEM-1","itemData":{"DOI":"10.18546/LRE.13.1.05","ISSN":"14748479","abstract":"The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Education","id":"ITEM-1","issue":"1","issued":{"date-parts":[["2015"]]},"page":"43-57","title":"Critical geragogy: A framework for facilitating older learners in community music","type":"article-journal","volume":"13"},"uris":["http://www.mendeley.com/documents/?uuid=fa50dd99-4e1e-44de-a3f2-30dd41815d00"]},{"id":"ITEM-2","itemData":{"DOI":"10.1177/1321103X20930426","ISSN":"18345530","abstract":"The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Education","id":"ITEM-2","issue":"2","issued":{"date-parts":[["2021"]]},"page":"179-194","title":"Fostering singing agency through emotional differentiation in an inclusive singing environment","type":"article-journal","volume":"43"},"uris":["http://www.mendeley.com/documents/?uuid=df4ddb6b-d417-411f-9261-d87aba0aa367"]}],"mendeley":{"formattedCitation":"(Creech and Hallam, 2015; Hogle, 2021)","plainTextFormattedCitation":"(Creech and Hallam, 2015; Hogle, 2021)","previouslyFormattedCitation":"(Creech and Hallam, 2015; Hogle, 2021)"},"properties":{"noteIndex":0},"schema":"https://github.com/citation-style-language/schema/raw/master/csl-citation.json"}</w:instrText>
      </w:r>
      <w:r>
        <w:rPr>
          <w:rFonts w:ascii="Arial" w:hAnsi="Arial" w:cs="Arial"/>
          <w:sz w:val="24"/>
          <w:szCs w:val="24"/>
        </w:rPr>
        <w:fldChar w:fldCharType="separate"/>
      </w:r>
      <w:r w:rsidRPr="006F7D4C">
        <w:rPr>
          <w:rFonts w:ascii="Arial" w:hAnsi="Arial" w:cs="Arial"/>
          <w:noProof/>
          <w:sz w:val="24"/>
          <w:szCs w:val="24"/>
        </w:rPr>
        <w:t>(Creech and Hallam, 2015; Hogle, 2021)</w:t>
      </w:r>
      <w:r>
        <w:rPr>
          <w:rFonts w:ascii="Arial" w:hAnsi="Arial" w:cs="Arial"/>
          <w:sz w:val="24"/>
          <w:szCs w:val="24"/>
        </w:rPr>
        <w:fldChar w:fldCharType="end"/>
      </w:r>
    </w:p>
    <w:p w14:paraId="7B3138EC" w14:textId="77777777" w:rsidR="007E7F78" w:rsidRDefault="007E7F78" w:rsidP="007E7F78">
      <w:pPr>
        <w:pStyle w:val="ListParagraph"/>
        <w:numPr>
          <w:ilvl w:val="0"/>
          <w:numId w:val="27"/>
        </w:numPr>
        <w:spacing w:line="360" w:lineRule="auto"/>
        <w:jc w:val="both"/>
        <w:rPr>
          <w:rFonts w:ascii="Arial" w:hAnsi="Arial" w:cs="Arial"/>
          <w:sz w:val="24"/>
          <w:szCs w:val="24"/>
        </w:rPr>
      </w:pPr>
      <w:r>
        <w:rPr>
          <w:rFonts w:ascii="Arial" w:hAnsi="Arial" w:cs="Arial"/>
          <w:sz w:val="24"/>
          <w:szCs w:val="24"/>
        </w:rPr>
        <w:t xml:space="preserve">Review at appropriate times to keep the singer aware of progress </w:t>
      </w:r>
      <w:r>
        <w:rPr>
          <w:rFonts w:ascii="Arial" w:hAnsi="Arial" w:cs="Arial"/>
          <w:sz w:val="24"/>
          <w:szCs w:val="24"/>
        </w:rPr>
        <w:fldChar w:fldCharType="begin" w:fldLock="1"/>
      </w:r>
      <w:r>
        <w:rPr>
          <w:rFonts w:ascii="Arial" w:hAnsi="Arial" w:cs="Arial"/>
          <w:sz w:val="24"/>
          <w:szCs w:val="24"/>
        </w:rPr>
        <w:instrText>ADDIN CSL_CITATION {"citationItems":[{"id":"ITEM-1","itemData":{"ISSN":"10867732","abstract":"The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Singing","id":"ITEM-1","issue":"4","issued":{"date-parts":[["2018"]]},"page":"405-414","title":"Critical Thought, Intrinsic Motivation, and the Voice Studio: Perspectives of Master Teachers.","type":"article-journal","volume":"74"},"uris":["http://www.mendeley.com/documents/?uuid=4030f552-7b94-4abf-bab4-c0b97b7babca"]},{"id":"ITEM-2","itemData":{"DOI":"10.1177/02557614221074057","ISBN":"0255761422107","ISSN":"1744795X","abstract":"Fostering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beliefs","type":"article-journal"},"uris":["http://www.mendeley.com/documents/?uuid=d1469298-0bbc-4c76-afcd-e0c4086da712"]}],"mendeley":{"formattedCitation":"(Stephenson, 2018; Lewis and Hendricks, 2022)","plainTextFormattedCitation":"(Stephenson, 2018; Lewis and Hendricks, 2022)","previouslyFormattedCitation":"(Stephenson, 2018; Lewis and Hendricks, 2022)"},"properties":{"noteIndex":0},"schema":"https://github.com/citation-style-language/schema/raw/master/csl-citation.json"}</w:instrText>
      </w:r>
      <w:r>
        <w:rPr>
          <w:rFonts w:ascii="Arial" w:hAnsi="Arial" w:cs="Arial"/>
          <w:sz w:val="24"/>
          <w:szCs w:val="24"/>
        </w:rPr>
        <w:fldChar w:fldCharType="separate"/>
      </w:r>
      <w:r w:rsidRPr="006F7D4C">
        <w:rPr>
          <w:rFonts w:ascii="Arial" w:hAnsi="Arial" w:cs="Arial"/>
          <w:noProof/>
          <w:sz w:val="24"/>
          <w:szCs w:val="24"/>
        </w:rPr>
        <w:t>(Stephenson, 2018; Lewis and Hendricks, 2022)</w:t>
      </w:r>
      <w:r>
        <w:rPr>
          <w:rFonts w:ascii="Arial" w:hAnsi="Arial" w:cs="Arial"/>
          <w:sz w:val="24"/>
          <w:szCs w:val="24"/>
        </w:rPr>
        <w:fldChar w:fldCharType="end"/>
      </w:r>
    </w:p>
    <w:p w14:paraId="2A61A00F" w14:textId="77777777" w:rsidR="007E7F78" w:rsidRDefault="007E7F78" w:rsidP="007E7F78">
      <w:pPr>
        <w:spacing w:line="360" w:lineRule="auto"/>
        <w:jc w:val="both"/>
        <w:rPr>
          <w:rFonts w:ascii="Arial" w:hAnsi="Arial" w:cs="Arial"/>
          <w:sz w:val="24"/>
          <w:szCs w:val="24"/>
        </w:rPr>
      </w:pPr>
      <w:r>
        <w:rPr>
          <w:rFonts w:ascii="Arial" w:hAnsi="Arial" w:cs="Arial"/>
          <w:sz w:val="24"/>
          <w:szCs w:val="24"/>
        </w:rPr>
        <w:t xml:space="preserve">If a student does not disclose a particular incident be aware of </w:t>
      </w:r>
      <w:r w:rsidRPr="00972C8E">
        <w:rPr>
          <w:rFonts w:ascii="Arial" w:hAnsi="Arial" w:cs="Arial"/>
          <w:b/>
          <w:bCs/>
          <w:i/>
          <w:iCs/>
          <w:sz w:val="24"/>
          <w:szCs w:val="24"/>
        </w:rPr>
        <w:t>signs of a lowered sense of self efficacy</w:t>
      </w:r>
      <w:r>
        <w:rPr>
          <w:rFonts w:ascii="Arial" w:hAnsi="Arial" w:cs="Arial"/>
          <w:sz w:val="24"/>
          <w:szCs w:val="24"/>
        </w:rPr>
        <w:t>, such as:</w:t>
      </w:r>
    </w:p>
    <w:p w14:paraId="7E462FB2" w14:textId="77777777" w:rsidR="007E7F78" w:rsidRDefault="007E7F78" w:rsidP="007E7F78">
      <w:pPr>
        <w:pStyle w:val="ListParagraph"/>
        <w:numPr>
          <w:ilvl w:val="0"/>
          <w:numId w:val="28"/>
        </w:numPr>
        <w:spacing w:line="360" w:lineRule="auto"/>
        <w:jc w:val="both"/>
        <w:rPr>
          <w:rFonts w:ascii="Arial" w:hAnsi="Arial" w:cs="Arial"/>
          <w:sz w:val="24"/>
          <w:szCs w:val="24"/>
        </w:rPr>
      </w:pPr>
      <w:r>
        <w:rPr>
          <w:rFonts w:ascii="Arial" w:hAnsi="Arial" w:cs="Arial"/>
          <w:sz w:val="24"/>
          <w:szCs w:val="24"/>
        </w:rPr>
        <w:t xml:space="preserve">Shame around singing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beliefs","type":"article-journal"},"uris":["http://www.mendeley.com/documents/?uuid=d1469298-0bbc-4c76-afcd-e0c4086da712"]}],"mendeley":{"formattedCitation":"(Hogle, 2021; Lewis and Hendricks, 2022)","plainTextFormattedCitation":"(Hogle, 2021; Lewis and Hendricks, 2022)","previouslyFormattedCitation":"(Hogle, 2021; Lewis and Hendricks, 2022)"},"properties":{"noteIndex":0},"schema":"https://github.com/citation-style-language/schema/raw/master/csl-citation.json"}</w:instrText>
      </w:r>
      <w:r>
        <w:rPr>
          <w:rFonts w:ascii="Arial" w:hAnsi="Arial" w:cs="Arial"/>
          <w:sz w:val="24"/>
          <w:szCs w:val="24"/>
        </w:rPr>
        <w:fldChar w:fldCharType="separate"/>
      </w:r>
      <w:r w:rsidRPr="006F7D4C">
        <w:rPr>
          <w:rFonts w:ascii="Arial" w:hAnsi="Arial" w:cs="Arial"/>
          <w:noProof/>
          <w:sz w:val="24"/>
          <w:szCs w:val="24"/>
        </w:rPr>
        <w:t>(Hogle, 2021; Lewis and Hendricks, 2022)</w:t>
      </w:r>
      <w:r>
        <w:rPr>
          <w:rFonts w:ascii="Arial" w:hAnsi="Arial" w:cs="Arial"/>
          <w:sz w:val="24"/>
          <w:szCs w:val="24"/>
        </w:rPr>
        <w:fldChar w:fldCharType="end"/>
      </w:r>
    </w:p>
    <w:p w14:paraId="65A0AE1B" w14:textId="77777777" w:rsidR="007E7F78" w:rsidRDefault="007E7F78" w:rsidP="007E7F78">
      <w:pPr>
        <w:pStyle w:val="ListParagraph"/>
        <w:numPr>
          <w:ilvl w:val="0"/>
          <w:numId w:val="28"/>
        </w:numPr>
        <w:spacing w:line="360" w:lineRule="auto"/>
        <w:jc w:val="both"/>
        <w:rPr>
          <w:rFonts w:ascii="Arial" w:hAnsi="Arial" w:cs="Arial"/>
          <w:sz w:val="24"/>
          <w:szCs w:val="24"/>
        </w:rPr>
      </w:pPr>
      <w:r>
        <w:rPr>
          <w:rFonts w:ascii="Arial" w:hAnsi="Arial" w:cs="Arial"/>
          <w:sz w:val="24"/>
          <w:szCs w:val="24"/>
        </w:rPr>
        <w:t>Anxiety</w:t>
      </w:r>
      <w:r w:rsidRPr="00680611">
        <w:rPr>
          <w:rFonts w:ascii="Arial" w:hAnsi="Arial" w:cs="Arial"/>
          <w:sz w:val="24"/>
          <w:szCs w:val="24"/>
        </w:rPr>
        <w:t xml:space="preserve"> </w:t>
      </w:r>
      <w:r>
        <w:rPr>
          <w:rFonts w:ascii="Arial" w:hAnsi="Arial" w:cs="Arial"/>
          <w:sz w:val="24"/>
          <w:szCs w:val="24"/>
        </w:rPr>
        <w:t xml:space="preserve">when singing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beliefs","type":"article-journal"},"uris":["http://www.mendeley.com/documents/?uuid=d1469298-0bbc-4c76-afcd-e0c4086da712"]}],"mendeley":{"formattedCitation":"(Hogle, 2021; Lewis and Hendricks, 2022)","plainTextFormattedCitation":"(Hogle, 2021; Lewis and Hendricks, 2022)","previouslyFormattedCitation":"(Hogle, 2021; Lewis and Hendricks, 2022)"},"properties":{"noteIndex":0},"schema":"https://github.com/citation-style-language/schema/raw/master/csl-citation.json"}</w:instrText>
      </w:r>
      <w:r>
        <w:rPr>
          <w:rFonts w:ascii="Arial" w:hAnsi="Arial" w:cs="Arial"/>
          <w:sz w:val="24"/>
          <w:szCs w:val="24"/>
        </w:rPr>
        <w:fldChar w:fldCharType="separate"/>
      </w:r>
      <w:r w:rsidRPr="006F7D4C">
        <w:rPr>
          <w:rFonts w:ascii="Arial" w:hAnsi="Arial" w:cs="Arial"/>
          <w:noProof/>
          <w:sz w:val="24"/>
          <w:szCs w:val="24"/>
        </w:rPr>
        <w:t>(Hogle, 2021; Lewis and Hendricks, 2022)</w:t>
      </w:r>
      <w:r>
        <w:rPr>
          <w:rFonts w:ascii="Arial" w:hAnsi="Arial" w:cs="Arial"/>
          <w:sz w:val="24"/>
          <w:szCs w:val="24"/>
        </w:rPr>
        <w:fldChar w:fldCharType="end"/>
      </w:r>
    </w:p>
    <w:p w14:paraId="6044381E" w14:textId="77777777" w:rsidR="007E7F78" w:rsidRDefault="007E7F78" w:rsidP="007E7F78">
      <w:pPr>
        <w:pStyle w:val="ListParagraph"/>
        <w:numPr>
          <w:ilvl w:val="0"/>
          <w:numId w:val="28"/>
        </w:numPr>
        <w:spacing w:line="360" w:lineRule="auto"/>
        <w:jc w:val="both"/>
        <w:rPr>
          <w:rFonts w:ascii="Arial" w:hAnsi="Arial" w:cs="Arial"/>
          <w:sz w:val="24"/>
          <w:szCs w:val="24"/>
        </w:rPr>
      </w:pPr>
      <w:r>
        <w:rPr>
          <w:rFonts w:ascii="Arial" w:hAnsi="Arial" w:cs="Arial"/>
          <w:sz w:val="24"/>
          <w:szCs w:val="24"/>
        </w:rPr>
        <w:t xml:space="preserve">Self-identifying as a non-singer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2021)","plainTextFormattedCitation":"(Hogle, 2021)","previouslyFormattedCitation":"(Hogle, 2021)"},"properties":{"noteIndex":0},"schema":"https://github.com/citation-style-language/schema/raw/master/csl-citation.json"}</w:instrText>
      </w:r>
      <w:r>
        <w:rPr>
          <w:rFonts w:ascii="Arial" w:hAnsi="Arial" w:cs="Arial"/>
          <w:sz w:val="24"/>
          <w:szCs w:val="24"/>
        </w:rPr>
        <w:fldChar w:fldCharType="separate"/>
      </w:r>
      <w:r w:rsidRPr="006F7D4C">
        <w:rPr>
          <w:rFonts w:ascii="Arial" w:hAnsi="Arial" w:cs="Arial"/>
          <w:noProof/>
          <w:sz w:val="24"/>
          <w:szCs w:val="24"/>
        </w:rPr>
        <w:t>(Hogle, 2021)</w:t>
      </w:r>
      <w:r>
        <w:rPr>
          <w:rFonts w:ascii="Arial" w:hAnsi="Arial" w:cs="Arial"/>
          <w:sz w:val="24"/>
          <w:szCs w:val="24"/>
        </w:rPr>
        <w:fldChar w:fldCharType="end"/>
      </w:r>
    </w:p>
    <w:p w14:paraId="3429CFD5" w14:textId="77777777" w:rsidR="007E7F78" w:rsidRDefault="007E7F78" w:rsidP="007E7F78">
      <w:pPr>
        <w:pStyle w:val="ListParagraph"/>
        <w:numPr>
          <w:ilvl w:val="0"/>
          <w:numId w:val="28"/>
        </w:numPr>
        <w:spacing w:line="360" w:lineRule="auto"/>
        <w:jc w:val="both"/>
        <w:rPr>
          <w:rFonts w:ascii="Arial" w:hAnsi="Arial" w:cs="Arial"/>
          <w:sz w:val="24"/>
          <w:szCs w:val="24"/>
        </w:rPr>
      </w:pPr>
      <w:r>
        <w:rPr>
          <w:rFonts w:ascii="Arial" w:hAnsi="Arial" w:cs="Arial"/>
          <w:sz w:val="24"/>
          <w:szCs w:val="24"/>
        </w:rPr>
        <w:t xml:space="preserve">Recounting negative learning experiences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beliefs","type":"article-journal"},"uris":["http://www.mendeley.com/documents/?uuid=d1469298-0bbc-4c76-afcd-e0c4086da712"]}],"mendeley":{"formattedCitation":"(Hogle, 2021; Lewis and Hendricks, 2022)","plainTextFormattedCitation":"(Hogle, 2021; Lewis and Hendricks, 2022)","previouslyFormattedCitation":"(Hogle, 2021; Lewis and Hendricks, 2022)"},"properties":{"noteIndex":0},"schema":"https://github.com/citation-style-language/schema/raw/master/csl-citation.json"}</w:instrText>
      </w:r>
      <w:r>
        <w:rPr>
          <w:rFonts w:ascii="Arial" w:hAnsi="Arial" w:cs="Arial"/>
          <w:sz w:val="24"/>
          <w:szCs w:val="24"/>
        </w:rPr>
        <w:fldChar w:fldCharType="separate"/>
      </w:r>
      <w:r w:rsidRPr="006F7D4C">
        <w:rPr>
          <w:rFonts w:ascii="Arial" w:hAnsi="Arial" w:cs="Arial"/>
          <w:noProof/>
          <w:sz w:val="24"/>
          <w:szCs w:val="24"/>
        </w:rPr>
        <w:t>(Hogle, 2021; Lewis and Hendricks, 2022)</w:t>
      </w:r>
      <w:r>
        <w:rPr>
          <w:rFonts w:ascii="Arial" w:hAnsi="Arial" w:cs="Arial"/>
          <w:sz w:val="24"/>
          <w:szCs w:val="24"/>
        </w:rPr>
        <w:fldChar w:fldCharType="end"/>
      </w:r>
    </w:p>
    <w:p w14:paraId="4316FEA9" w14:textId="77777777" w:rsidR="007E7F78" w:rsidRDefault="007E7F78" w:rsidP="007E7F78">
      <w:pPr>
        <w:pStyle w:val="ListParagraph"/>
        <w:numPr>
          <w:ilvl w:val="0"/>
          <w:numId w:val="28"/>
        </w:numPr>
        <w:spacing w:line="360" w:lineRule="auto"/>
        <w:jc w:val="both"/>
        <w:rPr>
          <w:rFonts w:ascii="Arial" w:hAnsi="Arial" w:cs="Arial"/>
          <w:sz w:val="24"/>
          <w:szCs w:val="24"/>
        </w:rPr>
      </w:pPr>
      <w:r>
        <w:rPr>
          <w:rFonts w:ascii="Arial" w:hAnsi="Arial" w:cs="Arial"/>
          <w:sz w:val="24"/>
          <w:szCs w:val="24"/>
        </w:rPr>
        <w:t xml:space="preserve">Recounting criticism or upsetting feedback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beliefs","type":"article-journal"},"uris":["http://www.mendeley.com/documents/?uuid=d1469298-0bbc-4c76-afcd-e0c4086da712"]},{"id":"ITEM-3","itemData":{"DOI":"10.18546/LRE.13.1.05","ISSN":"14748479","abstract":"The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Education","id":"ITEM-3","issue":"1","issued":{"date-parts":[["2015"]]},"page":"43-57","title":"Critical geragogy: A framework for facilitating older learners in community music","type":"article-journal","volume":"13"},"uris":["http://www.mendeley.com/documents/?uuid=fa50dd99-4e1e-44de-a3f2-30dd41815d00"]}],"mendeley":{"formattedCitation":"(Creech and Hallam, 2015; Hogle, 2021; Lewis and Hendricks, 2022)","plainTextFormattedCitation":"(Creech and Hallam, 2015; Hogle, 2021; Lewis and Hendricks, 2022)","previouslyFormattedCitation":"(Creech and Hallam, 2015; Hogle, 2021; Lewis and Hendricks, 2022)"},"properties":{"noteIndex":0},"schema":"https://github.com/citation-style-language/schema/raw/master/csl-citation.json"}</w:instrText>
      </w:r>
      <w:r>
        <w:rPr>
          <w:rFonts w:ascii="Arial" w:hAnsi="Arial" w:cs="Arial"/>
          <w:sz w:val="24"/>
          <w:szCs w:val="24"/>
        </w:rPr>
        <w:fldChar w:fldCharType="separate"/>
      </w:r>
      <w:r w:rsidRPr="006F7D4C">
        <w:rPr>
          <w:rFonts w:ascii="Arial" w:hAnsi="Arial" w:cs="Arial"/>
          <w:noProof/>
          <w:sz w:val="24"/>
          <w:szCs w:val="24"/>
        </w:rPr>
        <w:t>(Creech and Hallam, 2015; Hogle, 2021; Lewis and Hendricks, 2022)</w:t>
      </w:r>
      <w:r>
        <w:rPr>
          <w:rFonts w:ascii="Arial" w:hAnsi="Arial" w:cs="Arial"/>
          <w:sz w:val="24"/>
          <w:szCs w:val="24"/>
        </w:rPr>
        <w:fldChar w:fldCharType="end"/>
      </w:r>
    </w:p>
    <w:p w14:paraId="643482E4" w14:textId="77777777" w:rsidR="007E7F78" w:rsidRDefault="007E7F78" w:rsidP="007E7F78">
      <w:pPr>
        <w:pStyle w:val="ListParagraph"/>
        <w:numPr>
          <w:ilvl w:val="0"/>
          <w:numId w:val="28"/>
        </w:numPr>
        <w:spacing w:line="360" w:lineRule="auto"/>
        <w:jc w:val="both"/>
        <w:rPr>
          <w:rFonts w:ascii="Arial" w:hAnsi="Arial" w:cs="Arial"/>
          <w:sz w:val="24"/>
          <w:szCs w:val="24"/>
        </w:rPr>
      </w:pPr>
      <w:r>
        <w:rPr>
          <w:rFonts w:ascii="Arial" w:hAnsi="Arial" w:cs="Arial"/>
          <w:sz w:val="24"/>
          <w:szCs w:val="24"/>
        </w:rPr>
        <w:t xml:space="preserve">Discussing confusion around singing or an aspect of singing </w:t>
      </w:r>
      <w:r>
        <w:rPr>
          <w:rFonts w:ascii="Arial" w:hAnsi="Arial" w:cs="Arial"/>
          <w:sz w:val="24"/>
          <w:szCs w:val="24"/>
        </w:rPr>
        <w:fldChar w:fldCharType="begin" w:fldLock="1"/>
      </w:r>
      <w:r>
        <w:rPr>
          <w:rFonts w:ascii="Arial" w:hAnsi="Arial" w:cs="Arial"/>
          <w:sz w:val="24"/>
          <w:szCs w:val="24"/>
        </w:rPr>
        <w:instrText>ADDIN CSL_CITATION {"citationItems":[{"id":"ITEM-1","itemData":{"DOI":"10.1111/ijsa.12326","ISSN":"14682389","abstract":"Interview anxiety is common among interviewees and has the potential to undermine an applicant's interview performance. Nevertheless, there is much that we do not understand about the role of anxiety in job interviews. In this paper, we advance a conceptual model that highlights the multidimensional nature of interview anxiety by incorporating its cognitive, behavioral, and physiological components, termed the Tripartite Interview Anxiety Framework (TIAF). This model highlights the role of person, interviewer, and contextual characteristics in shaping interview anxiety, elucidates the underlying relations between interview anxiety and performance, and delineates critical moderators of these important relations. In doing so, the TIAF simultaneously advances the theory of interview anxiety, promotes further work in this area, and highlights implications for practice.","author":[{"dropping-particle":"","family":"Constantin","given":"Kaytlin L.","non-dropping-particle":"","parse-names":false,"suffix":""},{"dropping-particle":"","family":"Powell","given":"Deborah M.","non-dropping-particle":"","parse-names":false,"suffix":""},{"dropping-particle":"","family":"McCarthy","given":"Julie M.","non-dropping-particle":"","parse-names":false,"suffix":""}],"container-title":"International Journal of Selection and Assessment","id":"ITEM-1","issue":"2","issued":{"date-parts":[["2021"]]},"page":"234-252","title":"Expanding conceptual understanding of interview anxiety and performance: Integrating cognitive, behavioral, and physiological features","type":"article-journal","volume":"29"},"uris":["http://www.mendeley.com/documents/?uuid=21f0cf3f-5055-488b-bf41-158461173e28"]},{"id":"ITEM-2","itemData":{"DOI":"10.1177/1321103X20930426","ISSN":"18345530","abstract":"The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Education","id":"ITEM-2","issue":"2","issued":{"date-parts":[["2021"]]},"page":"179-194","title":"Fostering singing agency through emotional differentiation in an inclusive singing environment","type":"article-journal","volume":"43"},"uris":["http://www.mendeley.com/documents/?uuid=df4ddb6b-d417-411f-9261-d87aba0aa367"]},{"id":"ITEM-3","itemData":{"DOI":"10.1177/02557614221074057","ISBN":"0255761422107","ISSN":"1744795X","abstract":"Fostering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Education","id":"ITEM-3","issued":{"date-parts":[["2022"]]},"title":"“It’s your body, it’s part of who you are!”: Influences upon collegiate vocalists’ performance self-efficacy beliefs","type":"article-journal"},"uris":["http://www.mendeley.com/documents/?uuid=d1469298-0bbc-4c76-afcd-e0c4086da712"]}],"mendeley":{"formattedCitation":"(Constantin, Powell and McCarthy, 2021; Hogle, 2021; Lewis and Hendricks, 2022)","plainTextFormattedCitation":"(Constantin, Powell and McCarthy, 2021; Hogle, 2021; Lewis and Hendricks, 2022)","previouslyFormattedCitation":"(Constantin, Powell and McCarthy, 2021; Hogle, 2021; Lewis and Hendricks, 2022)"},"properties":{"noteIndex":0},"schema":"https://github.com/citation-style-language/schema/raw/master/csl-citation.json"}</w:instrText>
      </w:r>
      <w:r>
        <w:rPr>
          <w:rFonts w:ascii="Arial" w:hAnsi="Arial" w:cs="Arial"/>
          <w:sz w:val="24"/>
          <w:szCs w:val="24"/>
        </w:rPr>
        <w:fldChar w:fldCharType="separate"/>
      </w:r>
      <w:r w:rsidRPr="006F7D4C">
        <w:rPr>
          <w:rFonts w:ascii="Arial" w:hAnsi="Arial" w:cs="Arial"/>
          <w:noProof/>
          <w:sz w:val="24"/>
          <w:szCs w:val="24"/>
        </w:rPr>
        <w:t>(Constantin, Powell and McCarthy, 2021; Hogle, 2021; Lewis and Hendricks, 2022)</w:t>
      </w:r>
      <w:r>
        <w:rPr>
          <w:rFonts w:ascii="Arial" w:hAnsi="Arial" w:cs="Arial"/>
          <w:sz w:val="24"/>
          <w:szCs w:val="24"/>
        </w:rPr>
        <w:fldChar w:fldCharType="end"/>
      </w:r>
    </w:p>
    <w:p w14:paraId="4D8E5B70" w14:textId="77777777" w:rsidR="007E7F78" w:rsidRDefault="007E7F78" w:rsidP="007E7F78">
      <w:pPr>
        <w:spacing w:line="360" w:lineRule="auto"/>
        <w:jc w:val="both"/>
        <w:rPr>
          <w:rFonts w:ascii="Arial" w:hAnsi="Arial" w:cs="Arial"/>
          <w:sz w:val="24"/>
          <w:szCs w:val="24"/>
        </w:rPr>
      </w:pPr>
      <w:r>
        <w:rPr>
          <w:rFonts w:ascii="Arial" w:hAnsi="Arial" w:cs="Arial"/>
          <w:sz w:val="24"/>
          <w:szCs w:val="24"/>
        </w:rPr>
        <w:t xml:space="preserve">Other </w:t>
      </w:r>
      <w:r w:rsidRPr="00972C8E">
        <w:rPr>
          <w:rFonts w:ascii="Arial" w:hAnsi="Arial" w:cs="Arial"/>
          <w:b/>
          <w:bCs/>
          <w:i/>
          <w:iCs/>
          <w:sz w:val="24"/>
          <w:szCs w:val="24"/>
        </w:rPr>
        <w:t>symptoms of lowered self-efficacy</w:t>
      </w:r>
      <w:r>
        <w:rPr>
          <w:rFonts w:ascii="Arial" w:hAnsi="Arial" w:cs="Arial"/>
          <w:sz w:val="24"/>
          <w:szCs w:val="24"/>
        </w:rPr>
        <w:t xml:space="preserve"> are:</w:t>
      </w:r>
    </w:p>
    <w:p w14:paraId="6956C621" w14:textId="77777777" w:rsidR="007E7F78" w:rsidRDefault="007E7F78" w:rsidP="007E7F78">
      <w:pPr>
        <w:pStyle w:val="ListParagraph"/>
        <w:numPr>
          <w:ilvl w:val="0"/>
          <w:numId w:val="29"/>
        </w:numPr>
        <w:spacing w:line="360" w:lineRule="auto"/>
        <w:jc w:val="both"/>
        <w:rPr>
          <w:rFonts w:ascii="Arial" w:hAnsi="Arial" w:cs="Arial"/>
          <w:sz w:val="24"/>
          <w:szCs w:val="24"/>
        </w:rPr>
      </w:pPr>
      <w:r>
        <w:rPr>
          <w:rFonts w:ascii="Arial" w:hAnsi="Arial" w:cs="Arial"/>
          <w:sz w:val="24"/>
          <w:szCs w:val="24"/>
        </w:rPr>
        <w:t xml:space="preserve">Feeling a lack of freedom when singing. This may regard expression, technique, or physiological freedom </w:t>
      </w:r>
      <w:r>
        <w:rPr>
          <w:rFonts w:ascii="Arial" w:hAnsi="Arial" w:cs="Arial"/>
          <w:sz w:val="24"/>
          <w:szCs w:val="24"/>
        </w:rPr>
        <w:fldChar w:fldCharType="begin" w:fldLock="1"/>
      </w:r>
      <w:r>
        <w:rPr>
          <w:rFonts w:ascii="Arial" w:hAnsi="Arial" w:cs="Arial"/>
          <w:sz w:val="24"/>
          <w:szCs w:val="24"/>
        </w:rPr>
        <w:instrText>ADDIN CSL_CITATION {"citationItems":[{"id":"ITEM-1","itemData":{"DOI":"10.3389/fnhum.2013.00012","ISSN":"16625161","abstract":"Mindfulness Based Stress Reduction (MBSR) and Mindfulness Based Cognitive Therapy (MBCT) use a common set of exercises to reduce distress in chronic pain and decrease risk of depression relapse. These standardized mindfulness (ST-Mindfulness) practices predominantly require attending to breath and body sensations. Here, we offer a novel view of ST-Mindfulness's somatic focus as a form of training for optimizing attentional modulation of 7-14 Hz alpha rhythms that play a key role in filtering inputs to primary sensory neocortex and organizing the flow of sensory information. In support of the framework, we describe our previous finding (Kerr et al, 2011) that ST-Mindfulness enhanced attentional regulation of alpha in primary somatosensory cortex (SI). The framework allows us to make several predictions. In chronic pain, we predict somatic attention in ST-Mindfulness \"de-biases alpha in SI, freeing up pain-focused attentional resources. In depression relapse, we predict ST-Mindfulness's somatic attention competes with internally focused rumination, as internally focused cognitive processes (e.g., working and short term memory) rely on alpha filtering of sensory input. Our computational model (Jones et al, 2009) predicts ST-Mindfulness enhances top-down modulation of alpha by facilitating precise alterations in timing and efficacy of SI thalamocortical inputs. We conclude by considering how the proposed framework aligns with Buddhist teachings that mindfulness starts with \"mindfulness of the body.\" Translating this theory into neurophysiology, we hypothesize that with its somatic focus, mindfulness' top-down alpha rhythm modulation in SI enhances gain control which, in turn, sensitizes practitioners to better detect and regulate when the mind wanders from its somatic focus. This enhanced regulation of somatic mind-wandering may be an early stage of mindfulness training, leading to cognitive regulation and metacognition. © 2013 Kerr, Sacchet, Lazar, Moore and Jones.","author":[{"dropping-particle":"","family":"Kerr","given":"Catherine E.","non-dropping-particle":"","parse-names":false,"suffix":""},{"dropping-particle":"","family":"Sacchet","given":"Matthew D.","non-dropping-particle":"","parse-names":false,"suffix":""},{"dropping-particle":"","family":"Lazar","given":"Sara W.","non-dropping-particle":"","parse-names":false,"suffix":""},{"dropping-particle":"","family":"Moore","given":"Christopher I.","non-dropping-particle":"","parse-names":false,"suffix":""},{"dropping-particle":"","family":"Jones","given":"Stephanie R.","non-dropping-particle":"","parse-names":false,"suffix":""}],"container-title":"Frontiers in Human Neuroscience","id":"ITEM-1","issue":"JAN","issued":{"date-parts":[["2013"]]},"page":"1-15","title":"Title: Mindfulness starts with the body: Somatosensory attention and top-down modulation of cortical alpha rhythms in mindfulness meditation","type":"article-journal","volume":"7"},"uris":["http://www.mendeley.com/documents/?uuid=53ffdad0-905d-4c04-820e-95fde3d9d4fa"]},{"id":"ITEM-2","itemData":{"abstract":"This dissertation is a study wrapped in a metaphor of voices, figurative and literal. It is a story of four singers over the course of 12 weeks and weaves through individuals in a group singing class. As a study, it used integral inquiry and emphasized action and narrative research. It explored one overarching research question, which naturally led to several sub-questions: In what ways might Mindfulness Awareness Practices (MAPS) and contemplative teaching and learning practices affect singers’ experiences of their own vocal and personal growth? (Sub- questions: What practices are reported as being successful?; How do participants experience growth?; How might singers and teachers shift to a mindset of process and progress throughout practicing and performing?; How do we create a space of mutuality and trust to foster self- reflection?; How do we balance instruction, offering feedback when needed and wanted while fostering self-trust and independence? While","author":[{"dropping-particle":"","family":"Blackhurst","given":"Lindsey Elizabeth","non-dropping-particle":"","parse-names":false,"suffix":""}],"container-title":"University of Colombia Doctor of Education submission","id":"ITEM-2","issued":{"date-parts":[["2021"]]},"title":"Exploring the Whole Singing Self with Technique, Contemplative Education, and Mindfulness","type":"thesis"},"uris":["http://www.mendeley.com/documents/?uuid=79851e18-e8d1-4fb1-960f-0d0a2b1452b7"]}],"mendeley":{"formattedCitation":"(Kerr &lt;i&gt;et al.&lt;/i&gt;, 2013; Blackhurst, 2021)","plainTextFormattedCitation":"(Kerr et al., 2013; Blackhurst, 2021)","previouslyFormattedCitation":"(Kerr &lt;i&gt;et al.&lt;/i&gt;, 2013; Blackhurst, 2021)"},"properties":{"noteIndex":0},"schema":"https://github.com/citation-style-language/schema/raw/master/csl-citation.json"}</w:instrText>
      </w:r>
      <w:r>
        <w:rPr>
          <w:rFonts w:ascii="Arial" w:hAnsi="Arial" w:cs="Arial"/>
          <w:sz w:val="24"/>
          <w:szCs w:val="24"/>
        </w:rPr>
        <w:fldChar w:fldCharType="separate"/>
      </w:r>
      <w:r w:rsidRPr="006F7D4C">
        <w:rPr>
          <w:rFonts w:ascii="Arial" w:hAnsi="Arial" w:cs="Arial"/>
          <w:noProof/>
          <w:sz w:val="24"/>
          <w:szCs w:val="24"/>
        </w:rPr>
        <w:t xml:space="preserve">(Kerr </w:t>
      </w:r>
      <w:r w:rsidRPr="006F7D4C">
        <w:rPr>
          <w:rFonts w:ascii="Arial" w:hAnsi="Arial" w:cs="Arial"/>
          <w:i/>
          <w:noProof/>
          <w:sz w:val="24"/>
          <w:szCs w:val="24"/>
        </w:rPr>
        <w:t>et al.</w:t>
      </w:r>
      <w:r w:rsidRPr="006F7D4C">
        <w:rPr>
          <w:rFonts w:ascii="Arial" w:hAnsi="Arial" w:cs="Arial"/>
          <w:noProof/>
          <w:sz w:val="24"/>
          <w:szCs w:val="24"/>
        </w:rPr>
        <w:t>, 2013; Blackhurst, 2021)</w:t>
      </w:r>
      <w:r>
        <w:rPr>
          <w:rFonts w:ascii="Arial" w:hAnsi="Arial" w:cs="Arial"/>
          <w:sz w:val="24"/>
          <w:szCs w:val="24"/>
        </w:rPr>
        <w:fldChar w:fldCharType="end"/>
      </w:r>
    </w:p>
    <w:p w14:paraId="40FBD627" w14:textId="77777777" w:rsidR="007E7F78" w:rsidRDefault="007E7F78" w:rsidP="007E7F78">
      <w:pPr>
        <w:pStyle w:val="ListParagraph"/>
        <w:numPr>
          <w:ilvl w:val="0"/>
          <w:numId w:val="29"/>
        </w:numPr>
        <w:spacing w:line="360" w:lineRule="auto"/>
        <w:jc w:val="both"/>
        <w:rPr>
          <w:rFonts w:ascii="Arial" w:hAnsi="Arial" w:cs="Arial"/>
          <w:sz w:val="24"/>
          <w:szCs w:val="24"/>
        </w:rPr>
      </w:pPr>
      <w:r>
        <w:rPr>
          <w:rFonts w:ascii="Arial" w:hAnsi="Arial" w:cs="Arial"/>
          <w:sz w:val="24"/>
          <w:szCs w:val="24"/>
        </w:rPr>
        <w:t xml:space="preserve">Negative thoughts about their singing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2022)","plainTextFormattedCitation":"(Lewis and Hendricks, 2022)","previouslyFormattedCitation":"(Lewis and Hendricks, 2022)"},"properties":{"noteIndex":0},"schema":"https://github.com/citation-style-language/schema/raw/master/csl-citation.json"}</w:instrText>
      </w:r>
      <w:r>
        <w:rPr>
          <w:rFonts w:ascii="Arial" w:hAnsi="Arial" w:cs="Arial"/>
          <w:sz w:val="24"/>
          <w:szCs w:val="24"/>
        </w:rPr>
        <w:fldChar w:fldCharType="separate"/>
      </w:r>
      <w:r w:rsidRPr="006F7D4C">
        <w:rPr>
          <w:rFonts w:ascii="Arial" w:hAnsi="Arial" w:cs="Arial"/>
          <w:noProof/>
          <w:sz w:val="24"/>
          <w:szCs w:val="24"/>
        </w:rPr>
        <w:t>(Lewis and Hendricks, 2022)</w:t>
      </w:r>
      <w:r>
        <w:rPr>
          <w:rFonts w:ascii="Arial" w:hAnsi="Arial" w:cs="Arial"/>
          <w:sz w:val="24"/>
          <w:szCs w:val="24"/>
        </w:rPr>
        <w:fldChar w:fldCharType="end"/>
      </w:r>
    </w:p>
    <w:p w14:paraId="18535ACE" w14:textId="77777777" w:rsidR="007E7F78" w:rsidRDefault="007E7F78" w:rsidP="007E7F78">
      <w:pPr>
        <w:pStyle w:val="ListParagraph"/>
        <w:numPr>
          <w:ilvl w:val="0"/>
          <w:numId w:val="29"/>
        </w:numPr>
        <w:spacing w:line="360" w:lineRule="auto"/>
        <w:jc w:val="both"/>
        <w:rPr>
          <w:rFonts w:ascii="Arial" w:hAnsi="Arial" w:cs="Arial"/>
          <w:sz w:val="24"/>
          <w:szCs w:val="24"/>
        </w:rPr>
      </w:pPr>
      <w:r>
        <w:rPr>
          <w:rFonts w:ascii="Arial" w:hAnsi="Arial" w:cs="Arial"/>
          <w:sz w:val="24"/>
          <w:szCs w:val="24"/>
        </w:rPr>
        <w:t xml:space="preserve">Negative beliefs about their singing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beliefs","type":"article-journal"},"uris":["http://www.mendeley.com/documents/?uuid=d1469298-0bbc-4c76-afcd-e0c4086da712"]},{"id":"ITEM-2","itemData":{"DOI":"10.1016/j.chiabu.2019.03.016","ISSN":"18737757","PMID":"30908992","abstract":"Background: Emotional abuse is a form of maltreatment that most strongly predicts adult depressive symptoms in community samples. Introject theories suggest that some depressive symptoms stem from survivors having learned to treat themselves the way they were treated by their perpetrators. Objective: Malevolent introjects may undermine self-compassion, which may subsequently maintain feelings of shame. Thus, we hypothesized that self-compassion and shame would mediate the path from retrospective reports of maltreatment to concurrent depressive symptoms in adulthood. Participants and Setting: Participants were 244 adult community members and college students living in a Southwestern American metroplex. Method: We ran a multiple mediator path model with emotional abuse as the independent variable. We specified four covariates: physical abuse, sexual abuse, physical neglect, and emotional neglect, and held constant the variance they explained in self-compassion, shame, and depression. Results: Our final model accounted for 53.1% of the variance in adult depressive symptoms. A significant indirect effect from emotional abuse passed through both mediators and ended in adult depressive symptoms. We also found an indirect path from emotional neglect to depression passing through both mediators. Conclusions: It appears emotional abuse and emotional neglect can undermine the formation of self-compassion. Low self-compassion predicts greater shame and depressive symptoms. Our model suggests self-compassion may be a particularly effective intervention point for survivors of emotional maltreatment.","author":[{"dropping-particle":"","family":"Ross","given":"Nicholas Dutra","non-dropping-particle":"","parse-names":false,"suffix":""},{"dropping-particle":"","family":"Kaminski","given":"Patricia L.","non-dropping-particle":"","parse-names":false,"suffix":""},{"dropping-particle":"","family":"Herrington","given":"Richard","non-dropping-particle":"","parse-names":false,"suffix":""}],"container-title":"Child Abuse and Neglect","id":"ITEM-2","issue":"March","issued":{"date-parts":[["2019"]]},"page":"32-42","publisher":"Elsevier","title":"From childhood emotional maltreatment to depressive symptoms in adulthood: The roles of self-compassion and shame","type":"article-journal","volume":"92"},"uris":["http://www.mendeley.com/documents/?uuid=5d2ba5ae-15f4-42b3-a6cd-782136c19572"]},{"id":"ITEM-3","itemData":{"DOI":"10.18546/LRE.13.1.05","ISSN":"14748479","abstract":"The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Education","id":"ITEM-3","issue":"1","issued":{"date-parts":[["2015"]]},"page":"43-57","title":"Critical geragogy: A framework for facilitating older learners in community music","type":"article-journal","volume":"13"},"uris":["http://www.mendeley.com/documents/?uuid=fa50dd99-4e1e-44de-a3f2-30dd41815d00"]}],"mendeley":{"formattedCitation":"(Creech and Hallam, 2015; Ross, Kaminski and Herrington, 2019; Lewis and Hendricks, 2022)","plainTextFormattedCitation":"(Creech and Hallam, 2015; Ross, Kaminski and Herrington, 2019; Lewis and Hendricks, 2022)","previouslyFormattedCitation":"(Creech and Hallam, 2015; Ross, Kaminski and Herrington, 2019; Lewis and Hendricks, 2022)"},"properties":{"noteIndex":0},"schema":"https://github.com/citation-style-language/schema/raw/master/csl-citation.json"}</w:instrText>
      </w:r>
      <w:r>
        <w:rPr>
          <w:rFonts w:ascii="Arial" w:hAnsi="Arial" w:cs="Arial"/>
          <w:sz w:val="24"/>
          <w:szCs w:val="24"/>
        </w:rPr>
        <w:fldChar w:fldCharType="separate"/>
      </w:r>
      <w:r w:rsidRPr="006F7D4C">
        <w:rPr>
          <w:rFonts w:ascii="Arial" w:hAnsi="Arial" w:cs="Arial"/>
          <w:noProof/>
          <w:sz w:val="24"/>
          <w:szCs w:val="24"/>
        </w:rPr>
        <w:t>(Creech and Hallam, 2015; Ross, Kaminski and Herrington, 2019; Lewis and Hendricks, 2022)</w:t>
      </w:r>
      <w:r>
        <w:rPr>
          <w:rFonts w:ascii="Arial" w:hAnsi="Arial" w:cs="Arial"/>
          <w:sz w:val="24"/>
          <w:szCs w:val="24"/>
        </w:rPr>
        <w:fldChar w:fldCharType="end"/>
      </w:r>
    </w:p>
    <w:p w14:paraId="50CF52FF" w14:textId="77777777" w:rsidR="007E7F78" w:rsidRDefault="007E7F78" w:rsidP="007E7F78">
      <w:pPr>
        <w:pStyle w:val="ListParagraph"/>
        <w:numPr>
          <w:ilvl w:val="0"/>
          <w:numId w:val="29"/>
        </w:numPr>
        <w:spacing w:line="360" w:lineRule="auto"/>
        <w:jc w:val="both"/>
        <w:rPr>
          <w:rFonts w:ascii="Arial" w:hAnsi="Arial" w:cs="Arial"/>
          <w:sz w:val="24"/>
          <w:szCs w:val="24"/>
        </w:rPr>
      </w:pPr>
      <w:r>
        <w:rPr>
          <w:rFonts w:ascii="Arial" w:hAnsi="Arial" w:cs="Arial"/>
          <w:sz w:val="24"/>
          <w:szCs w:val="24"/>
        </w:rPr>
        <w:t>Low-</w:t>
      </w:r>
      <w:proofErr w:type="spellStart"/>
      <w:r>
        <w:rPr>
          <w:rFonts w:ascii="Arial" w:hAnsi="Arial" w:cs="Arial"/>
          <w:sz w:val="24"/>
          <w:szCs w:val="24"/>
        </w:rPr>
        <w:t>self esteem</w:t>
      </w:r>
      <w:proofErr w:type="spellEnd"/>
      <w:r>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{"citationItems":[{"id":"ITEM-1","itemData":{"DOI":"10.1037/0003-066X.55.6.637","ISSN":"0003066X","PMID":"10892206","abstract":"Although the concept of the defense mechanism was rejected from academic psychology for a number of years, recent empirical studies show renewed interest in defenses. Cognitive psychologists have confirmed the existence of unconscious psychological processes, a requisite for defenses. Developmental, personality, and social psychologists have all found evidence for defense mechanisms that explicate psychological functioning. The relevance of this new information for clinical practice is discussed.","author":[{"dropping-particle":"","family":"Cramer","given":"Phebe","non-dropping-particle":"","parse-names":false,"suffix":""}],"container-title":"American Psychologist","id":"ITEM-1","issue":"6","issued":{"date-parts":[["2000"]]},"page":"637-646","title":"Defense mechanisms in psychology today: Further processes for adaptation","type":"article-journal","volume":"55"},"uris":["http://www.mendeley.com/documents/?uuid=a9bc43ab-7ffd-4230-b92b-ab5b5d7327ba"]},{"id":"ITEM-2","itemData":{"author":[{"dropping-particle":"","family":"Moghal","given":"Sarwat","non-dropping-particle":"","parse-names":false,"suffix":""},{"dropping-particle":"","family":"Khanam","given":"Fazeela","non-dropping-particle":"","parse-names":false,"suffix":""}],"container-title":"Pakistan Journal of psychology","id":"ITEM-2","issue":"1","issued":{"date-parts":[["2012"]]},"page":"91-100","title":"Self esteem as a predictor of fear of negative evaluation and social anxiety","type":"article-journal","volume":"43"},"uris":["http://www.mendeley.com/documents/?uuid=a671e9c9-ce59-4224-b9d7-fb74206b7f40"]}],"mendeley":{"formattedCitation":"(Cramer, 2000; Moghal and Khanam, 2012)","plainTextFormattedCitation":"(Cramer, 2000; Moghal and Khanam, 2012)","previouslyFormattedCitation":"(Cramer, 2000; Moghal and Khanam, 2012)"},"properties":{"noteIndex":0},"schema":"https://github.com/citation-style-language/schema/raw/master/csl-citation.json"}</w:instrText>
      </w:r>
      <w:r>
        <w:rPr>
          <w:rFonts w:ascii="Arial" w:hAnsi="Arial" w:cs="Arial"/>
          <w:sz w:val="24"/>
          <w:szCs w:val="24"/>
        </w:rPr>
        <w:fldChar w:fldCharType="separate"/>
      </w:r>
      <w:r w:rsidRPr="006F7D4C">
        <w:rPr>
          <w:rFonts w:ascii="Arial" w:hAnsi="Arial" w:cs="Arial"/>
          <w:noProof/>
          <w:sz w:val="24"/>
          <w:szCs w:val="24"/>
        </w:rPr>
        <w:t>(Cramer, 2000; Moghal and Khanam, 2012)</w:t>
      </w:r>
      <w:r>
        <w:rPr>
          <w:rFonts w:ascii="Arial" w:hAnsi="Arial" w:cs="Arial"/>
          <w:sz w:val="24"/>
          <w:szCs w:val="24"/>
        </w:rPr>
        <w:fldChar w:fldCharType="end"/>
      </w:r>
    </w:p>
    <w:p w14:paraId="3CAFE963" w14:textId="77777777" w:rsidR="007E7F78" w:rsidRDefault="007E7F78" w:rsidP="007E7F78">
      <w:pPr>
        <w:pStyle w:val="ListParagraph"/>
        <w:numPr>
          <w:ilvl w:val="0"/>
          <w:numId w:val="29"/>
        </w:numPr>
        <w:spacing w:line="360" w:lineRule="auto"/>
        <w:jc w:val="both"/>
        <w:rPr>
          <w:rFonts w:ascii="Arial" w:hAnsi="Arial" w:cs="Arial"/>
          <w:sz w:val="24"/>
          <w:szCs w:val="24"/>
        </w:rPr>
      </w:pPr>
      <w:r>
        <w:rPr>
          <w:rFonts w:ascii="Arial" w:hAnsi="Arial" w:cs="Arial"/>
          <w:sz w:val="24"/>
          <w:szCs w:val="24"/>
        </w:rPr>
        <w:t xml:space="preserve">Discomfort around evaluation </w:t>
      </w:r>
      <w:r>
        <w:rPr>
          <w:rFonts w:ascii="Arial" w:hAnsi="Arial" w:cs="Arial"/>
          <w:sz w:val="24"/>
          <w:szCs w:val="24"/>
        </w:rPr>
        <w:fldChar w:fldCharType="begin" w:fldLock="1"/>
      </w:r>
      <w:r>
        <w:rPr>
          <w:rFonts w:ascii="Arial" w:hAnsi="Arial" w:cs="Arial"/>
          <w:sz w:val="24"/>
          <w:szCs w:val="24"/>
        </w:rPr>
        <w:instrText>ADDIN CSL_CITATION {"citationItems":[{"id":"ITEM-1","itemData":{"DOI":"10.18546/LRE.13.1.05","ISSN":"14748479","abstract":"The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Education","id":"ITEM-1","issue":"1","issued":{"date-parts":[["2015"]]},"page":"43-57","title":"Critical geragogy: A framework for facilitating older learners in community music","type":"article-journal","volume":"13"},"uris":["http://www.mendeley.com/documents/?uuid=fa50dd99-4e1e-44de-a3f2-30dd41815d00"]},{"id":"ITEM-2","itemData":{"DOI":"10.1177/1321103X20930426","ISSN":"18345530","abstract":"The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Education","id":"ITEM-2","issue":"2","issued":{"date-parts":[["2021"]]},"page":"179-194","title":"Fostering singing agency through emotional differentiation in an inclusive singing environment","type":"article-journal","volume":"43"},"uris":["http://www.mendeley.com/documents/?uuid=df4ddb6b-d417-411f-9261-d87aba0aa367"]}],"mendeley":{"formattedCitation":"(Creech and Hallam, 2015; Hogle, 2021)","plainTextFormattedCitation":"(Creech and Hallam, 2015; Hogle, 2021)","previouslyFormattedCitation":"(Creech and Hallam, 2015; Hogle, 2021)"},"properties":{"noteIndex":0},"schema":"https://github.com/citation-style-language/schema/raw/master/csl-citation.json"}</w:instrText>
      </w:r>
      <w:r>
        <w:rPr>
          <w:rFonts w:ascii="Arial" w:hAnsi="Arial" w:cs="Arial"/>
          <w:sz w:val="24"/>
          <w:szCs w:val="24"/>
        </w:rPr>
        <w:fldChar w:fldCharType="separate"/>
      </w:r>
      <w:r w:rsidRPr="00CB1DDE">
        <w:rPr>
          <w:rFonts w:ascii="Arial" w:hAnsi="Arial" w:cs="Arial"/>
          <w:noProof/>
          <w:sz w:val="24"/>
          <w:szCs w:val="24"/>
        </w:rPr>
        <w:t>(Creech and Hallam, 2015; Hogle, 2021)</w:t>
      </w:r>
      <w:r>
        <w:rPr>
          <w:rFonts w:ascii="Arial" w:hAnsi="Arial" w:cs="Arial"/>
          <w:sz w:val="24"/>
          <w:szCs w:val="24"/>
        </w:rPr>
        <w:fldChar w:fldCharType="end"/>
      </w:r>
    </w:p>
    <w:p w14:paraId="43995242" w14:textId="77777777" w:rsidR="007E7F78" w:rsidRDefault="007E7F78" w:rsidP="007E7F78">
      <w:pPr>
        <w:pStyle w:val="ListParagraph"/>
        <w:numPr>
          <w:ilvl w:val="0"/>
          <w:numId w:val="29"/>
        </w:numPr>
        <w:spacing w:line="360" w:lineRule="auto"/>
        <w:jc w:val="both"/>
        <w:rPr>
          <w:rFonts w:ascii="Arial" w:hAnsi="Arial" w:cs="Arial"/>
          <w:sz w:val="24"/>
          <w:szCs w:val="24"/>
        </w:rPr>
      </w:pPr>
      <w:r>
        <w:rPr>
          <w:rFonts w:ascii="Arial" w:hAnsi="Arial" w:cs="Arial"/>
          <w:sz w:val="24"/>
          <w:szCs w:val="24"/>
        </w:rPr>
        <w:lastRenderedPageBreak/>
        <w:t xml:space="preserve">Emotional states such as: </w:t>
      </w:r>
      <w:r w:rsidRPr="00797004">
        <w:rPr>
          <w:rFonts w:ascii="Arial" w:hAnsi="Arial" w:cs="Arial"/>
          <w:sz w:val="24"/>
          <w:szCs w:val="24"/>
        </w:rPr>
        <w:t>confusion, helplessness, rejection, and shame</w:t>
      </w:r>
      <w:r>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{"citationItems":[{"id":"ITEM-1","itemData":{"DOI":"10.1111/ijsa.12326","ISSN":"14682389","abstract":"Interview anxiety is common among interviewees and has the potential to undermine an applicant's interview performance. Nevertheless, there is much that we do not understand about the role of anxiety in job interviews. In this paper, we advance a conceptual model that highlights the multidimensional nature of interview anxiety by incorporating its cognitive, behavioral, and physiological components, termed the Tripartite Interview Anxiety Framework (TIAF). This model highlights the role of person, interviewer, and contextual characteristics in shaping interview anxiety, elucidates the underlying relations between interview anxiety and performance, and delineates critical moderators of these important relations. In doing so, the TIAF simultaneously advances the theory of interview anxiety, promotes further work in this area, and highlights implications for practice.","author":[{"dropping-particle":"","family":"Constantin","given":"Kaytlin L.","non-dropping-particle":"","parse-names":false,"suffix":""},{"dropping-particle":"","family":"Powell","given":"Deborah M.","non-dropping-particle":"","parse-names":false,"suffix":""},{"dropping-particle":"","family":"McCarthy","given":"Julie M.","non-dropping-particle":"","parse-names":false,"suffix":""}],"container-title":"International Journal of Selection and Assessment","id":"ITEM-1","issue":"2","issued":{"date-parts":[["2021"]]},"page":"234-252","title":"Expanding conceptual understanding of interview anxiety and performance: Integrating cognitive, behavioral, and physiological features","type":"article-journal","volume":"29"},"uris":["http://www.mendeley.com/documents/?uuid=21f0cf3f-5055-488b-bf41-158461173e28"]},{"id":"ITEM-2","itemData":{"DOI":"10.1177/1321103X20930426","ISSN":"18345530","abstract":"The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Education","id":"ITEM-2","issue":"2","issued":{"date-parts":[["2021"]]},"page":"179-194","title":"Fostering singing agency through emotional differentiation in an inclusive singing environment","type":"article-journal","volume":"43"},"uris":["http://www.mendeley.com/documents/?uuid=df4ddb6b-d417-411f-9261-d87aba0aa367"]},{"id":"ITEM-3","itemData":{"DOI":"10.1177/02557614221074057","ISBN":"0255761422107","ISSN":"1744795X","abstract":"Fostering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Education","id":"ITEM-3","issued":{"date-parts":[["2022"]]},"title":"“It’s your body, it’s part of who you are!”: Influences upon collegiate vocalists’ performance self-efficacy beliefs","type":"article-journal"},"uris":["http://www.mendeley.com/documents/?uuid=d1469298-0bbc-4c76-afcd-e0c4086da712"]}],"mendeley":{"formattedCitation":"(Constantin, Powell and McCarthy, 2021; Hogle, 2021; Lewis and Hendricks, 2022)","plainTextFormattedCitation":"(Constantin, Powell and McCarthy, 2021; Hogle, 2021; Lewis and Hendricks, 2022)","previouslyFormattedCitation":"(Constantin, Powell and McCarthy, 2021; Hogle, 2021; Lewis and Hendricks, 2022)"},"properties":{"noteIndex":0},"schema":"https://github.com/citation-style-language/schema/raw/master/csl-citation.json"}</w:instrText>
      </w:r>
      <w:r>
        <w:rPr>
          <w:rFonts w:ascii="Arial" w:hAnsi="Arial" w:cs="Arial"/>
          <w:sz w:val="24"/>
          <w:szCs w:val="24"/>
        </w:rPr>
        <w:fldChar w:fldCharType="separate"/>
      </w:r>
      <w:r w:rsidRPr="006F7D4C">
        <w:rPr>
          <w:rFonts w:ascii="Arial" w:hAnsi="Arial" w:cs="Arial"/>
          <w:noProof/>
          <w:sz w:val="24"/>
          <w:szCs w:val="24"/>
        </w:rPr>
        <w:t>(Constantin, Powell and McCarthy, 2021; Hogle, 2021; Lewis and Hendricks, 2022)</w:t>
      </w:r>
      <w:r>
        <w:rPr>
          <w:rFonts w:ascii="Arial" w:hAnsi="Arial" w:cs="Arial"/>
          <w:sz w:val="24"/>
          <w:szCs w:val="24"/>
        </w:rPr>
        <w:fldChar w:fldCharType="end"/>
      </w:r>
    </w:p>
    <w:p w14:paraId="6BF578E7" w14:textId="77777777" w:rsidR="007E7F78" w:rsidRDefault="007E7F78" w:rsidP="007E7F78">
      <w:pPr>
        <w:spacing w:line="360" w:lineRule="auto"/>
        <w:jc w:val="both"/>
        <w:rPr>
          <w:rFonts w:ascii="Arial" w:hAnsi="Arial" w:cs="Arial"/>
          <w:sz w:val="24"/>
          <w:szCs w:val="24"/>
        </w:rPr>
      </w:pPr>
      <w:r>
        <w:rPr>
          <w:rFonts w:ascii="Arial" w:hAnsi="Arial" w:cs="Arial"/>
          <w:sz w:val="24"/>
          <w:szCs w:val="24"/>
        </w:rPr>
        <w:t xml:space="preserve">Students with lowered self-efficacy </w:t>
      </w:r>
      <w:proofErr w:type="spellStart"/>
      <w:r>
        <w:rPr>
          <w:rFonts w:ascii="Arial" w:hAnsi="Arial" w:cs="Arial"/>
          <w:sz w:val="24"/>
          <w:szCs w:val="24"/>
        </w:rPr>
        <w:t>my</w:t>
      </w:r>
      <w:proofErr w:type="spellEnd"/>
      <w:r>
        <w:rPr>
          <w:rFonts w:ascii="Arial" w:hAnsi="Arial" w:cs="Arial"/>
          <w:sz w:val="24"/>
          <w:szCs w:val="24"/>
        </w:rPr>
        <w:t xml:space="preserve"> have discomfort in certain situations which may manifest as </w:t>
      </w:r>
      <w:r w:rsidRPr="00972C8E">
        <w:rPr>
          <w:rFonts w:ascii="Arial" w:hAnsi="Arial" w:cs="Arial"/>
          <w:b/>
          <w:bCs/>
          <w:i/>
          <w:iCs/>
          <w:sz w:val="24"/>
          <w:szCs w:val="24"/>
        </w:rPr>
        <w:t>self-protection behaviours</w:t>
      </w:r>
      <w:r>
        <w:rPr>
          <w:rFonts w:ascii="Arial" w:hAnsi="Arial" w:cs="Arial"/>
          <w:sz w:val="24"/>
          <w:szCs w:val="24"/>
        </w:rPr>
        <w:t>:</w:t>
      </w:r>
    </w:p>
    <w:p w14:paraId="432C2855" w14:textId="77777777" w:rsidR="007E7F78" w:rsidRDefault="007E7F78" w:rsidP="007E7F78">
      <w:pPr>
        <w:pStyle w:val="ListParagraph"/>
        <w:numPr>
          <w:ilvl w:val="0"/>
          <w:numId w:val="30"/>
        </w:numPr>
        <w:spacing w:line="360" w:lineRule="auto"/>
        <w:jc w:val="both"/>
        <w:rPr>
          <w:rFonts w:ascii="Arial" w:hAnsi="Arial" w:cs="Arial"/>
          <w:sz w:val="24"/>
          <w:szCs w:val="24"/>
        </w:rPr>
      </w:pPr>
      <w:r>
        <w:rPr>
          <w:rFonts w:ascii="Arial" w:hAnsi="Arial" w:cs="Arial"/>
          <w:sz w:val="24"/>
          <w:szCs w:val="24"/>
        </w:rPr>
        <w:t>E</w:t>
      </w:r>
      <w:r w:rsidRPr="00797004">
        <w:rPr>
          <w:rFonts w:ascii="Arial" w:hAnsi="Arial" w:cs="Arial"/>
          <w:sz w:val="24"/>
          <w:szCs w:val="24"/>
        </w:rPr>
        <w:t>nvironmental sensitivity</w:t>
      </w:r>
      <w:r>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Education","id":"ITEM-2","issue":"2","issued":{"date-parts":[["2021"]]},"page":"179-194","title":"Fostering singing agency through emotional differentiation in an inclusive singing environment","type":"article-journal","volume":"43"},"uris":["http://www.mendeley.com/documents/?uuid=df4ddb6b-d417-411f-9261-d87aba0aa367"]}],"mendeley":{"formattedCitation":"(Hogle, 2021; Lewis and Hendricks, 2022)","plainTextFormattedCitation":"(Hogle, 2021; Lewis and Hendricks, 2022)","previouslyFormattedCitation":"(Hogle, 2021; Lewis and Hendricks, 2022)"},"properties":{"noteIndex":0},"schema":"https://github.com/citation-style-language/schema/raw/master/csl-citation.json"}</w:instrText>
      </w:r>
      <w:r>
        <w:rPr>
          <w:rFonts w:ascii="Arial" w:hAnsi="Arial" w:cs="Arial"/>
          <w:sz w:val="24"/>
          <w:szCs w:val="24"/>
        </w:rPr>
        <w:fldChar w:fldCharType="separate"/>
      </w:r>
      <w:r w:rsidRPr="00CB1DDE">
        <w:rPr>
          <w:rFonts w:ascii="Arial" w:hAnsi="Arial" w:cs="Arial"/>
          <w:noProof/>
          <w:sz w:val="24"/>
          <w:szCs w:val="24"/>
        </w:rPr>
        <w:t>(Hogle, 2021; Lewis and Hendricks, 2022)</w:t>
      </w:r>
      <w:r>
        <w:rPr>
          <w:rFonts w:ascii="Arial" w:hAnsi="Arial" w:cs="Arial"/>
          <w:sz w:val="24"/>
          <w:szCs w:val="24"/>
        </w:rPr>
        <w:fldChar w:fldCharType="end"/>
      </w:r>
    </w:p>
    <w:p w14:paraId="10142CCF" w14:textId="77777777" w:rsidR="007E7F78" w:rsidRDefault="007E7F78" w:rsidP="007E7F78">
      <w:pPr>
        <w:pStyle w:val="ListParagraph"/>
        <w:numPr>
          <w:ilvl w:val="0"/>
          <w:numId w:val="30"/>
        </w:numPr>
        <w:spacing w:line="360" w:lineRule="auto"/>
        <w:jc w:val="both"/>
        <w:rPr>
          <w:rFonts w:ascii="Arial" w:hAnsi="Arial" w:cs="Arial"/>
          <w:sz w:val="24"/>
          <w:szCs w:val="24"/>
        </w:rPr>
      </w:pPr>
      <w:r>
        <w:rPr>
          <w:rFonts w:ascii="Arial" w:hAnsi="Arial" w:cs="Arial"/>
          <w:sz w:val="24"/>
          <w:szCs w:val="24"/>
        </w:rPr>
        <w:t>P</w:t>
      </w:r>
      <w:r w:rsidRPr="00797004">
        <w:rPr>
          <w:rFonts w:ascii="Arial" w:hAnsi="Arial" w:cs="Arial"/>
          <w:sz w:val="24"/>
          <w:szCs w:val="24"/>
        </w:rPr>
        <w:t>erceiving obstacle</w:t>
      </w:r>
      <w:r>
        <w:rPr>
          <w:rFonts w:ascii="Arial" w:hAnsi="Arial" w:cs="Arial"/>
          <w:sz w:val="24"/>
          <w:szCs w:val="24"/>
        </w:rPr>
        <w:t>s</w:t>
      </w:r>
      <w:r w:rsidRPr="00797004">
        <w:rPr>
          <w:rFonts w:ascii="Arial" w:hAnsi="Arial" w:cs="Arial"/>
          <w:sz w:val="24"/>
          <w:szCs w:val="24"/>
        </w:rPr>
        <w:t xml:space="preserve"> to singing</w:t>
      </w:r>
      <w:r>
        <w:rPr>
          <w:rFonts w:ascii="Arial" w:hAnsi="Arial" w:cs="Arial"/>
          <w:sz w:val="24"/>
          <w:szCs w:val="24"/>
        </w:rPr>
        <w:t xml:space="preserve"> </w:t>
      </w:r>
    </w:p>
    <w:p w14:paraId="7107B233" w14:textId="77777777" w:rsidR="007E7F78" w:rsidRDefault="007E7F78" w:rsidP="007E7F78">
      <w:pPr>
        <w:pStyle w:val="ListParagraph"/>
        <w:numPr>
          <w:ilvl w:val="0"/>
          <w:numId w:val="30"/>
        </w:numPr>
        <w:spacing w:line="360" w:lineRule="auto"/>
        <w:jc w:val="both"/>
        <w:rPr>
          <w:rFonts w:ascii="Arial" w:hAnsi="Arial" w:cs="Arial"/>
          <w:sz w:val="24"/>
          <w:szCs w:val="24"/>
        </w:rPr>
      </w:pPr>
      <w:r>
        <w:rPr>
          <w:rFonts w:ascii="Arial" w:hAnsi="Arial" w:cs="Arial"/>
          <w:sz w:val="24"/>
          <w:szCs w:val="24"/>
        </w:rPr>
        <w:t>D</w:t>
      </w:r>
      <w:r w:rsidRPr="00797004">
        <w:rPr>
          <w:rFonts w:ascii="Arial" w:hAnsi="Arial" w:cs="Arial"/>
          <w:sz w:val="24"/>
          <w:szCs w:val="24"/>
        </w:rPr>
        <w:t>iscomfort around judgement, learning, instruction, and comparison</w:t>
      </w:r>
      <w:r>
        <w:rPr>
          <w:rFonts w:ascii="Arial" w:hAnsi="Arial" w:cs="Arial"/>
          <w:sz w:val="24"/>
          <w:szCs w:val="24"/>
        </w:rPr>
        <w:t xml:space="preserve"> </w:t>
      </w:r>
    </w:p>
    <w:p w14:paraId="4F4C46C9" w14:textId="77777777" w:rsidR="007E7F78" w:rsidRPr="00CB1DDE" w:rsidRDefault="007E7F78" w:rsidP="007E7F78">
      <w:pPr>
        <w:spacing w:line="360" w:lineRule="auto"/>
        <w:jc w:val="right"/>
        <w:rPr>
          <w:rFonts w:ascii="Arial" w:hAnsi="Arial" w:cs="Arial"/>
          <w:sz w:val="24"/>
          <w:szCs w:val="24"/>
        </w:rPr>
      </w:pPr>
      <w:r w:rsidRPr="00CB1DDE">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Education","id":"ITEM-2","issue":"2","issued":{"date-parts":[["2021"]]},"page":"179-194","title":"Fostering singing agency through emotional differentiation in an inclusive singing environment","type":"article-journal","volume":"43"},"uris":["http://www.mendeley.com/documents/?uuid=df4ddb6b-d417-411f-9261-d87aba0aa367"]}],"mendeley":{"formattedCitation":"(Hogle, 2021; Lewis and Hendricks, 2022)","plainTextFormattedCitation":"(Hogle, 2021; Lewis and Hendricks, 2022)","previouslyFormattedCitation":"(Hogle, 2021; Lewis and Hendricks, 2022)"},"properties":{"noteIndex":0},"schema":"https://github.com/citation-style-language/schema/raw/master/csl-citation.json"}</w:instrText>
      </w:r>
      <w:r w:rsidRPr="00CB1DDE">
        <w:rPr>
          <w:rFonts w:ascii="Arial" w:hAnsi="Arial" w:cs="Arial"/>
          <w:sz w:val="24"/>
          <w:szCs w:val="24"/>
        </w:rPr>
        <w:fldChar w:fldCharType="separate"/>
      </w:r>
      <w:r w:rsidRPr="00CB1DDE">
        <w:rPr>
          <w:rFonts w:ascii="Arial" w:hAnsi="Arial" w:cs="Arial"/>
          <w:noProof/>
          <w:sz w:val="24"/>
          <w:szCs w:val="24"/>
        </w:rPr>
        <w:t>(Hogle, 2021; Lewis and Hendricks, 2022)</w:t>
      </w:r>
      <w:r w:rsidRPr="00CB1DDE">
        <w:rPr>
          <w:rFonts w:ascii="Arial" w:hAnsi="Arial" w:cs="Arial"/>
          <w:sz w:val="24"/>
          <w:szCs w:val="24"/>
        </w:rPr>
        <w:fldChar w:fldCharType="end"/>
      </w:r>
    </w:p>
    <w:p w14:paraId="3C447B64" w14:textId="77777777" w:rsidR="007E7F78" w:rsidRDefault="007E7F78" w:rsidP="007E7F78">
      <w:pPr>
        <w:spacing w:line="360" w:lineRule="auto"/>
        <w:jc w:val="both"/>
        <w:rPr>
          <w:rFonts w:ascii="Arial" w:hAnsi="Arial" w:cs="Arial"/>
          <w:sz w:val="24"/>
          <w:szCs w:val="24"/>
        </w:rPr>
      </w:pPr>
      <w:r>
        <w:rPr>
          <w:rFonts w:ascii="Arial" w:hAnsi="Arial" w:cs="Arial"/>
          <w:sz w:val="24"/>
          <w:szCs w:val="24"/>
        </w:rPr>
        <w:t>Self-protection could also lead to</w:t>
      </w:r>
      <w:r w:rsidRPr="00972C8E">
        <w:rPr>
          <w:rFonts w:ascii="Arial" w:hAnsi="Arial" w:cs="Arial"/>
          <w:b/>
          <w:bCs/>
          <w:i/>
          <w:iCs/>
          <w:sz w:val="24"/>
          <w:szCs w:val="24"/>
        </w:rPr>
        <w:t xml:space="preserve"> avoidance</w:t>
      </w:r>
      <w:r>
        <w:rPr>
          <w:rFonts w:ascii="Arial" w:hAnsi="Arial" w:cs="Arial"/>
          <w:sz w:val="24"/>
          <w:szCs w:val="24"/>
        </w:rPr>
        <w:t xml:space="preserve"> of:</w:t>
      </w:r>
    </w:p>
    <w:p w14:paraId="2A3E7429" w14:textId="77777777" w:rsidR="007E7F78" w:rsidRDefault="007E7F78" w:rsidP="007E7F78">
      <w:pPr>
        <w:pStyle w:val="ListParagraph"/>
        <w:numPr>
          <w:ilvl w:val="0"/>
          <w:numId w:val="31"/>
        </w:numPr>
        <w:spacing w:line="360" w:lineRule="auto"/>
        <w:jc w:val="both"/>
        <w:rPr>
          <w:rFonts w:ascii="Arial" w:hAnsi="Arial" w:cs="Arial"/>
          <w:sz w:val="24"/>
          <w:szCs w:val="24"/>
        </w:rPr>
      </w:pPr>
      <w:r w:rsidRPr="00797004">
        <w:rPr>
          <w:rFonts w:ascii="Arial" w:hAnsi="Arial" w:cs="Arial"/>
          <w:sz w:val="24"/>
          <w:szCs w:val="24"/>
        </w:rPr>
        <w:t>Wounds</w:t>
      </w:r>
      <w:r>
        <w:rPr>
          <w:rFonts w:ascii="Arial" w:hAnsi="Arial" w:cs="Arial"/>
          <w:sz w:val="24"/>
          <w:szCs w:val="24"/>
        </w:rPr>
        <w:t xml:space="preserve"> </w:t>
      </w:r>
    </w:p>
    <w:p w14:paraId="38FB11A7" w14:textId="77777777" w:rsidR="007E7F78" w:rsidRDefault="007E7F78" w:rsidP="007E7F78">
      <w:pPr>
        <w:pStyle w:val="ListParagraph"/>
        <w:numPr>
          <w:ilvl w:val="0"/>
          <w:numId w:val="31"/>
        </w:numPr>
        <w:spacing w:line="360" w:lineRule="auto"/>
        <w:jc w:val="both"/>
        <w:rPr>
          <w:rFonts w:ascii="Arial" w:hAnsi="Arial" w:cs="Arial"/>
          <w:sz w:val="24"/>
          <w:szCs w:val="24"/>
        </w:rPr>
      </w:pPr>
      <w:r>
        <w:rPr>
          <w:rFonts w:ascii="Arial" w:hAnsi="Arial" w:cs="Arial"/>
          <w:sz w:val="24"/>
          <w:szCs w:val="24"/>
        </w:rPr>
        <w:t>Certain s</w:t>
      </w:r>
      <w:r w:rsidRPr="00797004">
        <w:rPr>
          <w:rFonts w:ascii="Arial" w:hAnsi="Arial" w:cs="Arial"/>
          <w:sz w:val="24"/>
          <w:szCs w:val="24"/>
        </w:rPr>
        <w:t>kills</w:t>
      </w:r>
    </w:p>
    <w:p w14:paraId="12E0F575" w14:textId="77777777" w:rsidR="007E7F78" w:rsidRDefault="007E7F78" w:rsidP="007E7F78">
      <w:pPr>
        <w:pStyle w:val="ListParagraph"/>
        <w:numPr>
          <w:ilvl w:val="0"/>
          <w:numId w:val="31"/>
        </w:numPr>
        <w:spacing w:line="360" w:lineRule="auto"/>
        <w:jc w:val="both"/>
        <w:rPr>
          <w:rFonts w:ascii="Arial" w:hAnsi="Arial" w:cs="Arial"/>
          <w:sz w:val="24"/>
          <w:szCs w:val="24"/>
        </w:rPr>
      </w:pPr>
      <w:proofErr w:type="gramStart"/>
      <w:r>
        <w:rPr>
          <w:rFonts w:ascii="Arial" w:hAnsi="Arial" w:cs="Arial"/>
          <w:sz w:val="24"/>
          <w:szCs w:val="24"/>
        </w:rPr>
        <w:t>P</w:t>
      </w:r>
      <w:r w:rsidRPr="00797004">
        <w:rPr>
          <w:rFonts w:ascii="Arial" w:hAnsi="Arial" w:cs="Arial"/>
          <w:sz w:val="24"/>
          <w:szCs w:val="24"/>
        </w:rPr>
        <w:t>articular environments</w:t>
      </w:r>
      <w:proofErr w:type="gramEnd"/>
    </w:p>
    <w:p w14:paraId="5B354F69" w14:textId="77777777" w:rsidR="007E7F78" w:rsidRDefault="007E7F78" w:rsidP="007E7F78">
      <w:pPr>
        <w:pStyle w:val="ListParagraph"/>
        <w:numPr>
          <w:ilvl w:val="0"/>
          <w:numId w:val="31"/>
        </w:numPr>
        <w:spacing w:line="360" w:lineRule="auto"/>
        <w:jc w:val="both"/>
        <w:rPr>
          <w:rFonts w:ascii="Arial" w:hAnsi="Arial" w:cs="Arial"/>
          <w:sz w:val="24"/>
          <w:szCs w:val="24"/>
        </w:rPr>
      </w:pPr>
      <w:r>
        <w:rPr>
          <w:rFonts w:ascii="Arial" w:hAnsi="Arial" w:cs="Arial"/>
          <w:sz w:val="24"/>
          <w:szCs w:val="24"/>
        </w:rPr>
        <w:t>J</w:t>
      </w:r>
      <w:r w:rsidRPr="00797004">
        <w:rPr>
          <w:rFonts w:ascii="Arial" w:hAnsi="Arial" w:cs="Arial"/>
          <w:sz w:val="24"/>
          <w:szCs w:val="24"/>
        </w:rPr>
        <w:t xml:space="preserve">udgment </w:t>
      </w:r>
    </w:p>
    <w:p w14:paraId="27345B0B" w14:textId="77777777" w:rsidR="007E7F78" w:rsidRPr="00CB1DDE" w:rsidRDefault="007E7F78" w:rsidP="007E7F78">
      <w:pPr>
        <w:spacing w:line="360" w:lineRule="auto"/>
        <w:jc w:val="right"/>
        <w:rPr>
          <w:rFonts w:ascii="Arial" w:hAnsi="Arial" w:cs="Arial"/>
          <w:sz w:val="24"/>
          <w:szCs w:val="24"/>
        </w:rPr>
      </w:pPr>
      <w:r w:rsidRPr="00CB1DDE">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Education","id":"ITEM-2","issue":"2","issued":{"date-parts":[["2021"]]},"page":"179-194","title":"Fostering singing agency through emotional differentiation in an inclusive singing environment","type":"article-journal","volume":"43"},"uris":["http://www.mendeley.com/documents/?uuid=df4ddb6b-d417-411f-9261-d87aba0aa367"]}],"mendeley":{"formattedCitation":"(Hogle, 2021; Lewis and Hendricks, 2022)","plainTextFormattedCitation":"(Hogle, 2021; Lewis and Hendricks, 2022)","previouslyFormattedCitation":"(Hogle, 2021; Lewis and Hendricks, 2022)"},"properties":{"noteIndex":0},"schema":"https://github.com/citation-style-language/schema/raw/master/csl-citation.json"}</w:instrText>
      </w:r>
      <w:r w:rsidRPr="00CB1DDE">
        <w:rPr>
          <w:rFonts w:ascii="Arial" w:hAnsi="Arial" w:cs="Arial"/>
          <w:sz w:val="24"/>
          <w:szCs w:val="24"/>
        </w:rPr>
        <w:fldChar w:fldCharType="separate"/>
      </w:r>
      <w:r w:rsidRPr="00CB1DDE">
        <w:rPr>
          <w:rFonts w:ascii="Arial" w:hAnsi="Arial" w:cs="Arial"/>
          <w:noProof/>
          <w:sz w:val="24"/>
          <w:szCs w:val="24"/>
        </w:rPr>
        <w:t>(Hogle, 2021; Lewis and Hendricks, 2022)</w:t>
      </w:r>
      <w:r w:rsidRPr="00CB1DDE">
        <w:rPr>
          <w:rFonts w:ascii="Arial" w:hAnsi="Arial" w:cs="Arial"/>
          <w:sz w:val="24"/>
          <w:szCs w:val="24"/>
        </w:rPr>
        <w:fldChar w:fldCharType="end"/>
      </w:r>
    </w:p>
    <w:p w14:paraId="1E957E0E" w14:textId="77777777" w:rsidR="007E7F78" w:rsidRDefault="007E7F78" w:rsidP="007E7F78">
      <w:pPr>
        <w:spacing w:line="360" w:lineRule="auto"/>
        <w:jc w:val="both"/>
        <w:rPr>
          <w:rFonts w:ascii="Arial" w:hAnsi="Arial" w:cs="Arial"/>
          <w:sz w:val="24"/>
          <w:szCs w:val="24"/>
        </w:rPr>
      </w:pPr>
      <w:r>
        <w:rPr>
          <w:rFonts w:ascii="Arial" w:hAnsi="Arial" w:cs="Arial"/>
          <w:sz w:val="24"/>
          <w:szCs w:val="24"/>
        </w:rPr>
        <w:t xml:space="preserve">Self-protection could happen to the extent of </w:t>
      </w:r>
      <w:r w:rsidRPr="006F7D4C">
        <w:rPr>
          <w:rFonts w:ascii="Arial" w:hAnsi="Arial" w:cs="Arial"/>
          <w:sz w:val="24"/>
          <w:szCs w:val="24"/>
        </w:rPr>
        <w:t>isolation and limiting the potential to develop self-efficacy</w:t>
      </w:r>
      <w:r>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Education","id":"ITEM-2","issue":"2","issued":{"date-parts":[["2021"]]},"page":"179-194","title":"Fostering singing agency through emotional differentiation in an inclusive singing environment","type":"article-journal","volume":"43"},"uris":["http://www.mendeley.com/documents/?uuid=df4ddb6b-d417-411f-9261-d87aba0aa367"]}],"mendeley":{"formattedCitation":"(Hogle, 2021; Lewis and Hendricks, 2022)","plainTextFormattedCitation":"(Hogle, 2021; Lewis and Hendricks, 2022)","previouslyFormattedCitation":"(Hogle, 2021; Lewis and Hendricks, 2022)"},"properties":{"noteIndex":0},"schema":"https://github.com/citation-style-language/schema/raw/master/csl-citation.json"}</w:instrText>
      </w:r>
      <w:r>
        <w:rPr>
          <w:rFonts w:ascii="Arial" w:hAnsi="Arial" w:cs="Arial"/>
          <w:sz w:val="24"/>
          <w:szCs w:val="24"/>
        </w:rPr>
        <w:fldChar w:fldCharType="separate"/>
      </w:r>
      <w:r w:rsidRPr="00CB1DDE">
        <w:rPr>
          <w:rFonts w:ascii="Arial" w:hAnsi="Arial" w:cs="Arial"/>
          <w:noProof/>
          <w:sz w:val="24"/>
          <w:szCs w:val="24"/>
        </w:rPr>
        <w:t>(Hogle, 2021; Lewis and Hendricks, 2022)</w:t>
      </w:r>
      <w:r>
        <w:rPr>
          <w:rFonts w:ascii="Arial" w:hAnsi="Arial" w:cs="Arial"/>
          <w:sz w:val="24"/>
          <w:szCs w:val="24"/>
        </w:rPr>
        <w:fldChar w:fldCharType="end"/>
      </w:r>
      <w:r>
        <w:rPr>
          <w:rFonts w:ascii="Arial" w:hAnsi="Arial" w:cs="Arial"/>
          <w:sz w:val="24"/>
          <w:szCs w:val="24"/>
        </w:rPr>
        <w:t xml:space="preserve">. </w:t>
      </w:r>
    </w:p>
    <w:p w14:paraId="68119662" w14:textId="77777777" w:rsidR="007E7F78" w:rsidRDefault="007E7F78" w:rsidP="007E7F78">
      <w:pPr>
        <w:spacing w:line="360" w:lineRule="auto"/>
        <w:jc w:val="both"/>
        <w:rPr>
          <w:rFonts w:ascii="Arial" w:hAnsi="Arial" w:cs="Arial"/>
          <w:sz w:val="24"/>
          <w:szCs w:val="24"/>
        </w:rPr>
      </w:pPr>
      <w:r w:rsidRPr="00CB1DDE">
        <w:rPr>
          <w:rFonts w:ascii="Arial" w:hAnsi="Arial" w:cs="Arial"/>
          <w:b/>
          <w:bCs/>
          <w:i/>
          <w:iCs/>
          <w:sz w:val="24"/>
          <w:szCs w:val="24"/>
        </w:rPr>
        <w:t>Developments areas</w:t>
      </w:r>
      <w:r>
        <w:rPr>
          <w:rFonts w:ascii="Arial" w:hAnsi="Arial" w:cs="Arial"/>
          <w:sz w:val="24"/>
          <w:szCs w:val="24"/>
        </w:rPr>
        <w:t xml:space="preserve"> which can support </w:t>
      </w:r>
    </w:p>
    <w:p w14:paraId="05C30965" w14:textId="77777777" w:rsidR="007E7F78" w:rsidRDefault="007E7F78" w:rsidP="007E7F78">
      <w:pPr>
        <w:pStyle w:val="ListParagraph"/>
        <w:numPr>
          <w:ilvl w:val="0"/>
          <w:numId w:val="32"/>
        </w:numPr>
        <w:spacing w:line="360" w:lineRule="auto"/>
        <w:jc w:val="both"/>
        <w:rPr>
          <w:rFonts w:ascii="Arial" w:hAnsi="Arial" w:cs="Arial"/>
          <w:sz w:val="24"/>
          <w:szCs w:val="24"/>
        </w:rPr>
      </w:pPr>
      <w:r>
        <w:rPr>
          <w:rFonts w:ascii="Arial" w:hAnsi="Arial" w:cs="Arial"/>
          <w:sz w:val="24"/>
          <w:szCs w:val="24"/>
        </w:rPr>
        <w:t xml:space="preserve">Mastery experiences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beliefs","type":"article-journal"},"uris":["http://www.mendeley.com/documents/?uuid=d1469298-0bbc-4c76-afcd-e0c4086da712"]},{"id":"ITEM-2","itemData":{"DOI":"10.1177/0022429411405214","ISSN":"00224294","abstract":"The Self-Efficacy for Musical Learning questionnaire was adapted and tested with 404 primary school children, producing a robust Cronbach alpha (0.87) and confirming a single underlying factor through exploratory factor analysis. Test-retest scores showed the measure's stability over a 9-month period. Data were collected on children's prior music experience, extracurricular activities, and typical daily activities. Children also completed the Short Warwick-Edinburgh Mental Well-Being Scale and the Strengths and Difficulties Questionnaire. Those currently engaged in music tuition (learning an instrument or singing) had significantly higher self-efficacy scores than children who were not, and overall, girls' scores were significantly higher than boys'. Correlations with various additional measures, including wellbeing and reading for pleasure, highlighted multifaceted relationships of self-efficacy to children's lives. Regression analyses revealed that prior experience with instrumental tuition was the strongest predictor of music self-efficacy for learning; prosocial behaviors predicted boys' scores, and well-being predicted girls' scores. © 2011 MENC: The National Association for Music Education.","author":[{"dropping-particle":"","family":"Ritchie","given":"Laura","non-dropping-particle":"","parse-names":false,"suffix":""},{"dropping-particle":"","family":"Williamon","given":"Aaron","non-dropping-particle":"","parse-names":false,"suffix":""}],"container-title":"Journal of Research in Music Education","id":"ITEM-2","issue":"2","issued":{"date-parts":[["2011"]]},"page":"146-161","title":"Primary school children's Self-efficacy for Music Learning","type":"article-journal","volume":"59"},"uris":["http://www.mendeley.com/documents/?uuid=240473f6-1468-4960-8481-528f722fddd9"]},{"id":"ITEM-3","itemData":{"abstract":"Based on Bandura's theory that those who believe they can do what they set out to do are healthier, more efficient and more successful than those with low self-efficacy expectations. This theory has stimulated programs of research in education, clinicaland developmental psychology, medicine and related fields, athletics and business organization.","author":[{"dropping-particle":"","family":"Bandura","given":"Albert","non-dropping-particle":"","parse-names":false,"suffix":""}],"id":"ITEM-3","issued":{"date-parts":[["1997"]]},"publisher":"W.H.Freeman &amp; Co Ltd","publisher-place":"New York","title":"Self-efficacy : The Exercise of Control.","type":"book"},"uris":["http://www.mendeley.com/documents/?uuid=29014b0e-1932-4150-a247-953655b38468"]}],"mendeley":{"formattedCitation":"(Bandura, 1997; Ritchie and Williamon, 2011; Lewis and Hendricks, 2022)","plainTextFormattedCitation":"(Bandura, 1997; Ritchie and Williamon, 2011; Lewis and Hendricks, 2022)","previouslyFormattedCitation":"(Bandura, 1997; Ritchie and Williamon, 2011; Lewis and Hendricks, 2022)"},"properties":{"noteIndex":0},"schema":"https://github.com/citation-style-language/schema/raw/master/csl-citation.json"}</w:instrText>
      </w:r>
      <w:r>
        <w:rPr>
          <w:rFonts w:ascii="Arial" w:hAnsi="Arial" w:cs="Arial"/>
          <w:sz w:val="24"/>
          <w:szCs w:val="24"/>
        </w:rPr>
        <w:fldChar w:fldCharType="separate"/>
      </w:r>
      <w:r w:rsidRPr="00CB1DDE">
        <w:rPr>
          <w:rFonts w:ascii="Arial" w:hAnsi="Arial" w:cs="Arial"/>
          <w:noProof/>
          <w:sz w:val="24"/>
          <w:szCs w:val="24"/>
        </w:rPr>
        <w:t>(Bandura, 1997; Ritchie and Williamon, 2011; Lewis and Hendricks, 2022)</w:t>
      </w:r>
      <w:r>
        <w:rPr>
          <w:rFonts w:ascii="Arial" w:hAnsi="Arial" w:cs="Arial"/>
          <w:sz w:val="24"/>
          <w:szCs w:val="24"/>
        </w:rPr>
        <w:fldChar w:fldCharType="end"/>
      </w:r>
    </w:p>
    <w:p w14:paraId="264C085D" w14:textId="77777777" w:rsidR="007E7F78" w:rsidRDefault="007E7F78" w:rsidP="007E7F78">
      <w:pPr>
        <w:pStyle w:val="ListParagraph"/>
        <w:numPr>
          <w:ilvl w:val="0"/>
          <w:numId w:val="32"/>
        </w:numPr>
        <w:spacing w:line="360" w:lineRule="auto"/>
        <w:jc w:val="both"/>
        <w:rPr>
          <w:rFonts w:ascii="Arial" w:hAnsi="Arial" w:cs="Arial"/>
          <w:sz w:val="24"/>
          <w:szCs w:val="24"/>
        </w:rPr>
      </w:pPr>
      <w:r>
        <w:rPr>
          <w:rFonts w:ascii="Arial" w:hAnsi="Arial" w:cs="Arial"/>
          <w:sz w:val="24"/>
          <w:szCs w:val="24"/>
        </w:rPr>
        <w:t xml:space="preserve">Vicarious learning </w:t>
      </w:r>
      <w:r>
        <w:rPr>
          <w:rFonts w:ascii="Arial" w:hAnsi="Arial" w:cs="Arial"/>
          <w:sz w:val="24"/>
          <w:szCs w:val="24"/>
        </w:rPr>
        <w:fldChar w:fldCharType="begin" w:fldLock="1"/>
      </w:r>
      <w:r>
        <w:rPr>
          <w:rFonts w:ascii="Arial" w:hAnsi="Arial" w:cs="Arial"/>
          <w:sz w:val="24"/>
          <w:szCs w:val="24"/>
        </w:rPr>
        <w:instrText>ADDIN CSL_CITATION {"citationItems":[{"id":"ITEM-1","itemData":{"abstract":"Based on Bandura's theory that those who believe they can do what they set out to do are healthier, more efficient and more successful than those with low self-efficacy expectations. This theory has stimulated programs of research in education, clinicaland developmental psychology, medicine and related fields, athletics and business organization.","author":[{"dropping-particle":"","family":"Bandura","given":"Albert","non-dropping-particle":"","parse-names":false,"suffix":""}],"id":"ITEM-1","issued":{"date-parts":[["1997"]]},"publisher":"W.H.Freeman &amp; Co Ltd","publisher-place":"New York","title":"Self-efficacy : The Exercise of Control.","type":"book"},"uris":["http://www.mendeley.com/documents/?uuid=29014b0e-1932-4150-a247-953655b38468"]},{"id":"ITEM-2","itemData":{"DOI":"10.1177/0022429411405214","ISSN":"00224294","abstract":"The Self-Efficacy for Musical Learning questionnaire was adapted and tested with 404 primary school children, producing a robust Cronbach alpha (0.87) and confirming a single underlying factor through exploratory factor analysis. Test-retest scores showed the measure's stability over a 9-month period. Data were collected on children's prior music experience, extracurricular activities, and typical daily activities. Children also completed the Short Warwick-Edinburgh Mental Well-Being Scale and the Strengths and Difficulties Questionnaire. Those currently engaged in music tuition (learning an instrument or singing) had significantly higher self-efficacy scores than children who were not, and overall, girls' scores were significantly higher than boys'. Correlations with various additional measures, including wellbeing and reading for pleasure, highlighted multifaceted relationships of self-efficacy to children's lives. Regression analyses revealed that prior experience with instrumental tuition was the strongest predictor of music self-efficacy for learning; prosocial behaviors predicted boys' scores, and well-being predicted girls' scores. © 2011 MENC: The National Association for Music Education.","author":[{"dropping-particle":"","family":"Ritchie","given":"Laura","non-dropping-particle":"","parse-names":false,"suffix":""},{"dropping-particle":"","family":"Williamon","given":"Aaron","non-dropping-particle":"","parse-names":false,"suffix":""}],"container-title":"Journal of Research in Music Education","id":"ITEM-2","issue":"2","issued":{"date-parts":[["2011"]]},"page":"146-161","title":"Primary school children's Self-efficacy for Music Learning","type":"article-journal","volume":"59"},"uris":["http://www.mendeley.com/documents/?uuid=240473f6-1468-4960-8481-528f722fddd9"]}],"mendeley":{"formattedCitation":"(Bandura, 1997; Ritchie and Williamon, 2011)","plainTextFormattedCitation":"(Bandura, 1997; Ritchie and Williamon, 2011)","previouslyFormattedCitation":"(Bandura, 1997; Ritchie and Williamon, 2011)"},"properties":{"noteIndex":0},"schema":"https://github.com/citation-style-language/schema/raw/master/csl-citation.json"}</w:instrText>
      </w:r>
      <w:r>
        <w:rPr>
          <w:rFonts w:ascii="Arial" w:hAnsi="Arial" w:cs="Arial"/>
          <w:sz w:val="24"/>
          <w:szCs w:val="24"/>
        </w:rPr>
        <w:fldChar w:fldCharType="separate"/>
      </w:r>
      <w:r w:rsidRPr="00CB1DDE">
        <w:rPr>
          <w:rFonts w:ascii="Arial" w:hAnsi="Arial" w:cs="Arial"/>
          <w:noProof/>
          <w:sz w:val="24"/>
          <w:szCs w:val="24"/>
        </w:rPr>
        <w:t>(Bandura, 1997; Ritchie and Williamon, 2011)</w:t>
      </w:r>
      <w:r>
        <w:rPr>
          <w:rFonts w:ascii="Arial" w:hAnsi="Arial" w:cs="Arial"/>
          <w:sz w:val="24"/>
          <w:szCs w:val="24"/>
        </w:rPr>
        <w:fldChar w:fldCharType="end"/>
      </w:r>
    </w:p>
    <w:p w14:paraId="4DE992C1" w14:textId="77777777" w:rsidR="007E7F78" w:rsidRDefault="007E7F78" w:rsidP="007E7F78">
      <w:pPr>
        <w:pStyle w:val="ListParagraph"/>
        <w:numPr>
          <w:ilvl w:val="0"/>
          <w:numId w:val="32"/>
        </w:numPr>
        <w:spacing w:line="360" w:lineRule="auto"/>
        <w:jc w:val="both"/>
        <w:rPr>
          <w:rFonts w:ascii="Arial" w:hAnsi="Arial" w:cs="Arial"/>
          <w:sz w:val="24"/>
          <w:szCs w:val="24"/>
        </w:rPr>
      </w:pPr>
      <w:r>
        <w:rPr>
          <w:rFonts w:ascii="Arial" w:hAnsi="Arial" w:cs="Arial"/>
          <w:sz w:val="24"/>
          <w:szCs w:val="24"/>
        </w:rPr>
        <w:t xml:space="preserve">Feedback with encouragement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2022)","plainTextFormattedCitation":"(Lewis and Hendricks, 2022)","previouslyFormattedCitation":"(Lewis and Hendricks, 2022)"},"properties":{"noteIndex":0},"schema":"https://github.com/citation-style-language/schema/raw/master/csl-citation.json"}</w:instrText>
      </w:r>
      <w:r>
        <w:rPr>
          <w:rFonts w:ascii="Arial" w:hAnsi="Arial" w:cs="Arial"/>
          <w:sz w:val="24"/>
          <w:szCs w:val="24"/>
        </w:rPr>
        <w:fldChar w:fldCharType="separate"/>
      </w:r>
      <w:r w:rsidRPr="00CB1DDE">
        <w:rPr>
          <w:rFonts w:ascii="Arial" w:hAnsi="Arial" w:cs="Arial"/>
          <w:noProof/>
          <w:sz w:val="24"/>
          <w:szCs w:val="24"/>
        </w:rPr>
        <w:t>(Lewis and Hendricks, 2022)</w:t>
      </w:r>
      <w:r>
        <w:rPr>
          <w:rFonts w:ascii="Arial" w:hAnsi="Arial" w:cs="Arial"/>
          <w:sz w:val="24"/>
          <w:szCs w:val="24"/>
        </w:rPr>
        <w:fldChar w:fldCharType="end"/>
      </w:r>
    </w:p>
    <w:p w14:paraId="14AFCE15" w14:textId="77777777" w:rsidR="007E7F78" w:rsidRDefault="007E7F78" w:rsidP="007E7F78">
      <w:pPr>
        <w:pStyle w:val="ListParagraph"/>
        <w:numPr>
          <w:ilvl w:val="0"/>
          <w:numId w:val="32"/>
        </w:numPr>
        <w:spacing w:line="360" w:lineRule="auto"/>
        <w:jc w:val="both"/>
        <w:rPr>
          <w:rFonts w:ascii="Arial" w:hAnsi="Arial" w:cs="Arial"/>
          <w:sz w:val="24"/>
          <w:szCs w:val="24"/>
        </w:rPr>
      </w:pPr>
      <w:r>
        <w:rPr>
          <w:rFonts w:ascii="Arial" w:hAnsi="Arial" w:cs="Arial"/>
          <w:sz w:val="24"/>
          <w:szCs w:val="24"/>
        </w:rPr>
        <w:t xml:space="preserve">Cognitive self-regulation skills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author":[{"dropping-particle":"","family":"McLeod","given":"Clare","non-dropping-particle":"","parse-names":false,"suffix":""},{"dropping-particle":"","family":"Maxfield","given":"Lynn","non-dropping-particle":"","parse-names":false,"suffix":""}],"container-title":"Journal of Singing","id":"ITEM-2","issue":"3","issued":{"date-parts":[["2020"]]},"page":"327-332","title":"Causal Learning: Addressing Barriers in Learning to Sing MINDFUL VOICE","type":"article-journal","volume":"76"},"uris":["http://www.mendeley.com/documents/?uuid=1e893029-f365-4463-8fd1-f7fa77a4903f"]}],"mendeley":{"formattedCitation":"(McLeod and Maxfield, 2020; Lewis and Hendricks, 2022)","plainTextFormattedCitation":"(McLeod and Maxfield, 2020; Lewis and Hendricks, 2022)","previouslyFormattedCitation":"(McLeod and Maxfield, 2020; Lewis and Hendricks, 2022)"},"properties":{"noteIndex":0},"schema":"https://github.com/citation-style-language/schema/raw/master/csl-citation.json"}</w:instrText>
      </w:r>
      <w:r>
        <w:rPr>
          <w:rFonts w:ascii="Arial" w:hAnsi="Arial" w:cs="Arial"/>
          <w:sz w:val="24"/>
          <w:szCs w:val="24"/>
        </w:rPr>
        <w:fldChar w:fldCharType="separate"/>
      </w:r>
      <w:r w:rsidRPr="00CB1DDE">
        <w:rPr>
          <w:rFonts w:ascii="Arial" w:hAnsi="Arial" w:cs="Arial"/>
          <w:noProof/>
          <w:sz w:val="24"/>
          <w:szCs w:val="24"/>
        </w:rPr>
        <w:t>(McLeod and Maxfield, 2020; Lewis and Hendricks, 2022)</w:t>
      </w:r>
      <w:r>
        <w:rPr>
          <w:rFonts w:ascii="Arial" w:hAnsi="Arial" w:cs="Arial"/>
          <w:sz w:val="24"/>
          <w:szCs w:val="24"/>
        </w:rPr>
        <w:fldChar w:fldCharType="end"/>
      </w:r>
    </w:p>
    <w:p w14:paraId="3781B88C" w14:textId="77777777" w:rsidR="007E7F78" w:rsidRDefault="007E7F78" w:rsidP="007E7F78">
      <w:pPr>
        <w:pStyle w:val="ListParagraph"/>
        <w:numPr>
          <w:ilvl w:val="0"/>
          <w:numId w:val="32"/>
        </w:numPr>
        <w:spacing w:line="360" w:lineRule="auto"/>
        <w:jc w:val="both"/>
        <w:rPr>
          <w:rFonts w:ascii="Arial" w:hAnsi="Arial" w:cs="Arial"/>
          <w:sz w:val="24"/>
          <w:szCs w:val="24"/>
        </w:rPr>
      </w:pPr>
      <w:r>
        <w:rPr>
          <w:rFonts w:ascii="Arial" w:hAnsi="Arial" w:cs="Arial"/>
          <w:sz w:val="24"/>
          <w:szCs w:val="24"/>
        </w:rPr>
        <w:t xml:space="preserve">Reflective skills (through reflective dialogue) </w:t>
      </w:r>
      <w:r>
        <w:rPr>
          <w:rFonts w:ascii="Arial" w:hAnsi="Arial" w:cs="Arial"/>
          <w:sz w:val="24"/>
          <w:szCs w:val="24"/>
        </w:rPr>
        <w:fldChar w:fldCharType="begin" w:fldLock="1"/>
      </w:r>
      <w:r>
        <w:rPr>
          <w:rFonts w:ascii="Arial" w:hAnsi="Arial" w:cs="Arial"/>
          <w:sz w:val="24"/>
          <w:szCs w:val="24"/>
        </w:rPr>
        <w:instrText>ADDIN CSL_CITATION {"citationItems":[{"id":"ITEM-1","itemData":{"author":[{"dropping-particle":"","family":"McLeod","given":"Clare","non-dropping-particle":"","parse-names":false,"suffix":""},{"dropping-particle":"","family":"Maxfield","given":"Lynn","non-dropping-particle":"","parse-names":false,"suffix":""}],"container-title":"Journal of Singing","id":"ITEM-1","issue":"3","issued":{"date-parts":[["2020"]]},"page":"327-332","title":"Causal Learning: Addressing Barriers in Learning to Sing MINDFUL VOICE","type":"article-journal","volume":"76"},"uris":["http://www.mendeley.com/documents/?uuid=1e893029-f365-4463-8fd1-f7fa77a4903f"]},{"id":"ITEM-2","itemData":{"DOI":"10.18546/LRE.13.1.05","ISSN":"14748479","abstract":"The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Education","id":"ITEM-2","issue":"1","issued":{"date-parts":[["2015"]]},"page":"43-57","title":"Critical geragogy: A framework for facilitating older learners in community music","type":"article-journal","volume":"13"},"uris":["http://www.mendeley.com/documents/?uuid=fa50dd99-4e1e-44de-a3f2-30dd41815d00"]}],"mendeley":{"formattedCitation":"(Creech and Hallam, 2015; McLeod and Maxfield, 2020)","plainTextFormattedCitation":"(Creech and Hallam, 2015; McLeod and Maxfield, 2020)","previouslyFormattedCitation":"(Creech and Hallam, 2015; McLeod and Maxfield, 2020)"},"properties":{"noteIndex":0},"schema":"https://github.com/citation-style-language/schema/raw/master/csl-citation.json"}</w:instrText>
      </w:r>
      <w:r>
        <w:rPr>
          <w:rFonts w:ascii="Arial" w:hAnsi="Arial" w:cs="Arial"/>
          <w:sz w:val="24"/>
          <w:szCs w:val="24"/>
        </w:rPr>
        <w:fldChar w:fldCharType="separate"/>
      </w:r>
      <w:r w:rsidRPr="00F76714">
        <w:rPr>
          <w:rFonts w:ascii="Arial" w:hAnsi="Arial" w:cs="Arial"/>
          <w:noProof/>
          <w:sz w:val="24"/>
          <w:szCs w:val="24"/>
        </w:rPr>
        <w:t>(Creech and Hallam, 2015; McLeod and Maxfield, 2020)</w:t>
      </w:r>
      <w:r>
        <w:rPr>
          <w:rFonts w:ascii="Arial" w:hAnsi="Arial" w:cs="Arial"/>
          <w:sz w:val="24"/>
          <w:szCs w:val="24"/>
        </w:rPr>
        <w:fldChar w:fldCharType="end"/>
      </w:r>
    </w:p>
    <w:p w14:paraId="0691A030" w14:textId="77777777" w:rsidR="007E7F78" w:rsidRPr="00F76714" w:rsidRDefault="007E7F78" w:rsidP="007E7F78">
      <w:pPr>
        <w:spacing w:line="360" w:lineRule="auto"/>
        <w:jc w:val="both"/>
        <w:rPr>
          <w:rFonts w:ascii="Arial" w:hAnsi="Arial" w:cs="Arial"/>
          <w:sz w:val="24"/>
          <w:szCs w:val="24"/>
        </w:rPr>
      </w:pPr>
      <w:r w:rsidRPr="00F76714">
        <w:rPr>
          <w:rFonts w:ascii="Arial" w:hAnsi="Arial" w:cs="Arial"/>
          <w:sz w:val="24"/>
          <w:szCs w:val="24"/>
        </w:rPr>
        <w:t xml:space="preserve">Helpful practice routine (leading to mastery experiences) </w:t>
      </w:r>
      <w:r w:rsidRPr="00F76714">
        <w:rPr>
          <w:rFonts w:ascii="Arial" w:hAnsi="Arial" w:cs="Arial"/>
          <w:sz w:val="24"/>
          <w:szCs w:val="24"/>
        </w:rPr>
        <w:fldChar w:fldCharType="begin" w:fldLock="1"/>
      </w:r>
      <w:r w:rsidRPr="00F76714">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Education","id":"ITEM-2","issue":"1","issued":{"date-parts":[["2015"]]},"page":"43-57","title":"Critical geragogy: A framework for facilitating older learners in community music","type":"article-journal","volume":"13"},"uris":["http://www.mendeley.com/documents/?uuid=fa50dd99-4e1e-44de-a3f2-30dd41815d00"]},{"id":"ITEM-3","itemData":{"abstract":"Based on Bandura's theory that those who believe they can do what they set out to do are healthier, more efficient and more successful than those with low self-efficacy expectations. This theory has stimulated programs of research in education, clinicaland developmental psychology, medicine and related fields, athletics and business organization.","author":[{"dropping-particle":"","family":"Bandura","given":"Albert","non-dropping-particle":"","parse-names":false,"suffix":""}],"id":"ITEM-3","issued":{"date-parts":[["1997"]]},"publisher":"W.H.Freeman &amp; Co Ltd","publisher-place":"New York","title":"Self-efficacy : The Exercise of Control.","type":"book"},"uris":["http://www.mendeley.com/documents/?uuid=29014b0e-1932-4150-a247-953655b38468"]}],"mendeley":{"formattedCitation":"(Bandura, 1997; Creech and Hallam, 2015; Lewis and Hendricks, 2022)","plainTextFormattedCitation":"(Bandura, 1997; Creech and Hallam, 2015; Lewis and Hendricks, 2022)","previouslyFormattedCitation":"(Bandura, 1997; Creech and Hallam, 2015; Lewis and Hendricks, 2022)"},"properties":{"noteIndex":0},"schema":"https://github.com/citation-style-language/schema/raw/master/csl-citation.json"}</w:instrText>
      </w:r>
      <w:r w:rsidRPr="00F76714">
        <w:rPr>
          <w:rFonts w:ascii="Arial" w:hAnsi="Arial" w:cs="Arial"/>
          <w:sz w:val="24"/>
          <w:szCs w:val="24"/>
        </w:rPr>
        <w:fldChar w:fldCharType="separate"/>
      </w:r>
      <w:r w:rsidRPr="00F76714">
        <w:rPr>
          <w:rFonts w:ascii="Arial" w:hAnsi="Arial" w:cs="Arial"/>
          <w:noProof/>
          <w:sz w:val="24"/>
          <w:szCs w:val="24"/>
        </w:rPr>
        <w:t>(Bandura, 1997; Creech and Hallam, 2015; Lewis and Hendricks, 2022)</w:t>
      </w:r>
      <w:r w:rsidRPr="00F76714">
        <w:rPr>
          <w:rFonts w:ascii="Arial" w:hAnsi="Arial" w:cs="Arial"/>
          <w:sz w:val="24"/>
          <w:szCs w:val="24"/>
        </w:rPr>
        <w:fldChar w:fldCharType="end"/>
      </w:r>
    </w:p>
    <w:p w14:paraId="1BBB164D" w14:textId="77777777" w:rsidR="007E7F78" w:rsidRDefault="007E7F78" w:rsidP="007E7F78">
      <w:pPr>
        <w:pStyle w:val="ListParagraph"/>
        <w:numPr>
          <w:ilvl w:val="0"/>
          <w:numId w:val="32"/>
        </w:numPr>
        <w:spacing w:line="360" w:lineRule="auto"/>
        <w:jc w:val="both"/>
        <w:rPr>
          <w:rFonts w:ascii="Arial" w:hAnsi="Arial" w:cs="Arial"/>
          <w:sz w:val="24"/>
          <w:szCs w:val="24"/>
        </w:rPr>
      </w:pPr>
      <w:r>
        <w:rPr>
          <w:rFonts w:ascii="Arial" w:hAnsi="Arial" w:cs="Arial"/>
          <w:sz w:val="24"/>
          <w:szCs w:val="24"/>
        </w:rPr>
        <w:lastRenderedPageBreak/>
        <w:t>P</w:t>
      </w:r>
      <w:r w:rsidRPr="00F76714">
        <w:rPr>
          <w:rFonts w:ascii="Arial" w:hAnsi="Arial" w:cs="Arial"/>
          <w:sz w:val="24"/>
          <w:szCs w:val="24"/>
        </w:rPr>
        <w:t>roblem solving skills, acceptance and the normalisation of mistakes</w:t>
      </w:r>
      <w:r>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2021)","plainTextFormattedCitation":"(Hogle, 2021)","previouslyFormattedCitation":"(Hogle, 2021)"},"properties":{"noteIndex":0},"schema":"https://github.com/citation-style-language/schema/raw/master/csl-citation.json"}</w:instrText>
      </w:r>
      <w:r>
        <w:rPr>
          <w:rFonts w:ascii="Arial" w:hAnsi="Arial" w:cs="Arial"/>
          <w:sz w:val="24"/>
          <w:szCs w:val="24"/>
        </w:rPr>
        <w:fldChar w:fldCharType="separate"/>
      </w:r>
      <w:r w:rsidRPr="00F76714">
        <w:rPr>
          <w:rFonts w:ascii="Arial" w:hAnsi="Arial" w:cs="Arial"/>
          <w:noProof/>
          <w:sz w:val="24"/>
          <w:szCs w:val="24"/>
        </w:rPr>
        <w:t>(Hogle, 2021)</w:t>
      </w:r>
      <w:r>
        <w:rPr>
          <w:rFonts w:ascii="Arial" w:hAnsi="Arial" w:cs="Arial"/>
          <w:sz w:val="24"/>
          <w:szCs w:val="24"/>
        </w:rPr>
        <w:fldChar w:fldCharType="end"/>
      </w:r>
    </w:p>
    <w:p w14:paraId="735338AC" w14:textId="77777777" w:rsidR="007E7F78" w:rsidRDefault="007E7F78" w:rsidP="007E7F78">
      <w:pPr>
        <w:spacing w:line="360" w:lineRule="auto"/>
        <w:jc w:val="both"/>
        <w:rPr>
          <w:rFonts w:ascii="Arial" w:hAnsi="Arial" w:cs="Arial"/>
          <w:sz w:val="24"/>
          <w:szCs w:val="24"/>
        </w:rPr>
      </w:pPr>
      <w:r w:rsidRPr="00F76714">
        <w:rPr>
          <w:rFonts w:ascii="Arial" w:hAnsi="Arial" w:cs="Arial"/>
          <w:b/>
          <w:bCs/>
          <w:i/>
          <w:iCs/>
          <w:sz w:val="24"/>
          <w:szCs w:val="24"/>
        </w:rPr>
        <w:t xml:space="preserve">Attitudes </w:t>
      </w:r>
      <w:r>
        <w:rPr>
          <w:rFonts w:ascii="Arial" w:hAnsi="Arial" w:cs="Arial"/>
          <w:b/>
          <w:bCs/>
          <w:i/>
          <w:iCs/>
          <w:sz w:val="24"/>
          <w:szCs w:val="24"/>
        </w:rPr>
        <w:t xml:space="preserve">and approaches </w:t>
      </w:r>
      <w:r w:rsidRPr="00F76714">
        <w:rPr>
          <w:rFonts w:ascii="Arial" w:hAnsi="Arial" w:cs="Arial"/>
          <w:b/>
          <w:bCs/>
          <w:i/>
          <w:iCs/>
          <w:sz w:val="24"/>
          <w:szCs w:val="24"/>
        </w:rPr>
        <w:t>a teacher can bring</w:t>
      </w:r>
      <w:r>
        <w:rPr>
          <w:rFonts w:ascii="Arial" w:hAnsi="Arial" w:cs="Arial"/>
          <w:sz w:val="24"/>
          <w:szCs w:val="24"/>
        </w:rPr>
        <w:t xml:space="preserve"> to support self-efficacy improvements:</w:t>
      </w:r>
    </w:p>
    <w:p w14:paraId="5AB2213C" w14:textId="77777777" w:rsidR="007E7F78" w:rsidRDefault="007E7F78" w:rsidP="007E7F78">
      <w:pPr>
        <w:pStyle w:val="ListParagraph"/>
        <w:numPr>
          <w:ilvl w:val="0"/>
          <w:numId w:val="33"/>
        </w:numPr>
        <w:spacing w:line="360" w:lineRule="auto"/>
        <w:jc w:val="both"/>
        <w:rPr>
          <w:rFonts w:ascii="Arial" w:hAnsi="Arial" w:cs="Arial"/>
          <w:sz w:val="24"/>
          <w:szCs w:val="24"/>
        </w:rPr>
      </w:pPr>
      <w:r>
        <w:rPr>
          <w:rFonts w:ascii="Arial" w:hAnsi="Arial" w:cs="Arial"/>
          <w:sz w:val="24"/>
          <w:szCs w:val="24"/>
        </w:rPr>
        <w:t xml:space="preserve">Support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beliefs","type":"article-journal"},"uris":["http://www.mendeley.com/documents/?uuid=d1469298-0bbc-4c76-afcd-e0c4086da712"]}],"mendeley":{"formattedCitation":"(Lewis and Hendricks, 2022)","plainTextFormattedCitation":"(Lewis and Hendricks, 2022)","previouslyFormattedCitation":"(Lewis and Hendricks, 2022)"},"properties":{"noteIndex":0},"schema":"https://github.com/citation-style-language/schema/raw/master/csl-citation.json"}</w:instrText>
      </w:r>
      <w:r>
        <w:rPr>
          <w:rFonts w:ascii="Arial" w:hAnsi="Arial" w:cs="Arial"/>
          <w:sz w:val="24"/>
          <w:szCs w:val="24"/>
        </w:rPr>
        <w:fldChar w:fldCharType="separate"/>
      </w:r>
      <w:r w:rsidRPr="00F76714">
        <w:rPr>
          <w:rFonts w:ascii="Arial" w:hAnsi="Arial" w:cs="Arial"/>
          <w:noProof/>
          <w:sz w:val="24"/>
          <w:szCs w:val="24"/>
        </w:rPr>
        <w:t>(Lewis and Hendricks, 2022)</w:t>
      </w:r>
      <w:r>
        <w:rPr>
          <w:rFonts w:ascii="Arial" w:hAnsi="Arial" w:cs="Arial"/>
          <w:sz w:val="24"/>
          <w:szCs w:val="24"/>
        </w:rPr>
        <w:fldChar w:fldCharType="end"/>
      </w:r>
    </w:p>
    <w:p w14:paraId="7EB1D349" w14:textId="77777777" w:rsidR="007E7F78" w:rsidRDefault="007E7F78" w:rsidP="007E7F78">
      <w:pPr>
        <w:pStyle w:val="ListParagraph"/>
        <w:numPr>
          <w:ilvl w:val="0"/>
          <w:numId w:val="33"/>
        </w:numPr>
        <w:spacing w:line="360" w:lineRule="auto"/>
        <w:jc w:val="both"/>
        <w:rPr>
          <w:rFonts w:ascii="Arial" w:hAnsi="Arial" w:cs="Arial"/>
          <w:sz w:val="24"/>
          <w:szCs w:val="24"/>
        </w:rPr>
      </w:pPr>
      <w:r>
        <w:rPr>
          <w:rFonts w:ascii="Arial" w:hAnsi="Arial" w:cs="Arial"/>
          <w:sz w:val="24"/>
          <w:szCs w:val="24"/>
        </w:rPr>
        <w:t>D</w:t>
      </w:r>
      <w:r w:rsidRPr="00F76714">
        <w:rPr>
          <w:rFonts w:ascii="Arial" w:hAnsi="Arial" w:cs="Arial"/>
          <w:sz w:val="24"/>
          <w:szCs w:val="24"/>
        </w:rPr>
        <w:t>emocracy, cooperation, inclusivity, and togetherness</w:t>
      </w:r>
      <w:r w:rsidRPr="00F81B85">
        <w:rPr>
          <w:rFonts w:ascii="Arial" w:hAnsi="Arial" w:cs="Arial"/>
          <w:b/>
          <w:bCs/>
          <w:i/>
          <w:iCs/>
          <w:sz w:val="24"/>
          <w:szCs w:val="24"/>
        </w:rPr>
        <w:t xml:space="preserve"> </w:t>
      </w:r>
      <w:r>
        <w:rPr>
          <w:rFonts w:ascii="Arial" w:hAnsi="Arial" w:cs="Arial"/>
          <w:b/>
          <w:bCs/>
          <w:i/>
          <w:iCs/>
          <w:sz w:val="24"/>
          <w:szCs w:val="24"/>
        </w:rPr>
        <w:fldChar w:fldCharType="begin" w:fldLock="1"/>
      </w:r>
      <w:r>
        <w:rPr>
          <w:rFonts w:ascii="Arial" w:hAnsi="Arial" w:cs="Arial"/>
          <w:b/>
          <w:bCs/>
          <w:i/>
          <w:iCs/>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Education","id":"ITEM-2","issue":"1","issued":{"date-parts":[["2015"]]},"page":"43-57","title":"Critical geragogy: A framework for facilitating older learners in community music","type":"article-journal","volume":"13"},"uris":["http://www.mendeley.com/documents/?uuid=fa50dd99-4e1e-44de-a3f2-30dd41815d00"]},{"id":"ITEM-3","itemData":{"DOI":"10.1108/20428301111140930","ISSN":"20428316","abstract":"Purpose - This paper aims to describe the development and evaluation of an innovative community singing initiative with mental health services users and supporters in East Kent, UK.Design/methodology/approach - A network of seven singing groups was established between September 2009 and June 2010. The choirs met weekly in three terms with breaks for Christmas and Easter, and joined together for two public performances in February and June 2010. In total, 137 participants were involved in the evaluation processes over this period. Of these, 42 provided complete data on the CORE questionnaire, a widely used clinical measure of mental distress, at baseline and eight months later. Findings - Clinically significant improvements were observed in response to the CORE. These changes, together with qualitative feedback from participants, demonstrate that group singing can have substantial benefits in aiding the recovery of people with a history of serious and enduring mental health problems. A limited body of research has also shown that singing can be helpful for people with existing mental and physical health problems. Originality/value - The research finds marked improvements in mental wellbeing on a clinically validated measure for people with a range of enduring mental health issues participating in a network of small choirs. Qualitative evidence indicates that group singing can offer a wide range of emotional and social benefits for mental health service users. © Emerald Group Publishing Limited.","author":[{"dropping-particle":"","family":"Clift","given":"Stephen","non-dropping-particle":"","parse-names":false,"suffix":""},{"dropping-particle":"","family":"Morrison","given":"Ian","non-dropping-particle":"","parse-names":false,"suffix":""}],"container-title":"Mental Health and Social Inclusion","id":"ITEM-3","issue":"2","issued":{"date-parts":[["2011"]]},"page":"88-97","title":"Group singing fosters mental health and wellbeing: Findings from the East Kent \"singing for health\" network project","type":"article-journal","volume":"15"},"uris":["http://www.mendeley.com/documents/?uuid=cea75396-641a-497e-98c9-76ac37fc767f"]},{"id":"ITEM-4","itemData":{"DOI":"10.1080/13603116.2017.1414578","ISSN":"14645173","abstract":"Inclusion has a high priority in education policy all over the world and teachers must be able to handle in practice increasing student diversity and the demands for creating an inclusive learning environment. In spite of the enhanced political focus, there is a lack of research focusing on how those teachers working with inclusion can be supported with more tangible and meaningful ways of understanding and developing inclusive classrooms. This article argues that seeing research in inclusion in close connection with research in effective teaching strategies and classroom management will contribute to an enrichment of the two research fields and give teachers and researchers new opportunities for developing more inclusive schools. Based on research focused on teaching strategies that support students’ opportunities for learning, four dimensions of inclusive teaching strategies are presented: a framing, a relational, a didactic and an organisational dimension. In addition, and in order to further understand teachers work with inclusive education in a more structural perspective, light is shed on the complexity that teachers are required to handle in practice. This complexity, among other things, entails dilemmas emerging from different agendas teachers often must handle themselves.","author":[{"dropping-particle":"","family":"Molbaek","given":"Mette","non-dropping-particle":"","parse-names":false,"suffix":""}],"container-title":"International Journal of Inclusive Education","id":"ITEM-4","issue":"10","issued":{"date-parts":[["2018"]]},"page":"1048-1061","publisher":"Taylor &amp; Francis","title":"Inclusive teaching strategies–dimensions and agendas","type":"article-journal","volume":"22"},"uris":["http://www.mendeley.com/documents/?uuid=542f940e-b6ac-4869-8130-c3b6e9be2a28"]}],"mendeley":{"formattedCitation":"(Clift and Morrison, 2011; Creech and Hallam, 2015; Molbaek, 2018; Hogle, 2021)","plainTextFormattedCitation":"(Clift and Morrison, 2011; Creech and Hallam, 2015; Molbaek, 2018; Hogle, 2021)","previouslyFormattedCitation":"(Clift and Morrison, 2011; Creech and Hallam, 2015; Molbaek, 2018; Hogle, 2021)"},"properties":{"noteIndex":0},"schema":"https://github.com/citation-style-language/schema/raw/master/csl-citation.json"}</w:instrText>
      </w:r>
      <w:r>
        <w:rPr>
          <w:rFonts w:ascii="Arial" w:hAnsi="Arial" w:cs="Arial"/>
          <w:b/>
          <w:bCs/>
          <w:i/>
          <w:iCs/>
          <w:sz w:val="24"/>
          <w:szCs w:val="24"/>
        </w:rPr>
        <w:fldChar w:fldCharType="separate"/>
      </w:r>
      <w:r w:rsidRPr="002618D0">
        <w:rPr>
          <w:rFonts w:ascii="Arial" w:hAnsi="Arial" w:cs="Arial"/>
          <w:bCs/>
          <w:iCs/>
          <w:noProof/>
          <w:sz w:val="24"/>
          <w:szCs w:val="24"/>
        </w:rPr>
        <w:t>(Clift and Morrison, 2011; Creech and Hallam, 2015; Molbaek, 2018; Hogle, 2021)</w:t>
      </w:r>
      <w:r>
        <w:rPr>
          <w:rFonts w:ascii="Arial" w:hAnsi="Arial" w:cs="Arial"/>
          <w:b/>
          <w:bCs/>
          <w:i/>
          <w:iCs/>
          <w:sz w:val="24"/>
          <w:szCs w:val="24"/>
        </w:rPr>
        <w:fldChar w:fldCharType="end"/>
      </w:r>
    </w:p>
    <w:p w14:paraId="07038538" w14:textId="77777777" w:rsidR="007E7F78" w:rsidRDefault="007E7F78" w:rsidP="007E7F78">
      <w:pPr>
        <w:pStyle w:val="ListParagraph"/>
        <w:numPr>
          <w:ilvl w:val="0"/>
          <w:numId w:val="33"/>
        </w:numPr>
        <w:spacing w:line="360" w:lineRule="auto"/>
        <w:jc w:val="both"/>
        <w:rPr>
          <w:rFonts w:ascii="Arial" w:hAnsi="Arial" w:cs="Arial"/>
          <w:sz w:val="24"/>
          <w:szCs w:val="24"/>
        </w:rPr>
      </w:pPr>
      <w:r>
        <w:rPr>
          <w:rFonts w:ascii="Arial" w:hAnsi="Arial" w:cs="Arial"/>
          <w:sz w:val="24"/>
          <w:szCs w:val="24"/>
        </w:rPr>
        <w:t xml:space="preserve">Self-awareness and awareness that their beliefs feed into teacher-student interactions </w:t>
      </w:r>
      <w:r>
        <w:rPr>
          <w:rFonts w:ascii="Arial" w:hAnsi="Arial" w:cs="Arial"/>
          <w:sz w:val="24"/>
          <w:szCs w:val="24"/>
        </w:rPr>
        <w:fldChar w:fldCharType="begin" w:fldLock="1"/>
      </w:r>
      <w:r>
        <w:rPr>
          <w:rFonts w:ascii="Arial" w:hAnsi="Arial" w:cs="Arial"/>
          <w:sz w:val="24"/>
          <w:szCs w:val="24"/>
        </w:rPr>
        <w:instrText>ADDIN CSL_CITATION {"citationItems":[{"id":"ITEM-1","itemData":{"DOI":"10.1177/0022429411405214","ISSN":"00224294","abstract":"The Self-Efficacy for Musical Learning questionnaire was adapted and tested with 404 primary school children, producing a robust Cronbach alpha (0.87) and confirming a single underlying factor through exploratory factor analysis. Test-retest scores showed the measure's stability over a 9-month period. Data were collected on children's prior music experience, extracurricular activities, and typical daily activities. Children also completed the Short Warwick-Edinburgh Mental Well-Being Scale and the Strengths and Difficulties Questionnaire. Those currently engaged in music tuition (learning an instrument or singing) had significantly higher self-efficacy scores than children who were not, and overall, girls' scores were significantly higher than boys'. Correlations with various additional measures, including wellbeing and reading for pleasure, highlighted multifaceted relationships of self-efficacy to children's lives. Regression analyses revealed that prior experience with instrumental tuition was the strongest predictor of music self-efficacy for learning; prosocial behaviors predicted boys' scores, and well-being predicted girls' scores. © 2011 MENC: The National Association for Music Education.","author":[{"dropping-particle":"","family":"Ritchie","given":"Laura","non-dropping-particle":"","parse-names":false,"suffix":""},{"dropping-particle":"","family":"Williamon","given":"Aaron","non-dropping-particle":"","parse-names":false,"suffix":""}],"container-title":"Journal of Research in Music Education","id":"ITEM-1","issue":"2","issued":{"date-parts":[["2011"]]},"page":"146-161","title":"Primary school children's Self-efficacy for Music Learning","type":"article-journal","volume":"59"},"uris":["http://www.mendeley.com/documents/?uuid=240473f6-1468-4960-8481-528f722fddd9"]},{"id":"ITEM-2","itemData":{"DOI":"10.1177/02557614221074057","ISBN":"0255761422107","ISSN":"1744795X","abstract":"Fostering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beliefs","type":"article-journal"},"uris":["http://www.mendeley.com/documents/?uuid=d1469298-0bbc-4c76-afcd-e0c4086da712"]}],"mendeley":{"formattedCitation":"(Ritchie and Williamon, 2011; Lewis and Hendricks, 2022)","plainTextFormattedCitation":"(Ritchie and Williamon, 2011; Lewis and Hendricks, 2022)","previouslyFormattedCitation":"(Ritchie and Williamon, 2011; Lewis and Hendricks, 2022)"},"properties":{"noteIndex":0},"schema":"https://github.com/citation-style-language/schema/raw/master/csl-citation.json"}</w:instrText>
      </w:r>
      <w:r>
        <w:rPr>
          <w:rFonts w:ascii="Arial" w:hAnsi="Arial" w:cs="Arial"/>
          <w:sz w:val="24"/>
          <w:szCs w:val="24"/>
        </w:rPr>
        <w:fldChar w:fldCharType="separate"/>
      </w:r>
      <w:r w:rsidRPr="00F76714">
        <w:rPr>
          <w:rFonts w:ascii="Arial" w:hAnsi="Arial" w:cs="Arial"/>
          <w:noProof/>
          <w:sz w:val="24"/>
          <w:szCs w:val="24"/>
        </w:rPr>
        <w:t>(Ritchie and Williamon, 2011; Lewis and Hendricks, 2022)</w:t>
      </w:r>
      <w:r>
        <w:rPr>
          <w:rFonts w:ascii="Arial" w:hAnsi="Arial" w:cs="Arial"/>
          <w:sz w:val="24"/>
          <w:szCs w:val="24"/>
        </w:rPr>
        <w:fldChar w:fldCharType="end"/>
      </w:r>
    </w:p>
    <w:p w14:paraId="2D1A65D3" w14:textId="77777777" w:rsidR="007E7F78" w:rsidRDefault="007E7F78" w:rsidP="007E7F78">
      <w:pPr>
        <w:pStyle w:val="ListParagraph"/>
        <w:numPr>
          <w:ilvl w:val="0"/>
          <w:numId w:val="33"/>
        </w:numPr>
        <w:spacing w:line="360" w:lineRule="auto"/>
        <w:jc w:val="both"/>
        <w:rPr>
          <w:rFonts w:ascii="Arial" w:hAnsi="Arial" w:cs="Arial"/>
          <w:sz w:val="24"/>
          <w:szCs w:val="24"/>
        </w:rPr>
      </w:pPr>
      <w:r>
        <w:rPr>
          <w:rFonts w:ascii="Arial" w:hAnsi="Arial" w:cs="Arial"/>
          <w:sz w:val="24"/>
          <w:szCs w:val="24"/>
        </w:rPr>
        <w:t xml:space="preserve">Developmental/ growth mindset </w:t>
      </w:r>
      <w:r>
        <w:rPr>
          <w:rFonts w:ascii="Arial" w:hAnsi="Arial" w:cs="Arial"/>
          <w:sz w:val="24"/>
          <w:szCs w:val="24"/>
        </w:rPr>
        <w:fldChar w:fldCharType="begin" w:fldLock="1"/>
      </w:r>
      <w:r>
        <w:rPr>
          <w:rFonts w:ascii="Arial" w:hAnsi="Arial" w:cs="Arial"/>
          <w:sz w:val="24"/>
          <w:szCs w:val="24"/>
        </w:rPr>
        <w:instrText>ADDIN CSL_CITATION {"citationItems":[{"id":"ITEM-1","itemData":{"DOI":"10.1080/14613808.2019.1598346","ISSN":"14699893","abstract":"We explored the role of self-efficacy in participatory music-making, and whether a single such music-making activity could make non-musician adults more open to seeing themselves as musical. Past research has suggested that even recipients of multiple years of school music education do not consider being musical as a part of their identity, and they do not exit adolescence with an independent musicianship that would facilitate their making music as adults. In our study, we invited older adults to participate in an informal music-making experience designed to be participatory and enjoyable. A questionnaire measured musical beliefs and self-perceptions before and after the music activity. The posttest version included items through which participants indicated their self-efficacy during the activity. Data analysis revealed that across the entire sample, the average rating of how musical they considered themselves to be did not change significantly, but there was a significant jump in their reported likelihood of engaging in a collection of musical life activities. Specifically, there was a rise in the likelihood of playing musical instruments informally. The study’s most important finding was that participants with higher self-efficacy during the activity emerged from it believing themselves to be more musical than they had previously thought.","author":[{"dropping-particle":"","family":"Woody","given":"Robert H.","non-dropping-particle":"","parse-names":false,"suffix":""},{"dropping-particle":"","family":"Fraser","given":"Amy","non-dropping-particle":"","parse-names":false,"suffix":""},{"dropping-particle":"","family":"Nannen","given":"Briana","non-dropping-particle":"","parse-names":false,"suffix":""},{"dropping-particle":"","family":"Yukevich","given":"Polly","non-dropping-particle":"","parse-names":false,"suffix":""}],"container-title":"Music Education Research","id":"ITEM-1","issue":"3","issued":{"date-parts":[["2019"]]},"page":"315-330","publisher":"Taylor &amp; Francis","title":"Musical identities of older adults are not easily changed: an exploratory study","type":"article-journal","volume":"21"},"uris":["http://www.mendeley.com/documents/?uuid=c0731686-1857-43a8-8fa8-ba5ac99fc6e4"]},{"id":"ITEM-2","itemData":{"DOI":"10.1177/1321103X20930426","ISSN":"18345530","abstract":"The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Education","id":"ITEM-2","issue":"2","issued":{"date-parts":[["2021"]]},"page":"179-194","title":"Fostering singing agency through emotional differentiation in an inclusive singing environment","type":"article-journal","volume":"43"},"uris":["http://www.mendeley.com/documents/?uuid=df4ddb6b-d417-411f-9261-d87aba0aa367"]}],"mendeley":{"formattedCitation":"(Woody &lt;i&gt;et al.&lt;/i&gt;, 2019; Hogle, 2021)","plainTextFormattedCitation":"(Woody et al., 2019; Hogle, 2021)","previouslyFormattedCitation":"(Woody &lt;i&gt;et al.&lt;/i&gt;, 2019; Hogle, 2021)"},"properties":{"noteIndex":0},"schema":"https://github.com/citation-style-language/schema/raw/master/csl-citation.json"}</w:instrText>
      </w:r>
      <w:r>
        <w:rPr>
          <w:rFonts w:ascii="Arial" w:hAnsi="Arial" w:cs="Arial"/>
          <w:sz w:val="24"/>
          <w:szCs w:val="24"/>
        </w:rPr>
        <w:fldChar w:fldCharType="separate"/>
      </w:r>
      <w:r w:rsidRPr="00F76714">
        <w:rPr>
          <w:rFonts w:ascii="Arial" w:hAnsi="Arial" w:cs="Arial"/>
          <w:noProof/>
          <w:sz w:val="24"/>
          <w:szCs w:val="24"/>
        </w:rPr>
        <w:t xml:space="preserve">(Woody </w:t>
      </w:r>
      <w:r w:rsidRPr="00F76714">
        <w:rPr>
          <w:rFonts w:ascii="Arial" w:hAnsi="Arial" w:cs="Arial"/>
          <w:i/>
          <w:noProof/>
          <w:sz w:val="24"/>
          <w:szCs w:val="24"/>
        </w:rPr>
        <w:t>et al.</w:t>
      </w:r>
      <w:r w:rsidRPr="00F76714">
        <w:rPr>
          <w:rFonts w:ascii="Arial" w:hAnsi="Arial" w:cs="Arial"/>
          <w:noProof/>
          <w:sz w:val="24"/>
          <w:szCs w:val="24"/>
        </w:rPr>
        <w:t>, 2019; Hogle, 2021)</w:t>
      </w:r>
      <w:r>
        <w:rPr>
          <w:rFonts w:ascii="Arial" w:hAnsi="Arial" w:cs="Arial"/>
          <w:sz w:val="24"/>
          <w:szCs w:val="24"/>
        </w:rPr>
        <w:fldChar w:fldCharType="end"/>
      </w:r>
    </w:p>
    <w:p w14:paraId="68C11722" w14:textId="77777777" w:rsidR="007E7F78" w:rsidRDefault="007E7F78" w:rsidP="007E7F78">
      <w:pPr>
        <w:pStyle w:val="ListParagraph"/>
        <w:numPr>
          <w:ilvl w:val="0"/>
          <w:numId w:val="33"/>
        </w:numPr>
        <w:spacing w:line="360" w:lineRule="auto"/>
        <w:jc w:val="both"/>
        <w:rPr>
          <w:rFonts w:ascii="Arial" w:hAnsi="Arial" w:cs="Arial"/>
          <w:sz w:val="24"/>
          <w:szCs w:val="24"/>
        </w:rPr>
      </w:pPr>
      <w:r>
        <w:rPr>
          <w:rFonts w:ascii="Arial" w:hAnsi="Arial" w:cs="Arial"/>
          <w:sz w:val="24"/>
          <w:szCs w:val="24"/>
        </w:rPr>
        <w:t xml:space="preserve">Student empowerment </w:t>
      </w:r>
      <w:r>
        <w:rPr>
          <w:rFonts w:ascii="Arial" w:hAnsi="Arial" w:cs="Arial"/>
          <w:sz w:val="24"/>
          <w:szCs w:val="24"/>
        </w:rPr>
        <w:fldChar w:fldCharType="begin" w:fldLock="1"/>
      </w:r>
      <w:r>
        <w:rPr>
          <w:rFonts w:ascii="Arial" w:hAnsi="Arial" w:cs="Arial"/>
          <w:sz w:val="24"/>
          <w:szCs w:val="24"/>
        </w:rPr>
        <w:instrText>ADDIN CSL_CITATION {"citationItems":[{"id":"ITEM-1","itemData":{"DOI":"10.18546/LRE.13.1.05","ISSN":"14748479","abstract":"The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Education","id":"ITEM-1","issue":"1","issued":{"date-parts":[["2015"]]},"page":"43-57","title":"Critical geragogy: A framework for facilitating older learners in community music","type":"article-journal","volume":"13"},"uris":["http://www.mendeley.com/documents/?uuid=fa50dd99-4e1e-44de-a3f2-30dd41815d00"]},{"id":"ITEM-2","itemData":{"ISSN":"10867732","abstract":"The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Singing","id":"ITEM-2","issue":"4","issued":{"date-parts":[["2018"]]},"page":"405-414","title":"Critical Thought, Intrinsic Motivation, and the Voice Studio: Perspectives of Master Teachers.","type":"article-journal","volume":"74"},"uris":["http://www.mendeley.com/documents/?uuid=4030f552-7b94-4abf-bab4-c0b97b7babca"]},{"id":"ITEM-3","itemData":{"DOI":"10.1177/1321103X20930426","ISSN":"18345530","abstract":"The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Education","id":"ITEM-3","issue":"2","issued":{"date-parts":[["2021"]]},"page":"179-194","title":"Fostering singing agency through emotional differentiation in an inclusive singing environment","type":"article-journal","volume":"43"},"uris":["http://www.mendeley.com/documents/?uuid=df4ddb6b-d417-411f-9261-d87aba0aa367"]},{"id":"ITEM-4","itemData":{"DOI":"10.1177/02557614221074057","ISBN":"0255761422107","ISSN":"1744795X","abstract":"Fostering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Education","id":"ITEM-4","issued":{"date-parts":[["2022"]]},"title":"“It’s your body, it’s part of who you are!”: Influences upon collegiate vocalists’ performance self-efficacy beliefs","type":"article-journal"},"uris":["http://www.mendeley.com/documents/?uuid=d1469298-0bbc-4c76-afcd-e0c4086da712"]}],"mendeley":{"formattedCitation":"(Creech and Hallam, 2015; Stephenson, 2018; Hogle, 2021; Lewis and Hendricks, 2022)","plainTextFormattedCitation":"(Creech and Hallam, 2015; Stephenson, 2018; Hogle, 2021; Lewis and Hendricks, 2022)","previouslyFormattedCitation":"(Creech and Hallam, 2015; Stephenson, 2018; Hogle, 2021; Lewis and Hendricks, 2022)"},"properties":{"noteIndex":0},"schema":"https://github.com/citation-style-language/schema/raw/master/csl-citation.json"}</w:instrText>
      </w:r>
      <w:r>
        <w:rPr>
          <w:rFonts w:ascii="Arial" w:hAnsi="Arial" w:cs="Arial"/>
          <w:sz w:val="24"/>
          <w:szCs w:val="24"/>
        </w:rPr>
        <w:fldChar w:fldCharType="separate"/>
      </w:r>
      <w:r w:rsidRPr="00F76714">
        <w:rPr>
          <w:rFonts w:ascii="Arial" w:hAnsi="Arial" w:cs="Arial"/>
          <w:noProof/>
          <w:sz w:val="24"/>
          <w:szCs w:val="24"/>
        </w:rPr>
        <w:t>(Creech and Hallam, 2015; Stephenson, 2018; Hogle, 2021; Lewis and Hendricks, 2022)</w:t>
      </w:r>
      <w:r>
        <w:rPr>
          <w:rFonts w:ascii="Arial" w:hAnsi="Arial" w:cs="Arial"/>
          <w:sz w:val="24"/>
          <w:szCs w:val="24"/>
        </w:rPr>
        <w:fldChar w:fldCharType="end"/>
      </w:r>
    </w:p>
    <w:p w14:paraId="52A15821" w14:textId="77777777" w:rsidR="007E7F78" w:rsidRPr="00F76714" w:rsidRDefault="007E7F78" w:rsidP="007E7F78">
      <w:pPr>
        <w:pStyle w:val="ListParagraph"/>
        <w:numPr>
          <w:ilvl w:val="0"/>
          <w:numId w:val="33"/>
        </w:numPr>
        <w:spacing w:line="360" w:lineRule="auto"/>
        <w:jc w:val="both"/>
        <w:rPr>
          <w:rFonts w:ascii="Arial" w:hAnsi="Arial" w:cs="Arial"/>
          <w:sz w:val="24"/>
          <w:szCs w:val="24"/>
        </w:rPr>
      </w:pPr>
      <w:r>
        <w:rPr>
          <w:rFonts w:ascii="Arial" w:hAnsi="Arial" w:cs="Arial"/>
          <w:sz w:val="24"/>
          <w:szCs w:val="24"/>
        </w:rPr>
        <w:t xml:space="preserve">Empathy and compassion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environment","type":"article-journal","volume":"43"},"uris":["http://www.mendeley.com/documents/?uuid=df4ddb6b-d417-411f-9261-d87aba0aa367"]},{"id":"ITEM-2","itemData":{"DOI":"10.1177/1029864920941570","ISSN":"10298649","abstract":"Mindfulness courses are beneficial in clinical domains for anxiety and depression and are becoming more prevalent as interventions in education. However, little is known about what effects mindfulness might have on musicians. In an exploratory study, 25 music students, who completed one of four 8-week MBSR/MBCT mindfulness courses adapted for musicians at the Guildhall School of Music and Drama, completed the validated Five Facet Mindfulness Questionnaire and a bespoke Mindfulness for Musicians questionnaire pre- and post-intervention. Twenty-one music students also took part in a post-intervention one-to-one semi-structured interview. Post-intervention mindfulness scores for both questionnaires increased significantly in comparison to pre-intervention scores. In interviews, participants were reportedly more aware and focused in instrumental lessons, were less self-critical, and developed increased body awareness, which improved their learning of instrumental technique. Participants also described enhanced teacher/pupil communication. In instrumental practice sessions, participants reported more efficient, effective and creative practice, and said that mindfulness exercises helped them deal with problems experienced while practising. Participants also described enhanced listening skills and improved socio-collaboration in ensemble rehearsals. They reported that mindfulness strategies had positive effects on music performance anxiety and described changes in time perception, enhanced expressivity, and positive post-performance effects. Future researchers could adopt a more robust methodology, such as a randomised controlled trial, and incorporate further design elements, such as longitudinal follow-up. Providing more systematic evidence of the beneficial role of mindfulness for conservatoire music students as learners and performers may encourage greater provision of such opportunities in musical settings in the future.","author":[{"dropping-particle":"","family":"Czajkowski","given":"Anne Marie Louise","non-dropping-particle":"","parse-names":false,"suffix":""},{"dropping-particle":"","family":"Greasley","given":"Alinka Elizabeth","non-dropping-particle":"","parse-names":false,"suffix":""},{"dropping-particle":"","family":"Allis","given":"Michael","non-dropping-particle":"","parse-names":false,"suffix":""}],"container-title":"Musicae Scientiae","id":"ITEM-2","issued":{"date-parts":[["2020"]]},"title":"Mindfulness for musicians: A mixed methods study investigating the effects of 8-week mindfulness courses on music students at a leading conservatoire","type":"article-journal"},"uris":["http://www.mendeley.com/documents/?uuid=f970a755-f86e-4cfa-a2d0-19410e603fa3"]}],"mendeley":{"formattedCitation":"(Czajkowski, Greasley and Allis, 2020; Hogle, 2021)","plainTextFormattedCitation":"(Czajkowski, Greasley and Allis, 2020; Hogle, 2021)","previouslyFormattedCitation":"(Czajkowski, Greasley and Allis, 2020; Hogle, 2021)"},"properties":{"noteIndex":0},"schema":"https://github.com/citation-style-language/schema/raw/master/csl-citation.json"}</w:instrText>
      </w:r>
      <w:r>
        <w:rPr>
          <w:rFonts w:ascii="Arial" w:hAnsi="Arial" w:cs="Arial"/>
          <w:sz w:val="24"/>
          <w:szCs w:val="24"/>
        </w:rPr>
        <w:fldChar w:fldCharType="separate"/>
      </w:r>
      <w:r w:rsidRPr="00B316EB">
        <w:rPr>
          <w:rFonts w:ascii="Arial" w:hAnsi="Arial" w:cs="Arial"/>
          <w:noProof/>
          <w:sz w:val="24"/>
          <w:szCs w:val="24"/>
        </w:rPr>
        <w:t>(Czajkowski, Greasley and Allis, 2020; Hogle, 2021)</w:t>
      </w:r>
      <w:r>
        <w:rPr>
          <w:rFonts w:ascii="Arial" w:hAnsi="Arial" w:cs="Arial"/>
          <w:sz w:val="24"/>
          <w:szCs w:val="24"/>
        </w:rPr>
        <w:fldChar w:fldCharType="end"/>
      </w:r>
      <w:r>
        <w:rPr>
          <w:rFonts w:ascii="Arial" w:hAnsi="Arial" w:cs="Arial"/>
          <w:sz w:val="24"/>
          <w:szCs w:val="24"/>
        </w:rPr>
        <w:t>. Teacher</w:t>
      </w:r>
      <w:r>
        <w:rPr>
          <w:rFonts w:ascii="Arial" w:hAnsi="Arial" w:cs="Arial"/>
          <w:sz w:val="24"/>
          <w:szCs w:val="24"/>
        </w:rPr>
        <w:fldChar w:fldCharType="begin" w:fldLock="1"/>
      </w:r>
      <w:r>
        <w:rPr>
          <w:rFonts w:ascii="Arial" w:hAnsi="Arial" w:cs="Arial"/>
          <w:sz w:val="24"/>
          <w:szCs w:val="24"/>
        </w:rPr>
        <w:instrText>ADDIN CSL_CITATION {"citationItems":[{"id":"ITEM-1","itemData":{"DOI":"10.1080/13603116.2017.1414578","ISSN":"14645173","abstract":"Inclusion has a high priority in education policy all over the world and teachers must be able to handle in practice increasing student diversity and the demands for creating an inclusive learning environment. In spite of the enhanced political focus, there is a lack of research focusing on how those teachers working with inclusion can be supported with more tangible and meaningful ways of understanding and developing inclusive classrooms. This article argues that seeing research in inclusion in close connection with research in effective teaching strategies and classroom management will contribute to an enrichment of the two research fields and give teachers and researchers new opportunities for developing more inclusive schools. Based on research focused on teaching strategies that support students’ opportunities for learning, four dimensions of inclusive teaching strategies are presented: a framing, a relational, a didactic and an organisational dimension. In addition, and in order to further understand teachers work with inclusive education in a more structural perspective, light is shed on the complexity that teachers are required to handle in practice. This complexity, among other things, entails dilemmas emerging from different agendas teachers often must handle themselves.","author":[{"dropping-particle":"","family":"Molbaek","given":"Mette","non-dropping-particle":"","parse-names":false,"suffix":""}],"container-title":"International Journal of Inclusive Education","id":"ITEM-1","issue":"10","issued":{"date-parts":[["2018"]]},"page":"1048-1061","publisher":"Taylor &amp; Francis","title":"Inclusive teaching strategies–dimensions and agendas","type":"article-journal","volume":"22"},"uris":["http://www.mendeley.com/documents/?uuid=542f940e-b6ac-4869-8130-c3b6e9be2a28"]},{"id":"ITEM-2","itemData":{"DOI":"10.1177/1321103X20930426","ISSN":"18345530","abstract":"The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Education","id":"ITEM-2","issue":"2","issued":{"date-parts":[["2021"]]},"page":"179-194","title":"Fostering singing agency through emotional differentiation in an inclusive singing environment","type":"article-journal","volume":"43"},"uris":["http://www.mendeley.com/documents/?uuid=df4ddb6b-d417-411f-9261-d87aba0aa367"]},{"id":"ITEM-3","itemData":{"DOI":"10.1177/02557614221074057","ISBN":"0255761422107","ISSN":"1744795X","abstract":"Fostering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Education","id":"ITEM-3","issued":{"date-parts":[["2022"]]},"title":"“It’s your body, it’s part of who you are!”: Influences upon collegiate vocalists’ performance self-efficacy beliefs","type":"article-journal"},"uris":["http://www.mendeley.com/documents/?uuid=d1469298-0bbc-4c76-afcd-e0c4086da712"]}],"mendeley":{"formattedCitation":"(Molbaek, 2018; Hogle, 2021; Lewis and Hendricks, 2022)","plainTextFormattedCitation":"(Molbaek, 2018; Hogle, 2021; Lewis and Hendricks, 2022)","previouslyFormattedCitation":"(Molbaek, 2018; Hogle, 2021; Lewis and Hendricks, 2022)"},"properties":{"noteIndex":0},"schema":"https://github.com/citation-style-language/schema/raw/master/csl-citation.json"}</w:instrText>
      </w:r>
      <w:r>
        <w:rPr>
          <w:rFonts w:ascii="Arial" w:hAnsi="Arial" w:cs="Arial"/>
          <w:sz w:val="24"/>
          <w:szCs w:val="24"/>
        </w:rPr>
        <w:fldChar w:fldCharType="separate"/>
      </w:r>
      <w:r w:rsidRPr="00C576F3">
        <w:rPr>
          <w:rFonts w:ascii="Arial" w:hAnsi="Arial" w:cs="Arial"/>
          <w:noProof/>
          <w:sz w:val="24"/>
          <w:szCs w:val="24"/>
        </w:rPr>
        <w:t>(Molbaek, 2018; Hogle, 2021; Lewis and Hendricks, 2022)</w:t>
      </w:r>
      <w:r>
        <w:rPr>
          <w:rFonts w:ascii="Arial" w:hAnsi="Arial" w:cs="Arial"/>
          <w:sz w:val="24"/>
          <w:szCs w:val="24"/>
        </w:rPr>
        <w:fldChar w:fldCharType="end"/>
      </w:r>
      <w:r>
        <w:rPr>
          <w:rFonts w:ascii="Arial" w:hAnsi="Arial" w:cs="Arial"/>
          <w:sz w:val="24"/>
          <w:szCs w:val="24"/>
        </w:rPr>
        <w:t>.</w:t>
      </w:r>
    </w:p>
    <w:p w14:paraId="12BECF98" w14:textId="77777777" w:rsidR="007E7F78" w:rsidRDefault="007E7F78" w:rsidP="007E7F78">
      <w:pPr>
        <w:spacing w:line="360" w:lineRule="auto"/>
        <w:rPr>
          <w:rFonts w:ascii="Arial" w:hAnsi="Arial" w:cs="Arial"/>
          <w:b/>
          <w:bCs/>
          <w:sz w:val="24"/>
          <w:szCs w:val="24"/>
        </w:rPr>
      </w:pPr>
      <w:r w:rsidRPr="00F76714">
        <w:rPr>
          <w:rFonts w:ascii="Arial" w:hAnsi="Arial" w:cs="Arial"/>
          <w:b/>
          <w:bCs/>
          <w:i/>
          <w:iCs/>
          <w:sz w:val="24"/>
          <w:szCs w:val="24"/>
        </w:rPr>
        <w:t>Challenges</w:t>
      </w:r>
      <w:r>
        <w:rPr>
          <w:rFonts w:ascii="Arial" w:hAnsi="Arial" w:cs="Arial"/>
          <w:b/>
          <w:bCs/>
          <w:sz w:val="24"/>
          <w:szCs w:val="24"/>
        </w:rPr>
        <w:t xml:space="preserve"> </w:t>
      </w:r>
      <w:r w:rsidRPr="00F76714">
        <w:rPr>
          <w:rFonts w:ascii="Arial" w:hAnsi="Arial" w:cs="Arial"/>
          <w:sz w:val="24"/>
          <w:szCs w:val="24"/>
        </w:rPr>
        <w:t>which could be faced</w:t>
      </w:r>
      <w:r w:rsidRPr="00F76714">
        <w:rPr>
          <w:rFonts w:ascii="Arial" w:hAnsi="Arial" w:cs="Arial"/>
          <w:b/>
          <w:bCs/>
          <w:sz w:val="24"/>
          <w:szCs w:val="24"/>
        </w:rPr>
        <w:t>:</w:t>
      </w:r>
    </w:p>
    <w:p w14:paraId="3D2EB962" w14:textId="77777777" w:rsidR="007E7F78" w:rsidRDefault="007E7F78" w:rsidP="007E7F78">
      <w:pPr>
        <w:pStyle w:val="ListParagraph"/>
        <w:numPr>
          <w:ilvl w:val="0"/>
          <w:numId w:val="34"/>
        </w:numPr>
        <w:spacing w:line="360" w:lineRule="auto"/>
        <w:rPr>
          <w:rFonts w:ascii="Arial" w:hAnsi="Arial" w:cs="Arial"/>
          <w:sz w:val="24"/>
          <w:szCs w:val="24"/>
        </w:rPr>
      </w:pPr>
      <w:r w:rsidRPr="00F76714">
        <w:rPr>
          <w:rFonts w:ascii="Arial" w:hAnsi="Arial" w:cs="Arial"/>
          <w:sz w:val="24"/>
          <w:szCs w:val="24"/>
        </w:rPr>
        <w:t xml:space="preserve">Students may not seek </w:t>
      </w:r>
      <w:r>
        <w:rPr>
          <w:rFonts w:ascii="Arial" w:hAnsi="Arial" w:cs="Arial"/>
          <w:sz w:val="24"/>
          <w:szCs w:val="24"/>
        </w:rPr>
        <w:t xml:space="preserve">learning in skill they have a low sense of self-efficacy </w:t>
      </w:r>
      <w:r>
        <w:rPr>
          <w:rFonts w:ascii="Arial" w:hAnsi="Arial" w:cs="Arial"/>
          <w:sz w:val="24"/>
          <w:szCs w:val="24"/>
        </w:rPr>
        <w:fldChar w:fldCharType="begin" w:fldLock="1"/>
      </w:r>
      <w:r>
        <w:rPr>
          <w:rFonts w:ascii="Arial" w:hAnsi="Arial" w:cs="Arial"/>
          <w:sz w:val="24"/>
          <w:szCs w:val="24"/>
        </w:rPr>
        <w:instrText>ADDIN CSL_CITATION {"citationItems":[{"id":"ITEM-1","itemData":{"DOI":"10.1177/0255761415619392","ISSN":"1744795X","abstract":"Jazz has long been recognized as a male-dominated field, with females traditionally having only limited acceptance, often in the roles of singer and pianist. Researchers have explored sources of the gender imbalance in the field of jazz and jazz education, but there is no theory or framework to organize such findings. This directed content analysis of the journal Jazz Changes, the official magazine of the International Association of Schools of Jazz published from 1994 to 2000, analyzed published answers to the following question posited by the journal editors, \"Women in Jazz: Why aren't there more women in jazz education?\" Analysis suggests a model including three social-psychological theories to describe the female experience in jazz. The theories include Rosabeth Kanter's theory of tokenism, which describes a learning environment that females might perceive or experience in jazz; Claude Steele and Joshua Aronson's theory of stereotype threat, which offers insight into why female musicians might make a choice to not participate, or discontinue participation, in the jazz idiom; and Albert Bandura's theory of self-efficacy, which is offered as a possible guide to providing instruction in jazz that fosters female participation. These theories are offered together as a model framework for future study of both historical and present experiences in gender and jazz.","author":[{"dropping-particle":"","family":"Wehr","given":"Erin L.","non-dropping-particle":"","parse-names":false,"suffix":""}],"container-title":"International Journal of Music Education","id":"ITEM-1","issue":"4","issued":{"date-parts":[["2016"]]},"page":"472-487","title":"Understanding the experiences of women in jazz: A suggested model","type":"article-journal","volume":"34"},"uris":["http://www.mendeley.com/documents/?uuid=add8c84d-1eb5-4330-b55e-bec3d25a4f5d"]},{"id":"ITEM-2","itemData":{"DOI":"10.1177/1321103X20930426","ISSN":"18345530","abstract":"The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Education","id":"ITEM-2","issue":"2","issued":{"date-parts":[["2021"]]},"page":"179-194","title":"Fostering singing agency through emotional differentiation in an inclusive singing environment","type":"article-journal","volume":"43"},"uris":["http://www.mendeley.com/documents/?uuid=df4ddb6b-d417-411f-9261-d87aba0aa367"]},{"id":"ITEM-3","itemData":{"DOI":"10.1177/02557614221074057","ISBN":"0255761422107","ISSN":"1744795X","abstract":"Fostering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Education","id":"ITEM-3","issued":{"date-parts":[["2022"]]},"title":"“It’s your body, it’s part of who you are!”: Influences upon collegiate vocalists’ performance self-efficacy beliefs","type":"article-journal"},"uris":["http://www.mendeley.com/documents/?uuid=d1469298-0bbc-4c76-afcd-e0c4086da712"]}],"mendeley":{"formattedCitation":"(Wehr, 2016; Hogle, 2021; Lewis and Hendricks, 2022)","plainTextFormattedCitation":"(Wehr, 2016; Hogle, 2021; Lewis and Hendricks, 2022)","previouslyFormattedCitation":"(Wehr, 2016; Hogle, 2021; Lewis and Hendricks, 2022)"},"properties":{"noteIndex":0},"schema":"https://github.com/citation-style-language/schema/raw/master/csl-citation.json"}</w:instrText>
      </w:r>
      <w:r>
        <w:rPr>
          <w:rFonts w:ascii="Arial" w:hAnsi="Arial" w:cs="Arial"/>
          <w:sz w:val="24"/>
          <w:szCs w:val="24"/>
        </w:rPr>
        <w:fldChar w:fldCharType="separate"/>
      </w:r>
      <w:r w:rsidRPr="000F1E6B">
        <w:rPr>
          <w:rFonts w:ascii="Arial" w:hAnsi="Arial" w:cs="Arial"/>
          <w:noProof/>
          <w:sz w:val="24"/>
          <w:szCs w:val="24"/>
        </w:rPr>
        <w:t>(Wehr, 2016; Hogle, 2021; Lewis and Hendricks, 2022)</w:t>
      </w:r>
      <w:r>
        <w:rPr>
          <w:rFonts w:ascii="Arial" w:hAnsi="Arial" w:cs="Arial"/>
          <w:sz w:val="24"/>
          <w:szCs w:val="24"/>
        </w:rPr>
        <w:fldChar w:fldCharType="end"/>
      </w:r>
    </w:p>
    <w:p w14:paraId="448AC329" w14:textId="77777777" w:rsidR="007E7F78" w:rsidRDefault="007E7F78" w:rsidP="007E7F78">
      <w:pPr>
        <w:pStyle w:val="ListParagraph"/>
        <w:numPr>
          <w:ilvl w:val="0"/>
          <w:numId w:val="34"/>
        </w:numPr>
        <w:spacing w:line="360" w:lineRule="auto"/>
        <w:rPr>
          <w:rFonts w:ascii="Arial" w:hAnsi="Arial" w:cs="Arial"/>
          <w:sz w:val="24"/>
          <w:szCs w:val="24"/>
        </w:rPr>
      </w:pPr>
      <w:r>
        <w:rPr>
          <w:rFonts w:ascii="Arial" w:hAnsi="Arial" w:cs="Arial"/>
          <w:sz w:val="24"/>
          <w:szCs w:val="24"/>
        </w:rPr>
        <w:t xml:space="preserve">Binary thinking such the concept of singer vs non-singer and the idea of singers being ‘gifted’ or ‘talented’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environment","type":"article-journal","volume":"43"},"uris":["http://www.mendeley.com/documents/?uuid=df4ddb6b-d417-411f-9261-d87aba0aa367"]},{"id":"ITEM-2","itemData":{"DOI":"10.1080/14613808.2019.1598346","ISSN":"14699893","abstract":"We explored the role of self-efficacy in participatory music-making, and whether a single such music-making activity could make non-musician adults more open to seeing themselves as musical. Past research has suggested that even recipients of multiple years of school music education do not consider being musical as a part of their identity, and they do not exit adolescence with an independent musicianship that would facilitate their making music as adults. In our study, we invited older adults to participate in an informal music-making experience designed to be participatory and enjoyable. A questionnaire measured musical beliefs and self-perceptions before and after the music activity. The posttest version included items through which participants indicated their self-efficacy during the activity. Data analysis revealed that across the entire sample, the average rating of how musical they considered themselves to be did not change significantly, but there was a significant jump in their reported likelihood of engaging in a collection of musical life activities. Specifically, there was a rise in the likelihood of playing musical instruments informally. The study’s most important finding was that participants with higher self-efficacy during the activity emerged from it believing themselves to be more musical than they had previously thought.","author":[{"dropping-particle":"","family":"Woody","given":"Robert H.","non-dropping-particle":"","parse-names":false,"suffix":""},{"dropping-particle":"","family":"Fraser","given":"Amy","non-dropping-particle":"","parse-names":false,"suffix":""},{"dropping-particle":"","family":"Nannen","given":"Briana","non-dropping-particle":"","parse-names":false,"suffix":""},{"dropping-particle":"","family":"Yukevich","given":"Polly","non-dropping-particle":"","parse-names":false,"suffix":""}],"container-title":"Music Education Research","id":"ITEM-2","issue":"3","issued":{"date-parts":[["2019"]]},"page":"315-330","publisher":"Taylor &amp; Francis","title":"Musical identities of older adults are not easily changed: an exploratory study","type":"article-journal","volume":"21"},"uris":["http://www.mendeley.com/documents/?uuid=c0731686-1857-43a8-8fa8-ba5ac99fc6e4"]},{"id":"ITEM-3","itemData":{"DOI":"10.1177/02557614221074057","ISBN":"0255761422107","ISSN":"1744795X","abstract":"Fostering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Education","id":"ITEM-3","issued":{"date-parts":[["2022"]]},"title":"“It’s your body, it’s part of who you are!”: Influences upon collegiate vocalists’ performance self-efficacy beliefs","type":"article-journal"},"uris":["http://www.mendeley.com/documents/?uuid=d1469298-0bbc-4c76-afcd-e0c4086da712"]}],"mendeley":{"formattedCitation":"(Woody &lt;i&gt;et al.&lt;/i&gt;, 2019; Hogle, 2021; Lewis and Hendricks, 2022)","plainTextFormattedCitation":"(Woody et al., 2019; Hogle, 2021; Lewis and Hendricks, 2022)","previouslyFormattedCitation":"(Woody &lt;i&gt;et al.&lt;/i&gt;, 2019; Hogle, 2021; Lewis and Hendricks, 2022)"},"properties":{"noteIndex":0},"schema":"https://github.com/citation-style-language/schema/raw/master/csl-citation.json"}</w:instrText>
      </w:r>
      <w:r>
        <w:rPr>
          <w:rFonts w:ascii="Arial" w:hAnsi="Arial" w:cs="Arial"/>
          <w:sz w:val="24"/>
          <w:szCs w:val="24"/>
        </w:rPr>
        <w:fldChar w:fldCharType="separate"/>
      </w:r>
      <w:r w:rsidRPr="000F1E6B">
        <w:rPr>
          <w:rFonts w:ascii="Arial" w:hAnsi="Arial" w:cs="Arial"/>
          <w:noProof/>
          <w:sz w:val="24"/>
          <w:szCs w:val="24"/>
        </w:rPr>
        <w:t xml:space="preserve">(Woody </w:t>
      </w:r>
      <w:r w:rsidRPr="000F1E6B">
        <w:rPr>
          <w:rFonts w:ascii="Arial" w:hAnsi="Arial" w:cs="Arial"/>
          <w:i/>
          <w:noProof/>
          <w:sz w:val="24"/>
          <w:szCs w:val="24"/>
        </w:rPr>
        <w:t>et al.</w:t>
      </w:r>
      <w:r w:rsidRPr="000F1E6B">
        <w:rPr>
          <w:rFonts w:ascii="Arial" w:hAnsi="Arial" w:cs="Arial"/>
          <w:noProof/>
          <w:sz w:val="24"/>
          <w:szCs w:val="24"/>
        </w:rPr>
        <w:t>, 2019; Hogle, 2021; Lewis and Hendricks, 2022)</w:t>
      </w:r>
      <w:r>
        <w:rPr>
          <w:rFonts w:ascii="Arial" w:hAnsi="Arial" w:cs="Arial"/>
          <w:sz w:val="24"/>
          <w:szCs w:val="24"/>
        </w:rPr>
        <w:fldChar w:fldCharType="end"/>
      </w:r>
    </w:p>
    <w:p w14:paraId="1A6DDE94" w14:textId="77777777" w:rsidR="007E7F78" w:rsidRDefault="007E7F78" w:rsidP="007E7F78">
      <w:pPr>
        <w:pStyle w:val="ListParagraph"/>
        <w:numPr>
          <w:ilvl w:val="0"/>
          <w:numId w:val="34"/>
        </w:numPr>
        <w:spacing w:line="360" w:lineRule="auto"/>
        <w:rPr>
          <w:rFonts w:ascii="Arial" w:hAnsi="Arial" w:cs="Arial"/>
          <w:sz w:val="24"/>
          <w:szCs w:val="24"/>
        </w:rPr>
      </w:pPr>
      <w:r w:rsidRPr="000F1E6B">
        <w:rPr>
          <w:rFonts w:ascii="Arial" w:hAnsi="Arial" w:cs="Arial"/>
          <w:sz w:val="24"/>
          <w:szCs w:val="24"/>
        </w:rPr>
        <w:t>Self-assessment and self-criticism</w:t>
      </w:r>
      <w:r>
        <w:rPr>
          <w:rFonts w:ascii="Arial" w:hAnsi="Arial" w:cs="Arial"/>
          <w:b/>
          <w:bCs/>
          <w:i/>
          <w:iCs/>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beliefs","type":"article-journal"},"uris":["http://www.mendeley.com/documents/?uuid=d1469298-0bbc-4c76-afcd-e0c4086da712"]}],"mendeley":{"formattedCitation":"(Hogle, 2021; Lewis and Hendricks, 2022)","plainTextFormattedCitation":"(Hogle, 2021; Lewis and Hendricks, 2022)","previouslyFormattedCitation":"(Hogle, 2021; Lewis and Hendricks, 2022)"},"properties":{"noteIndex":0},"schema":"https://github.com/citation-style-language/schema/raw/master/csl-citation.json"}</w:instrText>
      </w:r>
      <w:r>
        <w:rPr>
          <w:rFonts w:ascii="Arial" w:hAnsi="Arial" w:cs="Arial"/>
          <w:sz w:val="24"/>
          <w:szCs w:val="24"/>
        </w:rPr>
        <w:fldChar w:fldCharType="separate"/>
      </w:r>
      <w:r w:rsidRPr="00CD79E9">
        <w:rPr>
          <w:rFonts w:ascii="Arial" w:hAnsi="Arial" w:cs="Arial"/>
          <w:noProof/>
          <w:sz w:val="24"/>
          <w:szCs w:val="24"/>
        </w:rPr>
        <w:t>(Hogle, 2021; Lewis and Hendricks, 2022)</w:t>
      </w:r>
      <w:r>
        <w:rPr>
          <w:rFonts w:ascii="Arial" w:hAnsi="Arial" w:cs="Arial"/>
          <w:sz w:val="24"/>
          <w:szCs w:val="24"/>
        </w:rPr>
        <w:fldChar w:fldCharType="end"/>
      </w:r>
    </w:p>
    <w:p w14:paraId="04008FB6" w14:textId="77777777" w:rsidR="007E7F78" w:rsidRDefault="007E7F78" w:rsidP="007E7F78">
      <w:pPr>
        <w:pStyle w:val="ListParagraph"/>
        <w:numPr>
          <w:ilvl w:val="0"/>
          <w:numId w:val="34"/>
        </w:numPr>
        <w:spacing w:line="360" w:lineRule="auto"/>
        <w:rPr>
          <w:rFonts w:ascii="Arial" w:hAnsi="Arial" w:cs="Arial"/>
          <w:sz w:val="24"/>
          <w:szCs w:val="24"/>
        </w:rPr>
      </w:pPr>
      <w:r>
        <w:rPr>
          <w:rFonts w:ascii="Arial" w:hAnsi="Arial" w:cs="Arial"/>
          <w:sz w:val="24"/>
          <w:szCs w:val="24"/>
        </w:rPr>
        <w:t xml:space="preserve">Culture and society </w:t>
      </w:r>
      <w:r>
        <w:rPr>
          <w:rFonts w:ascii="Arial" w:hAnsi="Arial" w:cs="Arial"/>
          <w:sz w:val="24"/>
          <w:szCs w:val="24"/>
        </w:rPr>
        <w:fldChar w:fldCharType="begin" w:fldLock="1"/>
      </w:r>
      <w:r>
        <w:rPr>
          <w:rFonts w:ascii="Arial" w:hAnsi="Arial" w:cs="Arial"/>
          <w:sz w:val="24"/>
          <w:szCs w:val="24"/>
        </w:rPr>
        <w:instrText>ADDIN CSL_CITATION {"citationItems":[{"id":"ITEM-1","itemData":{"DOI":"10.1177/0255761415619392","ISSN":"1744795X","abstract":"Jazz has long been recognized as a male-dominated field, with females traditionally having only limited acceptance, often in the roles of singer and pianist. Researchers have explored sources of the gender imbalance in the field of jazz and jazz education, but there is no theory or framework to organize such findings. This directed content analysis of the journal Jazz Changes, the official magazine of the International Association of Schools of Jazz published from 1994 to 2000, analyzed published answers to the following question posited by the journal editors, \"Women in Jazz: Why aren't there more women in jazz education?\" Analysis suggests a model including three social-psychological theories to describe the female experience in jazz. The theories include Rosabeth Kanter's theory of tokenism, which describes a learning environment that females might perceive or experience in jazz; Claude Steele and Joshua Aronson's theory of stereotype threat, which offers insight into why female musicians might make a choice to not participate, or discontinue participation, in the jazz idiom; and Albert Bandura's theory of self-efficacy, which is offered as a possible guide to providing instruction in jazz that fosters female participation. These theories are offered together as a model framework for future study of both historical and present experiences in gender and jazz.","author":[{"dropping-particle":"","family":"Wehr","given":"Erin L.","non-dropping-particle":"","parse-names":false,"suffix":""}],"container-title":"International Journal of Music Education","id":"ITEM-1","issue":"4","issued":{"date-parts":[["2016"]]},"page":"472-487","title":"Understanding the experiences of women in jazz: A suggested model","type":"article-journal","volume":"34"},"uris":["http://www.mendeley.com/documents/?uuid=add8c84d-1eb5-4330-b55e-bec3d25a4f5d"]},{"id":"ITEM-2","itemData":{"DOI":"10.4102/sajip.v46i0.1704","ISSN":"20710763","abstract":"Orientation: The study reported here explores the preconceived notion of women’s missing agency – characterised by a lack of confidence – as an explanation for their continued underrepresentation at senior leadership levels in higher education institutions (HEIs) in South Africa. Research purpose: The study investigated gender differences in self-perception accuracy, defined as self-other agreement. The concept of confidence in this article refers to a high degree of self-perception accuracy defined as self-other rating agreement. Motivation for the study: One of the reasons for the underrepresentation of women in senior leadership levels frequently cited in the literature is the relationship between self-confidence and effective leadership. This phenomenon has however not yet been researched in the context of South African HEIs. Research approach/design and method: A quantitative, cross-sectional study of gender differences in self-perception accuracy using data collected from a 360-degree assessment intervention amongst the total population (N = 112) of academic managers in a HEI in South Africa was conducted. The realised sample consisted of 74 managers with an average of 9.5 raters per participant. Main findings: The results revealed that significant gender differences with regard to self-perception accuracy emerged. This was in spite of the fact that male and female leaders were perceived to be equally effective by their raters. Practical/managerial implications: The implications of women leaders’ inaccurate self-perceptions on their career progression and the design of leadership development programmes aimed at improving gender disparity are discussed. Contribution/value-add: This study contributes to scientific knowledge regarding the factors that contribute to the slow advancement of women to senior leadership positions in HEIs.","author":[{"dropping-particle":"","family":"Herbst","given":"Tessie H.H.","non-dropping-particle":"","parse-names":false,"suffix":""}],"container-title":"SA Journal of Industrial Psychology","id":"ITEM-2","issued":{"date-parts":[["2020"]]},"page":"1-9","title":"Gender differences in self-perception accuracy: The confidence gap and women leaders’ underrepresentation in academia","type":"article-journal","volume":"46"},"uris":["http://www.mendeley.com/documents/?uuid=832c3d18-794a-4514-b613-f388810f8e74"]},{"id":"ITEM-3","itemData":{"DOI":"10.1097/00001888-200510001-00015","ISSN":"10402446","PMID":"16199457","author":[{"dropping-particle":"","family":"Eva","given":"Kevin W.","non-dropping-particle":"","parse-names":false,"suffix":""},{"dropping-particle":"","family":"Regehr","given":"Glenn","non-dropping-particle":"","parse-names":false,"suffix":""}],"container-title":"Academic Medicine","id":"ITEM-3","issue":"10 SUPPL.","issued":{"date-parts":[["2005"]]},"page":"46-54","title":"Self-assessment in the health professions: A reformulation and research agenda","type":"article-journal","volume":"80"},"uris":["http://www.mendeley.com/documents/?uuid=385bb547-9eeb-4197-b416-3c46b4eab607"]}],"mendeley":{"formattedCitation":"(Eva and Regehr, 2005; Wehr, 2016; Herbst, 2020)","plainTextFormattedCitation":"(Eva and Regehr, 2005; Wehr, 2016; Herbst, 2020)","previouslyFormattedCitation":"(Eva and Regehr, 2005; Wehr, 2016; Herbst, 2020)"},"properties":{"noteIndex":0},"schema":"https://github.com/citation-style-language/schema/raw/master/csl-citation.json"}</w:instrText>
      </w:r>
      <w:r>
        <w:rPr>
          <w:rFonts w:ascii="Arial" w:hAnsi="Arial" w:cs="Arial"/>
          <w:sz w:val="24"/>
          <w:szCs w:val="24"/>
        </w:rPr>
        <w:fldChar w:fldCharType="separate"/>
      </w:r>
      <w:r w:rsidRPr="000F1E6B">
        <w:rPr>
          <w:rFonts w:ascii="Arial" w:hAnsi="Arial" w:cs="Arial"/>
          <w:noProof/>
          <w:sz w:val="24"/>
          <w:szCs w:val="24"/>
        </w:rPr>
        <w:t>(Eva and Regehr, 2005; Wehr, 2016; Herbst, 2020)</w:t>
      </w:r>
      <w:r>
        <w:rPr>
          <w:rFonts w:ascii="Arial" w:hAnsi="Arial" w:cs="Arial"/>
          <w:sz w:val="24"/>
          <w:szCs w:val="24"/>
        </w:rPr>
        <w:fldChar w:fldCharType="end"/>
      </w:r>
    </w:p>
    <w:p w14:paraId="2495F895" w14:textId="77777777" w:rsidR="007E7F78" w:rsidRDefault="007E7F78" w:rsidP="007E7F78">
      <w:pPr>
        <w:pStyle w:val="ListParagraph"/>
        <w:numPr>
          <w:ilvl w:val="0"/>
          <w:numId w:val="34"/>
        </w:numPr>
        <w:spacing w:line="360" w:lineRule="auto"/>
        <w:rPr>
          <w:rFonts w:ascii="Arial" w:hAnsi="Arial" w:cs="Arial"/>
          <w:sz w:val="24"/>
          <w:szCs w:val="24"/>
        </w:rPr>
      </w:pPr>
      <w:r>
        <w:rPr>
          <w:rFonts w:ascii="Arial" w:hAnsi="Arial" w:cs="Arial"/>
          <w:sz w:val="24"/>
          <w:szCs w:val="24"/>
        </w:rPr>
        <w:t>P</w:t>
      </w:r>
      <w:r w:rsidRPr="000F1E6B">
        <w:rPr>
          <w:rFonts w:ascii="Arial" w:hAnsi="Arial" w:cs="Arial"/>
          <w:sz w:val="24"/>
          <w:szCs w:val="24"/>
        </w:rPr>
        <w:t>ersonal definitions, interpretations, and beliefs</w:t>
      </w:r>
      <w:r>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beliefs","type":"article-journal"},"uris":["http://www.mendeley.com/documents/?uuid=d1469298-0bbc-4c76-afcd-e0c4086da712"]}],"mendeley":{"formattedCitation":"(Hogle, 2021; Lewis and Hendricks, 2022)","plainTextFormattedCitation":"(Hogle, 2021; Lewis and Hendricks, 2022)","previouslyFormattedCitation":"(Hogle, 2021; Lewis and Hendricks, 2022)"},"properties":{"noteIndex":0},"schema":"https://github.com/citation-style-language/schema/raw/master/csl-citation.json"}</w:instrText>
      </w:r>
      <w:r>
        <w:rPr>
          <w:rFonts w:ascii="Arial" w:hAnsi="Arial" w:cs="Arial"/>
          <w:sz w:val="24"/>
          <w:szCs w:val="24"/>
        </w:rPr>
        <w:fldChar w:fldCharType="separate"/>
      </w:r>
      <w:r w:rsidRPr="000F1E6B">
        <w:rPr>
          <w:rFonts w:ascii="Arial" w:hAnsi="Arial" w:cs="Arial"/>
          <w:noProof/>
          <w:sz w:val="24"/>
          <w:szCs w:val="24"/>
        </w:rPr>
        <w:t>(Hogle, 2021; Lewis and Hendricks, 2022)</w:t>
      </w:r>
      <w:r>
        <w:rPr>
          <w:rFonts w:ascii="Arial" w:hAnsi="Arial" w:cs="Arial"/>
          <w:sz w:val="24"/>
          <w:szCs w:val="24"/>
        </w:rPr>
        <w:fldChar w:fldCharType="end"/>
      </w:r>
    </w:p>
    <w:p w14:paraId="286E4033" w14:textId="77777777" w:rsidR="007E7F78" w:rsidRDefault="007E7F78" w:rsidP="007E7F78">
      <w:pPr>
        <w:pStyle w:val="ListParagraph"/>
        <w:numPr>
          <w:ilvl w:val="0"/>
          <w:numId w:val="34"/>
        </w:numPr>
        <w:spacing w:line="360" w:lineRule="auto"/>
        <w:rPr>
          <w:rFonts w:ascii="Arial" w:hAnsi="Arial" w:cs="Arial"/>
          <w:sz w:val="24"/>
          <w:szCs w:val="24"/>
        </w:rPr>
      </w:pPr>
      <w:r>
        <w:rPr>
          <w:rFonts w:ascii="Arial" w:hAnsi="Arial" w:cs="Arial"/>
          <w:sz w:val="24"/>
          <w:szCs w:val="24"/>
        </w:rPr>
        <w:t xml:space="preserve">Perfectionism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environment","type":"article-journal","volume":"43"},"uris":["http://www.mendeley.com/documents/?uuid=df4ddb6b-d417-411f-9261-d87aba0aa367"]},{"id":"ITEM-2","itemData":{"DOI":"10.3389/fnbeh.2015.00229","ISSN":"16625153","abstract":"The ability to pay close attention to the present moment can be a crucial factor for performing well in a competitive situation. Training mindfulness is one approach to potentially improve elite athletes’ ability to focus their attention on the present moment. However, virtually nothing is known about whether these types of interventions alter neural systems that are important for optimal performance. This pilot study examined whether an intervention aimed at improving mindfulness [Mindful Performance Enhancement, Awareness and Knowledge (mPEAK)] changes neural activation patterns during an interoceptive challenge. Participants completed a task involving anticipation and experience of loaded breathing during functional magnetic resonance imaging recording. There were five main results following mPEAK training: (1) elite athletes selfreported higher levels of interoceptive awareness and mindfulness and lower levels of alexithymia; (2) greater insula and anterior cingulate cortex (ACC) activation during anticipation and post-breathing load conditions; (3) increased ACC activation during the anticipation condition was associated with increased scores on the describing subscale of the Five Facet Mindfulness Questionnaire; (4) increased insula activation during the post-load condition was associated with decreases in the Toronto Alexithymia Scale identifying feelings subscale; (5) decreased resting state functional connectivity between the PCC and the right medial frontal cortex and the ACC. Taken together, this pilot study suggests that mPEAK training may lead to increased attention to bodily signals and greater neural processing during the anticipation and recovery from interoceptive perturbations. This association between attention to and processing of interoceptive afferents may result in greater adaptation during stressful situations in elite athletes.","author":[{"dropping-particle":"","family":"Haase","given":"Lori","non-dropping-particle":"","parse-names":false,"suffix":""},{"dropping-particle":"","family":"May","given":"April C.","non-dropping-particle":"","parse-names":false,"suffix":""},{"dropping-particle":"","family":"Falahpour","given":"Maryam","non-dropping-particle":"","parse-names":false,"suffix":""},{"dropping-particle":"","family":"Isakovic","given":"Sara","non-dropping-particle":"","parse-names":false,"suffix":""},{"dropping-particle":"","family":"Simmons","given":"Alan N.","non-dropping-particle":"","parse-names":false,"suffix":""},{"dropping-particle":"","family":"Hickman","given":"Steven D.","non-dropping-particle":"","parse-names":false,"suffix":""},{"dropping-particle":"","family":"Liu","given":"Thomas T.","non-dropping-particle":"","parse-names":false,"suffix":""},{"dropping-particle":"","family":"Paulus","given":"Martin P.","non-dropping-particle":"","parse-names":false,"suffix":""}],"container-title":"Frontiers in Behavioral Neuroscience","id":"ITEM-2","issue":"AUGUST","issued":{"date-parts":[["2015"]]},"note":"Mindful Performance Enhancement, Awareness and Knowledge training (mPEAK).\n\nthis lead to increased attention to body signals, greater neural processing during anticipation and recovery from distrubances.","page":"1-12","title":"A pilot study investigating changes in neural processing after mindfulness training in elite athletes","type":"article-journal","volume":"9"},"uris":["http://www.mendeley.com/documents/?uuid=ff1c418f-6397-40a9-bb1d-888a53675caa"]}],"mendeley":{"formattedCitation":"(Haase &lt;i&gt;et al.&lt;/i&gt;, 2015; Hogle, 2021)","plainTextFormattedCitation":"(Haase et al., 2015; Hogle, 2021)","previouslyFormattedCitation":"(Haase &lt;i&gt;et al.&lt;/i&gt;, 2015; Hogle, 2021)"},"properties":{"noteIndex":0},"schema":"https://github.com/citation-style-language/schema/raw/master/csl-citation.json"}</w:instrText>
      </w:r>
      <w:r>
        <w:rPr>
          <w:rFonts w:ascii="Arial" w:hAnsi="Arial" w:cs="Arial"/>
          <w:sz w:val="24"/>
          <w:szCs w:val="24"/>
        </w:rPr>
        <w:fldChar w:fldCharType="separate"/>
      </w:r>
      <w:r w:rsidRPr="000F1E6B">
        <w:rPr>
          <w:rFonts w:ascii="Arial" w:hAnsi="Arial" w:cs="Arial"/>
          <w:noProof/>
          <w:sz w:val="24"/>
          <w:szCs w:val="24"/>
        </w:rPr>
        <w:t xml:space="preserve">(Haase </w:t>
      </w:r>
      <w:r w:rsidRPr="000F1E6B">
        <w:rPr>
          <w:rFonts w:ascii="Arial" w:hAnsi="Arial" w:cs="Arial"/>
          <w:i/>
          <w:noProof/>
          <w:sz w:val="24"/>
          <w:szCs w:val="24"/>
        </w:rPr>
        <w:t>et al.</w:t>
      </w:r>
      <w:r w:rsidRPr="000F1E6B">
        <w:rPr>
          <w:rFonts w:ascii="Arial" w:hAnsi="Arial" w:cs="Arial"/>
          <w:noProof/>
          <w:sz w:val="24"/>
          <w:szCs w:val="24"/>
        </w:rPr>
        <w:t>, 2015; Hogle, 2021)</w:t>
      </w:r>
      <w:r>
        <w:rPr>
          <w:rFonts w:ascii="Arial" w:hAnsi="Arial" w:cs="Arial"/>
          <w:sz w:val="24"/>
          <w:szCs w:val="24"/>
        </w:rPr>
        <w:fldChar w:fldCharType="end"/>
      </w:r>
    </w:p>
    <w:p w14:paraId="28A1B6BA" w14:textId="77777777" w:rsidR="007E7F78" w:rsidRDefault="007E7F78" w:rsidP="007E7F78">
      <w:pPr>
        <w:pStyle w:val="ListParagraph"/>
        <w:numPr>
          <w:ilvl w:val="0"/>
          <w:numId w:val="34"/>
        </w:numPr>
        <w:spacing w:line="360" w:lineRule="auto"/>
        <w:rPr>
          <w:rFonts w:ascii="Arial" w:hAnsi="Arial" w:cs="Arial"/>
          <w:sz w:val="24"/>
          <w:szCs w:val="24"/>
        </w:rPr>
      </w:pPr>
      <w:r>
        <w:rPr>
          <w:rFonts w:ascii="Arial" w:hAnsi="Arial" w:cs="Arial"/>
          <w:sz w:val="24"/>
          <w:szCs w:val="24"/>
        </w:rPr>
        <w:t xml:space="preserve">Anxiety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Education","id":"ITEM-2","issued":{"date-parts":[["2022"]]},"title":"“It’s your body, it’s part of who you are!”: Influences upon collegiate vocalists’ performance self-efficacy beliefs","type":"article-journal"},"uris":["http://www.mendeley.com/documents/?uuid=d1469298-0bbc-4c76-afcd-e0c4086da712"]}],"mendeley":{"formattedCitation":"(Hogle, 2021; Lewis and Hendricks, 2022)","plainTextFormattedCitation":"(Hogle, 2021; Lewis and Hendricks, 2022)","previouslyFormattedCitation":"(Hogle, 2021; Lewis and Hendricks, 2022)"},"properties":{"noteIndex":0},"schema":"https://github.com/citation-style-language/schema/raw/master/csl-citation.json"}</w:instrText>
      </w:r>
      <w:r>
        <w:rPr>
          <w:rFonts w:ascii="Arial" w:hAnsi="Arial" w:cs="Arial"/>
          <w:sz w:val="24"/>
          <w:szCs w:val="24"/>
        </w:rPr>
        <w:fldChar w:fldCharType="separate"/>
      </w:r>
      <w:r w:rsidRPr="000F1E6B">
        <w:rPr>
          <w:rFonts w:ascii="Arial" w:hAnsi="Arial" w:cs="Arial"/>
          <w:noProof/>
          <w:sz w:val="24"/>
          <w:szCs w:val="24"/>
        </w:rPr>
        <w:t>(Hogle, 2021; Lewis and Hendricks, 2022)</w:t>
      </w:r>
      <w:r>
        <w:rPr>
          <w:rFonts w:ascii="Arial" w:hAnsi="Arial" w:cs="Arial"/>
          <w:sz w:val="24"/>
          <w:szCs w:val="24"/>
        </w:rPr>
        <w:fldChar w:fldCharType="end"/>
      </w:r>
    </w:p>
    <w:p w14:paraId="5EEBBB03" w14:textId="77777777" w:rsidR="007E7F78" w:rsidRDefault="007E7F78" w:rsidP="007E7F78">
      <w:pPr>
        <w:pStyle w:val="ListParagraph"/>
        <w:numPr>
          <w:ilvl w:val="0"/>
          <w:numId w:val="34"/>
        </w:numPr>
        <w:spacing w:line="360" w:lineRule="auto"/>
        <w:rPr>
          <w:rFonts w:ascii="Arial" w:hAnsi="Arial" w:cs="Arial"/>
          <w:sz w:val="24"/>
          <w:szCs w:val="24"/>
        </w:rPr>
      </w:pPr>
      <w:r>
        <w:rPr>
          <w:rFonts w:ascii="Arial" w:hAnsi="Arial" w:cs="Arial"/>
          <w:sz w:val="24"/>
          <w:szCs w:val="24"/>
        </w:rPr>
        <w:t xml:space="preserve">Fears i.e. shame, evaluation, comparison or failure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environment","type":"article-journal","volume":"43"},"uris":["http://www.mendeley.com/documents/?uuid=df4ddb6b-d417-411f-9261-d87aba0aa367"]},{"id":"ITEM-2","itemData":{"abstract":"Based on Bandura's theory that those who believe they can do what they set out to do are healthier, more efficient and more successful than those with low self-efficacy expectations. This theory has stimulated programs of research in education, clinicaland developmental psychology, medicine and related fields, athletics and business organization.","author":[{"dropping-particle":"","family":"Bandura","given":"Albert","non-dropping-particle":"","parse-names":false,"suffix":""}],"id":"ITEM-2","issued":{"date-parts":[["1997"]]},"publisher":"W.H.Freeman &amp; Co Ltd","publisher-place":"New York","title":"Self-efficacy : The Exercise of Control.","type":"book"},"uris":["http://www.mendeley.com/documents/?uuid=29014b0e-1932-4150-a247-953655b38468"]},{"id":"ITEM-3","itemData":{"DOI":"10.18546/LRE.13.1.05","ISSN":"14748479","abstract":"The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Education","id":"ITEM-3","issue":"1","issued":{"date-parts":[["2015"]]},"page":"43-57","title":"Critical geragogy: A framework for facilitating older learners in community music","type":"article-journal","volume":"13"},"uris":["http://www.mendeley.com/documents/?uuid=fa50dd99-4e1e-44de-a3f2-30dd41815d00"]}],"mendeley":{"formattedCitation":"(Bandura, 1997; Creech and Hallam, 2015; Hogle, 2021)","plainTextFormattedCitation":"(Bandura, 1997; Creech and Hallam, 2015; Hogle, 2021)","previouslyFormattedCitation":"(Bandura, 1997; Creech and Hallam, 2015; Hogle, 2021)"},"properties":{"noteIndex":0},"schema":"https://github.com/citation-style-language/schema/raw/master/csl-citation.json"}</w:instrText>
      </w:r>
      <w:r>
        <w:rPr>
          <w:rFonts w:ascii="Arial" w:hAnsi="Arial" w:cs="Arial"/>
          <w:sz w:val="24"/>
          <w:szCs w:val="24"/>
        </w:rPr>
        <w:fldChar w:fldCharType="separate"/>
      </w:r>
      <w:r w:rsidRPr="000F1E6B">
        <w:rPr>
          <w:rFonts w:ascii="Arial" w:hAnsi="Arial" w:cs="Arial"/>
          <w:noProof/>
          <w:sz w:val="24"/>
          <w:szCs w:val="24"/>
        </w:rPr>
        <w:t>(Bandura, 1997; Creech and Hallam, 2015; Hogle, 2021)</w:t>
      </w:r>
      <w:r>
        <w:rPr>
          <w:rFonts w:ascii="Arial" w:hAnsi="Arial" w:cs="Arial"/>
          <w:sz w:val="24"/>
          <w:szCs w:val="24"/>
        </w:rPr>
        <w:fldChar w:fldCharType="end"/>
      </w:r>
    </w:p>
    <w:p w14:paraId="147239D5" w14:textId="77777777" w:rsidR="007E7F78" w:rsidRDefault="007E7F78" w:rsidP="007E7F78">
      <w:pPr>
        <w:pStyle w:val="ListParagraph"/>
        <w:numPr>
          <w:ilvl w:val="0"/>
          <w:numId w:val="34"/>
        </w:numPr>
        <w:spacing w:line="360" w:lineRule="auto"/>
        <w:rPr>
          <w:rFonts w:ascii="Arial" w:hAnsi="Arial" w:cs="Arial"/>
          <w:sz w:val="24"/>
          <w:szCs w:val="24"/>
        </w:rPr>
      </w:pPr>
      <w:r>
        <w:rPr>
          <w:rFonts w:ascii="Arial" w:hAnsi="Arial" w:cs="Arial"/>
          <w:sz w:val="24"/>
          <w:szCs w:val="24"/>
        </w:rPr>
        <w:t xml:space="preserve">Confusion </w:t>
      </w:r>
      <w:r>
        <w:rPr>
          <w:rFonts w:ascii="Arial" w:hAnsi="Arial" w:cs="Arial"/>
          <w:sz w:val="24"/>
          <w:szCs w:val="24"/>
        </w:rPr>
        <w:fldChar w:fldCharType="begin" w:fldLock="1"/>
      </w:r>
      <w:r>
        <w:rPr>
          <w:rFonts w:ascii="Arial" w:hAnsi="Arial" w:cs="Arial"/>
          <w:sz w:val="24"/>
          <w:szCs w:val="24"/>
        </w:rPr>
        <w:instrText>ADDIN CSL_CITATION {"citationItems":[{"id":"ITEM-1","itemData":{"author":[{"dropping-particle":"","family":"McLeod","given":"Clare","non-dropping-particle":"","parse-names":false,"suffix":""},{"dropping-particle":"","family":"Maxfield","given":"Lynn","non-dropping-particle":"","parse-names":false,"suffix":""}],"container-title":"Journal of Singing","id":"ITEM-1","issue":"3","issued":{"date-parts":[["2020"]]},"page":"327-332","title":"Causal Learning: Addressing Barriers in Learning to Sing MINDFUL VOICE","type":"article-journal","volume":"76"},"uris":["http://www.mendeley.com/documents/?uuid=1e893029-f365-4463-8fd1-f7fa77a4903f"]},{"id":"ITEM-2","itemData":{"DOI":"10.18546/LRE.13.1.05","ISSN":"14748479","abstract":"The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Education","id":"ITEM-2","issue":"1","issued":{"date-parts":[["2015"]]},"page":"43-57","title":"Critical geragogy: A framework for facilitating older learners in community music","type":"article-journal","volume":"13"},"uris":["http://www.mendeley.com/documents/?uuid=fa50dd99-4e1e-44de-a3f2-30dd41815d00"]},{"id":"ITEM-3","itemData":{"abstract":"This dissertation is a study wrapped in a metaphor of voices, figurative and literal. It is a story of four singers over the course of 12 weeks and weaves through individuals in a group singing class. As a study, it used integral inquiry and emphasized action and narrative research. It explored one overarching research question, which naturally led to several sub-questions: In what ways might Mindfulness Awareness Practices (MAPS) and contemplative teaching and learning practices affect singers’ experiences of their own vocal and personal growth? (Sub- questions: What practices are reported as being successful?; How do participants experience growth?; How might singers and teachers shift to a mindset of process and progress throughout practicing and performing?; How do we create a space of mutuality and trust to foster self- reflection?; How do we balance instruction, offering feedback when needed and wanted while fostering self-trust and independence? While","author":[{"dropping-particle":"","family":"Blackhurst","given":"Lindsey Elizabeth","non-dropping-particle":"","parse-names":false,"suffix":""}],"container-title":"University of Colombia Doctor of Education submission","id":"ITEM-3","issued":{"date-parts":[["2021"]]},"title":"Exploring the Whole Singing Self with Technique, Contemplative Education, and Mindfulness","type":"thesis"},"uris":["http://www.mendeley.com/documents/?uuid=79851e18-e8d1-4fb1-960f-0d0a2b1452b7"]},{"id":"ITEM-4","itemData":{"DOI":"10.1177/02557614221074057","ISBN":"0255761422107","ISSN":"1744795X","abstract":"Fostering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Education","id":"ITEM-4","issued":{"date-parts":[["2022"]]},"title":"“It’s your body, it’s part of who you are!”: Influences upon collegiate vocalists’ performance self-efficacy beliefs","type":"article-journal"},"uris":["http://www.mendeley.com/documents/?uuid=d1469298-0bbc-4c76-afcd-e0c4086da712"]}],"mendeley":{"formattedCitation":"(Creech and Hallam, 2015; McLeod and Maxfield, 2020; Blackhurst, 2021; Lewis and Hendricks, 2022)","plainTextFormattedCitation":"(Creech and Hallam, 2015; McLeod and Maxfield, 2020; Blackhurst, 2021; Lewis and Hendricks, 2022)","previouslyFormattedCitation":"(Creech and Hallam, 2015; McLeod and Maxfield, 2020; Blackhurst, 2021; Lewis and Hendricks, 2022)"},"properties":{"noteIndex":0},"schema":"https://github.com/citation-style-language/schema/raw/master/csl-citation.json"}</w:instrText>
      </w:r>
      <w:r>
        <w:rPr>
          <w:rFonts w:ascii="Arial" w:hAnsi="Arial" w:cs="Arial"/>
          <w:sz w:val="24"/>
          <w:szCs w:val="24"/>
        </w:rPr>
        <w:fldChar w:fldCharType="separate"/>
      </w:r>
      <w:r w:rsidRPr="000F1E6B">
        <w:rPr>
          <w:rFonts w:ascii="Arial" w:hAnsi="Arial" w:cs="Arial"/>
          <w:noProof/>
          <w:sz w:val="24"/>
          <w:szCs w:val="24"/>
        </w:rPr>
        <w:t>(Creech and Hallam, 2015; McLeod and Maxfield, 2020; Blackhurst, 2021; Lewis and Hendricks, 2022)</w:t>
      </w:r>
      <w:r>
        <w:rPr>
          <w:rFonts w:ascii="Arial" w:hAnsi="Arial" w:cs="Arial"/>
          <w:sz w:val="24"/>
          <w:szCs w:val="24"/>
        </w:rPr>
        <w:fldChar w:fldCharType="end"/>
      </w:r>
    </w:p>
    <w:p w14:paraId="7D216EC0" w14:textId="77777777" w:rsidR="007E7F78" w:rsidRPr="004D4F95" w:rsidRDefault="007E7F78" w:rsidP="007E7F78">
      <w:pPr>
        <w:spacing w:line="360" w:lineRule="auto"/>
        <w:rPr>
          <w:rFonts w:ascii="Arial" w:hAnsi="Arial" w:cs="Arial"/>
          <w:sz w:val="24"/>
          <w:szCs w:val="24"/>
        </w:rPr>
      </w:pPr>
      <w:r w:rsidRPr="004D4F95">
        <w:rPr>
          <w:rFonts w:ascii="Arial" w:hAnsi="Arial" w:cs="Arial"/>
          <w:sz w:val="24"/>
          <w:szCs w:val="24"/>
        </w:rPr>
        <w:br w:type="page"/>
      </w:r>
    </w:p>
    <w:p w14:paraId="06A2BBCE" w14:textId="77777777" w:rsidR="007E7F78" w:rsidRDefault="007E7F78" w:rsidP="007E7F78">
      <w:pPr>
        <w:spacing w:line="360" w:lineRule="auto"/>
        <w:rPr>
          <w:rFonts w:ascii="Arial" w:hAnsi="Arial" w:cs="Arial"/>
          <w:sz w:val="24"/>
          <w:szCs w:val="24"/>
        </w:rPr>
      </w:pPr>
      <w:r w:rsidRPr="000F1E6B">
        <w:rPr>
          <w:rFonts w:ascii="Arial" w:hAnsi="Arial" w:cs="Arial"/>
          <w:b/>
          <w:bCs/>
          <w:i/>
          <w:iCs/>
          <w:sz w:val="24"/>
          <w:szCs w:val="24"/>
        </w:rPr>
        <w:lastRenderedPageBreak/>
        <w:t>Strategies</w:t>
      </w:r>
      <w:r>
        <w:rPr>
          <w:rFonts w:ascii="Arial" w:hAnsi="Arial" w:cs="Arial"/>
          <w:sz w:val="24"/>
          <w:szCs w:val="24"/>
        </w:rPr>
        <w:t xml:space="preserve"> which can support self-efficacy improvements are:</w:t>
      </w:r>
    </w:p>
    <w:p w14:paraId="2C0B91A6" w14:textId="77777777" w:rsidR="007E7F78" w:rsidRDefault="007E7F78" w:rsidP="007E7F78">
      <w:pPr>
        <w:pStyle w:val="ListParagraph"/>
        <w:numPr>
          <w:ilvl w:val="0"/>
          <w:numId w:val="35"/>
        </w:numPr>
        <w:spacing w:line="360" w:lineRule="auto"/>
        <w:rPr>
          <w:rFonts w:ascii="Arial" w:hAnsi="Arial" w:cs="Arial"/>
          <w:sz w:val="24"/>
          <w:szCs w:val="24"/>
        </w:rPr>
      </w:pPr>
      <w:r>
        <w:rPr>
          <w:rFonts w:ascii="Arial" w:hAnsi="Arial" w:cs="Arial"/>
          <w:sz w:val="24"/>
          <w:szCs w:val="24"/>
        </w:rPr>
        <w:t xml:space="preserve">Having self-efficacy at the heart of the </w:t>
      </w:r>
      <w:r w:rsidRPr="000F1E6B">
        <w:rPr>
          <w:rFonts w:ascii="Arial" w:hAnsi="Arial" w:cs="Arial"/>
          <w:sz w:val="24"/>
          <w:szCs w:val="24"/>
        </w:rPr>
        <w:t>teaching and learning process</w:t>
      </w:r>
      <w:r>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{"citationItems":[{"id":"ITEM-1","itemData":{"DOI":"10.1080/13603116.2017.1414578","ISSN":"14645173","abstract":"Inclusion has a high priority in education policy all over the world and teachers must be able to handle in practice increasing student diversity and the demands for creating an inclusive learning environment. In spite of the enhanced political focus, there is a lack of research focusing on how those teachers working with inclusion can be supported with more tangible and meaningful ways of understanding and developing inclusive classrooms. This article argues that seeing research in inclusion in close connection with research in effective teaching strategies and classroom management will contribute to an enrichment of the two research fields and give teachers and researchers new opportunities for developing more inclusive schools. Based on research focused on teaching strategies that support students’ opportunities for learning, four dimensions of inclusive teaching strategies are presented: a framing, a relational, a didactic and an organisational dimension. In addition, and in order to further understand teachers work with inclusive education in a more structural perspective, light is shed on the complexity that teachers are required to handle in practice. This complexity, among other things, entails dilemmas emerging from different agendas teachers often must handle themselves.","author":[{"dropping-particle":"","family":"Molbaek","given":"Mette","non-dropping-particle":"","parse-names":false,"suffix":""}],"container-title":"International Journal of Inclusive Education","id":"ITEM-1","issue":"10","issued":{"date-parts":[["2018"]]},"page":"1048-1061","publisher":"Taylor &amp; Francis","title":"Inclusive teaching strategies–dimensions and agendas","type":"article-journal","volume":"22"},"uris":["http://www.mendeley.com/documents/?uuid=542f940e-b6ac-4869-8130-c3b6e9be2a28"]},{"id":"ITEM-2","itemData":{"DOI":"10.1177/1321103X20930426","ISSN":"18345530","abstract":"The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Education","id":"ITEM-2","issue":"2","issued":{"date-parts":[["2021"]]},"page":"179-194","title":"Fostering singing agency through emotional differentiation in an inclusive singing environment","type":"article-journal","volume":"43"},"uris":["http://www.mendeley.com/documents/?uuid=df4ddb6b-d417-411f-9261-d87aba0aa367"]},{"id":"ITEM-3","itemData":{"DOI":"10.18546/LRE.13.1.05","ISSN":"14748479","abstract":"The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Education","id":"ITEM-3","issue":"1","issued":{"date-parts":[["2015"]]},"page":"43-57","title":"Critical geragogy: A framework for facilitating older learners in community music","type":"article-journal","volume":"13"},"uris":["http://www.mendeley.com/documents/?uuid=fa50dd99-4e1e-44de-a3f2-30dd41815d00"]},{"id":"ITEM-4","itemData":{"DOI":"10.1177/02557614221074057","ISBN":"0255761422107","ISSN":"1744795X","abstract":"Fostering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Education","id":"ITEM-4","issued":{"date-parts":[["2022"]]},"title":"“It’s your body, it’s part of who you are!”: Influences upon collegiate vocalists’ performance self-efficacy beliefs","type":"article-journal"},"uris":["http://www.mendeley.com/documents/?uuid=d1469298-0bbc-4c76-afcd-e0c4086da712"]},{"id":"ITEM-5","itemData":{"ISSN":"10867732","abstract":"The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Singing","id":"ITEM-5","issue":"4","issued":{"date-parts":[["2018"]]},"page":"405-414","title":"Critical Thought, Intrinsic Motivation, and the Voice Studio: Perspectives of Master Teachers.","type":"article-journal","volume":"74"},"uris":["http://www.mendeley.com/documents/?uuid=4030f552-7b94-4abf-bab4-c0b97b7babca"]},{"id":"ITEM-6","itemData":{"DOI":"10.1080/14613808.2019.1598346","ISSN":"14699893","abstract":"We explored the role of self-efficacy in participatory music-making, and whether a single such music-making activity could make non-musician adults more open to seeing themselves as musical. Past research has suggested that even recipients of multiple years of school music education do not consider being musical as a part of their identity, and they do not exit adolescence with an independent musicianship that would facilitate their making music as adults. In our study, we invited older adults to participate in an informal music-making experience designed to be participatory and enjoyable. A questionnaire measured musical beliefs and self-perceptions before and after the music activity. The posttest version included items through which participants indicated their self-efficacy during the activity. Data analysis revealed that across the entire sample, the average rating of how musical they considered themselves to be did not change significantly, but there was a significant jump in their reported likelihood of engaging in a collection of musical life activities. Specifically, there was a rise in the likelihood of playing musical instruments informally. The study’s most important finding was that participants with higher self-efficacy during the activity emerged from it believing themselves to be more musical than they had previously thought.","author":[{"dropping-particle":"","family":"Woody","given":"Robert H.","non-dropping-particle":"","parse-names":false,"suffix":""},{"dropping-particle":"","family":"Fraser","given":"Amy","non-dropping-particle":"","parse-names":false,"suffix":""},{"dropping-particle":"","family":"Nannen","given":"Briana","non-dropping-particle":"","parse-names":false,"suffix":""},{"dropping-particle":"","family":"Yukevich","given":"Polly","non-dropping-particle":"","parse-names":false,"suffix":""}],"container-title":"Music Education Research","id":"ITEM-6","issue":"3","issued":{"date-parts":[["2019"]]},"page":"315-330","publisher":"Taylor &amp; Francis","title":"Musical identities of older adults are not easily changed: an exploratory study","type":"article-journal","volume":"21"},"uris":["http://www.mendeley.com/documents/?uuid=c0731686-1857-43a8-8fa8-ba5ac99fc6e4"]},{"id":"ITEM-7","itemData":{"DOI":"10.1177/0022429411405214","ISSN":"00224294","abstract":"The Self-Efficacy for Musical Learning questionnaire was adapted and tested with 404 primary school children, producing a robust Cronbach alpha (0.87) and confirming a single underlying factor through exploratory factor analysis. Test-retest scores showed the measure's stability over a 9-month period. Data were collected on children's prior music experience, extracurricular activities, and typical daily activities. Children also completed the Short Warwick-Edinburgh Mental Well-Being Scale and the Strengths and Difficulties Questionnaire. Those currently engaged in music tuition (learning an instrument or singing) had significantly higher self-efficacy scores than children who were not, and overall, girls' scores were significantly higher than boys'. Correlations with various additional measures, including wellbeing and reading for pleasure, highlighted multifaceted relationships of self-efficacy to children's lives. Regression analyses revealed that prior experience with instrumental tuition was the strongest predictor of music self-efficacy for learning; prosocial behaviors predicted boys' scores, and well-being predicted girls' scores. © 2011 MENC: The National Association for Music Education.","author":[{"dropping-particle":"","family":"Ritchie","given":"Laura","non-dropping-particle":"","parse-names":false,"suffix":""},{"dropping-particle":"","family":"Williamon","given":"Aaron","non-dropping-particle":"","parse-names":false,"suffix":""}],"container-title":"Journal of Research in Music Education","id":"ITEM-7","issue":"2","issued":{"date-parts":[["2011"]]},"page":"146-161","title":"Primary school children's Self-efficacy for Music Learning","type":"article-journal","volume":"59"},"uris":["http://www.mendeley.com/documents/?uuid=240473f6-1468-4960-8481-528f722fddd9"]}],"mendeley":{"formattedCitation":"(Ritchie and Williamon, 2011; Creech and Hallam, 2015; Molbaek, 2018; Stephenson, 2018; Woody &lt;i&gt;et al.&lt;/i&gt;, 2019; Hogle, 2021; Lewis and Hendricks, 2022)","plainTextFormattedCitation":"(Ritchie and Williamon, 2011; Creech and Hallam, 2015; Molbaek, 2018; Stephenson, 2018; Woody et al., 2019; Hogle, 2021; Lewis and Hendricks, 2022)","previouslyFormattedCitation":"(Ritchie and Williamon, 2011; Creech and Hallam, 2015; Molbaek, 2018; Stephenson, 2018; Woody &lt;i&gt;et al.&lt;/i&gt;, 2019; Hogle, 2021; Lewis and Hendricks, 2022)"},"properties":{"noteIndex":0},"schema":"https://github.com/citation-style-language/schema/raw/master/csl-citation.json"}</w:instrText>
      </w:r>
      <w:r>
        <w:rPr>
          <w:rFonts w:ascii="Arial" w:hAnsi="Arial" w:cs="Arial"/>
          <w:sz w:val="24"/>
          <w:szCs w:val="24"/>
        </w:rPr>
        <w:fldChar w:fldCharType="separate"/>
      </w:r>
      <w:r w:rsidRPr="00E10ECC">
        <w:rPr>
          <w:rFonts w:ascii="Arial" w:hAnsi="Arial" w:cs="Arial"/>
          <w:noProof/>
          <w:sz w:val="24"/>
          <w:szCs w:val="24"/>
        </w:rPr>
        <w:t xml:space="preserve">(Ritchie and Williamon, 2011; Creech and Hallam, 2015; Molbaek, 2018; Stephenson, 2018; Woody </w:t>
      </w:r>
      <w:r w:rsidRPr="00E10ECC">
        <w:rPr>
          <w:rFonts w:ascii="Arial" w:hAnsi="Arial" w:cs="Arial"/>
          <w:i/>
          <w:noProof/>
          <w:sz w:val="24"/>
          <w:szCs w:val="24"/>
        </w:rPr>
        <w:t>et al.</w:t>
      </w:r>
      <w:r w:rsidRPr="00E10ECC">
        <w:rPr>
          <w:rFonts w:ascii="Arial" w:hAnsi="Arial" w:cs="Arial"/>
          <w:noProof/>
          <w:sz w:val="24"/>
          <w:szCs w:val="24"/>
        </w:rPr>
        <w:t>, 2019; Hogle, 2021; Lewis and Hendricks, 2022)</w:t>
      </w:r>
      <w:r>
        <w:rPr>
          <w:rFonts w:ascii="Arial" w:hAnsi="Arial" w:cs="Arial"/>
          <w:sz w:val="24"/>
          <w:szCs w:val="24"/>
        </w:rPr>
        <w:fldChar w:fldCharType="end"/>
      </w:r>
    </w:p>
    <w:p w14:paraId="52DF4F8A" w14:textId="77777777" w:rsidR="007E7F78" w:rsidRDefault="007E7F78" w:rsidP="007E7F78">
      <w:pPr>
        <w:pStyle w:val="ListParagraph"/>
        <w:numPr>
          <w:ilvl w:val="0"/>
          <w:numId w:val="35"/>
        </w:numPr>
        <w:spacing w:line="360" w:lineRule="auto"/>
        <w:rPr>
          <w:rFonts w:ascii="Arial" w:hAnsi="Arial" w:cs="Arial"/>
          <w:sz w:val="24"/>
          <w:szCs w:val="24"/>
        </w:rPr>
      </w:pPr>
      <w:r>
        <w:rPr>
          <w:rFonts w:ascii="Arial" w:hAnsi="Arial" w:cs="Arial"/>
          <w:sz w:val="24"/>
          <w:szCs w:val="24"/>
        </w:rPr>
        <w:t>S</w:t>
      </w:r>
      <w:r w:rsidRPr="000F1E6B">
        <w:rPr>
          <w:rFonts w:ascii="Arial" w:hAnsi="Arial" w:cs="Arial"/>
          <w:sz w:val="24"/>
          <w:szCs w:val="24"/>
        </w:rPr>
        <w:t>tudent-led process</w:t>
      </w:r>
      <w:r>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{"citationItems":[{"id":"ITEM-1","itemData":{"DOI":"10.18546/LRE.13.1.05","ISSN":"14748479","abstract":"The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Education","id":"ITEM-1","issue":"1","issued":{"date-parts":[["2015"]]},"page":"43-57","title":"Critical geragogy: A framework for facilitating older learners in community music","type":"article-journal","volume":"13"},"uris":["http://www.mendeley.com/documents/?uuid=fa50dd99-4e1e-44de-a3f2-30dd41815d00"]},{"id":"ITEM-2","itemData":{"DOI":"10.1177/1321103X20930426","ISSN":"18345530","abstract":"The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Education","id":"ITEM-2","issue":"2","issued":{"date-parts":[["2021"]]},"page":"179-194","title":"Fostering singing agency through emotional differentiation in an inclusive singing environment","type":"article-journal","volume":"43"},"uris":["http://www.mendeley.com/documents/?uuid=df4ddb6b-d417-411f-9261-d87aba0aa367"]},{"id":"ITEM-3","itemData":{"DOI":"10.1177/02557614221074057","ISBN":"0255761422107","ISSN":"1744795X","abstract":"Fostering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Education","id":"ITEM-3","issued":{"date-parts":[["2022"]]},"title":"“It’s your body, it’s part of who you are!”: Influences upon collegiate vocalists’ performance self-efficacy beliefs","type":"article-journal"},"uris":["http://www.mendeley.com/documents/?uuid=d1469298-0bbc-4c76-afcd-e0c4086da712"]},{"id":"ITEM-4","itemData":{"DOI":"10.1177/0022429411405214","ISSN":"00224294","abstract":"The Self-Efficacy for Musical Learning questionnaire was adapted and tested with 404 primary school children, producing a robust Cronbach alpha (0.87) and confirming a single underlying factor through exploratory factor analysis. Test-retest scores showed the measure's stability over a 9-month period. Data were collected on children's prior music experience, extracurricular activities, and typical daily activities. Children also completed the Short Warwick-Edinburgh Mental Well-Being Scale and the Strengths and Difficulties Questionnaire. Those currently engaged in music tuition (learning an instrument or singing) had significantly higher self-efficacy scores than children who were not, and overall, girls' scores were significantly higher than boys'. Correlations with various additional measures, including wellbeing and reading for pleasure, highlighted multifaceted relationships of self-efficacy to children's lives. Regression analyses revealed that prior experience with instrumental tuition was the strongest predictor of music self-efficacy for learning; prosocial behaviors predicted boys' scores, and well-being predicted girls' scores. © 2011 MENC: The National Association for Music Education.","author":[{"dropping-particle":"","family":"Ritchie","given":"Laura","non-dropping-particle":"","parse-names":false,"suffix":""},{"dropping-particle":"","family":"Williamon","given":"Aaron","non-dropping-particle":"","parse-names":false,"suffix":""}],"container-title":"Journal of Research in Music Education","id":"ITEM-4","issue":"2","issued":{"date-parts":[["2011"]]},"page":"146-161","title":"Primary school children's Self-efficacy for Music Learning","type":"article-journal","volume":"59"},"uris":["http://www.mendeley.com/documents/?uuid=240473f6-1468-4960-8481-528f722fddd9"]},{"id":"ITEM-5","itemData":{"ISSN":"10867732","abstract":"The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Singing","id":"ITEM-5","issue":"4","issued":{"date-parts":[["2018"]]},"page":"405-414","title":"Critical Thought, Intrinsic Motivation, and the Voice Studio: Perspectives of Master Teachers.","type":"article-journal","volume":"74"},"uris":["http://www.mendeley.com/documents/?uuid=4030f552-7b94-4abf-bab4-c0b97b7babca"]}],"mendeley":{"formattedCitation":"(Ritchie and Williamon, 2011; Creech and Hallam, 2015; Stephenson, 2018; Hogle, 2021; Lewis and Hendricks, 2022)","plainTextFormattedCitation":"(Ritchie and Williamon, 2011; Creech and Hallam, 2015; Stephenson, 2018; Hogle, 2021; Lewis and Hendricks, 2022)","previouslyFormattedCitation":"(Ritchie and Williamon, 2011; Creech and Hallam, 2015; Stephenson, 2018; Hogle, 2021; Lewis and Hendricks, 2022)"},"properties":{"noteIndex":0},"schema":"https://github.com/citation-style-language/schema/raw/master/csl-citation.json"}</w:instrText>
      </w:r>
      <w:r>
        <w:rPr>
          <w:rFonts w:ascii="Arial" w:hAnsi="Arial" w:cs="Arial"/>
          <w:sz w:val="24"/>
          <w:szCs w:val="24"/>
        </w:rPr>
        <w:fldChar w:fldCharType="separate"/>
      </w:r>
      <w:r w:rsidRPr="00A73538">
        <w:rPr>
          <w:rFonts w:ascii="Arial" w:hAnsi="Arial" w:cs="Arial"/>
          <w:noProof/>
          <w:sz w:val="24"/>
          <w:szCs w:val="24"/>
        </w:rPr>
        <w:t>(Ritchie and Williamon, 2011; Creech and Hallam, 2015; Stephenson, 2018; Hogle, 2021; Lewis and Hendricks, 2022)</w:t>
      </w:r>
      <w:r>
        <w:rPr>
          <w:rFonts w:ascii="Arial" w:hAnsi="Arial" w:cs="Arial"/>
          <w:sz w:val="24"/>
          <w:szCs w:val="24"/>
        </w:rPr>
        <w:fldChar w:fldCharType="end"/>
      </w:r>
    </w:p>
    <w:p w14:paraId="5BFB50D9" w14:textId="77777777" w:rsidR="007E7F78" w:rsidRDefault="007E7F78" w:rsidP="007E7F78">
      <w:pPr>
        <w:pStyle w:val="ListParagraph"/>
        <w:numPr>
          <w:ilvl w:val="0"/>
          <w:numId w:val="35"/>
        </w:numPr>
        <w:spacing w:line="360" w:lineRule="auto"/>
        <w:rPr>
          <w:rFonts w:ascii="Arial" w:hAnsi="Arial" w:cs="Arial"/>
          <w:sz w:val="24"/>
          <w:szCs w:val="24"/>
        </w:rPr>
      </w:pPr>
      <w:r>
        <w:rPr>
          <w:rFonts w:ascii="Arial" w:hAnsi="Arial" w:cs="Arial"/>
          <w:sz w:val="24"/>
          <w:szCs w:val="24"/>
        </w:rPr>
        <w:t xml:space="preserve">Student engagement in learning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beliefs","type":"article-journal"},"uris":["http://www.mendeley.com/documents/?uuid=d1469298-0bbc-4c76-afcd-e0c4086da712"]},{"id":"ITEM-2","itemData":{"abstract":"This dissertation is a study wrapped in a metaphor of voices, figurative and literal. It is a story of four singers over the course of 12 weeks and weaves through individuals in a group singing class. As a study, it used integral inquiry and emphasized action and narrative research. It explored one overarching research question, which naturally led to several sub-questions: In what ways might Mindfulness Awareness Practices (MAPS) and contemplative teaching and learning practices affect singers’ experiences of their own vocal and personal growth? (Sub- questions: What practices are reported as being successful?; How do participants experience growth?; How might singers and teachers shift to a mindset of process and progress throughout practicing and performing?; How do we create a space of mutuality and trust to foster self- reflection?; How do we balance instruction, offering feedback when needed and wanted while fostering self-trust and independence? While","author":[{"dropping-particle":"","family":"Blackhurst","given":"Lindsey Elizabeth","non-dropping-particle":"","parse-names":false,"suffix":""}],"container-title":"University of Colombia Doctor of Education submission","id":"ITEM-2","issued":{"date-parts":[["2021"]]},"title":"Exploring the Whole Singing Self with Technique, Contemplative Education, and Mindfulness","type":"thesis"},"uris":["http://www.mendeley.com/documents/?uuid=79851e18-e8d1-4fb1-960f-0d0a2b1452b7"]},{"id":"ITEM-3","itemData":{"abstract":"Based on Bandura's theory that those who believe they can do what they set out to do are healthier, more efficient and more successful than those with low self-efficacy expectations. This theory has stimulated programs of research in education, clinicaland developmental psychology, medicine and related fields, athletics and business organization.","author":[{"dropping-particle":"","family":"Bandura","given":"Albert","non-dropping-particle":"","parse-names":false,"suffix":""}],"id":"ITEM-3","issued":{"date-parts":[["1997"]]},"publisher":"W.H.Freeman &amp; Co Ltd","publisher-place":"New York","title":"Self-efficacy : The Exercise of Control.","type":"book"},"uris":["http://www.mendeley.com/documents/?uuid=29014b0e-1932-4150-a247-953655b38468"]},{"id":"ITEM-4","itemData":{"DOI":"10.1177/1321103X20930426","ISSN":"18345530","abstract":"The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Education","id":"ITEM-4","issue":"2","issued":{"date-parts":[["2021"]]},"page":"179-194","title":"Fostering singing agency through emotional differentiation in an inclusive singing environment","type":"article-journal","volume":"43"},"uris":["http://www.mendeley.com/documents/?uuid=df4ddb6b-d417-411f-9261-d87aba0aa367"]}],"mendeley":{"formattedCitation":"(Bandura, 1997; Blackhurst, 2021; Hogle, 2021; Lewis and Hendricks, 2022)","plainTextFormattedCitation":"(Bandura, 1997; Blackhurst, 2021; Hogle, 2021; Lewis and Hendricks, 2022)","previouslyFormattedCitation":"(Bandura, 1997; Blackhurst, 2021; Hogle, 2021; Lewis and Hendricks, 2022)"},"properties":{"noteIndex":0},"schema":"https://github.com/citation-style-language/schema/raw/master/csl-citation.json"}</w:instrText>
      </w:r>
      <w:r>
        <w:rPr>
          <w:rFonts w:ascii="Arial" w:hAnsi="Arial" w:cs="Arial"/>
          <w:sz w:val="24"/>
          <w:szCs w:val="24"/>
        </w:rPr>
        <w:fldChar w:fldCharType="separate"/>
      </w:r>
      <w:r w:rsidRPr="00A97A87">
        <w:rPr>
          <w:rFonts w:ascii="Arial" w:hAnsi="Arial" w:cs="Arial"/>
          <w:noProof/>
          <w:sz w:val="24"/>
          <w:szCs w:val="24"/>
        </w:rPr>
        <w:t>(Bandura, 1997; Blackhurst, 2021; Hogle, 2021; Lewis and Hendricks, 2022)</w:t>
      </w:r>
      <w:r>
        <w:rPr>
          <w:rFonts w:ascii="Arial" w:hAnsi="Arial" w:cs="Arial"/>
          <w:sz w:val="24"/>
          <w:szCs w:val="24"/>
        </w:rPr>
        <w:fldChar w:fldCharType="end"/>
      </w:r>
      <w:r>
        <w:rPr>
          <w:rFonts w:ascii="Arial" w:hAnsi="Arial" w:cs="Arial"/>
          <w:sz w:val="24"/>
          <w:szCs w:val="24"/>
        </w:rPr>
        <w:t>.</w:t>
      </w:r>
    </w:p>
    <w:p w14:paraId="53598E5D" w14:textId="77777777" w:rsidR="007E7F78" w:rsidRDefault="007E7F78" w:rsidP="007E7F78">
      <w:pPr>
        <w:pStyle w:val="ListParagraph"/>
        <w:numPr>
          <w:ilvl w:val="0"/>
          <w:numId w:val="35"/>
        </w:numPr>
        <w:spacing w:line="360" w:lineRule="auto"/>
        <w:rPr>
          <w:rFonts w:ascii="Arial" w:hAnsi="Arial" w:cs="Arial"/>
          <w:sz w:val="24"/>
          <w:szCs w:val="24"/>
        </w:rPr>
      </w:pPr>
      <w:r w:rsidRPr="004D4F95">
        <w:rPr>
          <w:rFonts w:ascii="Arial" w:hAnsi="Arial" w:cs="Arial"/>
          <w:sz w:val="24"/>
          <w:szCs w:val="24"/>
        </w:rPr>
        <w:t>Process-led work</w:t>
      </w:r>
      <w:r>
        <w:rPr>
          <w:rFonts w:ascii="Arial" w:hAnsi="Arial" w:cs="Arial"/>
          <w:b/>
          <w:bCs/>
          <w:i/>
          <w:iCs/>
          <w:sz w:val="24"/>
          <w:szCs w:val="24"/>
        </w:rPr>
        <w:t xml:space="preserve"> </w:t>
      </w:r>
      <w:r>
        <w:rPr>
          <w:rFonts w:ascii="Arial" w:hAnsi="Arial" w:cs="Arial"/>
          <w:sz w:val="24"/>
          <w:szCs w:val="24"/>
        </w:rPr>
        <w:t xml:space="preserve">which supports a developmental/ growth mindset </w:t>
      </w:r>
      <w:r>
        <w:rPr>
          <w:rFonts w:ascii="Arial" w:hAnsi="Arial" w:cs="Arial"/>
          <w:sz w:val="24"/>
          <w:szCs w:val="24"/>
        </w:rPr>
        <w:fldChar w:fldCharType="begin" w:fldLock="1"/>
      </w:r>
      <w:r>
        <w:rPr>
          <w:rFonts w:ascii="Arial" w:hAnsi="Arial" w:cs="Arial"/>
          <w:sz w:val="24"/>
          <w:szCs w:val="24"/>
        </w:rPr>
        <w:instrText>ADDIN CSL_CITATION {"citationItems":[{"id":"ITEM-1","itemData":{"abstract":"This dissertation is a study wrapped in a metaphor of voices, figurative and literal. It is a story of four singers over the course of 12 weeks and weaves through individuals in a group singing class. As a study, it used integral inquiry and emphasized action and narrative research. It explored one overarching research question, which naturally led to several sub-questions: In what ways might Mindfulness Awareness Practices (MAPS) and contemplative teaching and learning practices affect singers’ experiences of their own vocal and personal growth? (Sub- questions: What practices are reported as being successful?; How do participants experience growth?; How might singers and teachers shift to a mindset of process and progress throughout practicing and performing?; How do we create a space of mutuality and trust to foster self- reflection?; How do we balance instruction, offering feedback when needed and wanted while fostering self-trust and independence? While","author":[{"dropping-particle":"","family":"Blackhurst","given":"Lindsey Elizabeth","non-dropping-particle":"","parse-names":false,"suffix":""}],"container-title":"University of Colombia Doctor of Education submission","id":"ITEM-1","issued":{"date-parts":[["2021"]]},"title":"Exploring the Whole Singing Self with Technique, Contemplative Education, and Mindfulness","type":"thesis"},"uris":["http://www.mendeley.com/documents/?uuid=79851e18-e8d1-4fb1-960f-0d0a2b1452b7"]},{"id":"ITEM-2","itemData":{"ISSN":"10867732","abstract":"The author examines philosophies behind music teacher and music student interactions within the studio and traits ideal for studio instructors who are new-to-the-field. Topics discussed include the growth in the literature on studio instruction, interviewing four master teachers such as Linda Poetschke, Jeanne Goffi-Fynn, and Gary Mabry on working with students, self-motivation, and rapport, and critical thinking as an exercise for students of music.","author":[{"dropping-particle":"","family":"Stephenson","given":"Kimberly","non-dropping-particle":"","parse-names":false,"suffix":""}],"container-title":"Journal of Singing","id":"ITEM-2","issue":"4","issued":{"date-parts":[["2018"]]},"page":"405-414","title":"Critical Thought, Intrinsic Motivation, and the Voice Studio: Perspectives of Master Teachers.","type":"article-journal","volume":"74"},"uris":["http://www.mendeley.com/documents/?uuid=4030f552-7b94-4abf-bab4-c0b97b7babca"]},{"id":"ITEM-3","itemData":{"DOI":"10.1177/02557614221074057","ISBN":"0255761422107","ISSN":"1744795X","abstract":"Fostering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Education","id":"ITEM-3","issued":{"date-parts":[["2022"]]},"title":"“It’s your body, it’s part of who you are!”: Influences upon collegiate vocalists’ performance self-efficacy beliefs","type":"article-journal"},"uris":["http://www.mendeley.com/documents/?uuid=d1469298-0bbc-4c76-afcd-e0c4086da712"]}],"mendeley":{"formattedCitation":"(Stephenson, 2018; Blackhurst, 2021; Lewis and Hendricks, 2022)","plainTextFormattedCitation":"(Stephenson, 2018; Blackhurst, 2021; Lewis and Hendricks, 2022)","previouslyFormattedCitation":"(Stephenson, 2018; Blackhurst, 2021; Lewis and Hendricks, 2022)"},"properties":{"noteIndex":0},"schema":"https://github.com/citation-style-language/schema/raw/master/csl-citation.json"}</w:instrText>
      </w:r>
      <w:r>
        <w:rPr>
          <w:rFonts w:ascii="Arial" w:hAnsi="Arial" w:cs="Arial"/>
          <w:sz w:val="24"/>
          <w:szCs w:val="24"/>
        </w:rPr>
        <w:fldChar w:fldCharType="separate"/>
      </w:r>
      <w:r w:rsidRPr="004D4F95">
        <w:rPr>
          <w:rFonts w:ascii="Arial" w:hAnsi="Arial" w:cs="Arial"/>
          <w:noProof/>
          <w:sz w:val="24"/>
          <w:szCs w:val="24"/>
        </w:rPr>
        <w:t>(Stephenson, 2018; Blackhurst, 2021; Lewis and Hendricks, 2022)</w:t>
      </w:r>
      <w:r>
        <w:rPr>
          <w:rFonts w:ascii="Arial" w:hAnsi="Arial" w:cs="Arial"/>
          <w:sz w:val="24"/>
          <w:szCs w:val="24"/>
        </w:rPr>
        <w:fldChar w:fldCharType="end"/>
      </w:r>
    </w:p>
    <w:p w14:paraId="2DB77774" w14:textId="77777777" w:rsidR="007E7F78" w:rsidRDefault="007E7F78" w:rsidP="007E7F78">
      <w:pPr>
        <w:pStyle w:val="ListParagraph"/>
        <w:numPr>
          <w:ilvl w:val="0"/>
          <w:numId w:val="35"/>
        </w:numPr>
        <w:spacing w:line="360" w:lineRule="auto"/>
        <w:rPr>
          <w:rFonts w:ascii="Arial" w:hAnsi="Arial" w:cs="Arial"/>
          <w:sz w:val="24"/>
          <w:szCs w:val="24"/>
        </w:rPr>
      </w:pPr>
      <w:r>
        <w:rPr>
          <w:rFonts w:ascii="Arial" w:hAnsi="Arial" w:cs="Arial"/>
          <w:sz w:val="24"/>
          <w:szCs w:val="24"/>
        </w:rPr>
        <w:t xml:space="preserve">Framing vocal development as a physiological process can make feedback ‘less personal’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2021)","plainTextFormattedCitation":"(Hogle, 2021)","previouslyFormattedCitation":"(Hogle, 2021)"},"properties":{"noteIndex":0},"schema":"https://github.com/citation-style-language/schema/raw/master/csl-citation.json"}</w:instrText>
      </w:r>
      <w:r>
        <w:rPr>
          <w:rFonts w:ascii="Arial" w:hAnsi="Arial" w:cs="Arial"/>
          <w:sz w:val="24"/>
          <w:szCs w:val="24"/>
        </w:rPr>
        <w:fldChar w:fldCharType="separate"/>
      </w:r>
      <w:r w:rsidRPr="00C12A16">
        <w:rPr>
          <w:rFonts w:ascii="Arial" w:hAnsi="Arial" w:cs="Arial"/>
          <w:noProof/>
          <w:sz w:val="24"/>
          <w:szCs w:val="24"/>
        </w:rPr>
        <w:t>(Hogle, 2021)</w:t>
      </w:r>
      <w:r>
        <w:rPr>
          <w:rFonts w:ascii="Arial" w:hAnsi="Arial" w:cs="Arial"/>
          <w:sz w:val="24"/>
          <w:szCs w:val="24"/>
        </w:rPr>
        <w:fldChar w:fldCharType="end"/>
      </w:r>
    </w:p>
    <w:p w14:paraId="726E65AB" w14:textId="77777777" w:rsidR="007E7F78" w:rsidRDefault="007E7F78" w:rsidP="007E7F78">
      <w:pPr>
        <w:spacing w:line="360" w:lineRule="auto"/>
        <w:rPr>
          <w:rFonts w:ascii="Arial" w:hAnsi="Arial" w:cs="Arial"/>
          <w:sz w:val="24"/>
          <w:szCs w:val="24"/>
        </w:rPr>
      </w:pPr>
      <w:r>
        <w:rPr>
          <w:rFonts w:ascii="Arial" w:hAnsi="Arial" w:cs="Arial"/>
          <w:sz w:val="24"/>
          <w:szCs w:val="24"/>
        </w:rPr>
        <w:t xml:space="preserve">In </w:t>
      </w:r>
      <w:r w:rsidRPr="004D4F95">
        <w:rPr>
          <w:rFonts w:ascii="Arial" w:hAnsi="Arial" w:cs="Arial"/>
          <w:b/>
          <w:bCs/>
          <w:i/>
          <w:iCs/>
          <w:sz w:val="24"/>
          <w:szCs w:val="24"/>
        </w:rPr>
        <w:t>learning environment</w:t>
      </w:r>
      <w:r>
        <w:rPr>
          <w:rFonts w:ascii="Arial" w:hAnsi="Arial" w:cs="Arial"/>
          <w:sz w:val="24"/>
          <w:szCs w:val="24"/>
        </w:rPr>
        <w:t xml:space="preserve"> can support self-efficacy by including:</w:t>
      </w:r>
    </w:p>
    <w:p w14:paraId="103F4ABC" w14:textId="77777777" w:rsidR="007E7F78" w:rsidRDefault="007E7F78" w:rsidP="007E7F78">
      <w:pPr>
        <w:pStyle w:val="ListParagraph"/>
        <w:numPr>
          <w:ilvl w:val="0"/>
          <w:numId w:val="36"/>
        </w:numPr>
        <w:spacing w:line="360" w:lineRule="auto"/>
        <w:rPr>
          <w:rFonts w:ascii="Arial" w:hAnsi="Arial" w:cs="Arial"/>
          <w:sz w:val="24"/>
          <w:szCs w:val="24"/>
        </w:rPr>
      </w:pPr>
      <w:r>
        <w:rPr>
          <w:rFonts w:ascii="Arial" w:hAnsi="Arial" w:cs="Arial"/>
          <w:sz w:val="24"/>
          <w:szCs w:val="24"/>
        </w:rPr>
        <w:t xml:space="preserve">Inclusivity </w:t>
      </w:r>
      <w:r>
        <w:rPr>
          <w:rFonts w:ascii="Arial" w:hAnsi="Arial" w:cs="Arial"/>
          <w:sz w:val="24"/>
          <w:szCs w:val="24"/>
        </w:rPr>
        <w:fldChar w:fldCharType="begin" w:fldLock="1"/>
      </w:r>
      <w:r>
        <w:rPr>
          <w:rFonts w:ascii="Arial" w:hAnsi="Arial" w:cs="Arial"/>
          <w:sz w:val="24"/>
          <w:szCs w:val="24"/>
        </w:rPr>
        <w:instrText>ADDIN CSL_CITATION {"citationItems":[{"id":"ITEM-1","itemData":{"DOI":"10.1080/13603116.2017.1414578","ISSN":"14645173","abstract":"Inclusion has a high priority in education policy all over the world and teachers must be able to handle in practice increasing student diversity and the demands for creating an inclusive learning environment. In spite of the enhanced political focus, there is a lack of research focusing on how those teachers working with inclusion can be supported with more tangible and meaningful ways of understanding and developing inclusive classrooms. This article argues that seeing research in inclusion in close connection with research in effective teaching strategies and classroom management will contribute to an enrichment of the two research fields and give teachers and researchers new opportunities for developing more inclusive schools. Based on research focused on teaching strategies that support students’ opportunities for learning, four dimensions of inclusive teaching strategies are presented: a framing, a relational, a didactic and an organisational dimension. In addition, and in order to further understand teachers work with inclusive education in a more structural perspective, light is shed on the complexity that teachers are required to handle in practice. This complexity, among other things, entails dilemmas emerging from different agendas teachers often must handle themselves.","author":[{"dropping-particle":"","family":"Molbaek","given":"Mette","non-dropping-particle":"","parse-names":false,"suffix":""}],"container-title":"International Journal of Inclusive Education","id":"ITEM-1","issue":"10","issued":{"date-parts":[["2018"]]},"page":"1048-1061","publisher":"Taylor &amp; Francis","title":"Inclusive teaching strategies–dimensions and agendas","type":"article-journal","volume":"22"},"uris":["http://www.mendeley.com/documents/?uuid=542f940e-b6ac-4869-8130-c3b6e9be2a28"]},{"id":"ITEM-2","itemData":{"DOI":"10.1177/0255761415619392","ISSN":"1744795X","abstract":"Jazz has long been recognized as a male-dominated field, with females traditionally having only limited acceptance, often in the roles of singer and pianist. Researchers have explored sources of the gender imbalance in the field of jazz and jazz education, but there is no theory or framework to organize such findings. This directed content analysis of the journal Jazz Changes, the official magazine of the International Association of Schools of Jazz published from 1994 to 2000, analyzed published answers to the following question posited by the journal editors, \"Women in Jazz: Why aren't there more women in jazz education?\" Analysis suggests a model including three social-psychological theories to describe the female experience in jazz. The theories include Rosabeth Kanter's theory of tokenism, which describes a learning environment that females might perceive or experience in jazz; Claude Steele and Joshua Aronson's theory of stereotype threat, which offers insight into why female musicians might make a choice to not participate, or discontinue participation, in the jazz idiom; and Albert Bandura's theory of self-efficacy, which is offered as a possible guide to providing instruction in jazz that fosters female participation. These theories are offered together as a model framework for future study of both historical and present experiences in gender and jazz.","author":[{"dropping-particle":"","family":"Wehr","given":"Erin L.","non-dropping-particle":"","parse-names":false,"suffix":""}],"container-title":"International Journal of Music Education","id":"ITEM-2","issue":"4","issued":{"date-parts":[["2016"]]},"page":"472-487","title":"Understanding the experiences of women in jazz: A suggested model","type":"article-journal","volume":"34"},"uris":["http://www.mendeley.com/documents/?uuid=add8c84d-1eb5-4330-b55e-bec3d25a4f5d"]}],"mendeley":{"formattedCitation":"(Wehr, 2016; Molbaek, 2018)","plainTextFormattedCitation":"(Wehr, 2016; Molbaek, 2018)","previouslyFormattedCitation":"(Wehr, 2016; Molbaek, 2018)"},"properties":{"noteIndex":0},"schema":"https://github.com/citation-style-language/schema/raw/master/csl-citation.json"}</w:instrText>
      </w:r>
      <w:r>
        <w:rPr>
          <w:rFonts w:ascii="Arial" w:hAnsi="Arial" w:cs="Arial"/>
          <w:sz w:val="24"/>
          <w:szCs w:val="24"/>
        </w:rPr>
        <w:fldChar w:fldCharType="separate"/>
      </w:r>
      <w:r w:rsidRPr="004D4F95">
        <w:rPr>
          <w:rFonts w:ascii="Arial" w:hAnsi="Arial" w:cs="Arial"/>
          <w:noProof/>
          <w:sz w:val="24"/>
          <w:szCs w:val="24"/>
        </w:rPr>
        <w:t>(Wehr, 2016; Molbaek, 2018)</w:t>
      </w:r>
      <w:r>
        <w:rPr>
          <w:rFonts w:ascii="Arial" w:hAnsi="Arial" w:cs="Arial"/>
          <w:sz w:val="24"/>
          <w:szCs w:val="24"/>
        </w:rPr>
        <w:fldChar w:fldCharType="end"/>
      </w:r>
    </w:p>
    <w:p w14:paraId="6722BA47" w14:textId="77777777" w:rsidR="007E7F78" w:rsidRDefault="007E7F78" w:rsidP="007E7F78">
      <w:pPr>
        <w:pStyle w:val="ListParagraph"/>
        <w:numPr>
          <w:ilvl w:val="0"/>
          <w:numId w:val="36"/>
        </w:numPr>
        <w:spacing w:line="360" w:lineRule="auto"/>
        <w:rPr>
          <w:rFonts w:ascii="Arial" w:hAnsi="Arial" w:cs="Arial"/>
          <w:sz w:val="24"/>
          <w:szCs w:val="24"/>
        </w:rPr>
      </w:pPr>
      <w:r>
        <w:rPr>
          <w:rFonts w:ascii="Arial" w:hAnsi="Arial" w:cs="Arial"/>
          <w:sz w:val="24"/>
          <w:szCs w:val="24"/>
        </w:rPr>
        <w:t xml:space="preserve">Welcoming and engendering feelings of safety, connection and community </w:t>
      </w:r>
      <w:r>
        <w:rPr>
          <w:rFonts w:ascii="Arial" w:hAnsi="Arial" w:cs="Arial"/>
          <w:sz w:val="24"/>
          <w:szCs w:val="24"/>
        </w:rPr>
        <w:fldChar w:fldCharType="begin" w:fldLock="1"/>
      </w:r>
      <w:r>
        <w:rPr>
          <w:rFonts w:ascii="Arial" w:hAnsi="Arial" w:cs="Arial"/>
          <w:sz w:val="24"/>
          <w:szCs w:val="24"/>
        </w:rPr>
        <w:instrText>ADDIN CSL_CITATION {"citationItems":[{"id":"ITEM-1","itemData":{"DOI":"10.1080/13603116.2017.1414578","ISSN":"14645173","abstract":"Inclusion has a high priority in education policy all over the world and teachers must be able to handle in practice increasing student diversity and the demands for creating an inclusive learning environment. In spite of the enhanced political focus, there is a lack of research focusing on how those teachers working with inclusion can be supported with more tangible and meaningful ways of understanding and developing inclusive classrooms. This article argues that seeing research in inclusion in close connection with research in effective teaching strategies and classroom management will contribute to an enrichment of the two research fields and give teachers and researchers new opportunities for developing more inclusive schools. Based on research focused on teaching strategies that support students’ opportunities for learning, four dimensions of inclusive teaching strategies are presented: a framing, a relational, a didactic and an organisational dimension. In addition, and in order to further understand teachers work with inclusive education in a more structural perspective, light is shed on the complexity that teachers are required to handle in practice. This complexity, among other things, entails dilemmas emerging from different agendas teachers often must handle themselves.","author":[{"dropping-particle":"","family":"Molbaek","given":"Mette","non-dropping-particle":"","parse-names":false,"suffix":""}],"container-title":"International Journal of Inclusive Education","id":"ITEM-1","issue":"10","issued":{"date-parts":[["2018"]]},"page":"1048-1061","publisher":"Taylor &amp; Francis","title":"Inclusive teaching strategies–dimensions and agendas","type":"article-journal","volume":"22"},"uris":["http://www.mendeley.com/documents/?uuid=542f940e-b6ac-4869-8130-c3b6e9be2a28"]},{"id":"ITEM-2","itemData":{"DOI":"10.1177/1321103X20930426","ISSN":"18345530","abstract":"The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Education","id":"ITEM-2","issue":"2","issued":{"date-parts":[["2021"]]},"page":"179-194","title":"Fostering singing agency through emotional differentiation in an inclusive singing environment","type":"article-journal","volume":"43"},"uris":["http://www.mendeley.com/documents/?uuid=df4ddb6b-d417-411f-9261-d87aba0aa367"]},{"id":"ITEM-3","itemData":{"DOI":"10.1177/02557614221074057","ISBN":"0255761422107","ISSN":"1744795X","abstract":"Fostering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Education","id":"ITEM-3","issued":{"date-parts":[["2022"]]},"title":"“It’s your body, it’s part of who you are!”: Influences upon collegiate vocalists’ performance self-efficacy beliefs","type":"article-journal"},"uris":["http://www.mendeley.com/documents/?uuid=d1469298-0bbc-4c76-afcd-e0c4086da712"]}],"mendeley":{"formattedCitation":"(Molbaek, 2018; Hogle, 2021; Lewis and Hendricks, 2022)","plainTextFormattedCitation":"(Molbaek, 2018; Hogle, 2021; Lewis and Hendricks, 2022)","previouslyFormattedCitation":"(Molbaek, 2018; Hogle, 2021; Lewis and Hendricks, 2022)"},"properties":{"noteIndex":0},"schema":"https://github.com/citation-style-language/schema/raw/master/csl-citation.json"}</w:instrText>
      </w:r>
      <w:r>
        <w:rPr>
          <w:rFonts w:ascii="Arial" w:hAnsi="Arial" w:cs="Arial"/>
          <w:sz w:val="24"/>
          <w:szCs w:val="24"/>
        </w:rPr>
        <w:fldChar w:fldCharType="separate"/>
      </w:r>
      <w:r w:rsidRPr="00C576F3">
        <w:rPr>
          <w:rFonts w:ascii="Arial" w:hAnsi="Arial" w:cs="Arial"/>
          <w:noProof/>
          <w:sz w:val="24"/>
          <w:szCs w:val="24"/>
        </w:rPr>
        <w:t>(Molbaek, 2018; Hogle, 2021; Lewis and Hendricks, 2022)</w:t>
      </w:r>
      <w:r>
        <w:rPr>
          <w:rFonts w:ascii="Arial" w:hAnsi="Arial" w:cs="Arial"/>
          <w:sz w:val="24"/>
          <w:szCs w:val="24"/>
        </w:rPr>
        <w:fldChar w:fldCharType="end"/>
      </w:r>
      <w:r>
        <w:rPr>
          <w:rFonts w:ascii="Arial" w:hAnsi="Arial" w:cs="Arial"/>
          <w:sz w:val="24"/>
          <w:szCs w:val="24"/>
        </w:rPr>
        <w:t>.</w:t>
      </w:r>
    </w:p>
    <w:p w14:paraId="3A512789" w14:textId="77777777" w:rsidR="007E7F78" w:rsidRDefault="007E7F78" w:rsidP="007E7F78">
      <w:pPr>
        <w:pStyle w:val="ListParagraph"/>
        <w:numPr>
          <w:ilvl w:val="0"/>
          <w:numId w:val="36"/>
        </w:numPr>
        <w:spacing w:line="360" w:lineRule="auto"/>
        <w:rPr>
          <w:rFonts w:ascii="Arial" w:hAnsi="Arial" w:cs="Arial"/>
          <w:sz w:val="24"/>
          <w:szCs w:val="24"/>
        </w:rPr>
      </w:pPr>
      <w:r w:rsidRPr="004D4F95">
        <w:rPr>
          <w:rFonts w:ascii="Arial" w:hAnsi="Arial" w:cs="Arial"/>
          <w:sz w:val="24"/>
          <w:szCs w:val="24"/>
        </w:rPr>
        <w:t>Acceptance</w:t>
      </w:r>
      <w:r>
        <w:rPr>
          <w:rFonts w:ascii="Arial" w:hAnsi="Arial" w:cs="Arial"/>
          <w:b/>
          <w:bCs/>
          <w:i/>
          <w:iCs/>
          <w:sz w:val="24"/>
          <w:szCs w:val="24"/>
        </w:rPr>
        <w:t xml:space="preserve"> </w:t>
      </w:r>
      <w:r w:rsidRPr="00B627E7">
        <w:rPr>
          <w:rFonts w:ascii="Arial" w:hAnsi="Arial" w:cs="Arial"/>
          <w:sz w:val="24"/>
          <w:szCs w:val="24"/>
        </w:rPr>
        <w:t xml:space="preserve">and </w:t>
      </w:r>
      <w:r>
        <w:rPr>
          <w:rFonts w:ascii="Arial" w:hAnsi="Arial" w:cs="Arial"/>
          <w:sz w:val="24"/>
          <w:szCs w:val="24"/>
        </w:rPr>
        <w:t>self-acceptance</w:t>
      </w:r>
      <w:r>
        <w:rPr>
          <w:rFonts w:ascii="Arial" w:hAnsi="Arial" w:cs="Arial"/>
          <w:b/>
          <w:bCs/>
          <w:i/>
          <w:iCs/>
          <w:sz w:val="24"/>
          <w:szCs w:val="24"/>
        </w:rPr>
        <w:t xml:space="preserve"> </w:t>
      </w:r>
      <w:r>
        <w:rPr>
          <w:rFonts w:ascii="Arial" w:hAnsi="Arial" w:cs="Arial"/>
          <w:sz w:val="24"/>
          <w:szCs w:val="24"/>
        </w:rPr>
        <w:t xml:space="preserve">for singers and learners has been linked with safe learning environments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environment","type":"article-journal","volume":"43"},"uris":["http://www.mendeley.com/documents/?uuid=df4ddb6b-d417-411f-9261-d87aba0aa367"]}],"mendeley":{"formattedCitation":"(Hogle, 2021)","plainTextFormattedCitation":"(Hogle, 2021)","previouslyFormattedCitation":"(Hogle, 2021)"},"properties":{"noteIndex":0},"schema":"https://github.com/citation-style-language/schema/raw/master/csl-citation.json"}</w:instrText>
      </w:r>
      <w:r>
        <w:rPr>
          <w:rFonts w:ascii="Arial" w:hAnsi="Arial" w:cs="Arial"/>
          <w:sz w:val="24"/>
          <w:szCs w:val="24"/>
        </w:rPr>
        <w:fldChar w:fldCharType="separate"/>
      </w:r>
      <w:r w:rsidRPr="00025B20">
        <w:rPr>
          <w:rFonts w:ascii="Arial" w:hAnsi="Arial" w:cs="Arial"/>
          <w:noProof/>
          <w:sz w:val="24"/>
          <w:szCs w:val="24"/>
        </w:rPr>
        <w:t>(Hogle, 2021)</w:t>
      </w:r>
      <w:r>
        <w:rPr>
          <w:rFonts w:ascii="Arial" w:hAnsi="Arial" w:cs="Arial"/>
          <w:sz w:val="24"/>
          <w:szCs w:val="24"/>
        </w:rPr>
        <w:fldChar w:fldCharType="end"/>
      </w:r>
    </w:p>
    <w:p w14:paraId="56668244" w14:textId="77777777" w:rsidR="007E7F78" w:rsidRDefault="007E7F78" w:rsidP="007E7F78">
      <w:pPr>
        <w:pStyle w:val="ListParagraph"/>
        <w:numPr>
          <w:ilvl w:val="0"/>
          <w:numId w:val="36"/>
        </w:numPr>
        <w:spacing w:line="360" w:lineRule="auto"/>
        <w:rPr>
          <w:rFonts w:ascii="Arial" w:hAnsi="Arial" w:cs="Arial"/>
          <w:sz w:val="24"/>
          <w:szCs w:val="24"/>
        </w:rPr>
      </w:pPr>
      <w:r>
        <w:rPr>
          <w:rFonts w:ascii="Arial" w:hAnsi="Arial" w:cs="Arial"/>
          <w:sz w:val="24"/>
          <w:szCs w:val="24"/>
        </w:rPr>
        <w:t xml:space="preserve">Enhancing and encouraging learning environments </w:t>
      </w:r>
      <w:r>
        <w:rPr>
          <w:rFonts w:ascii="Arial" w:hAnsi="Arial" w:cs="Arial"/>
          <w:sz w:val="24"/>
          <w:szCs w:val="24"/>
        </w:rPr>
        <w:fldChar w:fldCharType="begin" w:fldLock="1"/>
      </w:r>
      <w:r>
        <w:rPr>
          <w:rFonts w:ascii="Arial" w:hAnsi="Arial" w:cs="Arial"/>
          <w:sz w:val="24"/>
          <w:szCs w:val="24"/>
        </w:rPr>
        <w:instrText>ADDIN CSL_CITATION {"citationItems":[{"id":"ITEM-1","itemData":{"DOI":"10.1177/1321103X20930426","ISSN":"18345530","abstract":"The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Education","id":"ITEM-1","issue":"2","issued":{"date-parts":[["2021"]]},"page":"179-194","title":"Fostering singing agency through emotional differentiation in an inclusive singing environment","type":"article-journal","volume":"43"},"uris":["http://www.mendeley.com/documents/?uuid=df4ddb6b-d417-411f-9261-d87aba0aa367"]},{"id":"ITEM-2","itemData":{"DOI":"10.1177/0022429411405214","ISSN":"00224294","abstract":"The Self-Efficacy for Musical Learning questionnaire was adapted and tested with 404 primary school children, producing a robust Cronbach alpha (0.87) and confirming a single underlying factor through exploratory factor analysis. Test-retest scores showed the measure's stability over a 9-month period. Data were collected on children's prior music experience, extracurricular activities, and typical daily activities. Children also completed the Short Warwick-Edinburgh Mental Well-Being Scale and the Strengths and Difficulties Questionnaire. Those currently engaged in music tuition (learning an instrument or singing) had significantly higher self-efficacy scores than children who were not, and overall, girls' scores were significantly higher than boys'. Correlations with various additional measures, including wellbeing and reading for pleasure, highlighted multifaceted relationships of self-efficacy to children's lives. Regression analyses revealed that prior experience with instrumental tuition was the strongest predictor of music self-efficacy for learning; prosocial behaviors predicted boys' scores, and well-being predicted girls' scores. © 2011 MENC: The National Association for Music Education.","author":[{"dropping-particle":"","family":"Ritchie","given":"Laura","non-dropping-particle":"","parse-names":false,"suffix":""},{"dropping-particle":"","family":"Williamon","given":"Aaron","non-dropping-particle":"","parse-names":false,"suffix":""}],"container-title":"Journal of Research in Music Education","id":"ITEM-2","issue":"2","issued":{"date-parts":[["2011"]]},"page":"146-161","title":"Primary school children's Self-efficacy for Music Learning","type":"article-journal","volume":"59"},"uris":["http://www.mendeley.com/documents/?uuid=240473f6-1468-4960-8481-528f722fddd9"]},{"id":"ITEM-3","itemData":{"DOI":"10.1177/02557614221074057","ISBN":"0255761422107","ISSN":"1744795X","abstract":"Fostering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Education","id":"ITEM-3","issued":{"date-parts":[["2022"]]},"title":"“It’s your body, it’s part of who you are!”: Influences upon collegiate vocalists’ performance self-efficacy beliefs","type":"article-journal"},"uris":["http://www.mendeley.com/documents/?uuid=d1469298-0bbc-4c76-afcd-e0c4086da712"]},{"id":"ITEM-4","itemData":{"DOI":"10.18546/LRE.13.1.05","ISSN":"14748479","abstract":"The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Education","id":"ITEM-4","issue":"1","issued":{"date-parts":[["2015"]]},"page":"43-57","title":"Critical geragogy: A framework for facilitating older learners in community music","type":"article-journal","volume":"13"},"uris":["http://www.mendeley.com/documents/?uuid=fa50dd99-4e1e-44de-a3f2-30dd41815d00"]}],"mendeley":{"formattedCitation":"(Ritchie and Williamon, 2011; Creech and Hallam, 2015; Hogle, 2021; Lewis and Hendricks, 2022)","plainTextFormattedCitation":"(Ritchie and Williamon, 2011; Creech and Hallam, 2015; Hogle, 2021; Lewis and Hendricks, 2022)","previouslyFormattedCitation":"(Ritchie and Williamon, 2011; Creech and Hallam, 2015; Hogle, 2021; Lewis and Hendricks, 2022)"},"properties":{"noteIndex":0},"schema":"https://github.com/citation-style-language/schema/raw/master/csl-citation.json"}</w:instrText>
      </w:r>
      <w:r>
        <w:rPr>
          <w:rFonts w:ascii="Arial" w:hAnsi="Arial" w:cs="Arial"/>
          <w:sz w:val="24"/>
          <w:szCs w:val="24"/>
        </w:rPr>
        <w:fldChar w:fldCharType="separate"/>
      </w:r>
      <w:r w:rsidRPr="00441C7B">
        <w:rPr>
          <w:rFonts w:ascii="Arial" w:hAnsi="Arial" w:cs="Arial"/>
          <w:noProof/>
          <w:sz w:val="24"/>
          <w:szCs w:val="24"/>
        </w:rPr>
        <w:t>(Ritchie and Williamon, 2011; Creech and Hallam, 2015; Hogle, 2021; Lewis and Hendricks, 2022)</w:t>
      </w:r>
      <w:r>
        <w:rPr>
          <w:rFonts w:ascii="Arial" w:hAnsi="Arial" w:cs="Arial"/>
          <w:sz w:val="24"/>
          <w:szCs w:val="24"/>
        </w:rPr>
        <w:fldChar w:fldCharType="end"/>
      </w:r>
    </w:p>
    <w:p w14:paraId="35A06031" w14:textId="77777777" w:rsidR="007E7F78" w:rsidRDefault="007E7F78" w:rsidP="007E7F78">
      <w:pPr>
        <w:pStyle w:val="ListParagraph"/>
        <w:numPr>
          <w:ilvl w:val="0"/>
          <w:numId w:val="36"/>
        </w:numPr>
        <w:spacing w:line="360" w:lineRule="auto"/>
        <w:rPr>
          <w:rFonts w:ascii="Arial" w:hAnsi="Arial" w:cs="Arial"/>
          <w:sz w:val="24"/>
          <w:szCs w:val="24"/>
        </w:rPr>
      </w:pPr>
      <w:r>
        <w:rPr>
          <w:rFonts w:ascii="Arial" w:hAnsi="Arial" w:cs="Arial"/>
          <w:sz w:val="24"/>
          <w:szCs w:val="24"/>
        </w:rPr>
        <w:t xml:space="preserve">Promoting a playful and exploratory attitude </w:t>
      </w:r>
      <w:r>
        <w:rPr>
          <w:rFonts w:ascii="Arial" w:hAnsi="Arial" w:cs="Arial"/>
          <w:sz w:val="24"/>
          <w:szCs w:val="24"/>
        </w:rPr>
        <w:fldChar w:fldCharType="begin" w:fldLock="1"/>
      </w:r>
      <w:r>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Education","id":"ITEM-2","issue":"1","issued":{"date-parts":[["2015"]]},"page":"43-57","title":"Critical geragogy: A framework for facilitating older learners in community music","type":"article-journal","volume":"13"},"uris":["http://www.mendeley.com/documents/?uuid=fa50dd99-4e1e-44de-a3f2-30dd41815d00"]},{"id":"ITEM-3","itemData":{"DOI":"10.1177/1321103X20930426","ISSN":"18345530","abstract":"The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Learning.","author":[{"dropping-particle":"","family":"Hogle","given":"Lauri A.","non-dropping-particle":"","parse-names":false,"suffix":""}],"container-title":"Research Studies in Music Education","id":"ITEM-3","issue":"2","issued":{"date-parts":[["2021"]]},"page":"179-194","title":"Fostering singing agency through emotional differentiation in an inclusive singing environment","type":"article-journal","volume":"43"},"uris":["http://www.mendeley.com/documents/?uuid=df4ddb6b-d417-411f-9261-d87aba0aa367"]}],"mendeley":{"formattedCitation":"(Creech and Hallam, 2015; Hogle, 2021; Lewis and Hendricks, 2022)","plainTextFormattedCitation":"(Creech and Hallam, 2015; Hogle, 2021; Lewis and Hendricks, 2022)","previouslyFormattedCitation":"(Creech and Hallam, 2015; Hogle, 2021; Lewis and Hendricks, 2022)"},"properties":{"noteIndex":0},"schema":"https://github.com/citation-style-language/schema/raw/master/csl-citation.json"}</w:instrText>
      </w:r>
      <w:r>
        <w:rPr>
          <w:rFonts w:ascii="Arial" w:hAnsi="Arial" w:cs="Arial"/>
          <w:sz w:val="24"/>
          <w:szCs w:val="24"/>
        </w:rPr>
        <w:fldChar w:fldCharType="separate"/>
      </w:r>
      <w:r w:rsidRPr="004D4F95">
        <w:rPr>
          <w:rFonts w:ascii="Arial" w:hAnsi="Arial" w:cs="Arial"/>
          <w:noProof/>
          <w:sz w:val="24"/>
          <w:szCs w:val="24"/>
        </w:rPr>
        <w:t>(Creech and Hallam, 2015; Hogle, 2021; Lewis and Hendricks, 2022)</w:t>
      </w:r>
      <w:r>
        <w:rPr>
          <w:rFonts w:ascii="Arial" w:hAnsi="Arial" w:cs="Arial"/>
          <w:sz w:val="24"/>
          <w:szCs w:val="24"/>
        </w:rPr>
        <w:fldChar w:fldCharType="end"/>
      </w:r>
    </w:p>
    <w:p w14:paraId="64970A72" w14:textId="77777777" w:rsidR="007E7F78" w:rsidRDefault="007E7F78" w:rsidP="007E7F78">
      <w:pPr>
        <w:spacing w:line="360" w:lineRule="auto"/>
        <w:rPr>
          <w:rFonts w:ascii="Arial" w:hAnsi="Arial" w:cs="Arial"/>
          <w:sz w:val="24"/>
          <w:szCs w:val="24"/>
        </w:rPr>
      </w:pPr>
      <w:r>
        <w:rPr>
          <w:rFonts w:ascii="Arial" w:hAnsi="Arial" w:cs="Arial"/>
          <w:sz w:val="24"/>
          <w:szCs w:val="24"/>
        </w:rPr>
        <w:t>Other supportive strategies are:</w:t>
      </w:r>
    </w:p>
    <w:p w14:paraId="11789EAB" w14:textId="77777777" w:rsidR="007E7F78" w:rsidRDefault="007E7F78" w:rsidP="007E7F78">
      <w:pPr>
        <w:pStyle w:val="ListParagraph"/>
        <w:numPr>
          <w:ilvl w:val="0"/>
          <w:numId w:val="37"/>
        </w:numPr>
        <w:spacing w:line="360" w:lineRule="auto"/>
        <w:rPr>
          <w:rFonts w:ascii="Arial" w:hAnsi="Arial" w:cs="Arial"/>
          <w:sz w:val="24"/>
          <w:szCs w:val="24"/>
        </w:rPr>
      </w:pPr>
      <w:r>
        <w:rPr>
          <w:rFonts w:ascii="Arial" w:hAnsi="Arial" w:cs="Arial"/>
          <w:sz w:val="24"/>
          <w:szCs w:val="24"/>
        </w:rPr>
        <w:t>F</w:t>
      </w:r>
      <w:r w:rsidRPr="004D4F95">
        <w:rPr>
          <w:rFonts w:ascii="Arial" w:hAnsi="Arial" w:cs="Arial"/>
          <w:sz w:val="24"/>
          <w:szCs w:val="24"/>
        </w:rPr>
        <w:t>ocus</w:t>
      </w:r>
      <w:r>
        <w:rPr>
          <w:rFonts w:ascii="Arial" w:hAnsi="Arial" w:cs="Arial"/>
          <w:sz w:val="24"/>
          <w:szCs w:val="24"/>
        </w:rPr>
        <w:t>ing</w:t>
      </w:r>
      <w:r w:rsidRPr="004D4F95">
        <w:rPr>
          <w:rFonts w:ascii="Arial" w:hAnsi="Arial" w:cs="Arial"/>
          <w:sz w:val="24"/>
          <w:szCs w:val="24"/>
        </w:rPr>
        <w:t xml:space="preserve"> a task towards creativity</w:t>
      </w:r>
      <w:r>
        <w:rPr>
          <w:rFonts w:ascii="Arial" w:hAnsi="Arial" w:cs="Arial"/>
          <w:sz w:val="24"/>
          <w:szCs w:val="24"/>
        </w:rPr>
        <w:t xml:space="preserve"> </w:t>
      </w:r>
      <w:r w:rsidRPr="004D4F95">
        <w:rPr>
          <w:rFonts w:ascii="Arial" w:hAnsi="Arial" w:cs="Arial"/>
          <w:sz w:val="24"/>
          <w:szCs w:val="24"/>
        </w:rPr>
        <w:fldChar w:fldCharType="begin" w:fldLock="1"/>
      </w:r>
      <w:r w:rsidRPr="004D4F95">
        <w:rPr>
          <w:rFonts w:ascii="Arial" w:hAnsi="Arial" w:cs="Arial"/>
          <w:sz w:val="24"/>
          <w:szCs w:val="24"/>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beliefs","type":"article-journal"},"uris":["http://www.mendeley.com/documents/?uuid=d1469298-0bbc-4c76-afcd-e0c4086da712"]},{"id":"ITEM-2","itemData":{"DOI":"10.18546/LRE.13.1.05","ISSN":"14748479","abstract":"The principal aim of this paper is to address the question of whether and how professional practice within an informal teaching and learning context (music) may be understood through a critical-geragogy lens. Secondly, we consider whether critical geragogy has relevance to and potential applications for enhancing practice among facilitators of older learners in community contexts. Geragogy refers to the management of teaching and learning for older adults and has become a well-known term applied to teaching and learning in later life. Critical geragogy retains the focus on older adults, but challenges the beliefs, practices, and structures related to ageing, supports older learners in overcoming alienation and developing a sense of powerful agency, and offers resources for purposeful collective action. In this paper we analyse the narratives of 13 facilitators of musical activities for older people, interpreting their reflections on practice within a critical-geragogy framework. The interviews, focusing on good practice in facilitating older learners, were carried out as part of the second phase of the Music for Life Project, funded by the UK Research Councils. A thematic analysis was undertaken, using a framework that was structured around person-centred, fellow-centred, and matter-centred goals. The interviews revealed that musical groups provided informal learning contexts where facilitators aspired to empower their participants through developing a positive interpersonal climate, valuing participation, using the participants’ prior experiences as a resource, and guiding their groups towards creative expression as well as progression.","author":[{"dropping-particle":"","family":"Creech","given":"Andrea","non-dropping-particle":"","parse-names":false,"suffix":""},{"dropping-particle":"","family":"Hallam","given":"Susan","non-dropping-particle":"","parse-names":false,"suffix":""}],"container-title":"London Review of Education","id":"ITEM-2","issue":"1","issued":{"date-parts":[["2015"]]},"page":"43-57","title":"Critical geragogy: A framework for facilitating older learners in community music","type":"article-journal","volume":"13"},"uris":["http://www.mendeley.com/documents/?uuid=fa50dd99-4e1e-44de-a3f2-30dd41815d00"]}],"mendeley":{"formattedCitation":"(Creech and Hallam, 2015; Lewis and Hendricks, 2022)","plainTextFormattedCitation":"(Creech and Hallam, 2015; Lewis and Hendricks, 2022)","previouslyFormattedCitation":"(Creech and Hallam, 2015; Lewis and Hendricks, 2022)"},"properties":{"noteIndex":0},"schema":"https://github.com/citation-style-language/schema/raw/master/csl-citation.json"}</w:instrText>
      </w:r>
      <w:r w:rsidRPr="004D4F95">
        <w:rPr>
          <w:rFonts w:ascii="Arial" w:hAnsi="Arial" w:cs="Arial"/>
          <w:sz w:val="24"/>
          <w:szCs w:val="24"/>
        </w:rPr>
        <w:fldChar w:fldCharType="separate"/>
      </w:r>
      <w:r w:rsidRPr="004D4F95">
        <w:rPr>
          <w:rFonts w:ascii="Arial" w:hAnsi="Arial" w:cs="Arial"/>
          <w:noProof/>
          <w:sz w:val="24"/>
          <w:szCs w:val="24"/>
        </w:rPr>
        <w:t>(Creech and Hallam, 2015; Lewis and Hendricks, 2022)</w:t>
      </w:r>
      <w:r w:rsidRPr="004D4F95">
        <w:rPr>
          <w:rFonts w:ascii="Arial" w:hAnsi="Arial" w:cs="Arial"/>
          <w:sz w:val="24"/>
          <w:szCs w:val="24"/>
        </w:rPr>
        <w:fldChar w:fldCharType="end"/>
      </w:r>
    </w:p>
    <w:p w14:paraId="5B6BC522" w14:textId="77777777" w:rsidR="007E7F78" w:rsidRPr="004D4F95" w:rsidRDefault="007E7F78" w:rsidP="007E7F78">
      <w:pPr>
        <w:pStyle w:val="ListParagraph"/>
        <w:numPr>
          <w:ilvl w:val="0"/>
          <w:numId w:val="37"/>
        </w:numPr>
        <w:spacing w:line="360" w:lineRule="auto"/>
        <w:rPr>
          <w:rFonts w:ascii="Arial" w:hAnsi="Arial" w:cs="Arial"/>
          <w:sz w:val="24"/>
          <w:szCs w:val="24"/>
        </w:rPr>
      </w:pPr>
      <w:r>
        <w:rPr>
          <w:rFonts w:ascii="Arial" w:hAnsi="Arial" w:cs="Arial"/>
          <w:sz w:val="24"/>
          <w:szCs w:val="24"/>
        </w:rPr>
        <w:t xml:space="preserve">Mindfulness training for the teacher and student </w:t>
      </w:r>
      <w:r>
        <w:rPr>
          <w:rFonts w:ascii="Arial" w:hAnsi="Arial" w:cs="Arial"/>
          <w:color w:val="111111"/>
          <w:sz w:val="24"/>
          <w:szCs w:val="24"/>
          <w:shd w:val="clear" w:color="auto" w:fill="FFFFFF"/>
        </w:rPr>
        <w:fldChar w:fldCharType="begin" w:fldLock="1"/>
      </w:r>
      <w:r>
        <w:rPr>
          <w:rFonts w:ascii="Arial" w:hAnsi="Arial" w:cs="Arial"/>
          <w:color w:val="111111"/>
          <w:sz w:val="24"/>
          <w:szCs w:val="24"/>
          <w:shd w:val="clear" w:color="auto" w:fill="FFFFFF"/>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beliefs","type":"article-journal"},"uris":["http://www.mendeley.com/documents/?uuid=d1469298-0bbc-4c76-afcd-e0c4086da712"]},{"id":"ITEM-2","itemData":{"DOI":"10.1017/S0265051715000145","ISBN":"0265051715000","ISSN":"14692104","abstract":"This paper reports the development and implementation of a unique Mindfulness for Singers (MfS) course designed to improve singers' vocal technique. Eight university students completed the intervention. Five Facet Mindfulness Questionnaire (FFMQ) scores showed general improvement across all five facets of mindfulness. Qualitative results showed benefits of daily mindfulness exercises on breathing, micro-muscular awareness, vocal tone, text communication and problem solving. Exercises also positively affected teacher/pupil relationships, concentration and focus in lessons and practice. Teachers identified six of the eight participants in a blind controlled study indicating that vocal students at any level would benefit greatly from a mindfulness course as a holistic intervention.","author":[{"dropping-particle":"","family":"Czajkowski","given":"Anne Marie L.","non-dropping-particle":"","parse-names":false,"suffix":""},{"dropping-particle":"","family":"Greasley","given":"Alinka E.","non-dropping-particle":"","parse-names":false,"suffix":""}],"container-title":"British Journal of Music Education","id":"ITEM-2","issue":"2","issued":{"date-parts":[["2015"]]},"page":"211-233","title":"Mindfulness for singers: The effects of a targeted mindfulness course on learning vocal technique","type":"article-journal","volume":"32"},"uris":["http://www.mendeley.com/documents/?uuid=ce43866b-d012-45af-a3f0-36cbd79f1965"]},{"id":"ITEM-3","itemData":{"DOI":"10.1037/a0018438","ISSN":"15283542","PMID":"20141302","abstract":"We investigated the impact of mindfulness training (MT) on working memory capacity (WMC) and affective experience. WMC is used in managing cognitive demands and regulating emotions. Yet, persistent and intensive demands, such as those experienced during high-stress intervals, may deplete WMC and lead to cognitive failures and emotional disturbances. We hypothesized that MT may mitigate these deleterious effects by bolstering WMC. We recruited 2 military cohorts during the high-stress predeployment interval and provided MT to 1 (MT, n = 31) but not the other group (military control group, MC, n = 17). The MT group attended an 8-week MT course and logged the amount of out-of-class time spent practicing formal MT exercises. The operation span task was used to index WMC at 2 testing sessions before and after the MT course. Although WMC remained stable over time in civilians (n = 12), it degraded in the MC group. In the MT group, WMC decreased over time in those with low MT practice time, but increased in those with high practice time. Higher MT practice time also corresponded to lower levels of negative affect and higher levels of positive affect (indexed by the Positive and Negative Affect Schedule). The relationship between practice time and negative, but not positive, affect was mediated by WMC, indicating that MT-related improvements in WMC may support some but not all of MT's salutary effects. Nonetheless, these findings suggest that sufficient MT practice may protect against functional impairments associated with high-stress contexts. © 2010 American Psychological Association.","author":[{"dropping-particle":"","family":"Jha","given":"Amishi P.","non-dropping-particle":"","parse-names":false,"suffix":""},{"dropping-particle":"","family":"Stanley","given":"Elizabeth A.","non-dropping-particle":"","parse-names":false,"suffix":""},{"dropping-particle":"","family":"Kiyonaga","given":"Anastasia","non-dropping-particle":"","parse-names":false,"suffix":""},{"dropping-particle":"","family":"Wong","given":"Ling","non-dropping-particle":"","parse-names":false,"suffix":""},{"dropping-particle":"","family":"Gelfand","given":"Lois","non-dropping-particle":"","parse-names":false,"suffix":""}],"container-title":"Emotion","id":"ITEM-3","issue":"1","issued":{"date-parts":[["2010"]]},"page":"54-64","title":"Examining the Protective Effects of Mindfulness Training on Working Memory Capacity and Affective Experience","type":"article-journal","volume":"10"},"uris":["http://www.mendeley.com/documents/?uuid=c34cc52e-2596-468d-8c25-f1d8634ca91b"]}],"mendeley":{"formattedCitation":"(Jha &lt;i&gt;et al.&lt;/i&gt;, 2010; Czajkowski and Greasley, 2015; Lewis and Hendricks, 2022)","plainTextFormattedCitation":"(Jha et al., 2010; Czajkowski and Greasley, 2015; Lewis and Hendricks, 2022)","previouslyFormattedCitation":"(Jha &lt;i&gt;et al.&lt;/i&gt;, 2010; Czajkowski and Greasley, 2015; Lewis and Hendricks, 2022)"},"properties":{"noteIndex":0},"schema":"https://github.com/citation-style-language/schema/raw/master/csl-citation.json"}</w:instrText>
      </w:r>
      <w:r>
        <w:rPr>
          <w:rFonts w:ascii="Arial" w:hAnsi="Arial" w:cs="Arial"/>
          <w:color w:val="111111"/>
          <w:sz w:val="24"/>
          <w:szCs w:val="24"/>
          <w:shd w:val="clear" w:color="auto" w:fill="FFFFFF"/>
        </w:rPr>
        <w:fldChar w:fldCharType="separate"/>
      </w:r>
      <w:r w:rsidRPr="00035F6E">
        <w:rPr>
          <w:rFonts w:ascii="Arial" w:hAnsi="Arial" w:cs="Arial"/>
          <w:noProof/>
          <w:color w:val="111111"/>
          <w:sz w:val="24"/>
          <w:szCs w:val="24"/>
          <w:shd w:val="clear" w:color="auto" w:fill="FFFFFF"/>
        </w:rPr>
        <w:t xml:space="preserve">(Jha </w:t>
      </w:r>
      <w:r w:rsidRPr="00035F6E">
        <w:rPr>
          <w:rFonts w:ascii="Arial" w:hAnsi="Arial" w:cs="Arial"/>
          <w:i/>
          <w:noProof/>
          <w:color w:val="111111"/>
          <w:sz w:val="24"/>
          <w:szCs w:val="24"/>
          <w:shd w:val="clear" w:color="auto" w:fill="FFFFFF"/>
        </w:rPr>
        <w:t>et al.</w:t>
      </w:r>
      <w:r w:rsidRPr="00035F6E">
        <w:rPr>
          <w:rFonts w:ascii="Arial" w:hAnsi="Arial" w:cs="Arial"/>
          <w:noProof/>
          <w:color w:val="111111"/>
          <w:sz w:val="24"/>
          <w:szCs w:val="24"/>
          <w:shd w:val="clear" w:color="auto" w:fill="FFFFFF"/>
        </w:rPr>
        <w:t>, 2010; Czajkowski and Greasley, 2015; Lewis and Hendricks, 2022)</w:t>
      </w:r>
      <w:r>
        <w:rPr>
          <w:rFonts w:ascii="Arial" w:hAnsi="Arial" w:cs="Arial"/>
          <w:color w:val="111111"/>
          <w:sz w:val="24"/>
          <w:szCs w:val="24"/>
          <w:shd w:val="clear" w:color="auto" w:fill="FFFFFF"/>
        </w:rPr>
        <w:fldChar w:fldCharType="end"/>
      </w:r>
    </w:p>
    <w:p w14:paraId="4AB9F563" w14:textId="4DA089E5" w:rsidR="007E7F78" w:rsidRDefault="007E7F78" w:rsidP="00CD2AD5">
      <w:pPr>
        <w:pStyle w:val="ListParagraph"/>
        <w:numPr>
          <w:ilvl w:val="0"/>
          <w:numId w:val="37"/>
        </w:numPr>
        <w:spacing w:line="360" w:lineRule="auto"/>
        <w:jc w:val="both"/>
      </w:pPr>
      <w:r w:rsidRPr="00CD2AD5">
        <w:rPr>
          <w:rFonts w:ascii="Arial" w:hAnsi="Arial" w:cs="Arial"/>
          <w:color w:val="111111"/>
          <w:sz w:val="24"/>
          <w:szCs w:val="24"/>
          <w:shd w:val="clear" w:color="auto" w:fill="FFFFFF"/>
        </w:rPr>
        <w:t xml:space="preserve">Incorporating mindfulness into singing lessons </w:t>
      </w:r>
      <w:r w:rsidRPr="00CD2AD5">
        <w:rPr>
          <w:rFonts w:ascii="Arial" w:hAnsi="Arial" w:cs="Arial"/>
          <w:color w:val="111111"/>
          <w:sz w:val="24"/>
          <w:szCs w:val="24"/>
          <w:shd w:val="clear" w:color="auto" w:fill="FFFFFF"/>
        </w:rPr>
        <w:fldChar w:fldCharType="begin" w:fldLock="1"/>
      </w:r>
      <w:r w:rsidR="000834D4">
        <w:rPr>
          <w:rFonts w:ascii="Arial" w:hAnsi="Arial" w:cs="Arial"/>
          <w:color w:val="111111"/>
          <w:sz w:val="24"/>
          <w:szCs w:val="24"/>
          <w:shd w:val="clear" w:color="auto" w:fill="FFFFFF"/>
        </w:rPr>
        <w:instrText>ADDIN CSL_CITATION {"citationItems":[{"id":"ITEM-1","itemData":{"DOI":"10.1177/02557614221074057","ISBN":"0255761422107","ISSN":"1744795X","abstract":"Fostering accurate musical self-perceptions may be particularly challenging when developing singing technique, where self-assessment is complicated by the close physiological and emotional relationship between the performer and the body-instrument. The aim of the present study was to investigate how vocal students’ beliefs in their performance capabilities were influenced by the four sources of self-efficacy and other personal/contextual factors. Nine vocalists at a private university in the western United States completed the Vocal Performance Self-Efficacy Survey, participated in two follow-up interviews, and provided written reflections about experiences that fostered or hindered their performance belief. Participants reported that they moved from a reliance on external assessments of capability to self-appraisal as they (a) refined technique through practice and performance, (b) observed coping and master models, (c) managed feedback from others, (d) attuned to physiological and emotional sensations, and (e) exercised cognitive self-regulation. Eight of nine interview participants reported that physiological and affective states most affected their performance belief. Findings indicate the importance of nurturing vocal students’ performance beliefs by utilizing the four sources of self-efficacy, fostering qualities of persistence and resilience, teaching agentic causation, fostering productive student/teacher relationships, and creating emotionally safe learning and performance environments.","author":[{"dropping-particle":"","family":"Lewis","given":"Megan C.","non-dropping-particle":"","parse-names":false,"suffix":""},{"dropping-particle":"","family":"Hendricks","given":"Karin S.","non-dropping-particle":"","parse-names":false,"suffix":""}],"container-title":"International Journal of Music Education","id":"ITEM-1","issued":{"date-parts":[["2022"]]},"title":"“It’s your body, it’s part of who you are!”: Influences upon collegiate vocalists’ performance self-efficacy beliefs","type":"article-journal"},"uris":["http://www.mendeley.com/documents/?uuid=d1469298-0bbc-4c76-afcd-e0c4086da712"]},{"id":"ITEM-2","itemData":{"DOI":"10.1017/S0265051715000145","ISBN":"0265051715000","ISSN":"14692104","abstract":"This paper reports the development and implementation of a unique Mindfulness for Singers (MfS) course designed to improve singers' vocal technique. Eight university students completed the intervention. Five Facet Mindfulness Questionnaire (FFMQ) scores showed general improvement across all five facets of mindfulness. Qualitative results showed benefits of daily mindfulness exercises on breathing, micro-muscular awareness, vocal tone, text communication and problem solving. Exercises also positively affected teacher/pupil relationships, concentration and focus in lessons and practice. Teachers identified six of the eight participants in a blind controlled study indicating that vocal students at any level would benefit greatly from a mindfulness course as a holistic intervention.","author":[{"dropping-particle":"","family":"Czajkowski","given":"Anne Marie L.","non-dropping-particle":"","parse-names":false,"suffix":""},{"dropping-particle":"","family":"Greasley","given":"Alinka E.","non-dropping-particle":"","parse-names":false,"suffix":""}],"container-title":"British Journal of Music Education","id":"ITEM-2","issue":"2","issued":{"date-parts":[["2015"]]},"page":"211-233","title":"Mindfulness for singers: The effects of a targeted mindfulness course on learning vocal technique","type":"article-journal","volume":"32"},"uris":["http://www.mendeley.com/documents/?uuid=ce43866b-d012-45af-a3f0-36cbd79f1965"]},{"id":"ITEM-3","itemData":{"DOI":"10.1037/a0018438","ISSN":"15283542","PMID":"20141302","abstract":"We investigated the impact of mindfulness training (MT) on working memory capacity (WMC) and affective experience. WMC is used in managing cognitive demands and regulating emotions. Yet, persistent and intensive demands, such as those experienced during high-stress intervals, may deplete WMC and lead to cognitive failures and emotional disturbances. We hypothesized that MT may mitigate these deleterious effects by bolstering WMC. We recruited 2 military cohorts during the high-stress predeployment interval and provided MT to 1 (MT, n = 31) but not the other group (military control group, MC, n = 17). The MT group attended an 8-week MT course and logged the amount of out-of-class time spent practicing formal MT exercises. The operation span task was used to index WMC at 2 testing sessions before and after the MT course. Although WMC remained stable over time in civilians (n = 12), it degraded in the MC group. In the MT group, WMC decreased over time in those with low MT practice time, but increased in those with high practice time. Higher MT practice time also corresponded to lower levels of negative affect and higher levels of positive affect (indexed by the Positive and Negative Affect Schedule). The relationship between practice time and negative, but not positive, affect was mediated by WMC, indicating that MT-related improvements in WMC may support some but not all of MT's salutary effects. Nonetheless, these findings suggest that sufficient MT practice may protect against functional impairments associated with high-stress contexts. © 2010 American Psychological Association.","author":[{"dropping-particle":"","family":"Jha","given":"Amishi P.","non-dropping-particle":"","parse-names":false,"suffix":""},{"dropping-particle":"","family":"Stanley","given":"Elizabeth A.","non-dropping-particle":"","parse-names":false,"suffix":""},{"dropping-particle":"","family":"Kiyonaga","given":"Anastasia","non-dropping-particle":"","parse-names":false,"suffix":""},{"dropping-particle":"","family":"Wong","given":"Ling","non-dropping-particle":"","parse-names":false,"suffix":""},{"dropping-particle":"","family":"Gelfand","given":"Lois","non-dropping-particle":"","parse-names":false,"suffix":""}],"container-title":"Emotion","id":"ITEM-3","issue":"1","issued":{"date-parts":[["2010"]]},"page":"54-64","title":"Examining the Protective Effects of Mindfulness Training on Working Memory Capacity and Affective Experience","type":"article-journal","volume":"10"},"uris":["http://www.mendeley.com/documents/?uuid=c34cc52e-2596-468d-8c25-f1d8634ca91b"]},{"id":"ITEM-4","itemData":{"DOI":"10.1177/0305735617729452","ISSN":"17413087","abstract":"A wealth of academic research demonstrates an empirical link between choral singing and well-being. This study investigated the construct of state mindfulness as a potential generative mechanism by which this link exists. A within-subject design measured levels of state mindfulness in choristers before and after a choir rehearsal. Assessing state mindfulness before and after listening to a piece of music at home acted as the control condition. State mindfulness was assessed by the Mindful State Questionnaire (MSQ) among a sample of 83 adult amateur choristers (65 females, mean age 51.9 years). The development and psychometric properties of the MSQ are described. Paired t-tests revealed significant increases in levels of state mindfulness for both conditions (choir singing; t = 10.82, p &lt;.001, η2 = 0.58; listening to music; t = 4.48, p &lt;.001, η2 = 0.21), however the effect sizes and confidence intervals indicated a far greater effect for the choral singing condition. Limitations and future recommendations are discussed, with examples of opportunities to incorporate these findings into the promotion of mental health in Ireland.","author":[{"dropping-particle":"","family":"Lynch","given":"Julie","non-dropping-particle":"","parse-names":false,"suffix":""},{"dropping-particle":"","family":"Wilson","given":"Charlotte E.","non-dropping-particle":"","parse-names":false,"suffix":""}],"container-title":"Psychology of Music","id":"ITEM-4","issue":"6","issued":{"date-parts":[["2018"]]},"page":"848-861","title":"Exploring the impact of choral singing on mindfulness","type":"article-journal","volume":"46"},"uris":["http://www.mendeley.com/documents/?uuid=b61c34cb-c145-40e3-a1cb-b9a0df97b151"]},{"id":"ITEM-5","itemData":{"DOI":"10.1177/2164956121989949","ISSN":"2164-9561","abstract":"The Mindfulness-Based Interventions: Teaching Assessment Criteria (MBI:TAC) is a useful framework for supporting teacher development in the context of mindfulness-based supervision (MBS). It offers a framework that enhances clarity, develops reflexive practice, gives a structure for feedback, and supports learning. MBS is a key component of Mindfulness-Based Program (MBP) teacher training and ongoing good practice. Integrating the MBI:TAC within the MBS process adds value in a number of ways including: offering a shared language around MBP teaching skills and processes; framing the core pedagogical features of MBP teaching; enabling assessment of developmental stage; and empowering supervisees to be proactive in their own development. The paper lays out principles for integrating the MBI:TAC framework into MBS. The supervisor needs awareness of the ways in which the tool can add value, and the ways it can inadvertently interrupt learning. The tool enables skills clarification, but the learning process needs to remain open to spontaneous experiential discovery; it can enable structured feedback but space is also needed for open reflective feedback; and it can enable conceptual engagement with the teaching process but space is needed for the supervisee to experientially sense the teaching process. The tool needs to be introduced in a carefully staged way to create optimal conditions for learning at the various stages of the MBP teacher-training journey. Practical guidance is presented to consolidate and develop current practice. The principles and processes discussed can be generalized to other forms of reflective dialogue such as mentoring, tutoring and peer reflection groups.","author":[{"dropping-particle":"","family":"Evans","given":"Alison","non-dropping-particle":"","parse-names":false,"suffix":""},{"dropping-particle":"","family":"Griffith","given":"Gemma M","non-dropping-particle":"","parse-names":false,"suffix":""},{"dropping-particle":"","family":"Crane","given":"Rebecca S","non-dropping-particle":"","parse-names":false,"suffix":""},{"dropping-particle":"","family":"Sansom","given":"Sophie A","non-dropping-particle":"","parse-names":false,"suffix":""}],"container-title":"Global Advances in Health and Medicine","id":"ITEM-5","issued":{"date-parts":[["2021"]]},"page":"216495612198994","title":"Using the Mindfulness-Based Interventions: Teaching Assessment Criteria (MBI:TAC) in Supervision","type":"article-journal","volume":"10"},"uris":["http://www.mendeley.com/documents/?uuid=9e378b85-f175-4b3b-9b0b-bffa0ada2a69"]},{"id":"ITEM-6","itemData":{"DOI":"10.1016/j.chiabu.2019.03.016","ISSN":"18737757","PMID":"30908992","abstract":"Background: Emotional abuse is a form of maltreatment that most strongly predicts adult depressive symptoms in community samples. Introject theories suggest that some depressive symptoms stem from survivors having learned to treat themselves the way they were treated by their perpetrators. Objective: Malevolent introjects may undermine self-compassion, which may subsequently maintain feelings of shame. Thus, we hypothesized that self-compassion and shame would mediate the path from retrospective reports of maltreatment to concurrent depressive symptoms in adulthood. Participants and Setting: Participants were 244 adult community members and college students living in a Southwestern American metroplex. Method: We ran a multiple mediator path model with emotional abuse as the independent variable. We specified four covariates: physical abuse, sexual abuse, physical neglect, and emotional neglect, and held constant the variance they explained in self-compassion, shame, and depression. Results: Our final model accounted for 53.1% of the variance in adult depressive symptoms. A significant indirect effect from emotional abuse passed through both mediators and ended in adult depressive symptoms. We also found an indirect path from emotional neglect to depression passing through both mediators. Conclusions: It appears emotional abuse and emotional neglect can undermine the formation of self-compassion. Low self-compassion predicts greater shame and depressive symptoms. Our model suggests self-compassion may be a particularly effective intervention point for survivors of emotional maltreatment.","author":[{"dropping-particle":"","family":"Ross","given":"Nicholas Dutra","non-dropping-particle":"","parse-names":false,"suffix":""},{"dropping-particle":"","family":"Kaminski","given":"Patricia L.","non-dropping-particle":"","parse-names":false,"suffix":""},{"dropping-particle":"","family":"Herrington","given":"Richard","non-dropping-particle":"","parse-names":false,"suffix":""}],"container-title":"Child Abuse and Neglect","id":"ITEM-6","issue":"March","issued":{"date-parts":[["2019"]]},"page":"32-42","publisher":"Elsevier","title":"From childhood emotional maltreatment to depressive symptoms in adulthood: The roles of self-compassion and shame","type":"article-journal","volume":"92"},"uris":["http://www.mendeley.com/documents/?uuid=5d2ba5ae-15f4-42b3-a6cd-782136c19572"]}],"mendeley":{"formattedCitation":"(Jha &lt;i&gt;et al.&lt;/i&gt;, 2010; Czajkowski and Greasley, 2015; Lynch and Wilson, 2018; Ross, Kaminski and Herrington, 2019; Evans &lt;i&gt;et al.&lt;/i&gt;, 2021; Lewis and Hendricks, 2022)","plainTextFormattedCitation":"(Jha et al., 2010; Czajkowski and Greasley, 2015; Lynch and Wilson, 2018; Ross, Kaminski and Herrington, 2019; Evans et al., 2021; Lewis and Hendricks, 2022)","previouslyFormattedCitation":"(Jha &lt;i&gt;et al.&lt;/i&gt;, 2010; Czajkowski and Greasley, 2015; Lynch and Wilson, 2018; Ross, Kaminski and Herrington, 2019; Evans &lt;i&gt;et al.&lt;/i&gt;, 2021; Lewis and Hendricks, 2022)"},"properties":{"noteIndex":0},"schema":"https://github.com/citation-style-language/schema/raw/master/csl-citation.json"}</w:instrText>
      </w:r>
      <w:r w:rsidRPr="00CD2AD5">
        <w:rPr>
          <w:rFonts w:ascii="Arial" w:hAnsi="Arial" w:cs="Arial"/>
          <w:color w:val="111111"/>
          <w:sz w:val="24"/>
          <w:szCs w:val="24"/>
          <w:shd w:val="clear" w:color="auto" w:fill="FFFFFF"/>
        </w:rPr>
        <w:fldChar w:fldCharType="separate"/>
      </w:r>
      <w:r w:rsidRPr="00CD2AD5">
        <w:rPr>
          <w:rFonts w:ascii="Arial" w:hAnsi="Arial" w:cs="Arial"/>
          <w:noProof/>
          <w:color w:val="111111"/>
          <w:sz w:val="24"/>
          <w:szCs w:val="24"/>
          <w:shd w:val="clear" w:color="auto" w:fill="FFFFFF"/>
        </w:rPr>
        <w:t xml:space="preserve">(Jha </w:t>
      </w:r>
      <w:r w:rsidRPr="00CD2AD5">
        <w:rPr>
          <w:rFonts w:ascii="Arial" w:hAnsi="Arial" w:cs="Arial"/>
          <w:i/>
          <w:noProof/>
          <w:color w:val="111111"/>
          <w:sz w:val="24"/>
          <w:szCs w:val="24"/>
          <w:shd w:val="clear" w:color="auto" w:fill="FFFFFF"/>
        </w:rPr>
        <w:t>et al.</w:t>
      </w:r>
      <w:r w:rsidRPr="00CD2AD5">
        <w:rPr>
          <w:rFonts w:ascii="Arial" w:hAnsi="Arial" w:cs="Arial"/>
          <w:noProof/>
          <w:color w:val="111111"/>
          <w:sz w:val="24"/>
          <w:szCs w:val="24"/>
          <w:shd w:val="clear" w:color="auto" w:fill="FFFFFF"/>
        </w:rPr>
        <w:t xml:space="preserve">, 2010; Czajkowski and Greasley, 2015; Lynch and Wilson, 2018; Ross, Kaminski and Herrington, 2019; Evans </w:t>
      </w:r>
      <w:r w:rsidRPr="00CD2AD5">
        <w:rPr>
          <w:rFonts w:ascii="Arial" w:hAnsi="Arial" w:cs="Arial"/>
          <w:i/>
          <w:noProof/>
          <w:color w:val="111111"/>
          <w:sz w:val="24"/>
          <w:szCs w:val="24"/>
          <w:shd w:val="clear" w:color="auto" w:fill="FFFFFF"/>
        </w:rPr>
        <w:t>et al.</w:t>
      </w:r>
      <w:r w:rsidRPr="00CD2AD5">
        <w:rPr>
          <w:rFonts w:ascii="Arial" w:hAnsi="Arial" w:cs="Arial"/>
          <w:noProof/>
          <w:color w:val="111111"/>
          <w:sz w:val="24"/>
          <w:szCs w:val="24"/>
          <w:shd w:val="clear" w:color="auto" w:fill="FFFFFF"/>
        </w:rPr>
        <w:t>, 2021; Lewis and Hendricks, 2022)</w:t>
      </w:r>
      <w:r w:rsidRPr="00CD2AD5">
        <w:rPr>
          <w:rFonts w:ascii="Arial" w:hAnsi="Arial" w:cs="Arial"/>
          <w:color w:val="111111"/>
          <w:sz w:val="24"/>
          <w:szCs w:val="24"/>
          <w:shd w:val="clear" w:color="auto" w:fill="FFFFFF"/>
        </w:rPr>
        <w:fldChar w:fldCharType="end"/>
      </w:r>
    </w:p>
    <w:sectPr w:rsidR="007E7F78" w:rsidSect="00994CEC">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695F0D" w14:textId="77777777" w:rsidR="005D15DC" w:rsidRDefault="005D15DC">
      <w:pPr>
        <w:spacing w:after="0" w:line="240" w:lineRule="auto"/>
      </w:pPr>
      <w:r>
        <w:separator/>
      </w:r>
    </w:p>
  </w:endnote>
  <w:endnote w:type="continuationSeparator" w:id="0">
    <w:p w14:paraId="1D284157" w14:textId="77777777" w:rsidR="005D15DC" w:rsidRDefault="005D15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Neue">
    <w:altName w:val="Arial"/>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185253" w14:textId="77777777" w:rsidR="00FF4C8A" w:rsidRDefault="00FF4C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2068254"/>
      <w:docPartObj>
        <w:docPartGallery w:val="Page Numbers (Bottom of Page)"/>
        <w:docPartUnique/>
      </w:docPartObj>
    </w:sdtPr>
    <w:sdtEndPr>
      <w:rPr>
        <w:noProof/>
      </w:rPr>
    </w:sdtEndPr>
    <w:sdtContent>
      <w:p w14:paraId="060A23BE" w14:textId="6E6B6DD7" w:rsidR="00E719C1" w:rsidRDefault="00E719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233B66" w14:textId="77777777" w:rsidR="00266F14" w:rsidRDefault="00266F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824896" w14:textId="77777777" w:rsidR="005D15DC" w:rsidRDefault="005D15DC">
      <w:pPr>
        <w:spacing w:after="0" w:line="240" w:lineRule="auto"/>
      </w:pPr>
      <w:r>
        <w:separator/>
      </w:r>
    </w:p>
  </w:footnote>
  <w:footnote w:type="continuationSeparator" w:id="0">
    <w:p w14:paraId="309D11C2" w14:textId="77777777" w:rsidR="005D15DC" w:rsidRDefault="005D15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5B604D" w14:textId="77777777" w:rsidR="002F28D9" w:rsidRDefault="007E3B8B" w:rsidP="002F28D9">
    <w:r>
      <w:t xml:space="preserve">Jon Morris </w:t>
    </w:r>
    <w:r>
      <w:ptab w:relativeTo="margin" w:alignment="center" w:leader="none"/>
    </w:r>
    <w:r>
      <w:t>MA Voice Pedagogy</w:t>
    </w:r>
    <w:r>
      <w:ptab w:relativeTo="margin" w:alignment="right" w:leader="none"/>
    </w:r>
    <w:r>
      <w:t>Module code: BMPF7013</w:t>
    </w:r>
  </w:p>
  <w:p w14:paraId="418A5B31" w14:textId="77777777" w:rsidR="005B02DA" w:rsidRDefault="007E3B8B">
    <w:r>
      <w:t>2016633</w:t>
    </w:r>
    <w:r>
      <w:tab/>
    </w:r>
    <w:r>
      <w:tab/>
    </w:r>
    <w:r>
      <w:tab/>
    </w:r>
    <w:r>
      <w:tab/>
      <w:t>Individual study plan Cohort F/ G</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EEC3D1" w14:textId="77777777" w:rsidR="007E3B8B" w:rsidRDefault="007E3B8B" w:rsidP="002F28D9">
    <w:r>
      <w:t xml:space="preserve">Jon Morris </w:t>
    </w:r>
    <w:r>
      <w:ptab w:relativeTo="margin" w:alignment="center" w:leader="none"/>
    </w:r>
    <w:r>
      <w:t>MA Voice Pedagogy</w:t>
    </w:r>
    <w:r>
      <w:ptab w:relativeTo="margin" w:alignment="right" w:leader="none"/>
    </w:r>
    <w:r>
      <w:t>Module code: BMPF7013</w:t>
    </w:r>
  </w:p>
  <w:p w14:paraId="36DB119A" w14:textId="77777777" w:rsidR="007E3B8B" w:rsidRDefault="007E3B8B">
    <w:r>
      <w:t>2016633</w:t>
    </w:r>
    <w:r>
      <w:tab/>
    </w:r>
    <w:r>
      <w:tab/>
    </w:r>
    <w:r>
      <w:tab/>
    </w:r>
    <w:r>
      <w:tab/>
      <w:t>Individual study plan Cohort F/ 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50109"/>
    <w:multiLevelType w:val="hybridMultilevel"/>
    <w:tmpl w:val="E1D8D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893D57"/>
    <w:multiLevelType w:val="hybridMultilevel"/>
    <w:tmpl w:val="D2500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692BEC"/>
    <w:multiLevelType w:val="hybridMultilevel"/>
    <w:tmpl w:val="72D82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1C6AD3"/>
    <w:multiLevelType w:val="hybridMultilevel"/>
    <w:tmpl w:val="E2FC6A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CE43085"/>
    <w:multiLevelType w:val="hybridMultilevel"/>
    <w:tmpl w:val="42426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BB2C8A"/>
    <w:multiLevelType w:val="hybridMultilevel"/>
    <w:tmpl w:val="E0969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6D0672"/>
    <w:multiLevelType w:val="hybridMultilevel"/>
    <w:tmpl w:val="FC3877A0"/>
    <w:lvl w:ilvl="0" w:tplc="04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FF65BF7"/>
    <w:multiLevelType w:val="hybridMultilevel"/>
    <w:tmpl w:val="95C08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4D5167"/>
    <w:multiLevelType w:val="hybridMultilevel"/>
    <w:tmpl w:val="255E0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BA14E8"/>
    <w:multiLevelType w:val="hybridMultilevel"/>
    <w:tmpl w:val="8DC2E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E34BA4"/>
    <w:multiLevelType w:val="hybridMultilevel"/>
    <w:tmpl w:val="24B0E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457993"/>
    <w:multiLevelType w:val="hybridMultilevel"/>
    <w:tmpl w:val="C28AB5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B8D0639"/>
    <w:multiLevelType w:val="hybridMultilevel"/>
    <w:tmpl w:val="B1A8E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AA63B9"/>
    <w:multiLevelType w:val="hybridMultilevel"/>
    <w:tmpl w:val="D840C31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F6C7289"/>
    <w:multiLevelType w:val="hybridMultilevel"/>
    <w:tmpl w:val="6B369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3E3E4F"/>
    <w:multiLevelType w:val="hybridMultilevel"/>
    <w:tmpl w:val="58EE29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30576A1"/>
    <w:multiLevelType w:val="hybridMultilevel"/>
    <w:tmpl w:val="A62204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3F85CA4"/>
    <w:multiLevelType w:val="hybridMultilevel"/>
    <w:tmpl w:val="7138F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8A0658"/>
    <w:multiLevelType w:val="hybridMultilevel"/>
    <w:tmpl w:val="0352BA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F130A1E"/>
    <w:multiLevelType w:val="hybridMultilevel"/>
    <w:tmpl w:val="A2807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564141"/>
    <w:multiLevelType w:val="hybridMultilevel"/>
    <w:tmpl w:val="4F8E9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C54DB0"/>
    <w:multiLevelType w:val="hybridMultilevel"/>
    <w:tmpl w:val="418C09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B26"/>
    <w:multiLevelType w:val="hybridMultilevel"/>
    <w:tmpl w:val="0E9E0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C9068B"/>
    <w:multiLevelType w:val="hybridMultilevel"/>
    <w:tmpl w:val="6B24E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0250CF"/>
    <w:multiLevelType w:val="hybridMultilevel"/>
    <w:tmpl w:val="C916D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B1604A"/>
    <w:multiLevelType w:val="hybridMultilevel"/>
    <w:tmpl w:val="CFFCA6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A1B6212"/>
    <w:multiLevelType w:val="hybridMultilevel"/>
    <w:tmpl w:val="1F30E4E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CDC7D71"/>
    <w:multiLevelType w:val="hybridMultilevel"/>
    <w:tmpl w:val="553EB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E30AC6"/>
    <w:multiLevelType w:val="hybridMultilevel"/>
    <w:tmpl w:val="04905B4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9" w15:restartNumberingAfterBreak="0">
    <w:nsid w:val="71186FF2"/>
    <w:multiLevelType w:val="hybridMultilevel"/>
    <w:tmpl w:val="EFE6F3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1DC630F"/>
    <w:multiLevelType w:val="hybridMultilevel"/>
    <w:tmpl w:val="B534060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36F2F53"/>
    <w:multiLevelType w:val="hybridMultilevel"/>
    <w:tmpl w:val="995E2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83032C"/>
    <w:multiLevelType w:val="hybridMultilevel"/>
    <w:tmpl w:val="B88434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9964FFD"/>
    <w:multiLevelType w:val="hybridMultilevel"/>
    <w:tmpl w:val="B8447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C80280"/>
    <w:multiLevelType w:val="hybridMultilevel"/>
    <w:tmpl w:val="FC1C6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D02428"/>
    <w:multiLevelType w:val="hybridMultilevel"/>
    <w:tmpl w:val="71B82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3F6EE8"/>
    <w:multiLevelType w:val="hybridMultilevel"/>
    <w:tmpl w:val="17D4A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6530322">
    <w:abstractNumId w:val="35"/>
  </w:num>
  <w:num w:numId="2" w16cid:durableId="1020664667">
    <w:abstractNumId w:val="8"/>
  </w:num>
  <w:num w:numId="3" w16cid:durableId="587932658">
    <w:abstractNumId w:val="22"/>
  </w:num>
  <w:num w:numId="4" w16cid:durableId="641427361">
    <w:abstractNumId w:val="9"/>
  </w:num>
  <w:num w:numId="5" w16cid:durableId="1809542887">
    <w:abstractNumId w:val="30"/>
  </w:num>
  <w:num w:numId="6" w16cid:durableId="1423836876">
    <w:abstractNumId w:val="17"/>
  </w:num>
  <w:num w:numId="7" w16cid:durableId="2126197138">
    <w:abstractNumId w:val="21"/>
  </w:num>
  <w:num w:numId="8" w16cid:durableId="1849638115">
    <w:abstractNumId w:val="14"/>
  </w:num>
  <w:num w:numId="9" w16cid:durableId="5909769">
    <w:abstractNumId w:val="20"/>
  </w:num>
  <w:num w:numId="10" w16cid:durableId="2066832222">
    <w:abstractNumId w:val="27"/>
  </w:num>
  <w:num w:numId="11" w16cid:durableId="1059284884">
    <w:abstractNumId w:val="25"/>
  </w:num>
  <w:num w:numId="12" w16cid:durableId="1827548424">
    <w:abstractNumId w:val="23"/>
  </w:num>
  <w:num w:numId="13" w16cid:durableId="976839965">
    <w:abstractNumId w:val="32"/>
  </w:num>
  <w:num w:numId="14" w16cid:durableId="1394618049">
    <w:abstractNumId w:val="11"/>
  </w:num>
  <w:num w:numId="15" w16cid:durableId="1422800216">
    <w:abstractNumId w:val="18"/>
  </w:num>
  <w:num w:numId="16" w16cid:durableId="937909388">
    <w:abstractNumId w:val="15"/>
  </w:num>
  <w:num w:numId="17" w16cid:durableId="968895561">
    <w:abstractNumId w:val="3"/>
  </w:num>
  <w:num w:numId="18" w16cid:durableId="608506935">
    <w:abstractNumId w:val="16"/>
  </w:num>
  <w:num w:numId="19" w16cid:durableId="1189104106">
    <w:abstractNumId w:val="26"/>
  </w:num>
  <w:num w:numId="20" w16cid:durableId="1701054951">
    <w:abstractNumId w:val="13"/>
  </w:num>
  <w:num w:numId="21" w16cid:durableId="613026193">
    <w:abstractNumId w:val="0"/>
  </w:num>
  <w:num w:numId="22" w16cid:durableId="698242578">
    <w:abstractNumId w:val="6"/>
  </w:num>
  <w:num w:numId="23" w16cid:durableId="1025256277">
    <w:abstractNumId w:val="29"/>
  </w:num>
  <w:num w:numId="24" w16cid:durableId="189415882">
    <w:abstractNumId w:val="28"/>
  </w:num>
  <w:num w:numId="25" w16cid:durableId="900940713">
    <w:abstractNumId w:val="2"/>
  </w:num>
  <w:num w:numId="26" w16cid:durableId="1615745569">
    <w:abstractNumId w:val="1"/>
  </w:num>
  <w:num w:numId="27" w16cid:durableId="570237207">
    <w:abstractNumId w:val="4"/>
  </w:num>
  <w:num w:numId="28" w16cid:durableId="937565884">
    <w:abstractNumId w:val="19"/>
  </w:num>
  <w:num w:numId="29" w16cid:durableId="943922164">
    <w:abstractNumId w:val="36"/>
  </w:num>
  <w:num w:numId="30" w16cid:durableId="671492918">
    <w:abstractNumId w:val="31"/>
  </w:num>
  <w:num w:numId="31" w16cid:durableId="2035112237">
    <w:abstractNumId w:val="33"/>
  </w:num>
  <w:num w:numId="32" w16cid:durableId="1227646895">
    <w:abstractNumId w:val="10"/>
  </w:num>
  <w:num w:numId="33" w16cid:durableId="1709140462">
    <w:abstractNumId w:val="7"/>
  </w:num>
  <w:num w:numId="34" w16cid:durableId="510946404">
    <w:abstractNumId w:val="34"/>
  </w:num>
  <w:num w:numId="35" w16cid:durableId="306281761">
    <w:abstractNumId w:val="12"/>
  </w:num>
  <w:num w:numId="36" w16cid:durableId="831525400">
    <w:abstractNumId w:val="24"/>
  </w:num>
  <w:num w:numId="37" w16cid:durableId="154691499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298"/>
    <w:rsid w:val="00000DE2"/>
    <w:rsid w:val="000011D4"/>
    <w:rsid w:val="000022A7"/>
    <w:rsid w:val="00003EDF"/>
    <w:rsid w:val="000077C5"/>
    <w:rsid w:val="000134EF"/>
    <w:rsid w:val="000137B4"/>
    <w:rsid w:val="00013F52"/>
    <w:rsid w:val="00014418"/>
    <w:rsid w:val="0001713C"/>
    <w:rsid w:val="000172FC"/>
    <w:rsid w:val="000228F2"/>
    <w:rsid w:val="000231E7"/>
    <w:rsid w:val="00024CC4"/>
    <w:rsid w:val="00026B65"/>
    <w:rsid w:val="00031012"/>
    <w:rsid w:val="000312ED"/>
    <w:rsid w:val="00034BE7"/>
    <w:rsid w:val="000400D2"/>
    <w:rsid w:val="00043163"/>
    <w:rsid w:val="00044C56"/>
    <w:rsid w:val="00045667"/>
    <w:rsid w:val="00050CD2"/>
    <w:rsid w:val="000528DB"/>
    <w:rsid w:val="00053372"/>
    <w:rsid w:val="000569EC"/>
    <w:rsid w:val="00064C3D"/>
    <w:rsid w:val="00066F73"/>
    <w:rsid w:val="0006709A"/>
    <w:rsid w:val="000715A2"/>
    <w:rsid w:val="00071BDA"/>
    <w:rsid w:val="00074C29"/>
    <w:rsid w:val="0007688A"/>
    <w:rsid w:val="00076B48"/>
    <w:rsid w:val="000776E4"/>
    <w:rsid w:val="000812ED"/>
    <w:rsid w:val="00082352"/>
    <w:rsid w:val="000834D4"/>
    <w:rsid w:val="000843C9"/>
    <w:rsid w:val="00085955"/>
    <w:rsid w:val="00091A49"/>
    <w:rsid w:val="00091AD9"/>
    <w:rsid w:val="00093D20"/>
    <w:rsid w:val="00096D36"/>
    <w:rsid w:val="000A1CDB"/>
    <w:rsid w:val="000A36F0"/>
    <w:rsid w:val="000A4B2B"/>
    <w:rsid w:val="000A4CB0"/>
    <w:rsid w:val="000B67CC"/>
    <w:rsid w:val="000B6F7A"/>
    <w:rsid w:val="000B7EAC"/>
    <w:rsid w:val="000C01D5"/>
    <w:rsid w:val="000C0CBD"/>
    <w:rsid w:val="000C3475"/>
    <w:rsid w:val="000C3AC9"/>
    <w:rsid w:val="000C535F"/>
    <w:rsid w:val="000C71C1"/>
    <w:rsid w:val="000D5492"/>
    <w:rsid w:val="000D56FC"/>
    <w:rsid w:val="000D6988"/>
    <w:rsid w:val="000E4722"/>
    <w:rsid w:val="000F01E0"/>
    <w:rsid w:val="000F0614"/>
    <w:rsid w:val="000F5730"/>
    <w:rsid w:val="000F7542"/>
    <w:rsid w:val="00104EE0"/>
    <w:rsid w:val="0010730A"/>
    <w:rsid w:val="00113C29"/>
    <w:rsid w:val="00113ED1"/>
    <w:rsid w:val="00117A28"/>
    <w:rsid w:val="00120EFE"/>
    <w:rsid w:val="00122410"/>
    <w:rsid w:val="00124D17"/>
    <w:rsid w:val="001257AB"/>
    <w:rsid w:val="001261C7"/>
    <w:rsid w:val="00126E96"/>
    <w:rsid w:val="00132EF1"/>
    <w:rsid w:val="001334FA"/>
    <w:rsid w:val="00136DC2"/>
    <w:rsid w:val="00137476"/>
    <w:rsid w:val="001430A3"/>
    <w:rsid w:val="0014571E"/>
    <w:rsid w:val="00146015"/>
    <w:rsid w:val="00147311"/>
    <w:rsid w:val="00160012"/>
    <w:rsid w:val="00162E7B"/>
    <w:rsid w:val="00170084"/>
    <w:rsid w:val="00176099"/>
    <w:rsid w:val="00177CC4"/>
    <w:rsid w:val="001866D7"/>
    <w:rsid w:val="001916B6"/>
    <w:rsid w:val="00195DB1"/>
    <w:rsid w:val="0019657B"/>
    <w:rsid w:val="001A3F96"/>
    <w:rsid w:val="001B16ED"/>
    <w:rsid w:val="001B43B8"/>
    <w:rsid w:val="001C5057"/>
    <w:rsid w:val="001C612E"/>
    <w:rsid w:val="001D094A"/>
    <w:rsid w:val="001E036C"/>
    <w:rsid w:val="001E1397"/>
    <w:rsid w:val="001E4163"/>
    <w:rsid w:val="001E5F6D"/>
    <w:rsid w:val="001E75AA"/>
    <w:rsid w:val="001F0104"/>
    <w:rsid w:val="001F1C3F"/>
    <w:rsid w:val="001F36E9"/>
    <w:rsid w:val="001F45F2"/>
    <w:rsid w:val="00201895"/>
    <w:rsid w:val="00202C69"/>
    <w:rsid w:val="00206F45"/>
    <w:rsid w:val="00210BF3"/>
    <w:rsid w:val="00213DC7"/>
    <w:rsid w:val="00220534"/>
    <w:rsid w:val="00221EE7"/>
    <w:rsid w:val="00222317"/>
    <w:rsid w:val="002231CC"/>
    <w:rsid w:val="00224524"/>
    <w:rsid w:val="00224670"/>
    <w:rsid w:val="00227115"/>
    <w:rsid w:val="00231D32"/>
    <w:rsid w:val="00233C92"/>
    <w:rsid w:val="002354C4"/>
    <w:rsid w:val="002367DA"/>
    <w:rsid w:val="00240F58"/>
    <w:rsid w:val="00242453"/>
    <w:rsid w:val="00242A02"/>
    <w:rsid w:val="0024646F"/>
    <w:rsid w:val="002511A4"/>
    <w:rsid w:val="00255B41"/>
    <w:rsid w:val="00263A2B"/>
    <w:rsid w:val="0026462C"/>
    <w:rsid w:val="00265D47"/>
    <w:rsid w:val="00266F14"/>
    <w:rsid w:val="00275AAC"/>
    <w:rsid w:val="00277D3A"/>
    <w:rsid w:val="00284D89"/>
    <w:rsid w:val="002869B3"/>
    <w:rsid w:val="00287C54"/>
    <w:rsid w:val="00290415"/>
    <w:rsid w:val="002910F0"/>
    <w:rsid w:val="0029214C"/>
    <w:rsid w:val="002A0DBA"/>
    <w:rsid w:val="002A31D7"/>
    <w:rsid w:val="002A5397"/>
    <w:rsid w:val="002B60AD"/>
    <w:rsid w:val="002C0A39"/>
    <w:rsid w:val="002C6542"/>
    <w:rsid w:val="002C70B3"/>
    <w:rsid w:val="002E198A"/>
    <w:rsid w:val="002E7E75"/>
    <w:rsid w:val="002F094C"/>
    <w:rsid w:val="002F3E3E"/>
    <w:rsid w:val="002F4353"/>
    <w:rsid w:val="002F4393"/>
    <w:rsid w:val="002F607C"/>
    <w:rsid w:val="002F6EE9"/>
    <w:rsid w:val="003030F0"/>
    <w:rsid w:val="003033A9"/>
    <w:rsid w:val="0030519D"/>
    <w:rsid w:val="00306CCB"/>
    <w:rsid w:val="00312FDE"/>
    <w:rsid w:val="0032423B"/>
    <w:rsid w:val="00331103"/>
    <w:rsid w:val="003339E8"/>
    <w:rsid w:val="00334701"/>
    <w:rsid w:val="00336B1B"/>
    <w:rsid w:val="00340E1E"/>
    <w:rsid w:val="00340FA0"/>
    <w:rsid w:val="00341A1B"/>
    <w:rsid w:val="003446CD"/>
    <w:rsid w:val="0034520A"/>
    <w:rsid w:val="00346B2F"/>
    <w:rsid w:val="0035046E"/>
    <w:rsid w:val="003529FB"/>
    <w:rsid w:val="003544C1"/>
    <w:rsid w:val="00354A9F"/>
    <w:rsid w:val="00356298"/>
    <w:rsid w:val="00357742"/>
    <w:rsid w:val="003608FF"/>
    <w:rsid w:val="00360B3D"/>
    <w:rsid w:val="00364F14"/>
    <w:rsid w:val="0036567C"/>
    <w:rsid w:val="0036659E"/>
    <w:rsid w:val="0037232E"/>
    <w:rsid w:val="00372C75"/>
    <w:rsid w:val="003824E6"/>
    <w:rsid w:val="003839E3"/>
    <w:rsid w:val="0038561D"/>
    <w:rsid w:val="003916A7"/>
    <w:rsid w:val="003922EC"/>
    <w:rsid w:val="00392970"/>
    <w:rsid w:val="003A0038"/>
    <w:rsid w:val="003A6848"/>
    <w:rsid w:val="003B738B"/>
    <w:rsid w:val="003D156A"/>
    <w:rsid w:val="003D2DD7"/>
    <w:rsid w:val="003D3D5A"/>
    <w:rsid w:val="003D5FC5"/>
    <w:rsid w:val="003E03A6"/>
    <w:rsid w:val="003E15E5"/>
    <w:rsid w:val="003E2AF5"/>
    <w:rsid w:val="003E6292"/>
    <w:rsid w:val="003E7247"/>
    <w:rsid w:val="003F0470"/>
    <w:rsid w:val="003F2937"/>
    <w:rsid w:val="003F3934"/>
    <w:rsid w:val="003F4C90"/>
    <w:rsid w:val="00401014"/>
    <w:rsid w:val="00401154"/>
    <w:rsid w:val="00403FEC"/>
    <w:rsid w:val="004046FA"/>
    <w:rsid w:val="004079DC"/>
    <w:rsid w:val="00407E7A"/>
    <w:rsid w:val="00410AD6"/>
    <w:rsid w:val="0041186F"/>
    <w:rsid w:val="00415BFE"/>
    <w:rsid w:val="004166FC"/>
    <w:rsid w:val="00420BF8"/>
    <w:rsid w:val="00422135"/>
    <w:rsid w:val="0042224C"/>
    <w:rsid w:val="00422B97"/>
    <w:rsid w:val="00426E71"/>
    <w:rsid w:val="004277BC"/>
    <w:rsid w:val="00430F17"/>
    <w:rsid w:val="00433763"/>
    <w:rsid w:val="00435667"/>
    <w:rsid w:val="00435F83"/>
    <w:rsid w:val="00436248"/>
    <w:rsid w:val="004419BA"/>
    <w:rsid w:val="00443C6B"/>
    <w:rsid w:val="00444F2C"/>
    <w:rsid w:val="0045216C"/>
    <w:rsid w:val="004534AC"/>
    <w:rsid w:val="004535DF"/>
    <w:rsid w:val="00460D80"/>
    <w:rsid w:val="00462469"/>
    <w:rsid w:val="0046556A"/>
    <w:rsid w:val="0047315F"/>
    <w:rsid w:val="00474B45"/>
    <w:rsid w:val="004776F6"/>
    <w:rsid w:val="004808B3"/>
    <w:rsid w:val="00482802"/>
    <w:rsid w:val="004848F5"/>
    <w:rsid w:val="00485323"/>
    <w:rsid w:val="00487867"/>
    <w:rsid w:val="004C046E"/>
    <w:rsid w:val="004C17E8"/>
    <w:rsid w:val="004C2799"/>
    <w:rsid w:val="004C5F07"/>
    <w:rsid w:val="004C6013"/>
    <w:rsid w:val="004C6539"/>
    <w:rsid w:val="004D04DC"/>
    <w:rsid w:val="004E0A29"/>
    <w:rsid w:val="004E66B9"/>
    <w:rsid w:val="004F3F10"/>
    <w:rsid w:val="004F42A6"/>
    <w:rsid w:val="004F50B0"/>
    <w:rsid w:val="004F560D"/>
    <w:rsid w:val="004F6A71"/>
    <w:rsid w:val="004F7D9F"/>
    <w:rsid w:val="00501929"/>
    <w:rsid w:val="00501F5A"/>
    <w:rsid w:val="00506458"/>
    <w:rsid w:val="005076C5"/>
    <w:rsid w:val="00515164"/>
    <w:rsid w:val="00515BD6"/>
    <w:rsid w:val="00522DE6"/>
    <w:rsid w:val="00525042"/>
    <w:rsid w:val="00535DC7"/>
    <w:rsid w:val="00536B43"/>
    <w:rsid w:val="00537798"/>
    <w:rsid w:val="00541203"/>
    <w:rsid w:val="0054201A"/>
    <w:rsid w:val="00551617"/>
    <w:rsid w:val="00553FAD"/>
    <w:rsid w:val="0055523D"/>
    <w:rsid w:val="00557E51"/>
    <w:rsid w:val="00560870"/>
    <w:rsid w:val="00560EFC"/>
    <w:rsid w:val="005626F0"/>
    <w:rsid w:val="00563184"/>
    <w:rsid w:val="005636A6"/>
    <w:rsid w:val="00567AFD"/>
    <w:rsid w:val="00571410"/>
    <w:rsid w:val="0057263F"/>
    <w:rsid w:val="0057586A"/>
    <w:rsid w:val="00576102"/>
    <w:rsid w:val="0058119C"/>
    <w:rsid w:val="00581A25"/>
    <w:rsid w:val="005832E2"/>
    <w:rsid w:val="00591096"/>
    <w:rsid w:val="005B1125"/>
    <w:rsid w:val="005B343A"/>
    <w:rsid w:val="005B756C"/>
    <w:rsid w:val="005C1326"/>
    <w:rsid w:val="005C3DC3"/>
    <w:rsid w:val="005C6048"/>
    <w:rsid w:val="005C6CB7"/>
    <w:rsid w:val="005C7B70"/>
    <w:rsid w:val="005D15DC"/>
    <w:rsid w:val="005D3252"/>
    <w:rsid w:val="005D37BD"/>
    <w:rsid w:val="005D43BE"/>
    <w:rsid w:val="005D4A39"/>
    <w:rsid w:val="005E37BC"/>
    <w:rsid w:val="005E5422"/>
    <w:rsid w:val="005E5E80"/>
    <w:rsid w:val="005F369E"/>
    <w:rsid w:val="005F3DE5"/>
    <w:rsid w:val="005F3F2D"/>
    <w:rsid w:val="005F5444"/>
    <w:rsid w:val="005F59D9"/>
    <w:rsid w:val="005F6D73"/>
    <w:rsid w:val="00604C2F"/>
    <w:rsid w:val="00605859"/>
    <w:rsid w:val="006103A5"/>
    <w:rsid w:val="0061593A"/>
    <w:rsid w:val="00615C50"/>
    <w:rsid w:val="00616080"/>
    <w:rsid w:val="00616F74"/>
    <w:rsid w:val="00622047"/>
    <w:rsid w:val="00625589"/>
    <w:rsid w:val="00625C73"/>
    <w:rsid w:val="00632377"/>
    <w:rsid w:val="006352A7"/>
    <w:rsid w:val="006415FD"/>
    <w:rsid w:val="0064251F"/>
    <w:rsid w:val="006443D3"/>
    <w:rsid w:val="00646744"/>
    <w:rsid w:val="00653FCF"/>
    <w:rsid w:val="00661070"/>
    <w:rsid w:val="006652BF"/>
    <w:rsid w:val="006652E1"/>
    <w:rsid w:val="00667827"/>
    <w:rsid w:val="00667A32"/>
    <w:rsid w:val="00672D01"/>
    <w:rsid w:val="00673A5A"/>
    <w:rsid w:val="00676843"/>
    <w:rsid w:val="0067715F"/>
    <w:rsid w:val="00677C6D"/>
    <w:rsid w:val="00677E72"/>
    <w:rsid w:val="00681062"/>
    <w:rsid w:val="006821B1"/>
    <w:rsid w:val="006827E7"/>
    <w:rsid w:val="0068297C"/>
    <w:rsid w:val="006829A6"/>
    <w:rsid w:val="00693783"/>
    <w:rsid w:val="00695113"/>
    <w:rsid w:val="0069705D"/>
    <w:rsid w:val="006A0147"/>
    <w:rsid w:val="006A589D"/>
    <w:rsid w:val="006A60D7"/>
    <w:rsid w:val="006A7016"/>
    <w:rsid w:val="006B28F5"/>
    <w:rsid w:val="006B3A5F"/>
    <w:rsid w:val="006B6650"/>
    <w:rsid w:val="006C7E3E"/>
    <w:rsid w:val="006D1AB5"/>
    <w:rsid w:val="006D40D9"/>
    <w:rsid w:val="006D74B9"/>
    <w:rsid w:val="006E27E7"/>
    <w:rsid w:val="006E3B49"/>
    <w:rsid w:val="006E5D08"/>
    <w:rsid w:val="006F24B0"/>
    <w:rsid w:val="006F26F6"/>
    <w:rsid w:val="006F3135"/>
    <w:rsid w:val="00703962"/>
    <w:rsid w:val="007070D3"/>
    <w:rsid w:val="0071168C"/>
    <w:rsid w:val="00717793"/>
    <w:rsid w:val="00720484"/>
    <w:rsid w:val="00725EB7"/>
    <w:rsid w:val="00731623"/>
    <w:rsid w:val="00732919"/>
    <w:rsid w:val="00734D9E"/>
    <w:rsid w:val="00734DE6"/>
    <w:rsid w:val="00736BB3"/>
    <w:rsid w:val="00740343"/>
    <w:rsid w:val="00742F7B"/>
    <w:rsid w:val="007462B9"/>
    <w:rsid w:val="007468F1"/>
    <w:rsid w:val="00751F8F"/>
    <w:rsid w:val="00752C0B"/>
    <w:rsid w:val="00752E30"/>
    <w:rsid w:val="007567C5"/>
    <w:rsid w:val="007604F8"/>
    <w:rsid w:val="00761CC5"/>
    <w:rsid w:val="007636EC"/>
    <w:rsid w:val="00763C4D"/>
    <w:rsid w:val="0077380D"/>
    <w:rsid w:val="007742A7"/>
    <w:rsid w:val="00775F15"/>
    <w:rsid w:val="00780E53"/>
    <w:rsid w:val="00782F20"/>
    <w:rsid w:val="00786421"/>
    <w:rsid w:val="00791E13"/>
    <w:rsid w:val="00793851"/>
    <w:rsid w:val="00793EFC"/>
    <w:rsid w:val="00795200"/>
    <w:rsid w:val="00796768"/>
    <w:rsid w:val="007A08B6"/>
    <w:rsid w:val="007A209E"/>
    <w:rsid w:val="007A2D45"/>
    <w:rsid w:val="007A2EAB"/>
    <w:rsid w:val="007A3EDF"/>
    <w:rsid w:val="007A6CDE"/>
    <w:rsid w:val="007B537B"/>
    <w:rsid w:val="007B5ED1"/>
    <w:rsid w:val="007D2BC1"/>
    <w:rsid w:val="007D2F4D"/>
    <w:rsid w:val="007D4213"/>
    <w:rsid w:val="007D720A"/>
    <w:rsid w:val="007E18C8"/>
    <w:rsid w:val="007E3B8B"/>
    <w:rsid w:val="007E57E5"/>
    <w:rsid w:val="007E7F78"/>
    <w:rsid w:val="007F35C7"/>
    <w:rsid w:val="007F4D70"/>
    <w:rsid w:val="007F5D87"/>
    <w:rsid w:val="007F7FF9"/>
    <w:rsid w:val="0080026C"/>
    <w:rsid w:val="00804DA0"/>
    <w:rsid w:val="00807CEB"/>
    <w:rsid w:val="00813D68"/>
    <w:rsid w:val="00814461"/>
    <w:rsid w:val="0081574E"/>
    <w:rsid w:val="0081619A"/>
    <w:rsid w:val="008263C3"/>
    <w:rsid w:val="00827091"/>
    <w:rsid w:val="008367FF"/>
    <w:rsid w:val="008368DA"/>
    <w:rsid w:val="008448BB"/>
    <w:rsid w:val="008448EF"/>
    <w:rsid w:val="008530F9"/>
    <w:rsid w:val="00856F6D"/>
    <w:rsid w:val="0086217E"/>
    <w:rsid w:val="00863189"/>
    <w:rsid w:val="00864BA6"/>
    <w:rsid w:val="00867467"/>
    <w:rsid w:val="008711A8"/>
    <w:rsid w:val="0087421D"/>
    <w:rsid w:val="00880170"/>
    <w:rsid w:val="0088041F"/>
    <w:rsid w:val="008810D5"/>
    <w:rsid w:val="008838BB"/>
    <w:rsid w:val="00884433"/>
    <w:rsid w:val="00893492"/>
    <w:rsid w:val="0089736E"/>
    <w:rsid w:val="008A2DA1"/>
    <w:rsid w:val="008A49F7"/>
    <w:rsid w:val="008B08EB"/>
    <w:rsid w:val="008B174D"/>
    <w:rsid w:val="008B3498"/>
    <w:rsid w:val="008B34DD"/>
    <w:rsid w:val="008B351E"/>
    <w:rsid w:val="008B4851"/>
    <w:rsid w:val="008C4BEC"/>
    <w:rsid w:val="008C71DA"/>
    <w:rsid w:val="008C751A"/>
    <w:rsid w:val="008D225D"/>
    <w:rsid w:val="008D25BE"/>
    <w:rsid w:val="008D2A66"/>
    <w:rsid w:val="008D513F"/>
    <w:rsid w:val="008D6789"/>
    <w:rsid w:val="008D68E0"/>
    <w:rsid w:val="008E0866"/>
    <w:rsid w:val="008E32C5"/>
    <w:rsid w:val="008F6AE6"/>
    <w:rsid w:val="008F7D31"/>
    <w:rsid w:val="00900B30"/>
    <w:rsid w:val="0090152C"/>
    <w:rsid w:val="009201E9"/>
    <w:rsid w:val="00921F1C"/>
    <w:rsid w:val="00932BBF"/>
    <w:rsid w:val="00934B07"/>
    <w:rsid w:val="009459CF"/>
    <w:rsid w:val="00954AB3"/>
    <w:rsid w:val="00956D37"/>
    <w:rsid w:val="00957467"/>
    <w:rsid w:val="00957875"/>
    <w:rsid w:val="00960047"/>
    <w:rsid w:val="00960D8D"/>
    <w:rsid w:val="00962DFF"/>
    <w:rsid w:val="00965A21"/>
    <w:rsid w:val="0097013B"/>
    <w:rsid w:val="009738EB"/>
    <w:rsid w:val="00973E10"/>
    <w:rsid w:val="00977680"/>
    <w:rsid w:val="009827C5"/>
    <w:rsid w:val="009833D5"/>
    <w:rsid w:val="0099011E"/>
    <w:rsid w:val="00990161"/>
    <w:rsid w:val="00992F95"/>
    <w:rsid w:val="009947BA"/>
    <w:rsid w:val="00994CEC"/>
    <w:rsid w:val="00994E63"/>
    <w:rsid w:val="0099653D"/>
    <w:rsid w:val="00996A3E"/>
    <w:rsid w:val="0099705E"/>
    <w:rsid w:val="009A65ED"/>
    <w:rsid w:val="009A6BD4"/>
    <w:rsid w:val="009B22AF"/>
    <w:rsid w:val="009B6231"/>
    <w:rsid w:val="009B67ED"/>
    <w:rsid w:val="009C02A9"/>
    <w:rsid w:val="009C4FB0"/>
    <w:rsid w:val="009D36AA"/>
    <w:rsid w:val="009D4A50"/>
    <w:rsid w:val="009D5935"/>
    <w:rsid w:val="009D6845"/>
    <w:rsid w:val="009E274F"/>
    <w:rsid w:val="009E47A6"/>
    <w:rsid w:val="009E62C7"/>
    <w:rsid w:val="009E6830"/>
    <w:rsid w:val="009F2BA4"/>
    <w:rsid w:val="009F66DE"/>
    <w:rsid w:val="00A02EBE"/>
    <w:rsid w:val="00A05374"/>
    <w:rsid w:val="00A16618"/>
    <w:rsid w:val="00A25CCD"/>
    <w:rsid w:val="00A27ADB"/>
    <w:rsid w:val="00A30F65"/>
    <w:rsid w:val="00A31806"/>
    <w:rsid w:val="00A333DF"/>
    <w:rsid w:val="00A36928"/>
    <w:rsid w:val="00A41B6B"/>
    <w:rsid w:val="00A46A01"/>
    <w:rsid w:val="00A472DA"/>
    <w:rsid w:val="00A50E95"/>
    <w:rsid w:val="00A53B43"/>
    <w:rsid w:val="00A61FE2"/>
    <w:rsid w:val="00A64BBD"/>
    <w:rsid w:val="00A64E35"/>
    <w:rsid w:val="00A71051"/>
    <w:rsid w:val="00A71843"/>
    <w:rsid w:val="00A71940"/>
    <w:rsid w:val="00A73243"/>
    <w:rsid w:val="00A73FD3"/>
    <w:rsid w:val="00A7774B"/>
    <w:rsid w:val="00A85C5D"/>
    <w:rsid w:val="00A930E8"/>
    <w:rsid w:val="00A94EEA"/>
    <w:rsid w:val="00AA2098"/>
    <w:rsid w:val="00AA2FDA"/>
    <w:rsid w:val="00AA4BAE"/>
    <w:rsid w:val="00AA7D54"/>
    <w:rsid w:val="00AB1EB5"/>
    <w:rsid w:val="00AB2717"/>
    <w:rsid w:val="00AB564D"/>
    <w:rsid w:val="00AB5C65"/>
    <w:rsid w:val="00AC5606"/>
    <w:rsid w:val="00AC5ECA"/>
    <w:rsid w:val="00AC6E3A"/>
    <w:rsid w:val="00AD1373"/>
    <w:rsid w:val="00AD40B9"/>
    <w:rsid w:val="00AE0493"/>
    <w:rsid w:val="00AE1A01"/>
    <w:rsid w:val="00AE352C"/>
    <w:rsid w:val="00AE38AC"/>
    <w:rsid w:val="00AF0501"/>
    <w:rsid w:val="00AF34FF"/>
    <w:rsid w:val="00AF4548"/>
    <w:rsid w:val="00AF4A3C"/>
    <w:rsid w:val="00B00812"/>
    <w:rsid w:val="00B00D44"/>
    <w:rsid w:val="00B067DC"/>
    <w:rsid w:val="00B10006"/>
    <w:rsid w:val="00B14E67"/>
    <w:rsid w:val="00B15E5A"/>
    <w:rsid w:val="00B16E02"/>
    <w:rsid w:val="00B1715A"/>
    <w:rsid w:val="00B17495"/>
    <w:rsid w:val="00B21037"/>
    <w:rsid w:val="00B25630"/>
    <w:rsid w:val="00B26981"/>
    <w:rsid w:val="00B27158"/>
    <w:rsid w:val="00B271BC"/>
    <w:rsid w:val="00B3098A"/>
    <w:rsid w:val="00B35CFA"/>
    <w:rsid w:val="00B40652"/>
    <w:rsid w:val="00B42FBF"/>
    <w:rsid w:val="00B43BFD"/>
    <w:rsid w:val="00B450A7"/>
    <w:rsid w:val="00B45B5D"/>
    <w:rsid w:val="00B45DE7"/>
    <w:rsid w:val="00B61504"/>
    <w:rsid w:val="00B625CC"/>
    <w:rsid w:val="00B63926"/>
    <w:rsid w:val="00B64EB9"/>
    <w:rsid w:val="00B65611"/>
    <w:rsid w:val="00B732FD"/>
    <w:rsid w:val="00B73593"/>
    <w:rsid w:val="00B74DF7"/>
    <w:rsid w:val="00B82535"/>
    <w:rsid w:val="00B82B4A"/>
    <w:rsid w:val="00B90EE6"/>
    <w:rsid w:val="00B918C8"/>
    <w:rsid w:val="00B91BD8"/>
    <w:rsid w:val="00B91C0B"/>
    <w:rsid w:val="00B966AA"/>
    <w:rsid w:val="00B96F5A"/>
    <w:rsid w:val="00B96F5F"/>
    <w:rsid w:val="00BA3293"/>
    <w:rsid w:val="00BA7111"/>
    <w:rsid w:val="00BC1CB3"/>
    <w:rsid w:val="00BC73F8"/>
    <w:rsid w:val="00BD09FF"/>
    <w:rsid w:val="00BD0AF4"/>
    <w:rsid w:val="00BD0EAA"/>
    <w:rsid w:val="00BD2444"/>
    <w:rsid w:val="00BD2696"/>
    <w:rsid w:val="00BD2F0C"/>
    <w:rsid w:val="00BD7839"/>
    <w:rsid w:val="00BE04BC"/>
    <w:rsid w:val="00BE3C42"/>
    <w:rsid w:val="00BE43C1"/>
    <w:rsid w:val="00BE700B"/>
    <w:rsid w:val="00BF2C07"/>
    <w:rsid w:val="00C00356"/>
    <w:rsid w:val="00C0113C"/>
    <w:rsid w:val="00C039B9"/>
    <w:rsid w:val="00C07767"/>
    <w:rsid w:val="00C07F30"/>
    <w:rsid w:val="00C11808"/>
    <w:rsid w:val="00C12763"/>
    <w:rsid w:val="00C1752D"/>
    <w:rsid w:val="00C17A50"/>
    <w:rsid w:val="00C273EA"/>
    <w:rsid w:val="00C439F4"/>
    <w:rsid w:val="00C455F6"/>
    <w:rsid w:val="00C45891"/>
    <w:rsid w:val="00C51FA5"/>
    <w:rsid w:val="00C52737"/>
    <w:rsid w:val="00C54075"/>
    <w:rsid w:val="00C5473A"/>
    <w:rsid w:val="00C5556C"/>
    <w:rsid w:val="00C55A92"/>
    <w:rsid w:val="00C61CBA"/>
    <w:rsid w:val="00C62F6F"/>
    <w:rsid w:val="00C63C94"/>
    <w:rsid w:val="00C64249"/>
    <w:rsid w:val="00C64A35"/>
    <w:rsid w:val="00C666BD"/>
    <w:rsid w:val="00C6798D"/>
    <w:rsid w:val="00C71601"/>
    <w:rsid w:val="00C77973"/>
    <w:rsid w:val="00C819A4"/>
    <w:rsid w:val="00C81CFD"/>
    <w:rsid w:val="00C8632D"/>
    <w:rsid w:val="00C9716A"/>
    <w:rsid w:val="00CA0D00"/>
    <w:rsid w:val="00CA44C4"/>
    <w:rsid w:val="00CA4C7D"/>
    <w:rsid w:val="00CA5232"/>
    <w:rsid w:val="00CA55F2"/>
    <w:rsid w:val="00CA5880"/>
    <w:rsid w:val="00CA7B24"/>
    <w:rsid w:val="00CA7B2A"/>
    <w:rsid w:val="00CB7836"/>
    <w:rsid w:val="00CC04A8"/>
    <w:rsid w:val="00CC1728"/>
    <w:rsid w:val="00CC2BAA"/>
    <w:rsid w:val="00CC711F"/>
    <w:rsid w:val="00CD03CC"/>
    <w:rsid w:val="00CD04C4"/>
    <w:rsid w:val="00CD1962"/>
    <w:rsid w:val="00CD2AD5"/>
    <w:rsid w:val="00CD4A6D"/>
    <w:rsid w:val="00CD5D0C"/>
    <w:rsid w:val="00CE394E"/>
    <w:rsid w:val="00CF1816"/>
    <w:rsid w:val="00CF281B"/>
    <w:rsid w:val="00CF41ED"/>
    <w:rsid w:val="00CF4722"/>
    <w:rsid w:val="00D042F8"/>
    <w:rsid w:val="00D11C9F"/>
    <w:rsid w:val="00D13FFF"/>
    <w:rsid w:val="00D1526A"/>
    <w:rsid w:val="00D159B0"/>
    <w:rsid w:val="00D15A8F"/>
    <w:rsid w:val="00D16370"/>
    <w:rsid w:val="00D163BD"/>
    <w:rsid w:val="00D2354D"/>
    <w:rsid w:val="00D305C4"/>
    <w:rsid w:val="00D35673"/>
    <w:rsid w:val="00D372C2"/>
    <w:rsid w:val="00D37760"/>
    <w:rsid w:val="00D411D0"/>
    <w:rsid w:val="00D41813"/>
    <w:rsid w:val="00D60B4C"/>
    <w:rsid w:val="00D64867"/>
    <w:rsid w:val="00D667C5"/>
    <w:rsid w:val="00D75FEB"/>
    <w:rsid w:val="00D8119F"/>
    <w:rsid w:val="00D84224"/>
    <w:rsid w:val="00D85C9A"/>
    <w:rsid w:val="00D909D3"/>
    <w:rsid w:val="00D92FD3"/>
    <w:rsid w:val="00DA28A0"/>
    <w:rsid w:val="00DA3BD5"/>
    <w:rsid w:val="00DA4B15"/>
    <w:rsid w:val="00DA6EC6"/>
    <w:rsid w:val="00DA7300"/>
    <w:rsid w:val="00DB242A"/>
    <w:rsid w:val="00DB5892"/>
    <w:rsid w:val="00DC0612"/>
    <w:rsid w:val="00DC1053"/>
    <w:rsid w:val="00DC15E4"/>
    <w:rsid w:val="00DC2F2C"/>
    <w:rsid w:val="00DC3751"/>
    <w:rsid w:val="00DC3E81"/>
    <w:rsid w:val="00DC5121"/>
    <w:rsid w:val="00DD547D"/>
    <w:rsid w:val="00DD7F34"/>
    <w:rsid w:val="00DE0218"/>
    <w:rsid w:val="00DE05B7"/>
    <w:rsid w:val="00DE255B"/>
    <w:rsid w:val="00DE42CD"/>
    <w:rsid w:val="00DE4F15"/>
    <w:rsid w:val="00DF631F"/>
    <w:rsid w:val="00DF7F13"/>
    <w:rsid w:val="00E05786"/>
    <w:rsid w:val="00E102A6"/>
    <w:rsid w:val="00E10EE4"/>
    <w:rsid w:val="00E1137A"/>
    <w:rsid w:val="00E117BC"/>
    <w:rsid w:val="00E1658D"/>
    <w:rsid w:val="00E260F8"/>
    <w:rsid w:val="00E26277"/>
    <w:rsid w:val="00E27E3D"/>
    <w:rsid w:val="00E32093"/>
    <w:rsid w:val="00E3414F"/>
    <w:rsid w:val="00E3535F"/>
    <w:rsid w:val="00E37745"/>
    <w:rsid w:val="00E407FB"/>
    <w:rsid w:val="00E45B74"/>
    <w:rsid w:val="00E472B7"/>
    <w:rsid w:val="00E47409"/>
    <w:rsid w:val="00E504B9"/>
    <w:rsid w:val="00E5345F"/>
    <w:rsid w:val="00E6030C"/>
    <w:rsid w:val="00E6170D"/>
    <w:rsid w:val="00E61C2B"/>
    <w:rsid w:val="00E62CBA"/>
    <w:rsid w:val="00E63C82"/>
    <w:rsid w:val="00E667B4"/>
    <w:rsid w:val="00E719C1"/>
    <w:rsid w:val="00E71E88"/>
    <w:rsid w:val="00E720BD"/>
    <w:rsid w:val="00E72345"/>
    <w:rsid w:val="00E73D1D"/>
    <w:rsid w:val="00E76DD3"/>
    <w:rsid w:val="00E81AEB"/>
    <w:rsid w:val="00E82B1E"/>
    <w:rsid w:val="00E85ED4"/>
    <w:rsid w:val="00E91368"/>
    <w:rsid w:val="00E94346"/>
    <w:rsid w:val="00E94501"/>
    <w:rsid w:val="00E94860"/>
    <w:rsid w:val="00E9697F"/>
    <w:rsid w:val="00E97592"/>
    <w:rsid w:val="00EA1D4F"/>
    <w:rsid w:val="00EA64B1"/>
    <w:rsid w:val="00EA70A1"/>
    <w:rsid w:val="00EA72D5"/>
    <w:rsid w:val="00EB0597"/>
    <w:rsid w:val="00EB27BA"/>
    <w:rsid w:val="00EB396B"/>
    <w:rsid w:val="00EB689B"/>
    <w:rsid w:val="00EB7280"/>
    <w:rsid w:val="00EC0B27"/>
    <w:rsid w:val="00ED0B8E"/>
    <w:rsid w:val="00ED523D"/>
    <w:rsid w:val="00ED7047"/>
    <w:rsid w:val="00EE0E33"/>
    <w:rsid w:val="00EE1720"/>
    <w:rsid w:val="00EE2902"/>
    <w:rsid w:val="00EE3251"/>
    <w:rsid w:val="00EE5B76"/>
    <w:rsid w:val="00EF1F1C"/>
    <w:rsid w:val="00EF38E6"/>
    <w:rsid w:val="00EF4ADD"/>
    <w:rsid w:val="00EF579E"/>
    <w:rsid w:val="00EF6CBE"/>
    <w:rsid w:val="00F03BC1"/>
    <w:rsid w:val="00F04F49"/>
    <w:rsid w:val="00F07A33"/>
    <w:rsid w:val="00F22139"/>
    <w:rsid w:val="00F33288"/>
    <w:rsid w:val="00F4485D"/>
    <w:rsid w:val="00F52BFF"/>
    <w:rsid w:val="00F54118"/>
    <w:rsid w:val="00F60020"/>
    <w:rsid w:val="00F61F6B"/>
    <w:rsid w:val="00F62B18"/>
    <w:rsid w:val="00F62CF3"/>
    <w:rsid w:val="00F66E9B"/>
    <w:rsid w:val="00F7161F"/>
    <w:rsid w:val="00F718DB"/>
    <w:rsid w:val="00F74197"/>
    <w:rsid w:val="00F75D97"/>
    <w:rsid w:val="00F76DF5"/>
    <w:rsid w:val="00F836E5"/>
    <w:rsid w:val="00F840AC"/>
    <w:rsid w:val="00F855AD"/>
    <w:rsid w:val="00F85FFE"/>
    <w:rsid w:val="00F91F98"/>
    <w:rsid w:val="00F96892"/>
    <w:rsid w:val="00F969F5"/>
    <w:rsid w:val="00FA080F"/>
    <w:rsid w:val="00FA0A0A"/>
    <w:rsid w:val="00FA4CA2"/>
    <w:rsid w:val="00FB1528"/>
    <w:rsid w:val="00FB3711"/>
    <w:rsid w:val="00FB47C1"/>
    <w:rsid w:val="00FB5C54"/>
    <w:rsid w:val="00FC5A97"/>
    <w:rsid w:val="00FC75CD"/>
    <w:rsid w:val="00FD08FE"/>
    <w:rsid w:val="00FD0BF9"/>
    <w:rsid w:val="00FD1715"/>
    <w:rsid w:val="00FD2BD3"/>
    <w:rsid w:val="00FD7CBA"/>
    <w:rsid w:val="00FE456E"/>
    <w:rsid w:val="00FE4ADD"/>
    <w:rsid w:val="00FF2505"/>
    <w:rsid w:val="00FF2A50"/>
    <w:rsid w:val="00FF45C8"/>
    <w:rsid w:val="00FF4C8A"/>
    <w:rsid w:val="00FF6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C3CE0A"/>
  <w15:chartTrackingRefBased/>
  <w15:docId w15:val="{55735189-8217-4CCF-9EEA-3EF38BEC1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562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56298"/>
    <w:pPr>
      <w:ind w:left="720"/>
      <w:contextualSpacing/>
    </w:pPr>
  </w:style>
  <w:style w:type="character" w:styleId="CommentReference">
    <w:name w:val="annotation reference"/>
    <w:basedOn w:val="DefaultParagraphFont"/>
    <w:uiPriority w:val="99"/>
    <w:semiHidden/>
    <w:unhideWhenUsed/>
    <w:rsid w:val="00356298"/>
    <w:rPr>
      <w:sz w:val="16"/>
      <w:szCs w:val="16"/>
    </w:rPr>
  </w:style>
  <w:style w:type="paragraph" w:styleId="CommentText">
    <w:name w:val="annotation text"/>
    <w:basedOn w:val="Normal"/>
    <w:link w:val="CommentTextChar"/>
    <w:uiPriority w:val="99"/>
    <w:unhideWhenUsed/>
    <w:rsid w:val="00356298"/>
    <w:pPr>
      <w:spacing w:line="240" w:lineRule="auto"/>
    </w:pPr>
    <w:rPr>
      <w:sz w:val="20"/>
      <w:szCs w:val="20"/>
    </w:rPr>
  </w:style>
  <w:style w:type="character" w:customStyle="1" w:styleId="CommentTextChar">
    <w:name w:val="Comment Text Char"/>
    <w:basedOn w:val="DefaultParagraphFont"/>
    <w:link w:val="CommentText"/>
    <w:uiPriority w:val="99"/>
    <w:rsid w:val="00356298"/>
    <w:rPr>
      <w:sz w:val="20"/>
      <w:szCs w:val="20"/>
    </w:rPr>
  </w:style>
  <w:style w:type="paragraph" w:styleId="CommentSubject">
    <w:name w:val="annotation subject"/>
    <w:basedOn w:val="CommentText"/>
    <w:next w:val="CommentText"/>
    <w:link w:val="CommentSubjectChar"/>
    <w:uiPriority w:val="99"/>
    <w:semiHidden/>
    <w:unhideWhenUsed/>
    <w:rsid w:val="00356298"/>
    <w:rPr>
      <w:b/>
      <w:bCs/>
    </w:rPr>
  </w:style>
  <w:style w:type="character" w:customStyle="1" w:styleId="CommentSubjectChar">
    <w:name w:val="Comment Subject Char"/>
    <w:basedOn w:val="CommentTextChar"/>
    <w:link w:val="CommentSubject"/>
    <w:uiPriority w:val="99"/>
    <w:semiHidden/>
    <w:rsid w:val="00356298"/>
    <w:rPr>
      <w:b/>
      <w:bCs/>
      <w:sz w:val="20"/>
      <w:szCs w:val="20"/>
    </w:rPr>
  </w:style>
  <w:style w:type="paragraph" w:customStyle="1" w:styleId="Paragraph">
    <w:name w:val="Paragraph"/>
    <w:basedOn w:val="Normal"/>
    <w:next w:val="Normal"/>
    <w:qFormat/>
    <w:rsid w:val="00356298"/>
    <w:pPr>
      <w:widowControl w:val="0"/>
      <w:spacing w:before="240" w:after="0" w:line="480" w:lineRule="auto"/>
    </w:pPr>
    <w:rPr>
      <w:rFonts w:ascii="Times New Roman" w:eastAsia="Times New Roman" w:hAnsi="Times New Roman" w:cs="Times New Roman"/>
      <w:sz w:val="24"/>
      <w:szCs w:val="24"/>
      <w:lang w:eastAsia="en-GB"/>
    </w:rPr>
  </w:style>
  <w:style w:type="paragraph" w:customStyle="1" w:styleId="Body">
    <w:name w:val="Body"/>
    <w:rsid w:val="00356298"/>
    <w:pPr>
      <w:pBdr>
        <w:top w:val="nil"/>
        <w:left w:val="nil"/>
        <w:bottom w:val="nil"/>
        <w:right w:val="nil"/>
        <w:between w:val="nil"/>
        <w:bar w:val="nil"/>
      </w:pBdr>
      <w:spacing w:after="0" w:line="240" w:lineRule="auto"/>
    </w:pPr>
    <w:rPr>
      <w:rFonts w:ascii="Helvetica Neue" w:eastAsia="Arial Unicode MS" w:hAnsi="Helvetica Neue" w:cs="Arial Unicode MS"/>
      <w:color w:val="000000"/>
      <w:bdr w:val="nil"/>
      <w:lang w:val="en-US" w:eastAsia="en-GB"/>
    </w:rPr>
  </w:style>
  <w:style w:type="character" w:styleId="Emphasis">
    <w:name w:val="Emphasis"/>
    <w:basedOn w:val="DefaultParagraphFont"/>
    <w:uiPriority w:val="20"/>
    <w:qFormat/>
    <w:rsid w:val="00356298"/>
    <w:rPr>
      <w:i/>
      <w:iCs/>
    </w:rPr>
  </w:style>
  <w:style w:type="character" w:styleId="Hyperlink">
    <w:name w:val="Hyperlink"/>
    <w:basedOn w:val="DefaultParagraphFont"/>
    <w:uiPriority w:val="99"/>
    <w:semiHidden/>
    <w:unhideWhenUsed/>
    <w:rsid w:val="00356298"/>
    <w:rPr>
      <w:color w:val="0000FF"/>
      <w:u w:val="single"/>
    </w:rPr>
  </w:style>
  <w:style w:type="character" w:customStyle="1" w:styleId="cs1-format">
    <w:name w:val="cs1-format"/>
    <w:basedOn w:val="DefaultParagraphFont"/>
    <w:rsid w:val="00356298"/>
  </w:style>
  <w:style w:type="character" w:customStyle="1" w:styleId="reference-accessdate">
    <w:name w:val="reference-accessdate"/>
    <w:basedOn w:val="DefaultParagraphFont"/>
    <w:rsid w:val="00356298"/>
  </w:style>
  <w:style w:type="character" w:customStyle="1" w:styleId="nowrap">
    <w:name w:val="nowrap"/>
    <w:basedOn w:val="DefaultParagraphFont"/>
    <w:rsid w:val="00356298"/>
  </w:style>
  <w:style w:type="paragraph" w:styleId="Header">
    <w:name w:val="header"/>
    <w:basedOn w:val="Normal"/>
    <w:link w:val="HeaderChar"/>
    <w:uiPriority w:val="99"/>
    <w:unhideWhenUsed/>
    <w:rsid w:val="003562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298"/>
  </w:style>
  <w:style w:type="paragraph" w:styleId="Footer">
    <w:name w:val="footer"/>
    <w:basedOn w:val="Normal"/>
    <w:link w:val="FooterChar"/>
    <w:uiPriority w:val="99"/>
    <w:unhideWhenUsed/>
    <w:rsid w:val="003562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298"/>
  </w:style>
  <w:style w:type="table" w:styleId="TableGrid">
    <w:name w:val="Table Grid"/>
    <w:basedOn w:val="TableNormal"/>
    <w:uiPriority w:val="39"/>
    <w:rsid w:val="003562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35629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A1DDAF-9337-40EF-9F47-581A182E0B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693</TotalTime>
  <Pages>47</Pages>
  <Words>172896</Words>
  <Characters>985511</Characters>
  <Application>Microsoft Office Word</Application>
  <DocSecurity>0</DocSecurity>
  <Lines>8212</Lines>
  <Paragraphs>2312</Paragraphs>
  <ScaleCrop>false</ScaleCrop>
  <Company/>
  <LinksUpToDate>false</LinksUpToDate>
  <CharactersWithSpaces>1156095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 Morris</dc:creator>
  <cp:keywords/>
  <dc:description/>
  <cp:lastModifiedBy>Jon Morris</cp:lastModifiedBy>
  <cp:revision>858</cp:revision>
  <dcterms:created xsi:type="dcterms:W3CDTF">2023-01-15T19:03:00Z</dcterms:created>
  <dcterms:modified xsi:type="dcterms:W3CDTF">2023-01-24T16:54:00Z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68dbbc1f-ca0c-31db-8a02-0fbe714ae500</vt:lpwstr>
  </property>
  <property fmtid="{D5CDD505-2E9C-101B-9397-08002B2CF9AE}" pid="4" name="Mendeley Citation Style_1">
    <vt:lpwstr>http://www.zotero.org/styles/harvard1</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