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7E6B0" w14:textId="1490990B" w:rsidR="008B45D2" w:rsidRPr="003F551B" w:rsidRDefault="00352C8F" w:rsidP="003F551B">
      <w:pPr>
        <w:spacing w:line="360" w:lineRule="auto"/>
        <w:jc w:val="center"/>
        <w:rPr>
          <w:rFonts w:ascii="Arial" w:hAnsi="Arial" w:cs="Arial"/>
          <w:b/>
          <w:bCs/>
          <w:sz w:val="40"/>
          <w:szCs w:val="40"/>
        </w:rPr>
      </w:pPr>
      <w:r w:rsidRPr="003F551B">
        <w:rPr>
          <w:rFonts w:ascii="Arial" w:hAnsi="Arial" w:cs="Arial"/>
          <w:b/>
          <w:bCs/>
          <w:sz w:val="40"/>
          <w:szCs w:val="40"/>
        </w:rPr>
        <w:t>Introduction to Health and Social Care</w:t>
      </w:r>
    </w:p>
    <w:p w14:paraId="20D9E92C" w14:textId="76A315AF" w:rsidR="00352C8F" w:rsidRPr="003F551B" w:rsidRDefault="00352C8F" w:rsidP="003F551B">
      <w:pPr>
        <w:spacing w:line="360" w:lineRule="auto"/>
        <w:jc w:val="center"/>
        <w:rPr>
          <w:rFonts w:ascii="Arial" w:hAnsi="Arial" w:cs="Arial"/>
          <w:sz w:val="32"/>
          <w:szCs w:val="32"/>
        </w:rPr>
      </w:pPr>
      <w:r w:rsidRPr="003F551B">
        <w:rPr>
          <w:rFonts w:ascii="Arial" w:hAnsi="Arial" w:cs="Arial"/>
          <w:sz w:val="32"/>
          <w:szCs w:val="32"/>
        </w:rPr>
        <w:t>Module Code: LCHS4003</w:t>
      </w:r>
      <w:r w:rsidR="00963263">
        <w:rPr>
          <w:rFonts w:ascii="Arial" w:hAnsi="Arial" w:cs="Arial"/>
          <w:sz w:val="32"/>
          <w:szCs w:val="32"/>
        </w:rPr>
        <w:t>_BIRM</w:t>
      </w:r>
    </w:p>
    <w:p w14:paraId="2C1E61DD" w14:textId="146F871C" w:rsidR="00352C8F" w:rsidRPr="003F551B" w:rsidRDefault="00352C8F" w:rsidP="003F551B">
      <w:pPr>
        <w:spacing w:line="360" w:lineRule="auto"/>
        <w:jc w:val="center"/>
        <w:rPr>
          <w:rFonts w:ascii="Arial" w:hAnsi="Arial" w:cs="Arial"/>
          <w:sz w:val="32"/>
          <w:szCs w:val="32"/>
        </w:rPr>
      </w:pPr>
      <w:r w:rsidRPr="003F551B">
        <w:rPr>
          <w:rFonts w:ascii="Arial" w:hAnsi="Arial" w:cs="Arial"/>
          <w:sz w:val="32"/>
          <w:szCs w:val="32"/>
        </w:rPr>
        <w:t>Name: Dilnawaz Khan</w:t>
      </w:r>
    </w:p>
    <w:p w14:paraId="26BD627B" w14:textId="43020F5F" w:rsidR="00352C8F" w:rsidRPr="003F551B" w:rsidRDefault="00352C8F" w:rsidP="003F551B">
      <w:pPr>
        <w:spacing w:line="360" w:lineRule="auto"/>
        <w:jc w:val="center"/>
        <w:rPr>
          <w:rFonts w:ascii="Arial" w:hAnsi="Arial" w:cs="Arial"/>
          <w:sz w:val="32"/>
          <w:szCs w:val="32"/>
        </w:rPr>
      </w:pPr>
      <w:r w:rsidRPr="003F551B">
        <w:rPr>
          <w:rFonts w:ascii="Arial" w:hAnsi="Arial" w:cs="Arial"/>
          <w:sz w:val="32"/>
          <w:szCs w:val="32"/>
        </w:rPr>
        <w:t>ID Number: 2435767</w:t>
      </w:r>
    </w:p>
    <w:p w14:paraId="4ADABF65" w14:textId="29C341F3" w:rsidR="00352C8F" w:rsidRPr="003F551B" w:rsidRDefault="00621437" w:rsidP="003F551B">
      <w:pPr>
        <w:spacing w:line="360" w:lineRule="auto"/>
        <w:jc w:val="center"/>
        <w:rPr>
          <w:rFonts w:ascii="Arial" w:hAnsi="Arial" w:cs="Arial"/>
          <w:sz w:val="32"/>
          <w:szCs w:val="32"/>
        </w:rPr>
      </w:pPr>
      <w:r w:rsidRPr="003F551B">
        <w:rPr>
          <w:rFonts w:ascii="Arial" w:hAnsi="Arial" w:cs="Arial"/>
          <w:sz w:val="32"/>
          <w:szCs w:val="32"/>
        </w:rPr>
        <w:t>Lecturer: Azida Zainol</w:t>
      </w:r>
    </w:p>
    <w:p w14:paraId="3B3A9A81" w14:textId="77777777" w:rsidR="00621437" w:rsidRDefault="00621437" w:rsidP="003563AF"/>
    <w:p w14:paraId="62D3B003" w14:textId="6E144CF6" w:rsidR="003563AF" w:rsidRDefault="003563AF">
      <w:r>
        <w:br w:type="page"/>
      </w:r>
    </w:p>
    <w:p w14:paraId="543C76D8" w14:textId="6193EE26" w:rsidR="00352C8F" w:rsidRDefault="00352C8F">
      <w:r>
        <w:rPr>
          <w:noProof/>
        </w:rPr>
        <w:lastRenderedPageBreak/>
        <w:drawing>
          <wp:inline distT="0" distB="0" distL="0" distR="0" wp14:anchorId="593B5ED5" wp14:editId="02B3FA02">
            <wp:extent cx="5895975" cy="8108950"/>
            <wp:effectExtent l="0" t="0" r="9525" b="6350"/>
            <wp:docPr id="20588527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852799" name=""/>
                    <pic:cNvPicPr/>
                  </pic:nvPicPr>
                  <pic:blipFill>
                    <a:blip r:embed="rId7">
                      <a:extLst>
                        <a:ext uri="{96DAC541-7B7A-43D3-8B79-37D633B846F1}">
                          <asvg:svgBlip xmlns:asvg="http://schemas.microsoft.com/office/drawing/2016/SVG/main" r:embed="rId8"/>
                        </a:ext>
                      </a:extLst>
                    </a:blip>
                    <a:stretch>
                      <a:fillRect/>
                    </a:stretch>
                  </pic:blipFill>
                  <pic:spPr>
                    <a:xfrm>
                      <a:off x="0" y="0"/>
                      <a:ext cx="5895975" cy="8108950"/>
                    </a:xfrm>
                    <a:prstGeom prst="rect">
                      <a:avLst/>
                    </a:prstGeom>
                  </pic:spPr>
                </pic:pic>
              </a:graphicData>
            </a:graphic>
          </wp:inline>
        </w:drawing>
      </w:r>
    </w:p>
    <w:p w14:paraId="03240AFA" w14:textId="77777777" w:rsidR="00352C8F" w:rsidRDefault="00352C8F">
      <w:r>
        <w:br w:type="page"/>
      </w:r>
    </w:p>
    <w:p w14:paraId="0EBB5CCA" w14:textId="67FDF472" w:rsidR="00621437" w:rsidRPr="00FC09BA" w:rsidRDefault="00621437" w:rsidP="00FC09BA">
      <w:pPr>
        <w:spacing w:line="360" w:lineRule="auto"/>
        <w:jc w:val="both"/>
        <w:rPr>
          <w:rFonts w:ascii="Arial" w:hAnsi="Arial" w:cs="Arial"/>
          <w:sz w:val="22"/>
          <w:szCs w:val="22"/>
        </w:rPr>
      </w:pPr>
      <w:r w:rsidRPr="00FC09BA">
        <w:rPr>
          <w:rFonts w:ascii="Arial" w:hAnsi="Arial" w:cs="Arial"/>
          <w:sz w:val="22"/>
          <w:szCs w:val="22"/>
        </w:rPr>
        <w:lastRenderedPageBreak/>
        <w:t>Although many people think the ambulance service began with the creation of the National Health Service in 1948, its origins go back much further. In the 11</w:t>
      </w:r>
      <w:r w:rsidR="003F551B" w:rsidRPr="003F551B">
        <w:rPr>
          <w:rFonts w:ascii="Arial" w:hAnsi="Arial" w:cs="Arial"/>
          <w:sz w:val="22"/>
          <w:szCs w:val="22"/>
          <w:vertAlign w:val="superscript"/>
        </w:rPr>
        <w:t>th</w:t>
      </w:r>
      <w:r w:rsidR="003F551B">
        <w:rPr>
          <w:rFonts w:ascii="Arial" w:hAnsi="Arial" w:cs="Arial"/>
          <w:sz w:val="22"/>
          <w:szCs w:val="22"/>
        </w:rPr>
        <w:t xml:space="preserve"> C</w:t>
      </w:r>
      <w:r w:rsidRPr="00FC09BA">
        <w:rPr>
          <w:rFonts w:ascii="Arial" w:hAnsi="Arial" w:cs="Arial"/>
          <w:sz w:val="22"/>
          <w:szCs w:val="22"/>
        </w:rPr>
        <w:t>entury, the Knights of St</w:t>
      </w:r>
      <w:r w:rsidR="003F551B">
        <w:rPr>
          <w:rFonts w:ascii="Arial" w:hAnsi="Arial" w:cs="Arial"/>
          <w:sz w:val="22"/>
          <w:szCs w:val="22"/>
        </w:rPr>
        <w:t>.</w:t>
      </w:r>
      <w:r w:rsidRPr="00FC09BA">
        <w:rPr>
          <w:rFonts w:ascii="Arial" w:hAnsi="Arial" w:cs="Arial"/>
          <w:sz w:val="22"/>
          <w:szCs w:val="22"/>
        </w:rPr>
        <w:t xml:space="preserve"> John were trained by Greek and Arab doctors to care for the poor, the sick and injured pilgrims during the Crusades (Northampton General Hospital NHS Trust, 2016). In the UK, the service developed more clearly in the late 19</w:t>
      </w:r>
      <w:r w:rsidRPr="003F551B">
        <w:rPr>
          <w:rFonts w:ascii="Arial" w:hAnsi="Arial" w:cs="Arial"/>
          <w:sz w:val="22"/>
          <w:szCs w:val="22"/>
          <w:vertAlign w:val="superscript"/>
        </w:rPr>
        <w:t>th</w:t>
      </w:r>
      <w:r w:rsidR="003F551B">
        <w:rPr>
          <w:rFonts w:ascii="Arial" w:hAnsi="Arial" w:cs="Arial"/>
          <w:sz w:val="22"/>
          <w:szCs w:val="22"/>
        </w:rPr>
        <w:t xml:space="preserve"> C</w:t>
      </w:r>
      <w:r w:rsidRPr="00FC09BA">
        <w:rPr>
          <w:rFonts w:ascii="Arial" w:hAnsi="Arial" w:cs="Arial"/>
          <w:sz w:val="22"/>
          <w:szCs w:val="22"/>
        </w:rPr>
        <w:t>entury through volunteers from the St</w:t>
      </w:r>
      <w:r w:rsidR="003F551B">
        <w:rPr>
          <w:rFonts w:ascii="Arial" w:hAnsi="Arial" w:cs="Arial"/>
          <w:sz w:val="22"/>
          <w:szCs w:val="22"/>
        </w:rPr>
        <w:t xml:space="preserve">. </w:t>
      </w:r>
      <w:r w:rsidRPr="00FC09BA">
        <w:rPr>
          <w:rFonts w:ascii="Arial" w:hAnsi="Arial" w:cs="Arial"/>
          <w:sz w:val="22"/>
          <w:szCs w:val="22"/>
        </w:rPr>
        <w:t>John Ambulance Association Brigade in 1887. By the early 20</w:t>
      </w:r>
      <w:r w:rsidRPr="003F551B">
        <w:rPr>
          <w:rFonts w:ascii="Arial" w:hAnsi="Arial" w:cs="Arial"/>
          <w:sz w:val="22"/>
          <w:szCs w:val="22"/>
          <w:vertAlign w:val="superscript"/>
        </w:rPr>
        <w:t>th</w:t>
      </w:r>
      <w:r w:rsidRPr="00FC09BA">
        <w:rPr>
          <w:rFonts w:ascii="Arial" w:hAnsi="Arial" w:cs="Arial"/>
          <w:sz w:val="22"/>
          <w:szCs w:val="22"/>
        </w:rPr>
        <w:t xml:space="preserve"> </w:t>
      </w:r>
      <w:r w:rsidR="003F551B">
        <w:rPr>
          <w:rFonts w:ascii="Arial" w:hAnsi="Arial" w:cs="Arial"/>
          <w:sz w:val="22"/>
          <w:szCs w:val="22"/>
        </w:rPr>
        <w:t>C</w:t>
      </w:r>
      <w:r w:rsidRPr="00FC09BA">
        <w:rPr>
          <w:rFonts w:ascii="Arial" w:hAnsi="Arial" w:cs="Arial"/>
          <w:sz w:val="22"/>
          <w:szCs w:val="22"/>
        </w:rPr>
        <w:t xml:space="preserve">entury, ambulance services were mostly managed by local authorities. However, when the NHS was established under the National Health Service Act 1948, responsibility for healthcare services, including ambulance provision, shifted away from local authorities and came under central government control, marking a clear move towards a more centralised system. The Millar Report later supported this development by recommending that ambulance services should provide both treatment and transport for the sick and injured (Great Britain, Ministry of Health and Millar, 1966). </w:t>
      </w:r>
    </w:p>
    <w:p w14:paraId="6597FB73" w14:textId="77777777" w:rsidR="00621437" w:rsidRPr="00FC09BA" w:rsidRDefault="00621437" w:rsidP="00FC09BA">
      <w:pPr>
        <w:spacing w:line="360" w:lineRule="auto"/>
        <w:jc w:val="both"/>
        <w:rPr>
          <w:rFonts w:ascii="Arial" w:hAnsi="Arial" w:cs="Arial"/>
          <w:sz w:val="22"/>
          <w:szCs w:val="22"/>
        </w:rPr>
      </w:pPr>
      <w:r w:rsidRPr="00FC09BA">
        <w:rPr>
          <w:rFonts w:ascii="Arial" w:hAnsi="Arial" w:cs="Arial"/>
          <w:sz w:val="22"/>
          <w:szCs w:val="22"/>
        </w:rPr>
        <w:t xml:space="preserve">Today, ambulance services are no longer just transport providers; they deliver treatment and assessment at the scene. Paramedics and emergency medical technicians carry out advanced clinical care, including resuscitation, giving medication, and making decisions about the most appropriate next steps for the patient. A major development in recent years has been the Ambulance Response Program which is used to triage emergency calls according to the clinical urgency of the incident into Categories 1 to 4 (NHS England, 2025). Life-threatening incidents, such as cardiac arrests, are placed in the highest category and require the quickest response, while less urgent cases may be directed towards alternative care options. The average response time of a category 1 incident is seven minutes with 90 percent being reached within fifteen minutes. The average target of category 2 emergencies is eighteen minutes and ninety percent target of forty minutes (House of Commons Library, 2025). </w:t>
      </w:r>
    </w:p>
    <w:p w14:paraId="2D70C96E" w14:textId="77777777" w:rsidR="00621437" w:rsidRPr="00FC09BA" w:rsidRDefault="00621437" w:rsidP="00FC09BA">
      <w:pPr>
        <w:spacing w:line="360" w:lineRule="auto"/>
        <w:jc w:val="both"/>
        <w:rPr>
          <w:rFonts w:ascii="Arial" w:hAnsi="Arial" w:cs="Arial"/>
          <w:sz w:val="22"/>
          <w:szCs w:val="22"/>
        </w:rPr>
      </w:pPr>
      <w:r w:rsidRPr="00FC09BA">
        <w:rPr>
          <w:rFonts w:ascii="Arial" w:hAnsi="Arial" w:cs="Arial"/>
          <w:sz w:val="22"/>
          <w:szCs w:val="22"/>
        </w:rPr>
        <w:t xml:space="preserve">There is also a stronger focus on treating patients without automatically taking them to hospital. The pathways have the potential to enhance the patient’s experience and aid in the reduction of emergency department pressure (Association of Ambulance Chief Executives, 2024). Through “hear and treat” and “see and treat” approaches, some people receive clinical advice over the phone or are assessed and treated at home when it is safe to do so. This helps reduce avoidable hospital admissions and aims to ease pressure on busy emergency departments. </w:t>
      </w:r>
    </w:p>
    <w:p w14:paraId="726FCD68" w14:textId="77777777" w:rsidR="00621437" w:rsidRPr="00FC09BA" w:rsidRDefault="00621437" w:rsidP="00FC09BA">
      <w:pPr>
        <w:spacing w:line="360" w:lineRule="auto"/>
        <w:jc w:val="both"/>
        <w:rPr>
          <w:rFonts w:ascii="Arial" w:hAnsi="Arial" w:cs="Arial"/>
          <w:sz w:val="22"/>
          <w:szCs w:val="22"/>
        </w:rPr>
      </w:pPr>
      <w:r w:rsidRPr="00FC09BA">
        <w:rPr>
          <w:rFonts w:ascii="Arial" w:hAnsi="Arial" w:cs="Arial"/>
          <w:sz w:val="22"/>
          <w:szCs w:val="22"/>
        </w:rPr>
        <w:t xml:space="preserve">However, how well ambulance services perform today is closely linked to wider pressures in the health and social care system. Delays in handing patients over at hospital, staff shortages, and increasing demand have all contributed to longer waiting times in recent years. The ambulance handovers for 2024-2025 winter are more than thirty minutes in almost three out of ten instances which is way higher than the operational target of up to five percent (Nuffield </w:t>
      </w:r>
      <w:r w:rsidRPr="00FC09BA">
        <w:rPr>
          <w:rFonts w:ascii="Arial" w:hAnsi="Arial" w:cs="Arial"/>
          <w:sz w:val="22"/>
          <w:szCs w:val="22"/>
        </w:rPr>
        <w:lastRenderedPageBreak/>
        <w:t xml:space="preserve">Trust, 2025a). these challenges show that ambulance services do not operate in isolation; their effectiveness depends heavily on hospital capacity, community services, and overall public health demands. Although funding increases and policy changes aim to improve response times and patient flow, ongoing system-wide pressures continue to affect how the service functions. </w:t>
      </w:r>
    </w:p>
    <w:p w14:paraId="2C0296A6" w14:textId="77777777" w:rsidR="00621437" w:rsidRPr="00FC09BA" w:rsidRDefault="00621437" w:rsidP="00FC09BA">
      <w:pPr>
        <w:spacing w:line="360" w:lineRule="auto"/>
        <w:jc w:val="both"/>
        <w:rPr>
          <w:rFonts w:ascii="Arial" w:hAnsi="Arial" w:cs="Arial"/>
          <w:sz w:val="22"/>
          <w:szCs w:val="22"/>
        </w:rPr>
      </w:pPr>
      <w:r w:rsidRPr="00FC09BA">
        <w:rPr>
          <w:rFonts w:ascii="Arial" w:hAnsi="Arial" w:cs="Arial"/>
          <w:sz w:val="22"/>
          <w:szCs w:val="22"/>
        </w:rPr>
        <w:t>The Urgent and Emergency Care Recovery Plan by NHS England established an ambition of fifty percent of Category 2 response time to thirty minutes in 2023 to 2024, backed by the investments in ambulance fleets and closer facilitation with community and mental health crisis services (NHS England, 2023)</w:t>
      </w:r>
      <w:r w:rsidRPr="00FC09BA">
        <w:rPr>
          <w:rFonts w:ascii="Arial" w:hAnsi="Arial" w:cs="Arial"/>
          <w:sz w:val="22"/>
          <w:szCs w:val="22"/>
        </w:rPr>
        <w:t>.</w:t>
      </w:r>
      <w:r w:rsidRPr="00FC09BA">
        <w:rPr>
          <w:rFonts w:ascii="Arial" w:hAnsi="Arial" w:cs="Arial"/>
          <w:sz w:val="22"/>
          <w:szCs w:val="22"/>
        </w:rPr>
        <w:t xml:space="preserve"> </w:t>
      </w:r>
    </w:p>
    <w:p w14:paraId="34EEE3FA" w14:textId="0A3846D9" w:rsidR="00621437" w:rsidRPr="00FC09BA" w:rsidRDefault="00621437" w:rsidP="00FC09BA">
      <w:pPr>
        <w:spacing w:line="360" w:lineRule="auto"/>
        <w:jc w:val="both"/>
        <w:rPr>
          <w:rFonts w:ascii="Arial" w:hAnsi="Arial" w:cs="Arial"/>
          <w:sz w:val="22"/>
          <w:szCs w:val="22"/>
        </w:rPr>
      </w:pPr>
      <w:r w:rsidRPr="00FC09BA">
        <w:rPr>
          <w:rFonts w:ascii="Arial" w:hAnsi="Arial" w:cs="Arial"/>
          <w:sz w:val="22"/>
          <w:szCs w:val="22"/>
        </w:rPr>
        <w:t>Conditions as cardiac arrest, stroke, and sepsis are extremely time-sensitive and require immediate reaction and immediate treatment. Simultaneously, efficient triage may help avoid unnecessary hospitalization, especially among weaker and older patients, introducing them to community-based care. Providing treatment safely at home or sending patients to community based services will result in a faster symptom resolution process, less disturbance in everyday life, and reduced exposure to hospital-acquired risks (Association of Ambulance Chief Executives, 2024; NHS England, 2023).</w:t>
      </w:r>
    </w:p>
    <w:p w14:paraId="712600C0" w14:textId="59F7B8C4" w:rsidR="00621437" w:rsidRPr="00FC09BA" w:rsidRDefault="00621437" w:rsidP="00FC09BA">
      <w:pPr>
        <w:spacing w:line="360" w:lineRule="auto"/>
        <w:jc w:val="both"/>
        <w:rPr>
          <w:rFonts w:ascii="Arial" w:hAnsi="Arial" w:cs="Arial"/>
          <w:sz w:val="22"/>
          <w:szCs w:val="22"/>
        </w:rPr>
      </w:pPr>
      <w:r w:rsidRPr="00FC09BA">
        <w:rPr>
          <w:rFonts w:ascii="Arial" w:hAnsi="Arial" w:cs="Arial"/>
          <w:sz w:val="22"/>
          <w:szCs w:val="22"/>
        </w:rPr>
        <w:br w:type="page"/>
      </w:r>
    </w:p>
    <w:p w14:paraId="6C95FF91" w14:textId="77777777" w:rsidR="00621437" w:rsidRPr="003F551B" w:rsidRDefault="00621437" w:rsidP="00FC09BA">
      <w:pPr>
        <w:spacing w:line="360" w:lineRule="auto"/>
        <w:jc w:val="both"/>
        <w:rPr>
          <w:rFonts w:ascii="Arial" w:hAnsi="Arial" w:cs="Arial"/>
          <w:b/>
          <w:bCs/>
          <w:sz w:val="28"/>
          <w:szCs w:val="28"/>
        </w:rPr>
      </w:pPr>
      <w:r w:rsidRPr="003F551B">
        <w:rPr>
          <w:rFonts w:ascii="Arial" w:hAnsi="Arial" w:cs="Arial"/>
          <w:b/>
          <w:bCs/>
          <w:sz w:val="28"/>
          <w:szCs w:val="28"/>
        </w:rPr>
        <w:lastRenderedPageBreak/>
        <w:t xml:space="preserve">References: </w:t>
      </w:r>
    </w:p>
    <w:p w14:paraId="5D483FBB" w14:textId="1CA57EB8" w:rsidR="00621437" w:rsidRPr="00FC09BA" w:rsidRDefault="00621437" w:rsidP="003F551B">
      <w:pPr>
        <w:spacing w:line="360" w:lineRule="auto"/>
        <w:rPr>
          <w:rFonts w:ascii="Arial" w:hAnsi="Arial" w:cs="Arial"/>
          <w:sz w:val="22"/>
          <w:szCs w:val="22"/>
        </w:rPr>
      </w:pPr>
      <w:r w:rsidRPr="00FC09BA">
        <w:rPr>
          <w:rFonts w:ascii="Arial" w:hAnsi="Arial" w:cs="Arial"/>
          <w:sz w:val="22"/>
          <w:szCs w:val="22"/>
        </w:rPr>
        <w:t xml:space="preserve">Association of Ambulance Chief Executives (2024) National Ambulance Data to May 2024. Available at: </w:t>
      </w:r>
      <w:hyperlink r:id="rId9" w:history="1">
        <w:r w:rsidRPr="00FC09BA">
          <w:rPr>
            <w:rStyle w:val="Hyperlink"/>
            <w:rFonts w:ascii="Arial" w:hAnsi="Arial" w:cs="Arial"/>
            <w:sz w:val="22"/>
            <w:szCs w:val="22"/>
          </w:rPr>
          <w:t>https://aace.org.uk/wp-content/uploads/2024/07/National-Ambulance-Data-toMay-2024-Final-Version-iii.pdf</w:t>
        </w:r>
      </w:hyperlink>
      <w:r w:rsidRPr="00FC09BA">
        <w:rPr>
          <w:rFonts w:ascii="Arial" w:hAnsi="Arial" w:cs="Arial"/>
          <w:sz w:val="22"/>
          <w:szCs w:val="22"/>
        </w:rPr>
        <w:t xml:space="preserve">  </w:t>
      </w:r>
      <w:r w:rsidRPr="00FC09BA">
        <w:rPr>
          <w:rFonts w:ascii="Arial" w:hAnsi="Arial" w:cs="Arial"/>
          <w:sz w:val="22"/>
          <w:szCs w:val="22"/>
        </w:rPr>
        <w:t xml:space="preserve">(Accessed: 6 February 2026). </w:t>
      </w:r>
    </w:p>
    <w:p w14:paraId="1FA7941D" w14:textId="2F7FA837" w:rsidR="00621437" w:rsidRPr="00FC09BA" w:rsidRDefault="00621437" w:rsidP="003F551B">
      <w:pPr>
        <w:spacing w:line="360" w:lineRule="auto"/>
        <w:rPr>
          <w:rFonts w:ascii="Arial" w:hAnsi="Arial" w:cs="Arial"/>
          <w:sz w:val="22"/>
          <w:szCs w:val="22"/>
        </w:rPr>
      </w:pPr>
      <w:r w:rsidRPr="00FC09BA">
        <w:rPr>
          <w:rFonts w:ascii="Arial" w:hAnsi="Arial" w:cs="Arial"/>
          <w:sz w:val="22"/>
          <w:szCs w:val="22"/>
        </w:rPr>
        <w:t>Care Quality Commission (CQC) (2025) Personal care – regulated activity (guidance). Available</w:t>
      </w:r>
      <w:r w:rsidR="00FC09BA">
        <w:rPr>
          <w:rFonts w:ascii="Arial" w:hAnsi="Arial" w:cs="Arial"/>
          <w:sz w:val="22"/>
          <w:szCs w:val="22"/>
        </w:rPr>
        <w:t xml:space="preserve"> </w:t>
      </w:r>
      <w:r w:rsidRPr="00FC09BA">
        <w:rPr>
          <w:rFonts w:ascii="Arial" w:hAnsi="Arial" w:cs="Arial"/>
          <w:sz w:val="22"/>
          <w:szCs w:val="22"/>
        </w:rPr>
        <w:t xml:space="preserve">at: </w:t>
      </w:r>
      <w:hyperlink r:id="rId10" w:history="1">
        <w:r w:rsidRPr="00FC09BA">
          <w:rPr>
            <w:rStyle w:val="Hyperlink"/>
            <w:rFonts w:ascii="Arial" w:hAnsi="Arial" w:cs="Arial"/>
            <w:sz w:val="22"/>
            <w:szCs w:val="22"/>
          </w:rPr>
          <w:t>https://www.cqc.org.uk/guidance-regulation/providers/registration/scoperegistration/regulated-activities/personal-care</w:t>
        </w:r>
      </w:hyperlink>
      <w:r w:rsidRPr="00FC09BA">
        <w:rPr>
          <w:rFonts w:ascii="Arial" w:hAnsi="Arial" w:cs="Arial"/>
          <w:sz w:val="22"/>
          <w:szCs w:val="22"/>
        </w:rPr>
        <w:t xml:space="preserve"> </w:t>
      </w:r>
      <w:r w:rsidR="003F551B">
        <w:rPr>
          <w:rFonts w:ascii="Arial" w:hAnsi="Arial" w:cs="Arial"/>
          <w:sz w:val="22"/>
          <w:szCs w:val="22"/>
        </w:rPr>
        <w:br/>
      </w:r>
      <w:r w:rsidRPr="00FC09BA">
        <w:rPr>
          <w:rFonts w:ascii="Arial" w:hAnsi="Arial" w:cs="Arial"/>
          <w:sz w:val="22"/>
          <w:szCs w:val="22"/>
        </w:rPr>
        <w:t xml:space="preserve">(Accessed: 6 February 2026). </w:t>
      </w:r>
    </w:p>
    <w:p w14:paraId="699E90C7" w14:textId="77777777" w:rsidR="00FC09BA" w:rsidRPr="00FC09BA" w:rsidRDefault="00FC09BA" w:rsidP="003F551B">
      <w:pPr>
        <w:spacing w:line="360" w:lineRule="auto"/>
        <w:rPr>
          <w:rFonts w:ascii="Arial" w:hAnsi="Arial" w:cs="Arial"/>
          <w:sz w:val="22"/>
          <w:szCs w:val="22"/>
        </w:rPr>
      </w:pPr>
      <w:r w:rsidRPr="00FC09BA">
        <w:rPr>
          <w:rFonts w:ascii="Arial" w:hAnsi="Arial" w:cs="Arial"/>
          <w:sz w:val="22"/>
          <w:szCs w:val="22"/>
          <w:lang w:val="en-US"/>
        </w:rPr>
        <w:t xml:space="preserve">Care Quality Commission (CQC) (2025) Adult social care (State of Care 2024/25 – access). Available at: </w:t>
      </w:r>
      <w:hyperlink r:id="rId11" w:history="1">
        <w:r w:rsidRPr="00FC09BA">
          <w:rPr>
            <w:rStyle w:val="Hyperlink"/>
            <w:rFonts w:ascii="Arial" w:hAnsi="Arial" w:cs="Arial"/>
            <w:sz w:val="22"/>
            <w:szCs w:val="22"/>
            <w:lang w:val="en-US"/>
          </w:rPr>
          <w:t>https://www.cqc.org.uk/publications/major-report/state-care/2024-2025/access/asc</w:t>
        </w:r>
      </w:hyperlink>
      <w:r w:rsidRPr="00FC09BA">
        <w:rPr>
          <w:rFonts w:ascii="Arial" w:hAnsi="Arial" w:cs="Arial"/>
          <w:sz w:val="22"/>
          <w:szCs w:val="22"/>
          <w:lang w:val="en-US"/>
        </w:rPr>
        <w:t xml:space="preserve"> (Accessed: 6 February 2026).</w:t>
      </w:r>
    </w:p>
    <w:p w14:paraId="12269CBB" w14:textId="27E12BF7" w:rsidR="00621437" w:rsidRPr="00FC09BA" w:rsidRDefault="00621437" w:rsidP="003F551B">
      <w:pPr>
        <w:spacing w:line="360" w:lineRule="auto"/>
        <w:rPr>
          <w:rFonts w:ascii="Arial" w:hAnsi="Arial" w:cs="Arial"/>
          <w:sz w:val="22"/>
          <w:szCs w:val="22"/>
        </w:rPr>
      </w:pPr>
      <w:r w:rsidRPr="00FC09BA">
        <w:rPr>
          <w:rFonts w:ascii="Arial" w:hAnsi="Arial" w:cs="Arial"/>
          <w:sz w:val="22"/>
          <w:szCs w:val="22"/>
        </w:rPr>
        <w:t>Department of Health and Social Care (DHSC) (2025) Care and support statutory guidance (Care Act 2014). Available at:</w:t>
      </w:r>
      <w:r w:rsidR="00FC09BA" w:rsidRPr="00FC09BA">
        <w:rPr>
          <w:rFonts w:ascii="Arial" w:hAnsi="Arial" w:cs="Arial"/>
          <w:sz w:val="22"/>
          <w:szCs w:val="22"/>
        </w:rPr>
        <w:t xml:space="preserve"> </w:t>
      </w:r>
      <w:hyperlink r:id="rId12" w:history="1">
        <w:r w:rsidR="00FC09BA" w:rsidRPr="00FC09BA">
          <w:rPr>
            <w:rStyle w:val="Hyperlink"/>
            <w:rFonts w:ascii="Arial" w:hAnsi="Arial" w:cs="Arial"/>
            <w:sz w:val="22"/>
            <w:szCs w:val="22"/>
          </w:rPr>
          <w:t>h</w:t>
        </w:r>
        <w:r w:rsidR="00FC09BA" w:rsidRPr="00FC09BA">
          <w:rPr>
            <w:rStyle w:val="Hyperlink"/>
            <w:rFonts w:ascii="Arial" w:hAnsi="Arial" w:cs="Arial"/>
            <w:sz w:val="22"/>
            <w:szCs w:val="22"/>
          </w:rPr>
          <w:t>ttps://www.gov.uk/government/publications/care-act-statutoryguidance/care-and-support-statutory-guidance</w:t>
        </w:r>
      </w:hyperlink>
      <w:r w:rsidR="00FC09BA" w:rsidRPr="00FC09BA">
        <w:rPr>
          <w:rFonts w:ascii="Arial" w:hAnsi="Arial" w:cs="Arial"/>
          <w:sz w:val="22"/>
          <w:szCs w:val="22"/>
        </w:rPr>
        <w:t xml:space="preserve"> </w:t>
      </w:r>
      <w:r w:rsidRPr="00FC09BA">
        <w:rPr>
          <w:rFonts w:ascii="Arial" w:hAnsi="Arial" w:cs="Arial"/>
          <w:sz w:val="22"/>
          <w:szCs w:val="22"/>
        </w:rPr>
        <w:t xml:space="preserve">(Accessed: 6 February 2026). </w:t>
      </w:r>
    </w:p>
    <w:p w14:paraId="24AF0275" w14:textId="77777777" w:rsidR="00FC09BA" w:rsidRPr="00FC09BA" w:rsidRDefault="00621437" w:rsidP="003F551B">
      <w:pPr>
        <w:spacing w:line="360" w:lineRule="auto"/>
        <w:rPr>
          <w:rFonts w:ascii="Arial" w:hAnsi="Arial" w:cs="Arial"/>
          <w:sz w:val="22"/>
          <w:szCs w:val="22"/>
        </w:rPr>
      </w:pPr>
      <w:r w:rsidRPr="00FC09BA">
        <w:rPr>
          <w:rFonts w:ascii="Arial" w:hAnsi="Arial" w:cs="Arial"/>
          <w:sz w:val="22"/>
          <w:szCs w:val="22"/>
        </w:rPr>
        <w:t xml:space="preserve">Great Britain. Ministry of Health (1966) Ambulance training and equipment. Part 1 training. Available at </w:t>
      </w:r>
      <w:hyperlink r:id="rId13" w:history="1">
        <w:r w:rsidR="00FC09BA" w:rsidRPr="00FC09BA">
          <w:rPr>
            <w:rStyle w:val="Hyperlink"/>
            <w:rFonts w:ascii="Arial" w:hAnsi="Arial" w:cs="Arial"/>
            <w:sz w:val="22"/>
            <w:szCs w:val="22"/>
          </w:rPr>
          <w:t>https://archive.org/details/op1269011-1001/mode/1up</w:t>
        </w:r>
      </w:hyperlink>
      <w:r w:rsidR="00FC09BA" w:rsidRPr="00FC09BA">
        <w:rPr>
          <w:rFonts w:ascii="Arial" w:hAnsi="Arial" w:cs="Arial"/>
          <w:sz w:val="22"/>
          <w:szCs w:val="22"/>
        </w:rPr>
        <w:t xml:space="preserve"> </w:t>
      </w:r>
      <w:r w:rsidR="00FC09BA" w:rsidRPr="00FC09BA">
        <w:rPr>
          <w:rFonts w:ascii="Arial" w:hAnsi="Arial" w:cs="Arial"/>
          <w:sz w:val="22"/>
          <w:szCs w:val="22"/>
        </w:rPr>
        <w:t xml:space="preserve">(Accessed: 6 February 2026). </w:t>
      </w:r>
    </w:p>
    <w:p w14:paraId="508127D3" w14:textId="77777777" w:rsidR="00FC09BA" w:rsidRPr="00FC09BA" w:rsidRDefault="00621437" w:rsidP="003F551B">
      <w:pPr>
        <w:spacing w:line="360" w:lineRule="auto"/>
        <w:rPr>
          <w:rFonts w:ascii="Arial" w:hAnsi="Arial" w:cs="Arial"/>
          <w:sz w:val="22"/>
          <w:szCs w:val="22"/>
        </w:rPr>
      </w:pPr>
      <w:r w:rsidRPr="00FC09BA">
        <w:rPr>
          <w:rFonts w:ascii="Arial" w:hAnsi="Arial" w:cs="Arial"/>
          <w:sz w:val="22"/>
          <w:szCs w:val="22"/>
        </w:rPr>
        <w:t xml:space="preserve">House of Commons Library (2025) Ambulance service response times (CDP-2025-0042). Available at: </w:t>
      </w:r>
      <w:hyperlink r:id="rId14" w:history="1">
        <w:r w:rsidR="00FC09BA" w:rsidRPr="00FC09BA">
          <w:rPr>
            <w:rStyle w:val="Hyperlink"/>
            <w:rFonts w:ascii="Arial" w:hAnsi="Arial" w:cs="Arial"/>
            <w:sz w:val="22"/>
            <w:szCs w:val="22"/>
          </w:rPr>
          <w:t>https://commonslibrary.parliament.uk/research-briefings/cdp-2025- 0042/</w:t>
        </w:r>
      </w:hyperlink>
      <w:r w:rsidR="00FC09BA" w:rsidRPr="00FC09BA">
        <w:rPr>
          <w:rFonts w:ascii="Arial" w:hAnsi="Arial" w:cs="Arial"/>
          <w:sz w:val="22"/>
          <w:szCs w:val="22"/>
        </w:rPr>
        <w:t xml:space="preserve"> </w:t>
      </w:r>
      <w:r w:rsidR="00FC09BA" w:rsidRPr="00FC09BA">
        <w:rPr>
          <w:rFonts w:ascii="Arial" w:hAnsi="Arial" w:cs="Arial"/>
          <w:sz w:val="22"/>
          <w:szCs w:val="22"/>
        </w:rPr>
        <w:t xml:space="preserve">(Accessed: 6 February 2026). </w:t>
      </w:r>
    </w:p>
    <w:p w14:paraId="0EF22D34" w14:textId="2079807C" w:rsidR="00621437" w:rsidRPr="00FC09BA" w:rsidRDefault="00621437" w:rsidP="003F551B">
      <w:pPr>
        <w:spacing w:line="360" w:lineRule="auto"/>
        <w:rPr>
          <w:rFonts w:ascii="Arial" w:hAnsi="Arial" w:cs="Arial"/>
          <w:sz w:val="22"/>
          <w:szCs w:val="22"/>
        </w:rPr>
      </w:pPr>
      <w:r w:rsidRPr="00FC09BA">
        <w:rPr>
          <w:rFonts w:ascii="Arial" w:hAnsi="Arial" w:cs="Arial"/>
          <w:sz w:val="22"/>
          <w:szCs w:val="22"/>
        </w:rPr>
        <w:t xml:space="preserve">King's Fund (2023) A history of social care funding reform in England: 1948 to 2023. Available at: </w:t>
      </w:r>
      <w:hyperlink r:id="rId15" w:history="1">
        <w:r w:rsidR="00FC09BA" w:rsidRPr="00FC09BA">
          <w:rPr>
            <w:rStyle w:val="Hyperlink"/>
            <w:rFonts w:ascii="Arial" w:hAnsi="Arial" w:cs="Arial"/>
            <w:sz w:val="22"/>
            <w:szCs w:val="22"/>
          </w:rPr>
          <w:t>https://www.kingsfund.org.uk/insight-and-analysis/data-and-charts/short-history-socialcare-funding</w:t>
        </w:r>
      </w:hyperlink>
      <w:r w:rsidRPr="00FC09BA">
        <w:rPr>
          <w:rFonts w:ascii="Arial" w:hAnsi="Arial" w:cs="Arial"/>
          <w:sz w:val="22"/>
          <w:szCs w:val="22"/>
        </w:rPr>
        <w:t xml:space="preserve"> </w:t>
      </w:r>
      <w:r w:rsidR="00FC09BA" w:rsidRPr="00FC09BA">
        <w:rPr>
          <w:rFonts w:ascii="Arial" w:hAnsi="Arial" w:cs="Arial"/>
          <w:sz w:val="22"/>
          <w:szCs w:val="22"/>
        </w:rPr>
        <w:t xml:space="preserve">(Accessed: 6 February 2026). </w:t>
      </w:r>
    </w:p>
    <w:p w14:paraId="16236862" w14:textId="1435F169" w:rsidR="00621437" w:rsidRPr="00FC09BA" w:rsidRDefault="00621437" w:rsidP="003F551B">
      <w:pPr>
        <w:spacing w:line="360" w:lineRule="auto"/>
        <w:rPr>
          <w:rFonts w:ascii="Arial" w:hAnsi="Arial" w:cs="Arial"/>
          <w:sz w:val="22"/>
          <w:szCs w:val="22"/>
        </w:rPr>
      </w:pPr>
      <w:r w:rsidRPr="00FC09BA">
        <w:rPr>
          <w:rFonts w:ascii="Arial" w:hAnsi="Arial" w:cs="Arial"/>
          <w:sz w:val="22"/>
          <w:szCs w:val="22"/>
        </w:rPr>
        <w:t xml:space="preserve">National Audit Office (NAO) (2021) The adult social care market in England. London: NAO. Available at: </w:t>
      </w:r>
      <w:hyperlink r:id="rId16" w:history="1">
        <w:r w:rsidR="00FC09BA" w:rsidRPr="00FC09BA">
          <w:rPr>
            <w:rStyle w:val="Hyperlink"/>
            <w:rFonts w:ascii="Arial" w:hAnsi="Arial" w:cs="Arial"/>
            <w:sz w:val="22"/>
            <w:szCs w:val="22"/>
          </w:rPr>
          <w:t>https://www.nao.org.uk/wp-content/uploads/2021/03/The-adult-social-caremarket-in-England.pdf</w:t>
        </w:r>
      </w:hyperlink>
      <w:r w:rsidRPr="00FC09BA">
        <w:rPr>
          <w:rFonts w:ascii="Arial" w:hAnsi="Arial" w:cs="Arial"/>
          <w:sz w:val="22"/>
          <w:szCs w:val="22"/>
        </w:rPr>
        <w:t xml:space="preserve"> </w:t>
      </w:r>
      <w:r w:rsidR="00FC09BA" w:rsidRPr="00FC09BA">
        <w:rPr>
          <w:rFonts w:ascii="Arial" w:hAnsi="Arial" w:cs="Arial"/>
          <w:sz w:val="22"/>
          <w:szCs w:val="22"/>
        </w:rPr>
        <w:t xml:space="preserve">(Accessed: 6 February 2026). </w:t>
      </w:r>
    </w:p>
    <w:p w14:paraId="36D0C4D2" w14:textId="0499DDC8" w:rsidR="00FC09BA" w:rsidRPr="00FC09BA" w:rsidRDefault="00621437" w:rsidP="003F551B">
      <w:pPr>
        <w:spacing w:line="360" w:lineRule="auto"/>
        <w:rPr>
          <w:rFonts w:ascii="Arial" w:hAnsi="Arial" w:cs="Arial"/>
          <w:sz w:val="22"/>
          <w:szCs w:val="22"/>
        </w:rPr>
      </w:pPr>
      <w:r w:rsidRPr="00FC09BA">
        <w:rPr>
          <w:rFonts w:ascii="Arial" w:hAnsi="Arial" w:cs="Arial"/>
          <w:sz w:val="22"/>
          <w:szCs w:val="22"/>
        </w:rPr>
        <w:t xml:space="preserve">NHS England (2023) Delivery plan for recovering urgent and emergency care services (January 2023). Available at: </w:t>
      </w:r>
      <w:hyperlink r:id="rId17" w:history="1">
        <w:r w:rsidR="00FC09BA" w:rsidRPr="00FC09BA">
          <w:rPr>
            <w:rStyle w:val="Hyperlink"/>
            <w:rFonts w:ascii="Arial" w:hAnsi="Arial" w:cs="Arial"/>
            <w:sz w:val="22"/>
            <w:szCs w:val="22"/>
          </w:rPr>
          <w:t>https://www.england.nhs.uk/wpcontent/uploads/2023/01/B2034-delivery-plan-for-recovering-urgent-and-emergency-careservices.pdf</w:t>
        </w:r>
      </w:hyperlink>
      <w:r w:rsidRPr="00FC09BA">
        <w:rPr>
          <w:rFonts w:ascii="Arial" w:hAnsi="Arial" w:cs="Arial"/>
          <w:sz w:val="22"/>
          <w:szCs w:val="22"/>
        </w:rPr>
        <w:t xml:space="preserve"> </w:t>
      </w:r>
    </w:p>
    <w:p w14:paraId="25CA4797" w14:textId="4758DADA" w:rsidR="00621437" w:rsidRPr="00FC09BA" w:rsidRDefault="00621437" w:rsidP="003F551B">
      <w:pPr>
        <w:spacing w:line="360" w:lineRule="auto"/>
        <w:rPr>
          <w:rFonts w:ascii="Arial" w:hAnsi="Arial" w:cs="Arial"/>
          <w:sz w:val="22"/>
          <w:szCs w:val="22"/>
        </w:rPr>
      </w:pPr>
      <w:r w:rsidRPr="00FC09BA">
        <w:rPr>
          <w:rFonts w:ascii="Arial" w:hAnsi="Arial" w:cs="Arial"/>
          <w:sz w:val="22"/>
          <w:szCs w:val="22"/>
        </w:rPr>
        <w:t xml:space="preserve">(Accessed: 6 February 2026). </w:t>
      </w:r>
    </w:p>
    <w:p w14:paraId="6BA83362" w14:textId="77777777" w:rsidR="00FC09BA" w:rsidRPr="00FC09BA" w:rsidRDefault="00621437" w:rsidP="003F551B">
      <w:pPr>
        <w:spacing w:line="360" w:lineRule="auto"/>
        <w:rPr>
          <w:rFonts w:ascii="Arial" w:hAnsi="Arial" w:cs="Arial"/>
          <w:sz w:val="22"/>
          <w:szCs w:val="22"/>
        </w:rPr>
      </w:pPr>
      <w:r w:rsidRPr="00FC09BA">
        <w:rPr>
          <w:rFonts w:ascii="Arial" w:hAnsi="Arial" w:cs="Arial"/>
          <w:sz w:val="22"/>
          <w:szCs w:val="22"/>
        </w:rPr>
        <w:lastRenderedPageBreak/>
        <w:t xml:space="preserve">NHS England (2025) Ambulance Response Programme. Available at: </w:t>
      </w:r>
      <w:hyperlink r:id="rId18" w:history="1">
        <w:r w:rsidR="00FC09BA" w:rsidRPr="00FC09BA">
          <w:rPr>
            <w:rStyle w:val="Hyperlink"/>
            <w:rFonts w:ascii="Arial" w:hAnsi="Arial" w:cs="Arial"/>
            <w:sz w:val="22"/>
            <w:szCs w:val="22"/>
          </w:rPr>
          <w:t>https://www.england.nhs.uk/urgent-emergency-care/improving-ambulanceservices/arp/</w:t>
        </w:r>
      </w:hyperlink>
      <w:r w:rsidRPr="00FC09BA">
        <w:rPr>
          <w:rFonts w:ascii="Arial" w:hAnsi="Arial" w:cs="Arial"/>
          <w:sz w:val="22"/>
          <w:szCs w:val="22"/>
        </w:rPr>
        <w:t xml:space="preserve"> </w:t>
      </w:r>
      <w:r w:rsidR="00FC09BA" w:rsidRPr="00FC09BA">
        <w:rPr>
          <w:rFonts w:ascii="Arial" w:hAnsi="Arial" w:cs="Arial"/>
          <w:sz w:val="22"/>
          <w:szCs w:val="22"/>
        </w:rPr>
        <w:t xml:space="preserve">(Accessed: 6 February 2026). </w:t>
      </w:r>
    </w:p>
    <w:p w14:paraId="510DF89D" w14:textId="77777777" w:rsidR="00FC09BA" w:rsidRPr="00FC09BA" w:rsidRDefault="00621437" w:rsidP="003F551B">
      <w:pPr>
        <w:spacing w:line="360" w:lineRule="auto"/>
        <w:rPr>
          <w:rFonts w:ascii="Arial" w:hAnsi="Arial" w:cs="Arial"/>
          <w:sz w:val="22"/>
          <w:szCs w:val="22"/>
        </w:rPr>
      </w:pPr>
      <w:r w:rsidRPr="00FC09BA">
        <w:rPr>
          <w:rFonts w:ascii="Arial" w:hAnsi="Arial" w:cs="Arial"/>
          <w:sz w:val="22"/>
          <w:szCs w:val="22"/>
        </w:rPr>
        <w:t xml:space="preserve">Nuffield Trust (2025a) Ambulance handover delays (1 May 2025). Available at: </w:t>
      </w:r>
      <w:hyperlink r:id="rId19" w:history="1">
        <w:r w:rsidR="00FC09BA" w:rsidRPr="00FC09BA">
          <w:rPr>
            <w:rStyle w:val="Hyperlink"/>
            <w:rFonts w:ascii="Arial" w:hAnsi="Arial" w:cs="Arial"/>
            <w:sz w:val="22"/>
            <w:szCs w:val="22"/>
          </w:rPr>
          <w:t>https://www.nuffieldtrust.org.uk/resource/ambulance-handover-delays</w:t>
        </w:r>
      </w:hyperlink>
      <w:r w:rsidRPr="00FC09BA">
        <w:rPr>
          <w:rFonts w:ascii="Arial" w:hAnsi="Arial" w:cs="Arial"/>
          <w:sz w:val="22"/>
          <w:szCs w:val="22"/>
        </w:rPr>
        <w:t xml:space="preserve"> </w:t>
      </w:r>
      <w:r w:rsidR="00FC09BA" w:rsidRPr="00FC09BA">
        <w:rPr>
          <w:rFonts w:ascii="Arial" w:hAnsi="Arial" w:cs="Arial"/>
          <w:sz w:val="22"/>
          <w:szCs w:val="22"/>
        </w:rPr>
        <w:t xml:space="preserve">(Accessed: 6 February 2026). </w:t>
      </w:r>
    </w:p>
    <w:p w14:paraId="5D49F1CA" w14:textId="77777777" w:rsidR="00FC09BA" w:rsidRPr="00FC09BA" w:rsidRDefault="00621437" w:rsidP="003F551B">
      <w:pPr>
        <w:spacing w:line="360" w:lineRule="auto"/>
        <w:rPr>
          <w:rFonts w:ascii="Arial" w:hAnsi="Arial" w:cs="Arial"/>
          <w:sz w:val="22"/>
          <w:szCs w:val="22"/>
        </w:rPr>
      </w:pPr>
      <w:r w:rsidRPr="00FC09BA">
        <w:rPr>
          <w:rFonts w:ascii="Arial" w:hAnsi="Arial" w:cs="Arial"/>
          <w:sz w:val="22"/>
          <w:szCs w:val="22"/>
        </w:rPr>
        <w:t xml:space="preserve">Skills for Care (2024) Domiciliary care services in the adult social care sector (Summary). Leeds: Skills for Care. Available at: </w:t>
      </w:r>
      <w:hyperlink r:id="rId20" w:history="1">
        <w:r w:rsidR="00FC09BA" w:rsidRPr="00FC09BA">
          <w:rPr>
            <w:rStyle w:val="Hyperlink"/>
            <w:rFonts w:ascii="Arial" w:hAnsi="Arial" w:cs="Arial"/>
            <w:sz w:val="22"/>
            <w:szCs w:val="22"/>
          </w:rPr>
          <w:t>https://www.skillsforcare.org.uk/Adult-SocialCareWorkforceData/workforceintelligence/resources/Reports/National/Summary-of-domicliarycare-services-2024.pdf</w:t>
        </w:r>
      </w:hyperlink>
      <w:r w:rsidRPr="00FC09BA">
        <w:rPr>
          <w:rFonts w:ascii="Arial" w:hAnsi="Arial" w:cs="Arial"/>
          <w:sz w:val="22"/>
          <w:szCs w:val="22"/>
        </w:rPr>
        <w:t xml:space="preserve"> </w:t>
      </w:r>
      <w:r w:rsidR="00FC09BA" w:rsidRPr="00FC09BA">
        <w:rPr>
          <w:rFonts w:ascii="Arial" w:hAnsi="Arial" w:cs="Arial"/>
          <w:sz w:val="22"/>
          <w:szCs w:val="22"/>
        </w:rPr>
        <w:t xml:space="preserve">(Accessed: 6 February 2026). </w:t>
      </w:r>
    </w:p>
    <w:p w14:paraId="34F15C90" w14:textId="77777777" w:rsidR="00FC09BA" w:rsidRPr="00FC09BA" w:rsidRDefault="00FC09BA" w:rsidP="003F551B">
      <w:pPr>
        <w:spacing w:line="360" w:lineRule="auto"/>
        <w:rPr>
          <w:rFonts w:ascii="Arial" w:hAnsi="Arial" w:cs="Arial"/>
          <w:sz w:val="22"/>
          <w:szCs w:val="22"/>
        </w:rPr>
      </w:pPr>
      <w:r w:rsidRPr="00FC09BA">
        <w:rPr>
          <w:rFonts w:ascii="Arial" w:hAnsi="Arial" w:cs="Arial"/>
          <w:sz w:val="22"/>
          <w:szCs w:val="22"/>
          <w:lang w:val="en-US"/>
        </w:rPr>
        <w:t xml:space="preserve">Social Care Institute for Excellence (SCIE) (2024) Key Care Act duties for assessment and determination of eligibility. Available at: </w:t>
      </w:r>
      <w:hyperlink r:id="rId21" w:history="1">
        <w:r w:rsidRPr="00FC09BA">
          <w:rPr>
            <w:rStyle w:val="Hyperlink"/>
            <w:rFonts w:ascii="Arial" w:hAnsi="Arial" w:cs="Arial"/>
            <w:sz w:val="22"/>
            <w:szCs w:val="22"/>
            <w:lang w:val="en-US"/>
          </w:rPr>
          <w:t>https://www.scie.org.uk/assessment-and-eligibility/key-duties/</w:t>
        </w:r>
      </w:hyperlink>
      <w:r w:rsidRPr="00FC09BA">
        <w:rPr>
          <w:rFonts w:ascii="Arial" w:hAnsi="Arial" w:cs="Arial"/>
          <w:sz w:val="22"/>
          <w:szCs w:val="22"/>
          <w:lang w:val="en-US"/>
        </w:rPr>
        <w:t xml:space="preserve"> (Accessed: 6 February 2026).</w:t>
      </w:r>
    </w:p>
    <w:p w14:paraId="0F7640F6" w14:textId="77777777" w:rsidR="00FC09BA" w:rsidRPr="00FC09BA" w:rsidRDefault="00FC09BA" w:rsidP="003F551B">
      <w:pPr>
        <w:spacing w:line="360" w:lineRule="auto"/>
        <w:rPr>
          <w:rFonts w:ascii="Arial" w:hAnsi="Arial" w:cs="Arial"/>
          <w:sz w:val="22"/>
          <w:szCs w:val="22"/>
        </w:rPr>
      </w:pPr>
      <w:r w:rsidRPr="00FC09BA">
        <w:rPr>
          <w:rFonts w:ascii="Arial" w:hAnsi="Arial" w:cs="Arial"/>
          <w:sz w:val="22"/>
          <w:szCs w:val="22"/>
          <w:lang w:val="en-US"/>
        </w:rPr>
        <w:t xml:space="preserve">The Homecare Association (2024) Adult Social Care Reform – The Cost of Inaction (response). Available at: </w:t>
      </w:r>
      <w:hyperlink r:id="rId22" w:history="1">
        <w:r w:rsidRPr="00FC09BA">
          <w:rPr>
            <w:rStyle w:val="Hyperlink"/>
            <w:rFonts w:ascii="Arial" w:hAnsi="Arial" w:cs="Arial"/>
            <w:sz w:val="22"/>
            <w:szCs w:val="22"/>
            <w:lang w:val="en-US"/>
          </w:rPr>
          <w:t>https://www.homecareassociation.org.uk/static/f5bca3d7-68c1-4e31-b190d965779b7db6/20241220Homecare-Association-Response-to-Adult-Social-Care-Reform-Cost-of-Inaction.pdf</w:t>
        </w:r>
      </w:hyperlink>
      <w:r w:rsidRPr="00FC09BA">
        <w:rPr>
          <w:rFonts w:ascii="Arial" w:hAnsi="Arial" w:cs="Arial"/>
          <w:sz w:val="22"/>
          <w:szCs w:val="22"/>
          <w:lang w:val="en-US"/>
        </w:rPr>
        <w:t xml:space="preserve"> (Accessed: 6 February 2026).</w:t>
      </w:r>
    </w:p>
    <w:p w14:paraId="167C7C5C" w14:textId="77777777" w:rsidR="00FC09BA" w:rsidRPr="00FC09BA" w:rsidRDefault="00621437" w:rsidP="003F551B">
      <w:pPr>
        <w:spacing w:line="360" w:lineRule="auto"/>
        <w:rPr>
          <w:rFonts w:ascii="Arial" w:hAnsi="Arial" w:cs="Arial"/>
          <w:sz w:val="22"/>
          <w:szCs w:val="22"/>
        </w:rPr>
      </w:pPr>
      <w:r w:rsidRPr="00FC09BA">
        <w:rPr>
          <w:rFonts w:ascii="Arial" w:hAnsi="Arial" w:cs="Arial"/>
          <w:sz w:val="22"/>
          <w:szCs w:val="22"/>
        </w:rPr>
        <w:t>UK Parliament (1990) National Health Service and Community Care Act 1990. Available at: https://www.legislation.gov.uk/id/ukpga/1990/19 (Accessed: 6 February 2026). UK Parliament (2014) Care Act 2014. Available at:</w:t>
      </w:r>
      <w:r w:rsidR="00FC09BA" w:rsidRPr="00FC09BA">
        <w:rPr>
          <w:rFonts w:ascii="Arial" w:hAnsi="Arial" w:cs="Arial"/>
          <w:sz w:val="22"/>
          <w:szCs w:val="22"/>
        </w:rPr>
        <w:t xml:space="preserve"> </w:t>
      </w:r>
      <w:hyperlink r:id="rId23" w:history="1">
        <w:r w:rsidR="00FC09BA" w:rsidRPr="00FC09BA">
          <w:rPr>
            <w:rStyle w:val="Hyperlink"/>
            <w:rFonts w:ascii="Arial" w:hAnsi="Arial" w:cs="Arial"/>
            <w:sz w:val="22"/>
            <w:szCs w:val="22"/>
          </w:rPr>
          <w:t>h</w:t>
        </w:r>
        <w:r w:rsidR="00FC09BA" w:rsidRPr="00FC09BA">
          <w:rPr>
            <w:rStyle w:val="Hyperlink"/>
            <w:rFonts w:ascii="Arial" w:hAnsi="Arial" w:cs="Arial"/>
            <w:sz w:val="22"/>
            <w:szCs w:val="22"/>
          </w:rPr>
          <w:t>ttps://www.legislation.gov.uk/ukpga/2014/23/contents</w:t>
        </w:r>
      </w:hyperlink>
      <w:r w:rsidR="00FC09BA" w:rsidRPr="00FC09BA">
        <w:rPr>
          <w:rFonts w:ascii="Arial" w:hAnsi="Arial" w:cs="Arial"/>
          <w:sz w:val="22"/>
          <w:szCs w:val="22"/>
        </w:rPr>
        <w:t xml:space="preserve"> </w:t>
      </w:r>
      <w:r w:rsidR="00FC09BA" w:rsidRPr="00FC09BA">
        <w:rPr>
          <w:rFonts w:ascii="Arial" w:hAnsi="Arial" w:cs="Arial"/>
          <w:sz w:val="22"/>
          <w:szCs w:val="22"/>
        </w:rPr>
        <w:t xml:space="preserve">(Accessed: 6 February 2026). </w:t>
      </w:r>
    </w:p>
    <w:p w14:paraId="14EC6F9B" w14:textId="77777777" w:rsidR="00744FB6" w:rsidRPr="003563AF" w:rsidRDefault="00744FB6" w:rsidP="003563AF"/>
    <w:sectPr w:rsidR="00744FB6" w:rsidRPr="003563AF">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8384F" w14:textId="77777777" w:rsidR="0077252E" w:rsidRDefault="0077252E" w:rsidP="003F551B">
      <w:pPr>
        <w:spacing w:after="0" w:line="240" w:lineRule="auto"/>
      </w:pPr>
      <w:r>
        <w:separator/>
      </w:r>
    </w:p>
  </w:endnote>
  <w:endnote w:type="continuationSeparator" w:id="0">
    <w:p w14:paraId="6FF01E4A" w14:textId="77777777" w:rsidR="0077252E" w:rsidRDefault="0077252E" w:rsidP="003F5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2885324"/>
      <w:docPartObj>
        <w:docPartGallery w:val="Page Numbers (Bottom of Page)"/>
        <w:docPartUnique/>
      </w:docPartObj>
    </w:sdtPr>
    <w:sdtEndPr>
      <w:rPr>
        <w:noProof/>
      </w:rPr>
    </w:sdtEndPr>
    <w:sdtContent>
      <w:p w14:paraId="19D6B857" w14:textId="60A62D1B" w:rsidR="003F551B" w:rsidRDefault="003F55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19375" w14:textId="77777777" w:rsidR="003F551B" w:rsidRDefault="003F55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46929" w14:textId="77777777" w:rsidR="0077252E" w:rsidRDefault="0077252E" w:rsidP="003F551B">
      <w:pPr>
        <w:spacing w:after="0" w:line="240" w:lineRule="auto"/>
      </w:pPr>
      <w:r>
        <w:separator/>
      </w:r>
    </w:p>
  </w:footnote>
  <w:footnote w:type="continuationSeparator" w:id="0">
    <w:p w14:paraId="3E27634F" w14:textId="77777777" w:rsidR="0077252E" w:rsidRDefault="0077252E" w:rsidP="003F55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3AF"/>
    <w:rsid w:val="00352C8F"/>
    <w:rsid w:val="003563AF"/>
    <w:rsid w:val="003F551B"/>
    <w:rsid w:val="0054018F"/>
    <w:rsid w:val="00621437"/>
    <w:rsid w:val="006E24DD"/>
    <w:rsid w:val="00744FB6"/>
    <w:rsid w:val="0077252E"/>
    <w:rsid w:val="008B45D2"/>
    <w:rsid w:val="00963263"/>
    <w:rsid w:val="00966194"/>
    <w:rsid w:val="009A6232"/>
    <w:rsid w:val="00E85114"/>
    <w:rsid w:val="00FC0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CF925"/>
  <w15:chartTrackingRefBased/>
  <w15:docId w15:val="{79A7C544-4ADB-4D86-9A72-2CF2550DA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3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63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63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63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63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63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3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3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3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3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63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63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63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63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63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63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63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63AF"/>
    <w:rPr>
      <w:rFonts w:eastAsiaTheme="majorEastAsia" w:cstheme="majorBidi"/>
      <w:color w:val="272727" w:themeColor="text1" w:themeTint="D8"/>
    </w:rPr>
  </w:style>
  <w:style w:type="paragraph" w:styleId="Title">
    <w:name w:val="Title"/>
    <w:basedOn w:val="Normal"/>
    <w:next w:val="Normal"/>
    <w:link w:val="TitleChar"/>
    <w:uiPriority w:val="10"/>
    <w:qFormat/>
    <w:rsid w:val="003563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3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63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63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63AF"/>
    <w:pPr>
      <w:spacing w:before="160"/>
      <w:jc w:val="center"/>
    </w:pPr>
    <w:rPr>
      <w:i/>
      <w:iCs/>
      <w:color w:val="404040" w:themeColor="text1" w:themeTint="BF"/>
    </w:rPr>
  </w:style>
  <w:style w:type="character" w:customStyle="1" w:styleId="QuoteChar">
    <w:name w:val="Quote Char"/>
    <w:basedOn w:val="DefaultParagraphFont"/>
    <w:link w:val="Quote"/>
    <w:uiPriority w:val="29"/>
    <w:rsid w:val="003563AF"/>
    <w:rPr>
      <w:i/>
      <w:iCs/>
      <w:color w:val="404040" w:themeColor="text1" w:themeTint="BF"/>
    </w:rPr>
  </w:style>
  <w:style w:type="paragraph" w:styleId="ListParagraph">
    <w:name w:val="List Paragraph"/>
    <w:basedOn w:val="Normal"/>
    <w:uiPriority w:val="34"/>
    <w:qFormat/>
    <w:rsid w:val="003563AF"/>
    <w:pPr>
      <w:ind w:left="720"/>
      <w:contextualSpacing/>
    </w:pPr>
  </w:style>
  <w:style w:type="character" w:styleId="IntenseEmphasis">
    <w:name w:val="Intense Emphasis"/>
    <w:basedOn w:val="DefaultParagraphFont"/>
    <w:uiPriority w:val="21"/>
    <w:qFormat/>
    <w:rsid w:val="003563AF"/>
    <w:rPr>
      <w:i/>
      <w:iCs/>
      <w:color w:val="0F4761" w:themeColor="accent1" w:themeShade="BF"/>
    </w:rPr>
  </w:style>
  <w:style w:type="paragraph" w:styleId="IntenseQuote">
    <w:name w:val="Intense Quote"/>
    <w:basedOn w:val="Normal"/>
    <w:next w:val="Normal"/>
    <w:link w:val="IntenseQuoteChar"/>
    <w:uiPriority w:val="30"/>
    <w:qFormat/>
    <w:rsid w:val="003563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63AF"/>
    <w:rPr>
      <w:i/>
      <w:iCs/>
      <w:color w:val="0F4761" w:themeColor="accent1" w:themeShade="BF"/>
    </w:rPr>
  </w:style>
  <w:style w:type="character" w:styleId="IntenseReference">
    <w:name w:val="Intense Reference"/>
    <w:basedOn w:val="DefaultParagraphFont"/>
    <w:uiPriority w:val="32"/>
    <w:qFormat/>
    <w:rsid w:val="003563AF"/>
    <w:rPr>
      <w:b/>
      <w:bCs/>
      <w:smallCaps/>
      <w:color w:val="0F4761" w:themeColor="accent1" w:themeShade="BF"/>
      <w:spacing w:val="5"/>
    </w:rPr>
  </w:style>
  <w:style w:type="character" w:styleId="Hyperlink">
    <w:name w:val="Hyperlink"/>
    <w:basedOn w:val="DefaultParagraphFont"/>
    <w:uiPriority w:val="99"/>
    <w:unhideWhenUsed/>
    <w:rsid w:val="00621437"/>
    <w:rPr>
      <w:color w:val="467886" w:themeColor="hyperlink"/>
      <w:u w:val="single"/>
    </w:rPr>
  </w:style>
  <w:style w:type="character" w:styleId="UnresolvedMention">
    <w:name w:val="Unresolved Mention"/>
    <w:basedOn w:val="DefaultParagraphFont"/>
    <w:uiPriority w:val="99"/>
    <w:semiHidden/>
    <w:unhideWhenUsed/>
    <w:rsid w:val="00621437"/>
    <w:rPr>
      <w:color w:val="605E5C"/>
      <w:shd w:val="clear" w:color="auto" w:fill="E1DFDD"/>
    </w:rPr>
  </w:style>
  <w:style w:type="paragraph" w:styleId="Header">
    <w:name w:val="header"/>
    <w:basedOn w:val="Normal"/>
    <w:link w:val="HeaderChar"/>
    <w:uiPriority w:val="99"/>
    <w:unhideWhenUsed/>
    <w:rsid w:val="003F5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51B"/>
  </w:style>
  <w:style w:type="paragraph" w:styleId="Footer">
    <w:name w:val="footer"/>
    <w:basedOn w:val="Normal"/>
    <w:link w:val="FooterChar"/>
    <w:uiPriority w:val="99"/>
    <w:unhideWhenUsed/>
    <w:rsid w:val="003F5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5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archive.org/details/op1269011-1001/mode/1up" TargetMode="External"/><Relationship Id="rId18" Type="http://schemas.openxmlformats.org/officeDocument/2006/relationships/hyperlink" Target="https://www.england.nhs.uk/urgent-emergency-care/improving-ambulanceservices/arp/"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cie.org.uk/assessment-and-eligibility/key-duties/" TargetMode="External"/><Relationship Id="rId7" Type="http://schemas.openxmlformats.org/officeDocument/2006/relationships/image" Target="media/image1.png"/><Relationship Id="rId12" Type="http://schemas.openxmlformats.org/officeDocument/2006/relationships/hyperlink" Target="https://www.gov.uk/government/publications/care-act-statutoryguidance/care-and-support-statutory-guidance" TargetMode="External"/><Relationship Id="rId17" Type="http://schemas.openxmlformats.org/officeDocument/2006/relationships/hyperlink" Target="https://www.england.nhs.uk/wpcontent/uploads/2023/01/B2034-delivery-plan-for-recovering-urgent-and-emergency-careservices.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ao.org.uk/wp-content/uploads/2021/03/The-adult-social-caremarket-in-England.pdf" TargetMode="External"/><Relationship Id="rId20" Type="http://schemas.openxmlformats.org/officeDocument/2006/relationships/hyperlink" Target="https://www.skillsforcare.org.uk/Adult-SocialCareWorkforceData/workforceintelligence/resources/Reports/National/Summary-of-domicliarycare-services-2024.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qc.org.uk/publications/major-report/state-care/2024-2025/access/asc"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kingsfund.org.uk/insight-and-analysis/data-and-charts/short-history-socialcare-funding" TargetMode="External"/><Relationship Id="rId23" Type="http://schemas.openxmlformats.org/officeDocument/2006/relationships/hyperlink" Target="https://www.legislation.gov.uk/ukpga/2014/23/contents" TargetMode="External"/><Relationship Id="rId10" Type="http://schemas.openxmlformats.org/officeDocument/2006/relationships/hyperlink" Target="https://www.cqc.org.uk/guidance-regulation/providers/registration/scoperegistration/regulated-activities/personal-care" TargetMode="External"/><Relationship Id="rId19" Type="http://schemas.openxmlformats.org/officeDocument/2006/relationships/hyperlink" Target="https://www.nuffieldtrust.org.uk/resource/ambulance-handover-delays" TargetMode="External"/><Relationship Id="rId4" Type="http://schemas.openxmlformats.org/officeDocument/2006/relationships/webSettings" Target="webSettings.xml"/><Relationship Id="rId9" Type="http://schemas.openxmlformats.org/officeDocument/2006/relationships/hyperlink" Target="https://aace.org.uk/wp-content/uploads/2024/07/National-Ambulance-Data-toMay-2024-Final-Version-iii.pdf" TargetMode="External"/><Relationship Id="rId14" Type="http://schemas.openxmlformats.org/officeDocument/2006/relationships/hyperlink" Target="https://commonslibrary.parliament.uk/research-briefings/cdp-2025-%200042/" TargetMode="External"/><Relationship Id="rId22" Type="http://schemas.openxmlformats.org/officeDocument/2006/relationships/hyperlink" Target="https://www.homecareassociation.org.uk/static/f5bca3d7-68c1-4e31-b190d965779b7db6/20241220Homecare-Association-Response-to-Adult-Social-Care-Reform-Cost-of-Inac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580E5-87A7-49C3-A972-7496C6220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1003</TotalTime>
  <Pages>6</Pages>
  <Words>1050</Words>
  <Characters>8668</Characters>
  <Application>Microsoft Office Word</Application>
  <DocSecurity>0</DocSecurity>
  <Lines>788</Lines>
  <Paragraphs>809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Dilnawaz Khan (2435767)</dc:creator>
  <cp:keywords/>
  <dc:description/>
  <cp:lastModifiedBy>Dilnawaz Khan (2435767)</cp:lastModifiedBy>
  <cp:revision>2</cp:revision>
  <dcterms:created xsi:type="dcterms:W3CDTF">2026-02-21T16:07:00Z</dcterms:created>
  <dcterms:modified xsi:type="dcterms:W3CDTF">2026-02-22T22:26:00Z</dcterms:modified>
</cp:coreProperties>
</file>