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1ECC26" w14:textId="544EF178" w:rsidR="00A55237" w:rsidRPr="002C258A" w:rsidRDefault="002C258A" w:rsidP="002C258A">
      <w:pPr>
        <w:jc w:val="center"/>
        <w:rPr>
          <w:rFonts w:ascii="Arial" w:hAnsi="Arial" w:cs="Arial"/>
          <w:sz w:val="24"/>
          <w:szCs w:val="24"/>
        </w:rPr>
      </w:pPr>
      <w:r w:rsidRPr="002C258A">
        <w:rPr>
          <w:rFonts w:ascii="Arial" w:hAnsi="Arial" w:cs="Arial"/>
          <w:sz w:val="24"/>
          <w:szCs w:val="24"/>
        </w:rPr>
        <w:t>Tort Law Assignment 2</w:t>
      </w:r>
    </w:p>
    <w:p w14:paraId="67F2E39F" w14:textId="05239D44" w:rsidR="002C258A" w:rsidRPr="002C258A" w:rsidRDefault="002C258A" w:rsidP="002C258A">
      <w:pPr>
        <w:rPr>
          <w:rFonts w:ascii="Arial" w:hAnsi="Arial" w:cs="Arial"/>
          <w:sz w:val="24"/>
          <w:szCs w:val="24"/>
        </w:rPr>
      </w:pPr>
      <w:r w:rsidRPr="002C258A">
        <w:rPr>
          <w:rFonts w:ascii="Arial" w:hAnsi="Arial" w:cs="Arial"/>
          <w:sz w:val="24"/>
          <w:szCs w:val="24"/>
        </w:rPr>
        <w:t xml:space="preserve">In the case of Elijah's workplace accident and subsequent medical complications, we encounter a complex interplay of legal principles, particularly within the context of </w:t>
      </w:r>
      <w:r>
        <w:rPr>
          <w:rFonts w:ascii="Arial" w:hAnsi="Arial" w:cs="Arial"/>
          <w:sz w:val="24"/>
          <w:szCs w:val="24"/>
        </w:rPr>
        <w:t>the law in England and Wales</w:t>
      </w:r>
      <w:r w:rsidRPr="002C258A">
        <w:rPr>
          <w:rFonts w:ascii="Arial" w:hAnsi="Arial" w:cs="Arial"/>
          <w:sz w:val="24"/>
          <w:szCs w:val="24"/>
        </w:rPr>
        <w:t xml:space="preserve">. This analysis delves into whether Elijah can rightfully bring a case against his employer and the local hospital, considering the multifaceted dimensions of common law duty of care, employer’s liability, statutory duty of care, personal liability, contractual duty, vicarious liability, and applicable </w:t>
      </w:r>
      <w:r w:rsidRPr="002C258A">
        <w:rPr>
          <w:rFonts w:ascii="Arial" w:hAnsi="Arial" w:cs="Arial"/>
          <w:sz w:val="24"/>
          <w:szCs w:val="24"/>
        </w:rPr>
        <w:t>defences</w:t>
      </w:r>
      <w:r w:rsidRPr="002C258A">
        <w:rPr>
          <w:rFonts w:ascii="Arial" w:hAnsi="Arial" w:cs="Arial"/>
          <w:sz w:val="24"/>
          <w:szCs w:val="24"/>
        </w:rPr>
        <w:t>. Key case laws will be interwoven to provide a comprehensive understanding of each aspect and its potential application to Elijah's circumstances.</w:t>
      </w:r>
      <w:r w:rsidRPr="002C258A">
        <w:rPr>
          <w:rFonts w:ascii="Arial" w:hAnsi="Arial" w:cs="Arial"/>
          <w:sz w:val="24"/>
          <w:szCs w:val="24"/>
        </w:rPr>
        <w:t xml:space="preserve"> </w:t>
      </w:r>
      <w:r w:rsidRPr="002C258A">
        <w:rPr>
          <w:rFonts w:ascii="Arial" w:hAnsi="Arial" w:cs="Arial"/>
          <w:sz w:val="24"/>
          <w:szCs w:val="24"/>
        </w:rPr>
        <w:t>This essay seeks to explore the legal frameworks underpinning Elijah's case, specifically focusing on the common law duty of care, employer's liability, statutory duty of care, personal and contractual liability, and vicarious liability, all of which are central to determining the viability of his claims. The analysis will be supported by relevant case law, including seminal cases such as Blyth v Birmingham Water Works Co [1856] and Bolam v Friern Hospital Management Committee [1957], which have profoundly shaped the principles of negligence and duty</w:t>
      </w:r>
      <w:r>
        <w:rPr>
          <w:rFonts w:ascii="Arial" w:hAnsi="Arial" w:cs="Arial"/>
          <w:sz w:val="24"/>
          <w:szCs w:val="24"/>
        </w:rPr>
        <w:t xml:space="preserve"> of care</w:t>
      </w:r>
      <w:r w:rsidRPr="002C258A">
        <w:rPr>
          <w:rFonts w:ascii="Arial" w:hAnsi="Arial" w:cs="Arial"/>
          <w:sz w:val="24"/>
          <w:szCs w:val="24"/>
        </w:rPr>
        <w:t>.</w:t>
      </w:r>
      <w:r w:rsidRPr="002C258A">
        <w:rPr>
          <w:rFonts w:ascii="Arial" w:hAnsi="Arial" w:cs="Arial"/>
          <w:sz w:val="24"/>
          <w:szCs w:val="24"/>
        </w:rPr>
        <w:t xml:space="preserve"> </w:t>
      </w:r>
      <w:r w:rsidRPr="002C258A">
        <w:rPr>
          <w:rFonts w:ascii="Arial" w:hAnsi="Arial" w:cs="Arial"/>
          <w:sz w:val="24"/>
          <w:szCs w:val="24"/>
        </w:rPr>
        <w:t xml:space="preserve">Additionally, the essay will examine the potential </w:t>
      </w:r>
      <w:r w:rsidRPr="002C258A">
        <w:rPr>
          <w:rFonts w:ascii="Arial" w:hAnsi="Arial" w:cs="Arial"/>
          <w:sz w:val="24"/>
          <w:szCs w:val="24"/>
        </w:rPr>
        <w:t>defences</w:t>
      </w:r>
      <w:r w:rsidRPr="002C258A">
        <w:rPr>
          <w:rFonts w:ascii="Arial" w:hAnsi="Arial" w:cs="Arial"/>
          <w:sz w:val="24"/>
          <w:szCs w:val="24"/>
        </w:rPr>
        <w:t xml:space="preserve"> available to the employer and the hospital, considering the complexities of proving negligence and liability in workplace accidents and medical malpractice scenarios. Through this comprehensive legal analysis, we aim to provide Elijah with informed advice on the potential outcomes and challenges of his case, drawing upon historical legal precedents and current legislative frameworks governing such disputes in England and Wales.</w:t>
      </w:r>
    </w:p>
    <w:p w14:paraId="034707B6" w14:textId="4276FBBD" w:rsidR="002C258A" w:rsidRPr="002C258A" w:rsidRDefault="000D69FE" w:rsidP="008C77E5">
      <w:pPr>
        <w:spacing w:before="240"/>
        <w:rPr>
          <w:rFonts w:ascii="Arial" w:hAnsi="Arial" w:cs="Arial"/>
          <w:sz w:val="28"/>
          <w:szCs w:val="28"/>
          <w:lang w:eastAsia="en-GB"/>
        </w:rPr>
      </w:pPr>
      <w:r w:rsidRPr="007B071C">
        <w:rPr>
          <w:rFonts w:ascii="Arial" w:hAnsi="Arial" w:cs="Arial"/>
          <w:sz w:val="24"/>
          <w:szCs w:val="24"/>
        </w:rPr>
        <w:t>The common law duty of care in England and Wales is a fundamental concept in tort law, particularly in negligence cases. It refers to the legal obligation imposed on individuals to exercise a reasonable level of care while performing any acts that could foreseeably harm others</w:t>
      </w:r>
      <w:r w:rsidR="00A8060D">
        <w:rPr>
          <w:rFonts w:ascii="Arial" w:hAnsi="Arial" w:cs="Arial"/>
          <w:sz w:val="24"/>
          <w:szCs w:val="24"/>
        </w:rPr>
        <w:t xml:space="preserve"> (</w:t>
      </w:r>
      <w:r w:rsidR="00C55CCB">
        <w:rPr>
          <w:rFonts w:ascii="Arial" w:hAnsi="Arial" w:cs="Arial"/>
          <w:sz w:val="24"/>
          <w:szCs w:val="24"/>
        </w:rPr>
        <w:t xml:space="preserve">Lunney, Nolan </w:t>
      </w:r>
      <w:r w:rsidR="00D40335">
        <w:rPr>
          <w:rFonts w:ascii="Arial" w:hAnsi="Arial" w:cs="Arial"/>
          <w:sz w:val="24"/>
          <w:szCs w:val="24"/>
        </w:rPr>
        <w:t>and</w:t>
      </w:r>
      <w:r w:rsidR="00C55CCB">
        <w:rPr>
          <w:rFonts w:ascii="Arial" w:hAnsi="Arial" w:cs="Arial"/>
          <w:sz w:val="24"/>
          <w:szCs w:val="24"/>
        </w:rPr>
        <w:t xml:space="preserve"> Oliphant, 2017, p</w:t>
      </w:r>
      <w:r w:rsidR="00E671F4">
        <w:rPr>
          <w:rFonts w:ascii="Arial" w:hAnsi="Arial" w:cs="Arial"/>
          <w:sz w:val="24"/>
          <w:szCs w:val="24"/>
        </w:rPr>
        <w:t>p.121-123)</w:t>
      </w:r>
      <w:r w:rsidRPr="007B071C">
        <w:rPr>
          <w:rFonts w:ascii="Arial" w:hAnsi="Arial" w:cs="Arial"/>
          <w:sz w:val="24"/>
          <w:szCs w:val="24"/>
        </w:rPr>
        <w:t>. This duty aims to protect individuals from harm that is reasonably predictable if care is not taken.</w:t>
      </w:r>
      <w:r w:rsidR="007B071C">
        <w:rPr>
          <w:rFonts w:ascii="Arial" w:hAnsi="Arial" w:cs="Arial"/>
          <w:sz w:val="28"/>
          <w:szCs w:val="28"/>
          <w:lang w:eastAsia="en-GB"/>
        </w:rPr>
        <w:t xml:space="preserve"> </w:t>
      </w:r>
      <w:r w:rsidR="002C258A" w:rsidRPr="002C258A">
        <w:rPr>
          <w:rFonts w:ascii="Arial" w:hAnsi="Arial" w:cs="Arial"/>
          <w:sz w:val="24"/>
          <w:szCs w:val="24"/>
          <w:lang w:eastAsia="en-GB"/>
        </w:rPr>
        <w:t>Under common law, an employer owes a duty of care to their employees. This duty involves ensuring a safe working environment, as illustrated in cases like Blyth v Birmingham Water Works Co [1856]</w:t>
      </w:r>
      <w:r w:rsidR="002307B9">
        <w:rPr>
          <w:rFonts w:ascii="Arial" w:hAnsi="Arial" w:cs="Arial"/>
          <w:sz w:val="24"/>
          <w:szCs w:val="24"/>
          <w:lang w:eastAsia="en-GB"/>
        </w:rPr>
        <w:t xml:space="preserve">. </w:t>
      </w:r>
      <w:r w:rsidR="002307B9" w:rsidRPr="002307B9">
        <w:rPr>
          <w:rFonts w:ascii="Arial" w:hAnsi="Arial" w:cs="Arial"/>
          <w:sz w:val="24"/>
          <w:szCs w:val="24"/>
        </w:rPr>
        <w:t>This case established a foundational definition of negligence in English law. It stated that negligence is the omission to do something which a reasonable person, guided by the considerations that ordinarily regulate human affairs, would do, or doing something which a prudent and reasonable person would not do</w:t>
      </w:r>
      <w:r w:rsidR="00060F52">
        <w:rPr>
          <w:rFonts w:ascii="Arial" w:hAnsi="Arial" w:cs="Arial"/>
          <w:sz w:val="24"/>
          <w:szCs w:val="24"/>
        </w:rPr>
        <w:t xml:space="preserve"> (Lunney, Nolan and Oliphant, 2017, p.</w:t>
      </w:r>
      <w:r w:rsidR="008C77E5">
        <w:rPr>
          <w:rFonts w:ascii="Arial" w:hAnsi="Arial" w:cs="Arial"/>
          <w:sz w:val="24"/>
          <w:szCs w:val="24"/>
        </w:rPr>
        <w:t>157)</w:t>
      </w:r>
      <w:r w:rsidR="002307B9" w:rsidRPr="002307B9">
        <w:rPr>
          <w:rFonts w:ascii="Arial" w:hAnsi="Arial" w:cs="Arial"/>
          <w:sz w:val="24"/>
          <w:szCs w:val="24"/>
        </w:rPr>
        <w:t>.</w:t>
      </w:r>
      <w:r w:rsidR="002C258A" w:rsidRPr="002C258A">
        <w:rPr>
          <w:rFonts w:ascii="Arial" w:hAnsi="Arial" w:cs="Arial"/>
          <w:sz w:val="28"/>
          <w:szCs w:val="28"/>
          <w:lang w:eastAsia="en-GB"/>
        </w:rPr>
        <w:t xml:space="preserve"> </w:t>
      </w:r>
      <w:r w:rsidR="002C258A" w:rsidRPr="002C258A">
        <w:rPr>
          <w:rFonts w:ascii="Arial" w:hAnsi="Arial" w:cs="Arial"/>
          <w:sz w:val="24"/>
          <w:szCs w:val="24"/>
          <w:lang w:eastAsia="en-GB"/>
        </w:rPr>
        <w:t>Elijah's accident, caused by an unmarked hazard (pile of boxes), could be seen as a breach of this duty. However, Elijah's distraction by his phone at the time of the accident may complicate matters, potentially leading to a discussion on contributory negligence.</w:t>
      </w:r>
      <w:r w:rsidR="005C191C">
        <w:rPr>
          <w:rFonts w:ascii="Arial" w:hAnsi="Arial" w:cs="Arial"/>
          <w:sz w:val="24"/>
          <w:szCs w:val="24"/>
          <w:lang w:eastAsia="en-GB"/>
        </w:rPr>
        <w:t xml:space="preserve"> </w:t>
      </w:r>
      <w:r w:rsidR="006C76F3">
        <w:rPr>
          <w:rFonts w:ascii="Arial" w:hAnsi="Arial" w:cs="Arial"/>
          <w:sz w:val="24"/>
          <w:szCs w:val="24"/>
          <w:lang w:eastAsia="en-GB"/>
        </w:rPr>
        <w:t xml:space="preserve">The case of Barnett v Chelsea and Kensington Hospital Management Committee </w:t>
      </w:r>
      <w:r w:rsidR="00D27DC5">
        <w:rPr>
          <w:rFonts w:ascii="Arial" w:hAnsi="Arial" w:cs="Arial"/>
          <w:sz w:val="24"/>
          <w:szCs w:val="24"/>
          <w:lang w:eastAsia="en-GB"/>
        </w:rPr>
        <w:t xml:space="preserve">[1969] underscored the necessity of causation in negligence claims, where the breach of duty must directly cause the harm. </w:t>
      </w:r>
      <w:r w:rsidR="00DF5CD6" w:rsidRPr="00DF5CD6">
        <w:rPr>
          <w:rFonts w:ascii="Arial" w:hAnsi="Arial" w:cs="Arial"/>
          <w:sz w:val="24"/>
          <w:szCs w:val="24"/>
        </w:rPr>
        <w:t>The duty of care is not static and evolves with societal standards and expectations. The judgments in these cases reflect the changing perceptions of what constitutes 'reasonable care' in various situations. They also show how courts balance the rights and responsibilities of different parties in diverse contexts, from medical care to employment and beyond.</w:t>
      </w:r>
    </w:p>
    <w:p w14:paraId="28ADF3B6" w14:textId="4A4B97B9" w:rsidR="002C258A" w:rsidRPr="002C258A" w:rsidRDefault="003F6001" w:rsidP="00DC39EC">
      <w:pPr>
        <w:rPr>
          <w:rFonts w:ascii="Arial" w:hAnsi="Arial" w:cs="Arial"/>
          <w:sz w:val="24"/>
          <w:szCs w:val="24"/>
          <w:lang w:eastAsia="en-GB"/>
        </w:rPr>
      </w:pPr>
      <w:r w:rsidRPr="00DC39EC">
        <w:rPr>
          <w:rFonts w:ascii="Arial" w:hAnsi="Arial" w:cs="Arial"/>
          <w:sz w:val="24"/>
          <w:szCs w:val="24"/>
        </w:rPr>
        <w:lastRenderedPageBreak/>
        <w:t>Statutory duty of care in the law of England and Wales refers to specific duties imposed by statute (legislation) as opposed to those arising under common law.</w:t>
      </w:r>
      <w:r w:rsidR="00AF4BB9">
        <w:rPr>
          <w:rFonts w:ascii="Arial" w:hAnsi="Arial" w:cs="Arial"/>
          <w:sz w:val="24"/>
          <w:szCs w:val="24"/>
        </w:rPr>
        <w:t xml:space="preserve"> </w:t>
      </w:r>
      <w:r w:rsidRPr="00DC39EC">
        <w:rPr>
          <w:rFonts w:ascii="Arial" w:hAnsi="Arial" w:cs="Arial"/>
          <w:sz w:val="24"/>
          <w:szCs w:val="24"/>
        </w:rPr>
        <w:t>These statutory duties are created by Acts of Parliament and are often more specific and detailed than the general duties of care established under common law. They are designed to protect certain classes of people or address specific risks in certain situations.</w:t>
      </w:r>
      <w:r w:rsidRPr="00DC39EC">
        <w:rPr>
          <w:rFonts w:ascii="Arial" w:hAnsi="Arial" w:cs="Arial"/>
          <w:sz w:val="24"/>
          <w:szCs w:val="24"/>
        </w:rPr>
        <w:t xml:space="preserve"> </w:t>
      </w:r>
      <w:r w:rsidR="002C258A" w:rsidRPr="002C258A">
        <w:rPr>
          <w:rFonts w:ascii="Arial" w:hAnsi="Arial" w:cs="Arial"/>
          <w:sz w:val="24"/>
          <w:szCs w:val="24"/>
          <w:lang w:eastAsia="en-GB"/>
        </w:rPr>
        <w:t xml:space="preserve">Statutory duties, as prescribed under health and safety legislation, further bind employers. The Workplace (Health, Safety and Welfare) Regulations 1992, for example, require employers to maintain safe </w:t>
      </w:r>
      <w:r w:rsidR="007E5397" w:rsidRPr="00DC39EC">
        <w:rPr>
          <w:rFonts w:ascii="Arial" w:hAnsi="Arial" w:cs="Arial"/>
          <w:sz w:val="24"/>
          <w:szCs w:val="24"/>
        </w:rPr>
        <w:t>passageways</w:t>
      </w:r>
      <w:r w:rsidR="002C258A" w:rsidRPr="002C258A">
        <w:rPr>
          <w:rFonts w:ascii="Arial" w:hAnsi="Arial" w:cs="Arial"/>
          <w:sz w:val="24"/>
          <w:szCs w:val="24"/>
          <w:lang w:eastAsia="en-GB"/>
        </w:rPr>
        <w:t xml:space="preserve">. </w:t>
      </w:r>
      <w:r w:rsidR="00DC39EC" w:rsidRPr="00DC39EC">
        <w:rPr>
          <w:rFonts w:ascii="Arial" w:hAnsi="Arial" w:cs="Arial"/>
          <w:sz w:val="24"/>
          <w:szCs w:val="24"/>
        </w:rPr>
        <w:t xml:space="preserve">Statutory duties are often more specific and may prescribe </w:t>
      </w:r>
      <w:r w:rsidR="004E19BD" w:rsidRPr="00DC39EC">
        <w:rPr>
          <w:rFonts w:ascii="Arial" w:hAnsi="Arial" w:cs="Arial"/>
          <w:sz w:val="24"/>
          <w:szCs w:val="24"/>
        </w:rPr>
        <w:t>standards</w:t>
      </w:r>
      <w:r w:rsidR="00DC39EC" w:rsidRPr="00DC39EC">
        <w:rPr>
          <w:rFonts w:ascii="Arial" w:hAnsi="Arial" w:cs="Arial"/>
          <w:sz w:val="24"/>
          <w:szCs w:val="24"/>
        </w:rPr>
        <w:t xml:space="preserve"> of care or specific actions that must be taken in certain situations. For example, the Health and Safety at Work etc. Act 1974 imposes specific duties on employers to ensure the health, safety, and welfare of their employees at work</w:t>
      </w:r>
      <w:r w:rsidR="00DC39EC" w:rsidRPr="00DC39EC">
        <w:rPr>
          <w:rFonts w:ascii="Arial" w:hAnsi="Arial" w:cs="Arial"/>
          <w:sz w:val="24"/>
          <w:szCs w:val="24"/>
        </w:rPr>
        <w:t xml:space="preserve">. </w:t>
      </w:r>
      <w:r w:rsidR="00DC39EC" w:rsidRPr="00DC39EC">
        <w:rPr>
          <w:rFonts w:ascii="Arial" w:hAnsi="Arial" w:cs="Arial"/>
          <w:sz w:val="24"/>
          <w:szCs w:val="24"/>
        </w:rPr>
        <w:t>Failure to comply with a statutory duty can lead to criminal prosecution, civil liability, or both. In some cases, breach of a statutory duty can give rise to a civil action for damages if the statute implies such a right. This is often seen in personal injury claims resulting from workplace accidents where employers have breached statutory health and safety regulations.</w:t>
      </w:r>
      <w:r w:rsidR="00DC39EC">
        <w:rPr>
          <w:rFonts w:ascii="Arial" w:hAnsi="Arial" w:cs="Arial"/>
          <w:sz w:val="24"/>
          <w:szCs w:val="24"/>
        </w:rPr>
        <w:t xml:space="preserve"> </w:t>
      </w:r>
      <w:r w:rsidR="002C258A" w:rsidRPr="002C258A">
        <w:rPr>
          <w:rFonts w:ascii="Arial" w:hAnsi="Arial" w:cs="Arial"/>
          <w:sz w:val="24"/>
          <w:szCs w:val="24"/>
          <w:lang w:eastAsia="en-GB"/>
        </w:rPr>
        <w:t xml:space="preserve">Elijah's case </w:t>
      </w:r>
      <w:r w:rsidR="00DC39EC">
        <w:rPr>
          <w:rFonts w:ascii="Arial" w:hAnsi="Arial" w:cs="Arial"/>
          <w:sz w:val="24"/>
          <w:szCs w:val="24"/>
          <w:lang w:eastAsia="en-GB"/>
        </w:rPr>
        <w:t>may</w:t>
      </w:r>
      <w:r w:rsidR="002C258A" w:rsidRPr="002C258A">
        <w:rPr>
          <w:rFonts w:ascii="Arial" w:hAnsi="Arial" w:cs="Arial"/>
          <w:sz w:val="24"/>
          <w:szCs w:val="24"/>
          <w:lang w:eastAsia="en-GB"/>
        </w:rPr>
        <w:t xml:space="preserve"> be strengthened if it's proven that his employer neglected these statutory duties.</w:t>
      </w:r>
    </w:p>
    <w:p w14:paraId="28F32B3D" w14:textId="7EF87BC9" w:rsidR="00EE4A2C" w:rsidRPr="00EE4A2C" w:rsidRDefault="00542325" w:rsidP="00EE4A2C">
      <w:pPr>
        <w:rPr>
          <w:rFonts w:ascii="Arial" w:hAnsi="Arial" w:cs="Arial"/>
          <w:sz w:val="24"/>
          <w:szCs w:val="24"/>
        </w:rPr>
      </w:pPr>
      <w:r w:rsidRPr="00125A22">
        <w:rPr>
          <w:rFonts w:ascii="Arial" w:hAnsi="Arial" w:cs="Arial"/>
          <w:sz w:val="24"/>
          <w:szCs w:val="24"/>
        </w:rPr>
        <w:t>Vicarious liability is a legal principle in England and Wales under which an employer can be held responsible for the actions or omissions of its employees, provided these occur in the course of their employment. This concept is fundamental in employment law as it extends the responsibility for individual acts beyond the immediate perpetrator.</w:t>
      </w:r>
      <w:r w:rsidR="00125A22" w:rsidRPr="00125A22">
        <w:rPr>
          <w:rFonts w:ascii="Arial" w:hAnsi="Arial" w:cs="Arial"/>
          <w:sz w:val="24"/>
          <w:szCs w:val="24"/>
        </w:rPr>
        <w:t xml:space="preserve"> This </w:t>
      </w:r>
      <w:r w:rsidR="00125A22" w:rsidRPr="00125A22">
        <w:rPr>
          <w:rFonts w:ascii="Arial" w:hAnsi="Arial" w:cs="Arial"/>
          <w:sz w:val="24"/>
          <w:szCs w:val="24"/>
        </w:rPr>
        <w:t>typically applies in an employer-employee relationship. The critical aspect is whether the individual who committed the act was an employee and whether the act was closely connected to their employment.</w:t>
      </w:r>
      <w:r w:rsidR="00125A22">
        <w:rPr>
          <w:rFonts w:ascii="Arial" w:hAnsi="Arial" w:cs="Arial"/>
          <w:sz w:val="24"/>
          <w:szCs w:val="24"/>
        </w:rPr>
        <w:t xml:space="preserve"> </w:t>
      </w:r>
      <w:r w:rsidR="00125A22" w:rsidRPr="00125A22">
        <w:rPr>
          <w:rFonts w:ascii="Arial" w:hAnsi="Arial" w:cs="Arial"/>
          <w:sz w:val="24"/>
          <w:szCs w:val="24"/>
        </w:rPr>
        <w:t>For an employer to be vicariously liable, the employee’s actions must have occurred in the course of their employment. This does not necessarily mean during working hours or within the physical workplace, but it must be closely related to what the employee was employed to do</w:t>
      </w:r>
      <w:r w:rsidR="0076507A">
        <w:rPr>
          <w:rFonts w:ascii="Arial" w:hAnsi="Arial" w:cs="Arial"/>
          <w:sz w:val="24"/>
          <w:szCs w:val="24"/>
        </w:rPr>
        <w:t xml:space="preserve"> (Lunney, Nolan and Oliphant, 2017, pp.</w:t>
      </w:r>
      <w:r w:rsidR="00F1292C">
        <w:rPr>
          <w:rFonts w:ascii="Arial" w:hAnsi="Arial" w:cs="Arial"/>
          <w:sz w:val="24"/>
          <w:szCs w:val="24"/>
        </w:rPr>
        <w:t>831-836)</w:t>
      </w:r>
      <w:r w:rsidR="00125A22" w:rsidRPr="00125A22">
        <w:rPr>
          <w:rFonts w:ascii="Arial" w:hAnsi="Arial" w:cs="Arial"/>
          <w:sz w:val="24"/>
          <w:szCs w:val="24"/>
        </w:rPr>
        <w:t>.</w:t>
      </w:r>
      <w:r w:rsidR="00EE4A2C">
        <w:rPr>
          <w:rFonts w:ascii="Arial" w:hAnsi="Arial" w:cs="Arial"/>
          <w:sz w:val="24"/>
          <w:szCs w:val="24"/>
        </w:rPr>
        <w:t xml:space="preserve"> </w:t>
      </w:r>
      <w:r w:rsidR="00EE4A2C" w:rsidRPr="00EE4A2C">
        <w:rPr>
          <w:rFonts w:ascii="Arial" w:hAnsi="Arial" w:cs="Arial"/>
          <w:sz w:val="24"/>
          <w:szCs w:val="24"/>
        </w:rPr>
        <w:t xml:space="preserve">In the case of Hilton v Thomas Burton (Rhodes) Ltd [1961], the Court provided significant insights into the concept of vicarious liability. This case involved an employee injured at work due to the negligent act of a fellow employee. The Court held that the employer was vicariously liable for the injuries sustained by the employee because the negligent act occurred </w:t>
      </w:r>
      <w:r w:rsidR="00EE4A2C" w:rsidRPr="00EE4A2C">
        <w:rPr>
          <w:rFonts w:ascii="Arial" w:hAnsi="Arial" w:cs="Arial"/>
          <w:sz w:val="24"/>
          <w:szCs w:val="24"/>
        </w:rPr>
        <w:t>during</w:t>
      </w:r>
      <w:r w:rsidR="00EE4A2C" w:rsidRPr="00EE4A2C">
        <w:rPr>
          <w:rFonts w:ascii="Arial" w:hAnsi="Arial" w:cs="Arial"/>
          <w:sz w:val="24"/>
          <w:szCs w:val="24"/>
        </w:rPr>
        <w:t xml:space="preserve"> employment.</w:t>
      </w:r>
      <w:r w:rsidR="00EE4A2C">
        <w:rPr>
          <w:rFonts w:ascii="Arial" w:hAnsi="Arial" w:cs="Arial"/>
          <w:sz w:val="24"/>
          <w:szCs w:val="24"/>
        </w:rPr>
        <w:t xml:space="preserve"> </w:t>
      </w:r>
      <w:r w:rsidR="00EE4A2C" w:rsidRPr="00EE4A2C">
        <w:rPr>
          <w:rFonts w:ascii="Arial" w:hAnsi="Arial" w:cs="Arial"/>
          <w:sz w:val="24"/>
          <w:szCs w:val="24"/>
        </w:rPr>
        <w:t xml:space="preserve">The concept of what is within the ‘course of employment’ is broadly interpreted. In this case, the actions of the employee who caused the harm </w:t>
      </w:r>
      <w:r w:rsidR="00EE4A2C" w:rsidRPr="00EE4A2C">
        <w:rPr>
          <w:rFonts w:ascii="Arial" w:hAnsi="Arial" w:cs="Arial"/>
          <w:sz w:val="24"/>
          <w:szCs w:val="24"/>
        </w:rPr>
        <w:t>were</w:t>
      </w:r>
      <w:r w:rsidR="00EE4A2C" w:rsidRPr="00EE4A2C">
        <w:rPr>
          <w:rFonts w:ascii="Arial" w:hAnsi="Arial" w:cs="Arial"/>
          <w:sz w:val="24"/>
          <w:szCs w:val="24"/>
        </w:rPr>
        <w:t xml:space="preserve"> within the scope of his employment duties, thus making the employer liable</w:t>
      </w:r>
      <w:r w:rsidR="00EE4A2C">
        <w:rPr>
          <w:rFonts w:ascii="Arial" w:hAnsi="Arial" w:cs="Arial"/>
          <w:sz w:val="24"/>
          <w:szCs w:val="24"/>
        </w:rPr>
        <w:t xml:space="preserve">. </w:t>
      </w:r>
      <w:r w:rsidR="00EE4A2C" w:rsidRPr="00EE4A2C">
        <w:rPr>
          <w:rFonts w:ascii="Arial" w:hAnsi="Arial" w:cs="Arial"/>
          <w:sz w:val="24"/>
          <w:szCs w:val="24"/>
        </w:rPr>
        <w:t>The rationale for vicarious liability is partly based on policy, including the idea that employers are better placed to absorb the costs of workplace accidents (through insurance, for instance) and a desire to encourage safe work practices.</w:t>
      </w:r>
      <w:r w:rsidR="00EE4A2C">
        <w:rPr>
          <w:rFonts w:ascii="Arial" w:hAnsi="Arial" w:cs="Arial"/>
          <w:sz w:val="24"/>
          <w:szCs w:val="24"/>
        </w:rPr>
        <w:t xml:space="preserve"> </w:t>
      </w:r>
      <w:r w:rsidR="00EE4A2C" w:rsidRPr="00EE4A2C">
        <w:rPr>
          <w:rFonts w:ascii="Arial" w:hAnsi="Arial" w:cs="Arial"/>
          <w:sz w:val="24"/>
          <w:szCs w:val="24"/>
        </w:rPr>
        <w:t>The principle also serves a purpose of fairness and justice – ensuring that victims of negligence can be compensated by an employer who has the means to pay, rather than an individual employee who may not.</w:t>
      </w:r>
      <w:r w:rsidR="006A648E">
        <w:rPr>
          <w:rFonts w:ascii="Arial" w:hAnsi="Arial" w:cs="Arial"/>
          <w:sz w:val="24"/>
          <w:szCs w:val="24"/>
        </w:rPr>
        <w:t xml:space="preserve"> </w:t>
      </w:r>
      <w:r w:rsidR="006A648E" w:rsidRPr="006A648E">
        <w:rPr>
          <w:rFonts w:ascii="Arial" w:hAnsi="Arial" w:cs="Arial"/>
          <w:sz w:val="24"/>
          <w:szCs w:val="24"/>
        </w:rPr>
        <w:t>While the scope of vicarious liability has broadened, courts also recogni</w:t>
      </w:r>
      <w:r w:rsidR="006A648E">
        <w:rPr>
          <w:rFonts w:ascii="Arial" w:hAnsi="Arial" w:cs="Arial"/>
          <w:sz w:val="24"/>
          <w:szCs w:val="24"/>
        </w:rPr>
        <w:t>s</w:t>
      </w:r>
      <w:r w:rsidR="006A648E" w:rsidRPr="006A648E">
        <w:rPr>
          <w:rFonts w:ascii="Arial" w:hAnsi="Arial" w:cs="Arial"/>
          <w:sz w:val="24"/>
          <w:szCs w:val="24"/>
        </w:rPr>
        <w:t>e its limits. Not every action of an employee can render an employer liable. There must be a sufficient connection between the wrongful act and the employment.</w:t>
      </w:r>
    </w:p>
    <w:p w14:paraId="166D0D6D" w14:textId="13CE8B78" w:rsidR="00542325" w:rsidRPr="004D1993" w:rsidRDefault="00542325" w:rsidP="004D1993">
      <w:pPr>
        <w:rPr>
          <w:rFonts w:ascii="Arial" w:hAnsi="Arial" w:cs="Arial"/>
          <w:sz w:val="24"/>
          <w:szCs w:val="24"/>
        </w:rPr>
      </w:pPr>
    </w:p>
    <w:p w14:paraId="474D1E1F" w14:textId="77777777" w:rsidR="00AD1472" w:rsidRDefault="00AD1472" w:rsidP="001D6BF1">
      <w:pPr>
        <w:rPr>
          <w:rFonts w:ascii="Arial" w:hAnsi="Arial" w:cs="Arial"/>
          <w:sz w:val="24"/>
          <w:szCs w:val="24"/>
          <w:lang w:eastAsia="en-GB"/>
        </w:rPr>
      </w:pPr>
    </w:p>
    <w:p w14:paraId="5579EDCE" w14:textId="77777777" w:rsidR="00AD1472" w:rsidRDefault="00AD1472" w:rsidP="001D6BF1">
      <w:pPr>
        <w:rPr>
          <w:rFonts w:ascii="Arial" w:hAnsi="Arial" w:cs="Arial"/>
          <w:sz w:val="24"/>
          <w:szCs w:val="24"/>
          <w:lang w:eastAsia="en-GB"/>
        </w:rPr>
      </w:pPr>
    </w:p>
    <w:p w14:paraId="2A5DF344" w14:textId="77777777" w:rsidR="00B075D2" w:rsidRDefault="00B075D2" w:rsidP="001D6BF1">
      <w:pPr>
        <w:rPr>
          <w:rFonts w:ascii="Arial" w:hAnsi="Arial" w:cs="Arial"/>
          <w:sz w:val="24"/>
          <w:szCs w:val="24"/>
          <w:lang w:eastAsia="en-GB"/>
        </w:rPr>
      </w:pPr>
    </w:p>
    <w:p w14:paraId="45D77057" w14:textId="77777777" w:rsidR="00B075D2" w:rsidRDefault="00B075D2" w:rsidP="001D6BF1">
      <w:pPr>
        <w:rPr>
          <w:rFonts w:ascii="Arial" w:hAnsi="Arial" w:cs="Arial"/>
          <w:sz w:val="24"/>
          <w:szCs w:val="24"/>
          <w:lang w:eastAsia="en-GB"/>
        </w:rPr>
      </w:pPr>
    </w:p>
    <w:p w14:paraId="106A0ED0" w14:textId="46F86AF2" w:rsidR="002C258A" w:rsidRDefault="000E53A5" w:rsidP="001D6BF1">
      <w:pPr>
        <w:rPr>
          <w:rFonts w:ascii="Arial" w:hAnsi="Arial" w:cs="Arial"/>
          <w:sz w:val="24"/>
          <w:szCs w:val="24"/>
          <w:lang w:eastAsia="en-GB"/>
        </w:rPr>
      </w:pPr>
      <w:r w:rsidRPr="000E53A5">
        <w:rPr>
          <w:rFonts w:ascii="Arial" w:hAnsi="Arial" w:cs="Arial"/>
          <w:sz w:val="24"/>
          <w:szCs w:val="24"/>
        </w:rPr>
        <w:t>The Bolam test, originating from the case of Bolam v Friern Hospital Management Committee (1957), is a significant legal principle in the law of negligence in England and Wales, particularly in cases involving professional standards, such as medical negligence.</w:t>
      </w:r>
      <w:r>
        <w:rPr>
          <w:rFonts w:ascii="Arial" w:hAnsi="Arial" w:cs="Arial"/>
          <w:sz w:val="24"/>
          <w:szCs w:val="24"/>
        </w:rPr>
        <w:t xml:space="preserve"> </w:t>
      </w:r>
      <w:r w:rsidRPr="000E53A5">
        <w:rPr>
          <w:rFonts w:ascii="Arial" w:hAnsi="Arial" w:cs="Arial"/>
          <w:sz w:val="24"/>
          <w:szCs w:val="24"/>
        </w:rPr>
        <w:t xml:space="preserve">The test established that a professional </w:t>
      </w:r>
      <w:r>
        <w:rPr>
          <w:rFonts w:ascii="Arial" w:hAnsi="Arial" w:cs="Arial"/>
          <w:sz w:val="24"/>
          <w:szCs w:val="24"/>
        </w:rPr>
        <w:t>such as a doctor</w:t>
      </w:r>
      <w:r w:rsidRPr="000E53A5">
        <w:rPr>
          <w:rFonts w:ascii="Arial" w:hAnsi="Arial" w:cs="Arial"/>
          <w:sz w:val="24"/>
          <w:szCs w:val="24"/>
        </w:rPr>
        <w:t xml:space="preserve"> is not negligent if they act in accordance with a practice accepted as proper by a responsible body of medical opinion, even if there is a body of opinion that takes a contrary view. In other words, it emphasi</w:t>
      </w:r>
      <w:r w:rsidR="004F08A5">
        <w:rPr>
          <w:rFonts w:ascii="Arial" w:hAnsi="Arial" w:cs="Arial"/>
          <w:sz w:val="24"/>
          <w:szCs w:val="24"/>
        </w:rPr>
        <w:t>s</w:t>
      </w:r>
      <w:r w:rsidRPr="000E53A5">
        <w:rPr>
          <w:rFonts w:ascii="Arial" w:hAnsi="Arial" w:cs="Arial"/>
          <w:sz w:val="24"/>
          <w:szCs w:val="24"/>
        </w:rPr>
        <w:t>es that professionals are judged against the standards of their peers, rather than by a general standard of care.</w:t>
      </w:r>
      <w:r w:rsidR="007560E7">
        <w:rPr>
          <w:rFonts w:ascii="Arial" w:hAnsi="Arial" w:cs="Arial"/>
          <w:sz w:val="24"/>
          <w:szCs w:val="24"/>
        </w:rPr>
        <w:t xml:space="preserve"> </w:t>
      </w:r>
      <w:r w:rsidRPr="000E53A5">
        <w:rPr>
          <w:rFonts w:ascii="Arial" w:hAnsi="Arial" w:cs="Arial"/>
          <w:sz w:val="24"/>
          <w:szCs w:val="24"/>
        </w:rPr>
        <w:t>The test acknowledges that in many professional fields, especially in medicine, there can be more than one accepted method or practice. A professional wouldn't be negligent if they followed one such accepted practice, even if another approach might have avoided the negative outcome.</w:t>
      </w:r>
      <w:r w:rsidR="007560E7">
        <w:rPr>
          <w:rFonts w:ascii="Arial" w:hAnsi="Arial" w:cs="Arial"/>
          <w:sz w:val="24"/>
          <w:szCs w:val="24"/>
        </w:rPr>
        <w:t xml:space="preserve"> </w:t>
      </w:r>
      <w:r w:rsidRPr="000E53A5">
        <w:rPr>
          <w:rFonts w:ascii="Arial" w:hAnsi="Arial" w:cs="Arial"/>
          <w:sz w:val="24"/>
          <w:szCs w:val="24"/>
        </w:rPr>
        <w:t>In a negligence case against a hospital, the Bolam test would be used to determine if the healthcare professionals met the standard of care expected of them. The court would consider if the actions of the medical staff were consistent with practices accepted by a responsible body of medical professionals.</w:t>
      </w:r>
      <w:r w:rsidR="00145A6B">
        <w:rPr>
          <w:rFonts w:ascii="Arial" w:hAnsi="Arial" w:cs="Arial"/>
          <w:sz w:val="24"/>
          <w:szCs w:val="24"/>
        </w:rPr>
        <w:t xml:space="preserve"> </w:t>
      </w:r>
      <w:r w:rsidRPr="000E53A5">
        <w:rPr>
          <w:rFonts w:ascii="Arial" w:hAnsi="Arial" w:cs="Arial"/>
          <w:sz w:val="24"/>
          <w:szCs w:val="24"/>
        </w:rPr>
        <w:t>Such cases often involve expert testimony, where medical experts explain the accepted practices in the field relevant to the case. The court would rely on this testimony to understand if the professional's actions were defensible under the Bolam test.</w:t>
      </w:r>
      <w:r w:rsidR="00145A6B">
        <w:rPr>
          <w:rFonts w:ascii="Arial" w:hAnsi="Arial" w:cs="Arial"/>
          <w:sz w:val="24"/>
          <w:szCs w:val="24"/>
        </w:rPr>
        <w:t xml:space="preserve"> </w:t>
      </w:r>
      <w:r w:rsidRPr="000E53A5">
        <w:rPr>
          <w:rFonts w:ascii="Arial" w:hAnsi="Arial" w:cs="Arial"/>
          <w:sz w:val="24"/>
          <w:szCs w:val="24"/>
        </w:rPr>
        <w:t>The strict application of the Bolam test has evolved over time. In more recent cases, like the case of Montgomery v Lanarkshire Health Board (2015), the courts have moved towards a greater emphasis on patient autonomy and informed consent. This means that the duty of care involves not just providing treatment according to accepted medical practices, but also ensuring that patients are adequately informed about the risks and alternatives.</w:t>
      </w:r>
      <w:r w:rsidR="007F1E6B">
        <w:rPr>
          <w:rFonts w:ascii="Arial" w:hAnsi="Arial" w:cs="Arial"/>
          <w:sz w:val="24"/>
          <w:szCs w:val="24"/>
        </w:rPr>
        <w:t xml:space="preserve"> </w:t>
      </w:r>
      <w:r w:rsidRPr="000E53A5">
        <w:rPr>
          <w:rFonts w:ascii="Arial" w:hAnsi="Arial" w:cs="Arial"/>
          <w:sz w:val="24"/>
          <w:szCs w:val="24"/>
        </w:rPr>
        <w:t>While the Bolam test is influential, it's not absolute. The court might find a practice acceptable amongst a group of professionals but still deem it negligent if it's considered unreasonable or not in line with modern standards.</w:t>
      </w:r>
      <w:r w:rsidR="00EF683C">
        <w:rPr>
          <w:rFonts w:ascii="Arial" w:hAnsi="Arial" w:cs="Arial"/>
          <w:sz w:val="24"/>
          <w:szCs w:val="24"/>
        </w:rPr>
        <w:t xml:space="preserve"> </w:t>
      </w:r>
      <w:r w:rsidR="002C258A" w:rsidRPr="002C258A">
        <w:rPr>
          <w:rFonts w:ascii="Arial" w:hAnsi="Arial" w:cs="Arial"/>
          <w:sz w:val="24"/>
          <w:szCs w:val="24"/>
          <w:lang w:eastAsia="en-GB"/>
        </w:rPr>
        <w:t>The initial dismissal of Elijah’s condition could be argued as a failure to meet this standard.</w:t>
      </w:r>
    </w:p>
    <w:p w14:paraId="254C146F" w14:textId="0248BA47" w:rsidR="00F73236" w:rsidRDefault="00F73236" w:rsidP="001D6BF1">
      <w:pPr>
        <w:rPr>
          <w:rFonts w:ascii="Arial" w:hAnsi="Arial" w:cs="Arial"/>
          <w:sz w:val="24"/>
          <w:szCs w:val="24"/>
        </w:rPr>
      </w:pPr>
      <w:r w:rsidRPr="00F73236">
        <w:rPr>
          <w:rFonts w:ascii="Arial" w:hAnsi="Arial" w:cs="Arial"/>
          <w:sz w:val="24"/>
          <w:szCs w:val="24"/>
        </w:rPr>
        <w:t>In evaluating whether Elijah could bring a successful case against his employer and the GP surgery under the law in England and Wales, it's important to consider the principles of negligence and the duty of care in both employment and medical contexts.</w:t>
      </w:r>
      <w:r w:rsidR="00D358EF">
        <w:rPr>
          <w:rFonts w:ascii="Arial" w:hAnsi="Arial" w:cs="Arial"/>
          <w:sz w:val="24"/>
          <w:szCs w:val="24"/>
        </w:rPr>
        <w:t xml:space="preserve"> </w:t>
      </w:r>
      <w:r w:rsidR="00D358EF" w:rsidRPr="00D358EF">
        <w:rPr>
          <w:rFonts w:ascii="Arial" w:hAnsi="Arial" w:cs="Arial"/>
          <w:sz w:val="24"/>
          <w:szCs w:val="24"/>
        </w:rPr>
        <w:t>In Elijah's case, there was a pile of boxes in a walkway, a potential hazard. If the employer failed to properly mark this hazard or ensure the walkway was clear, this could constitute a breach of their duty of care. However, the presence of a warning sign complicates this matter. If the sign was adequately visible and clear, the employer might argue they took reasonable steps to warn employees of the hazard.</w:t>
      </w:r>
      <w:r w:rsidR="005D0089">
        <w:rPr>
          <w:rFonts w:ascii="Arial" w:hAnsi="Arial" w:cs="Arial"/>
          <w:sz w:val="24"/>
          <w:szCs w:val="24"/>
        </w:rPr>
        <w:t xml:space="preserve"> </w:t>
      </w:r>
      <w:r w:rsidR="005D0089" w:rsidRPr="005D0089">
        <w:rPr>
          <w:rFonts w:ascii="Arial" w:hAnsi="Arial" w:cs="Arial"/>
          <w:sz w:val="24"/>
          <w:szCs w:val="24"/>
        </w:rPr>
        <w:t>A significant aspect here is Elijah's own actions. He was reading a text message while walking, which might be seen as contributory negligence. In English law, if the claimant is partly responsible for their injuries, the compensation may be reduced accordingly.</w:t>
      </w:r>
      <w:r w:rsidR="005D0089">
        <w:rPr>
          <w:rFonts w:ascii="Arial" w:hAnsi="Arial" w:cs="Arial"/>
          <w:sz w:val="24"/>
          <w:szCs w:val="24"/>
        </w:rPr>
        <w:t xml:space="preserve"> </w:t>
      </w:r>
    </w:p>
    <w:p w14:paraId="1802CA2D" w14:textId="3C9DBF94" w:rsidR="00707BDC" w:rsidRDefault="00707BDC" w:rsidP="00707BDC">
      <w:pPr>
        <w:rPr>
          <w:rFonts w:ascii="Arial" w:hAnsi="Arial" w:cs="Arial"/>
          <w:sz w:val="24"/>
          <w:szCs w:val="24"/>
        </w:rPr>
      </w:pPr>
      <w:r w:rsidRPr="00707BDC">
        <w:rPr>
          <w:rFonts w:ascii="Arial" w:hAnsi="Arial" w:cs="Arial"/>
          <w:sz w:val="24"/>
          <w:szCs w:val="24"/>
        </w:rPr>
        <w:lastRenderedPageBreak/>
        <w:t>To establish medical negligence, Elijah must prove that the care he received fell below the standard expected of a reasonably competent professional (the Bolam test), and this negligence caused his harm.</w:t>
      </w:r>
      <w:r>
        <w:rPr>
          <w:rFonts w:ascii="Arial" w:hAnsi="Arial" w:cs="Arial"/>
          <w:sz w:val="24"/>
          <w:szCs w:val="24"/>
        </w:rPr>
        <w:t xml:space="preserve"> </w:t>
      </w:r>
      <w:r w:rsidRPr="00707BDC">
        <w:rPr>
          <w:rFonts w:ascii="Arial" w:hAnsi="Arial" w:cs="Arial"/>
          <w:sz w:val="24"/>
          <w:szCs w:val="24"/>
        </w:rPr>
        <w:t>At his first hospital visit, if the medical staff failed to properly assess Elijah's wound, leading to a misdiagnosis or delayed diagnosis of gangrene, this could constitute negligence. Medical professionals have a duty to provide care that meets the standard expected in their field.</w:t>
      </w:r>
      <w:r w:rsidR="00A7567A">
        <w:rPr>
          <w:rFonts w:ascii="Arial" w:hAnsi="Arial" w:cs="Arial"/>
          <w:sz w:val="24"/>
          <w:szCs w:val="24"/>
        </w:rPr>
        <w:t xml:space="preserve"> </w:t>
      </w:r>
      <w:r w:rsidRPr="00707BDC">
        <w:rPr>
          <w:rFonts w:ascii="Arial" w:hAnsi="Arial" w:cs="Arial"/>
          <w:sz w:val="24"/>
          <w:szCs w:val="24"/>
        </w:rPr>
        <w:t>Elijah would need to demonstrate that the negligence directly caused his condition to worsen. If the delay in proper treatment led to a more severe outcome or additional surgery that wouldn't have been necessary with prompt and proper care, this could support his claim.</w:t>
      </w:r>
      <w:r w:rsidR="00A7567A">
        <w:rPr>
          <w:rFonts w:ascii="Arial" w:hAnsi="Arial" w:cs="Arial"/>
          <w:sz w:val="24"/>
          <w:szCs w:val="24"/>
        </w:rPr>
        <w:t xml:space="preserve"> </w:t>
      </w:r>
      <w:r w:rsidRPr="00707BDC">
        <w:rPr>
          <w:rFonts w:ascii="Arial" w:hAnsi="Arial" w:cs="Arial"/>
          <w:sz w:val="24"/>
          <w:szCs w:val="24"/>
        </w:rPr>
        <w:t>The hospital might argue that Elijah's own delay in seeking medical attention (ignoring the wound initially) contributed to the severity of his condition. This could be used to mitigate their liability.</w:t>
      </w:r>
    </w:p>
    <w:p w14:paraId="7FD30405" w14:textId="7A215C6A" w:rsidR="00C909C0" w:rsidRPr="00C909C0" w:rsidRDefault="00C909C0" w:rsidP="00C909C0">
      <w:pPr>
        <w:rPr>
          <w:rFonts w:ascii="Arial" w:hAnsi="Arial" w:cs="Arial"/>
          <w:sz w:val="24"/>
          <w:szCs w:val="24"/>
        </w:rPr>
      </w:pPr>
      <w:r w:rsidRPr="00C909C0">
        <w:rPr>
          <w:rFonts w:ascii="Arial" w:hAnsi="Arial" w:cs="Arial"/>
          <w:sz w:val="24"/>
          <w:szCs w:val="24"/>
        </w:rPr>
        <w:t>Elijah's video of the incident and his medical records will be crucial. The video might show the layout of the accident site and the warning sign's visibility, while medical records would document his treatment and any failings in care.</w:t>
      </w:r>
      <w:r>
        <w:rPr>
          <w:rFonts w:ascii="Arial" w:hAnsi="Arial" w:cs="Arial"/>
          <w:sz w:val="24"/>
          <w:szCs w:val="24"/>
        </w:rPr>
        <w:t xml:space="preserve"> </w:t>
      </w:r>
      <w:r w:rsidRPr="00C909C0">
        <w:rPr>
          <w:rFonts w:ascii="Arial" w:hAnsi="Arial" w:cs="Arial"/>
          <w:sz w:val="24"/>
          <w:szCs w:val="24"/>
        </w:rPr>
        <w:t>In both claims, expert testimony would be key. For the employment claim, a health and safety expert might assess the adequacy of the employer's safety measures. For the medical claim, a medical expert would opine on the standard of care provided.</w:t>
      </w:r>
      <w:r>
        <w:rPr>
          <w:rFonts w:ascii="Arial" w:hAnsi="Arial" w:cs="Arial"/>
          <w:sz w:val="24"/>
          <w:szCs w:val="24"/>
        </w:rPr>
        <w:t xml:space="preserve"> </w:t>
      </w:r>
      <w:r w:rsidRPr="00C909C0">
        <w:rPr>
          <w:rFonts w:ascii="Arial" w:hAnsi="Arial" w:cs="Arial"/>
          <w:sz w:val="24"/>
          <w:szCs w:val="24"/>
        </w:rPr>
        <w:t>If successful, Elijah's compensation would depend on the extent of his injuries, the impact on his quality of life, and any financial losses incurred, such as loss of earnings or medical expenses.</w:t>
      </w:r>
    </w:p>
    <w:p w14:paraId="0615702A" w14:textId="5054F8DE" w:rsidR="002C258A" w:rsidRPr="002C258A" w:rsidRDefault="002C258A" w:rsidP="001D6BF1">
      <w:pPr>
        <w:rPr>
          <w:rFonts w:ascii="Arial" w:hAnsi="Arial" w:cs="Arial"/>
          <w:sz w:val="24"/>
          <w:szCs w:val="24"/>
          <w:lang w:eastAsia="en-GB"/>
        </w:rPr>
      </w:pPr>
      <w:r w:rsidRPr="002C258A">
        <w:rPr>
          <w:rFonts w:ascii="Arial" w:hAnsi="Arial" w:cs="Arial"/>
          <w:sz w:val="24"/>
          <w:szCs w:val="24"/>
          <w:lang w:eastAsia="en-GB"/>
        </w:rPr>
        <w:t>To succeed, Elijah must prove causation and damage. The worsening of his condition, leading to gangrene, could be directly attributed to the delayed diagnosis and treatment, as emphasized in cases like Barnett v Chelsea and Kensington Hospital Management Committee [1969].</w:t>
      </w:r>
      <w:r w:rsidR="00EC2088">
        <w:rPr>
          <w:rFonts w:ascii="Arial" w:hAnsi="Arial" w:cs="Arial"/>
          <w:sz w:val="24"/>
          <w:szCs w:val="24"/>
          <w:lang w:eastAsia="en-GB"/>
        </w:rPr>
        <w:t xml:space="preserve"> </w:t>
      </w:r>
      <w:r w:rsidRPr="002C258A">
        <w:rPr>
          <w:rFonts w:ascii="Arial" w:hAnsi="Arial" w:cs="Arial"/>
          <w:sz w:val="24"/>
          <w:szCs w:val="24"/>
          <w:lang w:eastAsia="en-GB"/>
        </w:rPr>
        <w:t xml:space="preserve">In both cases, a potential </w:t>
      </w:r>
      <w:r w:rsidR="00152CE9" w:rsidRPr="002C258A">
        <w:rPr>
          <w:rFonts w:ascii="Arial" w:hAnsi="Arial" w:cs="Arial"/>
          <w:sz w:val="24"/>
          <w:szCs w:val="24"/>
          <w:lang w:eastAsia="en-GB"/>
        </w:rPr>
        <w:t>defence</w:t>
      </w:r>
      <w:r w:rsidRPr="002C258A">
        <w:rPr>
          <w:rFonts w:ascii="Arial" w:hAnsi="Arial" w:cs="Arial"/>
          <w:sz w:val="24"/>
          <w:szCs w:val="24"/>
          <w:lang w:eastAsia="en-GB"/>
        </w:rPr>
        <w:t xml:space="preserve"> is contributory negligence. Elijah’s distraction by his phone at the time of the workplace accident and his initial decision to ignore his injury could be argued as contributing factors to the severity of his injuries.</w:t>
      </w:r>
      <w:r w:rsidR="00EC2088">
        <w:rPr>
          <w:rFonts w:ascii="Arial" w:hAnsi="Arial" w:cs="Arial"/>
          <w:sz w:val="24"/>
          <w:szCs w:val="24"/>
          <w:lang w:eastAsia="en-GB"/>
        </w:rPr>
        <w:t xml:space="preserve"> </w:t>
      </w:r>
      <w:r w:rsidRPr="002C258A">
        <w:rPr>
          <w:rFonts w:ascii="Arial" w:hAnsi="Arial" w:cs="Arial"/>
          <w:sz w:val="24"/>
          <w:szCs w:val="24"/>
          <w:lang w:eastAsia="en-GB"/>
        </w:rPr>
        <w:t>The hospital might argue a break in the chain of causation, suggesting that the development of gangrene was not a foreseeable consequence of their initial assessment.</w:t>
      </w:r>
    </w:p>
    <w:p w14:paraId="4ED7A7F9" w14:textId="513304B7" w:rsidR="002C258A" w:rsidRPr="00EC2088" w:rsidRDefault="00EC2088" w:rsidP="001D6BF1">
      <w:pPr>
        <w:rPr>
          <w:rFonts w:ascii="Arial" w:hAnsi="Arial" w:cs="Arial"/>
          <w:sz w:val="28"/>
          <w:szCs w:val="28"/>
        </w:rPr>
      </w:pPr>
      <w:r w:rsidRPr="00EC2088">
        <w:rPr>
          <w:rFonts w:ascii="Arial" w:hAnsi="Arial" w:cs="Arial"/>
          <w:sz w:val="24"/>
          <w:szCs w:val="24"/>
        </w:rPr>
        <w:t>In conclusion, Elijah has potential grounds to bring claims against both his employer and the GP surgery. However, the success of these claims would hinge on complex factors including the specifics of the employer's health and safety measures, the medical treatment provided, and Elijah's own actions both during the accident and in seeking medical care. The principles of contributory negligence and professional standards of care would play crucial roles in determining liability and the extent of any damages awarded.</w:t>
      </w:r>
    </w:p>
    <w:p w14:paraId="6FE0958C" w14:textId="77777777" w:rsidR="002C258A" w:rsidRDefault="002C258A" w:rsidP="001D6BF1">
      <w:pPr>
        <w:rPr>
          <w:rFonts w:ascii="Arial" w:hAnsi="Arial" w:cs="Arial"/>
          <w:sz w:val="24"/>
          <w:szCs w:val="24"/>
        </w:rPr>
      </w:pPr>
    </w:p>
    <w:p w14:paraId="1D777274" w14:textId="77777777" w:rsidR="00EC2088" w:rsidRDefault="00EC2088" w:rsidP="001D6BF1">
      <w:pPr>
        <w:rPr>
          <w:rFonts w:ascii="Arial" w:hAnsi="Arial" w:cs="Arial"/>
          <w:sz w:val="24"/>
          <w:szCs w:val="24"/>
        </w:rPr>
      </w:pPr>
    </w:p>
    <w:p w14:paraId="4B8A48ED" w14:textId="77777777" w:rsidR="00EC2088" w:rsidRDefault="00EC2088" w:rsidP="001D6BF1">
      <w:pPr>
        <w:rPr>
          <w:rFonts w:ascii="Arial" w:hAnsi="Arial" w:cs="Arial"/>
          <w:sz w:val="24"/>
          <w:szCs w:val="24"/>
        </w:rPr>
      </w:pPr>
    </w:p>
    <w:p w14:paraId="46768EF0" w14:textId="77777777" w:rsidR="00EC2088" w:rsidRDefault="00EC2088" w:rsidP="001D6BF1">
      <w:pPr>
        <w:rPr>
          <w:rFonts w:ascii="Arial" w:hAnsi="Arial" w:cs="Arial"/>
          <w:sz w:val="24"/>
          <w:szCs w:val="24"/>
        </w:rPr>
      </w:pPr>
    </w:p>
    <w:p w14:paraId="0998483E" w14:textId="77777777" w:rsidR="00EC2088" w:rsidRDefault="00EC2088" w:rsidP="001D6BF1">
      <w:pPr>
        <w:rPr>
          <w:rFonts w:ascii="Arial" w:hAnsi="Arial" w:cs="Arial"/>
          <w:sz w:val="24"/>
          <w:szCs w:val="24"/>
        </w:rPr>
      </w:pPr>
    </w:p>
    <w:p w14:paraId="61239A71" w14:textId="77777777" w:rsidR="00EC2088" w:rsidRDefault="00EC2088" w:rsidP="001D6BF1">
      <w:pPr>
        <w:rPr>
          <w:rFonts w:ascii="Arial" w:hAnsi="Arial" w:cs="Arial"/>
          <w:sz w:val="24"/>
          <w:szCs w:val="24"/>
        </w:rPr>
      </w:pPr>
    </w:p>
    <w:p w14:paraId="42EF095F" w14:textId="05F06D50" w:rsidR="00EC2088" w:rsidRDefault="00EC2088" w:rsidP="003D19B9">
      <w:pPr>
        <w:jc w:val="center"/>
        <w:rPr>
          <w:rFonts w:ascii="Arial" w:hAnsi="Arial" w:cs="Arial"/>
          <w:sz w:val="24"/>
          <w:szCs w:val="24"/>
        </w:rPr>
      </w:pPr>
      <w:r>
        <w:rPr>
          <w:rFonts w:ascii="Arial" w:hAnsi="Arial" w:cs="Arial"/>
          <w:sz w:val="24"/>
          <w:szCs w:val="24"/>
        </w:rPr>
        <w:lastRenderedPageBreak/>
        <w:t>References</w:t>
      </w:r>
    </w:p>
    <w:p w14:paraId="52783450" w14:textId="77777777" w:rsidR="003D19B9" w:rsidRDefault="003D19B9" w:rsidP="003D19B9">
      <w:pPr>
        <w:rPr>
          <w:rFonts w:ascii="Arial" w:hAnsi="Arial" w:cs="Arial"/>
          <w:sz w:val="24"/>
          <w:szCs w:val="24"/>
        </w:rPr>
      </w:pPr>
      <w:r>
        <w:rPr>
          <w:rFonts w:ascii="Arial" w:hAnsi="Arial" w:cs="Arial"/>
          <w:sz w:val="24"/>
          <w:szCs w:val="24"/>
        </w:rPr>
        <w:t>‘</w:t>
      </w:r>
      <w:r w:rsidRPr="00DB106C">
        <w:rPr>
          <w:rFonts w:ascii="Arial" w:hAnsi="Arial" w:cs="Arial"/>
          <w:sz w:val="24"/>
          <w:szCs w:val="24"/>
        </w:rPr>
        <w:t>Barnett v Chelsea and Kensington Hospital Management Committee</w:t>
      </w:r>
      <w:r>
        <w:rPr>
          <w:rFonts w:ascii="Arial" w:hAnsi="Arial" w:cs="Arial"/>
          <w:sz w:val="24"/>
          <w:szCs w:val="24"/>
        </w:rPr>
        <w:t xml:space="preserve">’ (1969) </w:t>
      </w:r>
      <w:r w:rsidRPr="00097174">
        <w:rPr>
          <w:rFonts w:ascii="Arial" w:hAnsi="Arial" w:cs="Arial"/>
          <w:i/>
          <w:iCs/>
          <w:sz w:val="24"/>
          <w:szCs w:val="24"/>
        </w:rPr>
        <w:t>Law Reports, Queen’s Bench Division</w:t>
      </w:r>
      <w:r>
        <w:rPr>
          <w:rFonts w:ascii="Arial" w:hAnsi="Arial" w:cs="Arial"/>
          <w:sz w:val="24"/>
          <w:szCs w:val="24"/>
        </w:rPr>
        <w:t xml:space="preserve">, 1, pp. 428-438. Available at: </w:t>
      </w:r>
      <w:hyperlink r:id="rId8" w:history="1">
        <w:r w:rsidRPr="00EF4A2F">
          <w:rPr>
            <w:rStyle w:val="Hyperlink"/>
            <w:rFonts w:ascii="Arial" w:hAnsi="Arial" w:cs="Arial"/>
            <w:sz w:val="24"/>
            <w:szCs w:val="24"/>
          </w:rPr>
          <w:t>https://plus-lexis-com.ezproxy.uwtsd.ac.uk/uk/cases-uk/barnett-v-chelsea-and-kensington-hospital-man_3?crid=fa3048ef-57ca-4eb6-a4ba-de71d163fd48&amp;pdiskwicview=false</w:t>
        </w:r>
      </w:hyperlink>
      <w:r>
        <w:rPr>
          <w:rFonts w:ascii="Arial" w:hAnsi="Arial" w:cs="Arial"/>
          <w:sz w:val="24"/>
          <w:szCs w:val="24"/>
        </w:rPr>
        <w:t xml:space="preserve"> (Accessed: 25 January 2024). </w:t>
      </w:r>
    </w:p>
    <w:p w14:paraId="5C00E915" w14:textId="77777777" w:rsidR="00485616" w:rsidRDefault="00485616" w:rsidP="00485616">
      <w:pPr>
        <w:rPr>
          <w:rFonts w:ascii="Arial" w:hAnsi="Arial" w:cs="Arial"/>
          <w:sz w:val="24"/>
          <w:szCs w:val="24"/>
        </w:rPr>
      </w:pPr>
      <w:r>
        <w:rPr>
          <w:rFonts w:ascii="Arial" w:hAnsi="Arial" w:cs="Arial"/>
          <w:sz w:val="24"/>
          <w:szCs w:val="24"/>
        </w:rPr>
        <w:t>‘</w:t>
      </w:r>
      <w:r w:rsidRPr="00D73282">
        <w:rPr>
          <w:rFonts w:ascii="Arial" w:hAnsi="Arial" w:cs="Arial"/>
          <w:sz w:val="24"/>
          <w:szCs w:val="24"/>
        </w:rPr>
        <w:t>Blyth v Birmingham Waterworks Co</w:t>
      </w:r>
      <w:r>
        <w:rPr>
          <w:rFonts w:ascii="Arial" w:hAnsi="Arial" w:cs="Arial"/>
          <w:sz w:val="24"/>
          <w:szCs w:val="24"/>
        </w:rPr>
        <w:t xml:space="preserve">’ (1856) </w:t>
      </w:r>
      <w:r w:rsidRPr="003E4226">
        <w:rPr>
          <w:rFonts w:ascii="Arial" w:hAnsi="Arial" w:cs="Arial"/>
          <w:i/>
          <w:iCs/>
          <w:sz w:val="24"/>
          <w:szCs w:val="24"/>
        </w:rPr>
        <w:t>Law Reports, Exchequer</w:t>
      </w:r>
      <w:r>
        <w:rPr>
          <w:rFonts w:ascii="Arial" w:hAnsi="Arial" w:cs="Arial"/>
          <w:sz w:val="24"/>
          <w:szCs w:val="24"/>
        </w:rPr>
        <w:t xml:space="preserve">, 11, pp. 478-479. Available at: </w:t>
      </w:r>
      <w:hyperlink r:id="rId9" w:history="1">
        <w:r w:rsidRPr="00EF4A2F">
          <w:rPr>
            <w:rStyle w:val="Hyperlink"/>
            <w:rFonts w:ascii="Arial" w:hAnsi="Arial" w:cs="Arial"/>
            <w:sz w:val="24"/>
            <w:szCs w:val="24"/>
          </w:rPr>
          <w:t>https://plus-lexis-com.ezproxy.uwtsd.ac.uk/uk/cases-uk/blyth-v-birmingham-waterworks-co-1843-60-al?crid=8c730392-b212-46f5-9a10-e18a654f13bf&amp;pdiskwicview=false</w:t>
        </w:r>
      </w:hyperlink>
      <w:r>
        <w:rPr>
          <w:rFonts w:ascii="Arial" w:hAnsi="Arial" w:cs="Arial"/>
          <w:sz w:val="24"/>
          <w:szCs w:val="24"/>
        </w:rPr>
        <w:t xml:space="preserve"> (Accessed: 25 January 2024). </w:t>
      </w:r>
    </w:p>
    <w:p w14:paraId="5405FF37" w14:textId="77777777" w:rsidR="00485616" w:rsidRDefault="00485616" w:rsidP="00485616">
      <w:pPr>
        <w:rPr>
          <w:rFonts w:ascii="Arial" w:hAnsi="Arial" w:cs="Arial"/>
          <w:sz w:val="24"/>
          <w:szCs w:val="24"/>
        </w:rPr>
      </w:pPr>
      <w:r>
        <w:rPr>
          <w:rFonts w:ascii="Arial" w:hAnsi="Arial" w:cs="Arial"/>
          <w:sz w:val="24"/>
          <w:szCs w:val="24"/>
        </w:rPr>
        <w:t>‘</w:t>
      </w:r>
      <w:r w:rsidRPr="00836431">
        <w:rPr>
          <w:rFonts w:ascii="Arial" w:hAnsi="Arial" w:cs="Arial"/>
          <w:sz w:val="24"/>
          <w:szCs w:val="24"/>
        </w:rPr>
        <w:t>Bolam v Friern Hospital Management Committee</w:t>
      </w:r>
      <w:r>
        <w:rPr>
          <w:rFonts w:ascii="Arial" w:hAnsi="Arial" w:cs="Arial"/>
          <w:sz w:val="24"/>
          <w:szCs w:val="24"/>
        </w:rPr>
        <w:t xml:space="preserve">’ (1957) </w:t>
      </w:r>
      <w:r w:rsidRPr="004977CB">
        <w:rPr>
          <w:rFonts w:ascii="Arial" w:hAnsi="Arial" w:cs="Arial"/>
          <w:i/>
          <w:iCs/>
          <w:sz w:val="24"/>
          <w:szCs w:val="24"/>
        </w:rPr>
        <w:t>All England Law Reports</w:t>
      </w:r>
      <w:r>
        <w:rPr>
          <w:rFonts w:ascii="Arial" w:hAnsi="Arial" w:cs="Arial"/>
          <w:sz w:val="24"/>
          <w:szCs w:val="24"/>
        </w:rPr>
        <w:t xml:space="preserve">, 2, pp. 118-126. Available at: </w:t>
      </w:r>
      <w:hyperlink r:id="rId10" w:history="1">
        <w:r w:rsidRPr="00EF4A2F">
          <w:rPr>
            <w:rStyle w:val="Hyperlink"/>
            <w:rFonts w:ascii="Arial" w:hAnsi="Arial" w:cs="Arial"/>
            <w:sz w:val="24"/>
            <w:szCs w:val="24"/>
          </w:rPr>
          <w:t>https://plus-lexis-com.ezproxy.uwtsd.ac.uk/uk/cases-uk/bolam-v-friern-hospital-management-committee?crid=8c730392-b212-46f5-9a10-e18a654f13bf&amp;pdiskwicview=false</w:t>
        </w:r>
      </w:hyperlink>
      <w:r>
        <w:rPr>
          <w:rFonts w:ascii="Arial" w:hAnsi="Arial" w:cs="Arial"/>
          <w:sz w:val="24"/>
          <w:szCs w:val="24"/>
        </w:rPr>
        <w:t xml:space="preserve"> (Accessed: 25 January 2024). </w:t>
      </w:r>
    </w:p>
    <w:p w14:paraId="4AA2C0BB" w14:textId="77777777" w:rsidR="00485616" w:rsidRDefault="00485616" w:rsidP="00485616">
      <w:pPr>
        <w:rPr>
          <w:rFonts w:ascii="Arial" w:hAnsi="Arial" w:cs="Arial"/>
          <w:sz w:val="24"/>
          <w:szCs w:val="24"/>
        </w:rPr>
      </w:pPr>
      <w:r w:rsidRPr="00BE6488">
        <w:rPr>
          <w:rFonts w:ascii="Arial" w:hAnsi="Arial" w:cs="Arial"/>
          <w:i/>
          <w:iCs/>
          <w:sz w:val="24"/>
          <w:szCs w:val="24"/>
        </w:rPr>
        <w:t>Health and Safety at Work etc. Act 1974, c.37</w:t>
      </w:r>
      <w:r>
        <w:rPr>
          <w:rFonts w:ascii="Arial" w:hAnsi="Arial" w:cs="Arial"/>
          <w:sz w:val="24"/>
          <w:szCs w:val="24"/>
        </w:rPr>
        <w:t xml:space="preserve">. Available at: </w:t>
      </w:r>
      <w:hyperlink r:id="rId11" w:history="1">
        <w:r w:rsidRPr="00EF4A2F">
          <w:rPr>
            <w:rStyle w:val="Hyperlink"/>
            <w:rFonts w:ascii="Arial" w:hAnsi="Arial" w:cs="Arial"/>
            <w:sz w:val="24"/>
            <w:szCs w:val="24"/>
          </w:rPr>
          <w:t>https://www.legislation.gov.uk/ukpga/1974/37/contents</w:t>
        </w:r>
      </w:hyperlink>
      <w:r>
        <w:rPr>
          <w:rFonts w:ascii="Arial" w:hAnsi="Arial" w:cs="Arial"/>
          <w:sz w:val="24"/>
          <w:szCs w:val="24"/>
        </w:rPr>
        <w:t xml:space="preserve"> (Accessed: 19 January 2024).</w:t>
      </w:r>
    </w:p>
    <w:p w14:paraId="60C8B43A" w14:textId="77777777" w:rsidR="00485616" w:rsidRDefault="00485616" w:rsidP="00485616">
      <w:pPr>
        <w:rPr>
          <w:rFonts w:ascii="Arial" w:hAnsi="Arial" w:cs="Arial"/>
          <w:sz w:val="24"/>
          <w:szCs w:val="24"/>
        </w:rPr>
      </w:pPr>
      <w:r>
        <w:rPr>
          <w:rFonts w:ascii="Arial" w:hAnsi="Arial" w:cs="Arial"/>
          <w:sz w:val="24"/>
          <w:szCs w:val="24"/>
        </w:rPr>
        <w:t>‘</w:t>
      </w:r>
      <w:r w:rsidRPr="007438A5">
        <w:rPr>
          <w:rFonts w:ascii="Arial" w:hAnsi="Arial" w:cs="Arial"/>
          <w:sz w:val="24"/>
          <w:szCs w:val="24"/>
        </w:rPr>
        <w:t>Hilton v Thomas Burton (Rhodes) Ltd</w:t>
      </w:r>
      <w:r>
        <w:rPr>
          <w:rFonts w:ascii="Arial" w:hAnsi="Arial" w:cs="Arial"/>
          <w:sz w:val="24"/>
          <w:szCs w:val="24"/>
        </w:rPr>
        <w:t xml:space="preserve">’ (1961) </w:t>
      </w:r>
      <w:r w:rsidRPr="008D4B17">
        <w:rPr>
          <w:rFonts w:ascii="Arial" w:hAnsi="Arial" w:cs="Arial"/>
          <w:i/>
          <w:iCs/>
          <w:sz w:val="24"/>
          <w:szCs w:val="24"/>
        </w:rPr>
        <w:t>All England Law Reports</w:t>
      </w:r>
      <w:r>
        <w:rPr>
          <w:rFonts w:ascii="Arial" w:hAnsi="Arial" w:cs="Arial"/>
          <w:sz w:val="24"/>
          <w:szCs w:val="24"/>
        </w:rPr>
        <w:t xml:space="preserve">, 1, pp. 74-77. Available at: </w:t>
      </w:r>
      <w:hyperlink r:id="rId12" w:history="1">
        <w:r w:rsidRPr="00EF4A2F">
          <w:rPr>
            <w:rStyle w:val="Hyperlink"/>
            <w:rFonts w:ascii="Arial" w:hAnsi="Arial" w:cs="Arial"/>
            <w:sz w:val="24"/>
            <w:szCs w:val="24"/>
          </w:rPr>
          <w:t>https://plus-lexis-com.ezproxy.uwtsd.ac.uk/uk/cases-uk/hilton-v-thomas-burton-rhodes-ltd-and-another_2?crid=12ada2e3-076a-4744-afc3-3441465278f8&amp;pdiskwicview=false</w:t>
        </w:r>
      </w:hyperlink>
      <w:r>
        <w:rPr>
          <w:rFonts w:ascii="Arial" w:hAnsi="Arial" w:cs="Arial"/>
          <w:sz w:val="24"/>
          <w:szCs w:val="24"/>
        </w:rPr>
        <w:t xml:space="preserve"> (Accessed: 25 January 2024).</w:t>
      </w:r>
    </w:p>
    <w:p w14:paraId="51A6C4F1" w14:textId="343AF7B6" w:rsidR="00EC2088" w:rsidRDefault="00F1292C" w:rsidP="00EC2088">
      <w:pPr>
        <w:rPr>
          <w:rFonts w:ascii="Arial" w:hAnsi="Arial" w:cs="Arial"/>
          <w:sz w:val="24"/>
          <w:szCs w:val="24"/>
        </w:rPr>
      </w:pPr>
      <w:r>
        <w:rPr>
          <w:rFonts w:ascii="Arial" w:hAnsi="Arial" w:cs="Arial"/>
          <w:sz w:val="24"/>
          <w:szCs w:val="24"/>
        </w:rPr>
        <w:t xml:space="preserve">Lunney, M., Nolan, D., </w:t>
      </w:r>
      <w:r w:rsidR="00B57E8E">
        <w:rPr>
          <w:rFonts w:ascii="Arial" w:hAnsi="Arial" w:cs="Arial"/>
          <w:sz w:val="24"/>
          <w:szCs w:val="24"/>
        </w:rPr>
        <w:t xml:space="preserve">Oliphant, K. (2017) </w:t>
      </w:r>
      <w:r w:rsidR="00B57E8E" w:rsidRPr="007970FA">
        <w:rPr>
          <w:rFonts w:ascii="Arial" w:hAnsi="Arial" w:cs="Arial"/>
          <w:i/>
          <w:iCs/>
          <w:sz w:val="24"/>
          <w:szCs w:val="24"/>
        </w:rPr>
        <w:t>Tort Law Text and Materials</w:t>
      </w:r>
      <w:r w:rsidR="00B57E8E">
        <w:rPr>
          <w:rFonts w:ascii="Arial" w:hAnsi="Arial" w:cs="Arial"/>
          <w:sz w:val="24"/>
          <w:szCs w:val="24"/>
        </w:rPr>
        <w:t>. 6</w:t>
      </w:r>
      <w:r w:rsidR="00B57E8E" w:rsidRPr="00B57E8E">
        <w:rPr>
          <w:rFonts w:ascii="Arial" w:hAnsi="Arial" w:cs="Arial"/>
          <w:sz w:val="24"/>
          <w:szCs w:val="24"/>
          <w:vertAlign w:val="superscript"/>
        </w:rPr>
        <w:t>th</w:t>
      </w:r>
      <w:r w:rsidR="00B57E8E">
        <w:rPr>
          <w:rFonts w:ascii="Arial" w:hAnsi="Arial" w:cs="Arial"/>
          <w:sz w:val="24"/>
          <w:szCs w:val="24"/>
        </w:rPr>
        <w:t xml:space="preserve"> edn. </w:t>
      </w:r>
      <w:r w:rsidR="00B53227">
        <w:rPr>
          <w:rFonts w:ascii="Arial" w:hAnsi="Arial" w:cs="Arial"/>
          <w:sz w:val="24"/>
          <w:szCs w:val="24"/>
        </w:rPr>
        <w:t xml:space="preserve">Oxford: University Press. </w:t>
      </w:r>
    </w:p>
    <w:p w14:paraId="2FDDC6A9" w14:textId="2F0E9E46" w:rsidR="00C56F26" w:rsidRDefault="00C56F26" w:rsidP="00EC2088">
      <w:pPr>
        <w:rPr>
          <w:rFonts w:ascii="Arial" w:hAnsi="Arial" w:cs="Arial"/>
          <w:sz w:val="24"/>
          <w:szCs w:val="24"/>
        </w:rPr>
      </w:pPr>
      <w:r>
        <w:rPr>
          <w:rFonts w:ascii="Arial" w:hAnsi="Arial" w:cs="Arial"/>
          <w:sz w:val="24"/>
          <w:szCs w:val="24"/>
        </w:rPr>
        <w:t>‘</w:t>
      </w:r>
      <w:r w:rsidRPr="00506A1A">
        <w:rPr>
          <w:rFonts w:ascii="Arial" w:hAnsi="Arial" w:cs="Arial"/>
          <w:sz w:val="24"/>
          <w:szCs w:val="24"/>
        </w:rPr>
        <w:t>Montgomery v Lanarkshire Health Board</w:t>
      </w:r>
      <w:r>
        <w:rPr>
          <w:rFonts w:ascii="Arial" w:hAnsi="Arial" w:cs="Arial"/>
          <w:sz w:val="24"/>
          <w:szCs w:val="24"/>
        </w:rPr>
        <w:t xml:space="preserve">’ (2015) Law Reports, Appeal Cases, 11, pp. 1430-1468. Available at: </w:t>
      </w:r>
      <w:hyperlink r:id="rId13" w:history="1">
        <w:r w:rsidRPr="00EF4A2F">
          <w:rPr>
            <w:rStyle w:val="Hyperlink"/>
            <w:rFonts w:ascii="Arial" w:hAnsi="Arial" w:cs="Arial"/>
            <w:sz w:val="24"/>
            <w:szCs w:val="24"/>
          </w:rPr>
          <w:t>https://plus-lexis-com.ezproxy.uwtsd.ac.uk/uk/cases-uk/montgomery-v-lanarkshire-health-board-general_4?crid=f7f92b0b-47b7-4c16-b2c0-7d429e0aa7a3&amp;pdiskwicview=false</w:t>
        </w:r>
      </w:hyperlink>
      <w:r>
        <w:rPr>
          <w:rFonts w:ascii="Arial" w:hAnsi="Arial" w:cs="Arial"/>
          <w:sz w:val="24"/>
          <w:szCs w:val="24"/>
        </w:rPr>
        <w:t xml:space="preserve"> (Accessed: 25 January 2024). </w:t>
      </w:r>
    </w:p>
    <w:p w14:paraId="120DFEBB" w14:textId="3981DF9E" w:rsidR="00182EF3" w:rsidRDefault="00182EF3" w:rsidP="00182EF3">
      <w:pPr>
        <w:rPr>
          <w:rFonts w:ascii="Arial" w:hAnsi="Arial" w:cs="Arial"/>
          <w:sz w:val="24"/>
          <w:szCs w:val="24"/>
        </w:rPr>
      </w:pPr>
      <w:r w:rsidRPr="00B95FC8">
        <w:rPr>
          <w:rFonts w:ascii="Arial" w:hAnsi="Arial" w:cs="Arial"/>
          <w:i/>
          <w:iCs/>
          <w:sz w:val="24"/>
          <w:szCs w:val="24"/>
        </w:rPr>
        <w:t>The Workplace (Health, Safety and Welfare) Regulations 1992</w:t>
      </w:r>
      <w:r w:rsidR="00746C72">
        <w:rPr>
          <w:rFonts w:ascii="Arial" w:hAnsi="Arial" w:cs="Arial"/>
          <w:sz w:val="24"/>
          <w:szCs w:val="24"/>
        </w:rPr>
        <w:t xml:space="preserve"> (SI 1992/3004)</w:t>
      </w:r>
      <w:r w:rsidR="00B95FC8">
        <w:rPr>
          <w:rFonts w:ascii="Arial" w:hAnsi="Arial" w:cs="Arial"/>
          <w:sz w:val="24"/>
          <w:szCs w:val="24"/>
        </w:rPr>
        <w:t xml:space="preserve"> Available at: </w:t>
      </w:r>
      <w:hyperlink r:id="rId14" w:history="1">
        <w:r w:rsidR="00B95FC8" w:rsidRPr="00EF4A2F">
          <w:rPr>
            <w:rStyle w:val="Hyperlink"/>
            <w:rFonts w:ascii="Arial" w:hAnsi="Arial" w:cs="Arial"/>
            <w:sz w:val="24"/>
            <w:szCs w:val="24"/>
          </w:rPr>
          <w:t>https://www.legislation.gov.uk/uksi/1992/3004/contents/made</w:t>
        </w:r>
      </w:hyperlink>
      <w:r w:rsidR="00B95FC8">
        <w:rPr>
          <w:rFonts w:ascii="Arial" w:hAnsi="Arial" w:cs="Arial"/>
          <w:sz w:val="24"/>
          <w:szCs w:val="24"/>
        </w:rPr>
        <w:t xml:space="preserve"> (Accessed: 19 January 2024). </w:t>
      </w:r>
    </w:p>
    <w:p w14:paraId="4096F19C" w14:textId="77777777" w:rsidR="008D4B17" w:rsidRDefault="008D4B17" w:rsidP="00790BDE">
      <w:pPr>
        <w:rPr>
          <w:rFonts w:ascii="Arial" w:hAnsi="Arial" w:cs="Arial"/>
          <w:sz w:val="24"/>
          <w:szCs w:val="24"/>
        </w:rPr>
      </w:pPr>
    </w:p>
    <w:p w14:paraId="193EBB35" w14:textId="77777777" w:rsidR="00097174" w:rsidRDefault="00097174" w:rsidP="00790BDE">
      <w:pPr>
        <w:rPr>
          <w:rFonts w:ascii="Arial" w:hAnsi="Arial" w:cs="Arial"/>
          <w:sz w:val="24"/>
          <w:szCs w:val="24"/>
        </w:rPr>
      </w:pPr>
    </w:p>
    <w:p w14:paraId="626F0CF8" w14:textId="77777777" w:rsidR="00742EE9" w:rsidRPr="00790BDE" w:rsidRDefault="00742EE9" w:rsidP="00790BDE">
      <w:pPr>
        <w:rPr>
          <w:rFonts w:ascii="Arial" w:hAnsi="Arial" w:cs="Arial"/>
          <w:sz w:val="24"/>
          <w:szCs w:val="24"/>
        </w:rPr>
      </w:pPr>
    </w:p>
    <w:p w14:paraId="6BAF8F07" w14:textId="77777777" w:rsidR="00790BDE" w:rsidRPr="00182EF3" w:rsidRDefault="00790BDE" w:rsidP="00182EF3">
      <w:pPr>
        <w:rPr>
          <w:rFonts w:ascii="Arial" w:hAnsi="Arial" w:cs="Arial"/>
          <w:sz w:val="24"/>
          <w:szCs w:val="24"/>
        </w:rPr>
      </w:pPr>
    </w:p>
    <w:p w14:paraId="1FE4EDAF" w14:textId="77777777" w:rsidR="00182EF3" w:rsidRDefault="00182EF3" w:rsidP="00EC2088">
      <w:pPr>
        <w:rPr>
          <w:rFonts w:ascii="Arial" w:hAnsi="Arial" w:cs="Arial"/>
          <w:sz w:val="24"/>
          <w:szCs w:val="24"/>
        </w:rPr>
      </w:pPr>
    </w:p>
    <w:p w14:paraId="03342ADE" w14:textId="77777777" w:rsidR="007970FA" w:rsidRDefault="007970FA" w:rsidP="00EC2088">
      <w:pPr>
        <w:rPr>
          <w:rFonts w:ascii="Arial" w:hAnsi="Arial" w:cs="Arial"/>
          <w:sz w:val="24"/>
          <w:szCs w:val="24"/>
        </w:rPr>
      </w:pPr>
    </w:p>
    <w:p w14:paraId="0676CA71" w14:textId="77777777" w:rsidR="00C56F26" w:rsidRDefault="00C56F26" w:rsidP="007970FA">
      <w:pPr>
        <w:jc w:val="center"/>
        <w:rPr>
          <w:rFonts w:ascii="Arial" w:hAnsi="Arial" w:cs="Arial"/>
          <w:sz w:val="24"/>
          <w:szCs w:val="24"/>
        </w:rPr>
      </w:pPr>
    </w:p>
    <w:p w14:paraId="5A3FFF38" w14:textId="77777777" w:rsidR="00C56F26" w:rsidRDefault="00C56F26" w:rsidP="007970FA">
      <w:pPr>
        <w:jc w:val="center"/>
        <w:rPr>
          <w:rFonts w:ascii="Arial" w:hAnsi="Arial" w:cs="Arial"/>
          <w:sz w:val="24"/>
          <w:szCs w:val="24"/>
        </w:rPr>
      </w:pPr>
    </w:p>
    <w:p w14:paraId="2A71E776" w14:textId="164117F0" w:rsidR="007970FA" w:rsidRDefault="007970FA" w:rsidP="007970FA">
      <w:pPr>
        <w:jc w:val="center"/>
        <w:rPr>
          <w:rFonts w:ascii="Arial" w:hAnsi="Arial" w:cs="Arial"/>
          <w:sz w:val="24"/>
          <w:szCs w:val="24"/>
        </w:rPr>
      </w:pPr>
      <w:r>
        <w:rPr>
          <w:rFonts w:ascii="Arial" w:hAnsi="Arial" w:cs="Arial"/>
          <w:sz w:val="24"/>
          <w:szCs w:val="24"/>
        </w:rPr>
        <w:lastRenderedPageBreak/>
        <w:t>Case Law</w:t>
      </w:r>
    </w:p>
    <w:p w14:paraId="2001512D" w14:textId="541F9558" w:rsidR="00C56F26" w:rsidRDefault="00C56F26" w:rsidP="00294AC9">
      <w:pPr>
        <w:rPr>
          <w:rFonts w:ascii="Arial" w:hAnsi="Arial" w:cs="Arial"/>
          <w:sz w:val="24"/>
          <w:szCs w:val="24"/>
        </w:rPr>
      </w:pPr>
      <w:r w:rsidRPr="00DB106C">
        <w:rPr>
          <w:rFonts w:ascii="Arial" w:hAnsi="Arial" w:cs="Arial"/>
          <w:sz w:val="24"/>
          <w:szCs w:val="24"/>
        </w:rPr>
        <w:t>Barnett v Chelsea and Kensington Hospital Management Committee [1969] 1 QB 428, [1968] 1 All ER 1068, [1968] 2 WLR 422, 111 Sol Jo 912</w:t>
      </w:r>
    </w:p>
    <w:p w14:paraId="0F45F133" w14:textId="5117FAE7" w:rsidR="00294AC9" w:rsidRDefault="00294AC9" w:rsidP="00294AC9">
      <w:pPr>
        <w:rPr>
          <w:rFonts w:ascii="Arial" w:hAnsi="Arial" w:cs="Arial"/>
          <w:sz w:val="24"/>
          <w:szCs w:val="24"/>
        </w:rPr>
      </w:pPr>
      <w:hyperlink r:id="rId15" w:history="1">
        <w:r w:rsidRPr="00294AC9">
          <w:rPr>
            <w:rStyle w:val="Hyperlink"/>
            <w:rFonts w:ascii="Arial" w:hAnsi="Arial" w:cs="Arial"/>
            <w:color w:val="auto"/>
            <w:sz w:val="24"/>
            <w:szCs w:val="24"/>
            <w:u w:val="none"/>
          </w:rPr>
          <w:t>Blyth v Birmingham Waterworks Co (1856) 20 JP 247, 25 LJ Ex 212, 11 Exch 781, 2 Jur NS 333, 4 WR 294, 156 ER 1047, [1843-60] All ER Rep 478, 26 LTOS 261</w:t>
        </w:r>
      </w:hyperlink>
    </w:p>
    <w:p w14:paraId="1623B27A" w14:textId="1B9A4ED0" w:rsidR="00294AC9" w:rsidRDefault="0055487B" w:rsidP="0055487B">
      <w:pPr>
        <w:rPr>
          <w:rFonts w:ascii="Arial" w:hAnsi="Arial" w:cs="Arial"/>
          <w:sz w:val="24"/>
          <w:szCs w:val="24"/>
        </w:rPr>
      </w:pPr>
      <w:hyperlink r:id="rId16" w:history="1">
        <w:r w:rsidRPr="0055487B">
          <w:rPr>
            <w:rStyle w:val="Hyperlink"/>
            <w:rFonts w:ascii="Arial" w:hAnsi="Arial" w:cs="Arial"/>
            <w:color w:val="auto"/>
            <w:sz w:val="24"/>
            <w:szCs w:val="24"/>
            <w:u w:val="none"/>
          </w:rPr>
          <w:t>Bolam v Friern Hospital Management Committee [1957] 2 All ER 118, [1957] 1 WLR 582, 101 Sol Jo 357, 1 BMLR 1</w:t>
        </w:r>
      </w:hyperlink>
    </w:p>
    <w:p w14:paraId="24AABCD8" w14:textId="4BDFE87C" w:rsidR="007438A5" w:rsidRDefault="007438A5" w:rsidP="007438A5">
      <w:pPr>
        <w:rPr>
          <w:rFonts w:ascii="Arial" w:hAnsi="Arial" w:cs="Arial"/>
          <w:sz w:val="24"/>
          <w:szCs w:val="24"/>
        </w:rPr>
      </w:pPr>
      <w:r w:rsidRPr="007438A5">
        <w:rPr>
          <w:rFonts w:ascii="Arial" w:hAnsi="Arial" w:cs="Arial"/>
          <w:sz w:val="24"/>
          <w:szCs w:val="24"/>
        </w:rPr>
        <w:t>Hilton v Thomas Burton (Rhodes) Ltd [1961] 1 All ER 74, [1961] 1 WLR 705, 105 Sol Jo 322</w:t>
      </w:r>
    </w:p>
    <w:p w14:paraId="659A7FC8" w14:textId="5E2EFDE6" w:rsidR="00506A1A" w:rsidRPr="00506A1A" w:rsidRDefault="00506A1A" w:rsidP="00506A1A">
      <w:pPr>
        <w:rPr>
          <w:rFonts w:ascii="Arial" w:hAnsi="Arial" w:cs="Arial"/>
          <w:sz w:val="24"/>
          <w:szCs w:val="24"/>
        </w:rPr>
      </w:pPr>
      <w:r w:rsidRPr="00506A1A">
        <w:rPr>
          <w:rFonts w:ascii="Arial" w:hAnsi="Arial" w:cs="Arial"/>
          <w:sz w:val="24"/>
          <w:szCs w:val="24"/>
        </w:rPr>
        <w:t>Montgomery v Lanarkshire Health Board [2015] UKSC 11, [2015] AC 1430, [2015] 2 All ER 1031, [2015] 2 WLR 768, [2016] 1 LRC 350, 143 BMLR 47, [2015] PIQR P195, 165 NLJ 7645, (2015) Times, 01 April, 2015 SC (UKSC) 63, 2015 SLT 189, 2015 SCLR 315, [2015] All ER (D) 113 (Mar), 2015 Scot (D) 8/3</w:t>
      </w:r>
    </w:p>
    <w:sectPr w:rsidR="00506A1A" w:rsidRPr="00506A1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E27DAC"/>
    <w:multiLevelType w:val="multilevel"/>
    <w:tmpl w:val="FA6C8B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9F32A83"/>
    <w:multiLevelType w:val="multilevel"/>
    <w:tmpl w:val="3C1ECB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E6779D5"/>
    <w:multiLevelType w:val="multilevel"/>
    <w:tmpl w:val="54849E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0877927"/>
    <w:multiLevelType w:val="multilevel"/>
    <w:tmpl w:val="2CDA29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38C31F2"/>
    <w:multiLevelType w:val="multilevel"/>
    <w:tmpl w:val="917481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67D66D6"/>
    <w:multiLevelType w:val="multilevel"/>
    <w:tmpl w:val="C2EEC8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91915786">
    <w:abstractNumId w:val="3"/>
  </w:num>
  <w:num w:numId="2" w16cid:durableId="1330718332">
    <w:abstractNumId w:val="5"/>
  </w:num>
  <w:num w:numId="3" w16cid:durableId="1756785629">
    <w:abstractNumId w:val="4"/>
  </w:num>
  <w:num w:numId="4" w16cid:durableId="2005739365">
    <w:abstractNumId w:val="2"/>
  </w:num>
  <w:num w:numId="5" w16cid:durableId="614602246">
    <w:abstractNumId w:val="0"/>
  </w:num>
  <w:num w:numId="6" w16cid:durableId="90013769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258A"/>
    <w:rsid w:val="00060F52"/>
    <w:rsid w:val="0007249E"/>
    <w:rsid w:val="00092E86"/>
    <w:rsid w:val="00097174"/>
    <w:rsid w:val="000D69FE"/>
    <w:rsid w:val="000E53A5"/>
    <w:rsid w:val="00125A22"/>
    <w:rsid w:val="00145A6B"/>
    <w:rsid w:val="00152CE9"/>
    <w:rsid w:val="00182EF3"/>
    <w:rsid w:val="00185452"/>
    <w:rsid w:val="001D6BF1"/>
    <w:rsid w:val="002307B9"/>
    <w:rsid w:val="00294AC9"/>
    <w:rsid w:val="002B1ED4"/>
    <w:rsid w:val="002C258A"/>
    <w:rsid w:val="00380398"/>
    <w:rsid w:val="00397FB3"/>
    <w:rsid w:val="003C1155"/>
    <w:rsid w:val="003C7DB0"/>
    <w:rsid w:val="003D19B9"/>
    <w:rsid w:val="003E4226"/>
    <w:rsid w:val="003F6001"/>
    <w:rsid w:val="00407BC7"/>
    <w:rsid w:val="00485616"/>
    <w:rsid w:val="004977CB"/>
    <w:rsid w:val="004D1993"/>
    <w:rsid w:val="004E19BD"/>
    <w:rsid w:val="004F08A5"/>
    <w:rsid w:val="00506A1A"/>
    <w:rsid w:val="00542325"/>
    <w:rsid w:val="00544E96"/>
    <w:rsid w:val="0055487B"/>
    <w:rsid w:val="005B08CD"/>
    <w:rsid w:val="005C191C"/>
    <w:rsid w:val="005D0089"/>
    <w:rsid w:val="006A648E"/>
    <w:rsid w:val="006C76F3"/>
    <w:rsid w:val="00707BDC"/>
    <w:rsid w:val="00742EE9"/>
    <w:rsid w:val="007438A5"/>
    <w:rsid w:val="00746C72"/>
    <w:rsid w:val="007560E7"/>
    <w:rsid w:val="0076507A"/>
    <w:rsid w:val="00790BDE"/>
    <w:rsid w:val="007970FA"/>
    <w:rsid w:val="007B071C"/>
    <w:rsid w:val="007E5397"/>
    <w:rsid w:val="007F1E6B"/>
    <w:rsid w:val="00836431"/>
    <w:rsid w:val="008522C3"/>
    <w:rsid w:val="008C77E5"/>
    <w:rsid w:val="008D4B17"/>
    <w:rsid w:val="00900370"/>
    <w:rsid w:val="00945B8C"/>
    <w:rsid w:val="00A55237"/>
    <w:rsid w:val="00A630D0"/>
    <w:rsid w:val="00A7567A"/>
    <w:rsid w:val="00A8060D"/>
    <w:rsid w:val="00AD1472"/>
    <w:rsid w:val="00AF4085"/>
    <w:rsid w:val="00AF4BB9"/>
    <w:rsid w:val="00B075D2"/>
    <w:rsid w:val="00B219B4"/>
    <w:rsid w:val="00B53227"/>
    <w:rsid w:val="00B57E8E"/>
    <w:rsid w:val="00B95FC8"/>
    <w:rsid w:val="00BE6488"/>
    <w:rsid w:val="00C55CCB"/>
    <w:rsid w:val="00C56F26"/>
    <w:rsid w:val="00C909C0"/>
    <w:rsid w:val="00D2330C"/>
    <w:rsid w:val="00D27DC5"/>
    <w:rsid w:val="00D358EF"/>
    <w:rsid w:val="00D40335"/>
    <w:rsid w:val="00D73282"/>
    <w:rsid w:val="00DB106C"/>
    <w:rsid w:val="00DC39EC"/>
    <w:rsid w:val="00DF5CD6"/>
    <w:rsid w:val="00E671F4"/>
    <w:rsid w:val="00E85C91"/>
    <w:rsid w:val="00EC2088"/>
    <w:rsid w:val="00EE4A2C"/>
    <w:rsid w:val="00EF683C"/>
    <w:rsid w:val="00F1292C"/>
    <w:rsid w:val="00F24BE6"/>
    <w:rsid w:val="00F732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773F9B"/>
  <w15:chartTrackingRefBased/>
  <w15:docId w15:val="{BBFEC383-3D8E-4D9F-9BB4-53AAF1FD25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82EF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2C258A"/>
    <w:pPr>
      <w:spacing w:before="100" w:beforeAutospacing="1" w:after="100" w:afterAutospacing="1" w:line="240" w:lineRule="auto"/>
      <w:outlineLvl w:val="2"/>
    </w:pPr>
    <w:rPr>
      <w:rFonts w:ascii="Times New Roman" w:eastAsia="Times New Roman" w:hAnsi="Times New Roman" w:cs="Times New Roman"/>
      <w:b/>
      <w:bCs/>
      <w:kern w:val="0"/>
      <w:sz w:val="27"/>
      <w:szCs w:val="27"/>
      <w:lang w:eastAsia="en-GB"/>
      <w14:ligatures w14:val="none"/>
    </w:rPr>
  </w:style>
  <w:style w:type="paragraph" w:styleId="Heading4">
    <w:name w:val="heading 4"/>
    <w:basedOn w:val="Normal"/>
    <w:link w:val="Heading4Char"/>
    <w:uiPriority w:val="9"/>
    <w:qFormat/>
    <w:rsid w:val="002C258A"/>
    <w:pPr>
      <w:spacing w:before="100" w:beforeAutospacing="1" w:after="100" w:afterAutospacing="1" w:line="240" w:lineRule="auto"/>
      <w:outlineLvl w:val="3"/>
    </w:pPr>
    <w:rPr>
      <w:rFonts w:ascii="Times New Roman" w:eastAsia="Times New Roman" w:hAnsi="Times New Roman" w:cs="Times New Roman"/>
      <w:b/>
      <w:bCs/>
      <w:kern w:val="0"/>
      <w:sz w:val="24"/>
      <w:szCs w:val="24"/>
      <w:lang w:eastAsia="en-GB"/>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C258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3Char">
    <w:name w:val="Heading 3 Char"/>
    <w:basedOn w:val="DefaultParagraphFont"/>
    <w:link w:val="Heading3"/>
    <w:uiPriority w:val="9"/>
    <w:rsid w:val="002C258A"/>
    <w:rPr>
      <w:rFonts w:ascii="Times New Roman" w:eastAsia="Times New Roman" w:hAnsi="Times New Roman" w:cs="Times New Roman"/>
      <w:b/>
      <w:bCs/>
      <w:kern w:val="0"/>
      <w:sz w:val="27"/>
      <w:szCs w:val="27"/>
      <w:lang w:eastAsia="en-GB"/>
      <w14:ligatures w14:val="none"/>
    </w:rPr>
  </w:style>
  <w:style w:type="character" w:customStyle="1" w:styleId="Heading4Char">
    <w:name w:val="Heading 4 Char"/>
    <w:basedOn w:val="DefaultParagraphFont"/>
    <w:link w:val="Heading4"/>
    <w:uiPriority w:val="9"/>
    <w:rsid w:val="002C258A"/>
    <w:rPr>
      <w:rFonts w:ascii="Times New Roman" w:eastAsia="Times New Roman" w:hAnsi="Times New Roman" w:cs="Times New Roman"/>
      <w:b/>
      <w:bCs/>
      <w:kern w:val="0"/>
      <w:sz w:val="24"/>
      <w:szCs w:val="24"/>
      <w:lang w:eastAsia="en-GB"/>
      <w14:ligatures w14:val="none"/>
    </w:rPr>
  </w:style>
  <w:style w:type="character" w:styleId="Strong">
    <w:name w:val="Strong"/>
    <w:basedOn w:val="DefaultParagraphFont"/>
    <w:uiPriority w:val="22"/>
    <w:qFormat/>
    <w:rsid w:val="005C191C"/>
    <w:rPr>
      <w:b/>
      <w:bCs/>
    </w:rPr>
  </w:style>
  <w:style w:type="character" w:styleId="Hyperlink">
    <w:name w:val="Hyperlink"/>
    <w:basedOn w:val="DefaultParagraphFont"/>
    <w:uiPriority w:val="99"/>
    <w:unhideWhenUsed/>
    <w:rsid w:val="00294AC9"/>
    <w:rPr>
      <w:color w:val="0000FF"/>
      <w:u w:val="single"/>
    </w:rPr>
  </w:style>
  <w:style w:type="character" w:customStyle="1" w:styleId="Heading1Char">
    <w:name w:val="Heading 1 Char"/>
    <w:basedOn w:val="DefaultParagraphFont"/>
    <w:link w:val="Heading1"/>
    <w:uiPriority w:val="9"/>
    <w:rsid w:val="00182EF3"/>
    <w:rPr>
      <w:rFonts w:asciiTheme="majorHAnsi" w:eastAsiaTheme="majorEastAsia" w:hAnsiTheme="majorHAnsi" w:cstheme="majorBidi"/>
      <w:color w:val="2F5496" w:themeColor="accent1" w:themeShade="BF"/>
      <w:sz w:val="32"/>
      <w:szCs w:val="32"/>
    </w:rPr>
  </w:style>
  <w:style w:type="character" w:styleId="UnresolvedMention">
    <w:name w:val="Unresolved Mention"/>
    <w:basedOn w:val="DefaultParagraphFont"/>
    <w:uiPriority w:val="99"/>
    <w:semiHidden/>
    <w:unhideWhenUsed/>
    <w:rsid w:val="00B95FC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10859">
      <w:bodyDiv w:val="1"/>
      <w:marLeft w:val="0"/>
      <w:marRight w:val="0"/>
      <w:marTop w:val="0"/>
      <w:marBottom w:val="0"/>
      <w:divBdr>
        <w:top w:val="none" w:sz="0" w:space="0" w:color="auto"/>
        <w:left w:val="none" w:sz="0" w:space="0" w:color="auto"/>
        <w:bottom w:val="none" w:sz="0" w:space="0" w:color="auto"/>
        <w:right w:val="none" w:sz="0" w:space="0" w:color="auto"/>
      </w:divBdr>
    </w:div>
    <w:div w:id="471021114">
      <w:bodyDiv w:val="1"/>
      <w:marLeft w:val="0"/>
      <w:marRight w:val="0"/>
      <w:marTop w:val="0"/>
      <w:marBottom w:val="0"/>
      <w:divBdr>
        <w:top w:val="none" w:sz="0" w:space="0" w:color="auto"/>
        <w:left w:val="none" w:sz="0" w:space="0" w:color="auto"/>
        <w:bottom w:val="none" w:sz="0" w:space="0" w:color="auto"/>
        <w:right w:val="none" w:sz="0" w:space="0" w:color="auto"/>
      </w:divBdr>
    </w:div>
    <w:div w:id="473135627">
      <w:bodyDiv w:val="1"/>
      <w:marLeft w:val="0"/>
      <w:marRight w:val="0"/>
      <w:marTop w:val="0"/>
      <w:marBottom w:val="0"/>
      <w:divBdr>
        <w:top w:val="none" w:sz="0" w:space="0" w:color="auto"/>
        <w:left w:val="none" w:sz="0" w:space="0" w:color="auto"/>
        <w:bottom w:val="none" w:sz="0" w:space="0" w:color="auto"/>
        <w:right w:val="none" w:sz="0" w:space="0" w:color="auto"/>
      </w:divBdr>
    </w:div>
    <w:div w:id="1094787775">
      <w:bodyDiv w:val="1"/>
      <w:marLeft w:val="0"/>
      <w:marRight w:val="0"/>
      <w:marTop w:val="0"/>
      <w:marBottom w:val="0"/>
      <w:divBdr>
        <w:top w:val="none" w:sz="0" w:space="0" w:color="auto"/>
        <w:left w:val="none" w:sz="0" w:space="0" w:color="auto"/>
        <w:bottom w:val="none" w:sz="0" w:space="0" w:color="auto"/>
        <w:right w:val="none" w:sz="0" w:space="0" w:color="auto"/>
      </w:divBdr>
    </w:div>
    <w:div w:id="1356536113">
      <w:bodyDiv w:val="1"/>
      <w:marLeft w:val="0"/>
      <w:marRight w:val="0"/>
      <w:marTop w:val="0"/>
      <w:marBottom w:val="0"/>
      <w:divBdr>
        <w:top w:val="none" w:sz="0" w:space="0" w:color="auto"/>
        <w:left w:val="none" w:sz="0" w:space="0" w:color="auto"/>
        <w:bottom w:val="none" w:sz="0" w:space="0" w:color="auto"/>
        <w:right w:val="none" w:sz="0" w:space="0" w:color="auto"/>
      </w:divBdr>
    </w:div>
    <w:div w:id="1478379155">
      <w:bodyDiv w:val="1"/>
      <w:marLeft w:val="0"/>
      <w:marRight w:val="0"/>
      <w:marTop w:val="0"/>
      <w:marBottom w:val="0"/>
      <w:divBdr>
        <w:top w:val="none" w:sz="0" w:space="0" w:color="auto"/>
        <w:left w:val="none" w:sz="0" w:space="0" w:color="auto"/>
        <w:bottom w:val="none" w:sz="0" w:space="0" w:color="auto"/>
        <w:right w:val="none" w:sz="0" w:space="0" w:color="auto"/>
      </w:divBdr>
    </w:div>
    <w:div w:id="1668745490">
      <w:bodyDiv w:val="1"/>
      <w:marLeft w:val="0"/>
      <w:marRight w:val="0"/>
      <w:marTop w:val="0"/>
      <w:marBottom w:val="0"/>
      <w:divBdr>
        <w:top w:val="none" w:sz="0" w:space="0" w:color="auto"/>
        <w:left w:val="none" w:sz="0" w:space="0" w:color="auto"/>
        <w:bottom w:val="none" w:sz="0" w:space="0" w:color="auto"/>
        <w:right w:val="none" w:sz="0" w:space="0" w:color="auto"/>
      </w:divBdr>
    </w:div>
    <w:div w:id="1822382341">
      <w:bodyDiv w:val="1"/>
      <w:marLeft w:val="0"/>
      <w:marRight w:val="0"/>
      <w:marTop w:val="0"/>
      <w:marBottom w:val="0"/>
      <w:divBdr>
        <w:top w:val="none" w:sz="0" w:space="0" w:color="auto"/>
        <w:left w:val="none" w:sz="0" w:space="0" w:color="auto"/>
        <w:bottom w:val="none" w:sz="0" w:space="0" w:color="auto"/>
        <w:right w:val="none" w:sz="0" w:space="0" w:color="auto"/>
      </w:divBdr>
    </w:div>
    <w:div w:id="1962302592">
      <w:bodyDiv w:val="1"/>
      <w:marLeft w:val="0"/>
      <w:marRight w:val="0"/>
      <w:marTop w:val="0"/>
      <w:marBottom w:val="0"/>
      <w:divBdr>
        <w:top w:val="none" w:sz="0" w:space="0" w:color="auto"/>
        <w:left w:val="none" w:sz="0" w:space="0" w:color="auto"/>
        <w:bottom w:val="none" w:sz="0" w:space="0" w:color="auto"/>
        <w:right w:val="none" w:sz="0" w:space="0" w:color="auto"/>
      </w:divBdr>
    </w:div>
    <w:div w:id="2079672650">
      <w:bodyDiv w:val="1"/>
      <w:marLeft w:val="0"/>
      <w:marRight w:val="0"/>
      <w:marTop w:val="0"/>
      <w:marBottom w:val="0"/>
      <w:divBdr>
        <w:top w:val="none" w:sz="0" w:space="0" w:color="auto"/>
        <w:left w:val="none" w:sz="0" w:space="0" w:color="auto"/>
        <w:bottom w:val="none" w:sz="0" w:space="0" w:color="auto"/>
        <w:right w:val="none" w:sz="0" w:space="0" w:color="auto"/>
      </w:divBdr>
    </w:div>
    <w:div w:id="21239160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lus-lexis-com.ezproxy.uwtsd.ac.uk/uk/cases-uk/barnett-v-chelsea-and-kensington-hospital-man_3?crid=fa3048ef-57ca-4eb6-a4ba-de71d163fd48&amp;pdiskwicview=false" TargetMode="External"/><Relationship Id="rId13" Type="http://schemas.openxmlformats.org/officeDocument/2006/relationships/hyperlink" Target="https://plus-lexis-com.ezproxy.uwtsd.ac.uk/uk/cases-uk/montgomery-v-lanarkshire-health-board-general_4?crid=f7f92b0b-47b7-4c16-b2c0-7d429e0aa7a3&amp;pdiskwicview=false"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plus-lexis-com.ezproxy.uwtsd.ac.uk/uk/cases-uk/hilton-v-thomas-burton-rhodes-ltd-and-another_2?crid=12ada2e3-076a-4744-afc3-3441465278f8&amp;pdiskwicview=false"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plus-lexis-com.ezproxy.uwtsd.ac.uk/api/document/collection/cases-uk/id/4FXV-XB00-TWW4-21GS-00000-00?cite=Bolam%20v%20Friern%20Hospital%20Management%20Committee%2C%20%5B1957%5D%202%20All%20ER%20118%2C%20%5B1957%5D%201%20WLR%20582%2C%20101%20Sol%20Jo%20357%2C%201%20BMLR%201&amp;context=1001073&amp;identityprofileid=R6VFST67341"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legislation.gov.uk/ukpga/1974/37/contents" TargetMode="External"/><Relationship Id="rId5" Type="http://schemas.openxmlformats.org/officeDocument/2006/relationships/styles" Target="styles.xml"/><Relationship Id="rId15" Type="http://schemas.openxmlformats.org/officeDocument/2006/relationships/hyperlink" Target="https://plus-lexis-com.ezproxy.uwtsd.ac.uk/api/document/collection/cases-uk/id/4FXM-MTM0-TWW4-20FJ-00000-00?cite=Blyth%20v%20Birmingham%20Waterworks%20Co%2C%20(1856)%2020%20JP%20247%2C%2025%20LJ%20Ex%20212%2C%2011%20Exch%20781%2C%202%20Jur%20NS%20333%2C%204%20WR%20294%2C%20156%20ER%201047%2C%20%5B1843-60%5D%20All%20ER%20Rep%20478%2C%2026%20LTOS%20261&amp;context=1001073&amp;identityprofileid=R6VFST67341" TargetMode="External"/><Relationship Id="rId10" Type="http://schemas.openxmlformats.org/officeDocument/2006/relationships/hyperlink" Target="https://plus-lexis-com.ezproxy.uwtsd.ac.uk/uk/cases-uk/bolam-v-friern-hospital-management-committee?crid=8c730392-b212-46f5-9a10-e18a654f13bf&amp;pdiskwicview=false" TargetMode="External"/><Relationship Id="rId4" Type="http://schemas.openxmlformats.org/officeDocument/2006/relationships/numbering" Target="numbering.xml"/><Relationship Id="rId9" Type="http://schemas.openxmlformats.org/officeDocument/2006/relationships/hyperlink" Target="https://plus-lexis-com.ezproxy.uwtsd.ac.uk/uk/cases-uk/blyth-v-birmingham-waterworks-co-1843-60-al?crid=8c730392-b212-46f5-9a10-e18a654f13bf&amp;pdiskwicview=false" TargetMode="External"/><Relationship Id="rId14" Type="http://schemas.openxmlformats.org/officeDocument/2006/relationships/hyperlink" Target="https://www.legislation.gov.uk/uksi/1992/3004/contents/ma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8" ma:contentTypeDescription="Create a new document." ma:contentTypeScope="" ma:versionID="04bba224e801cc79edef9b5eadcd5ab1">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f085440466e69737d27e995209250576"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633C68AB-4714-4ED3-8004-A0D97C40192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3B753EF-A242-4DC6-A7C5-8C0AFDC46A2E}">
  <ds:schemaRefs>
    <ds:schemaRef ds:uri="http://schemas.microsoft.com/sharepoint/v3/contenttype/forms"/>
  </ds:schemaRefs>
</ds:datastoreItem>
</file>

<file path=customXml/itemProps3.xml><?xml version="1.0" encoding="utf-8"?>
<ds:datastoreItem xmlns:ds="http://schemas.openxmlformats.org/officeDocument/2006/customXml" ds:itemID="{B52377C5-2206-4F13-8EC7-E234A51A28D0}">
  <ds:schemaRefs>
    <ds:schemaRef ds:uri="http://schemas.microsoft.com/office/2006/metadata/properties"/>
    <ds:schemaRef ds:uri="http://schemas.microsoft.com/office/infopath/2007/PartnerControls"/>
    <ds:schemaRef ds:uri="d8e79d84-78fb-44a9-92e9-d04bdd8f0359"/>
  </ds:schemaRefs>
</ds:datastoreItem>
</file>

<file path=docProps/app.xml><?xml version="1.0" encoding="utf-8"?>
<Properties xmlns="http://schemas.openxmlformats.org/officeDocument/2006/extended-properties" xmlns:vt="http://schemas.openxmlformats.org/officeDocument/2006/docPropsVTypes">
  <Template>Normal</Template>
  <TotalTime>23069</TotalTime>
  <Pages>6</Pages>
  <Words>2643</Words>
  <Characters>15068</Characters>
  <Application>Microsoft Office Word</Application>
  <DocSecurity>0</DocSecurity>
  <Lines>125</Lines>
  <Paragraphs>35</Paragraphs>
  <ScaleCrop>false</ScaleCrop>
  <Company/>
  <LinksUpToDate>false</LinksUpToDate>
  <CharactersWithSpaces>17676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Phoebe Alexandra Olivia Emery (2224078)</dc:creator>
  <cp:keywords/>
  <dc:description/>
  <cp:lastModifiedBy>Phoebe Alexandra Olivia Emery (2224078)</cp:lastModifiedBy>
  <cp:revision>86</cp:revision>
  <dcterms:created xsi:type="dcterms:W3CDTF">2024-01-09T13:07:00Z</dcterms:created>
  <dcterms:modified xsi:type="dcterms:W3CDTF">2024-01-25T13:53:00Z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