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225A4" w:rsidP="003225A4" w:rsidRDefault="003225A4" w14:paraId="5A06165F" w14:textId="77777777"/>
    <w:p w:rsidRPr="003225A4" w:rsidR="003225A4" w:rsidP="4E522436" w:rsidRDefault="003225A4" w14:paraId="37B8279C" w14:textId="77777777">
      <w:pPr>
        <w:jc w:val="center"/>
        <w:rPr>
          <w:sz w:val="52"/>
          <w:szCs w:val="52"/>
        </w:rPr>
      </w:pPr>
      <w:r w:rsidRPr="4E522436" w:rsidR="003225A4">
        <w:rPr>
          <w:sz w:val="52"/>
          <w:szCs w:val="52"/>
        </w:rPr>
        <w:t>The ethics of care as a concept underpinning person-centred care.</w:t>
      </w:r>
    </w:p>
    <w:p w:rsidR="003225A4" w:rsidP="4E522436" w:rsidRDefault="003225A4" w14:paraId="0E4F4C14" w14:textId="07199D91">
      <w:pPr>
        <w:jc w:val="center"/>
        <w:rPr>
          <w:sz w:val="40"/>
          <w:szCs w:val="40"/>
        </w:rPr>
      </w:pPr>
    </w:p>
    <w:p w:rsidR="003225A4" w:rsidP="4E522436" w:rsidRDefault="003225A4" w14:paraId="113CCD33" w14:textId="75D66A43">
      <w:pPr>
        <w:pStyle w:val="Normal"/>
        <w:jc w:val="center"/>
        <w:rPr>
          <w:sz w:val="32"/>
          <w:szCs w:val="32"/>
        </w:rPr>
      </w:pPr>
    </w:p>
    <w:p w:rsidR="003225A4" w:rsidP="4E522436" w:rsidRDefault="003225A4" w14:paraId="61FCF030" w14:textId="327D7783">
      <w:pPr>
        <w:pStyle w:val="Normal"/>
        <w:jc w:val="center"/>
        <w:rPr>
          <w:sz w:val="32"/>
          <w:szCs w:val="32"/>
        </w:rPr>
      </w:pPr>
    </w:p>
    <w:p w:rsidR="003225A4" w:rsidP="4E522436" w:rsidRDefault="003225A4" w14:paraId="68858BDE" w14:textId="0E7711FB">
      <w:pPr>
        <w:pStyle w:val="Normal"/>
        <w:jc w:val="center"/>
        <w:rPr>
          <w:sz w:val="32"/>
          <w:szCs w:val="32"/>
        </w:rPr>
      </w:pPr>
      <w:r w:rsidRPr="4E522436" w:rsidR="003225A4">
        <w:rPr>
          <w:sz w:val="32"/>
          <w:szCs w:val="32"/>
        </w:rPr>
        <w:t xml:space="preserve">Student’s </w:t>
      </w:r>
      <w:r w:rsidRPr="4E522436" w:rsidR="003225A4">
        <w:rPr>
          <w:sz w:val="32"/>
          <w:szCs w:val="32"/>
        </w:rPr>
        <w:t>Name</w:t>
      </w:r>
      <w:r w:rsidRPr="4E522436" w:rsidR="573519D6">
        <w:rPr>
          <w:sz w:val="32"/>
          <w:szCs w:val="32"/>
        </w:rPr>
        <w:t xml:space="preserve"> :</w:t>
      </w:r>
      <w:r w:rsidRPr="4E522436" w:rsidR="573519D6">
        <w:rPr>
          <w:sz w:val="32"/>
          <w:szCs w:val="32"/>
        </w:rPr>
        <w:t xml:space="preserve"> Huma </w:t>
      </w:r>
      <w:r w:rsidRPr="4E522436" w:rsidR="573519D6">
        <w:rPr>
          <w:sz w:val="32"/>
          <w:szCs w:val="32"/>
        </w:rPr>
        <w:t>zafar</w:t>
      </w:r>
      <w:r w:rsidRPr="4E522436" w:rsidR="573519D6">
        <w:rPr>
          <w:sz w:val="32"/>
          <w:szCs w:val="32"/>
        </w:rPr>
        <w:t xml:space="preserve"> </w:t>
      </w:r>
      <w:r>
        <w:br/>
      </w:r>
    </w:p>
    <w:p w:rsidR="003225A4" w:rsidP="4E522436" w:rsidRDefault="003225A4" w14:paraId="514F5A37" w14:textId="19E89518">
      <w:pPr>
        <w:pStyle w:val="Normal"/>
        <w:jc w:val="center"/>
        <w:rPr>
          <w:sz w:val="32"/>
          <w:szCs w:val="32"/>
        </w:rPr>
      </w:pPr>
      <w:r w:rsidRPr="4E522436" w:rsidR="6E4BAA5D">
        <w:rPr>
          <w:sz w:val="32"/>
          <w:szCs w:val="32"/>
        </w:rPr>
        <w:t xml:space="preserve">Student </w:t>
      </w:r>
      <w:r w:rsidRPr="4E522436" w:rsidR="6E4BAA5D">
        <w:rPr>
          <w:sz w:val="32"/>
          <w:szCs w:val="32"/>
        </w:rPr>
        <w:t>Id :</w:t>
      </w:r>
      <w:r w:rsidRPr="4E522436" w:rsidR="6E4BAA5D">
        <w:rPr>
          <w:sz w:val="32"/>
          <w:szCs w:val="32"/>
        </w:rPr>
        <w:t xml:space="preserve"> 2324433</w:t>
      </w:r>
    </w:p>
    <w:p w:rsidR="003225A4" w:rsidP="4E522436" w:rsidRDefault="003225A4" w14:paraId="352871A5" w14:textId="1F266F7C">
      <w:pPr>
        <w:pStyle w:val="Normal"/>
        <w:jc w:val="center"/>
        <w:rPr>
          <w:sz w:val="32"/>
          <w:szCs w:val="32"/>
        </w:rPr>
      </w:pPr>
    </w:p>
    <w:p w:rsidR="6E4BAA5D" w:rsidP="4E522436" w:rsidRDefault="6E4BAA5D" w14:paraId="32EECEF8" w14:textId="3A42E4B9">
      <w:pPr>
        <w:pStyle w:val="Normal"/>
        <w:jc w:val="center"/>
        <w:rPr>
          <w:noProof w:val="0"/>
          <w:sz w:val="32"/>
          <w:szCs w:val="32"/>
          <w:lang w:val="en-GB"/>
        </w:rPr>
      </w:pPr>
      <w:r w:rsidRPr="4E522436" w:rsidR="6E4BAA5D">
        <w:rPr>
          <w:noProof w:val="0"/>
          <w:sz w:val="32"/>
          <w:szCs w:val="32"/>
          <w:lang w:val="en-GB"/>
        </w:rPr>
        <w:t xml:space="preserve">Lecturer </w:t>
      </w:r>
      <w:r w:rsidRPr="4E522436" w:rsidR="6E4BAA5D">
        <w:rPr>
          <w:noProof w:val="0"/>
          <w:sz w:val="32"/>
          <w:szCs w:val="32"/>
          <w:lang w:val="en-GB"/>
        </w:rPr>
        <w:t>Name :</w:t>
      </w:r>
      <w:r w:rsidRPr="4E522436" w:rsidR="6E4BAA5D">
        <w:rPr>
          <w:noProof w:val="0"/>
          <w:sz w:val="32"/>
          <w:szCs w:val="32"/>
          <w:lang w:val="en-GB"/>
        </w:rPr>
        <w:t xml:space="preserve"> DR </w:t>
      </w:r>
      <w:r w:rsidRPr="4E522436" w:rsidR="6E4BAA5D">
        <w:rPr>
          <w:noProof w:val="0"/>
          <w:sz w:val="32"/>
          <w:szCs w:val="32"/>
          <w:lang w:val="en-GB"/>
        </w:rPr>
        <w:t>Itse</w:t>
      </w:r>
      <w:r w:rsidRPr="4E522436" w:rsidR="6E4BAA5D">
        <w:rPr>
          <w:noProof w:val="0"/>
          <w:sz w:val="32"/>
          <w:szCs w:val="32"/>
          <w:lang w:val="en-GB"/>
        </w:rPr>
        <w:t xml:space="preserve"> Olaoye</w:t>
      </w:r>
    </w:p>
    <w:p w:rsidR="003225A4" w:rsidP="003225A4" w:rsidRDefault="003225A4" w14:paraId="364856F9" w14:textId="77777777"/>
    <w:p w:rsidR="003225A4" w:rsidP="003225A4" w:rsidRDefault="003225A4" w14:paraId="1C58D9FE" w14:textId="77777777"/>
    <w:p w:rsidR="003225A4" w:rsidP="003225A4" w:rsidRDefault="003225A4" w14:paraId="4B521812" w14:textId="77777777"/>
    <w:p w:rsidR="003225A4" w:rsidP="003225A4" w:rsidRDefault="003225A4" w14:paraId="65C74E22" w14:textId="77777777"/>
    <w:p w:rsidR="003225A4" w:rsidP="003225A4" w:rsidRDefault="003225A4" w14:paraId="5C913AB6" w14:textId="77777777"/>
    <w:p w:rsidR="003225A4" w:rsidP="003225A4" w:rsidRDefault="003225A4" w14:paraId="19B0103F" w14:textId="77777777"/>
    <w:p w:rsidR="003225A4" w:rsidP="003225A4" w:rsidRDefault="003225A4" w14:paraId="5547C5E7" w14:textId="77777777"/>
    <w:p w:rsidR="003225A4" w:rsidP="003225A4" w:rsidRDefault="003225A4" w14:paraId="72951AE4" w14:textId="77777777"/>
    <w:p w:rsidR="003225A4" w:rsidP="003225A4" w:rsidRDefault="003225A4" w14:paraId="686F4059" w14:textId="77777777"/>
    <w:p w:rsidR="003225A4" w:rsidP="003225A4" w:rsidRDefault="003225A4" w14:paraId="39EB272A" w14:textId="77777777"/>
    <w:p w:rsidR="003225A4" w:rsidP="003225A4" w:rsidRDefault="003225A4" w14:paraId="74CA9974" w14:textId="77777777"/>
    <w:p w:rsidR="003225A4" w:rsidP="003225A4" w:rsidRDefault="003225A4" w14:paraId="61DF7D82" w14:textId="77777777"/>
    <w:p w:rsidR="003225A4" w:rsidP="003225A4" w:rsidRDefault="003225A4" w14:paraId="603960CC" w14:textId="77777777"/>
    <w:p w:rsidR="003225A4" w:rsidP="003225A4" w:rsidRDefault="003225A4" w14:paraId="79D020E1" w14:textId="77777777"/>
    <w:p w:rsidR="003225A4" w:rsidP="003225A4" w:rsidRDefault="003225A4" w14:paraId="14F53A8B" w14:textId="77777777"/>
    <w:p w:rsidR="003225A4" w:rsidP="003225A4" w:rsidRDefault="003225A4" w14:paraId="3581E5BE" w14:textId="77777777"/>
    <w:p w:rsidR="003225A4" w:rsidP="003225A4" w:rsidRDefault="003225A4" w14:paraId="60255E8D" w14:textId="77777777"/>
    <w:p w:rsidR="003225A4" w:rsidP="003225A4" w:rsidRDefault="003225A4" w14:paraId="376ED419" w14:textId="77777777"/>
    <w:p w:rsidR="003225A4" w:rsidP="003225A4" w:rsidRDefault="003225A4" w14:paraId="69645185" w14:textId="77777777"/>
    <w:p w:rsidR="003225A4" w:rsidP="003225A4" w:rsidRDefault="003225A4" w14:paraId="144A198A" w14:textId="77777777"/>
    <w:p w:rsidR="003225A4" w:rsidP="003225A4" w:rsidRDefault="003225A4" w14:paraId="3632DA7D" w14:textId="77777777"/>
    <w:p w:rsidR="003225A4" w:rsidP="003225A4" w:rsidRDefault="003225A4" w14:paraId="639B3EC9" w14:textId="77777777"/>
    <w:p w:rsidR="003225A4" w:rsidP="003225A4" w:rsidRDefault="003225A4" w14:paraId="6E54CED1" w14:textId="77777777"/>
    <w:p w:rsidR="003225A4" w:rsidP="003225A4" w:rsidRDefault="003225A4" w14:paraId="793D772F" w14:textId="77777777"/>
    <w:p w:rsidR="003225A4" w:rsidP="003225A4" w:rsidRDefault="003225A4" w14:paraId="47A2F228" w14:textId="77777777"/>
    <w:sdt>
      <w:sdtPr>
        <w:id w:val="298961633"/>
        <w:docPartObj>
          <w:docPartGallery w:val="Table of Contents"/>
          <w:docPartUnique/>
        </w:docPartObj>
      </w:sdtPr>
      <w:sdtEndPr>
        <w:rPr>
          <w:rFonts w:ascii="Times New Roman" w:hAnsi="Times New Roman" w:eastAsia="Calibri" w:cs="" w:eastAsiaTheme="minorAscii" w:cstheme="minorBidi"/>
          <w:b w:val="1"/>
          <w:bCs w:val="1"/>
          <w:noProof/>
          <w:color w:val="auto"/>
          <w:kern w:val="2"/>
          <w:sz w:val="24"/>
          <w:szCs w:val="24"/>
          <w:lang w:val="en-GB"/>
          <w14:ligatures w14:val="standardContextual"/>
        </w:rPr>
      </w:sdtEndPr>
      <w:sdtContent>
        <w:p w:rsidR="003225A4" w:rsidRDefault="003225A4" w14:paraId="1F832108" w14:textId="537D4C66">
          <w:pPr>
            <w:pStyle w:val="TOCHeading"/>
          </w:pPr>
          <w:r>
            <w:t>Table of Contents</w:t>
          </w:r>
        </w:p>
        <w:p w:rsidR="003225A4" w:rsidRDefault="003225A4" w14:paraId="48E7048B" w14:textId="4FE00D74">
          <w:pPr>
            <w:pStyle w:val="TOC1"/>
            <w:tabs>
              <w:tab w:val="right" w:leader="dot" w:pos="9016"/>
            </w:tabs>
            <w:rPr>
              <w:noProof/>
            </w:rPr>
          </w:pPr>
          <w:r>
            <w:fldChar w:fldCharType="begin"/>
          </w:r>
          <w:r>
            <w:instrText xml:space="preserve"> TOC \o "1-3" \h \z \u </w:instrText>
          </w:r>
          <w:r>
            <w:fldChar w:fldCharType="separate"/>
          </w:r>
          <w:hyperlink w:history="1" w:anchor="_Toc216095644">
            <w:r w:rsidRPr="00CF4E1D">
              <w:rPr>
                <w:rStyle w:val="Hyperlink"/>
                <w:noProof/>
              </w:rPr>
              <w:t>Introduction</w:t>
            </w:r>
            <w:r>
              <w:rPr>
                <w:noProof/>
                <w:webHidden/>
              </w:rPr>
              <w:tab/>
            </w:r>
            <w:r>
              <w:rPr>
                <w:noProof/>
                <w:webHidden/>
              </w:rPr>
              <w:fldChar w:fldCharType="begin"/>
            </w:r>
            <w:r>
              <w:rPr>
                <w:noProof/>
                <w:webHidden/>
              </w:rPr>
              <w:instrText xml:space="preserve"> PAGEREF _Toc216095644 \h </w:instrText>
            </w:r>
            <w:r>
              <w:rPr>
                <w:noProof/>
                <w:webHidden/>
              </w:rPr>
            </w:r>
            <w:r>
              <w:rPr>
                <w:noProof/>
                <w:webHidden/>
              </w:rPr>
              <w:fldChar w:fldCharType="separate"/>
            </w:r>
            <w:r>
              <w:rPr>
                <w:noProof/>
                <w:webHidden/>
              </w:rPr>
              <w:t>2</w:t>
            </w:r>
            <w:r>
              <w:rPr>
                <w:noProof/>
                <w:webHidden/>
              </w:rPr>
              <w:fldChar w:fldCharType="end"/>
            </w:r>
          </w:hyperlink>
        </w:p>
        <w:p w:rsidR="003225A4" w:rsidRDefault="003225A4" w14:paraId="61A615BF" w14:textId="46DA62B1">
          <w:pPr>
            <w:pStyle w:val="TOC2"/>
            <w:tabs>
              <w:tab w:val="right" w:leader="dot" w:pos="9016"/>
            </w:tabs>
            <w:rPr>
              <w:noProof/>
            </w:rPr>
          </w:pPr>
          <w:hyperlink w:history="1" w:anchor="_Toc216095645">
            <w:r w:rsidRPr="00CF4E1D">
              <w:rPr>
                <w:rStyle w:val="Hyperlink"/>
                <w:noProof/>
              </w:rPr>
              <w:t>Ethics of Care to Critiques and Responses</w:t>
            </w:r>
            <w:r>
              <w:rPr>
                <w:noProof/>
                <w:webHidden/>
              </w:rPr>
              <w:tab/>
            </w:r>
            <w:r>
              <w:rPr>
                <w:noProof/>
                <w:webHidden/>
              </w:rPr>
              <w:fldChar w:fldCharType="begin"/>
            </w:r>
            <w:r>
              <w:rPr>
                <w:noProof/>
                <w:webHidden/>
              </w:rPr>
              <w:instrText xml:space="preserve"> PAGEREF _Toc216095645 \h </w:instrText>
            </w:r>
            <w:r>
              <w:rPr>
                <w:noProof/>
                <w:webHidden/>
              </w:rPr>
            </w:r>
            <w:r>
              <w:rPr>
                <w:noProof/>
                <w:webHidden/>
              </w:rPr>
              <w:fldChar w:fldCharType="separate"/>
            </w:r>
            <w:r>
              <w:rPr>
                <w:noProof/>
                <w:webHidden/>
              </w:rPr>
              <w:t>2</w:t>
            </w:r>
            <w:r>
              <w:rPr>
                <w:noProof/>
                <w:webHidden/>
              </w:rPr>
              <w:fldChar w:fldCharType="end"/>
            </w:r>
          </w:hyperlink>
        </w:p>
        <w:p w:rsidR="003225A4" w:rsidRDefault="003225A4" w14:paraId="3B9D24A4" w14:textId="47EA45D9">
          <w:pPr>
            <w:pStyle w:val="TOC1"/>
            <w:tabs>
              <w:tab w:val="right" w:leader="dot" w:pos="9016"/>
            </w:tabs>
            <w:rPr>
              <w:noProof/>
            </w:rPr>
          </w:pPr>
          <w:hyperlink w:history="1" w:anchor="_Toc216095646">
            <w:r w:rsidRPr="00CF4E1D">
              <w:rPr>
                <w:rStyle w:val="Hyperlink"/>
                <w:noProof/>
              </w:rPr>
              <w:t>Health and Social Care Policy and Practice, Including Problems</w:t>
            </w:r>
            <w:r>
              <w:rPr>
                <w:noProof/>
                <w:webHidden/>
              </w:rPr>
              <w:tab/>
            </w:r>
            <w:r>
              <w:rPr>
                <w:noProof/>
                <w:webHidden/>
              </w:rPr>
              <w:fldChar w:fldCharType="begin"/>
            </w:r>
            <w:r>
              <w:rPr>
                <w:noProof/>
                <w:webHidden/>
              </w:rPr>
              <w:instrText xml:space="preserve"> PAGEREF _Toc216095646 \h </w:instrText>
            </w:r>
            <w:r>
              <w:rPr>
                <w:noProof/>
                <w:webHidden/>
              </w:rPr>
            </w:r>
            <w:r>
              <w:rPr>
                <w:noProof/>
                <w:webHidden/>
              </w:rPr>
              <w:fldChar w:fldCharType="separate"/>
            </w:r>
            <w:r>
              <w:rPr>
                <w:noProof/>
                <w:webHidden/>
              </w:rPr>
              <w:t>5</w:t>
            </w:r>
            <w:r>
              <w:rPr>
                <w:noProof/>
                <w:webHidden/>
              </w:rPr>
              <w:fldChar w:fldCharType="end"/>
            </w:r>
          </w:hyperlink>
        </w:p>
        <w:p w:rsidR="003225A4" w:rsidRDefault="003225A4" w14:paraId="169382C5" w14:textId="1E5FC0AF">
          <w:pPr>
            <w:pStyle w:val="TOC2"/>
            <w:tabs>
              <w:tab w:val="right" w:leader="dot" w:pos="9016"/>
            </w:tabs>
            <w:rPr>
              <w:noProof/>
            </w:rPr>
          </w:pPr>
          <w:hyperlink w:history="1" w:anchor="_Toc216095647">
            <w:r w:rsidRPr="00CF4E1D">
              <w:rPr>
                <w:rStyle w:val="Hyperlink"/>
                <w:noProof/>
              </w:rPr>
              <w:t>Policy and Practice Recommendations.</w:t>
            </w:r>
            <w:r>
              <w:rPr>
                <w:noProof/>
                <w:webHidden/>
              </w:rPr>
              <w:tab/>
            </w:r>
            <w:r>
              <w:rPr>
                <w:noProof/>
                <w:webHidden/>
              </w:rPr>
              <w:fldChar w:fldCharType="begin"/>
            </w:r>
            <w:r>
              <w:rPr>
                <w:noProof/>
                <w:webHidden/>
              </w:rPr>
              <w:instrText xml:space="preserve"> PAGEREF _Toc216095647 \h </w:instrText>
            </w:r>
            <w:r>
              <w:rPr>
                <w:noProof/>
                <w:webHidden/>
              </w:rPr>
            </w:r>
            <w:r>
              <w:rPr>
                <w:noProof/>
                <w:webHidden/>
              </w:rPr>
              <w:fldChar w:fldCharType="separate"/>
            </w:r>
            <w:r>
              <w:rPr>
                <w:noProof/>
                <w:webHidden/>
              </w:rPr>
              <w:t>8</w:t>
            </w:r>
            <w:r>
              <w:rPr>
                <w:noProof/>
                <w:webHidden/>
              </w:rPr>
              <w:fldChar w:fldCharType="end"/>
            </w:r>
          </w:hyperlink>
        </w:p>
        <w:p w:rsidR="003225A4" w:rsidRDefault="003225A4" w14:paraId="340C7537" w14:textId="0AF535E3">
          <w:pPr>
            <w:pStyle w:val="TOC2"/>
            <w:tabs>
              <w:tab w:val="right" w:leader="dot" w:pos="9016"/>
            </w:tabs>
            <w:rPr>
              <w:noProof/>
            </w:rPr>
          </w:pPr>
          <w:hyperlink w:history="1" w:anchor="_Toc216095648">
            <w:r w:rsidRPr="00CF4E1D">
              <w:rPr>
                <w:rStyle w:val="Hyperlink"/>
                <w:noProof/>
              </w:rPr>
              <w:t>Conclusion</w:t>
            </w:r>
            <w:r>
              <w:rPr>
                <w:noProof/>
                <w:webHidden/>
              </w:rPr>
              <w:tab/>
            </w:r>
            <w:r>
              <w:rPr>
                <w:noProof/>
                <w:webHidden/>
              </w:rPr>
              <w:fldChar w:fldCharType="begin"/>
            </w:r>
            <w:r>
              <w:rPr>
                <w:noProof/>
                <w:webHidden/>
              </w:rPr>
              <w:instrText xml:space="preserve"> PAGEREF _Toc216095648 \h </w:instrText>
            </w:r>
            <w:r>
              <w:rPr>
                <w:noProof/>
                <w:webHidden/>
              </w:rPr>
            </w:r>
            <w:r>
              <w:rPr>
                <w:noProof/>
                <w:webHidden/>
              </w:rPr>
              <w:fldChar w:fldCharType="separate"/>
            </w:r>
            <w:r>
              <w:rPr>
                <w:noProof/>
                <w:webHidden/>
              </w:rPr>
              <w:t>8</w:t>
            </w:r>
            <w:r>
              <w:rPr>
                <w:noProof/>
                <w:webHidden/>
              </w:rPr>
              <w:fldChar w:fldCharType="end"/>
            </w:r>
          </w:hyperlink>
        </w:p>
        <w:p w:rsidR="003225A4" w:rsidRDefault="003225A4" w14:paraId="5CF99AEB" w14:textId="1B50C0D1">
          <w:pPr>
            <w:pStyle w:val="TOC1"/>
            <w:tabs>
              <w:tab w:val="right" w:leader="dot" w:pos="9016"/>
            </w:tabs>
            <w:rPr>
              <w:noProof/>
            </w:rPr>
          </w:pPr>
          <w:hyperlink w:history="1" w:anchor="_Toc216095649">
            <w:r w:rsidRPr="00CF4E1D">
              <w:rPr>
                <w:rStyle w:val="Hyperlink"/>
                <w:noProof/>
              </w:rPr>
              <w:t>References</w:t>
            </w:r>
            <w:r>
              <w:rPr>
                <w:noProof/>
                <w:webHidden/>
              </w:rPr>
              <w:tab/>
            </w:r>
            <w:r>
              <w:rPr>
                <w:noProof/>
                <w:webHidden/>
              </w:rPr>
              <w:fldChar w:fldCharType="begin"/>
            </w:r>
            <w:r>
              <w:rPr>
                <w:noProof/>
                <w:webHidden/>
              </w:rPr>
              <w:instrText xml:space="preserve"> PAGEREF _Toc216095649 \h </w:instrText>
            </w:r>
            <w:r>
              <w:rPr>
                <w:noProof/>
                <w:webHidden/>
              </w:rPr>
            </w:r>
            <w:r>
              <w:rPr>
                <w:noProof/>
                <w:webHidden/>
              </w:rPr>
              <w:fldChar w:fldCharType="separate"/>
            </w:r>
            <w:r>
              <w:rPr>
                <w:noProof/>
                <w:webHidden/>
              </w:rPr>
              <w:t>9</w:t>
            </w:r>
            <w:r>
              <w:rPr>
                <w:noProof/>
                <w:webHidden/>
              </w:rPr>
              <w:fldChar w:fldCharType="end"/>
            </w:r>
          </w:hyperlink>
        </w:p>
        <w:p w:rsidR="003225A4" w:rsidRDefault="003225A4" w14:paraId="0496FFEF" w14:textId="0401C8B4">
          <w:r>
            <w:rPr>
              <w:b/>
              <w:bCs/>
              <w:noProof/>
            </w:rPr>
            <w:fldChar w:fldCharType="end"/>
          </w:r>
        </w:p>
      </w:sdtContent>
    </w:sdt>
    <w:p w:rsidR="003225A4" w:rsidP="003225A4" w:rsidRDefault="003225A4" w14:paraId="55C03224" w14:textId="77777777"/>
    <w:p w:rsidR="003225A4" w:rsidP="003225A4" w:rsidRDefault="003225A4" w14:paraId="2E541FD8" w14:textId="77777777"/>
    <w:p w:rsidR="003225A4" w:rsidP="003225A4" w:rsidRDefault="003225A4" w14:paraId="279D958F" w14:textId="77777777"/>
    <w:p w:rsidR="003225A4" w:rsidP="003225A4" w:rsidRDefault="003225A4" w14:paraId="248CD93F" w14:textId="77777777"/>
    <w:p w:rsidR="003225A4" w:rsidP="003225A4" w:rsidRDefault="003225A4" w14:paraId="5331E079" w14:textId="77777777"/>
    <w:p w:rsidR="003225A4" w:rsidP="003225A4" w:rsidRDefault="003225A4" w14:paraId="6FFA2368" w14:textId="77777777"/>
    <w:p w:rsidR="003225A4" w:rsidP="003225A4" w:rsidRDefault="003225A4" w14:paraId="77FFB2FD" w14:textId="77777777"/>
    <w:p w:rsidR="003225A4" w:rsidP="003225A4" w:rsidRDefault="003225A4" w14:paraId="4EFD6745" w14:textId="77777777"/>
    <w:p w:rsidR="003225A4" w:rsidP="003225A4" w:rsidRDefault="003225A4" w14:paraId="3BC66195" w14:textId="77777777"/>
    <w:p w:rsidR="003225A4" w:rsidP="003225A4" w:rsidRDefault="003225A4" w14:paraId="7B7B6D8E" w14:textId="77777777"/>
    <w:p w:rsidR="003225A4" w:rsidP="003225A4" w:rsidRDefault="003225A4" w14:paraId="19B3C162" w14:textId="77777777"/>
    <w:p w:rsidR="003225A4" w:rsidP="003225A4" w:rsidRDefault="003225A4" w14:paraId="4BF5226E" w14:textId="77777777"/>
    <w:p w:rsidR="003225A4" w:rsidP="003225A4" w:rsidRDefault="003225A4" w14:paraId="7DE3C611" w14:textId="77777777"/>
    <w:p w:rsidR="003225A4" w:rsidP="003225A4" w:rsidRDefault="003225A4" w14:paraId="14213541" w14:textId="77777777"/>
    <w:p w:rsidR="003225A4" w:rsidP="003225A4" w:rsidRDefault="003225A4" w14:paraId="47459560" w14:textId="77777777"/>
    <w:p w:rsidR="003225A4" w:rsidP="003225A4" w:rsidRDefault="003225A4" w14:paraId="1050ABF4" w14:textId="77777777"/>
    <w:p w:rsidR="003225A4" w:rsidP="003225A4" w:rsidRDefault="003225A4" w14:paraId="4CE2347C" w14:textId="77777777"/>
    <w:p w:rsidR="003225A4" w:rsidP="003225A4" w:rsidRDefault="003225A4" w14:paraId="784F0E68" w14:textId="77777777"/>
    <w:p w:rsidR="003225A4" w:rsidP="003225A4" w:rsidRDefault="003225A4" w14:paraId="2B1E195F" w14:textId="77777777"/>
    <w:p w:rsidR="003225A4" w:rsidP="003225A4" w:rsidRDefault="003225A4" w14:paraId="716D2BA1" w14:textId="77777777"/>
    <w:p w:rsidR="003225A4" w:rsidP="003225A4" w:rsidRDefault="003225A4" w14:paraId="6E589289" w14:textId="77777777"/>
    <w:p w:rsidR="003225A4" w:rsidP="003225A4" w:rsidRDefault="003225A4" w14:paraId="25B3473D" w14:textId="77777777"/>
    <w:p w:rsidR="003225A4" w:rsidP="003225A4" w:rsidRDefault="003225A4" w14:paraId="476BFE29" w14:textId="77777777"/>
    <w:p w:rsidR="005964BA" w:rsidP="003225A4" w:rsidRDefault="005964BA" w14:paraId="2731B811" w14:textId="34B33507">
      <w:pPr>
        <w:pStyle w:val="Heading1"/>
      </w:pPr>
      <w:bookmarkStart w:name="_Toc216095644" w:id="0"/>
      <w:r>
        <w:lastRenderedPageBreak/>
        <w:t>Introduction</w:t>
      </w:r>
      <w:bookmarkEnd w:id="0"/>
    </w:p>
    <w:p w:rsidR="003D231E" w:rsidP="003225A4" w:rsidRDefault="005964BA" w14:paraId="0A540A4D" w14:textId="396F260A">
      <w:pPr>
        <w:spacing w:line="480" w:lineRule="auto"/>
      </w:pPr>
      <w:r>
        <w:t>Person-</w:t>
      </w:r>
      <w:proofErr w:type="spellStart"/>
      <w:r>
        <w:t>centered</w:t>
      </w:r>
      <w:proofErr w:type="spellEnd"/>
      <w:r>
        <w:t xml:space="preserve"> care involves making values, relationships and context of the individual the central component of health and social care delivery. The ethics of care offers its moral basis by focusing on the elements of interdependence, attention, responsibility, ability, responsiveness and solidarity. This relational model has criticized the supremacy of individualistic and market-based approaches. The essay is a critical evaluation of the ethics of care, its primary criticisms and counterarguments, its use in modern health and social care policy and practice and related issues, as well as providing evidence-based suggestions.</w:t>
      </w:r>
    </w:p>
    <w:p w:rsidR="003B48FE" w:rsidP="003225A4" w:rsidRDefault="003B48FE" w14:paraId="422DA119" w14:textId="1A1FB0DA">
      <w:pPr>
        <w:pStyle w:val="Heading2"/>
      </w:pPr>
      <w:bookmarkStart w:name="_Toc216095645" w:id="1"/>
      <w:r>
        <w:t>Ethics of Care to Critiques and Responses</w:t>
      </w:r>
      <w:bookmarkEnd w:id="1"/>
      <w:r>
        <w:t xml:space="preserve"> </w:t>
      </w:r>
    </w:p>
    <w:p w:rsidR="003B48FE" w:rsidP="003225A4" w:rsidRDefault="003B48FE" w14:paraId="6B8A1252" w14:textId="77777777">
      <w:pPr>
        <w:spacing w:line="480" w:lineRule="auto"/>
      </w:pPr>
      <w:r>
        <w:t xml:space="preserve">The ethics of care was developed as the feminist theory of morality in the first half of 1980s and it has become one of the most important theories of person-based health and social care. The theory was first stated by Gilligan (1982) who criticised Kohlberg on his stages of moral development based on justice by stating that women usually use a different voice which focuses on relationships, sensitivity to situations and responsibility to others instead of general rules and rights. The realization displaced the moral philosophy of abstract impartiality in </w:t>
      </w:r>
      <w:proofErr w:type="spellStart"/>
      <w:r>
        <w:t>favor</w:t>
      </w:r>
      <w:proofErr w:type="spellEnd"/>
      <w:r>
        <w:t xml:space="preserve"> of the moral reasoning of situations. Adding on the contributions of Gilligan, </w:t>
      </w:r>
      <w:proofErr w:type="spellStart"/>
      <w:r>
        <w:t>Noddings</w:t>
      </w:r>
      <w:proofErr w:type="spellEnd"/>
      <w:r>
        <w:t xml:space="preserve"> (1984) defined caring as an ethical relationship that is immersive and where the carer is receptively responsive to the needs of the cared one and acts out of a motivation of genuine concern rather than of an obligation on its own. </w:t>
      </w:r>
      <w:proofErr w:type="spellStart"/>
      <w:r>
        <w:t>Noddings</w:t>
      </w:r>
      <w:proofErr w:type="spellEnd"/>
      <w:r>
        <w:t xml:space="preserve"> emphasized that genuine care needs both emotional and practical competency, and she first defined the obligatory care in terms of intimate or chosen relations.</w:t>
      </w:r>
    </w:p>
    <w:p w:rsidR="003B48FE" w:rsidP="003225A4" w:rsidRDefault="003B48FE" w14:paraId="2AEDD69E" w14:textId="77777777">
      <w:pPr>
        <w:spacing w:line="480" w:lineRule="auto"/>
      </w:pPr>
      <w:r>
        <w:t xml:space="preserve">A turning point was reached when </w:t>
      </w:r>
      <w:proofErr w:type="spellStart"/>
      <w:r>
        <w:t>Tronto</w:t>
      </w:r>
      <w:proofErr w:type="spellEnd"/>
      <w:r>
        <w:t xml:space="preserve"> (</w:t>
      </w:r>
      <w:proofErr w:type="spellStart"/>
      <w:r>
        <w:t>Tronto</w:t>
      </w:r>
      <w:proofErr w:type="spellEnd"/>
      <w:r>
        <w:t xml:space="preserve"> 1993) politicised the theory by creating four phases of care with four interrelated steps; caring about (noticing need), taking care of (assuming responsibility), care-giving (direct work), and care-receiving (assessing whether needs were met). Later she incorporated a fifth stage care-with or solidarity to stress that it is </w:t>
      </w:r>
      <w:r>
        <w:lastRenderedPageBreak/>
        <w:t>collective democratic responsibility (</w:t>
      </w:r>
      <w:proofErr w:type="spellStart"/>
      <w:r>
        <w:t>Tronto</w:t>
      </w:r>
      <w:proofErr w:type="spellEnd"/>
      <w:r>
        <w:t>, 2013). This growth changed care ethics into a feminine and personal virtue, into a political ethic able to criticize unfair institutions. Held (2006) continued the globalisation of the theory demonstrating the working of the care practices and values at the personal, societal and international levels and contending that care should be viewed as an essential social value alongside liberty and equality. The foundations of these contributions identified the main principles that continue to characterize the field, namely relational ontology (humans are interdependent), contextual moral reasoning, the moral salience of emotions, and prioritizing responding to vulnerability.</w:t>
      </w:r>
    </w:p>
    <w:p w:rsidR="003B48FE" w:rsidP="003225A4" w:rsidRDefault="003B48FE" w14:paraId="014F2493" w14:textId="77777777">
      <w:pPr>
        <w:spacing w:line="480" w:lineRule="auto"/>
      </w:pPr>
      <w:r>
        <w:t>The theory has also been expanded by the current scholarship in order to address the issues of the twenty first century. O'Connell et al. (2021) combine care ethics and ecological thinking and define care as a response-ability in relation to other human and non-human beings in the face of climate crisis and biodiversity loss. Care ethics have now been used to criticize the medical model in disability studies and contributes to calls made in the demanding of supported decision-making and inclusive community living. In the health care field, Selvakumar and Kenny (2023) demonstrate that the theory is used to support moral resilience programmes which enable clinicians to remain relationally upright during moral distress. Digital and AI-assisted care has also raised new concerns regarding the possibility of maintaining attentiveness and responsiveness in a relationship in case of algorithms mediation (</w:t>
      </w:r>
      <w:proofErr w:type="spellStart"/>
      <w:r>
        <w:t>Bruynseels</w:t>
      </w:r>
      <w:proofErr w:type="spellEnd"/>
      <w:r>
        <w:t xml:space="preserve"> et al., 2018).</w:t>
      </w:r>
    </w:p>
    <w:p w:rsidR="003B48FE" w:rsidP="003225A4" w:rsidRDefault="003B48FE" w14:paraId="543ABF38" w14:textId="77777777">
      <w:pPr>
        <w:spacing w:line="480" w:lineRule="auto"/>
      </w:pPr>
      <w:r>
        <w:t>Nevertheless, ethics of care has come under continuous criticism in a number of fronts despite its influence. A well-known criticism is that of parochialism: care ethics can overlook far-flung strangers and international duties of justice by prioritizing those who are locally near and nigh (</w:t>
      </w:r>
      <w:proofErr w:type="spellStart"/>
      <w:r>
        <w:t>Engster</w:t>
      </w:r>
      <w:proofErr w:type="spellEnd"/>
      <w:r>
        <w:t>, 2015). The second significant issue is paternalism; excessive dependence on the opinion of the carer about the need may suppress the autonomy of the cared-for and the expressed desire (</w:t>
      </w:r>
      <w:proofErr w:type="spellStart"/>
      <w:r>
        <w:t>Gastmans</w:t>
      </w:r>
      <w:proofErr w:type="spellEnd"/>
      <w:r>
        <w:t xml:space="preserve">, 2017). Critics also mention the perpetuation of </w:t>
      </w:r>
      <w:r>
        <w:lastRenderedPageBreak/>
        <w:t>gender essentialism and the danger of strengthening the position of women, celebrating traditional feminine qualities and not focusing on structural power (Collins, 2015). Lastly, the contextualism of the theory and the absence of universal rules is reported to bring ambivalence to practice, placing practitioners in resource-constrained or high-stakes environments without clear direction and, therefore, heightening moral distress and burnout (Morley et al., 2019).</w:t>
      </w:r>
    </w:p>
    <w:p w:rsidR="003B48FE" w:rsidP="003225A4" w:rsidRDefault="003B48FE" w14:paraId="7C61F16E" w14:textId="6CC69A70">
      <w:pPr>
        <w:spacing w:line="480" w:lineRule="auto"/>
      </w:pPr>
      <w:r>
        <w:t>Reactions to these criticisms have been advanced and mostly effective to reinforce the theory. The predominance of hybrid care-justice models is now in place; care theorists declare their rights, fairness and universal concepts to make sure that the concerns of relations are not so bought to the forefront that they overshadow justice (</w:t>
      </w:r>
      <w:proofErr w:type="spellStart"/>
      <w:r>
        <w:t>Engster</w:t>
      </w:r>
      <w:proofErr w:type="spellEnd"/>
      <w:r>
        <w:t xml:space="preserve">, 2015). The idea of relational autonomy has taken the </w:t>
      </w:r>
      <w:proofErr w:type="spellStart"/>
      <w:r>
        <w:t>center</w:t>
      </w:r>
      <w:proofErr w:type="spellEnd"/>
      <w:r>
        <w:t xml:space="preserve"> stage: autonomy is perceived to be socially encircled and reinforced in lieu of being isolated, such emission and autonomy can mutually support each other (</w:t>
      </w:r>
      <w:proofErr w:type="spellStart"/>
      <w:r>
        <w:t>Gastmans</w:t>
      </w:r>
      <w:proofErr w:type="spellEnd"/>
      <w:r>
        <w:t>, 2017). Political care ethics opposes parochialism by requesting changes in institutional and policies that would provide care to the marginalised and remote groups (</w:t>
      </w:r>
      <w:proofErr w:type="spellStart"/>
      <w:r>
        <w:t>Tronto</w:t>
      </w:r>
      <w:proofErr w:type="spellEnd"/>
      <w:r>
        <w:t>, 2013). Gender essentialism is dealt with through reconceptualising care as a gender-neutral practice that every person can and ought to do coupled with economic and social delivery of care work (Collins, 2015). Lastly, there is reduced ambiguity and moral distress because of being educated in moral resiliency, reflective supervision, and bringing practical tools like relational impact assessment and care phase checklists (Selvakumar and Kenny, 2023). These reactions prove that care ethics is not an inflexible tradition but a living tradition, able to correct and evolve itself.</w:t>
      </w:r>
    </w:p>
    <w:p w:rsidR="003B48FE" w:rsidP="003225A4" w:rsidRDefault="003B48FE" w14:paraId="39F5A570" w14:textId="26BBA4AE">
      <w:pPr>
        <w:pStyle w:val="Heading1"/>
      </w:pPr>
      <w:bookmarkStart w:name="_Toc216095646" w:id="2"/>
      <w:r>
        <w:lastRenderedPageBreak/>
        <w:t>Health and Social Care Policy and Practice, Including Problems</w:t>
      </w:r>
      <w:bookmarkEnd w:id="2"/>
      <w:r>
        <w:t xml:space="preserve"> </w:t>
      </w:r>
    </w:p>
    <w:p w:rsidR="003B48FE" w:rsidP="003225A4" w:rsidRDefault="003B48FE" w14:paraId="1FD898A0" w14:textId="77777777">
      <w:pPr>
        <w:spacing w:line="480" w:lineRule="auto"/>
      </w:pPr>
      <w:r>
        <w:t xml:space="preserve">The policy of health and social care amidst the modern era has been greatly influenced by ethics of care, whereby of concern is found on both the relationship networks and the systemic vulnerabilities, as opposed to the individual transactions. In the United Kingdom, the framework is a direct informant to the NHS Integrated Care Systems that were launched in 2022 and mandate local collaboration focusing on what matters to </w:t>
      </w:r>
      <w:proofErr w:type="gramStart"/>
      <w:r>
        <w:t>you</w:t>
      </w:r>
      <w:proofErr w:type="gramEnd"/>
      <w:r>
        <w:t xml:space="preserve"> conversations and building relational continuity rather than a fragmented, procedural-based service (Barnes, 2020). The social prescribing programmes now integrated into primary care in England clearly build on the </w:t>
      </w:r>
      <w:proofErr w:type="spellStart"/>
      <w:r>
        <w:t>Tronto</w:t>
      </w:r>
      <w:proofErr w:type="spellEnd"/>
      <w:r>
        <w:t xml:space="preserve"> phases of attentiveness and responsibility by connecting patients with resources available in the community by non-clinical link workers who develop long-term trusting relationships. At global level, the World Health Organization (2020) integrated elements of care ethics in its COVID-19 resource-allocation recommendation, and argued that judgments should be informed by the lived conditions of the marginalised population and not just based on utilitarian algorithms. Care-justice hybrids that acknowledge the system of care that acknowledges unpaid family carers have been reflected in the caregiver-support provisions of the Affordable Care Act and the subsequent BUILD Act that fund respite and training programmes in the United States (</w:t>
      </w:r>
      <w:proofErr w:type="spellStart"/>
      <w:r>
        <w:t>Engster</w:t>
      </w:r>
      <w:proofErr w:type="spellEnd"/>
      <w:r>
        <w:t>, 2015). These policy trends describe the shift of care ethics to legislative and commissioning systems, beyond academia.</w:t>
      </w:r>
    </w:p>
    <w:p w:rsidR="003B48FE" w:rsidP="003225A4" w:rsidRDefault="003B48FE" w14:paraId="5363EAEB" w14:textId="77777777">
      <w:pPr>
        <w:spacing w:line="480" w:lineRule="auto"/>
      </w:pPr>
      <w:r>
        <w:t xml:space="preserve">The influence is equally apparent in common clinical and social care practice. The five stages of person-centred dementia care in nursing now also have a practice </w:t>
      </w:r>
      <w:proofErr w:type="spellStart"/>
      <w:r>
        <w:t>centered</w:t>
      </w:r>
      <w:proofErr w:type="spellEnd"/>
      <w:r>
        <w:t xml:space="preserve"> on </w:t>
      </w:r>
      <w:proofErr w:type="spellStart"/>
      <w:r>
        <w:t>Tronto</w:t>
      </w:r>
      <w:proofErr w:type="spellEnd"/>
      <w:r>
        <w:t xml:space="preserve">, where the five stages of nursing interventions are implemented: to care about the development of subtle behavioural indicators, to take care of the emergent necessities using advance care planning, effective care-giving, systematically seeking care-receiving responses through the relatives and person themselves when feasible (De Poli et al., 2023). Relational </w:t>
      </w:r>
      <w:r>
        <w:lastRenderedPageBreak/>
        <w:t>safety is a key premise of trauma-informed mental health services that has been introduced with the deliberate slowing of interventions to give time to build trust and then tackle symptoms (Visse et al., 2018). Co-production in participatory health research is increasingly obligatory, and care ethics help to establish mutual accountability and emotional sensitivity between the communities and the researchers (Visse et al., 2018). The same report is obtained by midwifery and palliative care teams, which report that the specific mentioning of attentiveness and responsiveness leads to high scores on patient satisfaction and minimizes complaints.</w:t>
      </w:r>
    </w:p>
    <w:p w:rsidR="003B48FE" w:rsidP="003225A4" w:rsidRDefault="003B48FE" w14:paraId="3B382D70" w14:textId="77777777">
      <w:pPr>
        <w:spacing w:line="480" w:lineRule="auto"/>
      </w:pPr>
      <w:r>
        <w:t xml:space="preserve">Although these have been successful, there have been immense issues where care ethics have been faced with structural limitations and conflicting ethical imperatives. The neoliberal austerity measures since 2010 have dismantled care chains through outsourcing to their private providers who deliver their services under short-term, low-price contracts; this directly contradicts </w:t>
      </w:r>
      <w:proofErr w:type="spellStart"/>
      <w:r>
        <w:t>Tronto</w:t>
      </w:r>
      <w:proofErr w:type="spellEnd"/>
      <w:r>
        <w:t>, who needs continuity and competence, and delivers what has been described as careless care (Morley et al., 2019). The front-line workers are emotionally distraught under moral pressure when relational ideals conceptualize against unattainable caseloads and bureaucratic goals. In under-resourced environments, burnout among nurses and social workers and care assistants are often above 40-50 per cent, and emotional exhaustion is closely linked to the demands of a sustained attention mode without any response on the organisational level (Selvakumar and Kenny, 2023). The relational focus would also make paternalism possible: when clinicians or family members can disregard expressed wishes to serve the interest of the patient, especially where time constraints do not allow a real conversation (</w:t>
      </w:r>
      <w:proofErr w:type="spellStart"/>
      <w:r>
        <w:t>Gastmans</w:t>
      </w:r>
      <w:proofErr w:type="spellEnd"/>
      <w:r>
        <w:t>, 2017).</w:t>
      </w:r>
    </w:p>
    <w:p w:rsidR="003B48FE" w:rsidP="003225A4" w:rsidRDefault="003B48FE" w14:paraId="7533E306" w14:textId="77777777">
      <w:pPr>
        <w:spacing w:line="480" w:lineRule="auto"/>
      </w:pPr>
      <w:r>
        <w:t xml:space="preserve">There are additional tensions brought about by digital health technology. Remote monitoring systems and algorithmic decision-support systems are thought to provide efficiency but tend to replace any </w:t>
      </w:r>
      <w:proofErr w:type="spellStart"/>
      <w:r>
        <w:t>morosiveness</w:t>
      </w:r>
      <w:proofErr w:type="spellEnd"/>
      <w:r>
        <w:t xml:space="preserve"> and responsiveness with quantifiable risk rates (</w:t>
      </w:r>
      <w:proofErr w:type="spellStart"/>
      <w:r>
        <w:t>Bruynseels</w:t>
      </w:r>
      <w:proofErr w:type="spellEnd"/>
      <w:r>
        <w:t xml:space="preserve"> et </w:t>
      </w:r>
      <w:r>
        <w:lastRenderedPageBreak/>
        <w:t xml:space="preserve">al., 2018). ICU triage regimes that justified the ethics of care with the ethics of justice left many staff members morally injured forever (Petrisor et al., 2025), with their main focus on the likelihood of survival during the COVID-19 pandemic rather than on established relationships with patients. The sphere of care is very gendered and underrated economically: the professions occupied by women still receive lower wages and status, which supports oppression as one of the main issues that early theorists of care attempted to address (England and </w:t>
      </w:r>
      <w:proofErr w:type="spellStart"/>
      <w:r>
        <w:t>Folbre</w:t>
      </w:r>
      <w:proofErr w:type="spellEnd"/>
      <w:r>
        <w:t>, 2018). Lastly, contextual flexibility can be viewed as the strength of the theory philosophically; however, in very regulated settings in which managers insist on standardised, auditable process; practitioners report putting in more hours documenting relational work than working (Morley et al., 2019).</w:t>
      </w:r>
    </w:p>
    <w:p w:rsidR="003B48FE" w:rsidP="003225A4" w:rsidRDefault="003B48FE" w14:paraId="62994601" w14:textId="77777777">
      <w:pPr>
        <w:spacing w:line="480" w:lineRule="auto"/>
      </w:pPr>
      <w:r>
        <w:t xml:space="preserve">Intersectional inequalities are a complication to these issues. The phenomenon of care deficit is common among migrants, disabled individuals, and ethnic minorities whose needs are culturally reflected uniquely or when their language prevents an actual response due to a language barrier. </w:t>
      </w:r>
      <w:proofErr w:type="gramStart"/>
      <w:r>
        <w:t>Zero hour</w:t>
      </w:r>
      <w:proofErr w:type="gramEnd"/>
      <w:r>
        <w:t xml:space="preserve"> arrangement avoids workers developing long-term relationships, as care ethics dictates in residential and domiciliary work settings. It remains true that resource distribution at the governmental level privileges acute and high-technology interventions over relational support in the community implying a set of priorities according to which preventive or social care is marginalized.</w:t>
      </w:r>
    </w:p>
    <w:p w:rsidR="003B48FE" w:rsidP="003225A4" w:rsidRDefault="003B48FE" w14:paraId="70FC1069" w14:textId="2D1F72B3">
      <w:pPr>
        <w:spacing w:line="480" w:lineRule="auto"/>
      </w:pPr>
      <w:r>
        <w:t xml:space="preserve">In conclusion, the ethics of care has unfortunately been able to re-focus a great deal of health and social care policy and practice onto relational values but the application of this approach is still imbalanced and susceptible to market hypocrisy, technological reductionism and long-term under-investment. The difference between the desired relational principles of idealism and the </w:t>
      </w:r>
      <w:proofErr w:type="gramStart"/>
      <w:r>
        <w:t>day to day</w:t>
      </w:r>
      <w:proofErr w:type="gramEnd"/>
      <w:r>
        <w:t xml:space="preserve"> reality creates ethical distress, burnout, and deep inequities as examples that ethical theory is not able to thrive on its own unless accompanied by political and economic change.</w:t>
      </w:r>
    </w:p>
    <w:p w:rsidR="003225A4" w:rsidP="003225A4" w:rsidRDefault="003225A4" w14:paraId="1A7BFD0A" w14:textId="77777777">
      <w:pPr>
        <w:pStyle w:val="Heading2"/>
      </w:pPr>
      <w:bookmarkStart w:name="_Toc216095647" w:id="3"/>
      <w:r>
        <w:lastRenderedPageBreak/>
        <w:t>Policy and Practice Recommendations.</w:t>
      </w:r>
      <w:bookmarkEnd w:id="3"/>
    </w:p>
    <w:p w:rsidR="003225A4" w:rsidP="003225A4" w:rsidRDefault="003225A4" w14:paraId="21A71B23" w14:textId="77777777">
      <w:pPr>
        <w:spacing w:line="480" w:lineRule="auto"/>
      </w:pPr>
      <w:r>
        <w:t xml:space="preserve">A number of practice-based interventions can reinforce the use of care ethics. The five stages of care of </w:t>
      </w:r>
      <w:proofErr w:type="spellStart"/>
      <w:r>
        <w:t>Tronto</w:t>
      </w:r>
      <w:proofErr w:type="spellEnd"/>
      <w:r>
        <w:t>, along with solidarity, should be integrated in the national strategies on health and relational impact assessment of all innovated policies should be made mandatory (</w:t>
      </w:r>
      <w:proofErr w:type="spellStart"/>
      <w:r>
        <w:t>Tronto</w:t>
      </w:r>
      <w:proofErr w:type="spellEnd"/>
      <w:r>
        <w:t>, 2013). To decrease gender inequity and avoid burnout, governments need to finance universal paid carer leave and extensive professional development programmes (</w:t>
      </w:r>
      <w:proofErr w:type="spellStart"/>
      <w:r>
        <w:t>Engster</w:t>
      </w:r>
      <w:proofErr w:type="spellEnd"/>
      <w:r>
        <w:t>, 2015). All registered health and social care staff members should be introduced to mandatory practice in relational autonomy and moral strength via inter-professional training (Selvakumar and Kenny, 2023).</w:t>
      </w:r>
    </w:p>
    <w:p w:rsidR="003225A4" w:rsidP="003225A4" w:rsidRDefault="003225A4" w14:paraId="22C8D187" w14:textId="77777777">
      <w:pPr>
        <w:spacing w:line="480" w:lineRule="auto"/>
      </w:pPr>
      <w:r>
        <w:t>Ethical control is also necessary to digital transformation. The implementation of digital health governance frameworks and AI should focus more on attentiveness and responsiveness than on efficiency (</w:t>
      </w:r>
      <w:proofErr w:type="spellStart"/>
      <w:r>
        <w:t>Bruynseels</w:t>
      </w:r>
      <w:proofErr w:type="spellEnd"/>
      <w:r>
        <w:t xml:space="preserve"> et al., 2018). Relational outcome measures that should be reported by patients should be regarded as a regular item on the service evaluation list, along with regular relational audits (De Poli et al., 2023). The concerted efforts would be used to make care ethics transform into a sustainable and fair practice. </w:t>
      </w:r>
    </w:p>
    <w:p w:rsidRPr="003225A4" w:rsidR="003225A4" w:rsidP="003225A4" w:rsidRDefault="003225A4" w14:paraId="0D1AEA48" w14:textId="77777777">
      <w:pPr>
        <w:pStyle w:val="Heading2"/>
      </w:pPr>
      <w:bookmarkStart w:name="_Toc216095648" w:id="4"/>
      <w:r w:rsidRPr="003225A4">
        <w:t>Conclusion</w:t>
      </w:r>
      <w:bookmarkEnd w:id="4"/>
    </w:p>
    <w:p w:rsidR="003225A4" w:rsidP="003225A4" w:rsidRDefault="003225A4" w14:paraId="7F0BB688" w14:textId="04DF66AA">
      <w:pPr>
        <w:spacing w:line="480" w:lineRule="auto"/>
      </w:pPr>
      <w:r>
        <w:t xml:space="preserve">The ethics of care still provides an effective moral ground to the </w:t>
      </w:r>
      <w:r>
        <w:t>person-centred</w:t>
      </w:r>
      <w:r>
        <w:t xml:space="preserve"> practice. Focusing on relationships and context, it offers the much-needed anti-methodological response to the individualist and </w:t>
      </w:r>
      <w:r>
        <w:t>market logic</w:t>
      </w:r>
      <w:r>
        <w:t xml:space="preserve"> approaches to health and social care. Despite the well-founded critiques related to parochialism, ambiguity and exploitation, the recent hybrid models, political extensions and resilience-based interventions have enhanced the theory to a great extent. It now needs sustained policy investment, well developed professional education and evaluation to reach its full potential. The ethics of care can be used to create genuinely humane, just and sustainable care systems when it is appropriately supported.</w:t>
      </w:r>
    </w:p>
    <w:p w:rsidR="003225A4" w:rsidP="003225A4" w:rsidRDefault="003225A4" w14:paraId="570924F9" w14:textId="212C6058">
      <w:pPr>
        <w:pStyle w:val="Heading1"/>
      </w:pPr>
      <w:bookmarkStart w:name="_Toc216095649" w:id="5"/>
      <w:r>
        <w:lastRenderedPageBreak/>
        <w:t>References</w:t>
      </w:r>
      <w:bookmarkEnd w:id="5"/>
    </w:p>
    <w:p w:rsidR="003225A4" w:rsidP="003225A4" w:rsidRDefault="003225A4" w14:paraId="5461A450" w14:textId="77777777">
      <w:pPr>
        <w:spacing w:line="480" w:lineRule="auto"/>
      </w:pPr>
      <w:r>
        <w:t>Barnes, M. (2020) Care in everyday life: an ethic of care in practice. Bristol: Policy Press.</w:t>
      </w:r>
    </w:p>
    <w:p w:rsidR="003225A4" w:rsidP="003225A4" w:rsidRDefault="003225A4" w14:paraId="40E98128" w14:textId="77777777">
      <w:pPr>
        <w:spacing w:line="480" w:lineRule="auto"/>
      </w:pPr>
      <w:proofErr w:type="spellStart"/>
      <w:r>
        <w:t>Bruynseels</w:t>
      </w:r>
      <w:proofErr w:type="spellEnd"/>
      <w:r>
        <w:t>, K., Santoni de Sio, F. and van den Hoven, J. (2018) 'Digital twins in health care: ethical implications of an emerging engineering paradigm', Frontiers in Genetics, 9, p. 31. https://doi.org/10.3389/fgene.2018.00031</w:t>
      </w:r>
    </w:p>
    <w:p w:rsidR="003225A4" w:rsidP="003225A4" w:rsidRDefault="003225A4" w14:paraId="590CAB2E" w14:textId="77777777">
      <w:pPr>
        <w:spacing w:line="480" w:lineRule="auto"/>
      </w:pPr>
      <w:r>
        <w:t>Collins, S. (2015) The core of care ethics. Basingstoke: Palgrave Macmillan.</w:t>
      </w:r>
    </w:p>
    <w:p w:rsidR="003225A4" w:rsidP="003225A4" w:rsidRDefault="003225A4" w14:paraId="560FE0C5" w14:textId="77777777">
      <w:pPr>
        <w:spacing w:line="480" w:lineRule="auto"/>
      </w:pPr>
      <w:r>
        <w:t>De Poli, C., Oteri, V., Fattore, G. and Gallo, F. (2023) 'Research ethics and collaborative research in health and social care', Health Research Policy and Systems, 21(1), p. 141. https://doi.org/10.1186/s12961-023-01069-6</w:t>
      </w:r>
    </w:p>
    <w:p w:rsidR="003225A4" w:rsidP="003225A4" w:rsidRDefault="003225A4" w14:paraId="3A2ED656" w14:textId="77777777">
      <w:pPr>
        <w:spacing w:line="480" w:lineRule="auto"/>
      </w:pPr>
      <w:proofErr w:type="spellStart"/>
      <w:r>
        <w:t>Engster</w:t>
      </w:r>
      <w:proofErr w:type="spellEnd"/>
      <w:r>
        <w:t>, D. (2015) Justice, care, and the welfare state. Oxford: Oxford University Press.</w:t>
      </w:r>
    </w:p>
    <w:p w:rsidR="003225A4" w:rsidP="003225A4" w:rsidRDefault="003225A4" w14:paraId="31E162E1" w14:textId="77777777">
      <w:pPr>
        <w:spacing w:line="480" w:lineRule="auto"/>
      </w:pPr>
      <w:r>
        <w:t xml:space="preserve">England, P. and </w:t>
      </w:r>
      <w:proofErr w:type="spellStart"/>
      <w:r>
        <w:t>Folbre</w:t>
      </w:r>
      <w:proofErr w:type="spellEnd"/>
      <w:r>
        <w:t>, N. (2018) 'Gender and care work', Annual Review of Sociology, 44, pp. 30-50.</w:t>
      </w:r>
    </w:p>
    <w:p w:rsidR="003225A4" w:rsidP="003225A4" w:rsidRDefault="003225A4" w14:paraId="2E9B3013" w14:textId="77777777">
      <w:pPr>
        <w:spacing w:line="480" w:lineRule="auto"/>
      </w:pPr>
      <w:proofErr w:type="spellStart"/>
      <w:r>
        <w:t>Gastmans</w:t>
      </w:r>
      <w:proofErr w:type="spellEnd"/>
      <w:r>
        <w:t xml:space="preserve">, C. (2017) 'Fundamentals of an ethics of care', in Vanlaere, L. and </w:t>
      </w:r>
      <w:proofErr w:type="spellStart"/>
      <w:r>
        <w:t>Gastmans</w:t>
      </w:r>
      <w:proofErr w:type="spellEnd"/>
      <w:r>
        <w:t>, C. (eds.) Care in healthcare: reflections on theory and practice. Cham: Springer, pp. 15-30.</w:t>
      </w:r>
    </w:p>
    <w:p w:rsidR="003225A4" w:rsidP="003225A4" w:rsidRDefault="003225A4" w14:paraId="129016AE" w14:textId="77777777">
      <w:pPr>
        <w:spacing w:line="480" w:lineRule="auto"/>
      </w:pPr>
      <w:r>
        <w:t>Gilligan, C. (1982) In a different voice: psychological theory and women's development. Cambridge, MA: Harvard University Press.</w:t>
      </w:r>
    </w:p>
    <w:p w:rsidR="003225A4" w:rsidP="003225A4" w:rsidRDefault="003225A4" w14:paraId="3CC2D984" w14:textId="77777777">
      <w:pPr>
        <w:spacing w:line="480" w:lineRule="auto"/>
      </w:pPr>
      <w:r>
        <w:t>Held, V. (2006) The ethics of care: personal, political, and global. Oxford: Oxford University Press.</w:t>
      </w:r>
    </w:p>
    <w:p w:rsidR="003225A4" w:rsidP="003225A4" w:rsidRDefault="003225A4" w14:paraId="1A1F81A9" w14:textId="77777777">
      <w:pPr>
        <w:spacing w:line="480" w:lineRule="auto"/>
      </w:pPr>
      <w:r>
        <w:t>Morley, G., Ives, J. and Bradbury-Jones, C. (2019) 'Moral distress and austerity: an avoidable ethical challenge in healthcare', Health Care Analysis, 27(3), pp. 185-201.</w:t>
      </w:r>
    </w:p>
    <w:p w:rsidR="003225A4" w:rsidP="003225A4" w:rsidRDefault="003225A4" w14:paraId="45BDE8AA" w14:textId="77777777">
      <w:pPr>
        <w:spacing w:line="480" w:lineRule="auto"/>
      </w:pPr>
      <w:proofErr w:type="spellStart"/>
      <w:r>
        <w:t>Noddings</w:t>
      </w:r>
      <w:proofErr w:type="spellEnd"/>
      <w:r>
        <w:t>, N. (1984) Caring: a feminine approach to ethics and moral education. Berkeley: University of California Press.</w:t>
      </w:r>
    </w:p>
    <w:p w:rsidR="003225A4" w:rsidP="003225A4" w:rsidRDefault="003225A4" w14:paraId="2193AB69" w14:textId="77777777">
      <w:pPr>
        <w:spacing w:line="480" w:lineRule="auto"/>
      </w:pPr>
      <w:r>
        <w:lastRenderedPageBreak/>
        <w:t>O'Connell, C., O'Connell, M. and O'Connell, M. (2021) 'A care ethical engagement with John Barry's sustainability ethics', Environmental Politics, 30(4), pp. 661-680.</w:t>
      </w:r>
    </w:p>
    <w:p w:rsidR="003225A4" w:rsidP="003225A4" w:rsidRDefault="003225A4" w14:paraId="392392F8" w14:textId="77777777">
      <w:pPr>
        <w:spacing w:line="480" w:lineRule="auto"/>
      </w:pPr>
      <w:r>
        <w:t xml:space="preserve">Petrisor, C., </w:t>
      </w:r>
      <w:proofErr w:type="spellStart"/>
      <w:r>
        <w:t>Mois</w:t>
      </w:r>
      <w:proofErr w:type="spellEnd"/>
      <w:r>
        <w:t>, E. and Popa, D. (2025) 'Ethical dilemmas in intensive care during pandemics', Nursing Reports, 15(1), pp. 164-177.</w:t>
      </w:r>
    </w:p>
    <w:p w:rsidR="003225A4" w:rsidP="003225A4" w:rsidRDefault="003225A4" w14:paraId="24C9F3EF" w14:textId="77777777">
      <w:pPr>
        <w:spacing w:line="480" w:lineRule="auto"/>
      </w:pPr>
      <w:r>
        <w:t>Selvakumar, S. and Kenny, B. (2023) 'The role of ethics of care in building moral resilience among healthcare professionals', Clinical Ethics, 18(1), pp. 82-94.</w:t>
      </w:r>
    </w:p>
    <w:p w:rsidR="003225A4" w:rsidP="003225A4" w:rsidRDefault="003225A4" w14:paraId="729FE85F" w14:textId="77777777">
      <w:pPr>
        <w:spacing w:line="480" w:lineRule="auto"/>
      </w:pPr>
      <w:proofErr w:type="spellStart"/>
      <w:r>
        <w:t>Tronto</w:t>
      </w:r>
      <w:proofErr w:type="spellEnd"/>
      <w:r>
        <w:t>, J. (1993) Moral boundaries: a political argument for an ethic of care. New York: Routledge.</w:t>
      </w:r>
    </w:p>
    <w:p w:rsidR="003225A4" w:rsidP="003225A4" w:rsidRDefault="003225A4" w14:paraId="7BA26876" w14:textId="77777777">
      <w:pPr>
        <w:spacing w:line="480" w:lineRule="auto"/>
      </w:pPr>
      <w:proofErr w:type="spellStart"/>
      <w:r>
        <w:t>Tronto</w:t>
      </w:r>
      <w:proofErr w:type="spellEnd"/>
      <w:r>
        <w:t>, J. (2013) Caring democracy: markets, equality, and justice. New York: New York University Press.</w:t>
      </w:r>
    </w:p>
    <w:p w:rsidR="003225A4" w:rsidP="003225A4" w:rsidRDefault="003225A4" w14:paraId="208E830F" w14:textId="77777777">
      <w:pPr>
        <w:spacing w:line="480" w:lineRule="auto"/>
      </w:pPr>
      <w:r>
        <w:t xml:space="preserve">Visse, M., Abma, T. and </w:t>
      </w:r>
      <w:proofErr w:type="spellStart"/>
      <w:r>
        <w:t>Widdershoven</w:t>
      </w:r>
      <w:proofErr w:type="spellEnd"/>
      <w:r>
        <w:t>, G. (2018) 'Ethics of care in participatory health research', Educational Action Research, 26(1), pp. 124-140.</w:t>
      </w:r>
    </w:p>
    <w:p w:rsidR="003225A4" w:rsidP="003225A4" w:rsidRDefault="003225A4" w14:paraId="61423D00" w14:textId="1646AA99">
      <w:pPr>
        <w:spacing w:line="480" w:lineRule="auto"/>
      </w:pPr>
      <w:r>
        <w:t>World Health Organization (2020) Ethics and COVID-19: resource allocation and priority-setting. Geneva: WHO.</w:t>
      </w:r>
    </w:p>
    <w:sectPr w:rsidR="003225A4">
      <w:head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C0471" w:rsidP="003225A4" w:rsidRDefault="00DC0471" w14:paraId="5E73C2E7" w14:textId="77777777">
      <w:pPr>
        <w:spacing w:after="0" w:line="240" w:lineRule="auto"/>
      </w:pPr>
      <w:r>
        <w:separator/>
      </w:r>
    </w:p>
  </w:endnote>
  <w:endnote w:type="continuationSeparator" w:id="0">
    <w:p w:rsidR="00DC0471" w:rsidP="003225A4" w:rsidRDefault="00DC0471" w14:paraId="6840025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C0471" w:rsidP="003225A4" w:rsidRDefault="00DC0471" w14:paraId="0E33A246" w14:textId="77777777">
      <w:pPr>
        <w:spacing w:after="0" w:line="240" w:lineRule="auto"/>
      </w:pPr>
      <w:r>
        <w:separator/>
      </w:r>
    </w:p>
  </w:footnote>
  <w:footnote w:type="continuationSeparator" w:id="0">
    <w:p w:rsidR="00DC0471" w:rsidP="003225A4" w:rsidRDefault="00DC0471" w14:paraId="07D1AD1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7367904"/>
      <w:docPartObj>
        <w:docPartGallery w:val="Page Numbers (Top of Page)"/>
        <w:docPartUnique/>
      </w:docPartObj>
    </w:sdtPr>
    <w:sdtEndPr>
      <w:rPr>
        <w:noProof/>
      </w:rPr>
    </w:sdtEndPr>
    <w:sdtContent>
      <w:p w:rsidR="003225A4" w:rsidRDefault="003225A4" w14:paraId="1A21D0A6" w14:textId="39CA7E4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3225A4" w:rsidRDefault="003225A4" w14:paraId="35DFFD6A"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4BA"/>
    <w:rsid w:val="003225A4"/>
    <w:rsid w:val="003B48FE"/>
    <w:rsid w:val="003D231E"/>
    <w:rsid w:val="0054731E"/>
    <w:rsid w:val="005964BA"/>
    <w:rsid w:val="00BA6E54"/>
    <w:rsid w:val="00DC0471"/>
    <w:rsid w:val="35BB3269"/>
    <w:rsid w:val="4E522436"/>
    <w:rsid w:val="5172CF81"/>
    <w:rsid w:val="573519D6"/>
    <w:rsid w:val="59CFB99C"/>
    <w:rsid w:val="6B8EEE7E"/>
    <w:rsid w:val="6E4BAA5D"/>
    <w:rsid w:val="7734F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DB33D"/>
  <w15:chartTrackingRefBased/>
  <w15:docId w15:val="{B6770383-996E-4448-B39E-0D2F2D12B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964BA"/>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964BA"/>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964BA"/>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964BA"/>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964BA"/>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964BA"/>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4BA"/>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4BA"/>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4BA"/>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964BA"/>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5964BA"/>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5964BA"/>
    <w:rPr>
      <w:rFonts w:asciiTheme="minorHAnsi" w:hAnsiTheme="minorHAnsi"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5964BA"/>
    <w:rPr>
      <w:rFonts w:asciiTheme="minorHAnsi" w:hAnsiTheme="min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5964BA"/>
    <w:rPr>
      <w:rFonts w:asciiTheme="minorHAnsi" w:hAnsiTheme="min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5964BA"/>
    <w:rPr>
      <w:rFonts w:asciiTheme="minorHAnsi" w:hAnsiTheme="minorHAnsi"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964BA"/>
    <w:rPr>
      <w:rFonts w:asciiTheme="minorHAnsi" w:hAnsiTheme="minorHAnsi"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964BA"/>
    <w:rPr>
      <w:rFonts w:asciiTheme="minorHAnsi" w:hAnsiTheme="minorHAnsi"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964BA"/>
    <w:rPr>
      <w:rFonts w:asciiTheme="minorHAnsi" w:hAnsiTheme="minorHAnsi" w:eastAsiaTheme="majorEastAsia" w:cstheme="majorBidi"/>
      <w:color w:val="272727" w:themeColor="text1" w:themeTint="D8"/>
    </w:rPr>
  </w:style>
  <w:style w:type="paragraph" w:styleId="Title">
    <w:name w:val="Title"/>
    <w:basedOn w:val="Normal"/>
    <w:next w:val="Normal"/>
    <w:link w:val="TitleChar"/>
    <w:uiPriority w:val="10"/>
    <w:qFormat/>
    <w:rsid w:val="005964B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964B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964BA"/>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964BA"/>
    <w:rPr>
      <w:rFonts w:asciiTheme="minorHAnsi" w:hAnsiTheme="minorHAnsi"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4BA"/>
    <w:pPr>
      <w:spacing w:before="160"/>
      <w:jc w:val="center"/>
    </w:pPr>
    <w:rPr>
      <w:i/>
      <w:iCs/>
      <w:color w:val="404040" w:themeColor="text1" w:themeTint="BF"/>
    </w:rPr>
  </w:style>
  <w:style w:type="character" w:styleId="QuoteChar" w:customStyle="1">
    <w:name w:val="Quote Char"/>
    <w:basedOn w:val="DefaultParagraphFont"/>
    <w:link w:val="Quote"/>
    <w:uiPriority w:val="29"/>
    <w:rsid w:val="005964BA"/>
    <w:rPr>
      <w:i/>
      <w:iCs/>
      <w:color w:val="404040" w:themeColor="text1" w:themeTint="BF"/>
    </w:rPr>
  </w:style>
  <w:style w:type="paragraph" w:styleId="ListParagraph">
    <w:name w:val="List Paragraph"/>
    <w:basedOn w:val="Normal"/>
    <w:uiPriority w:val="34"/>
    <w:qFormat/>
    <w:rsid w:val="005964BA"/>
    <w:pPr>
      <w:ind w:left="720"/>
      <w:contextualSpacing/>
    </w:pPr>
  </w:style>
  <w:style w:type="character" w:styleId="IntenseEmphasis">
    <w:name w:val="Intense Emphasis"/>
    <w:basedOn w:val="DefaultParagraphFont"/>
    <w:uiPriority w:val="21"/>
    <w:qFormat/>
    <w:rsid w:val="005964BA"/>
    <w:rPr>
      <w:i/>
      <w:iCs/>
      <w:color w:val="2F5496" w:themeColor="accent1" w:themeShade="BF"/>
    </w:rPr>
  </w:style>
  <w:style w:type="paragraph" w:styleId="IntenseQuote">
    <w:name w:val="Intense Quote"/>
    <w:basedOn w:val="Normal"/>
    <w:next w:val="Normal"/>
    <w:link w:val="IntenseQuoteChar"/>
    <w:uiPriority w:val="30"/>
    <w:qFormat/>
    <w:rsid w:val="005964B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5964BA"/>
    <w:rPr>
      <w:i/>
      <w:iCs/>
      <w:color w:val="2F5496" w:themeColor="accent1" w:themeShade="BF"/>
    </w:rPr>
  </w:style>
  <w:style w:type="character" w:styleId="IntenseReference">
    <w:name w:val="Intense Reference"/>
    <w:basedOn w:val="DefaultParagraphFont"/>
    <w:uiPriority w:val="32"/>
    <w:qFormat/>
    <w:rsid w:val="005964BA"/>
    <w:rPr>
      <w:b/>
      <w:bCs/>
      <w:smallCaps/>
      <w:color w:val="2F5496" w:themeColor="accent1" w:themeShade="BF"/>
      <w:spacing w:val="5"/>
    </w:rPr>
  </w:style>
  <w:style w:type="paragraph" w:styleId="Header">
    <w:name w:val="header"/>
    <w:basedOn w:val="Normal"/>
    <w:link w:val="HeaderChar"/>
    <w:uiPriority w:val="99"/>
    <w:unhideWhenUsed/>
    <w:rsid w:val="003225A4"/>
    <w:pPr>
      <w:tabs>
        <w:tab w:val="center" w:pos="4513"/>
        <w:tab w:val="right" w:pos="9026"/>
      </w:tabs>
      <w:spacing w:after="0" w:line="240" w:lineRule="auto"/>
    </w:pPr>
  </w:style>
  <w:style w:type="character" w:styleId="HeaderChar" w:customStyle="1">
    <w:name w:val="Header Char"/>
    <w:basedOn w:val="DefaultParagraphFont"/>
    <w:link w:val="Header"/>
    <w:uiPriority w:val="99"/>
    <w:rsid w:val="003225A4"/>
  </w:style>
  <w:style w:type="paragraph" w:styleId="Footer">
    <w:name w:val="footer"/>
    <w:basedOn w:val="Normal"/>
    <w:link w:val="FooterChar"/>
    <w:uiPriority w:val="99"/>
    <w:unhideWhenUsed/>
    <w:rsid w:val="003225A4"/>
    <w:pPr>
      <w:tabs>
        <w:tab w:val="center" w:pos="4513"/>
        <w:tab w:val="right" w:pos="9026"/>
      </w:tabs>
      <w:spacing w:after="0" w:line="240" w:lineRule="auto"/>
    </w:pPr>
  </w:style>
  <w:style w:type="character" w:styleId="FooterChar" w:customStyle="1">
    <w:name w:val="Footer Char"/>
    <w:basedOn w:val="DefaultParagraphFont"/>
    <w:link w:val="Footer"/>
    <w:uiPriority w:val="99"/>
    <w:rsid w:val="003225A4"/>
  </w:style>
  <w:style w:type="paragraph" w:styleId="TOCHeading">
    <w:name w:val="TOC Heading"/>
    <w:basedOn w:val="Heading1"/>
    <w:next w:val="Normal"/>
    <w:uiPriority w:val="39"/>
    <w:unhideWhenUsed/>
    <w:qFormat/>
    <w:rsid w:val="003225A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225A4"/>
    <w:pPr>
      <w:spacing w:after="100"/>
    </w:pPr>
  </w:style>
  <w:style w:type="paragraph" w:styleId="TOC2">
    <w:name w:val="toc 2"/>
    <w:basedOn w:val="Normal"/>
    <w:next w:val="Normal"/>
    <w:autoRedefine/>
    <w:uiPriority w:val="39"/>
    <w:unhideWhenUsed/>
    <w:rsid w:val="003225A4"/>
    <w:pPr>
      <w:spacing w:after="100"/>
      <w:ind w:left="240"/>
    </w:pPr>
  </w:style>
  <w:style w:type="character" w:styleId="Hyperlink">
    <w:name w:val="Hyperlink"/>
    <w:basedOn w:val="DefaultParagraphFont"/>
    <w:uiPriority w:val="99"/>
    <w:unhideWhenUsed/>
    <w:rsid w:val="003225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F593C-F1F0-460D-8324-8B83E8CB1E6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dc:creator>
  <keywords/>
  <dc:description/>
  <lastModifiedBy>Huma Zafar (2324433)</lastModifiedBy>
  <revision>2</revision>
  <dcterms:created xsi:type="dcterms:W3CDTF">2025-12-08T10:44:00.0000000Z</dcterms:created>
  <dcterms:modified xsi:type="dcterms:W3CDTF">2025-12-11T12:46:48.0127987Z</dcterms:modified>
</coreProperties>
</file>