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28A55"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Catalytic Leadership.</w:t>
      </w:r>
    </w:p>
    <w:p w14:paraId="0961B726"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1.</w:t>
      </w:r>
    </w:p>
    <w:p w14:paraId="04BBDF3C"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According to Attaway (2022) a catalytic leader is described as an agent of change. Taken from the term ‘catalyst’ and described by </w:t>
      </w:r>
      <w:proofErr w:type="spellStart"/>
      <w:r w:rsidRPr="00FC562C">
        <w:rPr>
          <w:rFonts w:ascii="Times New Roman" w:hAnsi="Times New Roman" w:cs="Times New Roman"/>
          <w:sz w:val="24"/>
          <w:szCs w:val="24"/>
        </w:rPr>
        <w:t>Hamers</w:t>
      </w:r>
      <w:proofErr w:type="spellEnd"/>
      <w:r w:rsidRPr="00FC562C">
        <w:rPr>
          <w:rFonts w:ascii="Times New Roman" w:hAnsi="Times New Roman" w:cs="Times New Roman"/>
          <w:sz w:val="24"/>
          <w:szCs w:val="24"/>
        </w:rPr>
        <w:t xml:space="preserve"> (2017) as a substance that speeds up chemical reactions whilst not breaking down itself and then encourages other molecules to react. Attaway (2022) states that a catalytic leader would evoke change and action in the workplace, just like a catalyst reaction.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agree stating that a catalytic leader is a facilitator of change. They continue to say how a catalytic leader possesses confidence, strong decision-making skills, they can effectively communicate and motivate others, they have a positive attitude and a commitment to their role. McDowell Clark (2012) adds that catalytic leaders lead the practice in the workplace by inspiring those around them.  </w:t>
      </w:r>
    </w:p>
    <w:p w14:paraId="366FBDA4"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However, McDowall Clark (2012) also notes that there is a conflicting assumption that a leader is seen as in charge and is there to direct others. Yet, Ella Baker, cited by National Civil Rights Museum (2020) stated how strong people do not need strong leaders, she was an influential leader who stood up for what she believed in, teaching the next generation by listening and inspiring them to make changes for themselves. Ella Baker believed in enabling others to take responsibility by empowering them (Engler, 2020). She knew that in order to be influential on people she did not need to lead them, but she needed to find out what they needed and to listen to them, this inspired people to stand up and speak up for themselves, bringing forth a change by liberating the potential ability, strength and energy of each individual to strengthen their own community (Black History, 2020; Peaceable Power, 2017). McDowall Clark (2012) agrees with this and states that being a catalytic leader is not about authority or power but a practice that inspires others around you and encourages a change, also supported by Northouse (2004) and Meade (2019). Jones and Pound (2008) cited by Robins and Callan (2009) state that anyone within the setting who can initiate change and improvement can be a leader, it does not need to come from management. If a practitioner can motivate and enthuse others, they too can be catalytic leaders. Joiner (2017) goes on to say that a catalytic leader encourages teamwork, involvement, and autonomy, and it is essential for a catalytic leader to engage with a wide range of stakeholders in a proactive manner. By engaging with a range of stakeholders, catalytic leaders are building solid relationships with Multiagency, which according to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and Every Child Matters (2003) benefit as follows: </w:t>
      </w:r>
    </w:p>
    <w:p w14:paraId="77CB02EF"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lastRenderedPageBreak/>
        <w:t xml:space="preserve">Multiagency promotes a collaborative partnership which leads to enhanced and improved outcomes for children, </w:t>
      </w:r>
    </w:p>
    <w:p w14:paraId="423C7A2B"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It benefits practitioners understanding about the services which can be signposted to children, </w:t>
      </w:r>
      <w:proofErr w:type="gramStart"/>
      <w:r w:rsidRPr="00FC562C">
        <w:rPr>
          <w:rFonts w:ascii="Times New Roman" w:hAnsi="Times New Roman" w:cs="Times New Roman"/>
          <w:sz w:val="24"/>
          <w:szCs w:val="24"/>
        </w:rPr>
        <w:t>parents</w:t>
      </w:r>
      <w:proofErr w:type="gramEnd"/>
      <w:r w:rsidRPr="00FC562C">
        <w:rPr>
          <w:rFonts w:ascii="Times New Roman" w:hAnsi="Times New Roman" w:cs="Times New Roman"/>
          <w:sz w:val="24"/>
          <w:szCs w:val="24"/>
        </w:rPr>
        <w:t xml:space="preserve"> and their families, </w:t>
      </w:r>
    </w:p>
    <w:p w14:paraId="25279A77"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Multiagency also facilitates consensus, enhances partnership discourse, it removes professional barriers and narrow-minded perspectives, </w:t>
      </w:r>
    </w:p>
    <w:p w14:paraId="7B5D8EB5"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It assists in the development of a more united community approach.</w:t>
      </w:r>
    </w:p>
    <w:p w14:paraId="4F38C0E5"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Multiagency provides a spirit of cooperation, encouragement, and idea exchange amongst practitioners, enabling the sharing of experience, information, and resources for training and best practises.</w:t>
      </w:r>
    </w:p>
    <w:p w14:paraId="4F4CF6DE"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Multiagency increases practitioner confidence, knowing that they are not working in isolation and that any concerns and problems can be addressed and managed jointly,</w:t>
      </w:r>
    </w:p>
    <w:p w14:paraId="56A78F25" w14:textId="77777777" w:rsidR="00C91871" w:rsidRPr="00FC562C" w:rsidRDefault="00C91871" w:rsidP="00C91871">
      <w:pPr>
        <w:pStyle w:val="ListParagraph"/>
        <w:numPr>
          <w:ilvl w:val="0"/>
          <w:numId w:val="1"/>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It results in more motivated and dedicated staff who have high expectations of themselves and others.</w:t>
      </w:r>
    </w:p>
    <w:p w14:paraId="752B58E0"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However, still according to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there are challenges that can affect collaborative multi-agency working, such as:</w:t>
      </w:r>
    </w:p>
    <w:p w14:paraId="1AFD92CC"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Funding concerns – a lack of </w:t>
      </w:r>
      <w:r>
        <w:rPr>
          <w:rFonts w:ascii="Times New Roman" w:hAnsi="Times New Roman" w:cs="Times New Roman"/>
          <w:sz w:val="24"/>
          <w:szCs w:val="24"/>
        </w:rPr>
        <w:t>money</w:t>
      </w:r>
      <w:r w:rsidRPr="00FC562C">
        <w:rPr>
          <w:rFonts w:ascii="Times New Roman" w:hAnsi="Times New Roman" w:cs="Times New Roman"/>
          <w:sz w:val="24"/>
          <w:szCs w:val="24"/>
        </w:rPr>
        <w:t xml:space="preserve"> for multi-agency training and development work.</w:t>
      </w:r>
    </w:p>
    <w:p w14:paraId="0CF554AF"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Time – lack of or limited time frames and waiting lists.</w:t>
      </w:r>
    </w:p>
    <w:p w14:paraId="3ABE765F"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Communication – ensuring communication is clear between multiagency.</w:t>
      </w:r>
    </w:p>
    <w:p w14:paraId="37CFE837"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Lack of clarity – staff unsure of roles or responsibilities.</w:t>
      </w:r>
    </w:p>
    <w:p w14:paraId="3E0C4752"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Different professional and leader styles.</w:t>
      </w:r>
    </w:p>
    <w:p w14:paraId="7818D73F" w14:textId="77777777" w:rsidR="00C91871" w:rsidRPr="00FC562C" w:rsidRDefault="00C91871" w:rsidP="00C91871">
      <w:pPr>
        <w:pStyle w:val="ListParagraph"/>
        <w:numPr>
          <w:ilvl w:val="0"/>
          <w:numId w:val="2"/>
        </w:num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Staff resistance to change - a lack </w:t>
      </w:r>
      <w:r>
        <w:rPr>
          <w:rFonts w:ascii="Times New Roman" w:hAnsi="Times New Roman" w:cs="Times New Roman"/>
          <w:sz w:val="24"/>
          <w:szCs w:val="24"/>
        </w:rPr>
        <w:t>of knowledge</w:t>
      </w:r>
      <w:r w:rsidRPr="00FC562C">
        <w:rPr>
          <w:rFonts w:ascii="Times New Roman" w:hAnsi="Times New Roman" w:cs="Times New Roman"/>
          <w:sz w:val="24"/>
          <w:szCs w:val="24"/>
        </w:rPr>
        <w:t xml:space="preserve"> and appreciation </w:t>
      </w:r>
      <w:r>
        <w:rPr>
          <w:rFonts w:ascii="Times New Roman" w:hAnsi="Times New Roman" w:cs="Times New Roman"/>
          <w:sz w:val="24"/>
          <w:szCs w:val="24"/>
        </w:rPr>
        <w:t>for</w:t>
      </w:r>
      <w:r w:rsidRPr="00FC562C">
        <w:rPr>
          <w:rFonts w:ascii="Times New Roman" w:hAnsi="Times New Roman" w:cs="Times New Roman"/>
          <w:sz w:val="24"/>
          <w:szCs w:val="24"/>
        </w:rPr>
        <w:t xml:space="preserve"> the reasons for change</w:t>
      </w:r>
      <w:r>
        <w:rPr>
          <w:rFonts w:ascii="Times New Roman" w:hAnsi="Times New Roman" w:cs="Times New Roman"/>
          <w:sz w:val="24"/>
          <w:szCs w:val="24"/>
        </w:rPr>
        <w:t xml:space="preserve">, as well as </w:t>
      </w:r>
      <w:r w:rsidRPr="00FC562C">
        <w:rPr>
          <w:rFonts w:ascii="Times New Roman" w:hAnsi="Times New Roman" w:cs="Times New Roman"/>
          <w:sz w:val="24"/>
          <w:szCs w:val="24"/>
        </w:rPr>
        <w:t xml:space="preserve">what the change process </w:t>
      </w:r>
      <w:r>
        <w:rPr>
          <w:rFonts w:ascii="Times New Roman" w:hAnsi="Times New Roman" w:cs="Times New Roman"/>
          <w:sz w:val="24"/>
          <w:szCs w:val="24"/>
        </w:rPr>
        <w:t>comprises</w:t>
      </w:r>
      <w:r w:rsidRPr="00FC562C">
        <w:rPr>
          <w:rFonts w:ascii="Times New Roman" w:hAnsi="Times New Roman" w:cs="Times New Roman"/>
          <w:sz w:val="24"/>
          <w:szCs w:val="24"/>
        </w:rPr>
        <w:t xml:space="preserve"> and </w:t>
      </w:r>
      <w:r>
        <w:rPr>
          <w:rFonts w:ascii="Times New Roman" w:hAnsi="Times New Roman" w:cs="Times New Roman"/>
          <w:sz w:val="24"/>
          <w:szCs w:val="24"/>
        </w:rPr>
        <w:t>the advantages</w:t>
      </w:r>
      <w:r w:rsidRPr="00FC562C">
        <w:rPr>
          <w:rFonts w:ascii="Times New Roman" w:hAnsi="Times New Roman" w:cs="Times New Roman"/>
          <w:sz w:val="24"/>
          <w:szCs w:val="24"/>
        </w:rPr>
        <w:t xml:space="preserve"> it </w:t>
      </w:r>
      <w:r>
        <w:rPr>
          <w:rFonts w:ascii="Times New Roman" w:hAnsi="Times New Roman" w:cs="Times New Roman"/>
          <w:sz w:val="24"/>
          <w:szCs w:val="24"/>
        </w:rPr>
        <w:t xml:space="preserve">may </w:t>
      </w:r>
      <w:r w:rsidRPr="00FC562C">
        <w:rPr>
          <w:rFonts w:ascii="Times New Roman" w:hAnsi="Times New Roman" w:cs="Times New Roman"/>
          <w:sz w:val="24"/>
          <w:szCs w:val="24"/>
        </w:rPr>
        <w:t xml:space="preserve">bring to improving </w:t>
      </w:r>
      <w:r>
        <w:rPr>
          <w:rFonts w:ascii="Times New Roman" w:hAnsi="Times New Roman" w:cs="Times New Roman"/>
          <w:sz w:val="24"/>
          <w:szCs w:val="24"/>
        </w:rPr>
        <w:t xml:space="preserve">the outcomes for children and their families as outlined in </w:t>
      </w:r>
      <w:r w:rsidRPr="00FC562C">
        <w:rPr>
          <w:rFonts w:ascii="Times New Roman" w:hAnsi="Times New Roman" w:cs="Times New Roman"/>
          <w:sz w:val="24"/>
          <w:szCs w:val="24"/>
        </w:rPr>
        <w:t>Every Child Matters (2003)</w:t>
      </w:r>
      <w:r>
        <w:rPr>
          <w:rFonts w:ascii="Times New Roman" w:hAnsi="Times New Roman" w:cs="Times New Roman"/>
          <w:sz w:val="24"/>
          <w:szCs w:val="24"/>
        </w:rPr>
        <w:t>.</w:t>
      </w:r>
    </w:p>
    <w:p w14:paraId="6C069082"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There are positive ways which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highlights that can help practitioners move forward together and meet the challenges. A catalytic leader would reflect on their leadership, themselves, the business, the practitioners, and families within the setting, regularly monitoring and assessing practice to improve provision (Senge, 2006 p. 289; Welsh Government, 2022a). Catalytic leaders are positive and optimistic, they show belief in the practitioners, the child, families, and the community, putting them all at the heart of the change and ensuring they listen </w:t>
      </w:r>
      <w:r w:rsidRPr="00FC562C">
        <w:rPr>
          <w:rFonts w:ascii="Times New Roman" w:hAnsi="Times New Roman" w:cs="Times New Roman"/>
          <w:sz w:val="24"/>
          <w:szCs w:val="24"/>
        </w:rPr>
        <w:lastRenderedPageBreak/>
        <w:t>and understand others’ views, also sharing what is going on within the setting (</w:t>
      </w:r>
      <w:proofErr w:type="spellStart"/>
      <w:r w:rsidRPr="00FC562C">
        <w:rPr>
          <w:rFonts w:ascii="Times New Roman" w:hAnsi="Times New Roman" w:cs="Times New Roman"/>
          <w:sz w:val="24"/>
          <w:szCs w:val="24"/>
        </w:rPr>
        <w:t>Cheminais</w:t>
      </w:r>
      <w:proofErr w:type="spellEnd"/>
      <w:r w:rsidRPr="00FC562C">
        <w:rPr>
          <w:rFonts w:ascii="Times New Roman" w:hAnsi="Times New Roman" w:cs="Times New Roman"/>
          <w:sz w:val="24"/>
          <w:szCs w:val="24"/>
        </w:rPr>
        <w:t xml:space="preserve">, 2009; Welsh Government, 2022a). </w:t>
      </w:r>
    </w:p>
    <w:p w14:paraId="52E2B88C"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Leaders face a rapidly changing environment and are expected to evolve with it, showcasing the agility that today’s environment demands (Joiner, 2017).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state that change in the early years is important, because by making a change you are improving the quality of provision. Change comes in lots of forms for children, an important change in a child’s life is transition, such as moving house, changing school or teacher, a new sibling or a change in routine, children will face these changes in their daily lives. The need for change, and change itself, are important aspects of early years provision, according to Rodd (2015), with substantial improvements in the variety, delivery, presentation, and quality of the services provided to and for young children and their families. Catalytic leadership is leading a continuous change (Real HR, 2020), however, as stated by </w:t>
      </w:r>
      <w:proofErr w:type="spellStart"/>
      <w:r w:rsidRPr="00FC562C">
        <w:rPr>
          <w:rFonts w:ascii="Times New Roman" w:hAnsi="Times New Roman" w:cs="Times New Roman"/>
          <w:sz w:val="24"/>
          <w:szCs w:val="24"/>
        </w:rPr>
        <w:t>Colloby</w:t>
      </w:r>
      <w:proofErr w:type="spellEnd"/>
      <w:r w:rsidRPr="00FC562C">
        <w:rPr>
          <w:rFonts w:ascii="Times New Roman" w:hAnsi="Times New Roman" w:cs="Times New Roman"/>
          <w:sz w:val="24"/>
          <w:szCs w:val="24"/>
        </w:rPr>
        <w:t xml:space="preserve"> (2009) cited by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the speed in which change is implemented can have an adverse effect. For a successful implementation of change it needs to be introduced gradually, as resistance occurs when change is introduced too quickly. If other practitioners are not informed of change, they could feel threatened and insecure, as stated by Jones and Pound (2008), cited by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A catalytic leader would explain the benefits of change for everyone involved and would also involve all the practitioners in the process of change, ensuring that it is fully understood, and by doing this they show coalition underpinned by early years childhood knowledge and values, as cited by Siraj-Blatchford and </w:t>
      </w:r>
      <w:proofErr w:type="spellStart"/>
      <w:r w:rsidRPr="00FC562C">
        <w:rPr>
          <w:rFonts w:ascii="Times New Roman" w:hAnsi="Times New Roman" w:cs="Times New Roman"/>
          <w:sz w:val="24"/>
          <w:szCs w:val="24"/>
        </w:rPr>
        <w:t>Hallet</w:t>
      </w:r>
      <w:proofErr w:type="spellEnd"/>
      <w:r w:rsidRPr="00FC562C">
        <w:rPr>
          <w:rFonts w:ascii="Times New Roman" w:hAnsi="Times New Roman" w:cs="Times New Roman"/>
          <w:sz w:val="24"/>
          <w:szCs w:val="24"/>
        </w:rPr>
        <w:t xml:space="preserve"> (2014). However, some practitioners may misunderstand the need for change or strongly believe the current way of doing things works well, in fear of the unknown, </w:t>
      </w:r>
      <w:proofErr w:type="gramStart"/>
      <w:r w:rsidRPr="00FC562C">
        <w:rPr>
          <w:rFonts w:ascii="Times New Roman" w:hAnsi="Times New Roman" w:cs="Times New Roman"/>
          <w:sz w:val="24"/>
          <w:szCs w:val="24"/>
        </w:rPr>
        <w:t>underachieving</w:t>
      </w:r>
      <w:proofErr w:type="gramEnd"/>
      <w:r w:rsidRPr="00FC562C">
        <w:rPr>
          <w:rFonts w:ascii="Times New Roman" w:hAnsi="Times New Roman" w:cs="Times New Roman"/>
          <w:sz w:val="24"/>
          <w:szCs w:val="24"/>
        </w:rPr>
        <w:t xml:space="preserve"> or personal impact (Rick, 2011; Stark, 2010). A catalytic leader would acknowledge the resistance and validate the practitioner’s emotions in the matter (Rick, 2011). When employees are affected by change, they are generally less productive, a catalytic leader would provide an honest, </w:t>
      </w:r>
      <w:proofErr w:type="gramStart"/>
      <w:r w:rsidRPr="00FC562C">
        <w:rPr>
          <w:rFonts w:ascii="Times New Roman" w:hAnsi="Times New Roman" w:cs="Times New Roman"/>
          <w:sz w:val="24"/>
          <w:szCs w:val="24"/>
        </w:rPr>
        <w:t>positive</w:t>
      </w:r>
      <w:proofErr w:type="gramEnd"/>
      <w:r w:rsidRPr="00FC562C">
        <w:rPr>
          <w:rFonts w:ascii="Times New Roman" w:hAnsi="Times New Roman" w:cs="Times New Roman"/>
          <w:sz w:val="24"/>
          <w:szCs w:val="24"/>
        </w:rPr>
        <w:t xml:space="preserve"> and compelling reasoning for the change before any concern, uncertainty, or rumours could take hold (Bravo, 2019).</w:t>
      </w:r>
    </w:p>
    <w:p w14:paraId="5ECEAD4C" w14:textId="77777777" w:rsidR="00C91871" w:rsidRPr="00FC562C" w:rsidRDefault="00C91871" w:rsidP="00C91871">
      <w:pPr>
        <w:spacing w:line="360" w:lineRule="auto"/>
        <w:jc w:val="both"/>
        <w:rPr>
          <w:rFonts w:ascii="Times New Roman" w:hAnsi="Times New Roman" w:cs="Times New Roman"/>
          <w:sz w:val="24"/>
          <w:szCs w:val="24"/>
        </w:rPr>
      </w:pPr>
      <w:r w:rsidRPr="00FC562C">
        <w:rPr>
          <w:rFonts w:ascii="Times New Roman" w:hAnsi="Times New Roman" w:cs="Times New Roman"/>
          <w:sz w:val="24"/>
          <w:szCs w:val="24"/>
        </w:rPr>
        <w:t xml:space="preserve">Rodd (2015) states that a study was carried out by Action for Children (2008) between 1987 and 2008 that showed a steady acceleration in government initiatives for change. Similarly, Kagan, cited by </w:t>
      </w:r>
      <w:proofErr w:type="spellStart"/>
      <w:r w:rsidRPr="00FC562C">
        <w:rPr>
          <w:rFonts w:ascii="Times New Roman" w:hAnsi="Times New Roman" w:cs="Times New Roman"/>
          <w:sz w:val="24"/>
          <w:szCs w:val="24"/>
        </w:rPr>
        <w:t>Kahane</w:t>
      </w:r>
      <w:proofErr w:type="spellEnd"/>
      <w:r w:rsidRPr="00FC562C">
        <w:rPr>
          <w:rFonts w:ascii="Times New Roman" w:hAnsi="Times New Roman" w:cs="Times New Roman"/>
          <w:sz w:val="24"/>
          <w:szCs w:val="24"/>
        </w:rPr>
        <w:t xml:space="preserve"> (2004) observed that the early childhood education sector in the United States was under pressure to change </w:t>
      </w:r>
      <w:proofErr w:type="gramStart"/>
      <w:r w:rsidRPr="00FC562C">
        <w:rPr>
          <w:rFonts w:ascii="Times New Roman" w:hAnsi="Times New Roman" w:cs="Times New Roman"/>
          <w:sz w:val="24"/>
          <w:szCs w:val="24"/>
        </w:rPr>
        <w:t>as a consequence of</w:t>
      </w:r>
      <w:proofErr w:type="gramEnd"/>
      <w:r w:rsidRPr="00FC562C">
        <w:rPr>
          <w:rFonts w:ascii="Times New Roman" w:hAnsi="Times New Roman" w:cs="Times New Roman"/>
          <w:sz w:val="24"/>
          <w:szCs w:val="24"/>
        </w:rPr>
        <w:t xml:space="preserve"> greater attention from legislators, policymakers, the media, researchers, and parents, resulting in new leadership opportunities. Rodd (2015) highlights that there is pressure on early years professionals to implement change </w:t>
      </w:r>
      <w:r w:rsidRPr="00FC562C">
        <w:rPr>
          <w:rFonts w:ascii="Times New Roman" w:hAnsi="Times New Roman" w:cs="Times New Roman"/>
          <w:sz w:val="24"/>
          <w:szCs w:val="24"/>
        </w:rPr>
        <w:lastRenderedPageBreak/>
        <w:t xml:space="preserve">in many different initiatives and developments, which poses a new challenge: providing the workforce with the necessary skills to meet the targets. As a catalytic leader you are managing and providing opportunities to enable the workforce to meet the high demands. A catalytic leader plays a central role in improving and sustaining the quality of children’s experiences, the relationships between staff, children, and parents. This can be done through providing continuous professional development which will enable the workforce to provide high quality provision and pedagogy (Douglass, 2019; Siraj-Blatchford, </w:t>
      </w:r>
      <w:r w:rsidRPr="00FC562C">
        <w:rPr>
          <w:rFonts w:ascii="Times New Roman" w:hAnsi="Times New Roman" w:cs="Times New Roman"/>
          <w:i/>
          <w:iCs/>
          <w:sz w:val="24"/>
          <w:szCs w:val="24"/>
        </w:rPr>
        <w:t>et al.,</w:t>
      </w:r>
      <w:r w:rsidRPr="00FC562C">
        <w:rPr>
          <w:rFonts w:ascii="Times New Roman" w:hAnsi="Times New Roman" w:cs="Times New Roman"/>
          <w:sz w:val="24"/>
          <w:szCs w:val="24"/>
        </w:rPr>
        <w:t xml:space="preserve"> 2002). A high-quality provision, according to Welsh Government (2022a), provides enabling environments, enabling children, and enabling staff. Enabling adults play an important role in the education and development of children by providing a safe environment where children are free to explore and manage their feelings and behaviours in constructive and positive ways. As a catalytic leader these standards of practice, knowledge and care should be modelled to the practitioners within the setting, but also valuing the skills and knowledge the practitioners have to offer too, incorporating the abilities and talents of others in their work (Welsh Government, 2022a; Senge, 2006 cited by Real HR, 2022) and by consistently demonstrating qualities associated with their proclaimed objectives, the catalytic leader will provide an example for the practitioners, allowing them to gain and retain trust over time stated by Kouzes and Posner (2007, p. 94) cited by Real HR (2020). Catalytic leaders will create a shared vision which is to be practiced by all, ensuring that all practitioners know their roles and responsibilities (Welsh Government, 2022a). According to Pacey (2022) continuous professional development is important for catalytic leaders and the practitioners within the setting to ensure that the best possible start is provided for the children in their care, also stating that tailored training is important to deliver this. Pacey (2022) continues to say how continuous professional development will enhance the service and care that is provided to the children and their families, understanding that every child is unique. It also allows practitioners to keep up to date with any changes in legislation, such as the Additional Learning Needs (ALN) Act 2018, from the Welsh Government (2021e), which aims to </w:t>
      </w:r>
      <w:r>
        <w:rPr>
          <w:rFonts w:ascii="Times New Roman" w:hAnsi="Times New Roman" w:cs="Times New Roman"/>
          <w:sz w:val="24"/>
          <w:szCs w:val="24"/>
        </w:rPr>
        <w:t>assist</w:t>
      </w:r>
      <w:r w:rsidRPr="00FC562C">
        <w:rPr>
          <w:rFonts w:ascii="Times New Roman" w:hAnsi="Times New Roman" w:cs="Times New Roman"/>
          <w:sz w:val="24"/>
          <w:szCs w:val="24"/>
        </w:rPr>
        <w:t xml:space="preserve"> children and young people with ALN </w:t>
      </w:r>
      <w:r>
        <w:rPr>
          <w:rFonts w:ascii="Times New Roman" w:hAnsi="Times New Roman" w:cs="Times New Roman"/>
          <w:sz w:val="24"/>
          <w:szCs w:val="24"/>
        </w:rPr>
        <w:t xml:space="preserve">in </w:t>
      </w:r>
      <w:r w:rsidRPr="00FC562C">
        <w:rPr>
          <w:rFonts w:ascii="Times New Roman" w:hAnsi="Times New Roman" w:cs="Times New Roman"/>
          <w:sz w:val="24"/>
          <w:szCs w:val="24"/>
        </w:rPr>
        <w:t>overcom</w:t>
      </w:r>
      <w:r>
        <w:rPr>
          <w:rFonts w:ascii="Times New Roman" w:hAnsi="Times New Roman" w:cs="Times New Roman"/>
          <w:sz w:val="24"/>
          <w:szCs w:val="24"/>
        </w:rPr>
        <w:t>ing educational</w:t>
      </w:r>
      <w:r w:rsidRPr="00FC562C">
        <w:rPr>
          <w:rFonts w:ascii="Times New Roman" w:hAnsi="Times New Roman" w:cs="Times New Roman"/>
          <w:sz w:val="24"/>
          <w:szCs w:val="24"/>
        </w:rPr>
        <w:t xml:space="preserve"> barriers </w:t>
      </w:r>
      <w:r>
        <w:rPr>
          <w:rFonts w:ascii="Times New Roman" w:hAnsi="Times New Roman" w:cs="Times New Roman"/>
          <w:sz w:val="24"/>
          <w:szCs w:val="24"/>
        </w:rPr>
        <w:t>and</w:t>
      </w:r>
      <w:r w:rsidRPr="00FC562C">
        <w:rPr>
          <w:rFonts w:ascii="Times New Roman" w:hAnsi="Times New Roman" w:cs="Times New Roman"/>
          <w:sz w:val="24"/>
          <w:szCs w:val="24"/>
        </w:rPr>
        <w:t xml:space="preserve"> reach their full potential, through ensuring consistency and stability across the ALN system and protecting all children’s provision and rights, irrespective of their needs. Government legislation has designed the Act to put the families, </w:t>
      </w:r>
      <w:proofErr w:type="gramStart"/>
      <w:r w:rsidRPr="00FC562C">
        <w:rPr>
          <w:rFonts w:ascii="Times New Roman" w:hAnsi="Times New Roman" w:cs="Times New Roman"/>
          <w:sz w:val="24"/>
          <w:szCs w:val="24"/>
        </w:rPr>
        <w:t>children</w:t>
      </w:r>
      <w:proofErr w:type="gramEnd"/>
      <w:r w:rsidRPr="00FC562C">
        <w:rPr>
          <w:rFonts w:ascii="Times New Roman" w:hAnsi="Times New Roman" w:cs="Times New Roman"/>
          <w:sz w:val="24"/>
          <w:szCs w:val="24"/>
        </w:rPr>
        <w:t xml:space="preserve"> and young people at the centre of decisions taken which will directly impact on them, enabling them to participate in a fully informed manner (</w:t>
      </w:r>
      <w:r w:rsidRPr="00FC562C">
        <w:rPr>
          <w:rFonts w:ascii="Times New Roman" w:hAnsi="Times New Roman" w:cs="Times New Roman"/>
          <w:i/>
          <w:iCs/>
          <w:sz w:val="24"/>
          <w:szCs w:val="24"/>
        </w:rPr>
        <w:t xml:space="preserve">Additional Learning Needs and Education Tribunal (Wales) Act 2018). </w:t>
      </w:r>
      <w:r w:rsidRPr="00FC562C">
        <w:rPr>
          <w:rFonts w:ascii="Times New Roman" w:hAnsi="Times New Roman" w:cs="Times New Roman"/>
          <w:sz w:val="24"/>
          <w:szCs w:val="24"/>
        </w:rPr>
        <w:t xml:space="preserve">This is empowering for families, </w:t>
      </w:r>
      <w:proofErr w:type="gramStart"/>
      <w:r w:rsidRPr="00FC562C">
        <w:rPr>
          <w:rFonts w:ascii="Times New Roman" w:hAnsi="Times New Roman" w:cs="Times New Roman"/>
          <w:sz w:val="24"/>
          <w:szCs w:val="24"/>
        </w:rPr>
        <w:t>children</w:t>
      </w:r>
      <w:proofErr w:type="gramEnd"/>
      <w:r w:rsidRPr="00FC562C">
        <w:rPr>
          <w:rFonts w:ascii="Times New Roman" w:hAnsi="Times New Roman" w:cs="Times New Roman"/>
          <w:sz w:val="24"/>
          <w:szCs w:val="24"/>
        </w:rPr>
        <w:t xml:space="preserve"> and young people. It will enable practitioners to be catalysts in supporting and teaching children and young </w:t>
      </w:r>
      <w:r w:rsidRPr="00FC562C">
        <w:rPr>
          <w:rFonts w:ascii="Times New Roman" w:hAnsi="Times New Roman" w:cs="Times New Roman"/>
          <w:sz w:val="24"/>
          <w:szCs w:val="24"/>
        </w:rPr>
        <w:lastRenderedPageBreak/>
        <w:t>people and their families to develop their knowledge and skills, using a rights-based approach in which the parents, child or young person’s views, wishes and feelings are the foundation to the planning and provision of support, giving them control of the decision-making process (Positive Eye, 2022).</w:t>
      </w:r>
    </w:p>
    <w:p w14:paraId="39DB1FAA"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265A9B8B"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2.</w:t>
      </w:r>
    </w:p>
    <w:p w14:paraId="7D0DF4B7"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According to Save the Children (no date) and UNICEF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the United Nations Convention on the Rights of the Child (UNCRC) consists of a legally enforceable international agreement that outlines every child’s civil, political, economic, </w:t>
      </w:r>
      <w:proofErr w:type="gramStart"/>
      <w:r w:rsidRPr="00FC562C">
        <w:rPr>
          <w:rFonts w:ascii="Times New Roman" w:eastAsia="Times New Roman" w:hAnsi="Times New Roman" w:cs="Times New Roman"/>
          <w:sz w:val="24"/>
          <w:szCs w:val="24"/>
          <w:lang w:eastAsia="en-GB"/>
        </w:rPr>
        <w:t>social</w:t>
      </w:r>
      <w:proofErr w:type="gramEnd"/>
      <w:r w:rsidRPr="00FC562C">
        <w:rPr>
          <w:rFonts w:ascii="Times New Roman" w:eastAsia="Times New Roman" w:hAnsi="Times New Roman" w:cs="Times New Roman"/>
          <w:sz w:val="24"/>
          <w:szCs w:val="24"/>
          <w:lang w:eastAsia="en-GB"/>
        </w:rPr>
        <w:t xml:space="preserve"> and cultural rights that all children worldwide share, it outlines that adults and governments must work collaboratively to ensure that all children have access to all of their rights. Children and young people have rights under the Human Rights Act 1998, but they also have rights under the UNCRC. Rights are something that everyone has </w:t>
      </w:r>
      <w:proofErr w:type="gramStart"/>
      <w:r w:rsidRPr="00FC562C">
        <w:rPr>
          <w:rFonts w:ascii="Times New Roman" w:eastAsia="Times New Roman" w:hAnsi="Times New Roman" w:cs="Times New Roman"/>
          <w:sz w:val="24"/>
          <w:szCs w:val="24"/>
          <w:lang w:eastAsia="en-GB"/>
        </w:rPr>
        <w:t>as a result of</w:t>
      </w:r>
      <w:proofErr w:type="gramEnd"/>
      <w:r w:rsidRPr="00FC562C">
        <w:rPr>
          <w:rFonts w:ascii="Times New Roman" w:eastAsia="Times New Roman" w:hAnsi="Times New Roman" w:cs="Times New Roman"/>
          <w:sz w:val="24"/>
          <w:szCs w:val="24"/>
          <w:lang w:eastAsia="en-GB"/>
        </w:rPr>
        <w:t xml:space="preserve"> being born, no one can take them away and there are no conditions attached to them (Welsh Government, 2021a). There are 54 articles in the Convention that encompass all aspects of a child’s life. According to UNICEF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w:t>
      </w:r>
      <w:proofErr w:type="gramStart"/>
      <w:r w:rsidRPr="00FC562C">
        <w:rPr>
          <w:rFonts w:ascii="Times New Roman" w:eastAsia="Times New Roman" w:hAnsi="Times New Roman" w:cs="Times New Roman"/>
          <w:sz w:val="24"/>
          <w:szCs w:val="24"/>
          <w:lang w:eastAsia="en-GB"/>
        </w:rPr>
        <w:t>all of</w:t>
      </w:r>
      <w:proofErr w:type="gramEnd"/>
      <w:r w:rsidRPr="00FC562C">
        <w:rPr>
          <w:rFonts w:ascii="Times New Roman" w:eastAsia="Times New Roman" w:hAnsi="Times New Roman" w:cs="Times New Roman"/>
          <w:sz w:val="24"/>
          <w:szCs w:val="24"/>
          <w:lang w:eastAsia="en-GB"/>
        </w:rPr>
        <w:t xml:space="preserve"> their work is guided by the United Nations Convention on the Rights of the Child (UNCRC), it is the most comprehensive statement of children’s rights that have ever been written, as well as the most extensively adopted international human rights treaty historically. </w:t>
      </w:r>
    </w:p>
    <w:p w14:paraId="1B720CCA"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0161620D"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Save the Children (no date) state that the UNCRC has been signed by 196 countries since its establishment by the United Nations in November 1989. These countries are bound by international law to ensure it is implemented, as supported by UNICEF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However, there is just one country still to approve it – the United States (Save the Children, no date; Mehta, 2015; </w:t>
      </w:r>
      <w:proofErr w:type="spellStart"/>
      <w:r w:rsidRPr="00FC562C">
        <w:rPr>
          <w:rFonts w:ascii="Times New Roman" w:eastAsia="Times New Roman" w:hAnsi="Times New Roman" w:cs="Times New Roman"/>
          <w:sz w:val="24"/>
          <w:szCs w:val="24"/>
          <w:lang w:eastAsia="en-GB"/>
        </w:rPr>
        <w:t>Gradia</w:t>
      </w:r>
      <w:proofErr w:type="spellEnd"/>
      <w:r w:rsidRPr="00FC562C">
        <w:rPr>
          <w:rFonts w:ascii="Times New Roman" w:eastAsia="Times New Roman" w:hAnsi="Times New Roman" w:cs="Times New Roman"/>
          <w:sz w:val="24"/>
          <w:szCs w:val="24"/>
          <w:lang w:eastAsia="en-GB"/>
        </w:rPr>
        <w:t>, 2015, Farzad Ochoa, 2022). Upon further research, Reagan and George H.W. Bush administrations participated in the treaty negotiations and contributed provisions (Mehta, 2015). Also, President Bill Clinton signed the Convention on the Rights of the Child on 16</w:t>
      </w:r>
      <w:r w:rsidRPr="00FC562C">
        <w:rPr>
          <w:rFonts w:ascii="Times New Roman" w:eastAsia="Times New Roman" w:hAnsi="Times New Roman" w:cs="Times New Roman"/>
          <w:sz w:val="24"/>
          <w:szCs w:val="24"/>
          <w:vertAlign w:val="superscript"/>
          <w:lang w:eastAsia="en-GB"/>
        </w:rPr>
        <w:t>th</w:t>
      </w:r>
      <w:r w:rsidRPr="00FC562C">
        <w:rPr>
          <w:rFonts w:ascii="Times New Roman" w:eastAsia="Times New Roman" w:hAnsi="Times New Roman" w:cs="Times New Roman"/>
          <w:sz w:val="24"/>
          <w:szCs w:val="24"/>
          <w:lang w:eastAsia="en-GB"/>
        </w:rPr>
        <w:t xml:space="preserve"> February 1995, but it has still not been ratified. The Convention has also received support from President Obama, but the Republican opposition in the Senate is far too powerful for it to be approved, it requires two-thirds of the U.S. Senate to vote in favour of ratification (</w:t>
      </w:r>
      <w:proofErr w:type="spellStart"/>
      <w:r w:rsidRPr="00FC562C">
        <w:rPr>
          <w:rFonts w:ascii="Times New Roman" w:eastAsia="Times New Roman" w:hAnsi="Times New Roman" w:cs="Times New Roman"/>
          <w:sz w:val="24"/>
          <w:szCs w:val="24"/>
          <w:lang w:eastAsia="en-GB"/>
        </w:rPr>
        <w:t>Gradia</w:t>
      </w:r>
      <w:proofErr w:type="spellEnd"/>
      <w:r w:rsidRPr="00FC562C">
        <w:rPr>
          <w:rFonts w:ascii="Times New Roman" w:eastAsia="Times New Roman" w:hAnsi="Times New Roman" w:cs="Times New Roman"/>
          <w:sz w:val="24"/>
          <w:szCs w:val="24"/>
          <w:lang w:eastAsia="en-GB"/>
        </w:rPr>
        <w:t xml:space="preserve">, 2015; Farzad Ochoa, 2022). Farzad Ochoa (2022) states that the United States lacks a holistic system to safeguard children's rights, and current laws are enforced inconsistently throughout states. For example, as written by Reid (2018) America is currently violating Article 37 of the UNCRC which states that children should not be sentenced to life without the </w:t>
      </w:r>
      <w:r w:rsidRPr="00FC562C">
        <w:rPr>
          <w:rFonts w:ascii="Times New Roman" w:eastAsia="Times New Roman" w:hAnsi="Times New Roman" w:cs="Times New Roman"/>
          <w:sz w:val="24"/>
          <w:szCs w:val="24"/>
          <w:lang w:eastAsia="en-GB"/>
        </w:rPr>
        <w:lastRenderedPageBreak/>
        <w:t xml:space="preserve">possibility of release (UNICEF,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because in many states, children can be sentenced to life in prison. More than 3000 people are currently serving life sentences with no chance of release for crimes they committed while under the age of 18. The Supreme Court determined in 2012 that giving minors mandatory life sentences without the possibility of release is discriminatory. However, in 28 states, a minor can still face life in jail without the prospect of release (Reid, 2018).</w:t>
      </w:r>
    </w:p>
    <w:p w14:paraId="0FFB36D6"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Farzad Ochoa (2022) says that the ratification of the Convention will defend parents’ rights to raise their children, strengthen child protection measures, improve global living conditions for children, and allow for a full assessment of children's rights in America. However, some opponents to the ratification believe it will weaken the U.S. sovereignty or would cause unlimited interference in family life, supported by Minasyan (2018). Minasyan (2018) states that by not ratifying the Convention they are undervaluing the importance of having separate rights for children.</w:t>
      </w:r>
    </w:p>
    <w:p w14:paraId="3373665E"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6D2AF315"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United Kingdom signed the Convention in 1990 (NSPCC Learning, 2021; ECPAT, 2016), therefore it is intended to be followed and should be referred to by courts, tribunals and other administrative bodies when making decisions that impact children. However, the UK opted out (ECPAT, 2016) of Article 22:</w:t>
      </w:r>
    </w:p>
    <w:p w14:paraId="23BC6767"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0DD7928B" w14:textId="77777777" w:rsidR="00C91871" w:rsidRPr="00FC562C" w:rsidRDefault="00C91871" w:rsidP="00C91871">
      <w:pPr>
        <w:spacing w:after="0" w:line="360" w:lineRule="auto"/>
        <w:jc w:val="both"/>
        <w:rPr>
          <w:rFonts w:ascii="Times New Roman" w:eastAsia="Times New Roman" w:hAnsi="Times New Roman" w:cs="Times New Roman"/>
          <w:i/>
          <w:iCs/>
          <w:sz w:val="24"/>
          <w:szCs w:val="24"/>
          <w:lang w:eastAsia="en-GB"/>
        </w:rPr>
      </w:pPr>
      <w:r w:rsidRPr="00FC562C">
        <w:rPr>
          <w:rFonts w:ascii="Times New Roman" w:eastAsia="Times New Roman" w:hAnsi="Times New Roman" w:cs="Times New Roman"/>
          <w:i/>
          <w:iCs/>
          <w:sz w:val="24"/>
          <w:szCs w:val="24"/>
          <w:lang w:eastAsia="en-GB"/>
        </w:rPr>
        <w:t>“</w:t>
      </w:r>
      <w:r w:rsidRPr="00FC562C">
        <w:rPr>
          <w:rFonts w:ascii="Times New Roman" w:hAnsi="Times New Roman" w:cs="Times New Roman"/>
          <w:i/>
          <w:iCs/>
          <w:sz w:val="24"/>
          <w:szCs w:val="24"/>
        </w:rPr>
        <w:t>If a child is seeking refuge or has refugee status, governments must provide them with appropriate protection and assistance to help them enjoy all the rights in the Convention. Governments must help refugee children who are separated from their parents to be reunited with them” – (</w:t>
      </w:r>
      <w:proofErr w:type="spellStart"/>
      <w:r w:rsidRPr="00FC562C">
        <w:rPr>
          <w:rFonts w:ascii="Times New Roman" w:hAnsi="Times New Roman" w:cs="Times New Roman"/>
          <w:i/>
          <w:iCs/>
          <w:sz w:val="24"/>
          <w:szCs w:val="24"/>
        </w:rPr>
        <w:t>Unicef</w:t>
      </w:r>
      <w:proofErr w:type="spellEnd"/>
      <w:r w:rsidRPr="00FC562C">
        <w:rPr>
          <w:rFonts w:ascii="Times New Roman" w:hAnsi="Times New Roman" w:cs="Times New Roman"/>
          <w:i/>
          <w:iCs/>
          <w:sz w:val="24"/>
          <w:szCs w:val="24"/>
        </w:rPr>
        <w:t xml:space="preserve">, no </w:t>
      </w:r>
      <w:proofErr w:type="spellStart"/>
      <w:r w:rsidRPr="00FC562C">
        <w:rPr>
          <w:rFonts w:ascii="Times New Roman" w:hAnsi="Times New Roman" w:cs="Times New Roman"/>
          <w:i/>
          <w:iCs/>
          <w:sz w:val="24"/>
          <w:szCs w:val="24"/>
        </w:rPr>
        <w:t>dateA</w:t>
      </w:r>
      <w:proofErr w:type="spellEnd"/>
      <w:r w:rsidRPr="00FC562C">
        <w:rPr>
          <w:rFonts w:ascii="Times New Roman" w:hAnsi="Times New Roman" w:cs="Times New Roman"/>
          <w:i/>
          <w:iCs/>
          <w:sz w:val="24"/>
          <w:szCs w:val="24"/>
        </w:rPr>
        <w:t>).</w:t>
      </w:r>
    </w:p>
    <w:p w14:paraId="221D93D9"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63BDABE5"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Since then, the UK has retracted its reservation to Article 22, stating that the Convention’s principles apply to all children, irrespective of their immigration status – enshrining the belief that all children are equal and deserving of their rights and protection (ECPAT, 2016; Parliament, 2009). </w:t>
      </w:r>
    </w:p>
    <w:p w14:paraId="7E7855A4"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Children’s rights are important as children fundamentally rely on adults, some of which do not always have their best interests at heart. Children are not the property of their parents or the government, and it is vital that everyone is aware that they have the same equal value and identity as other members of humanity. Children are the most vulnerable, and without these rights in place they become susceptible to abuse and exploitation. These rights ensure provision, </w:t>
      </w:r>
      <w:proofErr w:type="gramStart"/>
      <w:r w:rsidRPr="00FC562C">
        <w:rPr>
          <w:rFonts w:ascii="Times New Roman" w:eastAsia="Times New Roman" w:hAnsi="Times New Roman" w:cs="Times New Roman"/>
          <w:sz w:val="24"/>
          <w:szCs w:val="24"/>
          <w:lang w:eastAsia="en-GB"/>
        </w:rPr>
        <w:t>protection</w:t>
      </w:r>
      <w:proofErr w:type="gramEnd"/>
      <w:r w:rsidRPr="00FC562C">
        <w:rPr>
          <w:rFonts w:ascii="Times New Roman" w:eastAsia="Times New Roman" w:hAnsi="Times New Roman" w:cs="Times New Roman"/>
          <w:sz w:val="24"/>
          <w:szCs w:val="24"/>
          <w:lang w:eastAsia="en-GB"/>
        </w:rPr>
        <w:t xml:space="preserve"> and participation. </w:t>
      </w:r>
      <w:r w:rsidRPr="00FC562C">
        <w:rPr>
          <w:rFonts w:ascii="Times New Roman" w:hAnsi="Times New Roman" w:cs="Times New Roman"/>
          <w:sz w:val="24"/>
          <w:szCs w:val="24"/>
        </w:rPr>
        <w:t xml:space="preserve">Children and childhood are still often seen as inferior </w:t>
      </w:r>
      <w:r w:rsidRPr="00FC562C">
        <w:rPr>
          <w:rFonts w:ascii="Times New Roman" w:hAnsi="Times New Roman" w:cs="Times New Roman"/>
          <w:sz w:val="24"/>
          <w:szCs w:val="24"/>
        </w:rPr>
        <w:lastRenderedPageBreak/>
        <w:t>to adults and adulthood</w:t>
      </w:r>
      <w:r w:rsidRPr="00FC562C">
        <w:rPr>
          <w:rFonts w:ascii="Times New Roman" w:eastAsia="Times New Roman" w:hAnsi="Times New Roman" w:cs="Times New Roman"/>
          <w:sz w:val="24"/>
          <w:szCs w:val="24"/>
          <w:lang w:eastAsia="en-GB"/>
        </w:rPr>
        <w:t xml:space="preserve"> (Cole-</w:t>
      </w:r>
      <w:proofErr w:type="spellStart"/>
      <w:r w:rsidRPr="00FC562C">
        <w:rPr>
          <w:rFonts w:ascii="Times New Roman" w:eastAsia="Times New Roman" w:hAnsi="Times New Roman" w:cs="Times New Roman"/>
          <w:sz w:val="24"/>
          <w:szCs w:val="24"/>
          <w:lang w:eastAsia="en-GB"/>
        </w:rPr>
        <w:t>Alback</w:t>
      </w:r>
      <w:proofErr w:type="spellEnd"/>
      <w:r w:rsidRPr="00FC562C">
        <w:rPr>
          <w:rFonts w:ascii="Times New Roman" w:eastAsia="Times New Roman" w:hAnsi="Times New Roman" w:cs="Times New Roman"/>
          <w:sz w:val="24"/>
          <w:szCs w:val="24"/>
          <w:lang w:eastAsia="en-GB"/>
        </w:rPr>
        <w:t xml:space="preserve">, 2021;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RCPCH, 2020; Wales Online, 2006; CRY UK, 2008). The Convention realises that children are individuals and part of a family and community, they ensure the rights and responsibilities are age and developmentally appropriate. The focus of the Convention is on the whole child, making it clear that a reasonable quality of life should be a right for all children, not a privilege enjoyed by a select few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w:t>
      </w:r>
    </w:p>
    <w:p w14:paraId="697A7288"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1988B249"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United Nations Convention on the Rights of the Child (UNCRC) was formally accepted by the Welsh Government in 2004 as the foundation for policymaking pertaining to children and young people (Welsh Government, 2022b). In 2011, Wales made the UNCRC law – it is called the Rights of Children and Young Persons (Wales) Measure 2011, and it has changed the way in which Wales works, considering children’s rights in everything that they do (Welsh Government, 2021a).</w:t>
      </w:r>
    </w:p>
    <w:p w14:paraId="2C2C5D0F"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The Children's Commissioner for Wales was formed in 2001 as an independent children's human rights organisation, following recommendations of Waterhouse inquiry into abuse in a children’s home in north Wales, under the Care Standards Act 2000 (Children’s Commissioner for Wales, 2022a; BBC News, 2022; Hollingsworth and Douglas, 2002, p.58). </w:t>
      </w:r>
    </w:p>
    <w:p w14:paraId="3CFAC751"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first Children’s Commissioner for Wales, and the first in the UK was Peter Clarke (Philpot, 2007). The Commissioner's main goal is to protect and promote children's and young people's rights and wellbeing, as they recognised that children and young people needed someone to speak up for them and make sure that they are listened to and treated fairly (Children’s Commissioner for Wales, 2022a). Peter Clarke championed a variety of causes, but his efforts to improve Child and Adolescent Mental Health Services, his campaign for a national advocacy unit, and his efforts to raise awareness of child poverty and bullying in Wales have all made significant contributions to improving the lives of many young people (Children’s Commissioner for Wales, 2007). A report came out in 2004 by the Children’s Commissioner for Wales, Peter Clarke relating to a case on allegations of child sex abuse within a school setting (Foley, 2004). The report stated how the Welsh Joint Education Committee examining board failed to protect children and as a result the children thought their complaints of sexual abuse and bullying had not been heard (LGC, 2004). The report called for major changes in the way children were protected at schools (BBC News, 2005). Mr Clarke made a series of 31 recommendations (Foley, 2004), including:</w:t>
      </w:r>
    </w:p>
    <w:p w14:paraId="7BBD311C" w14:textId="77777777" w:rsidR="00C91871" w:rsidRPr="00FC562C" w:rsidRDefault="00C91871" w:rsidP="00C91871">
      <w:pPr>
        <w:pStyle w:val="ListParagraph"/>
        <w:numPr>
          <w:ilvl w:val="0"/>
          <w:numId w:val="4"/>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A nationwide plan to offer an independent counselling service for children and young people in education.</w:t>
      </w:r>
    </w:p>
    <w:p w14:paraId="2411F257" w14:textId="77777777" w:rsidR="00C91871" w:rsidRPr="00FC562C" w:rsidRDefault="00C91871" w:rsidP="00C91871">
      <w:pPr>
        <w:pStyle w:val="ListParagraph"/>
        <w:numPr>
          <w:ilvl w:val="0"/>
          <w:numId w:val="4"/>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lastRenderedPageBreak/>
        <w:t xml:space="preserve">Recognising and promoting forms of support in schools.  </w:t>
      </w:r>
    </w:p>
    <w:p w14:paraId="5F8AAE1F" w14:textId="77777777" w:rsidR="00C91871" w:rsidRPr="00FC562C" w:rsidRDefault="00C91871" w:rsidP="00C91871">
      <w:pPr>
        <w:pStyle w:val="ListParagraph"/>
        <w:numPr>
          <w:ilvl w:val="0"/>
          <w:numId w:val="4"/>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That new tribunals, each with a legally qualified chair, should investigate serious disciplinary matters.</w:t>
      </w:r>
    </w:p>
    <w:p w14:paraId="6646D624"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Peter Clarke continually prioritised listening to the views of children and young people and ensured that their voices were heard and responded to (Children’s Commissioner for Wales, 2007). </w:t>
      </w:r>
    </w:p>
    <w:p w14:paraId="46921F16"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Keith </w:t>
      </w:r>
      <w:proofErr w:type="spellStart"/>
      <w:r w:rsidRPr="00FC562C">
        <w:rPr>
          <w:rFonts w:ascii="Times New Roman" w:eastAsia="Times New Roman" w:hAnsi="Times New Roman" w:cs="Times New Roman"/>
          <w:sz w:val="24"/>
          <w:szCs w:val="24"/>
          <w:lang w:eastAsia="en-GB"/>
        </w:rPr>
        <w:t>Towler</w:t>
      </w:r>
      <w:proofErr w:type="spellEnd"/>
      <w:r w:rsidRPr="00FC562C">
        <w:rPr>
          <w:rFonts w:ascii="Times New Roman" w:eastAsia="Times New Roman" w:hAnsi="Times New Roman" w:cs="Times New Roman"/>
          <w:sz w:val="24"/>
          <w:szCs w:val="24"/>
          <w:lang w:eastAsia="en-GB"/>
        </w:rPr>
        <w:t xml:space="preserve"> took over as the Children’s Commissioner for Wales after the death of Peter Clarke in 2008. He was the Commissioner for Wales until 2015. During this time, he published </w:t>
      </w:r>
      <w:proofErr w:type="gramStart"/>
      <w:r w:rsidRPr="00FC562C">
        <w:rPr>
          <w:rFonts w:ascii="Times New Roman" w:eastAsia="Times New Roman" w:hAnsi="Times New Roman" w:cs="Times New Roman"/>
          <w:sz w:val="24"/>
          <w:szCs w:val="24"/>
          <w:lang w:eastAsia="en-GB"/>
        </w:rPr>
        <w:t>a number of</w:t>
      </w:r>
      <w:proofErr w:type="gramEnd"/>
      <w:r w:rsidRPr="00FC562C">
        <w:rPr>
          <w:rFonts w:ascii="Times New Roman" w:eastAsia="Times New Roman" w:hAnsi="Times New Roman" w:cs="Times New Roman"/>
          <w:sz w:val="24"/>
          <w:szCs w:val="24"/>
          <w:lang w:eastAsia="en-GB"/>
        </w:rPr>
        <w:t xml:space="preserve"> reports including those on advocacy, child protection, play, child trafficking, young carers, children and young people with disabilities and looked after children (Welsh Government, no </w:t>
      </w:r>
      <w:proofErr w:type="spellStart"/>
      <w:r w:rsidRPr="00FC562C">
        <w:rPr>
          <w:rFonts w:ascii="Times New Roman" w:eastAsia="Times New Roman" w:hAnsi="Times New Roman" w:cs="Times New Roman"/>
          <w:sz w:val="24"/>
          <w:szCs w:val="24"/>
          <w:lang w:eastAsia="en-GB"/>
        </w:rPr>
        <w:t>dateB</w:t>
      </w:r>
      <w:proofErr w:type="spellEnd"/>
      <w:r w:rsidRPr="00FC562C">
        <w:rPr>
          <w:rFonts w:ascii="Times New Roman" w:eastAsia="Times New Roman" w:hAnsi="Times New Roman" w:cs="Times New Roman"/>
          <w:sz w:val="24"/>
          <w:szCs w:val="24"/>
          <w:lang w:eastAsia="en-GB"/>
        </w:rPr>
        <w:t xml:space="preserve">). Keith </w:t>
      </w:r>
      <w:proofErr w:type="spellStart"/>
      <w:r w:rsidRPr="00FC562C">
        <w:rPr>
          <w:rFonts w:ascii="Times New Roman" w:eastAsia="Times New Roman" w:hAnsi="Times New Roman" w:cs="Times New Roman"/>
          <w:sz w:val="24"/>
          <w:szCs w:val="24"/>
          <w:lang w:eastAsia="en-GB"/>
        </w:rPr>
        <w:t>Towler</w:t>
      </w:r>
      <w:proofErr w:type="spellEnd"/>
      <w:r w:rsidRPr="00FC562C">
        <w:rPr>
          <w:rFonts w:ascii="Times New Roman" w:eastAsia="Times New Roman" w:hAnsi="Times New Roman" w:cs="Times New Roman"/>
          <w:sz w:val="24"/>
          <w:szCs w:val="24"/>
          <w:lang w:eastAsia="en-GB"/>
        </w:rPr>
        <w:t xml:space="preserve"> took a lead role in helping to draft the General Comment on Article 31 – the right to relax, play and take part in a wide range of cultural and artistic activities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Welsh Government, no </w:t>
      </w:r>
      <w:proofErr w:type="spellStart"/>
      <w:r w:rsidRPr="00FC562C">
        <w:rPr>
          <w:rFonts w:ascii="Times New Roman" w:eastAsia="Times New Roman" w:hAnsi="Times New Roman" w:cs="Times New Roman"/>
          <w:sz w:val="24"/>
          <w:szCs w:val="24"/>
          <w:lang w:eastAsia="en-GB"/>
        </w:rPr>
        <w:t>dateB</w:t>
      </w:r>
      <w:proofErr w:type="spellEnd"/>
      <w:r w:rsidRPr="00FC562C">
        <w:rPr>
          <w:rFonts w:ascii="Times New Roman" w:eastAsia="Times New Roman" w:hAnsi="Times New Roman" w:cs="Times New Roman"/>
          <w:sz w:val="24"/>
          <w:szCs w:val="24"/>
          <w:lang w:eastAsia="en-GB"/>
        </w:rPr>
        <w:t xml:space="preserve">). Article 31 has led the way for the Welsh Assembly Government Play Policy (2002) and the importance of play for children, recognising that children learn through play and how it is essential for children’s growth in cognitive, physical, </w:t>
      </w:r>
      <w:proofErr w:type="gramStart"/>
      <w:r w:rsidRPr="00FC562C">
        <w:rPr>
          <w:rFonts w:ascii="Times New Roman" w:eastAsia="Times New Roman" w:hAnsi="Times New Roman" w:cs="Times New Roman"/>
          <w:sz w:val="24"/>
          <w:szCs w:val="24"/>
          <w:lang w:eastAsia="en-GB"/>
        </w:rPr>
        <w:t>social</w:t>
      </w:r>
      <w:proofErr w:type="gramEnd"/>
      <w:r w:rsidRPr="00FC562C">
        <w:rPr>
          <w:rFonts w:ascii="Times New Roman" w:eastAsia="Times New Roman" w:hAnsi="Times New Roman" w:cs="Times New Roman"/>
          <w:sz w:val="24"/>
          <w:szCs w:val="24"/>
          <w:lang w:eastAsia="en-GB"/>
        </w:rPr>
        <w:t xml:space="preserve"> and emotional development (Welsh Government, 2018). The Welsh Government were the first government in the world to advocate for children’s play, emphasising the importance of play in children’s lives and the advantages it provides to their health, happiness, and well-being (Welsh Government, 2014).</w:t>
      </w:r>
    </w:p>
    <w:p w14:paraId="6EBF5A11"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Sally Holland is the third and current Children’s Commissioner for Wales and has been since April 2015. It has been her role to highlight why children’s rights are so important, ensuring that public bodies in Wales, including the Welsh Government, follow the UNCRC and look at how the decisions are made (Children’s Commissioner for Wales, 2022b; Education Workforce Council, no date), this is done by following two laws that set out the rules stating how work can be carried out and enables the Commissioner certain powers, these are the Care Standards Act 2000 and the Children’s Commissioner for Wales Act 2001 (Children’s Commissioner for Wales, 2021). Sally Holland campaigned for a change in the law to join more than 60 other nations across the world which have outlawed the use of physical punishment towards children (Welsh Government, 2022c, Welsh Government,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Children’s Commissioner for Wales, 2022c). Children’s rights have been prioritised by the Welsh Government and members of the Senedd by passing this legislation, now children in Wales have the legal right to be protected from all forms of violence, in accordance with article 19 of the UNCRC – the right to protection from all forms of violence (Welsh Government, 2020a; Welsh Government, </w:t>
      </w:r>
      <w:r w:rsidRPr="00FC562C">
        <w:rPr>
          <w:rFonts w:ascii="Times New Roman" w:eastAsia="Times New Roman" w:hAnsi="Times New Roman" w:cs="Times New Roman"/>
          <w:sz w:val="24"/>
          <w:szCs w:val="24"/>
          <w:lang w:eastAsia="en-GB"/>
        </w:rPr>
        <w:lastRenderedPageBreak/>
        <w:t xml:space="preserve">2022c; Welsh Government,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Sally Holland also started ‘The Right Way’ (Children’s Commissioner for Wales, 2022d) in Wales, which is a Children’s Rights Approach framework for working with children, it is based on the UNCRC and is designed to assist public bodies in incorporating children’s rights into every element of decision-making, </w:t>
      </w:r>
      <w:proofErr w:type="gramStart"/>
      <w:r w:rsidRPr="00FC562C">
        <w:rPr>
          <w:rFonts w:ascii="Times New Roman" w:eastAsia="Times New Roman" w:hAnsi="Times New Roman" w:cs="Times New Roman"/>
          <w:sz w:val="24"/>
          <w:szCs w:val="24"/>
          <w:lang w:eastAsia="en-GB"/>
        </w:rPr>
        <w:t>policy</w:t>
      </w:r>
      <w:proofErr w:type="gramEnd"/>
      <w:r w:rsidRPr="00FC562C">
        <w:rPr>
          <w:rFonts w:ascii="Times New Roman" w:eastAsia="Times New Roman" w:hAnsi="Times New Roman" w:cs="Times New Roman"/>
          <w:sz w:val="24"/>
          <w:szCs w:val="24"/>
          <w:lang w:eastAsia="en-GB"/>
        </w:rPr>
        <w:t xml:space="preserve"> and practice. The principles of a Children’s Rights Approach (Children’s Commissioner for Wales, 2022d) are: </w:t>
      </w:r>
    </w:p>
    <w:p w14:paraId="3DEF3E87" w14:textId="77777777" w:rsidR="00C91871" w:rsidRPr="00FC562C" w:rsidRDefault="00C91871" w:rsidP="00C91871">
      <w:pPr>
        <w:pStyle w:val="ListParagraph"/>
        <w:numPr>
          <w:ilvl w:val="0"/>
          <w:numId w:val="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Embedding children’s rights – ensuring that children’s rights are at the forefront of planning and delivery.</w:t>
      </w:r>
    </w:p>
    <w:p w14:paraId="1E3EA0BB" w14:textId="77777777" w:rsidR="00C91871" w:rsidRPr="00FC562C" w:rsidRDefault="00C91871" w:rsidP="00C91871">
      <w:pPr>
        <w:pStyle w:val="ListParagraph"/>
        <w:numPr>
          <w:ilvl w:val="0"/>
          <w:numId w:val="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Equality and non-discrimination – ensuring that all children have </w:t>
      </w:r>
      <w:proofErr w:type="spellStart"/>
      <w:proofErr w:type="gramStart"/>
      <w:r w:rsidRPr="00FC562C">
        <w:rPr>
          <w:rFonts w:ascii="Times New Roman" w:eastAsia="Times New Roman" w:hAnsi="Times New Roman" w:cs="Times New Roman"/>
          <w:sz w:val="24"/>
          <w:szCs w:val="24"/>
          <w:lang w:eastAsia="en-GB"/>
        </w:rPr>
        <w:t>a</w:t>
      </w:r>
      <w:proofErr w:type="spellEnd"/>
      <w:proofErr w:type="gramEnd"/>
      <w:r w:rsidRPr="00FC562C">
        <w:rPr>
          <w:rFonts w:ascii="Times New Roman" w:eastAsia="Times New Roman" w:hAnsi="Times New Roman" w:cs="Times New Roman"/>
          <w:sz w:val="24"/>
          <w:szCs w:val="24"/>
          <w:lang w:eastAsia="en-GB"/>
        </w:rPr>
        <w:t xml:space="preserve"> equal chance to achieve their full potential.</w:t>
      </w:r>
    </w:p>
    <w:p w14:paraId="63A8D7AF" w14:textId="77777777" w:rsidR="00C91871" w:rsidRPr="00FC562C" w:rsidRDefault="00C91871" w:rsidP="00C91871">
      <w:pPr>
        <w:pStyle w:val="ListParagraph"/>
        <w:numPr>
          <w:ilvl w:val="0"/>
          <w:numId w:val="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Empowering children – strengthening children’s individual skills so that they are better able to exercise their rights, engage with, and hold responsible the organisations and people that have an impact of their life.</w:t>
      </w:r>
    </w:p>
    <w:p w14:paraId="5F6745CA" w14:textId="77777777" w:rsidR="00C91871" w:rsidRPr="00FC562C" w:rsidRDefault="00C91871" w:rsidP="00C91871">
      <w:pPr>
        <w:pStyle w:val="ListParagraph"/>
        <w:numPr>
          <w:ilvl w:val="0"/>
          <w:numId w:val="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Participation – listening to children and taking their opinions into consideration.</w:t>
      </w:r>
    </w:p>
    <w:p w14:paraId="17ED41D5" w14:textId="77777777" w:rsidR="00C91871" w:rsidRPr="00FC562C" w:rsidRDefault="00C91871" w:rsidP="00C91871">
      <w:pPr>
        <w:pStyle w:val="ListParagraph"/>
        <w:numPr>
          <w:ilvl w:val="0"/>
          <w:numId w:val="5"/>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Accountability - authorities should be held responsible for decisions and actions that have an impact on children's life.</w:t>
      </w:r>
    </w:p>
    <w:p w14:paraId="04034DFE"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By organisations following ‘The Right Way’ approach (Children’s Commissioner for Wales, 2022d) it will allow public bodies to meet their statutory obligations and contribute to enabling more children and young people to be involved in public services – leading to better decision making. It will also ensure a strong focus on the unique needs of children whose voices can be lost or silenced, and it will help to build an environment where public services are accountable to </w:t>
      </w:r>
      <w:proofErr w:type="gramStart"/>
      <w:r w:rsidRPr="00FC562C">
        <w:rPr>
          <w:rFonts w:ascii="Times New Roman" w:eastAsia="Times New Roman" w:hAnsi="Times New Roman" w:cs="Times New Roman"/>
          <w:sz w:val="24"/>
          <w:szCs w:val="24"/>
          <w:lang w:eastAsia="en-GB"/>
        </w:rPr>
        <w:t>all of</w:t>
      </w:r>
      <w:proofErr w:type="gramEnd"/>
      <w:r w:rsidRPr="00FC562C">
        <w:rPr>
          <w:rFonts w:ascii="Times New Roman" w:eastAsia="Times New Roman" w:hAnsi="Times New Roman" w:cs="Times New Roman"/>
          <w:sz w:val="24"/>
          <w:szCs w:val="24"/>
          <w:lang w:eastAsia="en-GB"/>
        </w:rPr>
        <w:t xml:space="preserve"> its service users. </w:t>
      </w:r>
    </w:p>
    <w:p w14:paraId="0DD3B2F0"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Many schools sign up for a Rights Respecting Schools Award (RRSA), which is an initiative run by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dateB</w:t>
      </w:r>
      <w:proofErr w:type="spellEnd"/>
      <w:r w:rsidRPr="00FC562C">
        <w:rPr>
          <w:rFonts w:ascii="Times New Roman" w:eastAsia="Times New Roman" w:hAnsi="Times New Roman" w:cs="Times New Roman"/>
          <w:sz w:val="24"/>
          <w:szCs w:val="24"/>
          <w:lang w:eastAsia="en-GB"/>
        </w:rPr>
        <w:t>). The RRSA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no date B) instils the UNCRC’s values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dateA</w:t>
      </w:r>
      <w:proofErr w:type="spellEnd"/>
      <w:r w:rsidRPr="00FC562C">
        <w:rPr>
          <w:rFonts w:ascii="Times New Roman" w:eastAsia="Times New Roman" w:hAnsi="Times New Roman" w:cs="Times New Roman"/>
          <w:sz w:val="24"/>
          <w:szCs w:val="24"/>
          <w:lang w:eastAsia="en-GB"/>
        </w:rPr>
        <w:t xml:space="preserve">) in daily school life, ensuring that children have the best opportunity of living happy, healthy lives and becoming responsible, informed citizens. There are over 5,000 schools across the UK that are already involved in the Rights Respecting Schools Award, resulting in around 1.6 million children becoming increasingly aware of their rights (Robinson, 2022;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dateC</w:t>
      </w:r>
      <w:proofErr w:type="spellEnd"/>
      <w:r w:rsidRPr="00FC562C">
        <w:rPr>
          <w:rFonts w:ascii="Times New Roman" w:eastAsia="Times New Roman" w:hAnsi="Times New Roman" w:cs="Times New Roman"/>
          <w:sz w:val="24"/>
          <w:szCs w:val="24"/>
          <w:lang w:eastAsia="en-GB"/>
        </w:rPr>
        <w:t>). According to research, children in schools working toward this award have the confidence to speak out when their rights are violated. As a result, safeguarding concerns have been detected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dateC</w:t>
      </w:r>
      <w:proofErr w:type="spellEnd"/>
      <w:r w:rsidRPr="00FC562C">
        <w:rPr>
          <w:rFonts w:ascii="Times New Roman" w:eastAsia="Times New Roman" w:hAnsi="Times New Roman" w:cs="Times New Roman"/>
          <w:sz w:val="24"/>
          <w:szCs w:val="24"/>
          <w:lang w:eastAsia="en-GB"/>
        </w:rPr>
        <w:t xml:space="preserve">). However, as stated by Robinson (2020) a professor of Children’s Rights, who researched into the impact of the RRSA, not all children attend schools where the award is on offer and even when they do, there is a lack of emphasis placed on ensuring that all children are not just aware of their rights and know how to apply them, but to </w:t>
      </w:r>
      <w:r w:rsidRPr="00FC562C">
        <w:rPr>
          <w:rFonts w:ascii="Times New Roman" w:eastAsia="Times New Roman" w:hAnsi="Times New Roman" w:cs="Times New Roman"/>
          <w:sz w:val="24"/>
          <w:szCs w:val="24"/>
          <w:lang w:eastAsia="en-GB"/>
        </w:rPr>
        <w:lastRenderedPageBreak/>
        <w:t>also have the knowledge and confidence to respond and seek help when those rights are violated. As of February 2022, there are 1,292 schools that have a silver award for rights aware accreditations and 643 schools that have a gold award for Rights Respecting accreditations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xml:space="preserve">, no </w:t>
      </w:r>
      <w:proofErr w:type="spellStart"/>
      <w:r w:rsidRPr="00FC562C">
        <w:rPr>
          <w:rFonts w:ascii="Times New Roman" w:eastAsia="Times New Roman" w:hAnsi="Times New Roman" w:cs="Times New Roman"/>
          <w:sz w:val="24"/>
          <w:szCs w:val="24"/>
          <w:lang w:eastAsia="en-GB"/>
        </w:rPr>
        <w:t>dateC</w:t>
      </w:r>
      <w:proofErr w:type="spellEnd"/>
      <w:r w:rsidRPr="00FC562C">
        <w:rPr>
          <w:rFonts w:ascii="Times New Roman" w:eastAsia="Times New Roman" w:hAnsi="Times New Roman" w:cs="Times New Roman"/>
          <w:sz w:val="24"/>
          <w:szCs w:val="24"/>
          <w:lang w:eastAsia="en-GB"/>
        </w:rPr>
        <w:t xml:space="preserve">). Children’s Society (2022a) campaigned to help protect children from abuse, by teaching everyone to learn the signs of exploitation and how to report it, supporting article 19 of the UNCRC – protection from violence, </w:t>
      </w:r>
      <w:proofErr w:type="gramStart"/>
      <w:r w:rsidRPr="00FC562C">
        <w:rPr>
          <w:rFonts w:ascii="Times New Roman" w:eastAsia="Times New Roman" w:hAnsi="Times New Roman" w:cs="Times New Roman"/>
          <w:sz w:val="24"/>
          <w:szCs w:val="24"/>
          <w:lang w:eastAsia="en-GB"/>
        </w:rPr>
        <w:t>abuse</w:t>
      </w:r>
      <w:proofErr w:type="gramEnd"/>
      <w:r w:rsidRPr="00FC562C">
        <w:rPr>
          <w:rFonts w:ascii="Times New Roman" w:eastAsia="Times New Roman" w:hAnsi="Times New Roman" w:cs="Times New Roman"/>
          <w:sz w:val="24"/>
          <w:szCs w:val="24"/>
          <w:lang w:eastAsia="en-GB"/>
        </w:rPr>
        <w:t xml:space="preserve"> and neglect (</w:t>
      </w:r>
      <w:proofErr w:type="spellStart"/>
      <w:r w:rsidRPr="00FC562C">
        <w:rPr>
          <w:rFonts w:ascii="Times New Roman" w:eastAsia="Times New Roman" w:hAnsi="Times New Roman" w:cs="Times New Roman"/>
          <w:sz w:val="24"/>
          <w:szCs w:val="24"/>
          <w:lang w:eastAsia="en-GB"/>
        </w:rPr>
        <w:t>Unicef</w:t>
      </w:r>
      <w:proofErr w:type="spellEnd"/>
      <w:r w:rsidRPr="00FC562C">
        <w:rPr>
          <w:rFonts w:ascii="Times New Roman" w:eastAsia="Times New Roman" w:hAnsi="Times New Roman" w:cs="Times New Roman"/>
          <w:sz w:val="24"/>
          <w:szCs w:val="24"/>
          <w:lang w:eastAsia="en-GB"/>
        </w:rPr>
        <w:t>, no date)</w:t>
      </w:r>
      <w:r>
        <w:rPr>
          <w:rFonts w:ascii="Times New Roman" w:eastAsia="Times New Roman" w:hAnsi="Times New Roman" w:cs="Times New Roman"/>
          <w:sz w:val="24"/>
          <w:szCs w:val="24"/>
          <w:lang w:eastAsia="en-GB"/>
        </w:rPr>
        <w:t>.</w:t>
      </w:r>
    </w:p>
    <w:p w14:paraId="0D84545E" w14:textId="77777777" w:rsidR="00C91871" w:rsidRPr="00FC562C" w:rsidRDefault="00C91871" w:rsidP="00C91871">
      <w:pPr>
        <w:spacing w:after="0" w:line="360" w:lineRule="auto"/>
        <w:jc w:val="both"/>
        <w:rPr>
          <w:rFonts w:ascii="Times New Roman" w:hAnsi="Times New Roman" w:cs="Times New Roman"/>
          <w:sz w:val="24"/>
          <w:szCs w:val="24"/>
        </w:rPr>
      </w:pPr>
    </w:p>
    <w:p w14:paraId="28A54FF3"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3.</w:t>
      </w:r>
    </w:p>
    <w:p w14:paraId="68F8E0C9"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A social problem is an issue that has been recognised by society as a problem that makes it difficult for people to reach their full potential. A child’s social and economic circumstances can influence and affect them (</w:t>
      </w:r>
      <w:proofErr w:type="spellStart"/>
      <w:r w:rsidRPr="00FC562C">
        <w:rPr>
          <w:rFonts w:ascii="Times New Roman" w:eastAsia="Times New Roman" w:hAnsi="Times New Roman" w:cs="Times New Roman"/>
          <w:sz w:val="24"/>
          <w:szCs w:val="24"/>
          <w:lang w:eastAsia="en-GB"/>
        </w:rPr>
        <w:t>Glicken</w:t>
      </w:r>
      <w:proofErr w:type="spellEnd"/>
      <w:r w:rsidRPr="00FC562C">
        <w:rPr>
          <w:rFonts w:ascii="Times New Roman" w:eastAsia="Times New Roman" w:hAnsi="Times New Roman" w:cs="Times New Roman"/>
          <w:sz w:val="24"/>
          <w:szCs w:val="24"/>
          <w:lang w:eastAsia="en-GB"/>
        </w:rPr>
        <w:t>, 2007; Kelly, 2017). One of these issues is poverty. Poverty is defined by the Joseph Rowntree Foundation (no date) and the Child Poverty Action Group (2022) as having fewer resources than your basic requirements, which include nutrition, activities, living conditions, and services that are typical in the cultures in which people live. Joseph Rowntree Foundation (no date) states that poverty impacts millions of people in the UK; it means not being able to</w:t>
      </w:r>
      <w:r>
        <w:rPr>
          <w:rFonts w:ascii="Times New Roman" w:eastAsia="Times New Roman" w:hAnsi="Times New Roman" w:cs="Times New Roman"/>
          <w:sz w:val="24"/>
          <w:szCs w:val="24"/>
          <w:lang w:eastAsia="en-GB"/>
        </w:rPr>
        <w:t xml:space="preserve"> afford to</w:t>
      </w:r>
      <w:r w:rsidRPr="00FC562C">
        <w:rPr>
          <w:rFonts w:ascii="Times New Roman" w:eastAsia="Times New Roman" w:hAnsi="Times New Roman" w:cs="Times New Roman"/>
          <w:sz w:val="24"/>
          <w:szCs w:val="24"/>
          <w:lang w:eastAsia="en-GB"/>
        </w:rPr>
        <w:t xml:space="preserve"> heat your home, pay your </w:t>
      </w:r>
      <w:r>
        <w:rPr>
          <w:rFonts w:ascii="Times New Roman" w:eastAsia="Times New Roman" w:hAnsi="Times New Roman" w:cs="Times New Roman"/>
          <w:sz w:val="24"/>
          <w:szCs w:val="24"/>
          <w:lang w:eastAsia="en-GB"/>
        </w:rPr>
        <w:t>bills</w:t>
      </w:r>
      <w:r w:rsidRPr="00FC562C">
        <w:rPr>
          <w:rFonts w:ascii="Times New Roman" w:eastAsia="Times New Roman" w:hAnsi="Times New Roman" w:cs="Times New Roman"/>
          <w:sz w:val="24"/>
          <w:szCs w:val="24"/>
          <w:lang w:eastAsia="en-GB"/>
        </w:rPr>
        <w:t xml:space="preserve">, or provide for your children’s basic needs. According to a Welsh Government national statistics report (2021d) the findings were that 31% of children in Wales were living in socio-economic disadvantage from 2017 – 2020. Across the UK, children are consistently the age group most likely to live in relative income poverty, with 30% of children in England between 2017-2020 and 24% in Scotland and Northern Ireland.  In the UK, a person's capacity to access and enjoy the human rights that are available to them may be harmed by socio-economic poverty, such as the </w:t>
      </w:r>
      <w:r w:rsidRPr="00FC562C">
        <w:rPr>
          <w:rFonts w:ascii="Times New Roman" w:eastAsia="Times New Roman" w:hAnsi="Times New Roman" w:cs="Times New Roman"/>
          <w:i/>
          <w:iCs/>
          <w:sz w:val="24"/>
          <w:szCs w:val="24"/>
          <w:lang w:eastAsia="en-GB"/>
        </w:rPr>
        <w:t>Human Rights Act 1998</w:t>
      </w:r>
      <w:r w:rsidRPr="00FC562C">
        <w:rPr>
          <w:rFonts w:ascii="Times New Roman" w:eastAsia="Times New Roman" w:hAnsi="Times New Roman" w:cs="Times New Roman"/>
          <w:sz w:val="24"/>
          <w:szCs w:val="24"/>
          <w:lang w:eastAsia="en-GB"/>
        </w:rPr>
        <w:t xml:space="preserve">, retained EU law and international human rights law, such as the UNCRC, cited by Welsh Government (2021c). The Welsh Government (2021c) also reports that according to studies evaluated by the Centre for Research in Early Childhood (CREC), parents' socioeconomic position remains the leading predictor of whether children thrive in adult life. The report estimates that half the attainment gaps for pupils already exist at the start of primary school and such disadvantage can result in long term inequalities in education, health, life satisfaction, security, and engagement in society. The Children’s Society (2022) indicates that children who are in receipt of free school meals are less likely to get A – C grades at GCSE than wealthier peers, supported by Molloy (2019). </w:t>
      </w:r>
    </w:p>
    <w:p w14:paraId="2ED4721C"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Early language issues affect between 5% and 8% of all children in the United Kingdom, and over 20% of children growing up in low-income households. The high rate among </w:t>
      </w:r>
      <w:r w:rsidRPr="00FC562C">
        <w:rPr>
          <w:rFonts w:ascii="Times New Roman" w:eastAsia="Times New Roman" w:hAnsi="Times New Roman" w:cs="Times New Roman"/>
          <w:sz w:val="24"/>
          <w:szCs w:val="24"/>
          <w:lang w:eastAsia="en-GB"/>
        </w:rPr>
        <w:lastRenderedPageBreak/>
        <w:t xml:space="preserve">disadvantaged children is likely to contribute to the achievement gap that exists when children first join school and persists until they leave (Law, Charlton and </w:t>
      </w:r>
      <w:proofErr w:type="spellStart"/>
      <w:r w:rsidRPr="00FC562C">
        <w:rPr>
          <w:rFonts w:ascii="Times New Roman" w:eastAsia="Times New Roman" w:hAnsi="Times New Roman" w:cs="Times New Roman"/>
          <w:sz w:val="24"/>
          <w:szCs w:val="24"/>
          <w:lang w:eastAsia="en-GB"/>
        </w:rPr>
        <w:t>Asmussen</w:t>
      </w:r>
      <w:proofErr w:type="spellEnd"/>
      <w:r w:rsidRPr="00FC562C">
        <w:rPr>
          <w:rFonts w:ascii="Times New Roman" w:eastAsia="Times New Roman" w:hAnsi="Times New Roman" w:cs="Times New Roman"/>
          <w:sz w:val="24"/>
          <w:szCs w:val="24"/>
          <w:lang w:eastAsia="en-GB"/>
        </w:rPr>
        <w:t>, 2017).</w:t>
      </w:r>
    </w:p>
    <w:p w14:paraId="272A7603"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p>
    <w:p w14:paraId="22FE22C4"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Early Intervention Foundation (EIF) (2022) explain early intervention as identifying and providing effective support to those who are at risk of poor outcomes, by working to prevent problems occurring or tackling them before they get worse, helping a child to prepare for adult life. Targeted selected interventions are offered to families who may be on a low income (EIF, 2022) as children from poorer backgrounds may not have the same opportunities as children their own age (Children’s Society, 2022b). The impact of poverty on children's development can be significantly reduced when early intervention is sufficiently intensive and reaches the families who need it most (Molloy, 2019).</w:t>
      </w:r>
    </w:p>
    <w:p w14:paraId="0A886C3C"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The Child Poverty Strategy (Welsh Government, 2020b) outlines initiatives for addressing child poverty, this involves supporting families and communities through early intervention and prevention programmes such as Flying Start and Families First, which will strengthen the Early Childhood Care and Education system, enhancing employment, and supporting the Welsh Living Wage. However, according to Molloy (2019) many of the short-term improvements made possible by effective early interventions are lost when children are exposed to poverty for long periods of time.</w:t>
      </w:r>
    </w:p>
    <w:p w14:paraId="2EACE1A9"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Flying Start is a Welsh Government funded programme available to targeted areas supporting all families to give 0–3-year-olds the best start, by providing them with intensive support services, promoting language, cognitive, </w:t>
      </w:r>
      <w:proofErr w:type="gramStart"/>
      <w:r w:rsidRPr="00FC562C">
        <w:rPr>
          <w:rFonts w:ascii="Times New Roman" w:eastAsia="Times New Roman" w:hAnsi="Times New Roman" w:cs="Times New Roman"/>
          <w:sz w:val="24"/>
          <w:szCs w:val="24"/>
          <w:lang w:eastAsia="en-GB"/>
        </w:rPr>
        <w:t>social</w:t>
      </w:r>
      <w:proofErr w:type="gramEnd"/>
      <w:r w:rsidRPr="00FC562C">
        <w:rPr>
          <w:rFonts w:ascii="Times New Roman" w:eastAsia="Times New Roman" w:hAnsi="Times New Roman" w:cs="Times New Roman"/>
          <w:sz w:val="24"/>
          <w:szCs w:val="24"/>
          <w:lang w:eastAsia="en-GB"/>
        </w:rPr>
        <w:t xml:space="preserve"> and emotional skills, physical development and the early identification of additional needs (Welsh Government, 2021f; Caerphilly County Borough Council, 2022; We Care Wales, 2022).</w:t>
      </w:r>
    </w:p>
    <w:p w14:paraId="3959DC26"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A report written by Feinstein (2015) relating to early intervention states that early intervention is a priority in Wales and Flying Start strives to enhance children’s outcomes in some of Wales most disadvantaged areas, it provides four entitlements to children and their families, these include: </w:t>
      </w:r>
    </w:p>
    <w:p w14:paraId="475F69C8" w14:textId="77777777" w:rsidR="00C91871" w:rsidRPr="00FC562C" w:rsidRDefault="00C91871" w:rsidP="00C91871">
      <w:pPr>
        <w:pStyle w:val="ListParagraph"/>
        <w:numPr>
          <w:ilvl w:val="0"/>
          <w:numId w:val="6"/>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Enhanced health visiting – where families are visited at home by the health visitor from Flying Start (Welsh Government, 2017a). According to Molloy (2019), there is significant and consistent evidence that individualised home visiting support provided throughout the first few years of a child's life may dramatically minimise the learning gaps that are commonly linked with low family income.</w:t>
      </w:r>
    </w:p>
    <w:p w14:paraId="3269FE8A" w14:textId="77777777" w:rsidR="00C91871" w:rsidRPr="00FC562C" w:rsidRDefault="00C91871" w:rsidP="00C91871">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lastRenderedPageBreak/>
        <w:t>Parenting support – Every family with a child in a Flying Start must have services that are available in their community to help support them in their parenting role offered to them, with particular emphasis on families that are high-need (Welsh Government, 2017b). However, because there is typically a stigma associated with being encouraged to attend parenting classes, the Welsh Government (2017b) has said that all parents in the flying start programme would get a universal offer of parenting support, reducing the stigma.</w:t>
      </w:r>
    </w:p>
    <w:p w14:paraId="2756C8A7" w14:textId="77777777" w:rsidR="00C91871" w:rsidRPr="00FC562C" w:rsidRDefault="00C91871" w:rsidP="00C91871">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Support for early language development – it is proven that how a child has been listened to and spoken with has a significant impact on their language development; consequently, the more they are spoken to, the greater their potential for language and eventual literacy (Welsh Government, 2017c). Children from low socioeconomic status (SES) backgrounds are nearly twice as likely to experience receptive language delay and five times more likely to experience moderate and severe expressive language delay than children from mid and high SES backgrounds, according to a UK survey of children's language skills (Peers </w:t>
      </w:r>
      <w:r w:rsidRPr="00FC562C">
        <w:rPr>
          <w:rFonts w:ascii="Times New Roman" w:eastAsia="Times New Roman" w:hAnsi="Times New Roman" w:cs="Times New Roman"/>
          <w:i/>
          <w:iCs/>
          <w:sz w:val="24"/>
          <w:szCs w:val="24"/>
          <w:lang w:eastAsia="en-GB"/>
        </w:rPr>
        <w:t>et al</w:t>
      </w:r>
      <w:r w:rsidRPr="00FC562C">
        <w:rPr>
          <w:rFonts w:ascii="Times New Roman" w:eastAsia="Times New Roman" w:hAnsi="Times New Roman" w:cs="Times New Roman"/>
          <w:sz w:val="24"/>
          <w:szCs w:val="24"/>
          <w:lang w:eastAsia="en-GB"/>
        </w:rPr>
        <w:t>, 2000).</w:t>
      </w:r>
    </w:p>
    <w:p w14:paraId="475C8450" w14:textId="77777777" w:rsidR="00C91871" w:rsidRPr="00FC562C" w:rsidRDefault="00C91871" w:rsidP="00C91871">
      <w:pPr>
        <w:pStyle w:val="ListParagraph"/>
        <w:numPr>
          <w:ilvl w:val="0"/>
          <w:numId w:val="3"/>
        </w:num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Free, high quality, childcare for 2–3-year-olds – Flying Start offer 12 and a half hours of free, high quality, childcare for 39 weeks of the year, also allowing for 15 sessions of flexible childcare provided for the child during the school holidays. By Flying Start providing this quality childcare it contributes to the development of social skills, as well as the capability to play and concentrate (Welsh Government, 2014). </w:t>
      </w:r>
    </w:p>
    <w:p w14:paraId="434CBC24" w14:textId="77777777" w:rsidR="00C91871" w:rsidRPr="00FC562C" w:rsidRDefault="00C91871" w:rsidP="00C91871">
      <w:pPr>
        <w:pStyle w:val="ListParagraph"/>
        <w:spacing w:after="0" w:line="360" w:lineRule="auto"/>
        <w:ind w:left="783"/>
        <w:jc w:val="both"/>
        <w:rPr>
          <w:rFonts w:ascii="Times New Roman" w:eastAsia="Times New Roman" w:hAnsi="Times New Roman" w:cs="Times New Roman"/>
          <w:sz w:val="24"/>
          <w:szCs w:val="24"/>
          <w:lang w:eastAsia="en-GB"/>
        </w:rPr>
      </w:pPr>
    </w:p>
    <w:p w14:paraId="71DA8B10"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However, it has been reported by Feinstein, 2015 that Flying Start are failing to reach nearly two-thirds of the poorest children, because they live outside the designated geographical areas, set by the Welsh Government. This has resulted in 22,000 children who live in poverty not being eligible for the Welsh Government’ Flying Start programme (BBC News, 2018a; BBC News, 2018b; BBC News, 2020; Swansea Council, 2021). This evidence is also supported by the Children’s Commissioner for Wales (2022e) stating that recent research has found 44% of children from disadvantaged backgrounds live outside of the Flying Start catchment.</w:t>
      </w:r>
    </w:p>
    <w:p w14:paraId="6815EAC8" w14:textId="77777777" w:rsidR="00C91871" w:rsidRPr="00FC562C" w:rsidRDefault="00C91871" w:rsidP="00C91871">
      <w:pPr>
        <w:spacing w:after="0" w:line="360" w:lineRule="auto"/>
        <w:jc w:val="both"/>
        <w:rPr>
          <w:rFonts w:ascii="Times New Roman" w:eastAsia="Times New Roman" w:hAnsi="Times New Roman" w:cs="Times New Roman"/>
          <w:sz w:val="24"/>
          <w:szCs w:val="24"/>
          <w:lang w:eastAsia="en-GB"/>
        </w:rPr>
      </w:pPr>
      <w:r w:rsidRPr="00FC562C">
        <w:rPr>
          <w:rFonts w:ascii="Times New Roman" w:eastAsia="Times New Roman" w:hAnsi="Times New Roman" w:cs="Times New Roman"/>
          <w:sz w:val="24"/>
          <w:szCs w:val="24"/>
          <w:lang w:eastAsia="en-GB"/>
        </w:rPr>
        <w:t xml:space="preserve">Molloy (2019) also states that evidence suggests that early intervention services will be more effective when they are combined with measures that reduce poverty, such as, supporting parents access to work, </w:t>
      </w:r>
      <w:proofErr w:type="gramStart"/>
      <w:r w:rsidRPr="00FC562C">
        <w:rPr>
          <w:rFonts w:ascii="Times New Roman" w:eastAsia="Times New Roman" w:hAnsi="Times New Roman" w:cs="Times New Roman"/>
          <w:sz w:val="24"/>
          <w:szCs w:val="24"/>
          <w:lang w:eastAsia="en-GB"/>
        </w:rPr>
        <w:t>training</w:t>
      </w:r>
      <w:proofErr w:type="gramEnd"/>
      <w:r w:rsidRPr="00FC562C">
        <w:rPr>
          <w:rFonts w:ascii="Times New Roman" w:eastAsia="Times New Roman" w:hAnsi="Times New Roman" w:cs="Times New Roman"/>
          <w:sz w:val="24"/>
          <w:szCs w:val="24"/>
          <w:lang w:eastAsia="en-GB"/>
        </w:rPr>
        <w:t xml:space="preserve"> and improved community resources. Nevertheless, three quarters of children in poverty are living in households where at least one adult is working (</w:t>
      </w:r>
      <w:proofErr w:type="spellStart"/>
      <w:r w:rsidRPr="00FC562C">
        <w:rPr>
          <w:rFonts w:ascii="Times New Roman" w:eastAsia="Times New Roman" w:hAnsi="Times New Roman" w:cs="Times New Roman"/>
          <w:sz w:val="24"/>
          <w:szCs w:val="24"/>
          <w:lang w:eastAsia="en-GB"/>
        </w:rPr>
        <w:t>Goulden</w:t>
      </w:r>
      <w:proofErr w:type="spellEnd"/>
      <w:r w:rsidRPr="00FC562C">
        <w:rPr>
          <w:rFonts w:ascii="Times New Roman" w:eastAsia="Times New Roman" w:hAnsi="Times New Roman" w:cs="Times New Roman"/>
          <w:sz w:val="24"/>
          <w:szCs w:val="24"/>
          <w:lang w:eastAsia="en-GB"/>
        </w:rPr>
        <w:t xml:space="preserve">, 2019). </w:t>
      </w:r>
    </w:p>
    <w:p w14:paraId="01D355FE" w14:textId="77777777" w:rsidR="00EC7EF0" w:rsidRDefault="00EC7EF0"/>
    <w:sectPr w:rsidR="00EC7E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B6053"/>
    <w:multiLevelType w:val="hybridMultilevel"/>
    <w:tmpl w:val="5CB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2D577E"/>
    <w:multiLevelType w:val="hybridMultilevel"/>
    <w:tmpl w:val="77265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E1D19"/>
    <w:multiLevelType w:val="hybridMultilevel"/>
    <w:tmpl w:val="111A589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5B6C7AD2"/>
    <w:multiLevelType w:val="hybridMultilevel"/>
    <w:tmpl w:val="4CE45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E95078"/>
    <w:multiLevelType w:val="hybridMultilevel"/>
    <w:tmpl w:val="9AA07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B96F9D"/>
    <w:multiLevelType w:val="hybridMultilevel"/>
    <w:tmpl w:val="3F7A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871"/>
    <w:rsid w:val="00C91871"/>
    <w:rsid w:val="00EC7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61DF9"/>
  <w15:chartTrackingRefBased/>
  <w15:docId w15:val="{ACFD0AB5-4EB7-45E6-BFE6-990A59598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8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8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4833</Words>
  <Characters>27553</Characters>
  <Application>Microsoft Office Word</Application>
  <DocSecurity>0</DocSecurity>
  <Lines>229</Lines>
  <Paragraphs>64</Paragraphs>
  <ScaleCrop>false</ScaleCrop>
  <Company/>
  <LinksUpToDate>false</LinksUpToDate>
  <CharactersWithSpaces>32322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angelina dicks</dc:creator>
  <cp:keywords/>
  <dc:description/>
  <cp:lastModifiedBy>angelina dicks</cp:lastModifiedBy>
  <cp:revision>1</cp:revision>
  <dcterms:created xsi:type="dcterms:W3CDTF">2022-04-10T20:52:00Z</dcterms:created>
  <dcterms:modified xsi:type="dcterms:W3CDTF">2022-04-10T20:53:00Z</dcterms:modified>
</cp:coreProperties>
</file>