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rPr>
          <w:b/>
          <w:bCs/>
        </w:rPr>
      </w:pPr>
    </w:p>
    <w:p>
      <w:pPr>
        <w:rPr>
          <w:b/>
          <w:bCs/>
        </w:rPr>
      </w:pPr>
    </w:p>
    <w:p>
      <w:pPr>
        <w:rPr>
          <w:b/>
          <w:bCs/>
        </w:rPr>
      </w:pPr>
    </w:p>
    <w:p>
      <w:pPr>
        <w:rPr>
          <w:b/>
          <w:bCs/>
        </w:rPr>
      </w:pPr>
    </w:p>
    <w:p>
      <w:pPr>
        <w:spacing w:line="480" w:lineRule="auto"/>
        <w:jc w:val="center"/>
        <w:rPr>
          <w:b/>
          <w:bCs/>
        </w:rPr>
      </w:pPr>
      <w:r>
        <w:rPr>
          <w:b/>
          <w:bCs/>
        </w:rPr>
        <w:t xml:space="preserve">Programme: </w:t>
      </w:r>
      <w:r>
        <w:t>MSc Public Health and Social Care in Practice</w:t>
      </w:r>
    </w:p>
    <w:p>
      <w:pPr>
        <w:spacing w:line="480" w:lineRule="auto"/>
        <w:jc w:val="center"/>
        <w:rPr>
          <w:lang w:val="en-US"/>
        </w:rPr>
      </w:pPr>
      <w:r>
        <w:rPr>
          <w:b/>
          <w:bCs/>
          <w:lang w:val="en-US"/>
        </w:rPr>
        <w:t>Module: </w:t>
      </w:r>
      <w:r>
        <w:t>Health Care System Organisation and Leadership</w:t>
      </w:r>
    </w:p>
    <w:p>
      <w:pPr>
        <w:spacing w:line="480" w:lineRule="auto"/>
        <w:jc w:val="center"/>
        <w:rPr>
          <w:b/>
          <w:bCs/>
        </w:rPr>
      </w:pPr>
      <w:r>
        <w:rPr>
          <w:b/>
          <w:bCs/>
        </w:rPr>
        <w:t xml:space="preserve">Module code: </w:t>
      </w:r>
      <w:r>
        <w:t>LCHS7002</w:t>
      </w:r>
    </w:p>
    <w:p>
      <w:pPr>
        <w:spacing w:line="480" w:lineRule="auto"/>
        <w:jc w:val="center"/>
        <w:rPr>
          <w:lang w:val="en-US"/>
        </w:rPr>
      </w:pPr>
      <w:r>
        <w:rPr>
          <w:b/>
          <w:bCs/>
        </w:rPr>
        <w:t xml:space="preserve">Lecturer: </w:t>
      </w:r>
      <w:r>
        <w:rPr>
          <w:lang w:val="en-US"/>
        </w:rPr>
        <w:t>Tonia Babalola</w:t>
      </w:r>
    </w:p>
    <w:p>
      <w:pPr>
        <w:spacing w:line="480" w:lineRule="auto"/>
        <w:jc w:val="center"/>
      </w:pPr>
      <w:r>
        <w:rPr>
          <w:b/>
          <w:bCs/>
        </w:rPr>
        <w:t xml:space="preserve">Assignment Title: </w:t>
      </w:r>
      <w:r>
        <w:t>Case Study Analysis Report</w:t>
      </w:r>
    </w:p>
    <w:p>
      <w:pPr>
        <w:spacing w:line="480" w:lineRule="auto"/>
        <w:jc w:val="center"/>
      </w:pPr>
    </w:p>
    <w:p>
      <w:pPr>
        <w:spacing w:line="480" w:lineRule="auto"/>
        <w:jc w:val="center"/>
      </w:pPr>
    </w:p>
    <w:p>
      <w:pPr>
        <w:spacing w:line="480" w:lineRule="auto"/>
        <w:jc w:val="center"/>
      </w:pPr>
    </w:p>
    <w:p>
      <w:pPr>
        <w:spacing w:line="480" w:lineRule="auto"/>
        <w:jc w:val="center"/>
        <w:rPr>
          <w:b/>
          <w:bCs/>
        </w:rPr>
      </w:pPr>
      <w:r>
        <w:rPr>
          <w:b/>
          <w:bCs/>
        </w:rPr>
        <w:t xml:space="preserve">Student Name:Patel Vidhi </w:t>
      </w:r>
    </w:p>
    <w:p>
      <w:pPr>
        <w:spacing w:line="480" w:lineRule="auto"/>
        <w:jc w:val="center"/>
        <w:rPr>
          <w:b/>
          <w:bCs/>
          <w:lang w:val="en-US"/>
        </w:rPr>
      </w:pPr>
      <w:r>
        <w:rPr>
          <w:b/>
          <w:bCs/>
        </w:rPr>
        <w:t>Student ID:2523554</w:t>
      </w:r>
      <w:bookmarkStart w:id="0" w:name="_GoBack"/>
      <w:bookmarkEnd w:id="0"/>
    </w:p>
    <w:p>
      <w:r>
        <w:br w:type="page"/>
      </w:r>
    </w:p>
    <w:p>
      <w:pPr>
        <w:pStyle w:val="24"/>
        <w:spacing w:line="360" w:lineRule="auto"/>
        <w:jc w:val="center"/>
        <w:rPr>
          <w:rFonts w:ascii="Arial" w:cs="Arial" w:hAnsi="Arial"/>
          <w:b/>
          <w:bCs/>
          <w:color w:val="auto"/>
          <w:sz w:val="22"/>
          <w:szCs w:val="22"/>
        </w:rPr>
      </w:pPr>
      <w:r>
        <w:rPr>
          <w:rFonts w:ascii="Arial" w:cs="Arial" w:hAnsi="Arial"/>
          <w:b/>
          <w:bCs/>
          <w:color w:val="auto"/>
          <w:sz w:val="22"/>
          <w:szCs w:val="22"/>
        </w:rPr>
        <w:t>Table of Contents</w:t>
      </w:r>
    </w:p>
    <w:p>
      <w:pPr>
        <w:pStyle w:val="25"/>
        <w:tabs>
          <w:tab w:val="right" w:leader="dot" w:pos="9016"/>
        </w:tabs>
        <w:spacing w:line="360" w:lineRule="auto"/>
        <w:rPr>
          <w:rFonts w:cs="Arial"/>
        </w:rPr>
      </w:pPr>
      <w:r>
        <w:rPr>
          <w:rFonts w:cs="Arial"/>
        </w:rPr>
        <w:fldChar w:fldCharType="begin"/>
      </w:r>
      <w:r>
        <w:rPr>
          <w:rFonts w:cs="Arial"/>
        </w:rPr>
        <w:instrText xml:space="preserve"> TOC \o "1-3" \h \z \u </w:instrText>
      </w:r>
      <w:r>
        <w:rPr>
          <w:rFonts w:cs="Arial"/>
        </w:rPr>
        <w:fldChar w:fldCharType="separate"/>
      </w:r>
      <w:r>
        <w:fldChar w:fldCharType="begin"/>
      </w:r>
      <w:r>
        <w:instrText>Hyperlink \l "_Toc224822410"</w:instrText>
      </w:r>
      <w:r>
        <w:fldChar w:fldCharType="separate"/>
      </w:r>
      <w:r>
        <w:rPr>
          <w:rFonts w:cs="Arial"/>
        </w:rPr>
        <w:t>1.0 Introduction</w:t>
        <w:tab/>
      </w:r>
      <w:r>
        <w:rPr>
          <w:rFonts w:cs="Arial"/>
        </w:rPr>
        <w:fldChar w:fldCharType="begin"/>
      </w:r>
      <w:r>
        <w:rPr>
          <w:rFonts w:cs="Arial"/>
        </w:rPr>
        <w:instrText xml:space="preserve"> PAGEREF _Toc224822410 \h </w:instrText>
      </w:r>
      <w:r>
        <w:rPr>
          <w:rFonts w:cs="Arial"/>
        </w:rPr>
        <w:fldChar w:fldCharType="separate"/>
      </w:r>
      <w:r>
        <w:rPr>
          <w:rFonts w:cs="Arial"/>
        </w:rPr>
        <w:t>1</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"_Toc224822411"</w:instrText>
      </w:r>
      <w:r>
        <w:fldChar w:fldCharType="separate"/>
      </w:r>
      <w:r>
        <w:rPr>
          <w:rFonts w:cs="Arial"/>
        </w:rPr>
        <w:t>1.1 Background of the Case Study</w:t>
        <w:tab/>
      </w:r>
      <w:r>
        <w:rPr>
          <w:rFonts w:cs="Arial"/>
        </w:rPr>
        <w:fldChar w:fldCharType="begin"/>
      </w:r>
      <w:r>
        <w:rPr>
          <w:rFonts w:cs="Arial"/>
        </w:rPr>
        <w:instrText xml:space="preserve"> PAGEREF _Toc224822411 \h </w:instrText>
      </w:r>
      <w:r>
        <w:rPr>
          <w:rFonts w:cs="Arial"/>
        </w:rPr>
        <w:fldChar w:fldCharType="separate"/>
      </w:r>
      <w:r>
        <w:rPr>
          <w:rFonts w:cs="Arial"/>
        </w:rPr>
        <w:t>1</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"_Toc224822412"</w:instrText>
      </w:r>
      <w:r>
        <w:fldChar w:fldCharType="separate"/>
      </w:r>
      <w:r>
        <w:rPr>
          <w:rFonts w:cs="Arial"/>
        </w:rPr>
        <w:t>1.2 Definition of Leadership</w:t>
        <w:tab/>
      </w:r>
      <w:r>
        <w:rPr>
          <w:rFonts w:cs="Arial"/>
        </w:rPr>
        <w:fldChar w:fldCharType="begin"/>
      </w:r>
      <w:r>
        <w:rPr>
          <w:rFonts w:cs="Arial"/>
        </w:rPr>
        <w:instrText xml:space="preserve"> PAGEREF _Toc224822412 \h </w:instrText>
      </w:r>
      <w:r>
        <w:rPr>
          <w:rFonts w:cs="Arial"/>
        </w:rPr>
        <w:fldChar w:fldCharType="separate"/>
      </w:r>
      <w:r>
        <w:rPr>
          <w:rFonts w:cs="Arial"/>
        </w:rPr>
        <w:t>1</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"_Toc224822413"</w:instrText>
      </w:r>
      <w:r>
        <w:fldChar w:fldCharType="separate"/>
      </w:r>
      <w:r>
        <w:rPr>
          <w:rFonts w:cs="Arial"/>
        </w:rPr>
        <w:t>1.3 Centralisation vs Decentralisation</w:t>
        <w:tab/>
      </w:r>
      <w:r>
        <w:rPr>
          <w:rFonts w:cs="Arial"/>
        </w:rPr>
        <w:fldChar w:fldCharType="begin"/>
      </w:r>
      <w:r>
        <w:rPr>
          <w:rFonts w:cs="Arial"/>
        </w:rPr>
        <w:instrText xml:space="preserve"> PAGEREF _Toc224822413 \h </w:instrText>
      </w:r>
      <w:r>
        <w:rPr>
          <w:rFonts w:cs="Arial"/>
        </w:rPr>
        <w:fldChar w:fldCharType="separate"/>
      </w:r>
      <w:r>
        <w:rPr>
          <w:rFonts w:cs="Arial"/>
        </w:rPr>
        <w:t>1</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"_Toc224822414"</w:instrText>
      </w:r>
      <w:r>
        <w:fldChar w:fldCharType="separate"/>
      </w:r>
      <w:r>
        <w:rPr>
          <w:rFonts w:cs="Arial"/>
        </w:rPr>
        <w:t>1.4 Leadership Theories Overview</w:t>
        <w:tab/>
      </w:r>
      <w:r>
        <w:rPr>
          <w:rFonts w:cs="Arial"/>
        </w:rPr>
        <w:fldChar w:fldCharType="begin"/>
      </w:r>
      <w:r>
        <w:rPr>
          <w:rFonts w:cs="Arial"/>
        </w:rPr>
        <w:instrText xml:space="preserve"> PAGEREF _Toc224822414 \h </w:instrText>
      </w:r>
      <w:r>
        <w:rPr>
          <w:rFonts w:cs="Arial"/>
        </w:rPr>
        <w:fldChar w:fldCharType="separate"/>
      </w:r>
      <w:r>
        <w:rPr>
          <w:rFonts w:cs="Arial"/>
        </w:rPr>
        <w:t>1</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"_Toc224822415"</w:instrText>
      </w:r>
      <w:r>
        <w:fldChar w:fldCharType="separate"/>
      </w:r>
      <w:r>
        <w:rPr>
          <w:rFonts w:cs="Arial"/>
        </w:rPr>
        <w:t>1.5 Importance of Leadership in Healthcare</w:t>
        <w:tab/>
      </w:r>
      <w:r>
        <w:rPr>
          <w:rFonts w:cs="Arial"/>
        </w:rPr>
        <w:fldChar w:fldCharType="begin"/>
      </w:r>
      <w:r>
        <w:rPr>
          <w:rFonts w:cs="Arial"/>
        </w:rPr>
        <w:instrText xml:space="preserve"> PAGEREF _Toc224822415 \h </w:instrText>
      </w:r>
      <w:r>
        <w:rPr>
          <w:rFonts w:cs="Arial"/>
        </w:rPr>
        <w:fldChar w:fldCharType="separate"/>
      </w:r>
      <w:r>
        <w:rPr>
          <w:rFonts w:cs="Arial"/>
        </w:rPr>
        <w:t>2</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"_Toc224822416"</w:instrText>
      </w:r>
      <w:r>
        <w:fldChar w:fldCharType="separate"/>
      </w:r>
      <w:r>
        <w:rPr>
          <w:rFonts w:cs="Arial"/>
        </w:rPr>
        <w:t>1.6 Structure of the Report</w:t>
        <w:tab/>
      </w:r>
      <w:r>
        <w:rPr>
          <w:rFonts w:cs="Arial"/>
        </w:rPr>
        <w:fldChar w:fldCharType="begin"/>
      </w:r>
      <w:r>
        <w:rPr>
          <w:rFonts w:cs="Arial"/>
        </w:rPr>
        <w:instrText xml:space="preserve"> PAGEREF _Toc224822416 \h </w:instrText>
      </w:r>
      <w:r>
        <w:rPr>
          <w:rFonts w:cs="Arial"/>
        </w:rPr>
        <w:fldChar w:fldCharType="separate"/>
      </w:r>
      <w:r>
        <w:rPr>
          <w:rFonts w:cs="Arial"/>
        </w:rPr>
        <w:t>2</w:t>
      </w:r>
      <w:r>
        <w:rPr>
          <w:rFonts w:cs="Arial"/>
        </w:rPr>
        <w:fldChar w:fldCharType="end"/>
      </w:r>
      <w:r>
        <w:fldChar w:fldCharType="end"/>
      </w:r>
    </w:p>
    <w:p>
      <w:pPr>
        <w:pStyle w:val="25"/>
        <w:tabs>
          <w:tab w:val="right" w:leader="dot" w:pos="9016"/>
        </w:tabs>
        <w:spacing w:line="360" w:lineRule="auto"/>
        <w:rPr>
          <w:rFonts w:cs="Arial"/>
        </w:rPr>
      </w:pPr>
      <w:r>
        <w:fldChar w:fldCharType="begin"/>
      </w:r>
      <w:r>
        <w:instrText>Hyperlink \l "_Toc224822417"</w:instrText>
      </w:r>
      <w:r>
        <w:fldChar w:fldCharType="separate"/>
      </w:r>
      <w:r>
        <w:rPr>
          <w:rFonts w:cs="Arial"/>
        </w:rPr>
        <w:t>2.0 Main Body</w:t>
        <w:tab/>
      </w:r>
      <w:r>
        <w:rPr>
          <w:rFonts w:cs="Arial"/>
        </w:rPr>
        <w:fldChar w:fldCharType="begin"/>
      </w:r>
      <w:r>
        <w:rPr>
          <w:rFonts w:cs="Arial"/>
        </w:rPr>
        <w:instrText xml:space="preserve"> PAGEREF _Toc224822417 \h </w:instrText>
      </w:r>
      <w:r>
        <w:rPr>
          <w:rFonts w:cs="Arial"/>
        </w:rPr>
        <w:fldChar w:fldCharType="separate"/>
      </w:r>
      <w:r>
        <w:rPr>
          <w:rFonts w:cs="Arial"/>
        </w:rPr>
        <w:t>3</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"_Toc224822418"</w:instrText>
      </w:r>
      <w:r>
        <w:fldChar w:fldCharType="separate"/>
      </w:r>
      <w:r>
        <w:rPr>
          <w:rFonts w:cs="Arial"/>
        </w:rPr>
        <w:t>a. Identifying the Problem Using Systems Thinking</w:t>
        <w:tab/>
      </w:r>
      <w:r>
        <w:rPr>
          <w:rFonts w:cs="Arial"/>
        </w:rPr>
        <w:fldChar w:fldCharType="begin"/>
      </w:r>
      <w:r>
        <w:rPr>
          <w:rFonts w:cs="Arial"/>
        </w:rPr>
        <w:instrText xml:space="preserve"> PAGEREF _Toc224822418 \h </w:instrText>
      </w:r>
      <w:r>
        <w:rPr>
          <w:rFonts w:cs="Arial"/>
        </w:rPr>
        <w:fldChar w:fldCharType="separate"/>
      </w:r>
      <w:r>
        <w:rPr>
          <w:rFonts w:cs="Arial"/>
        </w:rPr>
        <w:t>3</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"_Toc224822419"</w:instrText>
      </w:r>
      <w:r>
        <w:fldChar w:fldCharType="separate"/>
      </w:r>
      <w:r>
        <w:rPr>
          <w:rFonts w:cs="Arial"/>
        </w:rPr>
        <w:t>a.1 Contextual Description of the Problem</w:t>
        <w:tab/>
      </w:r>
      <w:r>
        <w:rPr>
          <w:rFonts w:cs="Arial"/>
        </w:rPr>
        <w:fldChar w:fldCharType="begin"/>
      </w:r>
      <w:r>
        <w:rPr>
          <w:rFonts w:cs="Arial"/>
        </w:rPr>
        <w:instrText xml:space="preserve"> PAGEREF _Toc224822419 \h </w:instrText>
      </w:r>
      <w:r>
        <w:rPr>
          <w:rFonts w:cs="Arial"/>
        </w:rPr>
        <w:fldChar w:fldCharType="separate"/>
      </w:r>
      <w:r>
        <w:rPr>
          <w:rFonts w:cs="Arial"/>
        </w:rPr>
        <w:t>3</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"_Toc224822420"</w:instrText>
      </w:r>
      <w:r>
        <w:fldChar w:fldCharType="separate"/>
      </w:r>
      <w:r>
        <w:rPr>
          <w:rFonts w:cs="Arial"/>
        </w:rPr>
        <w:t>a.2 Integration of National and International Evidence</w:t>
        <w:tab/>
      </w:r>
      <w:r>
        <w:rPr>
          <w:rFonts w:cs="Arial"/>
        </w:rPr>
        <w:fldChar w:fldCharType="begin"/>
      </w:r>
      <w:r>
        <w:rPr>
          <w:rFonts w:cs="Arial"/>
        </w:rPr>
        <w:instrText xml:space="preserve"> PAGEREF _Toc224822420 \h </w:instrText>
      </w:r>
      <w:r>
        <w:rPr>
          <w:rFonts w:cs="Arial"/>
        </w:rPr>
        <w:fldChar w:fldCharType="separate"/>
      </w:r>
      <w:r>
        <w:rPr>
          <w:rFonts w:cs="Arial"/>
        </w:rPr>
        <w:t>3</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"_Toc224822421"</w:instrText>
      </w:r>
      <w:r>
        <w:fldChar w:fldCharType="separate"/>
      </w:r>
      <w:r>
        <w:rPr>
          <w:rFonts w:cs="Arial"/>
        </w:rPr>
        <w:t>a.3 Analysis of System-Level Weaknesses</w:t>
        <w:tab/>
      </w:r>
      <w:r>
        <w:rPr>
          <w:rFonts w:cs="Arial"/>
        </w:rPr>
        <w:fldChar w:fldCharType="begin"/>
      </w:r>
      <w:r>
        <w:rPr>
          <w:rFonts w:cs="Arial"/>
        </w:rPr>
        <w:instrText xml:space="preserve"> PAGEREF _Toc224822421 \h </w:instrText>
      </w:r>
      <w:r>
        <w:rPr>
          <w:rFonts w:cs="Arial"/>
        </w:rPr>
        <w:fldChar w:fldCharType="separate"/>
      </w:r>
      <w:r>
        <w:rPr>
          <w:rFonts w:cs="Arial"/>
        </w:rPr>
        <w:t>4</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"_Toc224822422"</w:instrText>
      </w:r>
      <w:r>
        <w:fldChar w:fldCharType="separate"/>
      </w:r>
      <w:r>
        <w:rPr>
          <w:rFonts w:cs="Arial"/>
        </w:rPr>
        <w:t>a.4 Linking to Rich Picture</w:t>
        <w:tab/>
      </w:r>
      <w:r>
        <w:rPr>
          <w:rFonts w:cs="Arial"/>
        </w:rPr>
        <w:fldChar w:fldCharType="begin"/>
      </w:r>
      <w:r>
        <w:rPr>
          <w:rFonts w:cs="Arial"/>
        </w:rPr>
        <w:instrText xml:space="preserve"> PAGEREF _Toc224822422 \h </w:instrText>
      </w:r>
      <w:r>
        <w:rPr>
          <w:rFonts w:cs="Arial"/>
        </w:rPr>
        <w:fldChar w:fldCharType="separate"/>
      </w:r>
      <w:r>
        <w:rPr>
          <w:rFonts w:cs="Arial"/>
        </w:rPr>
        <w:t>6</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"_Toc224822423"</w:instrText>
      </w:r>
      <w:r>
        <w:fldChar w:fldCharType="separate"/>
      </w:r>
      <w:r>
        <w:rPr>
          <w:rFonts w:cs="Arial"/>
        </w:rPr>
        <w:t>b. Centralisation vs. Decentralisation</w:t>
        <w:tab/>
      </w:r>
      <w:r>
        <w:rPr>
          <w:rFonts w:cs="Arial"/>
        </w:rPr>
        <w:fldChar w:fldCharType="begin"/>
      </w:r>
      <w:r>
        <w:rPr>
          <w:rFonts w:cs="Arial"/>
        </w:rPr>
        <w:instrText xml:space="preserve"> PAGEREF _Toc224822423 \h </w:instrText>
      </w:r>
      <w:r>
        <w:rPr>
          <w:rFonts w:cs="Arial"/>
        </w:rPr>
        <w:fldChar w:fldCharType="separate"/>
      </w:r>
      <w:r>
        <w:rPr>
          <w:rFonts w:cs="Arial"/>
        </w:rPr>
        <w:t>8</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"_Toc224822424"</w:instrText>
      </w:r>
      <w:r>
        <w:fldChar w:fldCharType="separate"/>
      </w:r>
      <w:r>
        <w:rPr>
          <w:rFonts w:cs="Arial"/>
        </w:rPr>
        <w:t>b.1 Analysis of Whether the Case Study Organisation Operates in a Centralised or Decentralised System</w:t>
        <w:tab/>
      </w:r>
      <w:r>
        <w:rPr>
          <w:rFonts w:cs="Arial"/>
        </w:rPr>
        <w:fldChar w:fldCharType="begin"/>
      </w:r>
      <w:r>
        <w:rPr>
          <w:rFonts w:cs="Arial"/>
        </w:rPr>
        <w:instrText xml:space="preserve"> PAGEREF _Toc224822424 \h </w:instrText>
      </w:r>
      <w:r>
        <w:rPr>
          <w:rFonts w:cs="Arial"/>
        </w:rPr>
        <w:fldChar w:fldCharType="separate"/>
      </w:r>
      <w:r>
        <w:rPr>
          <w:rFonts w:cs="Arial"/>
        </w:rPr>
        <w:t>8</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"_Toc224822425"</w:instrText>
      </w:r>
      <w:r>
        <w:fldChar w:fldCharType="separate"/>
      </w:r>
      <w:r>
        <w:rPr>
          <w:rFonts w:cs="Arial"/>
        </w:rPr>
        <w:t>b.2 Centralised systems:</w:t>
        <w:tab/>
      </w:r>
      <w:r>
        <w:rPr>
          <w:rFonts w:cs="Arial"/>
        </w:rPr>
        <w:fldChar w:fldCharType="begin"/>
      </w:r>
      <w:r>
        <w:rPr>
          <w:rFonts w:cs="Arial"/>
        </w:rPr>
        <w:instrText xml:space="preserve"> PAGEREF _Toc224822425 \h </w:instrText>
      </w:r>
      <w:r>
        <w:rPr>
          <w:rFonts w:cs="Arial"/>
        </w:rPr>
        <w:fldChar w:fldCharType="separate"/>
      </w:r>
      <w:r>
        <w:rPr>
          <w:rFonts w:cs="Arial"/>
        </w:rPr>
        <w:t>8</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"_Toc224822426"</w:instrText>
      </w:r>
      <w:r>
        <w:fldChar w:fldCharType="separate"/>
      </w:r>
      <w:r>
        <w:rPr>
          <w:rFonts w:cs="Arial"/>
        </w:rPr>
        <w:t>b.3 Decentralised systems:</w:t>
        <w:tab/>
      </w:r>
      <w:r>
        <w:rPr>
          <w:rFonts w:cs="Arial"/>
        </w:rPr>
        <w:fldChar w:fldCharType="begin"/>
      </w:r>
      <w:r>
        <w:rPr>
          <w:rFonts w:cs="Arial"/>
        </w:rPr>
        <w:instrText xml:space="preserve"> PAGEREF _Toc224822426 \h </w:instrText>
      </w:r>
      <w:r>
        <w:rPr>
          <w:rFonts w:cs="Arial"/>
        </w:rPr>
        <w:fldChar w:fldCharType="separate"/>
      </w:r>
      <w:r>
        <w:rPr>
          <w:rFonts w:cs="Arial"/>
        </w:rPr>
        <w:t>9</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"_Toc224822427"</w:instrText>
      </w:r>
      <w:r>
        <w:fldChar w:fldCharType="separate"/>
      </w:r>
      <w:r>
        <w:rPr>
          <w:rFonts w:cs="Arial"/>
        </w:rPr>
        <w:t>b.4 Critical analysis</w:t>
        <w:tab/>
      </w:r>
      <w:r>
        <w:rPr>
          <w:rFonts w:cs="Arial"/>
        </w:rPr>
        <w:fldChar w:fldCharType="begin"/>
      </w:r>
      <w:r>
        <w:rPr>
          <w:rFonts w:cs="Arial"/>
        </w:rPr>
        <w:instrText xml:space="preserve"> PAGEREF _Toc224822427 \h </w:instrText>
      </w:r>
      <w:r>
        <w:rPr>
          <w:rFonts w:cs="Arial"/>
        </w:rPr>
        <w:fldChar w:fldCharType="separate"/>
      </w:r>
      <w:r>
        <w:rPr>
          <w:rFonts w:cs="Arial"/>
        </w:rPr>
        <w:t>9</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"_Toc224822428"</w:instrText>
      </w:r>
      <w:r>
        <w:fldChar w:fldCharType="separate"/>
      </w:r>
      <w:r>
        <w:rPr>
          <w:rFonts w:cs="Arial"/>
        </w:rPr>
        <w:t>c. Leadership Theories and Application to the Case Study</w:t>
        <w:tab/>
      </w:r>
      <w:r>
        <w:rPr>
          <w:rFonts w:cs="Arial"/>
        </w:rPr>
        <w:fldChar w:fldCharType="begin"/>
      </w:r>
      <w:r>
        <w:rPr>
          <w:rFonts w:cs="Arial"/>
        </w:rPr>
        <w:instrText xml:space="preserve"> PAGEREF _Toc224822428 \h </w:instrText>
      </w:r>
      <w:r>
        <w:rPr>
          <w:rFonts w:cs="Arial"/>
        </w:rPr>
        <w:fldChar w:fldCharType="separate"/>
      </w:r>
      <w:r>
        <w:rPr>
          <w:rFonts w:cs="Arial"/>
        </w:rPr>
        <w:t>11</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"_Toc224822429"</w:instrText>
      </w:r>
      <w:r>
        <w:fldChar w:fldCharType="separate"/>
      </w:r>
      <w:r>
        <w:rPr>
          <w:rFonts w:cs="Arial"/>
        </w:rPr>
        <w:t>c.1 Transformational Leadership and Application to the Case Study</w:t>
        <w:tab/>
      </w:r>
      <w:r>
        <w:rPr>
          <w:rFonts w:cs="Arial"/>
        </w:rPr>
        <w:fldChar w:fldCharType="begin"/>
      </w:r>
      <w:r>
        <w:rPr>
          <w:rFonts w:cs="Arial"/>
        </w:rPr>
        <w:instrText xml:space="preserve"> PAGEREF _Toc224822429 \h </w:instrText>
      </w:r>
      <w:r>
        <w:rPr>
          <w:rFonts w:cs="Arial"/>
        </w:rPr>
        <w:fldChar w:fldCharType="separate"/>
      </w:r>
      <w:r>
        <w:rPr>
          <w:rFonts w:cs="Arial"/>
        </w:rPr>
        <w:t>11</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"_Toc224822430"</w:instrText>
      </w:r>
      <w:r>
        <w:fldChar w:fldCharType="separate"/>
      </w:r>
      <w:r>
        <w:rPr>
          <w:rFonts w:cs="Arial"/>
        </w:rPr>
        <w:t>c.2 Situational Leadership and Application to the Case Study</w:t>
        <w:tab/>
      </w:r>
      <w:r>
        <w:rPr>
          <w:rFonts w:cs="Arial"/>
        </w:rPr>
        <w:fldChar w:fldCharType="begin"/>
      </w:r>
      <w:r>
        <w:rPr>
          <w:rFonts w:cs="Arial"/>
        </w:rPr>
        <w:instrText xml:space="preserve"> PAGEREF _Toc224822430 \h </w:instrText>
      </w:r>
      <w:r>
        <w:rPr>
          <w:rFonts w:cs="Arial"/>
        </w:rPr>
        <w:fldChar w:fldCharType="separate"/>
      </w:r>
      <w:r>
        <w:rPr>
          <w:rFonts w:cs="Arial"/>
        </w:rPr>
        <w:t>11</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"_Toc224822431"</w:instrText>
      </w:r>
      <w:r>
        <w:fldChar w:fldCharType="separate"/>
      </w:r>
      <w:r>
        <w:rPr>
          <w:rFonts w:cs="Arial"/>
        </w:rPr>
        <w:t>c.3 Behavioural Leadership Theory and Application to the Case Study</w:t>
        <w:tab/>
      </w:r>
      <w:r>
        <w:rPr>
          <w:rFonts w:cs="Arial"/>
        </w:rPr>
        <w:fldChar w:fldCharType="begin"/>
      </w:r>
      <w:r>
        <w:rPr>
          <w:rFonts w:cs="Arial"/>
        </w:rPr>
        <w:instrText xml:space="preserve"> PAGEREF _Toc224822431 \h </w:instrText>
      </w:r>
      <w:r>
        <w:rPr>
          <w:rFonts w:cs="Arial"/>
        </w:rPr>
        <w:fldChar w:fldCharType="separate"/>
      </w:r>
      <w:r>
        <w:rPr>
          <w:rFonts w:cs="Arial"/>
        </w:rPr>
        <w:t>12</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"_Toc224822432"</w:instrText>
      </w:r>
      <w:r>
        <w:fldChar w:fldCharType="separate"/>
      </w:r>
      <w:r>
        <w:rPr>
          <w:rFonts w:cs="Arial"/>
        </w:rPr>
        <w:t>d. Critique, Improvements, and Lessons Learned</w:t>
        <w:tab/>
      </w:r>
      <w:r>
        <w:rPr>
          <w:rFonts w:cs="Arial"/>
        </w:rPr>
        <w:fldChar w:fldCharType="begin"/>
      </w:r>
      <w:r>
        <w:rPr>
          <w:rFonts w:cs="Arial"/>
        </w:rPr>
        <w:instrText xml:space="preserve"> PAGEREF _Toc224822432 \h </w:instrText>
      </w:r>
      <w:r>
        <w:rPr>
          <w:rFonts w:cs="Arial"/>
        </w:rPr>
        <w:fldChar w:fldCharType="separate"/>
      </w:r>
      <w:r>
        <w:rPr>
          <w:rFonts w:cs="Arial"/>
        </w:rPr>
        <w:t>14</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"_Toc224822433"</w:instrText>
      </w:r>
      <w:r>
        <w:fldChar w:fldCharType="separate"/>
      </w:r>
      <w:r>
        <w:rPr>
          <w:rFonts w:cs="Arial"/>
        </w:rPr>
        <w:t>d.1 Leadership and Governance Interaction in Producing the Case Outcome</w:t>
        <w:tab/>
      </w:r>
      <w:r>
        <w:rPr>
          <w:rFonts w:cs="Arial"/>
        </w:rPr>
        <w:fldChar w:fldCharType="begin"/>
      </w:r>
      <w:r>
        <w:rPr>
          <w:rFonts w:cs="Arial"/>
        </w:rPr>
        <w:instrText xml:space="preserve"> PAGEREF _Toc224822433 \h </w:instrText>
      </w:r>
      <w:r>
        <w:rPr>
          <w:rFonts w:cs="Arial"/>
        </w:rPr>
        <w:fldChar w:fldCharType="separate"/>
      </w:r>
      <w:r>
        <w:rPr>
          <w:rFonts w:cs="Arial"/>
        </w:rPr>
        <w:t>14</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"_Toc224822434"</w:instrText>
      </w:r>
      <w:r>
        <w:fldChar w:fldCharType="separate"/>
      </w:r>
      <w:r>
        <w:rPr>
          <w:rFonts w:cs="Arial"/>
        </w:rPr>
        <w:t>d.2 Problems and Improvement Strategies</w:t>
        <w:tab/>
      </w:r>
      <w:r>
        <w:rPr>
          <w:rFonts w:cs="Arial"/>
        </w:rPr>
        <w:fldChar w:fldCharType="begin"/>
      </w:r>
      <w:r>
        <w:rPr>
          <w:rFonts w:cs="Arial"/>
        </w:rPr>
        <w:instrText xml:space="preserve"> PAGEREF _Toc224822434 \h </w:instrText>
      </w:r>
      <w:r>
        <w:rPr>
          <w:rFonts w:cs="Arial"/>
        </w:rPr>
        <w:fldChar w:fldCharType="separate"/>
      </w:r>
      <w:r>
        <w:rPr>
          <w:rFonts w:cs="Arial"/>
        </w:rPr>
        <w:t>14</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"_Toc224822435"</w:instrText>
      </w:r>
      <w:r>
        <w:fldChar w:fldCharType="separate"/>
      </w:r>
      <w:r>
        <w:rPr>
          <w:rFonts w:cs="Arial"/>
        </w:rPr>
        <w:t>d.3 Linking the Findings</w:t>
        <w:tab/>
      </w:r>
      <w:r>
        <w:rPr>
          <w:rFonts w:cs="Arial"/>
        </w:rPr>
        <w:fldChar w:fldCharType="begin"/>
      </w:r>
      <w:r>
        <w:rPr>
          <w:rFonts w:cs="Arial"/>
        </w:rPr>
        <w:instrText xml:space="preserve"> PAGEREF _Toc224822435 \h </w:instrText>
      </w:r>
      <w:r>
        <w:rPr>
          <w:rFonts w:cs="Arial"/>
        </w:rPr>
        <w:fldChar w:fldCharType="separate"/>
      </w:r>
      <w:r>
        <w:rPr>
          <w:rFonts w:cs="Arial"/>
        </w:rPr>
        <w:t>15</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"_Toc224822436"</w:instrText>
      </w:r>
      <w:r>
        <w:fldChar w:fldCharType="separate"/>
      </w:r>
      <w:r>
        <w:rPr>
          <w:rFonts w:cs="Arial"/>
        </w:rPr>
        <w:t>d.4 Lesson for other Organisations</w:t>
        <w:tab/>
      </w:r>
      <w:r>
        <w:rPr>
          <w:rFonts w:cs="Arial"/>
        </w:rPr>
        <w:fldChar w:fldCharType="begin"/>
      </w:r>
      <w:r>
        <w:rPr>
          <w:rFonts w:cs="Arial"/>
        </w:rPr>
        <w:instrText xml:space="preserve"> PAGEREF _Toc224822436 \h </w:instrText>
      </w:r>
      <w:r>
        <w:rPr>
          <w:rFonts w:cs="Arial"/>
        </w:rPr>
        <w:fldChar w:fldCharType="separate"/>
      </w:r>
      <w:r>
        <w:rPr>
          <w:rFonts w:cs="Arial"/>
        </w:rPr>
        <w:t>16</w:t>
      </w:r>
      <w:r>
        <w:rPr>
          <w:rFonts w:cs="Arial"/>
        </w:rPr>
        <w:fldChar w:fldCharType="end"/>
      </w:r>
      <w:r>
        <w:fldChar w:fldCharType="end"/>
      </w:r>
    </w:p>
    <w:p>
      <w:pPr>
        <w:pStyle w:val="27"/>
        <w:tabs>
          <w:tab w:val="right" w:leader="dot" w:pos="9016"/>
        </w:tabs>
        <w:spacing w:line="360" w:lineRule="auto"/>
        <w:rPr>
          <w:rFonts w:cs="Arial"/>
        </w:rPr>
      </w:pPr>
      <w:r>
        <w:fldChar w:fldCharType="begin"/>
      </w:r>
      <w:r>
        <w:instrText>Hyperlink \l "_Toc224822437"</w:instrText>
      </w:r>
      <w:r>
        <w:fldChar w:fldCharType="separate"/>
      </w:r>
      <w:r>
        <w:rPr>
          <w:rFonts w:cs="Arial"/>
        </w:rPr>
        <w:t>d.5 Use of Evidence and Data to Ensure Continuous Improvement and Accountability</w:t>
        <w:tab/>
      </w:r>
      <w:r>
        <w:rPr>
          <w:rFonts w:cs="Arial"/>
        </w:rPr>
        <w:fldChar w:fldCharType="begin"/>
      </w:r>
      <w:r>
        <w:rPr>
          <w:rFonts w:cs="Arial"/>
        </w:rPr>
        <w:instrText xml:space="preserve"> PAGEREF _Toc224822437 \h </w:instrText>
      </w:r>
      <w:r>
        <w:rPr>
          <w:rFonts w:cs="Arial"/>
        </w:rPr>
        <w:fldChar w:fldCharType="separate"/>
      </w:r>
      <w:r>
        <w:rPr>
          <w:rFonts w:cs="Arial"/>
        </w:rPr>
        <w:t>16</w:t>
      </w:r>
      <w:r>
        <w:rPr>
          <w:rFonts w:cs="Arial"/>
        </w:rPr>
        <w:fldChar w:fldCharType="end"/>
      </w:r>
      <w:r>
        <w:fldChar w:fldCharType="end"/>
      </w:r>
    </w:p>
    <w:p>
      <w:pPr>
        <w:pStyle w:val="25"/>
        <w:tabs>
          <w:tab w:val="right" w:leader="dot" w:pos="9016"/>
        </w:tabs>
        <w:spacing w:line="360" w:lineRule="auto"/>
        <w:rPr>
          <w:rFonts w:cs="Arial"/>
        </w:rPr>
      </w:pPr>
      <w:r>
        <w:fldChar w:fldCharType="begin"/>
      </w:r>
      <w:r>
        <w:instrText>Hyperlink \l "_Toc224822438"</w:instrText>
      </w:r>
      <w:r>
        <w:fldChar w:fldCharType="separate"/>
      </w:r>
      <w:r>
        <w:rPr>
          <w:rFonts w:cs="Arial"/>
        </w:rPr>
        <w:t>Recommendations</w:t>
        <w:tab/>
      </w:r>
      <w:r>
        <w:rPr>
          <w:rFonts w:cs="Arial"/>
        </w:rPr>
        <w:fldChar w:fldCharType="begin"/>
      </w:r>
      <w:r>
        <w:rPr>
          <w:rFonts w:cs="Arial"/>
        </w:rPr>
        <w:instrText xml:space="preserve"> PAGEREF _Toc224822438 \h </w:instrText>
      </w:r>
      <w:r>
        <w:rPr>
          <w:rFonts w:cs="Arial"/>
        </w:rPr>
        <w:fldChar w:fldCharType="separate"/>
      </w:r>
      <w:r>
        <w:rPr>
          <w:rFonts w:cs="Arial"/>
        </w:rPr>
        <w:t>17</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"_Toc224822439"</w:instrText>
      </w:r>
      <w:r>
        <w:fldChar w:fldCharType="separate"/>
      </w:r>
      <w:r>
        <w:rPr>
          <w:rFonts w:cs="Arial"/>
        </w:rPr>
        <w:t>Summary of Key Actions Required for the Organisation</w:t>
        <w:tab/>
      </w:r>
      <w:r>
        <w:rPr>
          <w:rFonts w:cs="Arial"/>
        </w:rPr>
        <w:fldChar w:fldCharType="begin"/>
      </w:r>
      <w:r>
        <w:rPr>
          <w:rFonts w:cs="Arial"/>
        </w:rPr>
        <w:instrText xml:space="preserve"> PAGEREF _Toc224822439 \h </w:instrText>
      </w:r>
      <w:r>
        <w:rPr>
          <w:rFonts w:cs="Arial"/>
        </w:rPr>
        <w:fldChar w:fldCharType="separate"/>
      </w:r>
      <w:r>
        <w:rPr>
          <w:rFonts w:cs="Arial"/>
        </w:rPr>
        <w:t>17</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"_Toc224822440"</w:instrText>
      </w:r>
      <w:r>
        <w:fldChar w:fldCharType="separate"/>
      </w:r>
      <w:r>
        <w:rPr>
          <w:rFonts w:cs="Arial"/>
        </w:rPr>
        <w:t>Recommended Leadership Styles for Sustaining Improvement</w:t>
        <w:tab/>
      </w:r>
      <w:r>
        <w:rPr>
          <w:rFonts w:cs="Arial"/>
        </w:rPr>
        <w:fldChar w:fldCharType="begin"/>
      </w:r>
      <w:r>
        <w:rPr>
          <w:rFonts w:cs="Arial"/>
        </w:rPr>
        <w:instrText xml:space="preserve"> PAGEREF _Toc224822440 \h </w:instrText>
      </w:r>
      <w:r>
        <w:rPr>
          <w:rFonts w:cs="Arial"/>
        </w:rPr>
        <w:fldChar w:fldCharType="separate"/>
      </w:r>
      <w:r>
        <w:rPr>
          <w:rFonts w:cs="Arial"/>
        </w:rPr>
        <w:t>17</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"_Toc224822441"</w:instrText>
      </w:r>
      <w:r>
        <w:fldChar w:fldCharType="separate"/>
      </w:r>
      <w:r>
        <w:rPr>
          <w:rFonts w:cs="Arial"/>
        </w:rPr>
        <w:t>Strengthening Governance, Communication and System Integration</w:t>
        <w:tab/>
      </w:r>
      <w:r>
        <w:rPr>
          <w:rFonts w:cs="Arial"/>
        </w:rPr>
        <w:fldChar w:fldCharType="begin"/>
      </w:r>
      <w:r>
        <w:rPr>
          <w:rFonts w:cs="Arial"/>
        </w:rPr>
        <w:instrText xml:space="preserve"> PAGEREF _Toc224822441 \h </w:instrText>
      </w:r>
      <w:r>
        <w:rPr>
          <w:rFonts w:cs="Arial"/>
        </w:rPr>
        <w:fldChar w:fldCharType="separate"/>
      </w:r>
      <w:r>
        <w:rPr>
          <w:rFonts w:cs="Arial"/>
        </w:rPr>
        <w:t>17</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"_Toc224822442"</w:instrText>
      </w:r>
      <w:r>
        <w:fldChar w:fldCharType="separate"/>
      </w:r>
      <w:r>
        <w:rPr>
          <w:rFonts w:cs="Arial"/>
        </w:rPr>
        <w:t>Enhancing Technical and Allocative Efficiency</w:t>
        <w:tab/>
      </w:r>
      <w:r>
        <w:rPr>
          <w:rFonts w:cs="Arial"/>
        </w:rPr>
        <w:fldChar w:fldCharType="begin"/>
      </w:r>
      <w:r>
        <w:rPr>
          <w:rFonts w:cs="Arial"/>
        </w:rPr>
        <w:instrText xml:space="preserve"> PAGEREF _Toc224822442 \h </w:instrText>
      </w:r>
      <w:r>
        <w:rPr>
          <w:rFonts w:cs="Arial"/>
        </w:rPr>
        <w:fldChar w:fldCharType="separate"/>
      </w:r>
      <w:r>
        <w:rPr>
          <w:rFonts w:cs="Arial"/>
        </w:rPr>
        <w:t>17</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"_Toc224822443"</w:instrText>
      </w:r>
      <w:r>
        <w:fldChar w:fldCharType="separate"/>
      </w:r>
      <w:r>
        <w:rPr>
          <w:rFonts w:cs="Arial"/>
        </w:rPr>
        <w:t>Continuous Learning, Stakeholder Engagement and Co-production</w:t>
        <w:tab/>
      </w:r>
      <w:r>
        <w:rPr>
          <w:rFonts w:cs="Arial"/>
        </w:rPr>
        <w:fldChar w:fldCharType="begin"/>
      </w:r>
      <w:r>
        <w:rPr>
          <w:rFonts w:cs="Arial"/>
        </w:rPr>
        <w:instrText xml:space="preserve"> PAGEREF _Toc224822443 \h </w:instrText>
      </w:r>
      <w:r>
        <w:rPr>
          <w:rFonts w:cs="Arial"/>
        </w:rPr>
        <w:fldChar w:fldCharType="separate"/>
      </w:r>
      <w:r>
        <w:rPr>
          <w:rFonts w:cs="Arial"/>
        </w:rPr>
        <w:t>18</w:t>
      </w:r>
      <w:r>
        <w:rPr>
          <w:rFonts w:cs="Arial"/>
        </w:rPr>
        <w:fldChar w:fldCharType="end"/>
      </w:r>
      <w:r>
        <w:fldChar w:fldCharType="end"/>
      </w:r>
    </w:p>
    <w:p>
      <w:pPr>
        <w:pStyle w:val="25"/>
        <w:tabs>
          <w:tab w:val="right" w:leader="dot" w:pos="9016"/>
        </w:tabs>
        <w:spacing w:line="360" w:lineRule="auto"/>
        <w:rPr>
          <w:rFonts w:cs="Arial"/>
        </w:rPr>
      </w:pPr>
      <w:r>
        <w:fldChar w:fldCharType="begin"/>
      </w:r>
      <w:r>
        <w:instrText>Hyperlink \l "_Toc224822444"</w:instrText>
      </w:r>
      <w:r>
        <w:fldChar w:fldCharType="separate"/>
      </w:r>
      <w:r>
        <w:rPr>
          <w:rFonts w:cs="Arial"/>
          <w:lang w:val="en-US"/>
        </w:rPr>
        <w:t>Conclusion</w:t>
      </w:r>
      <w:r>
        <w:rPr>
          <w:rFonts w:cs="Arial"/>
        </w:rPr>
        <w:tab/>
      </w:r>
      <w:r>
        <w:rPr>
          <w:rFonts w:cs="Arial"/>
        </w:rPr>
        <w:fldChar w:fldCharType="begin"/>
      </w:r>
      <w:r>
        <w:rPr>
          <w:rFonts w:cs="Arial"/>
        </w:rPr>
        <w:instrText xml:space="preserve"> PAGEREF _Toc224822444 \h </w:instrText>
      </w:r>
      <w:r>
        <w:rPr>
          <w:rFonts w:cs="Arial"/>
        </w:rPr>
        <w:fldChar w:fldCharType="separate"/>
      </w:r>
      <w:r>
        <w:rPr>
          <w:rFonts w:cs="Arial"/>
        </w:rPr>
        <w:t>19</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"_Toc224822445"</w:instrText>
      </w:r>
      <w:r>
        <w:fldChar w:fldCharType="separate"/>
      </w:r>
      <w:r>
        <w:rPr>
          <w:rFonts w:cs="Arial"/>
          <w:lang w:val="en-US"/>
        </w:rPr>
        <w:t>Summary of Key Findings</w:t>
      </w:r>
      <w:r>
        <w:rPr>
          <w:rFonts w:cs="Arial"/>
        </w:rPr>
        <w:tab/>
      </w:r>
      <w:r>
        <w:rPr>
          <w:rFonts w:cs="Arial"/>
        </w:rPr>
        <w:fldChar w:fldCharType="begin"/>
      </w:r>
      <w:r>
        <w:rPr>
          <w:rFonts w:cs="Arial"/>
        </w:rPr>
        <w:instrText xml:space="preserve"> PAGEREF _Toc224822445 \h </w:instrText>
      </w:r>
      <w:r>
        <w:rPr>
          <w:rFonts w:cs="Arial"/>
        </w:rPr>
        <w:fldChar w:fldCharType="separate"/>
      </w:r>
      <w:r>
        <w:rPr>
          <w:rFonts w:cs="Arial"/>
        </w:rPr>
        <w:t>19</w:t>
      </w:r>
      <w:r>
        <w:rPr>
          <w:rFonts w:cs="Arial"/>
        </w:rPr>
        <w:fldChar w:fldCharType="end"/>
      </w:r>
      <w:r>
        <w:fldChar w:fldCharType="end"/>
      </w:r>
    </w:p>
    <w:p>
      <w:pPr>
        <w:pStyle w:val="26"/>
        <w:tabs>
          <w:tab w:val="right" w:leader="dot" w:pos="9016"/>
        </w:tabs>
        <w:spacing w:line="360" w:lineRule="auto"/>
        <w:rPr>
          <w:rFonts w:cs="Arial"/>
        </w:rPr>
      </w:pPr>
      <w:r>
        <w:fldChar w:fldCharType="begin"/>
      </w:r>
      <w:r>
        <w:instrText>Hyperlink \l "_Toc224822446"</w:instrText>
      </w:r>
      <w:r>
        <w:fldChar w:fldCharType="separate"/>
      </w:r>
      <w:r>
        <w:rPr>
          <w:rFonts w:cs="Arial"/>
          <w:lang w:val="en-US"/>
        </w:rPr>
        <w:t>Importance of Leadership, Governance and Systems Thinking</w:t>
      </w:r>
      <w:r>
        <w:rPr>
          <w:rFonts w:cs="Arial"/>
        </w:rPr>
        <w:tab/>
      </w:r>
      <w:r>
        <w:rPr>
          <w:rFonts w:cs="Arial"/>
        </w:rPr>
        <w:fldChar w:fldCharType="begin"/>
      </w:r>
      <w:r>
        <w:rPr>
          <w:rFonts w:cs="Arial"/>
        </w:rPr>
        <w:instrText xml:space="preserve"> PAGEREF _Toc224822446 \h </w:instrText>
      </w:r>
      <w:r>
        <w:rPr>
          <w:rFonts w:cs="Arial"/>
        </w:rPr>
        <w:fldChar w:fldCharType="separate"/>
      </w:r>
      <w:r>
        <w:rPr>
          <w:rFonts w:cs="Arial"/>
        </w:rPr>
        <w:t>19</w:t>
      </w:r>
      <w:r>
        <w:rPr>
          <w:rFonts w:cs="Arial"/>
        </w:rPr>
        <w:fldChar w:fldCharType="end"/>
      </w:r>
      <w:r>
        <w:fldChar w:fldCharType="end"/>
      </w:r>
    </w:p>
    <w:p>
      <w:pPr>
        <w:spacing w:line="360" w:lineRule="auto"/>
      </w:pPr>
      <w:r>
        <w:rPr>
          <w:rFonts w:cs="Arial"/>
          <w:b/>
          <w:bCs/>
        </w:rPr>
        <w:fldChar w:fldCharType="end"/>
      </w:r>
    </w:p>
    <w:p>
      <w:pPr>
        <w:sectPr>
          <w:headerReference w:type="default" r:id="rId2"/>
          <w:footerReference w:type="default" r:id="rId3"/>
          <w:pgSz w:w="11906" w:h="16838"/>
          <w:pgMar w:top="1440" w:right="1440" w:bottom="1440" w:left="1440" w:header="708" w:footer="708" w:gutter="0"/>
          <w:docGrid w:linePitch="360" w:charSpace="0"/>
        </w:sectPr>
      </w:pPr>
    </w:p>
    <w:p>
      <w:pPr>
        <w:rPr>
          <w:rFonts w:eastAsia="等线 Light" w:cs="Droid Sans"/>
          <w:b/>
          <w:szCs w:val="40"/>
        </w:rPr>
      </w:pPr>
    </w:p>
    <w:p>
      <w:pPr>
        <w:pStyle w:val="1"/>
      </w:pPr>
      <w:bookmarkStart w:id="1" w:name="_Toc224822410"/>
      <w:r>
        <w:t>1.0 Introduction</w:t>
      </w:r>
      <w:bookmarkEnd w:id="1"/>
      <w:r>
        <w:t xml:space="preserve"> </w:t>
      </w:r>
    </w:p>
    <w:p>
      <w:pPr>
        <w:pStyle w:val="2"/>
      </w:pPr>
      <w:bookmarkStart w:id="2" w:name="_Toc224822411"/>
      <w:r>
        <w:t>1.1 Background of the Case Study</w:t>
      </w:r>
      <w:bookmarkEnd w:id="2"/>
    </w:p>
    <w:p>
      <w:pPr>
        <w:spacing w:line="360" w:lineRule="auto"/>
        <w:jc w:val="both"/>
        <w:rPr>
          <w:rFonts w:cs="Arial"/>
        </w:rPr>
      </w:pPr>
      <w:r>
        <w:rPr>
          <w:rFonts w:cs="Arial"/>
        </w:rPr>
        <w:t>The chosen case study is a case of medication error where a medication error occurred with a four-week-old baby who was mistakenly given a morphine sulphate oral solution at a dosage of twenty times higher than intended. This happened because of the dispensing of the wrong concentration of medication. The incident brings to light severe failings of communications, prescription, and safety procedures in the healthcare system.</w:t>
      </w:r>
    </w:p>
    <w:p>
      <w:pPr>
        <w:pStyle w:val="2"/>
      </w:pPr>
      <w:bookmarkStart w:id="3" w:name="_Toc224822412"/>
      <w:r>
        <w:t>1.2 Definition of Leadership</w:t>
      </w:r>
      <w:bookmarkEnd w:id="3"/>
    </w:p>
    <w:p>
      <w:pPr>
        <w:spacing w:line="360" w:lineRule="auto"/>
        <w:jc w:val="both"/>
        <w:rPr>
          <w:rFonts w:cs="Arial"/>
        </w:rPr>
      </w:pPr>
      <w:r>
        <w:rPr>
          <w:rFonts w:cs="Arial"/>
        </w:rPr>
        <w:t>Leadership to me is the dynamic process of influencing and aligning people's behaviours, values, and efforts to achieve common goals, especially in a complex environment such as healthcare which involves guiding teams through change, working collaboratively and ensuring safe, high quality outcomes (Ledlow et al., 2023).</w:t>
      </w:r>
    </w:p>
    <w:p>
      <w:pPr>
        <w:pStyle w:val="2"/>
      </w:pPr>
      <w:bookmarkStart w:id="4" w:name="_Toc224822413"/>
      <w:r>
        <w:t>1.3 Centralisation vs Decentralisation</w:t>
      </w:r>
      <w:bookmarkEnd w:id="4"/>
    </w:p>
    <w:p>
      <w:pPr>
        <w:spacing w:line="360" w:lineRule="auto"/>
        <w:jc w:val="both"/>
        <w:rPr>
          <w:rFonts w:cs="Arial"/>
          <w:b/>
          <w:bCs/>
        </w:rPr>
      </w:pPr>
      <w:r>
        <w:rPr>
          <w:rFonts w:cs="Arial"/>
          <w:b/>
          <w:bCs/>
        </w:rPr>
        <w:t>Centralised System</w:t>
      </w:r>
    </w:p>
    <w:p>
      <w:pPr>
        <w:spacing w:line="360" w:lineRule="auto"/>
        <w:jc w:val="both"/>
        <w:rPr>
          <w:rFonts w:cs="Arial"/>
        </w:rPr>
      </w:pPr>
      <w:r>
        <w:rPr>
          <w:rFonts w:cs="Arial"/>
        </w:rPr>
        <w:t>A centralised system is where the power to make decisions is transferred to higher levels of hierarchy: it allows for uniform governance, standardisation, and coordinated control. In the healthcare field, it is being used to support consistent quality and fast system-wide responses, however it may result in decreased local autonomy and flexibility (Ramsay et al., 2025).</w:t>
      </w:r>
    </w:p>
    <w:p>
      <w:pPr>
        <w:spacing w:line="360" w:lineRule="auto"/>
        <w:jc w:val="both"/>
        <w:rPr>
          <w:rFonts w:cs="Arial"/>
          <w:b/>
          <w:bCs/>
        </w:rPr>
      </w:pPr>
      <w:r>
        <w:rPr>
          <w:rFonts w:cs="Arial"/>
          <w:b/>
          <w:bCs/>
        </w:rPr>
        <w:t>Decentralised System</w:t>
      </w:r>
    </w:p>
    <w:p>
      <w:pPr>
        <w:spacing w:line="360" w:lineRule="auto"/>
        <w:jc w:val="both"/>
        <w:rPr>
          <w:rFonts w:cs="Arial"/>
        </w:rPr>
      </w:pPr>
      <w:r>
        <w:rPr>
          <w:rFonts w:cs="Arial"/>
        </w:rPr>
        <w:t>Decentralised system is a delegated approach that puts the power of decision making in the hands of front-line teams, allowing for context specific care, quicker response and better innovation, and developing accountability and adaptability in complex healthcare environments (OECD, 2025).</w:t>
      </w:r>
    </w:p>
    <w:p>
      <w:pPr>
        <w:pStyle w:val="2"/>
      </w:pPr>
      <w:bookmarkStart w:id="5" w:name="_Toc224822414"/>
      <w:r>
        <w:t>1.4 Leadership Theories Overview</w:t>
      </w:r>
      <w:bookmarkEnd w:id="5"/>
    </w:p>
    <w:p>
      <w:pPr>
        <w:spacing w:line="360" w:lineRule="auto"/>
        <w:jc w:val="both"/>
      </w:pPr>
      <w:r>
        <w:t>In this report, three main theories of leadership will be used to analyse the given case. Transformational leadership will be on the creation of a strong safety culture and driving improvement. Situational leadership will put an emphasis on the adaptation of leadership approaches to differing clinical situations especially in high-risk situations. Behavioural theory will examine the balance of task-oriented processes, and effective communication. Together, these theories will create a framework for successful evaluation of leadership and identify failures in the system in healthcare settings.</w:t>
      </w:r>
    </w:p>
    <w:p>
      <w:pPr>
        <w:pStyle w:val="2"/>
        <w:spacing w:line="360" w:lineRule="auto"/>
      </w:pPr>
      <w:bookmarkStart w:id="6" w:name="_Toc224822415"/>
      <w:r>
        <w:t>1.5 Importance of Leadership in Healthcare</w:t>
      </w:r>
      <w:bookmarkEnd w:id="6"/>
    </w:p>
    <w:p>
      <w:pPr>
        <w:spacing w:line="360" w:lineRule="auto"/>
        <w:jc w:val="both"/>
      </w:pPr>
      <w:r>
        <w:t>Effective leadership is critical in the healthcare industry because it promotes patient safety by minimising medical errors, facilitates better performance of staff members through motivation and coordination and helps with crisis management by enabling effective, immediate, and informed decision-making during high-risk scenarios (WHO, 2023).</w:t>
      </w:r>
    </w:p>
    <w:p>
      <w:pPr>
        <w:pStyle w:val="2"/>
        <w:spacing w:line="360" w:lineRule="auto"/>
      </w:pPr>
      <w:bookmarkStart w:id="7" w:name="_Toc224822416"/>
      <w:r>
        <w:t>1.6 Structure of the Report</w:t>
      </w:r>
      <w:bookmarkEnd w:id="7"/>
    </w:p>
    <w:p>
      <w:pPr>
        <w:spacing w:line="360" w:lineRule="auto"/>
        <w:jc w:val="both"/>
        <w:rPr>
          <w:rFonts w:cs="Arial"/>
        </w:rPr>
      </w:pPr>
      <w:r>
        <w:rPr>
          <w:rFonts w:cs="Arial"/>
        </w:rPr>
        <w:t>This report will analyse the case by making use of systems thinking to identify key issues, analyse approaches to centralisation and leadership, apply relevant leadership theories, analyse failures and improvements made, and give evidence-based recommendations for improving the performance of healthcare and patient safety.</w:t>
        <w:br w:type="page"/>
      </w:r>
    </w:p>
    <w:p>
      <w:pPr>
        <w:pStyle w:val="1"/>
      </w:pPr>
      <w:bookmarkStart w:id="8" w:name="_Toc224822417"/>
      <w:r>
        <w:t>2.0 Main Body</w:t>
      </w:r>
      <w:bookmarkEnd w:id="8"/>
    </w:p>
    <w:p>
      <w:pPr>
        <w:pStyle w:val="2"/>
      </w:pPr>
      <w:bookmarkStart w:id="9" w:name="_Toc224822418"/>
      <w:r>
        <w:t>a. Identifying the Problem Using Systems Thinking</w:t>
      </w:r>
      <w:bookmarkEnd w:id="9"/>
    </w:p>
    <w:p>
      <w:pPr>
        <w:pStyle w:val="3"/>
      </w:pPr>
      <w:bookmarkStart w:id="10" w:name="_Toc224822419"/>
      <w:r>
        <w:t>a.1 Contextual Description of the Problem</w:t>
      </w:r>
      <w:bookmarkEnd w:id="10"/>
    </w:p>
    <w:p>
      <w:pPr>
        <w:spacing w:line="360" w:lineRule="auto"/>
        <w:jc w:val="both"/>
        <w:rPr>
          <w:rFonts w:cs="Arial"/>
          <w:lang w:val="en-US"/>
        </w:rPr>
      </w:pPr>
      <w:r>
        <w:rPr>
          <w:rFonts w:cs="Arial"/>
        </w:rPr>
        <w:t xml:space="preserve">The case involves a serious medication error where a four-week-old infant was given a medication in the form of morphine sulphate, around twenty times the prescribed dose, as a result of the dispensing of the wrong high strength medication. This incident occurred within the context of a complex healthcare system with multiple stages, prescription, dispensing and administration where several of the safety cheques broke down simultaneously. Contributing factors included illegible prescribing instructions, communication breakdown between healthcare professionals and poor verification processes </w:t>
      </w:r>
      <w:r>
        <w:rPr>
          <w:rFonts w:cs="Arial"/>
          <w:lang w:val="en-US"/>
        </w:rPr>
        <w:t>(NHS England, 2023a)</w:t>
      </w:r>
      <w:r>
        <w:rPr>
          <w:rFonts w:cs="Arial"/>
        </w:rPr>
        <w:t>. Rather than being a one off, the incident has implications for broader systemic weaknesses in medicines management, clinical governance, and patient safety in identifying the risks associated with high alert medications in paediatric care settings.</w:t>
      </w:r>
    </w:p>
    <w:p>
      <w:pPr>
        <w:pStyle w:val="3"/>
      </w:pPr>
      <w:bookmarkStart w:id="11" w:name="_Toc224822420"/>
      <w:r>
        <w:t>a.2 Integration of National and International Evidence</w:t>
      </w:r>
      <w:bookmarkEnd w:id="11"/>
    </w:p>
    <w:p>
      <w:pPr>
        <w:spacing w:line="360" w:lineRule="auto"/>
        <w:jc w:val="both"/>
        <w:rPr>
          <w:rFonts w:cs="Arial"/>
          <w:b/>
          <w:bCs/>
        </w:rPr>
      </w:pPr>
      <w:r>
        <w:rPr>
          <w:rFonts w:cs="Arial"/>
          <w:b/>
          <w:bCs/>
        </w:rPr>
        <w:t>Table: 01</w:t>
      </w:r>
    </w:p>
    <w:tbl>
      <w:tblPr>
        <w:jc w:val="left"/>
        <w:tblInd w:w="0" w:type="dxa"/>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781"/>
        <w:gridCol w:w="3818"/>
        <w:gridCol w:w="5461"/>
      </w:tblGrid>
      <w:tr>
        <w:tc>
          <w:tcPr/>
          <w:p>
            <w:pPr>
              <w:spacing w:after="160" w:line="360" w:lineRule="auto"/>
              <w:jc w:val="both"/>
              <w:rPr>
                <w:rFonts w:cs="Arial"/>
                <w:b/>
                <w:bCs/>
              </w:rPr>
            </w:pPr>
            <w:r>
              <w:rPr>
                <w:rFonts w:cs="Arial"/>
                <w:b/>
                <w:bCs/>
              </w:rPr>
              <w:t>Source</w:t>
            </w:r>
          </w:p>
        </w:tc>
        <w:tc>
          <w:tcPr/>
          <w:p>
            <w:pPr>
              <w:spacing w:after="160" w:line="360" w:lineRule="auto"/>
              <w:jc w:val="both"/>
              <w:rPr>
                <w:rFonts w:cs="Arial"/>
                <w:b/>
                <w:bCs/>
              </w:rPr>
            </w:pPr>
            <w:r>
              <w:rPr>
                <w:rFonts w:cs="Arial"/>
                <w:b/>
                <w:bCs/>
              </w:rPr>
              <w:t>Statistic (Recent Evidence)</w:t>
            </w:r>
          </w:p>
        </w:tc>
        <w:tc>
          <w:tcPr>
            <w:tcW w:w="5461" w:type="dxa"/>
          </w:tcPr>
          <w:p>
            <w:pPr>
              <w:spacing w:after="160" w:line="360" w:lineRule="auto"/>
              <w:jc w:val="both"/>
              <w:rPr>
                <w:rFonts w:cs="Arial"/>
                <w:b/>
                <w:bCs/>
              </w:rPr>
            </w:pPr>
            <w:r>
              <w:rPr>
                <w:rFonts w:cs="Arial"/>
                <w:b/>
                <w:bCs/>
              </w:rPr>
              <w:t>Explanation of What the Data Reveals</w:t>
            </w:r>
          </w:p>
        </w:tc>
      </w:tr>
      <w:tr>
        <w:tc>
          <w:tcPr/>
          <w:p>
            <w:pPr>
              <w:spacing w:after="160" w:line="360" w:lineRule="auto"/>
              <w:jc w:val="both"/>
              <w:rPr>
                <w:rFonts w:cs="Arial"/>
                <w:b/>
                <w:bCs/>
              </w:rPr>
            </w:pPr>
            <w:r>
              <w:rPr>
                <w:rFonts w:cs="Arial"/>
                <w:b/>
                <w:bCs/>
              </w:rPr>
              <w:t>WHO (2023)</w:t>
            </w:r>
          </w:p>
        </w:tc>
        <w:tc>
          <w:tcPr/>
          <w:p>
            <w:pPr>
              <w:spacing w:after="0" w:line="360" w:lineRule="auto"/>
              <w:jc w:val="both"/>
              <w:rPr>
                <w:rFonts w:cs="Arial"/>
              </w:rPr>
            </w:pPr>
            <w:r>
              <w:rPr>
                <w:rFonts w:cs="Arial"/>
              </w:rPr>
              <w:t>Around 1 in 10 patients are harmed when they are receiving healthcare services, and over 3 million patients die each year due to unsafe care and 1 in 20 patients experience medication-related harm that could have been prevented (WHO, 2023).</w:t>
            </w:r>
          </w:p>
        </w:tc>
        <w:tc>
          <w:tcPr>
            <w:tcW w:w="5461" w:type="dxa"/>
          </w:tcPr>
          <w:p>
            <w:pPr>
              <w:spacing w:after="160" w:line="360" w:lineRule="auto"/>
              <w:jc w:val="both"/>
              <w:rPr>
                <w:rFonts w:cs="Arial"/>
              </w:rPr>
            </w:pPr>
            <w:r>
              <w:rPr>
                <w:rFonts w:cs="Arial"/>
              </w:rPr>
              <w:t>Global data proves that errors in medications is a wide-spread and systemic problem throughout healthcare systems. The large numbers of preventable harms indicate that failures are not random but related to: weakness of systems design, communication, and safety processes This contributes to the case study by showing that the morphine overdose is indicative of wider issues with the safety of medication across the world and particularly in high-risk environments, such as paediatric care.</w:t>
            </w:r>
          </w:p>
        </w:tc>
      </w:tr>
      <w:tr>
        <w:tc>
          <w:tcPr/>
          <w:p>
            <w:pPr>
              <w:spacing w:after="160" w:line="360" w:lineRule="auto"/>
              <w:jc w:val="both"/>
              <w:rPr>
                <w:rFonts w:cs="Arial"/>
                <w:b/>
                <w:bCs/>
              </w:rPr>
            </w:pPr>
            <w:r>
              <w:rPr>
                <w:rFonts w:cs="Arial"/>
                <w:b/>
                <w:bCs/>
              </w:rPr>
              <w:t>NHS England (2025a)</w:t>
            </w:r>
          </w:p>
        </w:tc>
        <w:tc>
          <w:tcPr/>
          <w:p>
            <w:pPr>
              <w:spacing w:after="0" w:line="360" w:lineRule="auto"/>
              <w:jc w:val="both"/>
              <w:rPr>
                <w:rFonts w:cs="Arial"/>
              </w:rPr>
            </w:pPr>
            <w:r>
              <w:rPr>
                <w:rFonts w:cs="Arial"/>
              </w:rPr>
              <w:t>Medication related incidents account for around 10% of all patient safety incidents reported in the NHS making them one of the most common categories of harm reported (NHS England, 2025a).</w:t>
            </w:r>
          </w:p>
        </w:tc>
        <w:tc>
          <w:tcPr>
            <w:tcW w:w="5461" w:type="dxa"/>
          </w:tcPr>
          <w:p>
            <w:pPr>
              <w:spacing w:after="160" w:line="360" w:lineRule="auto"/>
              <w:jc w:val="both"/>
              <w:rPr>
                <w:rFonts w:cs="Arial"/>
              </w:rPr>
            </w:pPr>
            <w:r>
              <w:rPr>
                <w:rFonts w:cs="Arial"/>
              </w:rPr>
              <w:t>This national evidence confirms that incidents involving medication are common in the NHS, and points to systems issues, rather than individual mistakes. It points to the persisting weaknesses in communication, coordination, and verification processes through medication pathways. This links directly into the case study where there were failures in prescribing, dispensing and communication which led to a serious overdose, which is indicative of wider inefficiencies in the system and patient safety.</w:t>
            </w:r>
          </w:p>
        </w:tc>
      </w:tr>
      <w:tr>
        <w:tc>
          <w:tcPr/>
          <w:p>
            <w:pPr>
              <w:spacing w:after="160" w:line="360" w:lineRule="auto"/>
              <w:rPr>
                <w:rFonts w:cs="Arial"/>
              </w:rPr>
            </w:pPr>
            <w:r>
              <w:rPr>
                <w:rFonts w:cs="Arial"/>
                <w:b/>
                <w:bCs/>
              </w:rPr>
              <w:t>OECD (2025)</w:t>
            </w:r>
          </w:p>
        </w:tc>
        <w:tc>
          <w:tcPr/>
          <w:p>
            <w:pPr>
              <w:spacing w:after="0" w:line="360" w:lineRule="auto"/>
              <w:jc w:val="both"/>
              <w:rPr>
                <w:rFonts w:cs="Arial"/>
              </w:rPr>
            </w:pPr>
            <w:r>
              <w:rPr>
                <w:rFonts w:cs="Arial"/>
              </w:rPr>
              <w:t>Between 4% and 17% of patients hospitalised have safety incidents, including medication errors, involving healthcare systems (OECD, 2025).</w:t>
            </w:r>
          </w:p>
        </w:tc>
        <w:tc>
          <w:tcPr>
            <w:tcW w:w="5461" w:type="dxa"/>
          </w:tcPr>
          <w:p>
            <w:pPr>
              <w:spacing w:after="160" w:line="360" w:lineRule="auto"/>
              <w:jc w:val="both"/>
              <w:rPr>
                <w:rFonts w:cs="Arial"/>
              </w:rPr>
            </w:pPr>
            <w:r>
              <w:rPr>
                <w:rFonts w:cs="Arial"/>
              </w:rPr>
              <w:t>This organisation-level evidence bridges the gap between the global and national perspectives by demonstrating that failures in patient safety are consistent across countries. This underlines the fact that medicine errors happen across systems regardless of the development level underlining that the case of infant overdose reflects systemic weaknesses in healthcare processes, leadership, and governance and not an isolated error.</w:t>
            </w:r>
          </w:p>
        </w:tc>
      </w:tr>
    </w:tbl>
    <w:p>
      <w:pPr>
        <w:spacing w:line="360" w:lineRule="auto"/>
        <w:jc w:val="both"/>
        <w:rPr>
          <w:rFonts w:cs="Arial"/>
          <w:b/>
          <w:bCs/>
        </w:rPr>
      </w:pPr>
    </w:p>
    <w:p>
      <w:pPr>
        <w:pStyle w:val="3"/>
      </w:pPr>
      <w:bookmarkStart w:id="12" w:name="_Toc224822421"/>
      <w:r>
        <w:t>a.3 Analysis of System-Level Weaknesses</w:t>
      </w:r>
      <w:bookmarkEnd w:id="12"/>
    </w:p>
    <w:p>
      <w:pPr>
        <w:spacing w:line="360" w:lineRule="auto"/>
        <w:jc w:val="both"/>
        <w:rPr>
          <w:rFonts w:cs="Arial"/>
          <w:b/>
          <w:bCs/>
        </w:rPr>
      </w:pPr>
      <w:r>
        <w:rPr>
          <w:rFonts w:cs="Arial"/>
          <w:b/>
          <w:bCs/>
        </w:rPr>
        <w:t>Systemic Weaknesses in Communication, Accountability and Leadership</w:t>
      </w:r>
    </w:p>
    <w:p>
      <w:pPr>
        <w:spacing w:line="360" w:lineRule="auto"/>
        <w:jc w:val="both"/>
        <w:rPr>
          <w:rFonts w:cs="Arial"/>
        </w:rPr>
      </w:pPr>
      <w:r>
        <w:rPr>
          <w:rFonts w:cs="Arial"/>
        </w:rPr>
        <w:t>Here, the absence of transparency in the accountability between the prescriber and pharmacist was a direct cause of the infant morphine overdose since the incorrect concentration went undetected between the prescription and dispensing steps. NHS England's current safety framework explicitly focuses on understanding how incidents occur through contributory factors instead of individual blame and requires executive oversight for safety actions, which would seem to require organisational, as well as clinical, accountability. Communication is central: as it stands, there were an estimated 600m patient contacts or 1.7m interactions a day in 2023/24 with opportunities for information loss between staff and with families (NHS England, 2025c). Recent UK analysis of 51,994 NRLS high risk medication incidents identified errors as concentrated in administration (48.4%), prescribing (22.24%) and dispensing (8.8%) with inadequate checking and difficulty communicating staff and workload being repeatedly identified as contributory factors (Alrowily et al., 2024). In this case, lack of clarity in accountability between prescriber and pharmacist allowed the wrong concentration of morphine to pass unchecked, whereas leadership failure is evident in a lack of enforced high-risk medication safeguards, reflecting poor safety culture and oversight.</w:t>
      </w:r>
    </w:p>
    <w:p>
      <w:pPr>
        <w:spacing w:line="360" w:lineRule="auto"/>
        <w:jc w:val="center"/>
        <w:rPr>
          <w:rFonts w:cs="Arial"/>
        </w:rPr>
      </w:pPr>
      <w:r>
        <w:rPr>
          <w:rFonts w:cs="Arial"/>
        </w:rPr>
        <w:drawing>
          <wp:inline distT="0" distB="0" distL="0" distR="0">
            <wp:extent cx="4297117" cy="3116911"/>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5"/>
                    <a:stretch>
                      <a:fillRect/>
                    </a:stretch>
                  </pic:blipFill>
                  <pic:spPr>
                    <a:xfrm rot="0">
                      <a:off x="0" y="0"/>
                      <a:ext cx="4297117" cy="3116911"/>
                    </a:xfrm>
                    <a:prstGeom prst="rect"/>
                    <a:noFill/>
                    <a:ln w="12700" cmpd="sng" cap="flat">
                      <a:noFill/>
                      <a:prstDash val="solid"/>
                      <a:round/>
                    </a:ln>
                  </pic:spPr>
                </pic:pic>
              </a:graphicData>
            </a:graphic>
          </wp:inline>
        </w:drawing>
      </w:r>
    </w:p>
    <w:p>
      <w:pPr>
        <w:spacing w:line="360" w:lineRule="auto"/>
        <w:jc w:val="center"/>
        <w:rPr>
          <w:rFonts w:cs="Arial"/>
          <w:b/>
          <w:bCs/>
        </w:rPr>
      </w:pPr>
      <w:r>
        <w:rPr>
          <w:rFonts w:cs="Arial"/>
          <w:b/>
          <w:bCs/>
        </w:rPr>
        <w:t xml:space="preserve">Fig 01: </w:t>
      </w:r>
      <w:r>
        <w:rPr>
          <w:rFonts w:cs="Arial"/>
        </w:rPr>
        <w:t>Selection and Analysis of NRLS High-Risk Medication Incident Reports Across Insulin, Anticoagulants, and Opioids</w:t>
      </w:r>
    </w:p>
    <w:p>
      <w:pPr>
        <w:spacing w:line="360" w:lineRule="auto"/>
        <w:jc w:val="center"/>
        <w:rPr>
          <w:rFonts w:cs="Arial"/>
          <w:b/>
          <w:bCs/>
        </w:rPr>
      </w:pPr>
      <w:r>
        <w:rPr>
          <w:rFonts w:cs="Arial"/>
          <w:b/>
          <w:bCs/>
        </w:rPr>
        <w:t xml:space="preserve">Source: </w:t>
      </w:r>
      <w:r>
        <w:rPr>
          <w:rFonts w:cs="Arial"/>
        </w:rPr>
        <w:t>(Alrowily et al., 2024)</w:t>
      </w:r>
    </w:p>
    <w:p>
      <w:pPr>
        <w:spacing w:line="360" w:lineRule="auto"/>
        <w:jc w:val="both"/>
        <w:rPr>
          <w:rFonts w:cs="Arial"/>
          <w:b/>
          <w:bCs/>
        </w:rPr>
      </w:pPr>
      <w:r>
        <w:rPr>
          <w:rFonts w:cs="Arial"/>
          <w:b/>
          <w:bCs/>
        </w:rPr>
        <w:t>Governance Level Influencing the Problem (Local, Regional, National)</w:t>
      </w:r>
    </w:p>
    <w:p>
      <w:pPr>
        <w:spacing w:line="360" w:lineRule="auto"/>
        <w:jc w:val="both"/>
        <w:rPr>
          <w:rFonts w:cs="Arial"/>
        </w:rPr>
      </w:pPr>
      <w:r>
        <w:rPr>
          <w:rFonts w:cs="Arial"/>
        </w:rPr>
        <w:t>The issue was most directly affected by local governance, since the emergence of the overdose was due to failures in discharge documentation, prescribing review, pharmacy handover and parent counselling at the hospital, GP practise, and community pharmacy. The case study provides an example of how the discharge summary being handwritten, unclear wording and poor transfer of care cheques allowed the error to continue unchecked from setting to setting. However, local level of governance was also important: morphine 100 micrograms/ml was already a "RED" drug in the Trust and ICB, but even that control did not prevent prescriptions in primary care. The incident also has a national significance as NHS England said this was the fifth of its kind since 2018 with one previous death of a baby (NHS England, 2023b).</w:t>
      </w:r>
    </w:p>
    <w:p>
      <w:pPr>
        <w:spacing w:line="360" w:lineRule="auto"/>
        <w:jc w:val="both"/>
        <w:rPr>
          <w:rFonts w:cs="Arial"/>
          <w:b/>
          <w:bCs/>
        </w:rPr>
      </w:pPr>
      <w:r>
        <w:rPr>
          <w:rFonts w:cs="Arial"/>
          <w:b/>
          <w:bCs/>
        </w:rPr>
        <w:t>Underlying System Challenges (Workforce, Patient Safety and Resource Constraints)</w:t>
      </w:r>
    </w:p>
    <w:p>
      <w:pPr>
        <w:spacing w:line="360" w:lineRule="auto"/>
        <w:jc w:val="both"/>
        <w:rPr>
          <w:rFonts w:cs="Arial"/>
        </w:rPr>
      </w:pPr>
      <w:r>
        <w:rPr>
          <w:rFonts w:cs="Arial"/>
        </w:rPr>
        <w:t>The error occurred amid the context of larger pressures in the system that makes people more vulnerable to medicines harm. NHS England's workforce plan found over 112,000 vacancies across services - meaning there are on-going staffing gaps which can undermine checking, supervision, and continuity in high risk prescribing pathways (NHS England, 2024a). Financial stress is also a factor, according to the National Audit Office, in 2023/24 there will be a spend of GBP3.0 billion on agency staff which highlights the continued use of temporary staffing as a source of manpower, which can cause issues for the team being managed as well as local knowledge of protocol (NAO, 2025).These pressures are of particular importance in medicines safety, where the Medicines Safety Improvement Programme points out by NHS England that the causes of severe harm associated with medicines that have "been known about for years" but continue to exist across the system (NHS England, 2021).</w:t>
      </w:r>
    </w:p>
    <w:p>
      <w:pPr>
        <w:pStyle w:val="3"/>
      </w:pPr>
      <w:bookmarkStart w:id="13" w:name="_Toc224822422"/>
      <w:r>
        <w:t>a.4 Linking to Rich Picture</w:t>
      </w:r>
      <w:bookmarkEnd w:id="13"/>
    </w:p>
    <w:p>
      <w:pPr>
        <w:spacing w:line="360" w:lineRule="auto"/>
        <w:jc w:val="center"/>
        <w:rPr>
          <w:rFonts w:cs="Arial"/>
          <w:b/>
          <w:bCs/>
        </w:rPr>
      </w:pPr>
      <w:r>
        <w:rPr>
          <w:rFonts w:cs="Arial"/>
          <w:b/>
          <w:bCs/>
        </w:rPr>
        <w:drawing>
          <wp:inline distT="0" distB="0" distL="0" distR="0">
            <wp:extent cx="5937983" cy="3954483"/>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6"/>
                    <a:stretch>
                      <a:fillRect/>
                    </a:stretch>
                  </pic:blipFill>
                  <pic:spPr>
                    <a:xfrm rot="0">
                      <a:off x="0" y="0"/>
                      <a:ext cx="5937983" cy="3954483"/>
                    </a:xfrm>
                    <a:prstGeom prst="rect"/>
                    <a:noFill/>
                    <a:ln w="12700" cmpd="sng" cap="flat">
                      <a:noFill/>
                      <a:prstDash val="solid"/>
                      <a:round/>
                    </a:ln>
                  </pic:spPr>
                </pic:pic>
              </a:graphicData>
            </a:graphic>
          </wp:inline>
        </w:drawing>
      </w:r>
    </w:p>
    <w:p>
      <w:pPr>
        <w:spacing w:line="360" w:lineRule="auto"/>
        <w:jc w:val="center"/>
        <w:rPr>
          <w:rFonts w:cs="Arial"/>
          <w:b/>
          <w:bCs/>
        </w:rPr>
      </w:pPr>
      <w:r>
        <w:rPr>
          <w:rFonts w:cs="Arial"/>
          <w:b/>
          <w:bCs/>
        </w:rPr>
        <w:t xml:space="preserve">Fig 02: </w:t>
      </w:r>
      <w:r>
        <w:rPr>
          <w:rFonts w:cs="Arial"/>
        </w:rPr>
        <w:t>Rich Picture</w:t>
      </w:r>
    </w:p>
    <w:p>
      <w:pPr>
        <w:spacing w:line="360" w:lineRule="auto"/>
        <w:jc w:val="center"/>
        <w:rPr>
          <w:rFonts w:cs="Arial"/>
        </w:rPr>
      </w:pPr>
      <w:r>
        <w:rPr>
          <w:rFonts w:cs="Arial"/>
          <w:b/>
          <w:bCs/>
        </w:rPr>
        <w:t>Source:</w:t>
      </w:r>
      <w:r>
        <w:rPr>
          <w:rFonts w:cs="Arial"/>
        </w:rPr>
        <w:t xml:space="preserve"> (Self-Created)</w:t>
      </w:r>
    </w:p>
    <w:p>
      <w:pPr>
        <w:spacing w:line="360" w:lineRule="auto"/>
        <w:jc w:val="both"/>
        <w:rPr>
          <w:rFonts w:cs="Arial"/>
        </w:rPr>
      </w:pPr>
      <w:r>
        <w:rPr>
          <w:rFonts w:cs="Arial"/>
        </w:rPr>
        <w:t>The above rich picture shows how the Infant morphine overdose came about as a result of interlinked failures among critical system actors, such as the NHS leadership, hospital staff, GPs, pharmacists, and carers. Failure in communication breakdowns, poor prescribing to dispensing coordination, and ineffective discharge instructions were the factors that allowed the wrong dosing to go unnoticed. Systemic conditions like IT constraints, top-down decisions, and gaps in policy minimized the controls, and staffing, workload stresses, and poor feedback loops further hindered the detection of errors, indicating a systemic breakdown, and not a single clinical error.</w:t>
      </w:r>
    </w:p>
    <w:p>
      <w:pPr>
        <w:spacing w:line="360" w:lineRule="auto"/>
        <w:jc w:val="both"/>
        <w:rPr>
          <w:rFonts w:cs="Arial"/>
        </w:rPr>
      </w:pPr>
      <w:r>
        <w:rPr>
          <w:rFonts w:cs="Arial"/>
        </w:rPr>
        <w:br w:type="page"/>
      </w:r>
    </w:p>
    <w:p>
      <w:pPr>
        <w:pStyle w:val="2"/>
      </w:pPr>
      <w:bookmarkStart w:id="14" w:name="_Toc224822423"/>
      <w:r>
        <w:t>b. Centralisation vs. Decentralisation</w:t>
      </w:r>
      <w:bookmarkEnd w:id="14"/>
    </w:p>
    <w:p>
      <w:pPr>
        <w:pStyle w:val="3"/>
        <w:spacing w:line="360" w:lineRule="auto"/>
        <w:jc w:val="both"/>
      </w:pPr>
      <w:bookmarkStart w:id="15" w:name="_Toc224822424"/>
      <w:r>
        <w:t>b.1 Analysis of Whether the Case Study Organisation Operates in a Centralised or Decentralised System</w:t>
      </w:r>
      <w:bookmarkEnd w:id="15"/>
    </w:p>
    <w:p>
      <w:pPr>
        <w:spacing w:line="360" w:lineRule="auto"/>
        <w:jc w:val="both"/>
        <w:rPr>
          <w:rFonts w:cs="Arial"/>
        </w:rPr>
      </w:pPr>
      <w:r>
        <w:rPr>
          <w:rFonts w:cs="Arial"/>
        </w:rPr>
        <w:t>The case study organisation has a hybrid structure but the incident was more influenced by the decentralised practice rather than controlled centrally. The NHS in England is organized into 42 Integrated Care Systems, which are designed to support the collective local planning and decision-making at the provider level (NHS England, 2025d). In the current scenario, the process of decision-making was decentralized among hospital discharge staff, the GP and the community pharmacist as opposed to being centralized under one authority, with the regional formulary still having morphine 100 micrograms/ml classified centrally as restricted, so-called, RED medicine (NHS England, 2023c). This blend is reflective of a hybrid type of structure, although the overdose pathway was propelled mainly due to decentralised decision making across organisational borders.</w:t>
      </w:r>
    </w:p>
    <w:p>
      <w:pPr>
        <w:pStyle w:val="3"/>
      </w:pPr>
      <w:bookmarkStart w:id="16" w:name="_Toc224822425"/>
      <w:r>
        <w:t>b.2 Centralised systems:</w:t>
      </w:r>
      <w:bookmarkEnd w:id="16"/>
      <w:r>
        <w:t xml:space="preserve"> </w:t>
      </w:r>
    </w:p>
    <w:p>
      <w:pPr>
        <w:spacing w:line="360" w:lineRule="auto"/>
        <w:jc w:val="both"/>
        <w:rPr>
          <w:rFonts w:cs="Arial"/>
          <w:b/>
          <w:bCs/>
        </w:rPr>
      </w:pPr>
      <w:r>
        <w:rPr>
          <w:rFonts w:cs="Arial"/>
          <w:b/>
          <w:bCs/>
        </w:rPr>
        <w:t>Decision-Making and Example in Centralised Systems</w:t>
      </w:r>
    </w:p>
    <w:p>
      <w:pPr>
        <w:spacing w:line="360" w:lineRule="auto"/>
        <w:jc w:val="both"/>
        <w:rPr>
          <w:rFonts w:cs="Arial"/>
        </w:rPr>
      </w:pPr>
      <w:r>
        <w:rPr>
          <w:rFonts w:cs="Arial"/>
        </w:rPr>
        <w:t>Centralised systems make decisions at national and senior organisational levels and define and impose safety norms among the providers. A clear recent example is the Patient Safety Incident Response Framework (PSIRF), On April 1, 2024, the PSIRF will be mandatory to all NHS Standard Contract services and organisations must adhere to nationally prescribed incident response and governance practices (NHS England, 2024d). This shows that the control of safety processes is higher than frontline teams. In the case under consideration, the medicines controls of a high-risk opioid were supposed to be utilized by the same top-down logic, although central regulations were not accurately translated to the discharge practice, prescribing, and pharmacy.</w:t>
      </w:r>
    </w:p>
    <w:p>
      <w:pPr>
        <w:spacing w:line="360" w:lineRule="auto"/>
        <w:jc w:val="both"/>
        <w:rPr>
          <w:rFonts w:cs="Arial"/>
          <w:b/>
          <w:bCs/>
        </w:rPr>
      </w:pPr>
      <w:r>
        <w:rPr>
          <w:rFonts w:cs="Arial"/>
          <w:b/>
          <w:bCs/>
        </w:rPr>
        <w:t>Advantages and Disadvantages in Relation to the Case Study</w:t>
      </w:r>
    </w:p>
    <w:p>
      <w:pPr>
        <w:spacing w:line="360" w:lineRule="auto"/>
        <w:jc w:val="both"/>
        <w:rPr>
          <w:rFonts w:cs="Arial"/>
        </w:rPr>
      </w:pPr>
      <w:r>
        <w:rPr>
          <w:rFonts w:cs="Arial"/>
          <w:b/>
          <w:bCs/>
        </w:rPr>
        <w:t xml:space="preserve">Advantages: </w:t>
      </w:r>
      <w:r>
        <w:rPr>
          <w:rFonts w:cs="Arial"/>
        </w:rPr>
        <w:t>The centralised decision-making process will maintain high risk drugs to the same safety level across providers enhancing uniformity. In 2025, the NHS England reported that work on medications safety prevented 1,900 deaths, which testifies to the efficiency of the national regulations. All providers contracted by the NHS must adhere to PSIRF since 1 April 2024 and create an incident-response model on a national level (NHS England, 2025b). This enhanced system wide accountability and executions. Due to the uniformity of limitations placed on paediatric morphine prescription, regular escalation routes and safety control, this method comes in handy.</w:t>
      </w:r>
    </w:p>
    <w:p>
      <w:pPr>
        <w:spacing w:line="360" w:lineRule="auto"/>
        <w:jc w:val="both"/>
        <w:rPr>
          <w:rFonts w:cs="Arial"/>
          <w:b/>
          <w:bCs/>
        </w:rPr>
      </w:pPr>
      <w:r>
        <w:rPr>
          <w:rFonts w:cs="Arial"/>
          <w:b/>
          <w:bCs/>
        </w:rPr>
        <w:t>Disadvantages</w:t>
      </w:r>
    </w:p>
    <w:p>
      <w:pPr>
        <w:spacing w:line="360" w:lineRule="auto"/>
        <w:jc w:val="both"/>
        <w:rPr>
          <w:rFonts w:cs="Arial"/>
        </w:rPr>
      </w:pPr>
      <w:r>
        <w:rPr>
          <w:rFonts w:cs="Arial"/>
        </w:rPr>
        <w:t>The centralised decision-making has a significant drawback in that it is incompatible with local practice, especially in the context of multi-provider pathways. The 2024 Primary Care Patient Safety Strategy of NHS England defines that primary care constitutes 90% of all NHS contacts, although one out of 20,000-30,000 significant harm cases in general practice are avoidable and reporting on this matter is uneven and underdeveloped (NHS England, 2024d). This is noteworthy in the current case since the top-down medicines controls had not been effectively translated among discharge, GP prescribing, and community pharmacy allowing an unhindered pathway of the morphine error.</w:t>
      </w:r>
    </w:p>
    <w:p>
      <w:pPr>
        <w:pStyle w:val="3"/>
      </w:pPr>
      <w:bookmarkStart w:id="17" w:name="_Toc224822426"/>
      <w:r>
        <w:t>b.3 Decentralised systems:</w:t>
      </w:r>
      <w:bookmarkEnd w:id="17"/>
    </w:p>
    <w:p>
      <w:pPr>
        <w:spacing w:line="360" w:lineRule="auto"/>
        <w:jc w:val="both"/>
        <w:rPr>
          <w:rFonts w:cs="Arial"/>
          <w:b/>
          <w:bCs/>
        </w:rPr>
      </w:pPr>
      <w:r>
        <w:rPr>
          <w:rFonts w:cs="Arial"/>
          <w:b/>
          <w:bCs/>
        </w:rPr>
        <w:t>Distribution of Authority and Example in Decentralised Systems</w:t>
      </w:r>
    </w:p>
    <w:p>
      <w:pPr>
        <w:spacing w:line="360" w:lineRule="auto"/>
        <w:jc w:val="both"/>
        <w:rPr>
          <w:rFonts w:cs="Arial"/>
        </w:rPr>
      </w:pPr>
      <w:r>
        <w:rPr>
          <w:rFonts w:cs="Arial"/>
        </w:rPr>
        <w:t>Decentralised system disperses authority at frontline and local provider level so that decisions are made nearer to patient care as opposed to decisions made by national command. The best current example is Primary Care Networks, in which more than 99% of general practices are employed in locally-led networks under clinical directors (NHS England, 2025d). In the current case, such decentralised logic is depicted in the manner in which the decisions of prescribing, discharge and dispensing were decentralised among the different professionals and environments.</w:t>
      </w:r>
    </w:p>
    <w:p>
      <w:pPr>
        <w:spacing w:line="360" w:lineRule="auto"/>
        <w:jc w:val="both"/>
        <w:rPr>
          <w:rFonts w:cs="Arial"/>
          <w:b/>
          <w:bCs/>
        </w:rPr>
      </w:pPr>
      <w:r>
        <w:rPr>
          <w:rFonts w:cs="Arial"/>
          <w:b/>
          <w:bCs/>
        </w:rPr>
        <w:t>Advantages and Disadvantages of Decentralised Systems in Relation to the Case Study</w:t>
      </w:r>
    </w:p>
    <w:p>
      <w:pPr>
        <w:spacing w:line="360" w:lineRule="auto"/>
        <w:jc w:val="both"/>
        <w:rPr>
          <w:rFonts w:cs="Arial"/>
          <w:b/>
          <w:bCs/>
        </w:rPr>
      </w:pPr>
      <w:r>
        <w:rPr>
          <w:rFonts w:cs="Arial"/>
          <w:b/>
          <w:bCs/>
        </w:rPr>
        <w:t xml:space="preserve">Advantages: </w:t>
      </w:r>
      <w:r>
        <w:rPr>
          <w:rFonts w:cs="Arial"/>
        </w:rPr>
        <w:t>Decentralised systems increase local responsiveness and facilitate decision making around care closer to the patient which were delivered by community pharmacies. 10,265 community pharmacies started to provide Pharmacy First services in 2024 resulting in an increase in local timely access (NHS England, 2024b). They also ensure professional autonomy and flexibility in service, which enables a faster clarification between settings. In this case, such local decision-making could have helped to support the checking and correcting of morphine dosing prior to occurrence of harm.</w:t>
      </w:r>
    </w:p>
    <w:p>
      <w:pPr>
        <w:spacing w:line="360" w:lineRule="auto"/>
        <w:jc w:val="both"/>
        <w:rPr>
          <w:rFonts w:cs="Arial"/>
          <w:lang w:val="en-US"/>
        </w:rPr>
      </w:pPr>
      <w:r>
        <w:rPr>
          <w:rFonts w:cs="Arial"/>
          <w:b/>
          <w:bCs/>
        </w:rPr>
        <w:t xml:space="preserve">Disadvantages: </w:t>
      </w:r>
      <w:r>
        <w:rPr>
          <w:rFonts w:cs="Arial"/>
        </w:rPr>
        <w:t xml:space="preserve">Decentralised systems can diffuse information transfer and defeat the consistency crosswise over organisations. NHS-related modelling suggests that these could be avoided through better integration of digital for example shared prescribing records) prevent up to 1 million medication errors each year with thousands of harms and dozens of deaths </w:t>
      </w:r>
      <w:r>
        <w:rPr>
          <w:rFonts w:cs="Arial"/>
          <w:lang w:val="en-US"/>
        </w:rPr>
        <w:t>(</w:t>
      </w:r>
      <w:r>
        <w:rPr>
          <w:rFonts w:cs="Arial"/>
        </w:rPr>
        <w:t>BMJ Group, 2024</w:t>
      </w:r>
      <w:r>
        <w:rPr>
          <w:rFonts w:cs="Arial"/>
          <w:lang w:val="en-US"/>
        </w:rPr>
        <w:t>)</w:t>
      </w:r>
      <w:r>
        <w:rPr>
          <w:rFonts w:cs="Arial"/>
        </w:rPr>
        <w:t>. In this case that fragmentation helped the morphine error to flow unchecked between discharge, GP prescribing, and community pharmacy.</w:t>
      </w:r>
    </w:p>
    <w:p>
      <w:pPr>
        <w:pStyle w:val="3"/>
      </w:pPr>
      <w:bookmarkStart w:id="18" w:name="_Toc224822427"/>
      <w:r>
        <w:t>b.4 Critical analysis</w:t>
      </w:r>
      <w:bookmarkEnd w:id="18"/>
    </w:p>
    <w:p>
      <w:pPr>
        <w:spacing w:line="360" w:lineRule="auto"/>
        <w:jc w:val="both"/>
        <w:rPr>
          <w:rFonts w:cs="Arial"/>
          <w:lang w:val="en-US"/>
        </w:rPr>
      </w:pPr>
      <w:r>
        <w:rPr>
          <w:rFonts w:cs="Arial"/>
        </w:rPr>
        <w:t xml:space="preserve">The case was a hybrid structure, in which rules in principle for the management of crises were central, but decentralised execution undermined real-time control. Central government provided some protection in the form of limited opioid policies and nationally standardised expectations about safety. However, decision-making and accountability was hampered as discharge, GP prescribing and community dispensing was spread across organisational boundaries with no one point of oversight. Recent evidence in English reports that 71% of patients had recorded completion in the 6,811 cases of Discharge Medicines Service referrals, shows lack of consistency in terms of transferring care (Wilcock et al., 2024). This is of crucial importance for opioids, where NHS medicines safety work estimate that for every 62 people supported to stop opioids 1 death is prevented, highlighting the impact that fragmented pathways can have on increased risk of high harm medicines (SPS, 2025). This analysis of hybrids of systems is supported in the below figure, where the treatment order errors were the most common around 380 cases, then pathophysiological prescribing errors around 320 cases and pharmacological prescribing errors around 185 cases, meaning that errors were identified at the beginning of the prescribing and decision pathway and not just at the stage of administration </w:t>
      </w:r>
      <w:r>
        <w:rPr>
          <w:rFonts w:cs="Arial"/>
          <w:lang w:val="en-US"/>
        </w:rPr>
        <w:t>(Despott et al., 2025)</w:t>
      </w:r>
      <w:r>
        <w:rPr>
          <w:rFonts w:cs="Arial"/>
        </w:rPr>
        <w:t>.</w:t>
      </w:r>
      <w:r>
        <w:t xml:space="preserve"> </w:t>
      </w:r>
      <w:r>
        <w:rPr>
          <w:rFonts w:cs="Arial"/>
        </w:rPr>
        <w:t>Thus, the hybrid system created confusion of accountability whereby there were central policies but these policies lacked effective operationalisation at local levels. This policy-practice disconnect was a major factor that led to the medication mistake.</w:t>
      </w:r>
    </w:p>
    <w:p>
      <w:pPr>
        <w:spacing w:line="360" w:lineRule="auto"/>
        <w:jc w:val="center"/>
        <w:rPr>
          <w:rFonts w:cs="Arial"/>
        </w:rPr>
      </w:pPr>
      <w:r>
        <w:rPr>
          <w:rFonts w:cs="Arial"/>
        </w:rPr>
        <w:drawing>
          <wp:inline distT="0" distB="0" distL="0" distR="0">
            <wp:extent cx="5394266" cy="3090042"/>
            <wp:effectExtent l="0" t="0" r="0" b="0"/>
            <wp:docPr id="10" name="图片 10"/>
            <wp:cNvGraphicFramePr>
              <a:graphicFrameLocks noChangeAspect="1"/>
            </wp:cNvGraphicFramePr>
            <a:graphic>
              <a:graphicData uri="http://schemas.openxmlformats.org/drawingml/2006/picture">
                <pic:pic>
                  <pic:nvPicPr>
                    <pic:cNvPr id="12" name="图片 12"/>
                    <pic:cNvPicPr/>
                  </pic:nvPicPr>
                  <pic:blipFill>
                    <a:blip r:embed="rId7"/>
                    <a:stretch>
                      <a:fillRect/>
                    </a:stretch>
                  </pic:blipFill>
                  <pic:spPr>
                    <a:xfrm rot="0">
                      <a:off x="0" y="0"/>
                      <a:ext cx="5394266" cy="3090042"/>
                    </a:xfrm>
                    <a:prstGeom prst="rect"/>
                    <a:noFill/>
                    <a:ln w="12700" cmpd="sng" cap="flat">
                      <a:noFill/>
                      <a:prstDash val="solid"/>
                      <a:miter/>
                    </a:ln>
                  </pic:spPr>
                </pic:pic>
              </a:graphicData>
            </a:graphic>
          </wp:inline>
        </w:drawing>
      </w:r>
    </w:p>
    <w:p>
      <w:pPr>
        <w:spacing w:line="360" w:lineRule="auto"/>
        <w:jc w:val="center"/>
        <w:rPr>
          <w:rFonts w:cs="Arial"/>
          <w:b/>
          <w:bCs/>
        </w:rPr>
      </w:pPr>
      <w:r>
        <w:rPr>
          <w:rFonts w:cs="Arial"/>
          <w:b/>
          <w:bCs/>
        </w:rPr>
        <w:t>Fig 03:</w:t>
      </w:r>
      <w:r>
        <w:rPr>
          <w:rFonts w:cs="Arial"/>
          <w:lang w:val="en-US"/>
        </w:rPr>
        <w:t xml:space="preserve"> </w:t>
      </w:r>
      <w:r>
        <w:rPr>
          <w:rFonts w:cs="Arial"/>
        </w:rPr>
        <w:t>Distribution of Medication Error Types</w:t>
      </w:r>
    </w:p>
    <w:p>
      <w:pPr>
        <w:spacing w:line="360" w:lineRule="auto"/>
        <w:jc w:val="center"/>
        <w:rPr>
          <w:rFonts w:cs="Arial"/>
          <w:b/>
          <w:bCs/>
        </w:rPr>
      </w:pPr>
      <w:r>
        <w:rPr>
          <w:rFonts w:cs="Arial"/>
          <w:b/>
          <w:bCs/>
        </w:rPr>
        <w:t xml:space="preserve">Source: </w:t>
      </w:r>
      <w:r>
        <w:rPr>
          <w:rFonts w:cs="Arial"/>
          <w:lang w:val="en-US"/>
        </w:rPr>
        <w:t>(Despott et al., 2025)</w:t>
      </w:r>
    </w:p>
    <w:p>
      <w:pPr>
        <w:spacing w:line="360" w:lineRule="auto"/>
        <w:rPr>
          <w:rFonts w:cs="Arial"/>
        </w:rPr>
      </w:pPr>
      <w:r>
        <w:rPr>
          <w:rFonts w:cs="Arial"/>
        </w:rPr>
        <w:br w:type="page"/>
      </w:r>
    </w:p>
    <w:p>
      <w:pPr>
        <w:pStyle w:val="2"/>
      </w:pPr>
      <w:bookmarkStart w:id="19" w:name="_Toc224822428"/>
      <w:r>
        <w:t>c. Leadership Theories and Application to the Case Study</w:t>
      </w:r>
      <w:bookmarkEnd w:id="19"/>
    </w:p>
    <w:p>
      <w:pPr>
        <w:pStyle w:val="3"/>
      </w:pPr>
      <w:bookmarkStart w:id="20" w:name="_Toc224822429"/>
      <w:r>
        <w:t>c.1 Transformational Leadership and Application to the Case Study</w:t>
      </w:r>
      <w:bookmarkEnd w:id="20"/>
    </w:p>
    <w:p>
      <w:pPr>
        <w:spacing w:line="360" w:lineRule="auto"/>
        <w:jc w:val="both"/>
        <w:rPr>
          <w:rFonts w:cs="Arial"/>
        </w:rPr>
      </w:pPr>
      <w:r>
        <w:rPr>
          <w:rFonts w:cs="Arial"/>
        </w:rPr>
        <w:t>Transformational leadership focuses on developing a vision and inspiring employees in ways that go beyond the day-to-day requirements and to change the culture so that safety becomes a culture and not a procedure (Tsapnidou et al., 2024). In this case that approach was highly relevant because to prevent a paediatric morphine overdose it was not enough to just follow the rules, it was necessary to ensure leaders implemented vigilance, questioning and cross-boundary coordination between discharge, prescribing and pharmacy processes. Recent evidence suggests a positive correlation between transformational leadership and patient safety culture and nursing safety practices with safety culture being an important mechanism by which leadership enhances safe care (Hamdan et al., 2024) This is a sign of leadership failure because it was reactive and not proactive and as such it was unable to form an anticipatory safety culture of high-risk prescribing. Controls existed but they were not converted into an anticipatory safety culture in which staff would have asked questions about the ambiguity in morphine concentration before harm happened. Weak psychological safety and ineffective leadership in promoting a proactive improvement culture are evidenced by the NHS Staff Survey (2024) findings in which only 61.82% of the staff believed that they were safe to speak out and 49.52% believed that the organisation responded, demonstrating a weak level of psychological safety. A transformational approach therefore would have been appropriate, but insufficiently wrought. More effective leadership would have included clarity of vision combined with emotionally intelligent listening and enhanced multidisciplinary escalation and explicit encouragement to challenge high risk prescribing decisions. This suggests that there is not only a lack of leadership presence but a lack of being able to convert safety vision into action behaviours within teams to prevent the establishment of a proactive safety culture.</w:t>
      </w:r>
    </w:p>
    <w:p>
      <w:pPr>
        <w:pStyle w:val="3"/>
      </w:pPr>
      <w:bookmarkStart w:id="21" w:name="_Toc224822430"/>
      <w:r>
        <w:t>c.2 Situational Leadership and Application to the Case Study</w:t>
      </w:r>
      <w:bookmarkEnd w:id="21"/>
    </w:p>
    <w:p>
      <w:pPr>
        <w:spacing w:line="360" w:lineRule="auto"/>
        <w:jc w:val="both"/>
        <w:rPr>
          <w:rFonts w:cs="Arial"/>
        </w:rPr>
      </w:pPr>
      <w:r>
        <w:rPr>
          <w:rFonts w:cs="Arial"/>
        </w:rPr>
        <w:t>Situational leadership is that there is no one-size-fits-all style of leadership and leadership attention should be tailored to the urgency, risk, and competence of the team (Wang et al., 2024). This theory especially lends itself to the current case as prescribing of opioids in childhood is a high-risk low tolerance situation where immediate clarification, assertive checking, and escalation are needed in situations of ambiguity. In such circumstances it would have been more directive and safety focused response that would have been appropriate, not least at point of discharge and dispensing</w:t>
      </w:r>
      <w:r>
        <w:t xml:space="preserve"> </w:t>
      </w:r>
      <w:r>
        <w:rPr>
          <w:rFonts w:cs="Arial"/>
        </w:rPr>
        <w:t>This is an indication of poor situational leadership because the leaders were unable to change their leadership approach to a high-risk neonatal opioid situation. Control mechanisms existed but not geared to the clinical seriousness of a morphine prescription for a neonate, that is staff were not required to guide their attention actively to the need to treat the decision as an exception and require heightened oversight. Recent evidence of staff drives home this concern. In the 2025 NHS Staff Survey, as little as 71.10% of staff responded that they would feel safe in reporting concerns about unsafe clinical practice, 59.29% believed their organisation dealt with staff involved in incidents fairly and 67.30% agreed that reported errors led to action (NHS Staff Survey, 2025).</w:t>
      </w:r>
      <w:r>
        <w:t xml:space="preserve"> This is indicative of the non-adaptive leadership, where leaders did not increase control measures even when the level of risk of neonatal opioid prescribing is high.</w:t>
      </w:r>
    </w:p>
    <w:p>
      <w:pPr>
        <w:spacing w:line="360" w:lineRule="auto"/>
        <w:jc w:val="center"/>
        <w:rPr>
          <w:rFonts w:cs="Arial"/>
        </w:rPr>
      </w:pPr>
      <w:r>
        <w:rPr>
          <w:rFonts w:cs="Arial"/>
        </w:rPr>
        <w:drawing>
          <wp:inline distT="0" distB="0" distL="0" distR="0">
            <wp:extent cx="5270534" cy="2185059"/>
            <wp:effectExtent l="0" t="0" r="0" b="0"/>
            <wp:docPr id="13" name="图片 13"/>
            <wp:cNvGraphicFramePr>
              <a:graphicFrameLocks noChangeAspect="1"/>
            </wp:cNvGraphicFramePr>
            <a:graphic>
              <a:graphicData uri="http://schemas.openxmlformats.org/drawingml/2006/picture">
                <pic:pic>
                  <pic:nvPicPr>
                    <pic:cNvPr id="15" name="图片 15"/>
                    <pic:cNvPicPr/>
                  </pic:nvPicPr>
                  <pic:blipFill>
                    <a:blip r:embed="rId8"/>
                    <a:stretch>
                      <a:fillRect/>
                    </a:stretch>
                  </pic:blipFill>
                  <pic:spPr>
                    <a:xfrm rot="0">
                      <a:off x="0" y="0"/>
                      <a:ext cx="5270534" cy="2185059"/>
                    </a:xfrm>
                    <a:prstGeom prst="rect"/>
                    <a:noFill/>
                    <a:ln w="12700" cmpd="sng" cap="flat">
                      <a:noFill/>
                      <a:prstDash val="solid"/>
                      <a:miter/>
                    </a:ln>
                  </pic:spPr>
                </pic:pic>
              </a:graphicData>
            </a:graphic>
          </wp:inline>
        </w:drawing>
      </w:r>
    </w:p>
    <w:p>
      <w:pPr>
        <w:spacing w:line="360" w:lineRule="auto"/>
        <w:jc w:val="center"/>
        <w:rPr>
          <w:rFonts w:cs="Arial"/>
          <w:b/>
          <w:bCs/>
        </w:rPr>
      </w:pPr>
      <w:r>
        <w:rPr>
          <w:rFonts w:cs="Arial"/>
          <w:b/>
          <w:bCs/>
        </w:rPr>
        <w:t xml:space="preserve">Fig 04: </w:t>
      </w:r>
      <w:r>
        <w:rPr>
          <w:rFonts w:cs="Arial"/>
        </w:rPr>
        <w:t>Percentage of NHS Staff Who Feel Safe to Speak Up in Their Organisation</w:t>
      </w:r>
    </w:p>
    <w:p>
      <w:pPr>
        <w:spacing w:line="360" w:lineRule="auto"/>
        <w:jc w:val="center"/>
        <w:rPr>
          <w:rFonts w:cs="Arial"/>
          <w:b/>
          <w:bCs/>
        </w:rPr>
      </w:pPr>
      <w:r>
        <w:rPr>
          <w:rFonts w:cs="Arial"/>
          <w:b/>
          <w:bCs/>
        </w:rPr>
        <w:t xml:space="preserve">Source: </w:t>
      </w:r>
      <w:r>
        <w:rPr>
          <w:rFonts w:cs="Arial"/>
        </w:rPr>
        <w:t>(NHS Staff Survey, 2025)</w:t>
      </w:r>
    </w:p>
    <w:p>
      <w:pPr>
        <w:spacing w:line="360" w:lineRule="auto"/>
        <w:jc w:val="both"/>
        <w:rPr>
          <w:rFonts w:cs="Arial"/>
        </w:rPr>
      </w:pPr>
      <w:r>
        <w:rPr>
          <w:rFonts w:cs="Arial"/>
        </w:rPr>
        <w:t>What should have been done differently was the use of better situational judgement. The leaders should have recognised signs of the infant's age, opioid risk and cross-boundary prescribing complexity for an immediate, directive, multidisciplinary check rather than routine processing. In this case, situational leadership would have only been effective if leaders had actually shifted style in response to risk as opposed to the standard workflow.</w:t>
      </w:r>
    </w:p>
    <w:p>
      <w:pPr>
        <w:pStyle w:val="3"/>
      </w:pPr>
      <w:bookmarkStart w:id="22" w:name="_Toc224822431"/>
      <w:r>
        <w:t>c.3 Behavioural Leadership Theory and Application to the Case Study</w:t>
      </w:r>
      <w:bookmarkEnd w:id="22"/>
    </w:p>
    <w:p>
      <w:pPr>
        <w:spacing w:line="360" w:lineRule="auto"/>
        <w:jc w:val="both"/>
        <w:rPr>
          <w:rFonts w:cs="Arial"/>
        </w:rPr>
      </w:pPr>
      <w:r>
        <w:rPr>
          <w:rFonts w:cs="Arial"/>
        </w:rPr>
        <w:t xml:space="preserve">Behavioural leadership theory looks at what leaders actually do, more specifically, how they balance task-oriented behaviours such as setting standards, checking that standards are being met and making sure roles are clear, with people-oriented behaviours such as listening, involving staff, and building trust (Ma et al., 2023). This framework has a huge application to the infant morphine overdose as the provision of safe paediatric opioid care required both disciplined task control and supportive interpersonal leadership across the discharge, prescribing and dispensing aspects. Recent review evidence indicates that task-oriented styles have mixed results, whilst relational leadership is more associated with better staff and patient outcomes, including better safety climate and less adverse events (Hult et al., 2023). </w:t>
      </w:r>
    </w:p>
    <w:p>
      <w:pPr>
        <w:spacing w:line="360" w:lineRule="auto"/>
        <w:jc w:val="both"/>
        <w:rPr>
          <w:rFonts w:cs="Arial"/>
        </w:rPr>
      </w:pPr>
      <w:r>
        <w:rPr>
          <w:rFonts w:cs="Arial"/>
        </w:rPr>
        <w:t>This reflects ineffective behavioural leadership, where insufficient balance between task control and staff engagement contributed to unsafe practice. Some task behaviours did exist including formulary restrictions and medication rules, but these were not matched by sufficiently strong people oriented behaviours that would have encouraged challenge, clarification, and cross-boundary communication where the morphine concentration was ambiguous. This critique is backed by evidence from staff. In the 2025 NHS Staff Survey, 73.04% of staff reported that their immediate manager encourages them at work and 66.55% reported getting clear feedback from their manager, however only 60.05% of staff reported their manager asks for their opinion before making decisions that affect their work and only 61.02% of staff reported getting feedback on changes made following reporting incidents (NHS Staff Survey, 2025b).</w:t>
      </w:r>
      <w:r>
        <w:t xml:space="preserve"> </w:t>
      </w:r>
      <w:r>
        <w:rPr>
          <w:rFonts w:cs="Arial"/>
        </w:rPr>
        <w:t>This lack of balance between task and people-oriented behaviours decreased the chances of having the staff ask and check the decisions, which enhanced the risk of unsafe practices.</w:t>
      </w:r>
    </w:p>
    <w:p>
      <w:pPr>
        <w:spacing w:line="360" w:lineRule="auto"/>
        <w:jc w:val="center"/>
        <w:rPr>
          <w:rFonts w:cs="Arial"/>
        </w:rPr>
      </w:pPr>
      <w:r>
        <w:rPr>
          <w:rFonts w:cs="Arial"/>
        </w:rPr>
        <w:drawing>
          <wp:inline distT="0" distB="0" distL="0" distR="0">
            <wp:extent cx="4952467" cy="2434441"/>
            <wp:effectExtent l="0" t="0" r="0" b="0"/>
            <wp:docPr id="16" name="图片 16"/>
            <wp:cNvGraphicFramePr>
              <a:graphicFrameLocks noChangeAspect="1"/>
            </wp:cNvGraphicFramePr>
            <a:graphic>
              <a:graphicData uri="http://schemas.openxmlformats.org/drawingml/2006/picture">
                <pic:pic>
                  <pic:nvPicPr>
                    <pic:cNvPr id="18" name="图片 18"/>
                    <pic:cNvPicPr/>
                  </pic:nvPicPr>
                  <pic:blipFill>
                    <a:blip r:embed="rId9"/>
                    <a:stretch>
                      <a:fillRect/>
                    </a:stretch>
                  </pic:blipFill>
                  <pic:spPr>
                    <a:xfrm rot="0">
                      <a:off x="0" y="0"/>
                      <a:ext cx="4952467" cy="2434441"/>
                    </a:xfrm>
                    <a:prstGeom prst="rect"/>
                    <a:noFill/>
                    <a:ln w="12700" cmpd="sng" cap="flat">
                      <a:noFill/>
                      <a:prstDash val="solid"/>
                      <a:miter/>
                    </a:ln>
                  </pic:spPr>
                </pic:pic>
              </a:graphicData>
            </a:graphic>
          </wp:inline>
        </w:drawing>
      </w:r>
    </w:p>
    <w:p>
      <w:pPr>
        <w:spacing w:line="360" w:lineRule="auto"/>
        <w:jc w:val="center"/>
        <w:rPr>
          <w:rFonts w:cs="Arial"/>
        </w:rPr>
      </w:pPr>
      <w:r>
        <w:rPr>
          <w:rFonts w:cs="Arial"/>
          <w:b/>
          <w:bCs/>
        </w:rPr>
        <w:t xml:space="preserve">Fig 05: </w:t>
      </w:r>
      <w:r>
        <w:rPr>
          <w:rFonts w:cs="Arial"/>
        </w:rPr>
        <w:t>Trends in Staff Perception of Managerial Feedback in NHS Workforce</w:t>
      </w:r>
    </w:p>
    <w:p>
      <w:pPr>
        <w:spacing w:line="360" w:lineRule="auto"/>
        <w:jc w:val="center"/>
        <w:rPr>
          <w:rFonts w:cs="Arial"/>
          <w:b/>
          <w:bCs/>
        </w:rPr>
      </w:pPr>
      <w:r>
        <w:rPr>
          <w:rFonts w:cs="Arial"/>
          <w:b/>
          <w:bCs/>
        </w:rPr>
        <w:t xml:space="preserve">Source: </w:t>
      </w:r>
      <w:r>
        <w:rPr>
          <w:rFonts w:cs="Arial"/>
        </w:rPr>
        <w:t>(NHS Staff Survey, 2025b)</w:t>
      </w:r>
    </w:p>
    <w:p>
      <w:pPr>
        <w:spacing w:line="360" w:lineRule="auto"/>
        <w:jc w:val="both"/>
        <w:rPr>
          <w:rFonts w:cs="Arial"/>
        </w:rPr>
      </w:pPr>
      <w:r>
        <w:rPr>
          <w:rFonts w:cs="Arial"/>
        </w:rPr>
        <w:t xml:space="preserve">This shows a lack of leadership in promoting inclusive safety culture, restricting the participation of staff in making crucial decisions. A more balanced approach of behavioural technique, involving firm checking of high-risk medicines, psychologically safe dialogue, staff involvement, and explicit multidisciplinary challenge would have been a better alternative. </w:t>
        <w:br w:type="page"/>
      </w:r>
    </w:p>
    <w:p>
      <w:pPr>
        <w:pStyle w:val="2"/>
      </w:pPr>
      <w:bookmarkStart w:id="23" w:name="_Toc224822432"/>
      <w:r>
        <w:t>d. Critique, Improvements, and Lessons Learned</w:t>
      </w:r>
      <w:bookmarkEnd w:id="23"/>
    </w:p>
    <w:p>
      <w:pPr>
        <w:pStyle w:val="3"/>
      </w:pPr>
      <w:bookmarkStart w:id="24" w:name="_Toc224822433"/>
      <w:r>
        <w:t>d.1 Leadership and Governance Interaction in Producing the Case Outcome</w:t>
      </w:r>
      <w:bookmarkEnd w:id="24"/>
    </w:p>
    <w:p>
      <w:pPr>
        <w:spacing w:line="360" w:lineRule="auto"/>
        <w:jc w:val="both"/>
        <w:rPr>
          <w:rFonts w:cs="Arial"/>
        </w:rPr>
      </w:pPr>
      <w:r>
        <w:rPr>
          <w:rFonts w:cs="Arial"/>
        </w:rPr>
        <w:t>There was a formal leadership and governance but substantively non-existent. Even the governance had previously designated morphine 100 micrograms/ml to be a hospital-only drug, which was labelled as a RED drug, but still could not influence practice in discharge, GP prescribing or in community dispensing. This shows an essential lack of contact between rule-making and rulemaking. There was thus the lack of leadership and inadequate translation to assurance, escalation, and cross-boundary checking. The fact that this was the fifth of such incidents since 2018 with one of the past infant deaths solidifies the criticism as the result was a failure of the system to learn instead of an unexpected event.</w:t>
      </w:r>
      <w:r>
        <w:t xml:space="preserve"> </w:t>
      </w:r>
    </w:p>
    <w:p>
      <w:pPr>
        <w:pStyle w:val="3"/>
      </w:pPr>
      <w:bookmarkStart w:id="25" w:name="_Toc224822434"/>
      <w:r>
        <w:t>d.2 Problems and Improvement Strategies</w:t>
      </w:r>
      <w:bookmarkEnd w:id="25"/>
      <w:r>
        <w:t xml:space="preserve"> </w:t>
      </w:r>
    </w:p>
    <w:p>
      <w:pPr>
        <w:rPr>
          <w:rFonts w:cs="Arial"/>
          <w:b/>
          <w:bCs/>
        </w:rPr>
      </w:pPr>
      <w:r>
        <w:rPr>
          <w:rFonts w:cs="Arial"/>
          <w:b/>
          <w:bCs/>
        </w:rPr>
        <w:t>Problem 1: Unsafe Discharge Communication</w:t>
      </w:r>
    </w:p>
    <w:p>
      <w:pPr>
        <w:spacing w:line="360" w:lineRule="auto"/>
        <w:jc w:val="both"/>
        <w:rPr>
          <w:rFonts w:cs="Arial"/>
        </w:rPr>
      </w:pPr>
      <w:r>
        <w:rPr>
          <w:rFonts w:cs="Arial"/>
          <w:b/>
          <w:bCs/>
        </w:rPr>
        <w:t>Description:</w:t>
      </w:r>
      <w:r>
        <w:rPr>
          <w:rFonts w:cs="Arial"/>
        </w:rPr>
        <w:t xml:space="preserve"> Inadequate discharge transfer of safety information on medicines was a critical issue in this case. The target level of morphine and restrictions to be used were not well communicated within boundaries of care. This was demonstrated in the case in which the lack of coordination between the hospital, GP and community pharmacy allowed the miscommunication of morphine dosing information across the care settings.</w:t>
      </w:r>
    </w:p>
    <w:p>
      <w:pPr>
        <w:spacing w:line="360" w:lineRule="auto"/>
        <w:jc w:val="both"/>
        <w:rPr>
          <w:rFonts w:cs="Arial"/>
        </w:rPr>
      </w:pPr>
      <w:r>
        <w:rPr>
          <w:rFonts w:cs="Arial"/>
          <w:b/>
          <w:bCs/>
        </w:rPr>
        <w:t xml:space="preserve">Evidence data: </w:t>
      </w:r>
      <w:r>
        <w:rPr>
          <w:rFonts w:cs="Arial"/>
        </w:rPr>
        <w:t>Recently, evidence indicates that 50 % of all adults leaving the hospital have at least one medication error on discharge, and this proves how vulnerable transitions of care are in medicines safety (Penm et al., 2025).</w:t>
      </w:r>
    </w:p>
    <w:p>
      <w:pPr>
        <w:spacing w:line="360" w:lineRule="auto"/>
        <w:jc w:val="both"/>
        <w:rPr>
          <w:rFonts w:cs="Arial"/>
        </w:rPr>
      </w:pPr>
      <w:r>
        <w:rPr>
          <w:rFonts w:cs="Arial"/>
          <w:b/>
          <w:bCs/>
        </w:rPr>
        <w:t xml:space="preserve">Improvement Strategy: </w:t>
      </w:r>
      <w:r>
        <w:rPr>
          <w:rFonts w:cs="Arial"/>
        </w:rPr>
        <w:t>Mandatory pharmacist-led discharge medicines reconciliation, systematic counselling of carers, and universal use of the NHS Discharge Medicines Service, which all community pharmacy contractors must supply, would be a stronger improvement strategy as it ensures that the intent of prescribing is passed correctly and reviewed prior to supply (Thayer et al., 2023).</w:t>
      </w:r>
    </w:p>
    <w:p>
      <w:pPr>
        <w:rPr>
          <w:rFonts w:cs="Arial"/>
          <w:b/>
          <w:bCs/>
        </w:rPr>
      </w:pPr>
      <w:r>
        <w:rPr>
          <w:rFonts w:cs="Arial"/>
          <w:b/>
          <w:bCs/>
        </w:rPr>
        <w:t>Problem 2:</w:t>
      </w:r>
    </w:p>
    <w:p>
      <w:pPr>
        <w:spacing w:line="360" w:lineRule="auto"/>
        <w:jc w:val="both"/>
        <w:rPr>
          <w:rFonts w:cs="Arial"/>
          <w:b/>
          <w:bCs/>
        </w:rPr>
      </w:pPr>
      <w:r>
        <w:rPr>
          <w:rFonts w:cs="Arial"/>
          <w:b/>
          <w:bCs/>
        </w:rPr>
        <w:t xml:space="preserve">Description: </w:t>
      </w:r>
      <w:r>
        <w:rPr>
          <w:rFonts w:cs="Arial"/>
        </w:rPr>
        <w:t>The second important problem was the failure of the prescribing protections of a very dangerous opioid amid the paediatric environment. The discharge summary contained the brand name of Oramorph, and only mentioned the dose in micrograms, and no generic name and dose volume, which enabled the prescription to circumvent existing formulary alerts and mislead primary care prescribing. This was clear in the case, wherein the lack of clarity in discharge documentation, such as use of brand names and the lack of complete information on dosing, circumvented prescribing safeguards.</w:t>
      </w:r>
    </w:p>
    <w:p>
      <w:pPr>
        <w:spacing w:line="360" w:lineRule="auto"/>
        <w:jc w:val="both"/>
        <w:rPr>
          <w:rFonts w:cs="Arial"/>
        </w:rPr>
      </w:pPr>
      <w:r>
        <w:rPr>
          <w:rFonts w:cs="Arial"/>
          <w:b/>
          <w:bCs/>
        </w:rPr>
        <w:t xml:space="preserve">Evidence data:  </w:t>
      </w:r>
      <w:r>
        <w:rPr>
          <w:rFonts w:cs="Arial"/>
        </w:rPr>
        <w:t>Evidence present in the case review demonstrates that the transfer of care of the baby entailed more than 20 documents and the discharge summary was in handwriting and served as the primary source of information that was relied on by the primary care (NMSON, 2024).</w:t>
      </w:r>
    </w:p>
    <w:p>
      <w:pPr>
        <w:spacing w:line="360" w:lineRule="auto"/>
        <w:jc w:val="both"/>
        <w:rPr>
          <w:rFonts w:cs="Arial"/>
        </w:rPr>
      </w:pPr>
      <w:r>
        <w:rPr>
          <w:rFonts w:cs="Arial"/>
          <w:b/>
          <w:bCs/>
        </w:rPr>
        <w:t xml:space="preserve">Improvement Strategy: </w:t>
      </w:r>
      <w:r>
        <w:rPr>
          <w:rFonts w:cs="Arial"/>
        </w:rPr>
        <w:t>One of the strongest improvement measures is to have computerised and standardised discharge summaries, which relate to formularies, use of automatic brand-to-generic conversion, and the use of oral liquid dose volume and abnormal-dose warning (Trivedi et al., 2025).</w:t>
      </w:r>
    </w:p>
    <w:p>
      <w:pPr>
        <w:rPr>
          <w:rFonts w:cs="Arial"/>
          <w:b/>
          <w:bCs/>
        </w:rPr>
      </w:pPr>
      <w:r>
        <w:rPr>
          <w:rFonts w:cs="Arial"/>
          <w:b/>
          <w:bCs/>
        </w:rPr>
        <w:t>Problem3:</w:t>
      </w:r>
    </w:p>
    <w:p>
      <w:pPr>
        <w:spacing w:line="360" w:lineRule="auto"/>
        <w:jc w:val="both"/>
        <w:rPr>
          <w:rFonts w:cs="Arial"/>
          <w:b/>
          <w:bCs/>
        </w:rPr>
      </w:pPr>
      <w:r>
        <w:rPr>
          <w:rFonts w:cs="Arial"/>
          <w:b/>
          <w:bCs/>
        </w:rPr>
        <w:t xml:space="preserve">Description: </w:t>
      </w:r>
      <w:r>
        <w:rPr>
          <w:rFonts w:cs="Arial"/>
        </w:rPr>
        <w:t>The third major problem was inadequate carer medication pre-discharge counselling. In a paediatric opioid case, the safety of administration relied on a clear understanding of the medicine name, concentration, volume of dose, timing, and warning signs on the part of the parents. This was visible in the case where the absence of proper counselling augmented the chances of wrong administration of morphine at home.</w:t>
      </w:r>
    </w:p>
    <w:p>
      <w:pPr>
        <w:spacing w:line="360" w:lineRule="auto"/>
        <w:jc w:val="both"/>
        <w:rPr>
          <w:rFonts w:cs="Arial"/>
        </w:rPr>
      </w:pPr>
      <w:r>
        <w:rPr>
          <w:rFonts w:cs="Arial"/>
          <w:b/>
          <w:bCs/>
        </w:rPr>
        <w:t xml:space="preserve">Evidence data: </w:t>
      </w:r>
      <w:r>
        <w:rPr>
          <w:rFonts w:cs="Arial"/>
        </w:rPr>
        <w:t>According to a randomised trial study done in the year 2024, 54.2% of the caregivers who received standard discharge counselling compared to 30.4% of the caregivers who were given a structured health literacy communication bundle made a dosing error (Carroll et al., 2024).</w:t>
      </w:r>
    </w:p>
    <w:p>
      <w:pPr>
        <w:spacing w:line="360" w:lineRule="auto"/>
        <w:jc w:val="both"/>
        <w:rPr>
          <w:rFonts w:cs="Arial"/>
        </w:rPr>
      </w:pPr>
      <w:r>
        <w:rPr>
          <w:rFonts w:cs="Arial"/>
          <w:b/>
          <w:bCs/>
        </w:rPr>
        <w:t xml:space="preserve">Improvement Strategy: </w:t>
      </w:r>
      <w:r>
        <w:rPr>
          <w:rFonts w:cs="Arial"/>
        </w:rPr>
        <w:t>A better approach is a standardised paediatric high-risk discharge package  which includes teach-back, show-back using the actual oral syringe, pictogram instructions, documentation of dose volume and concentration as mandatory, follow up pharmacist within 24 hours (Cantrell et al., 2024). This is because the same trial showed that the bundle significantly increased caregiver medication knowledge and was able to reduce dosing errors.</w:t>
      </w:r>
    </w:p>
    <w:p>
      <w:pPr>
        <w:pStyle w:val="3"/>
      </w:pPr>
      <w:bookmarkStart w:id="26" w:name="_Toc224822435"/>
      <w:r>
        <w:t>d.3 Linking the Findings</w:t>
      </w:r>
      <w:bookmarkEnd w:id="26"/>
    </w:p>
    <w:p>
      <w:pPr>
        <w:spacing w:line="360" w:lineRule="auto"/>
        <w:jc w:val="both"/>
        <w:rPr>
          <w:rFonts w:cs="Arial"/>
        </w:rPr>
      </w:pPr>
      <w:r>
        <w:rPr>
          <w:rFonts w:cs="Arial"/>
          <w:b/>
          <w:bCs/>
        </w:rPr>
        <w:t xml:space="preserve">System Structure: </w:t>
      </w:r>
      <w:r>
        <w:rPr>
          <w:rFonts w:cs="Arial"/>
        </w:rPr>
        <w:t>The system structure was operationally fragmented but was hybrid. There were central controls, in that morphine 100 micrograms/ml was a hospital-only drug and as such, a RED status, but the issue of decision-making was scattered across hospital discharge, GP prescribing and community pharmacy. Such a blend between central restriction and low cross-boundary coordination had allowed unchecked development of the overdose pathway (Rys et al., 2024).</w:t>
      </w:r>
    </w:p>
    <w:p>
      <w:pPr>
        <w:spacing w:line="360" w:lineRule="auto"/>
        <w:jc w:val="both"/>
        <w:rPr>
          <w:rFonts w:cs="Arial"/>
        </w:rPr>
      </w:pPr>
      <w:r>
        <w:rPr>
          <w:rFonts w:cs="Arial"/>
          <w:b/>
          <w:bCs/>
        </w:rPr>
        <w:t xml:space="preserve">Leadership: </w:t>
      </w:r>
      <w:r>
        <w:rPr>
          <w:rFonts w:cs="Arial"/>
        </w:rPr>
        <w:t>Leadership was largely reactive with poor integrative elements. Although there were senior controls present, there was not an implementation of these controls into anticipatory action, direct clinician to clinician escalation, or reliable parent counselling (Desoky et al., 2025). In the case review the alert was then ordered to be shared with all relevant staff including locums and agency workers demonstrating that leadership response was occurring mainly following harm.</w:t>
      </w:r>
    </w:p>
    <w:p>
      <w:pPr>
        <w:spacing w:line="360" w:lineRule="auto"/>
        <w:jc w:val="both"/>
        <w:rPr>
          <w:rFonts w:cs="Arial"/>
          <w:b/>
          <w:bCs/>
        </w:rPr>
      </w:pPr>
      <w:r>
        <w:rPr>
          <w:rFonts w:cs="Arial"/>
          <w:b/>
          <w:bCs/>
        </w:rPr>
        <w:t xml:space="preserve">System Feedback: </w:t>
      </w:r>
      <w:r>
        <w:rPr>
          <w:rFonts w:cs="Arial"/>
        </w:rPr>
        <w:t>System feedback weakly interacted with both structure and leadership. Due to the fragmentation of the system between hospital, GP and pharmacy settings, risks were not fed back in time to prevent harm. Leadership was largely reactive, so feedback mechanism was activated only after the overdose through the review, alert circulation, and corrective actions. This indicates that feedback was not an early warning control, but a post incident learning response.</w:t>
      </w:r>
    </w:p>
    <w:p>
      <w:pPr>
        <w:pStyle w:val="3"/>
      </w:pPr>
      <w:bookmarkStart w:id="27" w:name="_Toc224822436"/>
      <w:r>
        <w:t>d.4 Lesson for other Organisations</w:t>
      </w:r>
      <w:bookmarkEnd w:id="27"/>
    </w:p>
    <w:p>
      <w:pPr>
        <w:spacing w:line="360" w:lineRule="auto"/>
        <w:jc w:val="both"/>
      </w:pPr>
      <w:r>
        <w:t>Other health organisations should realise that individual vigilance is not sufficient to deal with the high-risk medicines. Safe care includes: Standard discharge communication Accountable cross-boundary Active leadership and early escalation. Another lesson of the case is however, that the carers are to be treated as active safety partners by means of clear counselling and the verification of the dose.</w:t>
      </w:r>
    </w:p>
    <w:p>
      <w:pPr>
        <w:pStyle w:val="3"/>
      </w:pPr>
      <w:bookmarkStart w:id="28" w:name="_Toc224822437"/>
      <w:r>
        <w:t>d.5 Use of Evidence and Data to Ensure Continuous Improvement and Accountability</w:t>
      </w:r>
      <w:bookmarkEnd w:id="28"/>
    </w:p>
    <w:p>
      <w:pPr>
        <w:spacing w:line="360" w:lineRule="auto"/>
        <w:jc w:val="both"/>
        <w:rPr>
          <w:rFonts w:cs="Arial"/>
        </w:rPr>
      </w:pPr>
      <w:r>
        <w:rPr>
          <w:rFonts w:cs="Arial"/>
        </w:rPr>
        <w:t>Evidence and data support continuous improvement by converting incidents into measurable learning through audits, trend analysis, discharge monitoring and reviewing follow-up (Lighterness et al., 2024). They also reinforce a culture of accountability by demonstrating whether safety actions were completed and if practice was changed and if harm reduced over time as opposed to assuming or retrospectively reassuring.</w:t>
        <w:br w:type="page"/>
      </w:r>
    </w:p>
    <w:p>
      <w:pPr>
        <w:pStyle w:val="1"/>
        <w:spacing w:line="360" w:lineRule="auto"/>
      </w:pPr>
      <w:bookmarkStart w:id="29" w:name="_Toc224822438"/>
      <w:r>
        <w:t>Recommendations</w:t>
      </w:r>
      <w:bookmarkEnd w:id="29"/>
    </w:p>
    <w:p>
      <w:pPr>
        <w:pStyle w:val="2"/>
        <w:spacing w:line="360" w:lineRule="auto"/>
      </w:pPr>
      <w:bookmarkStart w:id="30" w:name="_Toc224822439"/>
      <w:r>
        <w:t>Summary of Key Actions Required for the Organisation</w:t>
      </w:r>
      <w:bookmarkEnd w:id="30"/>
    </w:p>
    <w:p>
      <w:pPr>
        <w:spacing w:line="360" w:lineRule="auto"/>
        <w:jc w:val="both"/>
      </w:pPr>
      <w:r>
        <w:t>The organisation must focus on improving medicines safety at transitions of care by standardising discharge procedures, requiring pharmacist-led reconciliation and improving effective communication of doses of high-risk medications. It must integrate transboundary responsibility on hospital, GP, and pharmacy with the use of digital prescribing systems that have in-built alerts. Leadership needs to be transformed into active safety controls and systematic parent counselling and checks-up should be enforced to avoid mistakes during home administration.</w:t>
      </w:r>
    </w:p>
    <w:p>
      <w:pPr>
        <w:pStyle w:val="2"/>
        <w:spacing w:line="360" w:lineRule="auto"/>
      </w:pPr>
      <w:bookmarkStart w:id="31" w:name="_Toc224822440"/>
      <w:r>
        <w:t>Recommended Leadership Styles for Sustaining Improvement</w:t>
      </w:r>
      <w:bookmarkEnd w:id="31"/>
    </w:p>
    <w:p>
      <w:pPr>
        <w:spacing w:line="360" w:lineRule="auto"/>
        <w:jc w:val="both"/>
      </w:pPr>
      <w:r>
        <w:t>Transformational and distributed leadership must be combined to bring sustained improvement (Carstensen et al., 2024). The first step to forming a clear vision of safety and making medicines safety a priority and proactive learning culture should be achieved with the help of transformational leadership. This has to be supplemented, however, with distributed leadership, where the primary care teams, pharmacists, and clinicians all bear the task of responsibility in the case of safety, which allows the quicker decision-making and local responsibility. Such a mixed approach, in this case, would guarantee that high-risk prescribing protection is always implemented at care frontiers, as well as enabling frontline personnel to detect and report risks promptly.</w:t>
      </w:r>
      <w:bookmarkStart w:id="32" w:name="_Toc224822441"/>
    </w:p>
    <w:p>
      <w:pPr>
        <w:pStyle w:val="2"/>
      </w:pPr>
      <w:r>
        <w:t>Strengthening Governance, Communication and System Integration</w:t>
      </w:r>
      <w:bookmarkEnd w:id="32"/>
    </w:p>
    <w:p>
      <w:pPr>
        <w:spacing w:line="360" w:lineRule="auto"/>
        <w:jc w:val="both"/>
      </w:pPr>
      <w:r>
        <w:t>Governance should be reinforced with properly constructed cross-boundary accountability models whereby shared responsibility exists amongst teams of hospitals, GPs, and pharmacies where formal control exists in the form of controlled drugs accountable officers. Communication must evolve to standardised and digital flow of information and have less to do with informal or disjointed systems. Integration can be augmented by the interoperability of the electronic records and structured discharge pathways. This is also aligned with the NHS Patient Safety Strategy which deals with the implementation of common safety knowledge, current incident management, and integrated learning across organisations to improve outcomes and harm avoidance.</w:t>
      </w:r>
    </w:p>
    <w:p>
      <w:pPr>
        <w:pStyle w:val="2"/>
        <w:spacing w:line="360" w:lineRule="auto"/>
      </w:pPr>
      <w:bookmarkStart w:id="33" w:name="_Toc224822442"/>
      <w:r>
        <w:t>Enhancing Technical and Allocative Efficiency</w:t>
      </w:r>
      <w:bookmarkEnd w:id="33"/>
    </w:p>
    <w:p>
      <w:pPr>
        <w:pStyle w:val="18"/>
        <w:numPr>
          <w:ilvl w:val="0"/>
          <w:numId w:val="1"/>
        </w:numPr>
        <w:spacing w:line="360" w:lineRule="auto"/>
        <w:ind w:left="360"/>
      </w:pPr>
      <w:r>
        <w:t>Install and maintain electronic prescribing systems (EPS) with inbuilt dose calculators and high risk medication warnings to reduce the prescribing error and increase the technical accuracy (Gallier et al., 2022).</w:t>
      </w:r>
    </w:p>
    <w:p>
      <w:pPr>
        <w:pStyle w:val="18"/>
        <w:numPr>
          <w:ilvl w:val="0"/>
          <w:numId w:val="1"/>
        </w:numPr>
        <w:spacing w:line="360" w:lineRule="auto"/>
        <w:ind w:left="360"/>
      </w:pPr>
      <w:r>
        <w:t>Do not use dispensing and administration errors by implementing barcode medication administration (BCMA) and standardised labelling.</w:t>
      </w:r>
    </w:p>
    <w:p>
      <w:pPr>
        <w:pStyle w:val="18"/>
        <w:numPr>
          <w:ilvl w:val="0"/>
          <w:numId w:val="1"/>
        </w:numPr>
        <w:spacing w:line="360" w:lineRule="auto"/>
        <w:ind w:left="360"/>
      </w:pPr>
      <w:r>
        <w:t>Expand the NHS Discharge Medicines Service (DMS) to help with the efficient circulation of medicines information and reduce redundancy of work in settings.</w:t>
      </w:r>
    </w:p>
    <w:p>
      <w:pPr>
        <w:pStyle w:val="18"/>
        <w:numPr>
          <w:ilvl w:val="0"/>
          <w:numId w:val="1"/>
        </w:numPr>
        <w:spacing w:line="360" w:lineRule="auto"/>
        <w:ind w:left="360"/>
      </w:pPr>
      <w:r>
        <w:t>Assign the specialist pharmacist time-high-risk populations such as paediatrics and opioids, thus the resources are assigned to the most at-risk areas.</w:t>
      </w:r>
    </w:p>
    <w:p>
      <w:pPr>
        <w:pStyle w:val="18"/>
        <w:numPr>
          <w:ilvl w:val="0"/>
          <w:numId w:val="1"/>
        </w:numPr>
        <w:spacing w:line="360" w:lineRule="auto"/>
        <w:ind w:left="360"/>
      </w:pPr>
      <w:r>
        <w:t>Use evidence-based workforce planning to deploy employees based on demand trends which has a positive impact on efficiency in medicines safety inspections.</w:t>
      </w:r>
    </w:p>
    <w:p>
      <w:pPr>
        <w:pStyle w:val="18"/>
        <w:numPr>
          <w:ilvl w:val="0"/>
          <w:numId w:val="1"/>
        </w:numPr>
        <w:spacing w:line="360" w:lineRule="auto"/>
        <w:ind w:left="360"/>
      </w:pPr>
      <w:r>
        <w:t>Reduce unnecessary variability within the prescriptions by adhering to the formulary, which will enhance the use of medicine within the system in a cost-effective and safe manner.</w:t>
      </w:r>
    </w:p>
    <w:p>
      <w:pPr>
        <w:pStyle w:val="2"/>
        <w:spacing w:line="360" w:lineRule="auto"/>
      </w:pPr>
      <w:bookmarkStart w:id="34" w:name="_Toc224822443"/>
      <w:r>
        <w:t>Continuous Learning, Stakeholder Engagement and Co-production</w:t>
      </w:r>
      <w:bookmarkEnd w:id="34"/>
    </w:p>
    <w:p>
      <w:pPr>
        <w:spacing w:line="360" w:lineRule="auto"/>
        <w:rPr>
          <w:b/>
          <w:bCs/>
          <w:lang w:val="en-US"/>
        </w:rPr>
      </w:pPr>
      <w:r>
        <w:rPr>
          <w:b/>
          <w:bCs/>
          <w:lang w:val="en-US"/>
        </w:rPr>
        <w:t>Continuous Learning</w:t>
      </w:r>
    </w:p>
    <w:p>
      <w:pPr>
        <w:spacing w:line="360" w:lineRule="auto"/>
        <w:jc w:val="both"/>
        <w:rPr>
          <w:lang w:val="en-US"/>
        </w:rPr>
      </w:pPr>
      <w:r>
        <w:rPr>
          <w:lang w:val="en-US"/>
        </w:rPr>
        <w:t xml:space="preserve">Continuous learning should be embedded through PSIRF based reviews, routine audit cycles and systematic use of the Learn from Patient Safety Events service supporting learning from over 2.5m patient safety events recorded annually 2.5 (NHS England, 2026b). This would enable the organisation to shift from sporadic reaction to continuing safety improvement. </w:t>
      </w:r>
    </w:p>
    <w:p>
      <w:pPr>
        <w:spacing w:line="360" w:lineRule="auto"/>
        <w:jc w:val="both"/>
        <w:rPr>
          <w:b/>
          <w:bCs/>
          <w:lang w:val="en-US"/>
        </w:rPr>
      </w:pPr>
      <w:r>
        <w:rPr>
          <w:b/>
          <w:bCs/>
          <w:lang w:val="en-US"/>
        </w:rPr>
        <w:t>Stakeholder Engagement</w:t>
      </w:r>
    </w:p>
    <w:p>
      <w:pPr>
        <w:spacing w:line="360" w:lineRule="auto"/>
        <w:rPr>
          <w:lang w:val="en-US"/>
        </w:rPr>
      </w:pPr>
      <w:r>
        <w:rPr>
          <w:lang w:val="en-US"/>
        </w:rPr>
        <w:t>Stakeholder engagement should involve clinicians, pharmacists, GPs, community pharmacy teams, and medicines harm affected families. NHS England's guidance on how to engage with those affected by incidents states that meaningful involvement enhances the quality of learning, builds trust and the implementation of change (NHS England, 2022).</w:t>
      </w:r>
    </w:p>
    <w:p>
      <w:pPr>
        <w:spacing w:line="360" w:lineRule="auto"/>
        <w:rPr>
          <w:b/>
          <w:bCs/>
          <w:lang w:val="en-US"/>
        </w:rPr>
      </w:pPr>
      <w:r>
        <w:rPr>
          <w:b/>
          <w:bCs/>
          <w:lang w:val="en-US"/>
        </w:rPr>
        <w:t>Co-production</w:t>
      </w:r>
    </w:p>
    <w:p>
      <w:pPr>
        <w:spacing w:line="360" w:lineRule="auto"/>
        <w:jc w:val="both"/>
        <w:rPr>
          <w:lang w:val="en-US"/>
        </w:rPr>
      </w:pPr>
      <w:r>
        <w:rPr>
          <w:lang w:val="en-US"/>
        </w:rPr>
        <w:t>Carers and patient safety partners should get involved in the redesign of discharge communication, counselling tools, and escalation pathways. NHS England define co-production as a shared identity at the earliest phases of the design and appraisal processes, while the inequalities framework for 2025 focuses on the involvement of different communities in the safety improvement tasks (NHS England, 2026a).</w:t>
        <w:br w:type="page"/>
      </w:r>
    </w:p>
    <w:p>
      <w:pPr>
        <w:spacing w:line="360" w:lineRule="auto"/>
        <w:jc w:val="both"/>
        <w:rPr>
          <w:lang w:val="en-US"/>
        </w:rPr>
      </w:pPr>
    </w:p>
    <w:p>
      <w:pPr>
        <w:pStyle w:val="1"/>
        <w:rPr>
          <w:lang w:val="en-US"/>
        </w:rPr>
      </w:pPr>
      <w:bookmarkStart w:id="35" w:name="_Toc224822444"/>
      <w:r>
        <w:rPr>
          <w:lang w:val="en-US"/>
        </w:rPr>
        <w:t>Conclusion</w:t>
      </w:r>
      <w:bookmarkEnd w:id="35"/>
    </w:p>
    <w:p>
      <w:pPr>
        <w:pStyle w:val="2"/>
        <w:rPr>
          <w:lang w:val="en-US"/>
        </w:rPr>
      </w:pPr>
      <w:bookmarkStart w:id="36" w:name="_Toc224822445"/>
      <w:r>
        <w:rPr>
          <w:lang w:val="en-US"/>
        </w:rPr>
        <w:t>Summary of Key Findings</w:t>
      </w:r>
      <w:bookmarkEnd w:id="36"/>
    </w:p>
    <w:p>
      <w:pPr>
        <w:spacing w:line="360" w:lineRule="auto"/>
        <w:jc w:val="both"/>
        <w:rPr>
          <w:lang w:val="en-US"/>
        </w:rPr>
      </w:pPr>
      <w:r>
        <w:rPr>
          <w:lang w:val="en-US"/>
        </w:rPr>
        <w:t>As it is revealed in the case study, the infant morphine overdose was caused by a complex set of system malfunctions and not by a single clinical error. Communication of discharge, prescribing security, and hospital-general practice-community pharmacy coordination were found to be key weaknesses. Even though the safety policies had been in place, they were not consistently enforced, and a high-risk medicine was freely passed through several phases without much opposition. It was also identified in the analysis that the early detection of risks was hampered by system structure fragmentation and reactive leadership. Most importantly, lack of standard processes and accountability across the boundaries of care predisposed susceptibility at the points of transition and underscored the fact that patient safety does not lie on individual performance but rather on the functionality of systems in relation to each other.</w:t>
      </w:r>
    </w:p>
    <w:p>
      <w:pPr>
        <w:pStyle w:val="2"/>
        <w:rPr>
          <w:lang w:val="en-US"/>
        </w:rPr>
      </w:pPr>
      <w:bookmarkStart w:id="37" w:name="_Toc224822446"/>
      <w:r>
        <w:rPr>
          <w:lang w:val="en-US"/>
        </w:rPr>
        <w:t>Importance of Leadership, Governance and Systems Thinking</w:t>
      </w:r>
      <w:bookmarkEnd w:id="37"/>
    </w:p>
    <w:p>
      <w:pPr>
        <w:spacing w:line="360" w:lineRule="auto"/>
        <w:jc w:val="both"/>
        <w:rPr>
          <w:rFonts w:cs="Arial"/>
        </w:rPr>
      </w:pPr>
      <w:r>
        <w:rPr>
          <w:rFonts w:cs="Arial"/>
        </w:rPr>
        <w:t>The case points out that without the combination of effective leadership, strong governance, and systems thinking it is impossible to have a sustainable patient safety. The leadership should be active and safety-oriented where risks should be anticipated, communicated, and resolved before any harm is experienced depending on what should be done once an accident has taken place. Governance is very significant in creating clarity in accountability across organisational boundaries especially in complicated care pathways that involve more than one provider. In the absence of this, accountability is lashed and mistakes are not questioned. System thinking is also crucial, since it helps organisations to realise the effects of the interactions among people, processes, and structures. The breakdown, in this instance, was not an individual failure but rather a system failure in that it was a system that was designed to allow risk to move through the stages. Thus harmonizing leadership behaviours, governance structures and system-wide processes is an important measure in ensuring the provision of consistent, quality, and safe care to patients.</w:t>
      </w:r>
    </w:p>
    <w:p>
      <w:pPr>
        <w:rPr>
          <w:rFonts w:eastAsia="等线 Light" w:cs="Arial"/>
          <w:b/>
        </w:rPr>
      </w:pPr>
      <w:r>
        <w:rPr>
          <w:rFonts w:cs="Arial"/>
        </w:rPr>
        <w:br w:type="page"/>
      </w:r>
    </w:p>
    <w:p>
      <w:pPr>
        <w:spacing w:line="360" w:lineRule="auto"/>
        <w:jc w:val="both"/>
        <w:rPr>
          <w:rFonts w:cs="Arial"/>
        </w:rPr>
      </w:pPr>
    </w:p>
    <w:p>
      <w:pPr>
        <w:spacing w:line="360" w:lineRule="auto"/>
        <w:jc w:val="both"/>
        <w:rPr>
          <w:rFonts w:cs="Arial"/>
          <w:b/>
          <w:bCs/>
        </w:rPr>
      </w:pPr>
      <w:r>
        <w:rPr>
          <w:rFonts w:cs="Arial"/>
          <w:b/>
          <w:bCs/>
        </w:rPr>
        <w:t>References</w:t>
      </w:r>
    </w:p>
    <w:p>
      <w:pPr>
        <w:spacing w:line="360" w:lineRule="auto"/>
        <w:jc w:val="both"/>
        <w:rPr>
          <w:rFonts w:cs="Arial"/>
          <w:lang w:val="en-US"/>
        </w:rPr>
      </w:pPr>
      <w:r>
        <w:rPr>
          <w:rFonts w:cs="Arial"/>
          <w:lang w:val="en-US"/>
        </w:rPr>
        <w:t xml:space="preserve">Alrowily, A., Alfaraidy, K., Almutairi, S., Alamri, A., Alrowily, W., Abutaleb, M., Zaitoun, M., Sarawi, W. and Aljead, M. (2024). High-risk Medication errors: Insight from the UK National Reporting and Learning System. </w:t>
      </w:r>
      <w:r>
        <w:rPr>
          <w:rFonts w:cs="Arial"/>
          <w:i/>
          <w:iCs/>
          <w:lang w:val="en-US"/>
        </w:rPr>
        <w:t>Exploratory Research in Clinical and Social Pharmacy</w:t>
      </w:r>
      <w:r>
        <w:rPr>
          <w:rFonts w:cs="Arial"/>
          <w:lang w:val="en-US"/>
        </w:rPr>
        <w:t>, [online] 17(100531), p.100531. doi:https://doi.org/10.1016/j.rcsop.2024.100531.</w:t>
      </w:r>
    </w:p>
    <w:p>
      <w:pPr>
        <w:spacing w:line="360" w:lineRule="auto"/>
        <w:jc w:val="both"/>
        <w:rPr>
          <w:rFonts w:cs="Arial"/>
          <w:lang w:val="en-US"/>
        </w:rPr>
      </w:pPr>
      <w:r>
        <w:rPr>
          <w:rFonts w:cs="Arial"/>
        </w:rPr>
        <w:t xml:space="preserve">BMJ Group (2024) </w:t>
      </w:r>
      <w:r>
        <w:rPr>
          <w:rFonts w:cs="Arial"/>
          <w:i/>
          <w:iCs/>
        </w:rPr>
        <w:t>Shared digital NHS prescribing record could avoid nearly 1 million annual drug errors</w:t>
      </w:r>
      <w:r>
        <w:rPr>
          <w:rFonts w:cs="Arial"/>
        </w:rPr>
        <w:t>. Available at: https://bmjgroup.com/shared-digital-nhs-prescribing-record-could-avoid-nearly-1-million-annual-drug-errors (Accessed: 10 March 2026).</w:t>
      </w:r>
    </w:p>
    <w:p>
      <w:pPr>
        <w:spacing w:line="360" w:lineRule="auto"/>
        <w:jc w:val="both"/>
        <w:rPr>
          <w:rFonts w:cs="Arial"/>
        </w:rPr>
      </w:pPr>
      <w:r>
        <w:rPr>
          <w:rFonts w:cs="Arial"/>
        </w:rPr>
        <w:t>Cantrell, A., Chambers, D. and Booth, A., 2024. Interventions to minimise hospital winter pressures related to discharge planning and integrated care: a rapid mapping review of UK evidence. </w:t>
      </w:r>
      <w:r>
        <w:rPr>
          <w:rFonts w:cs="Arial"/>
          <w:i/>
          <w:iCs/>
        </w:rPr>
        <w:t>Health and Social Care Delivery Research</w:t>
      </w:r>
      <w:r>
        <w:rPr>
          <w:rFonts w:cs="Arial"/>
        </w:rPr>
        <w:t>, </w:t>
      </w:r>
      <w:r>
        <w:rPr>
          <w:rFonts w:cs="Arial"/>
          <w:i/>
          <w:iCs/>
        </w:rPr>
        <w:t>12</w:t>
      </w:r>
      <w:r>
        <w:rPr>
          <w:rFonts w:cs="Arial"/>
        </w:rPr>
        <w:t>(31), pp.1-116.</w:t>
      </w:r>
    </w:p>
    <w:p>
      <w:pPr>
        <w:spacing w:line="360" w:lineRule="auto"/>
        <w:jc w:val="both"/>
        <w:rPr>
          <w:rFonts w:cs="Arial"/>
          <w:lang w:val="en-US"/>
        </w:rPr>
      </w:pPr>
      <w:r>
        <w:rPr>
          <w:rFonts w:cs="Arial"/>
          <w:lang w:val="en-US"/>
        </w:rPr>
        <w:t xml:space="preserve">Carroll, A.R., Johnson, J.A., Stassun, J.C., Greevy, R.A., Mixon, A.S. and Williams, D.J. (2024). Health Literacy–Informed Communication to Reduce Discharge Medication Errors in Hospitalized Children: A Randomized Clinical Trial. </w:t>
      </w:r>
      <w:r>
        <w:rPr>
          <w:rFonts w:cs="Arial"/>
          <w:i/>
          <w:iCs/>
          <w:lang w:val="en-US"/>
        </w:rPr>
        <w:t>JAMA Network Open</w:t>
      </w:r>
      <w:r>
        <w:rPr>
          <w:rFonts w:cs="Arial"/>
          <w:lang w:val="en-US"/>
        </w:rPr>
        <w:t>, [online] 7(1), p.e2350969. doi:https://doi.org/10.1001/jamanetworkopen.2023.50969.</w:t>
      </w:r>
    </w:p>
    <w:p>
      <w:pPr>
        <w:spacing w:line="360" w:lineRule="auto"/>
        <w:jc w:val="both"/>
        <w:rPr>
          <w:rFonts w:cs="Arial"/>
        </w:rPr>
      </w:pPr>
      <w:r>
        <w:rPr>
          <w:rFonts w:cs="Arial"/>
        </w:rPr>
        <w:t>Carstensen, K., Kjeldsen, A.M. and Nielsen, C.P., 2024. Distributed leadership in health quality improvement collaboratives. </w:t>
      </w:r>
      <w:r>
        <w:rPr>
          <w:rFonts w:cs="Arial"/>
          <w:i/>
          <w:iCs/>
        </w:rPr>
        <w:t>Health care management review</w:t>
      </w:r>
      <w:r>
        <w:rPr>
          <w:rFonts w:cs="Arial"/>
        </w:rPr>
        <w:t>, </w:t>
      </w:r>
      <w:r>
        <w:rPr>
          <w:rFonts w:cs="Arial"/>
          <w:i/>
          <w:iCs/>
        </w:rPr>
        <w:t>49</w:t>
      </w:r>
      <w:r>
        <w:rPr>
          <w:rFonts w:cs="Arial"/>
        </w:rPr>
        <w:t>(1), pp.46-58.</w:t>
      </w:r>
    </w:p>
    <w:p>
      <w:pPr>
        <w:spacing w:line="360" w:lineRule="auto"/>
        <w:jc w:val="both"/>
        <w:rPr>
          <w:rFonts w:cs="Arial"/>
        </w:rPr>
      </w:pPr>
      <w:r>
        <w:rPr>
          <w:rFonts w:cs="Arial"/>
        </w:rPr>
        <w:t>Desoky, W., Hamad, Y., Sallam, N., Ismail, I., Al-Naemi, E., Hassan, I.F. and Assaf, A., 2025. 47 Enhancing quality and patient safety in healthcare: a proactive approach.</w:t>
      </w:r>
    </w:p>
    <w:p>
      <w:pPr>
        <w:spacing w:line="360" w:lineRule="auto"/>
        <w:jc w:val="both"/>
        <w:rPr>
          <w:rFonts w:cs="Arial"/>
          <w:lang w:val="en-US"/>
        </w:rPr>
      </w:pPr>
      <w:r>
        <w:rPr>
          <w:rFonts w:cs="Arial"/>
          <w:lang w:val="en-US"/>
        </w:rPr>
        <w:t xml:space="preserve">Despott, R.A., Vella Bonanno, P. and Gauci, C. (2025). Risk Management of Medication Errors: Improving the Quality of Pharmacotherapeutic Practice. </w:t>
      </w:r>
      <w:r>
        <w:rPr>
          <w:rFonts w:cs="Arial"/>
          <w:i/>
          <w:iCs/>
          <w:lang w:val="en-US"/>
        </w:rPr>
        <w:t>Pharmacology Research &amp; Perspectives</w:t>
      </w:r>
      <w:r>
        <w:rPr>
          <w:rFonts w:cs="Arial"/>
          <w:lang w:val="en-US"/>
        </w:rPr>
        <w:t>, [online] 13(3). doi:https://doi.org/10.1002/prp2.70093.</w:t>
      </w:r>
    </w:p>
    <w:p>
      <w:pPr>
        <w:spacing w:line="360" w:lineRule="auto"/>
      </w:pPr>
      <w:r>
        <w:t>Gallier, S., Topham, A., Nightingale, P., Garrick, M., Woolhouse, I., Berry, M.A., Pankhurst, T., Sapey, E. and Ball, S., 2022. Electronic prescribing systems as tools to improve patient care: a learning health systems approach to increase guideline concordant prescribing for venous thromboembolism prevention. </w:t>
      </w:r>
      <w:r>
        <w:rPr>
          <w:i/>
          <w:iCs/>
        </w:rPr>
        <w:t>BMC Medical Informatics and Decision Making</w:t>
      </w:r>
      <w:r>
        <w:t>, </w:t>
      </w:r>
      <w:r>
        <w:rPr>
          <w:i/>
          <w:iCs/>
        </w:rPr>
        <w:t>22</w:t>
      </w:r>
      <w:r>
        <w:t>(1), p.121.</w:t>
      </w:r>
    </w:p>
    <w:p>
      <w:pPr>
        <w:spacing w:line="360" w:lineRule="auto"/>
        <w:jc w:val="both"/>
        <w:rPr>
          <w:rFonts w:cs="Arial"/>
          <w:lang w:val="en-US"/>
        </w:rPr>
      </w:pPr>
      <w:r>
        <w:rPr>
          <w:rFonts w:cs="Arial"/>
          <w:lang w:val="en-US"/>
        </w:rPr>
        <w:t xml:space="preserve">Hamdan, M., Jaaffar, A., Khraisat, O., Issa, M. and Jarrar, M. (2024). The Association of Transformational Leadership on Safety Practices Among Nurses: The Mediating Role of Patient Safety Culture. </w:t>
      </w:r>
      <w:r>
        <w:rPr>
          <w:rFonts w:cs="Arial"/>
          <w:i/>
          <w:iCs/>
          <w:lang w:val="en-US"/>
        </w:rPr>
        <w:t>Risk management and healthcare policy</w:t>
      </w:r>
      <w:r>
        <w:rPr>
          <w:rFonts w:cs="Arial"/>
          <w:lang w:val="en-US"/>
        </w:rPr>
        <w:t>, Volume 17(1), pp.1687–1700. doi:https://doi.org/10.2147/rmhp.s458505.</w:t>
      </w:r>
    </w:p>
    <w:p>
      <w:pPr>
        <w:spacing w:line="360" w:lineRule="auto"/>
        <w:jc w:val="both"/>
        <w:rPr>
          <w:rFonts w:cs="Arial"/>
          <w:lang w:val="en-US"/>
        </w:rPr>
      </w:pPr>
      <w:r>
        <w:rPr>
          <w:rFonts w:cs="Arial"/>
          <w:lang w:val="en-US"/>
        </w:rPr>
        <w:t xml:space="preserve">Hult, M., Terkamo-Moisio, A., Kaakinen, P., Karki, S., Nurmeksela, A., Palonen, M., Peltonen, L.-M. and Häggman-Laitila, A. (2023). Relationships between Nursing Leadership and organizational, Staff and Patient outcomes: a Systematic Review of Reviews. </w:t>
      </w:r>
      <w:r>
        <w:rPr>
          <w:rFonts w:cs="Arial"/>
          <w:i/>
          <w:iCs/>
          <w:lang w:val="en-US"/>
        </w:rPr>
        <w:t>Nursing Open</w:t>
      </w:r>
      <w:r>
        <w:rPr>
          <w:rFonts w:cs="Arial"/>
          <w:lang w:val="en-US"/>
        </w:rPr>
        <w:t>, 10(9), pp.5920–5936. doi:https://doi.org/10.1002/nop2.1876.</w:t>
      </w:r>
    </w:p>
    <w:p>
      <w:pPr>
        <w:spacing w:line="360" w:lineRule="auto"/>
        <w:jc w:val="both"/>
        <w:rPr>
          <w:rFonts w:cs="Arial"/>
        </w:rPr>
      </w:pPr>
      <w:r>
        <w:rPr>
          <w:rFonts w:cs="Arial"/>
        </w:rPr>
        <w:t>Ledlow, G.J.R., Bosworth, M. and Maryon, T., 2023. </w:t>
      </w:r>
      <w:r>
        <w:rPr>
          <w:rFonts w:cs="Arial"/>
          <w:i/>
          <w:iCs/>
        </w:rPr>
        <w:t>Leadership for health professionals: Theory, skills, and applications</w:t>
      </w:r>
      <w:r>
        <w:rPr>
          <w:rFonts w:cs="Arial"/>
        </w:rPr>
        <w:t>. Jones &amp; Bartlett Learning.</w:t>
      </w:r>
    </w:p>
    <w:p>
      <w:pPr>
        <w:spacing w:line="360" w:lineRule="auto"/>
        <w:jc w:val="both"/>
        <w:rPr>
          <w:rFonts w:cs="Arial"/>
        </w:rPr>
      </w:pPr>
      <w:r>
        <w:rPr>
          <w:rFonts w:cs="Arial"/>
        </w:rPr>
        <w:t>Lighterness, A., Adcock, M., Scanlon, L.A. and Price, G., 2024. Data quality–driven improvement in health care: systematic literature review. </w:t>
      </w:r>
      <w:r>
        <w:rPr>
          <w:rFonts w:cs="Arial"/>
          <w:i/>
          <w:iCs/>
        </w:rPr>
        <w:t>Journal of medical Internet research</w:t>
      </w:r>
      <w:r>
        <w:rPr>
          <w:rFonts w:cs="Arial"/>
        </w:rPr>
        <w:t>, </w:t>
      </w:r>
      <w:r>
        <w:rPr>
          <w:rFonts w:cs="Arial"/>
          <w:i/>
          <w:iCs/>
        </w:rPr>
        <w:t>26</w:t>
      </w:r>
      <w:r>
        <w:rPr>
          <w:rFonts w:cs="Arial"/>
        </w:rPr>
        <w:t>, p.e57615.</w:t>
      </w:r>
    </w:p>
    <w:p>
      <w:pPr>
        <w:spacing w:line="360" w:lineRule="auto"/>
        <w:jc w:val="both"/>
        <w:rPr>
          <w:rFonts w:cs="Arial"/>
        </w:rPr>
      </w:pPr>
      <w:r>
        <w:rPr>
          <w:rFonts w:cs="Arial"/>
        </w:rPr>
        <w:t>Ma, F., Zhao, H. and Wu, C., 2023. The impact of task-oriented leadership to subordinates' knowledge creation behavior–based on organismic integration theory. </w:t>
      </w:r>
      <w:r>
        <w:rPr>
          <w:rFonts w:cs="Arial"/>
          <w:i/>
          <w:iCs/>
        </w:rPr>
        <w:t>International Journal of Manpower</w:t>
      </w:r>
      <w:r>
        <w:rPr>
          <w:rFonts w:cs="Arial"/>
        </w:rPr>
        <w:t>, </w:t>
      </w:r>
      <w:r>
        <w:rPr>
          <w:rFonts w:cs="Arial"/>
          <w:i/>
          <w:iCs/>
        </w:rPr>
        <w:t>44</w:t>
      </w:r>
      <w:r>
        <w:rPr>
          <w:rFonts w:cs="Arial"/>
        </w:rPr>
        <w:t>(2), pp.283-298.</w:t>
      </w:r>
    </w:p>
    <w:p>
      <w:pPr>
        <w:spacing w:line="360" w:lineRule="auto"/>
        <w:jc w:val="both"/>
        <w:rPr>
          <w:rFonts w:cs="Arial"/>
          <w:lang w:val="en-US"/>
        </w:rPr>
      </w:pPr>
      <w:r>
        <w:rPr>
          <w:rFonts w:cs="Arial"/>
          <w:lang w:val="en-US"/>
        </w:rPr>
        <w:t xml:space="preserve">NAO (2025). </w:t>
      </w:r>
      <w:r>
        <w:rPr>
          <w:rFonts w:cs="Arial"/>
          <w:i/>
          <w:iCs/>
          <w:lang w:val="en-US"/>
        </w:rPr>
        <w:t>NHS Financial Management and Sustainability</w:t>
      </w:r>
      <w:r>
        <w:rPr>
          <w:rFonts w:cs="Arial"/>
          <w:lang w:val="en-US"/>
        </w:rPr>
        <w:t>. [online] Available at: https://www.nao.org.uk/wp-content/uploads/2024/07/nhs-financial-management-and-sustainability.pdf.</w:t>
      </w:r>
    </w:p>
    <w:p>
      <w:pPr>
        <w:spacing w:line="360" w:lineRule="auto"/>
        <w:jc w:val="both"/>
        <w:rPr>
          <w:rFonts w:cs="Arial"/>
          <w:lang w:val="en-US"/>
        </w:rPr>
      </w:pPr>
      <w:r>
        <w:rPr>
          <w:rFonts w:cs="Arial"/>
          <w:lang w:val="en-US"/>
        </w:rPr>
        <w:t xml:space="preserve">NHS (2024). </w:t>
      </w:r>
      <w:r>
        <w:rPr>
          <w:rFonts w:cs="Arial"/>
          <w:i/>
          <w:iCs/>
          <w:lang w:val="en-US"/>
        </w:rPr>
        <w:t>NHS Staff Survey 2024 National results briefing</w:t>
      </w:r>
      <w:r>
        <w:rPr>
          <w:rFonts w:cs="Arial"/>
          <w:lang w:val="en-US"/>
        </w:rPr>
        <w:t>. [online] Available at: https://www.nhsstaffsurveys.com/static/c1a573e95b1a49428676ef4b24f5efe7/National-Results-Briefing-2024.pdf.</w:t>
      </w:r>
    </w:p>
    <w:p>
      <w:pPr>
        <w:spacing w:line="360" w:lineRule="auto"/>
        <w:jc w:val="both"/>
        <w:rPr>
          <w:rFonts w:cs="Arial"/>
          <w:lang w:val="en-US"/>
        </w:rPr>
      </w:pPr>
      <w:r>
        <w:rPr>
          <w:rFonts w:cs="Arial"/>
          <w:lang w:val="en-US"/>
        </w:rPr>
        <w:t xml:space="preserve">NHS England (2021). </w:t>
      </w:r>
      <w:r>
        <w:rPr>
          <w:rFonts w:cs="Arial"/>
          <w:i/>
          <w:iCs/>
          <w:lang w:val="en-US"/>
        </w:rPr>
        <w:t>The National Patient Safety Improvement Programmes</w:t>
      </w:r>
      <w:r>
        <w:rPr>
          <w:rFonts w:cs="Arial"/>
          <w:lang w:val="en-US"/>
        </w:rPr>
        <w:t>. [online] Available at: https://www.england.nhs.uk/patient-safety/patient-safety-improvement-programmes/.</w:t>
      </w:r>
    </w:p>
    <w:p>
      <w:pPr>
        <w:spacing w:line="360" w:lineRule="auto"/>
        <w:jc w:val="both"/>
        <w:rPr>
          <w:rFonts w:cs="Arial"/>
          <w:lang w:val="en-US"/>
        </w:rPr>
      </w:pPr>
      <w:r>
        <w:rPr>
          <w:rFonts w:cs="Arial"/>
          <w:lang w:val="en-US"/>
        </w:rPr>
        <w:t xml:space="preserve">NHS England (2022). </w:t>
      </w:r>
      <w:r>
        <w:rPr>
          <w:rFonts w:cs="Arial"/>
          <w:i/>
          <w:iCs/>
          <w:lang w:val="en-US"/>
        </w:rPr>
        <w:t>Classification: Official Publication approval reference: PAR1465 Patient Safety Incident Response Framework supporting guidance Engaging and involving patients, families and staff following a patient safety incident</w:t>
      </w:r>
      <w:r>
        <w:rPr>
          <w:rFonts w:cs="Arial"/>
          <w:lang w:val="en-US"/>
        </w:rPr>
        <w:t xml:space="preserve">. [online] Available at: </w:t>
      </w:r>
      <w:r>
        <w:rPr>
          <w:rStyle w:val="22"/>
          <w:rFonts w:cs="Arial"/>
          <w:lang w:val="en-US"/>
        </w:rPr>
        <w:fldChar w:fldCharType="begin"/>
      </w:r>
      <w:r>
        <w:instrText>HYPERLINK "https://www.england.nhs.uk/wp-content/uploads/2022/08/B1465-2.-Engaging-and-involving...-v1-FINAL.pdf"</w:instrText>
      </w:r>
      <w:r>
        <w:rPr>
          <w:rStyle w:val="22"/>
          <w:rFonts w:cs="Arial"/>
          <w:lang w:val="en-US"/>
        </w:rPr>
        <w:fldChar w:fldCharType="separate"/>
      </w:r>
      <w:r>
        <w:rPr>
          <w:rStyle w:val="22"/>
          <w:rFonts w:cs="Arial"/>
          <w:lang w:val="en-US"/>
        </w:rPr>
        <w:t>https://www.england.nhs.uk/wp-content/uploads/2022/08/B1465-2.-Engaging-and-involving...-v1-FINAL.pdf</w:t>
      </w:r>
      <w:r>
        <w:rPr>
          <w:rStyle w:val="22"/>
          <w:rFonts w:cs="Arial"/>
          <w:lang w:val="en-US"/>
        </w:rPr>
        <w:fldChar w:fldCharType="end"/>
      </w:r>
      <w:r>
        <w:rPr>
          <w:rFonts w:cs="Arial"/>
          <w:lang w:val="en-US"/>
        </w:rPr>
        <w:t>.</w:t>
      </w:r>
    </w:p>
    <w:p>
      <w:pPr>
        <w:spacing w:line="360" w:lineRule="auto"/>
        <w:jc w:val="both"/>
        <w:rPr>
          <w:rFonts w:cs="Arial"/>
          <w:lang w:val="en-US"/>
        </w:rPr>
      </w:pPr>
      <w:r>
        <w:rPr>
          <w:rFonts w:cs="Arial"/>
          <w:lang w:val="en-US"/>
        </w:rPr>
        <w:t xml:space="preserve">NHS England (2023a). </w:t>
      </w:r>
      <w:r>
        <w:rPr>
          <w:rFonts w:cs="Arial"/>
          <w:i/>
          <w:iCs/>
          <w:lang w:val="en-US"/>
        </w:rPr>
        <w:t>Serious Incident Case Study: Infant Morphine Overdose Investigation Summary &amp; Learning</w:t>
      </w:r>
      <w:r>
        <w:rPr>
          <w:rFonts w:cs="Arial"/>
          <w:lang w:val="en-US"/>
        </w:rPr>
        <w:t>. [online] Available at: https://northyorkshireccg.nhs.uk/wp-content/uploads/2023/09/11.07.23-NHS-NEY-INFANT-MORPHINE-OVERDOSE-CASE-STUDY.pdf [Accessed 8 Mar. 2026].</w:t>
      </w:r>
    </w:p>
    <w:p>
      <w:pPr>
        <w:spacing w:line="360" w:lineRule="auto"/>
        <w:jc w:val="both"/>
        <w:rPr>
          <w:rFonts w:cs="Arial"/>
          <w:lang w:val="en-US"/>
        </w:rPr>
      </w:pPr>
      <w:r>
        <w:rPr>
          <w:rFonts w:cs="Arial"/>
          <w:lang w:val="en-US"/>
        </w:rPr>
        <w:t xml:space="preserve">NHS England (2023b). </w:t>
      </w:r>
      <w:r>
        <w:rPr>
          <w:rFonts w:cs="Arial"/>
          <w:i/>
          <w:iCs/>
          <w:lang w:val="en-US"/>
        </w:rPr>
        <w:t>Serious Incident Case Study: Infant Morphine Overdose Investigation Summary &amp; Learning</w:t>
      </w:r>
      <w:r>
        <w:rPr>
          <w:rFonts w:cs="Arial"/>
          <w:lang w:val="en-US"/>
        </w:rPr>
        <w:t>. [online] Available at: https://northyorkshireccg.nhs.uk/wp-content/uploads/2023/09/11.07.23-NHS-NEY-INFANT-MORPHINE-OVERDOSE-CASE-STUDY.pdf [Accessed 1 Mar. 2026].</w:t>
      </w:r>
    </w:p>
    <w:p>
      <w:pPr>
        <w:spacing w:line="360" w:lineRule="auto"/>
        <w:jc w:val="both"/>
        <w:rPr>
          <w:rFonts w:cs="Arial"/>
          <w:lang w:val="en-US"/>
        </w:rPr>
      </w:pPr>
      <w:r>
        <w:rPr>
          <w:rFonts w:cs="Arial"/>
          <w:lang w:val="en-US"/>
        </w:rPr>
        <w:t xml:space="preserve">NHS England (2023c). </w:t>
      </w:r>
      <w:r>
        <w:rPr>
          <w:rFonts w:cs="Arial"/>
          <w:i/>
          <w:iCs/>
          <w:lang w:val="en-US"/>
        </w:rPr>
        <w:t>Serious Incident Case Study: Infant Morphine Overdose Investigation Summary &amp; Learning</w:t>
      </w:r>
      <w:r>
        <w:rPr>
          <w:rFonts w:cs="Arial"/>
          <w:lang w:val="en-US"/>
        </w:rPr>
        <w:t>. [online] Available at: https://northyorkshireccg.nhs.uk/wp-content/uploads/2023/09/11.07.23-NHS-NEY-INFANT-MORPHINE-OVERDOSE-CASE-STUDY.pdf.</w:t>
      </w:r>
    </w:p>
    <w:p>
      <w:pPr>
        <w:spacing w:line="360" w:lineRule="auto"/>
        <w:jc w:val="both"/>
        <w:rPr>
          <w:rFonts w:cs="Arial"/>
          <w:lang w:val="en-US"/>
        </w:rPr>
      </w:pPr>
      <w:r>
        <w:rPr>
          <w:rFonts w:cs="Arial"/>
          <w:lang w:val="en-US"/>
        </w:rPr>
        <w:t xml:space="preserve">NHS England (2024a). </w:t>
      </w:r>
      <w:r>
        <w:rPr>
          <w:rFonts w:cs="Arial"/>
          <w:i/>
          <w:iCs/>
          <w:lang w:val="en-US"/>
        </w:rPr>
        <w:t>NHS England - NHS Long Term Workforce Plan</w:t>
      </w:r>
      <w:r>
        <w:rPr>
          <w:rFonts w:cs="Arial"/>
          <w:lang w:val="en-US"/>
        </w:rPr>
        <w:t>. [online] NHS England. Available at: https://www.england.nhs.uk/long-read/nhs-long-term-workforce-plan-2/.</w:t>
      </w:r>
    </w:p>
    <w:p>
      <w:pPr>
        <w:spacing w:line="360" w:lineRule="auto"/>
        <w:jc w:val="both"/>
        <w:rPr>
          <w:rFonts w:cs="Arial"/>
          <w:lang w:val="en-US"/>
        </w:rPr>
      </w:pPr>
      <w:r>
        <w:rPr>
          <w:rFonts w:cs="Arial"/>
          <w:lang w:val="en-US"/>
        </w:rPr>
        <w:t xml:space="preserve">NHS England (2024b). </w:t>
      </w:r>
      <w:r>
        <w:rPr>
          <w:rFonts w:cs="Arial"/>
          <w:i/>
          <w:iCs/>
          <w:lang w:val="en-US"/>
        </w:rPr>
        <w:t>NHS England» Over 10,000 NHS pharmacies begin treating people for common conditions</w:t>
      </w:r>
      <w:r>
        <w:rPr>
          <w:rFonts w:cs="Arial"/>
          <w:lang w:val="en-US"/>
        </w:rPr>
        <w:t>. [online] England.nhs.uk. Available at: https://www.england.nhs.uk/2024/01/over-10000-nhs-pharmacies-begin-treating-people-for-common-conditions.</w:t>
      </w:r>
    </w:p>
    <w:p>
      <w:pPr>
        <w:spacing w:line="360" w:lineRule="auto"/>
        <w:jc w:val="both"/>
        <w:rPr>
          <w:rFonts w:cs="Arial"/>
          <w:lang w:val="en-US"/>
        </w:rPr>
      </w:pPr>
      <w:r>
        <w:rPr>
          <w:rFonts w:cs="Arial"/>
          <w:lang w:val="en-US"/>
        </w:rPr>
        <w:t xml:space="preserve">NHS England (2024c). </w:t>
      </w:r>
      <w:r>
        <w:rPr>
          <w:rFonts w:cs="Arial"/>
          <w:i/>
          <w:iCs/>
          <w:lang w:val="en-US"/>
        </w:rPr>
        <w:t>NHS England» Primary care patient safety strategy</w:t>
      </w:r>
      <w:r>
        <w:rPr>
          <w:rFonts w:cs="Arial"/>
          <w:lang w:val="en-US"/>
        </w:rPr>
        <w:t>. [online] England.nhs.uk. Available at: https://www.england.nhs.uk/long-read/primary-care-patient-safety-strategy/.</w:t>
      </w:r>
    </w:p>
    <w:p>
      <w:pPr>
        <w:spacing w:line="360" w:lineRule="auto"/>
        <w:jc w:val="both"/>
        <w:rPr>
          <w:rFonts w:cs="Arial"/>
          <w:lang w:val="en-US"/>
        </w:rPr>
      </w:pPr>
      <w:r>
        <w:rPr>
          <w:rFonts w:cs="Arial"/>
          <w:lang w:val="en-US"/>
        </w:rPr>
        <w:t xml:space="preserve">NHS England (2024d). </w:t>
      </w:r>
      <w:r>
        <w:rPr>
          <w:rFonts w:cs="Arial"/>
          <w:i/>
          <w:iCs/>
          <w:lang w:val="en-US"/>
        </w:rPr>
        <w:t>Patient Safety Incident Response Framework</w:t>
      </w:r>
      <w:r>
        <w:rPr>
          <w:rFonts w:cs="Arial"/>
          <w:lang w:val="en-US"/>
        </w:rPr>
        <w:t>. [online] www.england.nhs.uk. Available at: https://www.england.nhs.uk/patient-safety/patient-safety-insight/incident-response-framework/.</w:t>
      </w:r>
    </w:p>
    <w:p>
      <w:pPr>
        <w:spacing w:line="360" w:lineRule="auto"/>
        <w:jc w:val="both"/>
        <w:rPr>
          <w:rFonts w:cs="Arial"/>
          <w:lang w:val="en-US"/>
        </w:rPr>
      </w:pPr>
      <w:r>
        <w:rPr>
          <w:rFonts w:cs="Arial"/>
          <w:lang w:val="en-US"/>
        </w:rPr>
        <w:t xml:space="preserve">NHS England (2025a). </w:t>
      </w:r>
      <w:r>
        <w:rPr>
          <w:rFonts w:cs="Arial"/>
          <w:i/>
          <w:iCs/>
          <w:lang w:val="en-US"/>
        </w:rPr>
        <w:t>NHS England» Medication safety</w:t>
      </w:r>
      <w:r>
        <w:rPr>
          <w:rFonts w:cs="Arial"/>
          <w:lang w:val="en-US"/>
        </w:rPr>
        <w:t>. [online] England.nhs.uk. Available at: https://www.england.nhs.uk/patient-safety/patient-safety-insight/patient-safety-alerts/enduring-standards/standards-that-remain-valid/medication-safety.</w:t>
      </w:r>
    </w:p>
    <w:p>
      <w:pPr>
        <w:spacing w:line="360" w:lineRule="auto"/>
        <w:jc w:val="both"/>
        <w:rPr>
          <w:rFonts w:cs="Arial"/>
          <w:lang w:val="en-US"/>
        </w:rPr>
      </w:pPr>
      <w:r>
        <w:rPr>
          <w:rFonts w:cs="Arial"/>
          <w:lang w:val="en-US"/>
        </w:rPr>
        <w:t xml:space="preserve">NHS England (2025b). </w:t>
      </w:r>
      <w:r>
        <w:rPr>
          <w:rFonts w:cs="Arial"/>
          <w:i/>
          <w:iCs/>
          <w:lang w:val="en-US"/>
        </w:rPr>
        <w:t>NHS England» NHS patient safety strategy – progress so far</w:t>
      </w:r>
      <w:r>
        <w:rPr>
          <w:rFonts w:cs="Arial"/>
          <w:lang w:val="en-US"/>
        </w:rPr>
        <w:t>. [online] www.england.nhs.uk. Available at: https://www.england.nhs.uk/patient-safety/the-nhs-patient-safety-strategy/nhs-patient-safety-strategy-progress-so-far/.</w:t>
      </w:r>
    </w:p>
    <w:p>
      <w:pPr>
        <w:spacing w:line="360" w:lineRule="auto"/>
        <w:jc w:val="both"/>
        <w:rPr>
          <w:rFonts w:cs="Arial"/>
          <w:lang w:val="en-US"/>
        </w:rPr>
      </w:pPr>
      <w:r>
        <w:rPr>
          <w:rFonts w:cs="Arial"/>
          <w:lang w:val="en-US"/>
        </w:rPr>
        <w:t xml:space="preserve">NHS England (2025c). </w:t>
      </w:r>
      <w:r>
        <w:rPr>
          <w:rFonts w:cs="Arial"/>
          <w:i/>
          <w:iCs/>
          <w:lang w:val="en-US"/>
        </w:rPr>
        <w:t>NHS England» Patient safety healthcare inequalities reduction framework</w:t>
      </w:r>
      <w:r>
        <w:rPr>
          <w:rFonts w:cs="Arial"/>
          <w:lang w:val="en-US"/>
        </w:rPr>
        <w:t>. [online] England.nhs.uk. Available at: https://www.england.nhs.uk/long-read/patient-safety-healthcare-inequalities-reduction-framework/.</w:t>
      </w:r>
    </w:p>
    <w:p>
      <w:pPr>
        <w:spacing w:line="360" w:lineRule="auto"/>
        <w:jc w:val="both"/>
        <w:rPr>
          <w:rFonts w:cs="Arial"/>
          <w:lang w:val="en-US"/>
        </w:rPr>
      </w:pPr>
      <w:r>
        <w:rPr>
          <w:rFonts w:cs="Arial"/>
          <w:lang w:val="en-US"/>
        </w:rPr>
        <w:t xml:space="preserve">NHS England (2025d). </w:t>
      </w:r>
      <w:r>
        <w:rPr>
          <w:rFonts w:cs="Arial"/>
          <w:i/>
          <w:iCs/>
          <w:lang w:val="en-US"/>
        </w:rPr>
        <w:t>NHS England» Primary care networks</w:t>
      </w:r>
      <w:r>
        <w:rPr>
          <w:rFonts w:cs="Arial"/>
          <w:lang w:val="en-US"/>
        </w:rPr>
        <w:t>. [online] www.england.nhs.uk. Available at: https://www.england.nhs.uk/primary-care/primary-care-networks.</w:t>
      </w:r>
    </w:p>
    <w:p>
      <w:pPr>
        <w:spacing w:line="360" w:lineRule="auto"/>
        <w:jc w:val="both"/>
        <w:rPr>
          <w:rFonts w:cs="Arial"/>
          <w:lang w:val="en-US"/>
        </w:rPr>
      </w:pPr>
      <w:r>
        <w:rPr>
          <w:rFonts w:cs="Arial"/>
          <w:lang w:val="en-US"/>
        </w:rPr>
        <w:t xml:space="preserve">NHS England (2025e). </w:t>
      </w:r>
      <w:r>
        <w:rPr>
          <w:rFonts w:cs="Arial"/>
          <w:i/>
          <w:iCs/>
          <w:lang w:val="en-US"/>
        </w:rPr>
        <w:t>NHS England» What are integrated care systems?</w:t>
      </w:r>
      <w:r>
        <w:rPr>
          <w:rFonts w:cs="Arial"/>
          <w:lang w:val="en-US"/>
        </w:rPr>
        <w:t xml:space="preserve"> [online] www.england.nhs.uk. Available at: https://www.england.nhs.uk/integratedcare/what-is-integrated-care.</w:t>
      </w:r>
    </w:p>
    <w:p>
      <w:pPr>
        <w:spacing w:line="360" w:lineRule="auto"/>
        <w:jc w:val="both"/>
        <w:rPr>
          <w:rFonts w:cs="Arial"/>
          <w:lang w:val="en-US"/>
        </w:rPr>
      </w:pPr>
      <w:r>
        <w:rPr>
          <w:rFonts w:cs="Arial"/>
          <w:lang w:val="en-US"/>
        </w:rPr>
        <w:t xml:space="preserve">NHS England (2026a). </w:t>
      </w:r>
      <w:r>
        <w:rPr>
          <w:rFonts w:cs="Arial"/>
          <w:i/>
          <w:iCs/>
          <w:lang w:val="en-US"/>
        </w:rPr>
        <w:t>NHS England» Co-production</w:t>
      </w:r>
      <w:r>
        <w:rPr>
          <w:rFonts w:cs="Arial"/>
          <w:lang w:val="en-US"/>
        </w:rPr>
        <w:t>. [online] www.england.nhs.uk. Available at: https://www.england.nhs.uk/always-events/co-production.</w:t>
      </w:r>
    </w:p>
    <w:p>
      <w:pPr>
        <w:spacing w:line="360" w:lineRule="auto"/>
        <w:jc w:val="both"/>
        <w:rPr>
          <w:rFonts w:cs="Arial"/>
          <w:lang w:val="en-US"/>
        </w:rPr>
      </w:pPr>
      <w:r>
        <w:rPr>
          <w:rFonts w:cs="Arial"/>
          <w:lang w:val="en-US"/>
        </w:rPr>
        <w:t xml:space="preserve">NHS England (2026b). </w:t>
      </w:r>
      <w:r>
        <w:rPr>
          <w:rFonts w:cs="Arial"/>
          <w:i/>
          <w:iCs/>
          <w:lang w:val="en-US"/>
        </w:rPr>
        <w:t>NHS England» Patient Safety Incident Response Framework</w:t>
      </w:r>
      <w:r>
        <w:rPr>
          <w:rFonts w:cs="Arial"/>
          <w:lang w:val="en-US"/>
        </w:rPr>
        <w:t>. [online] www.england.nhs.uk. Available at: https://www.england.nhs.uk/patient-safety/patient-safety-insight/incident-response-framework.</w:t>
      </w:r>
    </w:p>
    <w:p>
      <w:pPr>
        <w:spacing w:line="360" w:lineRule="auto"/>
        <w:jc w:val="both"/>
        <w:rPr>
          <w:rFonts w:cs="Arial"/>
          <w:lang w:val="en-US"/>
        </w:rPr>
      </w:pPr>
      <w:r>
        <w:rPr>
          <w:rFonts w:cs="Arial"/>
          <w:lang w:val="en-US"/>
        </w:rPr>
        <w:t xml:space="preserve">NHS Staff Survey (2025a). </w:t>
      </w:r>
      <w:r>
        <w:rPr>
          <w:rFonts w:cs="Arial"/>
          <w:i/>
          <w:iCs/>
          <w:lang w:val="en-US"/>
        </w:rPr>
        <w:t>2025 NHS Staff Survey National results briefing</w:t>
      </w:r>
      <w:r>
        <w:rPr>
          <w:rFonts w:cs="Arial"/>
          <w:lang w:val="en-US"/>
        </w:rPr>
        <w:t>. [online] Available at: https://www.nhsstaffsurveys.com/static/98fbf017ea18aad1523254e02072cd02/National-Results-Briefing-2025.pdf.</w:t>
      </w:r>
    </w:p>
    <w:p>
      <w:pPr>
        <w:spacing w:line="360" w:lineRule="auto"/>
        <w:jc w:val="both"/>
        <w:rPr>
          <w:rFonts w:cs="Arial"/>
          <w:lang w:val="en-US"/>
        </w:rPr>
      </w:pPr>
      <w:r>
        <w:rPr>
          <w:rFonts w:cs="Arial"/>
          <w:lang w:val="en-US"/>
        </w:rPr>
        <w:t xml:space="preserve">NHS Staff Survey (2025b). </w:t>
      </w:r>
      <w:r>
        <w:rPr>
          <w:rFonts w:cs="Arial"/>
          <w:i/>
          <w:iCs/>
          <w:lang w:val="en-US"/>
        </w:rPr>
        <w:t>2025 NHS Staff Survey National results briefing</w:t>
      </w:r>
      <w:r>
        <w:rPr>
          <w:rFonts w:cs="Arial"/>
          <w:lang w:val="en-US"/>
        </w:rPr>
        <w:t>. [online] Available at: https://www.nhsstaffsurveys.com/static/98fbf017ea18aad1523254e02072cd02/National-Results-Briefing-2025.pdf.</w:t>
      </w:r>
    </w:p>
    <w:p>
      <w:pPr>
        <w:spacing w:line="360" w:lineRule="auto"/>
        <w:jc w:val="both"/>
        <w:rPr>
          <w:rFonts w:cs="Arial"/>
        </w:rPr>
      </w:pPr>
      <w:r>
        <w:rPr>
          <w:rFonts w:cs="Arial"/>
        </w:rPr>
        <w:t xml:space="preserve">NMSON (2024) </w:t>
      </w:r>
      <w:r>
        <w:rPr>
          <w:rFonts w:cs="Arial"/>
          <w:i/>
          <w:iCs/>
        </w:rPr>
        <w:t>Welcome to the monthly web meeting: Wednesday 31st January 2024</w:t>
      </w:r>
      <w:r>
        <w:rPr>
          <w:rFonts w:cs="Arial"/>
        </w:rPr>
        <w:t xml:space="preserve">. Available at: </w:t>
      </w:r>
      <w:r>
        <w:rPr>
          <w:rStyle w:val="22"/>
          <w:rFonts w:cs="Arial"/>
        </w:rPr>
        <w:fldChar w:fldCharType="begin"/>
      </w:r>
      <w:r>
        <w:instrText>HYPERLINK "https://imsn.ie/wp-content/uploads/2024/05/35929-MSO-January-webinar-final-2024.pdf?utm_source=chatgpt.com"</w:instrText>
      </w:r>
      <w:r>
        <w:rPr>
          <w:rStyle w:val="22"/>
          <w:rFonts w:cs="Arial"/>
        </w:rPr>
        <w:fldChar w:fldCharType="separate"/>
      </w:r>
      <w:r>
        <w:rPr>
          <w:rStyle w:val="22"/>
          <w:rFonts w:cs="Arial"/>
        </w:rPr>
        <w:t>https://imsn.ie/wp-content/uploads/2024/05/35929-MSO-January-webinar-final-2024.pdf</w:t>
      </w:r>
      <w:r>
        <w:rPr>
          <w:rStyle w:val="22"/>
          <w:rFonts w:cs="Arial"/>
        </w:rPr>
        <w:fldChar w:fldCharType="end"/>
      </w:r>
    </w:p>
    <w:p>
      <w:pPr>
        <w:spacing w:line="360" w:lineRule="auto"/>
        <w:jc w:val="both"/>
        <w:rPr>
          <w:rFonts w:cs="Arial"/>
          <w:lang w:val="en-US"/>
        </w:rPr>
      </w:pPr>
      <w:r>
        <w:rPr>
          <w:rFonts w:cs="Arial"/>
          <w:lang w:val="en-US"/>
        </w:rPr>
        <w:t xml:space="preserve">OECD (2025). </w:t>
      </w:r>
      <w:r>
        <w:rPr>
          <w:rFonts w:cs="Arial"/>
          <w:i/>
          <w:iCs/>
          <w:lang w:val="en-US"/>
        </w:rPr>
        <w:t>Patient safety</w:t>
      </w:r>
      <w:r>
        <w:rPr>
          <w:rFonts w:cs="Arial"/>
          <w:lang w:val="en-US"/>
        </w:rPr>
        <w:t>. [online] OECD. Available at: https://www.oecd.org/en/topics/patient-safety.html.</w:t>
      </w:r>
    </w:p>
    <w:p>
      <w:pPr>
        <w:spacing w:line="360" w:lineRule="auto"/>
        <w:jc w:val="both"/>
        <w:rPr>
          <w:rFonts w:cs="Arial"/>
          <w:lang w:val="en-US"/>
        </w:rPr>
      </w:pPr>
      <w:r>
        <w:rPr>
          <w:rFonts w:cs="Arial"/>
          <w:lang w:val="en-US"/>
        </w:rPr>
        <w:t xml:space="preserve">Penm, J., Yeung, K., Moles, R.J., Criddle, D., Elliott, R.A., Rigby, D., Shakib, S., Sanfilippo, F.M., Carter, S.R., Budgeon, C., Nguyen, K., Yates, P., Phillips, K., Yik, J., McMillan, F., Hawthorne, D., Fleming, C., Packer, A., Krogh, L. and Poon, S.K. (2025). Timely post-discharge medication reviews to Improve Continuity—the Transitions Of Care stewardship (TIC TOC) study in rural and regional Australia: a parallel-group randomised controlled trial study protocol. </w:t>
      </w:r>
      <w:r>
        <w:rPr>
          <w:rFonts w:cs="Arial"/>
          <w:i/>
          <w:iCs/>
          <w:lang w:val="en-US"/>
        </w:rPr>
        <w:t>BMJ Open</w:t>
      </w:r>
      <w:r>
        <w:rPr>
          <w:rFonts w:cs="Arial"/>
          <w:lang w:val="en-US"/>
        </w:rPr>
        <w:t>, [online] 15(6), pp.e100588–e100588. doi:https://doi.org/10.1136/bmjopen-2025-100588.</w:t>
      </w:r>
    </w:p>
    <w:p>
      <w:pPr>
        <w:spacing w:line="360" w:lineRule="auto"/>
        <w:jc w:val="both"/>
        <w:rPr>
          <w:rFonts w:cs="Arial"/>
        </w:rPr>
      </w:pPr>
      <w:r>
        <w:rPr>
          <w:rFonts w:cs="Arial"/>
        </w:rPr>
        <w:t>Ramsay, A.I., Ramsay, A., Tomini, S.M., Tomini, S., Gandhi, S., Fulop, N.J., Fulop, N. and Morris, S., 2025. Centralisation of specialised healthcare services: a scoping review of definitions, types, and impact on outcomes. </w:t>
      </w:r>
      <w:r>
        <w:rPr>
          <w:rFonts w:cs="Arial"/>
          <w:i/>
          <w:iCs/>
        </w:rPr>
        <w:t>Health and Social Care Delivery Research</w:t>
      </w:r>
      <w:r>
        <w:rPr>
          <w:rFonts w:cs="Arial"/>
        </w:rPr>
        <w:t>, (43), pp.1-70.</w:t>
      </w:r>
    </w:p>
    <w:p>
      <w:pPr>
        <w:spacing w:line="360" w:lineRule="auto"/>
        <w:jc w:val="both"/>
        <w:rPr>
          <w:rFonts w:cs="Arial"/>
        </w:rPr>
      </w:pPr>
      <w:r>
        <w:rPr>
          <w:rFonts w:cs="Arial"/>
        </w:rPr>
        <w:t>Rys, M., Krzyworzeka, P. and Żukowicka-Surma, A., 2024. Navigating patient journeys across healthcare borders: hot potatoes, medical professionalism and a negotiated order. </w:t>
      </w:r>
      <w:r>
        <w:rPr>
          <w:rFonts w:cs="Arial"/>
          <w:i/>
          <w:iCs/>
        </w:rPr>
        <w:t>Journal of Integrated Care</w:t>
      </w:r>
      <w:r>
        <w:rPr>
          <w:rFonts w:cs="Arial"/>
        </w:rPr>
        <w:t>, </w:t>
      </w:r>
      <w:r>
        <w:rPr>
          <w:rFonts w:cs="Arial"/>
          <w:i/>
          <w:iCs/>
        </w:rPr>
        <w:t>32</w:t>
      </w:r>
      <w:r>
        <w:rPr>
          <w:rFonts w:cs="Arial"/>
        </w:rPr>
        <w:t>(4), pp.461-480.</w:t>
      </w:r>
    </w:p>
    <w:p>
      <w:pPr>
        <w:spacing w:line="360" w:lineRule="auto"/>
        <w:jc w:val="both"/>
        <w:rPr>
          <w:rFonts w:cs="Arial"/>
          <w:lang w:val="en-US"/>
        </w:rPr>
      </w:pPr>
      <w:r>
        <w:rPr>
          <w:rFonts w:cs="Arial"/>
          <w:lang w:val="en-US"/>
        </w:rPr>
        <w:t xml:space="preserve">SPS (2025). </w:t>
      </w:r>
      <w:r>
        <w:rPr>
          <w:rFonts w:cs="Arial"/>
          <w:i/>
          <w:iCs/>
          <w:lang w:val="en-US"/>
        </w:rPr>
        <w:t>Developing opioid safety across a system</w:t>
      </w:r>
      <w:r>
        <w:rPr>
          <w:rFonts w:cs="Arial"/>
          <w:lang w:val="en-US"/>
        </w:rPr>
        <w:t>. [online] SPS - Specialist Pharmacy Service. Available at: https://www.sps.nhs.uk/articles/developing-opioid-safety-across-a-system [Accessed 18 Mar. 2026].</w:t>
      </w:r>
    </w:p>
    <w:p>
      <w:pPr>
        <w:spacing w:line="360" w:lineRule="auto"/>
        <w:jc w:val="both"/>
        <w:rPr>
          <w:rFonts w:cs="Arial"/>
        </w:rPr>
      </w:pPr>
      <w:r>
        <w:rPr>
          <w:rFonts w:cs="Arial"/>
        </w:rPr>
        <w:t>Thayer, N., Mackridge, A.J. and White, S., 2023. Predicting the potential value of the new discharge medicines service in England. </w:t>
      </w:r>
      <w:r>
        <w:rPr>
          <w:rFonts w:cs="Arial"/>
          <w:i/>
          <w:iCs/>
        </w:rPr>
        <w:t>Journal of Pharmaceutical Health Services Research</w:t>
      </w:r>
      <w:r>
        <w:rPr>
          <w:rFonts w:cs="Arial"/>
        </w:rPr>
        <w:t>, </w:t>
      </w:r>
      <w:r>
        <w:rPr>
          <w:rFonts w:cs="Arial"/>
          <w:i/>
          <w:iCs/>
        </w:rPr>
        <w:t>14</w:t>
      </w:r>
      <w:r>
        <w:rPr>
          <w:rFonts w:cs="Arial"/>
        </w:rPr>
        <w:t>(3), pp.248-255.</w:t>
      </w:r>
    </w:p>
    <w:p>
      <w:pPr>
        <w:spacing w:line="360" w:lineRule="auto"/>
        <w:jc w:val="both"/>
        <w:rPr>
          <w:rFonts w:cs="Arial"/>
        </w:rPr>
      </w:pPr>
      <w:r>
        <w:rPr>
          <w:rFonts w:cs="Arial"/>
        </w:rPr>
        <w:t>Trivedi, A., Tse, Y. and Tomlin, S., 2025. Standardising medicines in digital paediatric discharge summaries to improve safety. </w:t>
      </w:r>
      <w:r>
        <w:rPr>
          <w:rFonts w:cs="Arial"/>
          <w:i/>
          <w:iCs/>
        </w:rPr>
        <w:t>Archives of Disease in Childhood</w:t>
      </w:r>
      <w:r>
        <w:rPr>
          <w:rFonts w:cs="Arial"/>
        </w:rPr>
        <w:t>.</w:t>
      </w:r>
    </w:p>
    <w:p>
      <w:pPr>
        <w:spacing w:line="360" w:lineRule="auto"/>
        <w:jc w:val="both"/>
        <w:rPr>
          <w:rFonts w:cs="Arial"/>
        </w:rPr>
      </w:pPr>
      <w:r>
        <w:rPr>
          <w:rFonts w:cs="Arial"/>
        </w:rPr>
        <w:t>Tsapnidou, E., Kelesi, M., Rovithis, M., Katharakis, G., Gerogianni, G., Dafogianni, C., Toylia, G., Fasoi, G. and Stavropoulou, A., 2024. Transformational leadership—quality achievements and benefits for the healthcare organizations: a scoping review. </w:t>
      </w:r>
      <w:r>
        <w:rPr>
          <w:rFonts w:cs="Arial"/>
          <w:i/>
          <w:iCs/>
        </w:rPr>
        <w:t>Hospitals</w:t>
      </w:r>
      <w:r>
        <w:rPr>
          <w:rFonts w:cs="Arial"/>
        </w:rPr>
        <w:t>, </w:t>
      </w:r>
      <w:r>
        <w:rPr>
          <w:rFonts w:cs="Arial"/>
          <w:i/>
          <w:iCs/>
        </w:rPr>
        <w:t>1</w:t>
      </w:r>
      <w:r>
        <w:rPr>
          <w:rFonts w:cs="Arial"/>
        </w:rPr>
        <w:t>(1), pp.87-103.</w:t>
      </w:r>
    </w:p>
    <w:p>
      <w:pPr>
        <w:spacing w:line="360" w:lineRule="auto"/>
        <w:jc w:val="both"/>
        <w:rPr>
          <w:rFonts w:cs="Arial"/>
          <w:lang w:val="en-US"/>
        </w:rPr>
      </w:pPr>
      <w:r>
        <w:rPr>
          <w:rFonts w:cs="Arial"/>
          <w:lang w:val="en-US"/>
        </w:rPr>
        <w:t xml:space="preserve">Wang, X., Liu, Y., Peng, Z., Li, B., Liang, Q., Liao, S. and Liu, M. (2024). Situational leadership theory in nursing management: a scoping review. </w:t>
      </w:r>
      <w:r>
        <w:rPr>
          <w:rFonts w:cs="Arial"/>
          <w:i/>
          <w:iCs/>
          <w:lang w:val="en-US"/>
        </w:rPr>
        <w:t>BMC Nursing</w:t>
      </w:r>
      <w:r>
        <w:rPr>
          <w:rFonts w:cs="Arial"/>
          <w:lang w:val="en-US"/>
        </w:rPr>
        <w:t>, [online] 23(1). doi:https://doi.org/10.1186/s12912-024-02582-9.</w:t>
      </w:r>
    </w:p>
    <w:p>
      <w:pPr>
        <w:spacing w:line="360" w:lineRule="auto"/>
        <w:jc w:val="both"/>
        <w:rPr>
          <w:rFonts w:cs="Arial"/>
          <w:lang w:val="en-US"/>
        </w:rPr>
      </w:pPr>
      <w:r>
        <w:rPr>
          <w:rFonts w:cs="Arial"/>
          <w:lang w:val="en-US"/>
        </w:rPr>
        <w:t xml:space="preserve">WHO (2023). </w:t>
      </w:r>
      <w:r>
        <w:rPr>
          <w:rFonts w:cs="Arial"/>
          <w:i/>
          <w:iCs/>
          <w:lang w:val="en-US"/>
        </w:rPr>
        <w:t>Patient safety</w:t>
      </w:r>
      <w:r>
        <w:rPr>
          <w:rFonts w:cs="Arial"/>
          <w:lang w:val="en-US"/>
        </w:rPr>
        <w:t>. [online] World Health Organization. Available at: https://www.who.int/news-room/fact-sheets/detail/patient-safety.</w:t>
      </w:r>
    </w:p>
    <w:p>
      <w:pPr>
        <w:spacing w:line="360" w:lineRule="auto"/>
        <w:jc w:val="both"/>
        <w:rPr>
          <w:rFonts w:cs="Arial"/>
          <w:lang w:val="en-US"/>
        </w:rPr>
      </w:pPr>
      <w:r>
        <w:rPr>
          <w:rFonts w:cs="Arial"/>
          <w:lang w:val="en-US"/>
        </w:rPr>
        <w:t xml:space="preserve">Wilcock, M., Bastian, L., Jones, A. and Wasim Baqir (2024). Community pharmacy discharge medicines service activity as recorded in PharmOutcomes: a retrospective exploration and analysis. </w:t>
      </w:r>
      <w:r>
        <w:rPr>
          <w:rFonts w:cs="Arial"/>
          <w:i/>
          <w:iCs/>
          <w:lang w:val="en-US"/>
        </w:rPr>
        <w:t>International journal of pharmacy practice</w:t>
      </w:r>
      <w:r>
        <w:rPr>
          <w:rFonts w:cs="Arial"/>
          <w:lang w:val="en-US"/>
        </w:rPr>
        <w:t>. doi:https://doi.org/10.1093/ijpp/riae021.</w:t>
      </w:r>
    </w:p>
    <w:sectPr>
      <w:footerReference w:type="default" r:id="rId4"/>
      <w:pgSz w:w="11906" w:h="16838"/>
      <w:pgMar w:top="1440" w:right="1440" w:bottom="1440" w:left="1440" w:header="708" w:footer="708" w:gutter="0"/>
      <w:pgNumType w:start="1"/>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等线 Light">
    <w:altName w:val="Droid Sans"/>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9"/>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9"/>
      <w:tabs>
        <w:tab w:val="center" w:pos="4513"/>
        <w:tab w:val="right" w:pos="9026"/>
      </w:tabs>
    </w:pP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9"/>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9"/>
      <w:tabs>
        <w:tab w:val="center" w:pos="4513"/>
        <w:tab w:val="right" w:pos="9026"/>
      </w:tabs>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8"/>
      <w:tabs>
        <w:tab w:val="center" w:pos="4513"/>
        <w:tab w:val="right" w:pos="9026"/>
      </w:tabs>
    </w:pPr>
    <w:r>
      <w:rPr>
        <w:rFonts w:cs="Arial"/>
        <w:color w:val="000000"/>
        <w:bdr w:val="none" w:sz="0" w:space="0" w:color="auto"/>
      </w:rPr>
      <w:drawing>
        <wp:anchor distT="0" distB="0" distL="114300" distR="114300" simplePos="0" relativeHeight="20" behindDoc="0" locked="0" layoutInCell="1" hidden="0" allowOverlap="1">
          <wp:simplePos x="0" y="0"/>
          <wp:positionH relativeFrom="column">
            <wp:posOffset>-788275</wp:posOffset>
          </wp:positionH>
          <wp:positionV relativeFrom="paragraph">
            <wp:posOffset>-323456</wp:posOffset>
          </wp:positionV>
          <wp:extent cx="1812924" cy="725170"/>
          <wp:effectExtent l="0" t="0" r="0" b="0"/>
          <wp:wrapThrough wrapText="bothSides">
            <wp:wrapPolygon>
              <wp:start x="-27" y="-68"/>
              <wp:lineTo x="-27" y="21493"/>
              <wp:lineTo x="21534" y="21493"/>
              <wp:lineTo x="21534" y="-68"/>
              <wp:lineTo x="-27" y="-68"/>
            </wp:wrapPolygon>
          </wp:wrapThrough>
          <wp:docPr id="1" name="图片 1"/>
          <wp:cNvGraphicFramePr>
            <a:graphicFrameLocks noChangeAspect="1"/>
          </wp:cNvGraphicFramePr>
          <a:graphic>
            <a:graphicData uri="http://schemas.openxmlformats.org/drawingml/2006/picture">
              <pic:pic>
                <pic:nvPicPr>
                  <pic:cNvPr id="3" name="图片 3"/>
                  <pic:cNvPicPr/>
                </pic:nvPicPr>
                <pic:blipFill>
                  <a:blip r:embed="rId1"/>
                  <a:stretch>
                    <a:fillRect/>
                  </a:stretch>
                </pic:blipFill>
                <pic:spPr>
                  <a:xfrm rot="0">
                    <a:off x="0" y="0"/>
                    <a:ext cx="1812924" cy="725170"/>
                  </a:xfrm>
                  <a:prstGeom prst="rect"/>
                  <a:noFill/>
                  <a:ln w="12700" cmpd="sng" cap="flat">
                    <a:noFill/>
                    <a:prstDash val="solid"/>
                    <a:round/>
                  </a:ln>
                </pic:spPr>
              </pic:pic>
            </a:graphicData>
          </a:graphic>
        </wp:anchor>
      </w:drawing>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7B5A0749"/>
    <w:multiLevelType w:val="hybridMultilevel"/>
    <w:tmpl w:val="658ADE1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Arial" w:eastAsia="Calibri" w:cs="Droid Sans" w:hAnsi="Arial"/>
      <w:color w:val="000000"/>
      <w:sz w:val="22"/>
      <w:szCs w:val="22"/>
      <w:lang w:val="en-GB" w:eastAsia="en-US" w:bidi="ar-SA"/>
    </w:rPr>
  </w:style>
  <w:style w:type="paragraph" w:styleId="1">
    <w:name w:val="heading 1"/>
    <w:basedOn w:val="0"/>
    <w:next w:val="0"/>
    <w:pPr>
      <w:keepNext/>
      <w:keepLines/>
      <w:spacing w:before="360" w:after="80"/>
      <w:outlineLvl w:val="0"/>
    </w:pPr>
    <w:rPr>
      <w:rFonts w:eastAsia="等线 Light" w:cs="Droid Sans"/>
      <w:b/>
      <w:szCs w:val="40"/>
    </w:rPr>
  </w:style>
  <w:style w:type="paragraph" w:styleId="2">
    <w:name w:val="heading 2"/>
    <w:basedOn w:val="0"/>
    <w:next w:val="0"/>
    <w:pPr>
      <w:keepNext/>
      <w:keepLines/>
      <w:spacing w:before="160" w:after="80"/>
      <w:outlineLvl w:val="1"/>
    </w:pPr>
    <w:rPr>
      <w:rFonts w:eastAsia="等线 Light" w:cs="Droid Sans"/>
      <w:b/>
      <w:szCs w:val="32"/>
    </w:rPr>
  </w:style>
  <w:style w:type="paragraph" w:styleId="3">
    <w:name w:val="heading 3"/>
    <w:basedOn w:val="0"/>
    <w:next w:val="0"/>
    <w:pPr>
      <w:keepNext/>
      <w:keepLines/>
      <w:spacing w:before="160" w:after="80"/>
      <w:outlineLvl w:val="2"/>
    </w:pPr>
    <w:rPr>
      <w:rFonts w:eastAsia="等线 Light" w:cs="Droid Sans"/>
      <w:b/>
      <w:szCs w:val="28"/>
    </w:rPr>
  </w:style>
  <w:style w:type="paragraph" w:styleId="4">
    <w:name w:val="heading 4"/>
    <w:basedOn w:val="0"/>
    <w:next w:val="0"/>
    <w:pPr>
      <w:keepNext/>
      <w:keepLines/>
      <w:spacing w:before="80" w:after="40"/>
      <w:outlineLvl w:val="3"/>
    </w:pPr>
    <w:rPr>
      <w:rFonts w:eastAsia="等线 Light" w:cs="Droid Sans"/>
      <w:i/>
      <w:iCs/>
      <w:color w:val="2E74B5"/>
    </w:rPr>
  </w:style>
  <w:style w:type="paragraph" w:styleId="5">
    <w:name w:val="heading 5"/>
    <w:basedOn w:val="0"/>
    <w:next w:val="0"/>
    <w:pPr>
      <w:keepNext/>
      <w:keepLines/>
      <w:spacing w:before="80" w:after="40"/>
      <w:outlineLvl w:val="4"/>
    </w:pPr>
    <w:rPr>
      <w:rFonts w:eastAsia="等线 Light" w:cs="Droid Sans"/>
      <w:color w:val="2E74B5"/>
    </w:rPr>
  </w:style>
  <w:style w:type="paragraph" w:styleId="6">
    <w:name w:val="heading 6"/>
    <w:basedOn w:val="0"/>
    <w:next w:val="0"/>
    <w:pPr>
      <w:keepNext/>
      <w:keepLines/>
      <w:spacing w:before="40" w:after="0"/>
      <w:outlineLvl w:val="5"/>
    </w:pPr>
    <w:rPr>
      <w:rFonts w:eastAsia="等线 Light" w:cs="Droid Sans"/>
      <w:i/>
      <w:iCs/>
      <w:color w:val="595959"/>
    </w:rPr>
  </w:style>
  <w:style w:type="paragraph" w:styleId="7">
    <w:name w:val="heading 7"/>
    <w:basedOn w:val="0"/>
    <w:next w:val="0"/>
    <w:pPr>
      <w:keepNext/>
      <w:keepLines/>
      <w:spacing w:before="40" w:after="0"/>
      <w:outlineLvl w:val="6"/>
    </w:pPr>
    <w:rPr>
      <w:rFonts w:eastAsia="等线 Light" w:cs="Droid Sans"/>
      <w:color w:val="595959"/>
    </w:rPr>
  </w:style>
  <w:style w:type="paragraph" w:styleId="8">
    <w:name w:val="heading 8"/>
    <w:basedOn w:val="0"/>
    <w:next w:val="0"/>
    <w:pPr>
      <w:keepNext/>
      <w:keepLines/>
      <w:spacing w:after="0"/>
      <w:outlineLvl w:val="7"/>
    </w:pPr>
    <w:rPr>
      <w:rFonts w:eastAsia="等线 Light" w:cs="Droid Sans"/>
      <w:i/>
      <w:iCs/>
      <w:color w:val="272727"/>
    </w:rPr>
  </w:style>
  <w:style w:type="paragraph" w:styleId="9">
    <w:name w:val="heading 9"/>
    <w:basedOn w:val="0"/>
    <w:next w:val="0"/>
    <w:pPr>
      <w:keepNext/>
      <w:keepLines/>
      <w:spacing w:after="0"/>
      <w:outlineLvl w:val="8"/>
    </w:pPr>
    <w:rPr>
      <w:rFonts w:eastAsia="等线 Light" w:cs="Droid Sans"/>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Droid Sans" w:hAnsi="Calibri Light"/>
      <w:spacing w:val="-10"/>
      <w:kern w:val="28"/>
      <w:sz w:val="56"/>
      <w:szCs w:val="56"/>
    </w:rPr>
  </w:style>
  <w:style w:type="paragraph" w:styleId="16">
    <w:name w:val="Subtitle"/>
    <w:basedOn w:val="0"/>
    <w:next w:val="0"/>
    <w:rPr>
      <w:rFonts w:eastAsia="等线 Light" w:cs="Droid Sans"/>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E74B5"/>
    </w:rPr>
  </w:style>
  <w:style w:type="paragraph" w:customStyle="1" w:styleId="20">
    <w:name w:val="Intense Quote"/>
    <w:basedOn w:val="0"/>
    <w:next w:val="0"/>
    <w:pPr>
      <w:pBdr>
        <w:top w:val="single" w:sz="4" w:space="10" w:color="2E74B5"/>
        <w:bottom w:val="single" w:sz="4" w:space="10" w:color="2E74B5"/>
      </w:pBdr>
      <w:spacing w:before="360" w:after="360"/>
      <w:ind w:left="864" w:right="864"/>
      <w:jc w:val="center"/>
    </w:pPr>
    <w:rPr>
      <w:i/>
      <w:iCs/>
      <w:color w:val="2E74B5"/>
    </w:rPr>
  </w:style>
  <w:style w:type="character" w:customStyle="1" w:styleId="21">
    <w:name w:val="Intense Reference"/>
    <w:basedOn w:val="10"/>
    <w:rPr>
      <w:b/>
      <w:bCs/>
      <w:caps w:val="0"/>
      <w:smallCaps/>
      <w:color w:val="2E74B5"/>
      <w:spacing w:val="5"/>
    </w:rPr>
  </w:style>
  <w:style w:type="character" w:styleId="22">
    <w:name w:val="Hyperlink"/>
    <w:basedOn w:val="10"/>
    <w:rPr>
      <w:color w:val="0563C1"/>
      <w:u w:val="single"/>
    </w:rPr>
  </w:style>
  <w:style w:type="character" w:customStyle="1" w:styleId="23">
    <w:name w:val="Unresolved Mention"/>
    <w:basedOn w:val="10"/>
    <w:rPr>
      <w:color w:val="605E5C"/>
      <w:shd w:val="clear" w:color="auto" w:fill="E1DFDD"/>
    </w:rPr>
  </w:style>
  <w:style w:type="paragraph" w:customStyle="1" w:styleId="24">
    <w:name w:val="TOC Heading"/>
    <w:basedOn w:val="1"/>
    <w:next w:val="0"/>
    <w:pPr>
      <w:spacing w:before="240" w:after="0"/>
      <w:outlineLvl w:val="9"/>
    </w:pPr>
    <w:rPr>
      <w:rFonts w:ascii="Calibri Light" w:hAnsi="Calibri Light"/>
      <w:b w:val="0"/>
      <w:color w:val="2E74B5"/>
      <w:sz w:val="32"/>
      <w:szCs w:val="32"/>
      <w:lang w:val="en-US"/>
    </w:rPr>
  </w:style>
  <w:style w:type="paragraph" w:styleId="25">
    <w:name w:val="toc 1"/>
    <w:basedOn w:val="0"/>
    <w:autoRedefine/>
    <w:next w:val="0"/>
    <w:pPr>
      <w:spacing w:after="100"/>
    </w:pPr>
  </w:style>
  <w:style w:type="paragraph" w:styleId="26">
    <w:name w:val="toc 2"/>
    <w:basedOn w:val="0"/>
    <w:autoRedefine/>
    <w:next w:val="0"/>
    <w:pPr>
      <w:spacing w:after="100"/>
      <w:ind w:left="220"/>
    </w:pPr>
  </w:style>
  <w:style w:type="paragraph" w:styleId="27">
    <w:name w:val="toc 3"/>
    <w:basedOn w:val="0"/>
    <w:autoRedefine/>
    <w:next w:val="0"/>
    <w:pPr>
      <w:spacing w:after="100"/>
      <w:ind w:left="440"/>
    </w:pPr>
  </w:style>
  <w:style w:type="paragraph" w:styleId="28">
    <w:name w:val="header"/>
    <w:basedOn w:val="0"/>
    <w:pPr>
      <w:tabs>
        <w:tab w:val="center" w:pos="4513"/>
        <w:tab w:val="right" w:pos="9026"/>
      </w:tabs>
      <w:spacing w:after="0" w:line="240" w:lineRule="auto"/>
    </w:pPr>
  </w:style>
  <w:style w:type="paragraph" w:styleId="29">
    <w:name w:val="footer"/>
    <w:basedOn w:val="0"/>
    <w:pPr>
      <w:tabs>
        <w:tab w:val="center" w:pos="4513"/>
        <w:tab w:val="right" w:pos="9026"/>
      </w:tabs>
      <w:spacing w:after="0" w:line="240" w:lineRule="auto"/>
    </w:pPr>
  </w:style>
  <w:style w:type="paragraph" w:styleId="30">
    <w:name w:val="Normal (Web)"/>
    <w:basedOn w:val="0"/>
    <w:rPr>
      <w:rFonts w:ascii="Times New Roman" w:cs="Times New Roman" w:hAnsi="Times New Roman"/>
      <w:sz w:val="24"/>
      <w:szCs w:val="24"/>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image" Target="media/5.jpeg"/><Relationship Id="rId6" Type="http://schemas.openxmlformats.org/officeDocument/2006/relationships/image" Target="media/8.jpeg"/><Relationship Id="rId7" Type="http://schemas.openxmlformats.org/officeDocument/2006/relationships/image" Target="media/11.png"/><Relationship Id="rId8" Type="http://schemas.openxmlformats.org/officeDocument/2006/relationships/image" Target="media/14.png"/><Relationship Id="rId9" Type="http://schemas.openxmlformats.org/officeDocument/2006/relationships/image" Target="media/17.png"/><Relationship Id="rId10" Type="http://schemas.openxmlformats.org/officeDocument/2006/relationships/styles" Target="styles.xml"/><Relationship Id="rId11" Type="http://schemas.openxmlformats.org/officeDocument/2006/relationships/numbering" Target="numbering.xml"/><Relationship Id="rId1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2.png"/></Relationships>
</file>

<file path=docProps/app.xml><?xml version="1.0" encoding="utf-8"?>
<Properties xmlns="http://schemas.openxmlformats.org/officeDocument/2006/extended-properties">
  <Template>Normal.eit</Template>
  <TotalTime>1</TotalTime>
  <Application>Yozo_Office</Application>
  <Pages>32</Pages>
  <Words>6778</Words>
  <Characters>43182</Characters>
  <Lines>713</Lines>
  <Paragraphs>226</Paragraphs>
  <CharactersWithSpaces>49740</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mt360daysservice@gmail.com</dc:creator>
  <cp:lastModifiedBy>vivo user</cp:lastModifiedBy>
  <cp:revision>3</cp:revision>
  <dcterms:created xsi:type="dcterms:W3CDTF">2026-04-15T21:31:00Z</dcterms:created>
  <dcterms:modified xsi:type="dcterms:W3CDTF">2026-04-21T02:45:48Z</dcterms:modified>
</cp:coreProperties>
</file>