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B3FD8" w14:textId="0D137760" w:rsidR="0001463D" w:rsidRPr="00BD7EC4" w:rsidRDefault="0001463D" w:rsidP="00BD7EC4">
      <w:pPr>
        <w:jc w:val="center"/>
        <w:rPr>
          <w:rFonts w:ascii="Arial" w:eastAsia="Calibri" w:hAnsi="Arial" w:cs="Arial"/>
          <w:b/>
          <w:bCs/>
          <w:color w:val="000000"/>
          <w:kern w:val="0"/>
          <w:sz w:val="44"/>
          <w:szCs w:val="44"/>
          <w:shd w:val="clear" w:color="auto" w:fill="FFFFFF"/>
          <w14:ligatures w14:val="none"/>
        </w:rPr>
      </w:pPr>
      <w:bookmarkStart w:id="0" w:name="_Hlk179813062"/>
      <w:r w:rsidRPr="00BD7EC4">
        <w:rPr>
          <w:rFonts w:ascii="Arial" w:eastAsia="Calibri" w:hAnsi="Arial" w:cs="Arial"/>
          <w:b/>
          <w:bCs/>
          <w:sz w:val="44"/>
          <w:szCs w:val="44"/>
        </w:rPr>
        <w:t>Business Report - Comparison of Two Hospitality Organisations</w:t>
      </w:r>
    </w:p>
    <w:p w14:paraId="37AD189C" w14:textId="77777777" w:rsidR="0001463D" w:rsidRDefault="0001463D" w:rsidP="0088597E">
      <w:pPr>
        <w:jc w:val="both"/>
        <w:rPr>
          <w:rFonts w:ascii="Arial" w:eastAsia="Calibri" w:hAnsi="Arial" w:cs="Arial"/>
          <w:b/>
          <w:bCs/>
          <w:color w:val="000000"/>
          <w:kern w:val="0"/>
          <w:sz w:val="24"/>
          <w:szCs w:val="24"/>
          <w:shd w:val="clear" w:color="auto" w:fill="FFFFFF"/>
          <w14:ligatures w14:val="none"/>
        </w:rPr>
      </w:pPr>
    </w:p>
    <w:p w14:paraId="2F39FA9C" w14:textId="77777777" w:rsidR="00BD7EC4" w:rsidRDefault="00BD7EC4" w:rsidP="0088597E">
      <w:pPr>
        <w:jc w:val="both"/>
        <w:rPr>
          <w:rFonts w:ascii="Arial" w:eastAsia="Calibri" w:hAnsi="Arial" w:cs="Arial"/>
          <w:b/>
          <w:bCs/>
          <w:color w:val="000000"/>
          <w:kern w:val="0"/>
          <w:sz w:val="24"/>
          <w:szCs w:val="24"/>
          <w:shd w:val="clear" w:color="auto" w:fill="FFFFFF"/>
          <w14:ligatures w14:val="none"/>
        </w:rPr>
      </w:pPr>
    </w:p>
    <w:p w14:paraId="404D4BA4" w14:textId="77777777" w:rsidR="00BD7EC4" w:rsidRPr="0088597E" w:rsidRDefault="00BD7EC4" w:rsidP="0088597E">
      <w:pPr>
        <w:jc w:val="both"/>
        <w:rPr>
          <w:rFonts w:ascii="Arial" w:eastAsia="Calibri" w:hAnsi="Arial" w:cs="Arial"/>
          <w:b/>
          <w:bCs/>
          <w:color w:val="000000"/>
          <w:kern w:val="0"/>
          <w:sz w:val="24"/>
          <w:szCs w:val="24"/>
          <w:shd w:val="clear" w:color="auto" w:fill="FFFFFF"/>
          <w14:ligatures w14:val="none"/>
        </w:rPr>
      </w:pPr>
    </w:p>
    <w:p w14:paraId="0695FC08"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42F26CD6"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r w:rsidRPr="0088597E">
        <w:rPr>
          <w:rFonts w:ascii="Arial" w:eastAsia="Calibri" w:hAnsi="Arial" w:cs="Arial"/>
          <w:noProof/>
          <w:sz w:val="24"/>
          <w:szCs w:val="24"/>
        </w:rPr>
        <w:drawing>
          <wp:anchor distT="0" distB="0" distL="114300" distR="114300" simplePos="0" relativeHeight="251659264" behindDoc="0" locked="0" layoutInCell="1" allowOverlap="1" wp14:anchorId="6CFFDCC3" wp14:editId="2EC5263E">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694634D7"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456619E9"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78FCD882"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170ADD67"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16DC7ABB"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235D2842" w14:textId="77777777" w:rsidR="0001463D" w:rsidRPr="0088597E" w:rsidRDefault="0001463D" w:rsidP="0088597E">
      <w:pPr>
        <w:jc w:val="both"/>
        <w:rPr>
          <w:rFonts w:ascii="Arial" w:eastAsia="Calibri" w:hAnsi="Arial" w:cs="Arial"/>
          <w:b/>
          <w:bCs/>
          <w:color w:val="000000"/>
          <w:kern w:val="0"/>
          <w:sz w:val="24"/>
          <w:szCs w:val="24"/>
          <w:shd w:val="clear" w:color="auto" w:fill="FFFFFF"/>
          <w14:ligatures w14:val="none"/>
        </w:rPr>
      </w:pPr>
    </w:p>
    <w:p w14:paraId="47DE3B07" w14:textId="77777777" w:rsidR="0001463D" w:rsidRDefault="0001463D" w:rsidP="0088597E">
      <w:pPr>
        <w:jc w:val="both"/>
        <w:rPr>
          <w:rFonts w:ascii="Arial" w:eastAsia="Calibri" w:hAnsi="Arial" w:cs="Arial"/>
          <w:b/>
          <w:bCs/>
          <w:color w:val="000000"/>
          <w:kern w:val="0"/>
          <w:sz w:val="24"/>
          <w:szCs w:val="24"/>
          <w:shd w:val="clear" w:color="auto" w:fill="FFFFFF"/>
          <w14:ligatures w14:val="none"/>
        </w:rPr>
      </w:pPr>
    </w:p>
    <w:p w14:paraId="60007E8E" w14:textId="77777777" w:rsidR="00BD7EC4" w:rsidRDefault="00BD7EC4" w:rsidP="0088597E">
      <w:pPr>
        <w:jc w:val="both"/>
        <w:rPr>
          <w:rFonts w:ascii="Arial" w:eastAsia="Calibri" w:hAnsi="Arial" w:cs="Arial"/>
          <w:b/>
          <w:bCs/>
          <w:color w:val="000000"/>
          <w:kern w:val="0"/>
          <w:sz w:val="24"/>
          <w:szCs w:val="24"/>
          <w:shd w:val="clear" w:color="auto" w:fill="FFFFFF"/>
          <w14:ligatures w14:val="none"/>
        </w:rPr>
      </w:pPr>
    </w:p>
    <w:p w14:paraId="49953274" w14:textId="77777777" w:rsidR="00BD7EC4" w:rsidRPr="0088597E" w:rsidRDefault="00BD7EC4" w:rsidP="0088597E">
      <w:pPr>
        <w:jc w:val="both"/>
        <w:rPr>
          <w:rFonts w:ascii="Arial" w:eastAsia="Calibri" w:hAnsi="Arial" w:cs="Arial"/>
          <w:b/>
          <w:bCs/>
          <w:color w:val="000000"/>
          <w:kern w:val="0"/>
          <w:sz w:val="24"/>
          <w:szCs w:val="24"/>
          <w:shd w:val="clear" w:color="auto" w:fill="FFFFFF"/>
          <w14:ligatures w14:val="none"/>
        </w:rPr>
      </w:pPr>
    </w:p>
    <w:p w14:paraId="338B4739" w14:textId="77777777" w:rsidR="0001463D" w:rsidRPr="00BD7EC4" w:rsidRDefault="0001463D" w:rsidP="0088597E">
      <w:pPr>
        <w:numPr>
          <w:ilvl w:val="0"/>
          <w:numId w:val="14"/>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Madalin Mihai Simion</w:t>
      </w:r>
    </w:p>
    <w:p w14:paraId="01381AB8" w14:textId="77777777" w:rsidR="0001463D" w:rsidRPr="00BD7EC4" w:rsidRDefault="0001463D" w:rsidP="0088597E">
      <w:pPr>
        <w:numPr>
          <w:ilvl w:val="0"/>
          <w:numId w:val="14"/>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2246328</w:t>
      </w:r>
    </w:p>
    <w:p w14:paraId="6065C37B" w14:textId="686B41A4" w:rsidR="0001463D" w:rsidRPr="00BD7EC4" w:rsidRDefault="0001463D" w:rsidP="0088597E">
      <w:pPr>
        <w:numPr>
          <w:ilvl w:val="0"/>
          <w:numId w:val="14"/>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Financial Management for</w:t>
      </w:r>
      <w:r w:rsidR="00BD7EC4">
        <w:rPr>
          <w:rFonts w:ascii="Arial" w:eastAsia="Calibri" w:hAnsi="Arial" w:cs="Arial"/>
          <w:b/>
          <w:bCs/>
          <w:color w:val="000000"/>
          <w:kern w:val="0"/>
          <w:sz w:val="32"/>
          <w:szCs w:val="32"/>
          <w:shd w:val="clear" w:color="auto" w:fill="FFFFFF"/>
          <w14:ligatures w14:val="none"/>
        </w:rPr>
        <w:t xml:space="preserve"> Hotel Industry (BMIH 5007)</w:t>
      </w:r>
      <w:r w:rsidRPr="00BD7EC4">
        <w:rPr>
          <w:rFonts w:ascii="Arial" w:eastAsia="Calibri" w:hAnsi="Arial" w:cs="Arial"/>
          <w:b/>
          <w:bCs/>
          <w:color w:val="000000"/>
          <w:kern w:val="0"/>
          <w:sz w:val="32"/>
          <w:szCs w:val="32"/>
          <w:shd w:val="clear" w:color="auto" w:fill="FFFFFF"/>
          <w14:ligatures w14:val="none"/>
        </w:rPr>
        <w:t xml:space="preserve"> </w:t>
      </w:r>
    </w:p>
    <w:p w14:paraId="7EE58465" w14:textId="77777777" w:rsidR="0001463D" w:rsidRPr="00BD7EC4" w:rsidRDefault="0001463D" w:rsidP="0088597E">
      <w:pPr>
        <w:numPr>
          <w:ilvl w:val="0"/>
          <w:numId w:val="14"/>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Tristan Hawkins</w:t>
      </w:r>
    </w:p>
    <w:p w14:paraId="6CF07C6D" w14:textId="0649CD2F" w:rsidR="0001463D" w:rsidRPr="00BD7EC4" w:rsidRDefault="0001463D" w:rsidP="0088597E">
      <w:pPr>
        <w:numPr>
          <w:ilvl w:val="0"/>
          <w:numId w:val="14"/>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 xml:space="preserve">Word count: </w:t>
      </w:r>
      <w:r w:rsidR="00E6354B">
        <w:rPr>
          <w:rFonts w:ascii="Arial" w:eastAsia="Calibri" w:hAnsi="Arial" w:cs="Arial"/>
          <w:b/>
          <w:bCs/>
          <w:color w:val="000000"/>
          <w:kern w:val="0"/>
          <w:sz w:val="32"/>
          <w:szCs w:val="32"/>
          <w:shd w:val="clear" w:color="auto" w:fill="FFFFFF"/>
          <w14:ligatures w14:val="none"/>
        </w:rPr>
        <w:t>24</w:t>
      </w:r>
      <w:r w:rsidR="00415BFC">
        <w:rPr>
          <w:rFonts w:ascii="Arial" w:eastAsia="Calibri" w:hAnsi="Arial" w:cs="Arial"/>
          <w:b/>
          <w:bCs/>
          <w:color w:val="000000"/>
          <w:kern w:val="0"/>
          <w:sz w:val="32"/>
          <w:szCs w:val="32"/>
          <w:shd w:val="clear" w:color="auto" w:fill="FFFFFF"/>
          <w14:ligatures w14:val="none"/>
        </w:rPr>
        <w:t>72</w:t>
      </w:r>
    </w:p>
    <w:p w14:paraId="60E25FA0" w14:textId="77777777" w:rsidR="0001463D" w:rsidRPr="00BD7EC4" w:rsidRDefault="0001463D" w:rsidP="0088597E">
      <w:pPr>
        <w:spacing w:line="256" w:lineRule="auto"/>
        <w:jc w:val="both"/>
        <w:rPr>
          <w:rFonts w:ascii="Arial" w:eastAsia="Calibri" w:hAnsi="Arial" w:cs="Arial"/>
          <w:b/>
          <w:bCs/>
          <w:color w:val="000000"/>
          <w:kern w:val="0"/>
          <w:sz w:val="32"/>
          <w:szCs w:val="32"/>
          <w:shd w:val="clear" w:color="auto" w:fill="FFFFFF"/>
          <w14:ligatures w14:val="none"/>
        </w:rPr>
      </w:pPr>
    </w:p>
    <w:p w14:paraId="677B6B0B" w14:textId="77777777" w:rsidR="0001463D" w:rsidRPr="0088597E" w:rsidRDefault="0001463D" w:rsidP="0088597E">
      <w:pPr>
        <w:spacing w:line="256" w:lineRule="auto"/>
        <w:jc w:val="both"/>
        <w:rPr>
          <w:rFonts w:ascii="Arial" w:eastAsia="Calibri" w:hAnsi="Arial" w:cs="Arial"/>
          <w:b/>
          <w:bCs/>
          <w:color w:val="000000"/>
          <w:kern w:val="0"/>
          <w:sz w:val="24"/>
          <w:szCs w:val="24"/>
          <w:shd w:val="clear" w:color="auto" w:fill="FFFFFF"/>
          <w14:ligatures w14:val="none"/>
        </w:rPr>
      </w:pPr>
    </w:p>
    <w:p w14:paraId="04C670BF" w14:textId="77777777" w:rsidR="0001463D" w:rsidRPr="0088597E" w:rsidRDefault="0001463D" w:rsidP="0088597E">
      <w:pPr>
        <w:spacing w:line="256" w:lineRule="auto"/>
        <w:jc w:val="both"/>
        <w:rPr>
          <w:rFonts w:ascii="Arial" w:eastAsia="Calibri" w:hAnsi="Arial" w:cs="Arial"/>
          <w:b/>
          <w:bCs/>
          <w:color w:val="000000"/>
          <w:kern w:val="0"/>
          <w:sz w:val="24"/>
          <w:szCs w:val="24"/>
          <w:shd w:val="clear" w:color="auto" w:fill="FFFFFF"/>
          <w14:ligatures w14:val="none"/>
        </w:rPr>
      </w:pPr>
    </w:p>
    <w:p w14:paraId="4BE00A81" w14:textId="77777777" w:rsidR="0001463D" w:rsidRDefault="0001463D" w:rsidP="0088597E">
      <w:pPr>
        <w:jc w:val="both"/>
        <w:rPr>
          <w:rFonts w:ascii="Arial" w:hAnsi="Arial" w:cs="Arial"/>
          <w:b/>
          <w:bCs/>
          <w:sz w:val="24"/>
          <w:szCs w:val="24"/>
        </w:rPr>
      </w:pPr>
    </w:p>
    <w:p w14:paraId="182CFA69" w14:textId="77777777" w:rsidR="00E6354B" w:rsidRDefault="00E6354B" w:rsidP="0088597E">
      <w:pPr>
        <w:jc w:val="both"/>
        <w:rPr>
          <w:rFonts w:ascii="Arial" w:hAnsi="Arial" w:cs="Arial"/>
          <w:b/>
          <w:bCs/>
          <w:sz w:val="24"/>
          <w:szCs w:val="24"/>
        </w:rPr>
      </w:pPr>
    </w:p>
    <w:p w14:paraId="65DD5F83" w14:textId="77777777" w:rsidR="00E6354B" w:rsidRDefault="00E6354B" w:rsidP="0088597E">
      <w:pPr>
        <w:jc w:val="both"/>
        <w:rPr>
          <w:rFonts w:ascii="Arial" w:hAnsi="Arial" w:cs="Arial"/>
          <w:b/>
          <w:bCs/>
          <w:sz w:val="24"/>
          <w:szCs w:val="24"/>
        </w:rPr>
      </w:pPr>
    </w:p>
    <w:p w14:paraId="18C75275" w14:textId="77777777" w:rsidR="00E6354B" w:rsidRPr="0088597E" w:rsidRDefault="00E6354B" w:rsidP="0088597E">
      <w:pPr>
        <w:jc w:val="both"/>
        <w:rPr>
          <w:rFonts w:ascii="Arial" w:hAnsi="Arial" w:cs="Arial"/>
          <w:b/>
          <w:bCs/>
          <w:sz w:val="24"/>
          <w:szCs w:val="24"/>
        </w:rPr>
      </w:pPr>
    </w:p>
    <w:p w14:paraId="46A835BF" w14:textId="77777777" w:rsidR="00E6354B" w:rsidRPr="00E6354B" w:rsidRDefault="00E6354B" w:rsidP="00E6354B">
      <w:pPr>
        <w:jc w:val="both"/>
        <w:rPr>
          <w:rFonts w:ascii="Arial" w:hAnsi="Arial" w:cs="Arial"/>
          <w:sz w:val="24"/>
          <w:szCs w:val="24"/>
        </w:rPr>
      </w:pPr>
      <w:r w:rsidRPr="00E6354B">
        <w:rPr>
          <w:rFonts w:ascii="Arial" w:hAnsi="Arial" w:cs="Arial"/>
          <w:sz w:val="24"/>
          <w:szCs w:val="24"/>
        </w:rPr>
        <w:lastRenderedPageBreak/>
        <w:t>Basic Acknowledgement format of AI tool use</w:t>
      </w:r>
    </w:p>
    <w:p w14:paraId="3E22ABEA" w14:textId="5821ACD5" w:rsidR="00E6354B" w:rsidRPr="00E6354B" w:rsidRDefault="00E6354B" w:rsidP="00E6354B">
      <w:pPr>
        <w:jc w:val="both"/>
        <w:rPr>
          <w:rFonts w:ascii="Arial" w:hAnsi="Arial" w:cs="Arial"/>
          <w:sz w:val="24"/>
          <w:szCs w:val="24"/>
        </w:rPr>
      </w:pPr>
      <w:r w:rsidRPr="00E6354B">
        <w:rPr>
          <w:rFonts w:ascii="Arial" w:hAnsi="Arial" w:cs="Arial"/>
          <w:sz w:val="24"/>
          <w:szCs w:val="24"/>
        </w:rPr>
        <w:t xml:space="preserve">I acknowledge the use of </w:t>
      </w:r>
      <w:r>
        <w:rPr>
          <w:rFonts w:ascii="Arial" w:hAnsi="Arial" w:cs="Arial"/>
          <w:sz w:val="24"/>
          <w:szCs w:val="24"/>
        </w:rPr>
        <w:t>Gemini</w:t>
      </w:r>
      <w:r w:rsidRPr="00E6354B">
        <w:rPr>
          <w:rFonts w:ascii="Arial" w:hAnsi="Arial" w:cs="Arial"/>
          <w:sz w:val="24"/>
          <w:szCs w:val="24"/>
        </w:rPr>
        <w:t xml:space="preserve"> </w:t>
      </w:r>
      <w:r>
        <w:rPr>
          <w:rFonts w:ascii="Arial" w:hAnsi="Arial" w:cs="Arial"/>
          <w:sz w:val="24"/>
          <w:szCs w:val="24"/>
        </w:rPr>
        <w:t>[</w:t>
      </w:r>
      <w:r w:rsidRPr="00E6354B">
        <w:rPr>
          <w:rFonts w:ascii="Arial" w:hAnsi="Arial" w:cs="Arial"/>
          <w:sz w:val="24"/>
          <w:szCs w:val="24"/>
        </w:rPr>
        <w:t>https://gemini.google.com/app/a38c38e7339fad66] on [</w:t>
      </w:r>
      <w:r>
        <w:rPr>
          <w:rFonts w:ascii="Arial" w:hAnsi="Arial" w:cs="Arial"/>
          <w:sz w:val="24"/>
          <w:szCs w:val="24"/>
        </w:rPr>
        <w:t>09/10/2024]</w:t>
      </w:r>
      <w:r w:rsidRPr="00E6354B">
        <w:rPr>
          <w:rFonts w:ascii="Arial" w:hAnsi="Arial" w:cs="Arial"/>
          <w:sz w:val="24"/>
          <w:szCs w:val="24"/>
        </w:rPr>
        <w:t xml:space="preserve"> to </w:t>
      </w:r>
      <w:r>
        <w:rPr>
          <w:rFonts w:ascii="Arial" w:hAnsi="Arial" w:cs="Arial"/>
          <w:sz w:val="24"/>
          <w:szCs w:val="24"/>
        </w:rPr>
        <w:t>summarise the financial statements from both Premier Inn and Shangri-la Hotels</w:t>
      </w:r>
      <w:r w:rsidRPr="00E6354B">
        <w:rPr>
          <w:rFonts w:ascii="Arial" w:hAnsi="Arial" w:cs="Arial"/>
          <w:sz w:val="24"/>
          <w:szCs w:val="24"/>
        </w:rPr>
        <w:t>.</w:t>
      </w:r>
      <w:r>
        <w:rPr>
          <w:rFonts w:ascii="Arial" w:hAnsi="Arial" w:cs="Arial"/>
          <w:sz w:val="24"/>
          <w:szCs w:val="24"/>
        </w:rPr>
        <w:t xml:space="preserve"> As well, </w:t>
      </w:r>
      <w:r w:rsidR="00D35D13">
        <w:rPr>
          <w:rFonts w:ascii="Arial" w:hAnsi="Arial" w:cs="Arial"/>
          <w:sz w:val="24"/>
          <w:szCs w:val="24"/>
        </w:rPr>
        <w:t xml:space="preserve">I asked for a feedback of my final assignment, which it gave me bullet points where I could improve it, and before submission I used same A.I. tool to rephrase it to make it easier to be read and understood. </w:t>
      </w:r>
      <w:r w:rsidRPr="00E6354B">
        <w:rPr>
          <w:rFonts w:ascii="Arial" w:hAnsi="Arial" w:cs="Arial"/>
          <w:sz w:val="24"/>
          <w:szCs w:val="24"/>
        </w:rPr>
        <w:t xml:space="preserve"> I used the prompt(s):</w:t>
      </w:r>
    </w:p>
    <w:p w14:paraId="532A0D71" w14:textId="4DEA3B57" w:rsidR="00E6354B" w:rsidRPr="00E6354B" w:rsidRDefault="00E6354B" w:rsidP="00E6354B">
      <w:pPr>
        <w:jc w:val="both"/>
        <w:rPr>
          <w:rFonts w:ascii="Arial" w:hAnsi="Arial" w:cs="Arial"/>
          <w:sz w:val="24"/>
          <w:szCs w:val="24"/>
        </w:rPr>
      </w:pPr>
      <w:r w:rsidRPr="00E6354B">
        <w:rPr>
          <w:rFonts w:ascii="Arial" w:hAnsi="Arial" w:cs="Arial"/>
          <w:sz w:val="24"/>
          <w:szCs w:val="24"/>
        </w:rPr>
        <w:t xml:space="preserve">1. </w:t>
      </w:r>
      <w:r w:rsidR="00D35D13">
        <w:rPr>
          <w:rFonts w:ascii="Arial" w:hAnsi="Arial" w:cs="Arial"/>
          <w:sz w:val="24"/>
          <w:szCs w:val="24"/>
        </w:rPr>
        <w:t>Please summarize the key elements of the following financial statements[04/10/2024]</w:t>
      </w:r>
    </w:p>
    <w:p w14:paraId="0F52954D" w14:textId="6CAA82BC" w:rsidR="00E6354B" w:rsidRPr="00E6354B" w:rsidRDefault="00E6354B" w:rsidP="00E6354B">
      <w:pPr>
        <w:jc w:val="both"/>
        <w:rPr>
          <w:rFonts w:ascii="Arial" w:hAnsi="Arial" w:cs="Arial"/>
          <w:sz w:val="24"/>
          <w:szCs w:val="24"/>
        </w:rPr>
      </w:pPr>
      <w:r w:rsidRPr="00E6354B">
        <w:rPr>
          <w:rFonts w:ascii="Arial" w:hAnsi="Arial" w:cs="Arial"/>
          <w:sz w:val="24"/>
          <w:szCs w:val="24"/>
        </w:rPr>
        <w:t xml:space="preserve">2. </w:t>
      </w:r>
      <w:r w:rsidR="00D35D13">
        <w:rPr>
          <w:rFonts w:ascii="Arial" w:hAnsi="Arial" w:cs="Arial"/>
          <w:sz w:val="24"/>
          <w:szCs w:val="24"/>
        </w:rPr>
        <w:t>give me the feedback of each section of the following report, and give me for each section 2, 3 bullet points of improvement.[11/10/2024]</w:t>
      </w:r>
    </w:p>
    <w:p w14:paraId="6E365801" w14:textId="60425C53" w:rsidR="00E6354B" w:rsidRPr="00E6354B" w:rsidRDefault="00E6354B" w:rsidP="00E6354B">
      <w:pPr>
        <w:jc w:val="both"/>
        <w:rPr>
          <w:rFonts w:ascii="Arial" w:hAnsi="Arial" w:cs="Arial"/>
          <w:sz w:val="24"/>
          <w:szCs w:val="24"/>
        </w:rPr>
      </w:pPr>
      <w:r w:rsidRPr="00E6354B">
        <w:rPr>
          <w:rFonts w:ascii="Arial" w:hAnsi="Arial" w:cs="Arial"/>
          <w:sz w:val="24"/>
          <w:szCs w:val="24"/>
        </w:rPr>
        <w:t xml:space="preserve">3. </w:t>
      </w:r>
      <w:r w:rsidR="00D35D13">
        <w:rPr>
          <w:rFonts w:ascii="Arial" w:hAnsi="Arial" w:cs="Arial"/>
          <w:sz w:val="24"/>
          <w:szCs w:val="24"/>
        </w:rPr>
        <w:t>Please check the following report for spelling mistakes and rephrase it to be more formal and academic [14/10/2024]</w:t>
      </w:r>
    </w:p>
    <w:p w14:paraId="182C8214" w14:textId="35DAFE92" w:rsidR="0001463D" w:rsidRPr="00E6354B" w:rsidRDefault="00E6354B" w:rsidP="00E6354B">
      <w:pPr>
        <w:jc w:val="both"/>
        <w:rPr>
          <w:rFonts w:ascii="Arial" w:hAnsi="Arial" w:cs="Arial"/>
          <w:sz w:val="24"/>
          <w:szCs w:val="24"/>
        </w:rPr>
      </w:pPr>
      <w:r w:rsidRPr="00E6354B">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18888E75" w14:textId="77777777" w:rsidR="0001463D" w:rsidRPr="0088597E" w:rsidRDefault="0001463D" w:rsidP="0088597E">
      <w:pPr>
        <w:jc w:val="both"/>
        <w:rPr>
          <w:rFonts w:ascii="Arial" w:hAnsi="Arial" w:cs="Arial"/>
          <w:b/>
          <w:bCs/>
          <w:sz w:val="24"/>
          <w:szCs w:val="24"/>
        </w:rPr>
      </w:pPr>
    </w:p>
    <w:p w14:paraId="7A813EE2" w14:textId="77777777" w:rsidR="0001463D" w:rsidRDefault="0001463D" w:rsidP="0088597E">
      <w:pPr>
        <w:jc w:val="both"/>
        <w:rPr>
          <w:rFonts w:ascii="Arial" w:hAnsi="Arial" w:cs="Arial"/>
          <w:b/>
          <w:bCs/>
          <w:sz w:val="24"/>
          <w:szCs w:val="24"/>
        </w:rPr>
      </w:pPr>
    </w:p>
    <w:p w14:paraId="3B1EC9AF" w14:textId="77777777" w:rsidR="00E6354B" w:rsidRDefault="00E6354B" w:rsidP="0088597E">
      <w:pPr>
        <w:jc w:val="both"/>
        <w:rPr>
          <w:rFonts w:ascii="Arial" w:hAnsi="Arial" w:cs="Arial"/>
          <w:b/>
          <w:bCs/>
          <w:sz w:val="24"/>
          <w:szCs w:val="24"/>
        </w:rPr>
      </w:pPr>
    </w:p>
    <w:p w14:paraId="6291A217" w14:textId="77777777" w:rsidR="00E6354B" w:rsidRDefault="00E6354B" w:rsidP="0088597E">
      <w:pPr>
        <w:jc w:val="both"/>
        <w:rPr>
          <w:rFonts w:ascii="Arial" w:hAnsi="Arial" w:cs="Arial"/>
          <w:b/>
          <w:bCs/>
          <w:sz w:val="24"/>
          <w:szCs w:val="24"/>
        </w:rPr>
      </w:pPr>
    </w:p>
    <w:p w14:paraId="25BAF57D" w14:textId="77777777" w:rsidR="00E6354B" w:rsidRDefault="00E6354B" w:rsidP="0088597E">
      <w:pPr>
        <w:jc w:val="both"/>
        <w:rPr>
          <w:rFonts w:ascii="Arial" w:hAnsi="Arial" w:cs="Arial"/>
          <w:b/>
          <w:bCs/>
          <w:sz w:val="24"/>
          <w:szCs w:val="24"/>
        </w:rPr>
      </w:pPr>
    </w:p>
    <w:p w14:paraId="1450C9D8" w14:textId="77777777" w:rsidR="00E6354B" w:rsidRDefault="00E6354B" w:rsidP="0088597E">
      <w:pPr>
        <w:jc w:val="both"/>
        <w:rPr>
          <w:rFonts w:ascii="Arial" w:hAnsi="Arial" w:cs="Arial"/>
          <w:b/>
          <w:bCs/>
          <w:sz w:val="24"/>
          <w:szCs w:val="24"/>
        </w:rPr>
      </w:pPr>
    </w:p>
    <w:p w14:paraId="39DD941B" w14:textId="77777777" w:rsidR="00E6354B" w:rsidRDefault="00E6354B" w:rsidP="0088597E">
      <w:pPr>
        <w:jc w:val="both"/>
        <w:rPr>
          <w:rFonts w:ascii="Arial" w:hAnsi="Arial" w:cs="Arial"/>
          <w:b/>
          <w:bCs/>
          <w:sz w:val="24"/>
          <w:szCs w:val="24"/>
        </w:rPr>
      </w:pPr>
    </w:p>
    <w:p w14:paraId="60313D41" w14:textId="77777777" w:rsidR="00E6354B" w:rsidRDefault="00E6354B" w:rsidP="0088597E">
      <w:pPr>
        <w:jc w:val="both"/>
        <w:rPr>
          <w:rFonts w:ascii="Arial" w:hAnsi="Arial" w:cs="Arial"/>
          <w:b/>
          <w:bCs/>
          <w:sz w:val="24"/>
          <w:szCs w:val="24"/>
        </w:rPr>
      </w:pPr>
    </w:p>
    <w:p w14:paraId="34F27FD3" w14:textId="77777777" w:rsidR="00E6354B" w:rsidRDefault="00E6354B" w:rsidP="0088597E">
      <w:pPr>
        <w:jc w:val="both"/>
        <w:rPr>
          <w:rFonts w:ascii="Arial" w:hAnsi="Arial" w:cs="Arial"/>
          <w:b/>
          <w:bCs/>
          <w:sz w:val="24"/>
          <w:szCs w:val="24"/>
        </w:rPr>
      </w:pPr>
    </w:p>
    <w:p w14:paraId="6E208F60" w14:textId="77777777" w:rsidR="00E6354B" w:rsidRDefault="00E6354B" w:rsidP="0088597E">
      <w:pPr>
        <w:jc w:val="both"/>
        <w:rPr>
          <w:rFonts w:ascii="Arial" w:hAnsi="Arial" w:cs="Arial"/>
          <w:b/>
          <w:bCs/>
          <w:sz w:val="24"/>
          <w:szCs w:val="24"/>
        </w:rPr>
      </w:pPr>
    </w:p>
    <w:p w14:paraId="354B60DC" w14:textId="77777777" w:rsidR="00E6354B" w:rsidRDefault="00E6354B" w:rsidP="0088597E">
      <w:pPr>
        <w:jc w:val="both"/>
        <w:rPr>
          <w:rFonts w:ascii="Arial" w:hAnsi="Arial" w:cs="Arial"/>
          <w:b/>
          <w:bCs/>
          <w:sz w:val="24"/>
          <w:szCs w:val="24"/>
        </w:rPr>
      </w:pPr>
    </w:p>
    <w:p w14:paraId="65DD97C5" w14:textId="77777777" w:rsidR="00E6354B" w:rsidRDefault="00E6354B" w:rsidP="0088597E">
      <w:pPr>
        <w:jc w:val="both"/>
        <w:rPr>
          <w:rFonts w:ascii="Arial" w:hAnsi="Arial" w:cs="Arial"/>
          <w:b/>
          <w:bCs/>
          <w:sz w:val="24"/>
          <w:szCs w:val="24"/>
        </w:rPr>
      </w:pPr>
    </w:p>
    <w:p w14:paraId="013C6C02" w14:textId="77777777" w:rsidR="00E6354B" w:rsidRDefault="00E6354B" w:rsidP="0088597E">
      <w:pPr>
        <w:jc w:val="both"/>
        <w:rPr>
          <w:rFonts w:ascii="Arial" w:hAnsi="Arial" w:cs="Arial"/>
          <w:b/>
          <w:bCs/>
          <w:sz w:val="24"/>
          <w:szCs w:val="24"/>
        </w:rPr>
      </w:pPr>
    </w:p>
    <w:p w14:paraId="03EC4039" w14:textId="77777777" w:rsidR="00E6354B" w:rsidRDefault="00E6354B" w:rsidP="0088597E">
      <w:pPr>
        <w:jc w:val="both"/>
        <w:rPr>
          <w:rFonts w:ascii="Arial" w:hAnsi="Arial" w:cs="Arial"/>
          <w:b/>
          <w:bCs/>
          <w:sz w:val="24"/>
          <w:szCs w:val="24"/>
        </w:rPr>
      </w:pPr>
    </w:p>
    <w:p w14:paraId="57FBF775" w14:textId="77777777" w:rsidR="00E6354B" w:rsidRDefault="00E6354B" w:rsidP="0088597E">
      <w:pPr>
        <w:jc w:val="both"/>
        <w:rPr>
          <w:rFonts w:ascii="Arial" w:hAnsi="Arial" w:cs="Arial"/>
          <w:b/>
          <w:bCs/>
          <w:sz w:val="24"/>
          <w:szCs w:val="24"/>
        </w:rPr>
      </w:pPr>
    </w:p>
    <w:p w14:paraId="5E5372E9" w14:textId="77777777" w:rsidR="00E6354B" w:rsidRDefault="00E6354B" w:rsidP="0088597E">
      <w:pPr>
        <w:jc w:val="both"/>
        <w:rPr>
          <w:rFonts w:ascii="Arial" w:hAnsi="Arial" w:cs="Arial"/>
          <w:b/>
          <w:bCs/>
          <w:sz w:val="24"/>
          <w:szCs w:val="24"/>
        </w:rPr>
      </w:pPr>
    </w:p>
    <w:p w14:paraId="4B85199D" w14:textId="77777777" w:rsidR="00E6354B" w:rsidRDefault="00E6354B" w:rsidP="0088597E">
      <w:pPr>
        <w:jc w:val="both"/>
        <w:rPr>
          <w:rFonts w:ascii="Arial" w:hAnsi="Arial" w:cs="Arial"/>
          <w:b/>
          <w:bCs/>
          <w:sz w:val="24"/>
          <w:szCs w:val="24"/>
        </w:rPr>
      </w:pPr>
    </w:p>
    <w:p w14:paraId="15F688E4" w14:textId="77777777" w:rsidR="00E6354B" w:rsidRDefault="00E6354B" w:rsidP="0088597E">
      <w:pPr>
        <w:jc w:val="both"/>
        <w:rPr>
          <w:rFonts w:ascii="Arial" w:hAnsi="Arial" w:cs="Arial"/>
          <w:b/>
          <w:bCs/>
          <w:sz w:val="24"/>
          <w:szCs w:val="24"/>
        </w:rPr>
      </w:pPr>
    </w:p>
    <w:p w14:paraId="4CAC5EA1" w14:textId="77777777" w:rsidR="00E6354B" w:rsidRPr="0088597E" w:rsidRDefault="00E6354B" w:rsidP="0088597E">
      <w:pPr>
        <w:jc w:val="both"/>
        <w:rPr>
          <w:rFonts w:ascii="Arial" w:hAnsi="Arial" w:cs="Arial"/>
          <w:b/>
          <w:bCs/>
          <w:sz w:val="24"/>
          <w:szCs w:val="24"/>
        </w:rPr>
      </w:pPr>
    </w:p>
    <w:p w14:paraId="3D2B41FB" w14:textId="746BEF86" w:rsidR="00447EF6" w:rsidRPr="0088597E" w:rsidRDefault="00447EF6" w:rsidP="0088597E">
      <w:pPr>
        <w:spacing w:line="360" w:lineRule="auto"/>
        <w:jc w:val="both"/>
        <w:rPr>
          <w:rFonts w:ascii="Arial" w:hAnsi="Arial" w:cs="Arial"/>
          <w:b/>
          <w:bCs/>
          <w:sz w:val="24"/>
          <w:szCs w:val="24"/>
        </w:rPr>
      </w:pPr>
      <w:r w:rsidRPr="0088597E">
        <w:rPr>
          <w:rFonts w:ascii="Arial" w:hAnsi="Arial" w:cs="Arial"/>
          <w:b/>
          <w:bCs/>
          <w:sz w:val="24"/>
          <w:szCs w:val="24"/>
        </w:rPr>
        <w:lastRenderedPageBreak/>
        <w:t>Introduction</w:t>
      </w:r>
    </w:p>
    <w:p w14:paraId="70252EA8" w14:textId="1C054D1F"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This report provides a comparative analysis of Shangri-La Hotels and Premier Inn, two hotel chains occupying distinct market segments within the global hospitality industry. The focus is on evaluating their financial management strategies and performance between 2018 and 2023, a period marked by significant challenges, particularly due to the COVID-19 pandemic. Both organizations adopted different strategies to overcome these challenges, reflecting their unique market positioning and customer bases (Deloitte, 202</w:t>
      </w:r>
      <w:r w:rsidR="003D69C8">
        <w:rPr>
          <w:rFonts w:ascii="Arial" w:hAnsi="Arial" w:cs="Arial"/>
          <w:sz w:val="24"/>
          <w:szCs w:val="24"/>
        </w:rPr>
        <w:t>3</w:t>
      </w:r>
      <w:r w:rsidRPr="0088597E">
        <w:rPr>
          <w:rFonts w:ascii="Arial" w:hAnsi="Arial" w:cs="Arial"/>
          <w:sz w:val="24"/>
          <w:szCs w:val="24"/>
        </w:rPr>
        <w:t>).</w:t>
      </w:r>
    </w:p>
    <w:p w14:paraId="74F74479" w14:textId="4134E518"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Shangri-La, a luxury hotel operator, primarily serves affluent international </w:t>
      </w:r>
      <w:r w:rsidR="00F7497E" w:rsidRPr="0088597E">
        <w:rPr>
          <w:rFonts w:ascii="Arial" w:hAnsi="Arial" w:cs="Arial"/>
          <w:sz w:val="24"/>
          <w:szCs w:val="24"/>
        </w:rPr>
        <w:t>travellers</w:t>
      </w:r>
      <w:r w:rsidRPr="0088597E">
        <w:rPr>
          <w:rFonts w:ascii="Arial" w:hAnsi="Arial" w:cs="Arial"/>
          <w:sz w:val="24"/>
          <w:szCs w:val="24"/>
        </w:rPr>
        <w:t xml:space="preserve"> in Asia, Europe, and the Middle East. The company’s operations were significantly impacted by travel restrictions and geopolitical risks, which made recovery difficult post-pandemic (Strategy Story, 2023). Premier Inn, the largest budget hotel chain in the UK, catered mainly to domestic </w:t>
      </w:r>
      <w:r w:rsidR="00F7497E" w:rsidRPr="0088597E">
        <w:rPr>
          <w:rFonts w:ascii="Arial" w:hAnsi="Arial" w:cs="Arial"/>
          <w:sz w:val="24"/>
          <w:szCs w:val="24"/>
        </w:rPr>
        <w:t>travellers</w:t>
      </w:r>
      <w:r w:rsidRPr="0088597E">
        <w:rPr>
          <w:rFonts w:ascii="Arial" w:hAnsi="Arial" w:cs="Arial"/>
          <w:sz w:val="24"/>
          <w:szCs w:val="24"/>
        </w:rPr>
        <w:t>, enabling a quicker recovery driven by strong local demand and a scalable, cost-effective business model (Whitbread, 2020).</w:t>
      </w:r>
    </w:p>
    <w:p w14:paraId="338A92FE" w14:textId="4DA0A3C3"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This report compares the financial performance of Shangri-La and Premier Inn across four key areas:</w:t>
      </w:r>
      <w:r w:rsidR="001C38B7" w:rsidRPr="0088597E">
        <w:rPr>
          <w:rFonts w:ascii="Arial" w:hAnsi="Arial" w:cs="Arial"/>
          <w:sz w:val="24"/>
          <w:szCs w:val="24"/>
        </w:rPr>
        <w:t xml:space="preserve"> </w:t>
      </w:r>
      <w:r w:rsidRPr="0088597E">
        <w:rPr>
          <w:rFonts w:ascii="Arial" w:hAnsi="Arial" w:cs="Arial"/>
          <w:sz w:val="24"/>
          <w:szCs w:val="24"/>
        </w:rPr>
        <w:t>Total Revenue</w:t>
      </w:r>
      <w:r w:rsidR="001C38B7" w:rsidRPr="0088597E">
        <w:rPr>
          <w:rFonts w:ascii="Arial" w:hAnsi="Arial" w:cs="Arial"/>
          <w:sz w:val="24"/>
          <w:szCs w:val="24"/>
        </w:rPr>
        <w:t xml:space="preserve">, </w:t>
      </w:r>
      <w:r w:rsidRPr="0088597E">
        <w:rPr>
          <w:rFonts w:ascii="Arial" w:hAnsi="Arial" w:cs="Arial"/>
          <w:sz w:val="24"/>
          <w:szCs w:val="24"/>
        </w:rPr>
        <w:t>Market Position</w:t>
      </w:r>
      <w:r w:rsidR="001C38B7" w:rsidRPr="0088597E">
        <w:rPr>
          <w:rFonts w:ascii="Arial" w:hAnsi="Arial" w:cs="Arial"/>
          <w:sz w:val="24"/>
          <w:szCs w:val="24"/>
        </w:rPr>
        <w:t xml:space="preserve">, </w:t>
      </w:r>
      <w:r w:rsidRPr="0088597E">
        <w:rPr>
          <w:rFonts w:ascii="Arial" w:hAnsi="Arial" w:cs="Arial"/>
          <w:sz w:val="24"/>
          <w:szCs w:val="24"/>
        </w:rPr>
        <w:t>Growth Potential</w:t>
      </w:r>
      <w:r w:rsidR="001C38B7" w:rsidRPr="0088597E">
        <w:rPr>
          <w:rFonts w:ascii="Arial" w:hAnsi="Arial" w:cs="Arial"/>
          <w:sz w:val="24"/>
          <w:szCs w:val="24"/>
        </w:rPr>
        <w:t xml:space="preserve"> </w:t>
      </w:r>
      <w:r w:rsidRPr="0088597E">
        <w:rPr>
          <w:rFonts w:ascii="Arial" w:hAnsi="Arial" w:cs="Arial"/>
          <w:sz w:val="24"/>
          <w:szCs w:val="24"/>
        </w:rPr>
        <w:t>Financial Commitment to CSR</w:t>
      </w:r>
      <w:r w:rsidR="001C38B7" w:rsidRPr="0088597E">
        <w:rPr>
          <w:rFonts w:ascii="Arial" w:hAnsi="Arial" w:cs="Arial"/>
          <w:sz w:val="24"/>
          <w:szCs w:val="24"/>
        </w:rPr>
        <w:t>.</w:t>
      </w:r>
    </w:p>
    <w:p w14:paraId="45C2E367" w14:textId="77777777" w:rsidR="00447EF6" w:rsidRPr="0088597E" w:rsidRDefault="00447EF6" w:rsidP="0088597E">
      <w:pPr>
        <w:spacing w:line="360" w:lineRule="auto"/>
        <w:jc w:val="both"/>
        <w:rPr>
          <w:rFonts w:ascii="Arial" w:hAnsi="Arial" w:cs="Arial"/>
          <w:sz w:val="24"/>
          <w:szCs w:val="24"/>
        </w:rPr>
      </w:pPr>
    </w:p>
    <w:p w14:paraId="167E883B" w14:textId="77777777" w:rsidR="00A727CA" w:rsidRPr="0088597E" w:rsidRDefault="00A727CA" w:rsidP="0088597E">
      <w:pPr>
        <w:spacing w:line="360" w:lineRule="auto"/>
        <w:jc w:val="both"/>
        <w:rPr>
          <w:rFonts w:ascii="Arial" w:hAnsi="Arial" w:cs="Arial"/>
          <w:b/>
          <w:bCs/>
          <w:sz w:val="24"/>
          <w:szCs w:val="24"/>
        </w:rPr>
      </w:pPr>
      <w:r w:rsidRPr="0088597E">
        <w:rPr>
          <w:rFonts w:ascii="Arial" w:hAnsi="Arial" w:cs="Arial"/>
          <w:b/>
          <w:bCs/>
          <w:sz w:val="24"/>
          <w:szCs w:val="24"/>
        </w:rPr>
        <w:t>1. Total Revenue: Shangri-La Hotels vs Premier Inn</w:t>
      </w:r>
    </w:p>
    <w:p w14:paraId="0F3D069E"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Comparative Strategies and Market Focus</w:t>
      </w:r>
    </w:p>
    <w:p w14:paraId="3333A44E" w14:textId="3BEE787C"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 xml:space="preserve">Shangri-La’s strategy from 2018 to 2023 </w:t>
      </w:r>
      <w:r w:rsidRPr="0088597E">
        <w:rPr>
          <w:rFonts w:ascii="Arial" w:hAnsi="Arial" w:cs="Arial"/>
          <w:sz w:val="24"/>
          <w:szCs w:val="24"/>
        </w:rPr>
        <w:t>centred</w:t>
      </w:r>
      <w:r w:rsidRPr="0088597E">
        <w:rPr>
          <w:rFonts w:ascii="Arial" w:hAnsi="Arial" w:cs="Arial"/>
          <w:sz w:val="24"/>
          <w:szCs w:val="24"/>
        </w:rPr>
        <w:t xml:space="preserve"> on its luxury market focus, heavily dependent on international </w:t>
      </w:r>
      <w:r w:rsidRPr="0088597E">
        <w:rPr>
          <w:rFonts w:ascii="Arial" w:hAnsi="Arial" w:cs="Arial"/>
          <w:sz w:val="24"/>
          <w:szCs w:val="24"/>
        </w:rPr>
        <w:t>travellers</w:t>
      </w:r>
      <w:r w:rsidRPr="0088597E">
        <w:rPr>
          <w:rFonts w:ascii="Arial" w:hAnsi="Arial" w:cs="Arial"/>
          <w:sz w:val="24"/>
          <w:szCs w:val="24"/>
        </w:rPr>
        <w:t>. Its reliance on high ADR</w:t>
      </w:r>
      <w:r w:rsidR="00D9329A" w:rsidRPr="0088597E">
        <w:rPr>
          <w:rFonts w:ascii="Arial" w:hAnsi="Arial" w:cs="Arial"/>
          <w:sz w:val="24"/>
          <w:szCs w:val="24"/>
        </w:rPr>
        <w:t xml:space="preserve"> </w:t>
      </w:r>
      <w:r w:rsidRPr="0088597E">
        <w:rPr>
          <w:rFonts w:ascii="Arial" w:hAnsi="Arial" w:cs="Arial"/>
          <w:sz w:val="24"/>
          <w:szCs w:val="24"/>
        </w:rPr>
        <w:t>in premium markets, such as Mainland China and Hong Kong, drove initial revenue growth in 2018 by 15%, with total revenue reaching USD 2,517.9 million (Shangri-La, 2018). The company capitalized on strong demand for luxury accommodations, increasing its ADR from USD 162 to USD 169, yet occupancy remained stable at 68%, showing that growth was driven more by pricing than by room volume.</w:t>
      </w:r>
    </w:p>
    <w:p w14:paraId="5F33140F" w14:textId="77777777" w:rsidR="00A727CA" w:rsidRPr="0088597E" w:rsidRDefault="00A727CA" w:rsidP="0088597E">
      <w:pPr>
        <w:spacing w:line="360" w:lineRule="auto"/>
        <w:jc w:val="both"/>
        <w:rPr>
          <w:rFonts w:ascii="Arial" w:hAnsi="Arial" w:cs="Arial"/>
          <w:sz w:val="24"/>
          <w:szCs w:val="24"/>
        </w:rPr>
      </w:pPr>
    </w:p>
    <w:p w14:paraId="4595677A" w14:textId="5EE05A34"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 xml:space="preserve">In contrast, Premier Inn applied a cost leadership strategy (Barney, 1991), targeting domestic </w:t>
      </w:r>
      <w:r w:rsidRPr="0088597E">
        <w:rPr>
          <w:rFonts w:ascii="Arial" w:hAnsi="Arial" w:cs="Arial"/>
          <w:sz w:val="24"/>
          <w:szCs w:val="24"/>
        </w:rPr>
        <w:t>travellers</w:t>
      </w:r>
      <w:r w:rsidRPr="0088597E">
        <w:rPr>
          <w:rFonts w:ascii="Arial" w:hAnsi="Arial" w:cs="Arial"/>
          <w:sz w:val="24"/>
          <w:szCs w:val="24"/>
        </w:rPr>
        <w:t xml:space="preserve"> and offering budget-friendly accommodations. In 2018, Premier </w:t>
      </w:r>
      <w:r w:rsidRPr="0088597E">
        <w:rPr>
          <w:rFonts w:ascii="Arial" w:hAnsi="Arial" w:cs="Arial"/>
          <w:sz w:val="24"/>
          <w:szCs w:val="24"/>
        </w:rPr>
        <w:lastRenderedPageBreak/>
        <w:t>Inn’s ADR was significantly lower, at £62.87, yet it maintained a strong occupancy rate of 79.3%, with total revenue reaching £2,007 million (Whitbread, 2018). Premier Inn’s strategy of affordability and its ability to add new rooms contributed to growth even in a competitive and price-sensitive market. While Shangri-La focused on premium pricing, Premier Inn’s dynamic pricing system allowed it to optimize occupancy despite lower rates (Hemmington, 2021).</w:t>
      </w:r>
    </w:p>
    <w:p w14:paraId="0FAF9FF8" w14:textId="77777777" w:rsidR="00A727CA" w:rsidRPr="0088597E" w:rsidRDefault="00A727CA" w:rsidP="0088597E">
      <w:pPr>
        <w:spacing w:line="360" w:lineRule="auto"/>
        <w:jc w:val="both"/>
        <w:rPr>
          <w:rFonts w:ascii="Arial" w:hAnsi="Arial" w:cs="Arial"/>
          <w:sz w:val="24"/>
          <w:szCs w:val="24"/>
        </w:rPr>
      </w:pPr>
    </w:p>
    <w:p w14:paraId="5F98AF1B"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Impact of External Shocks</w:t>
      </w:r>
    </w:p>
    <w:p w14:paraId="4B80A84B" w14:textId="26B760AF"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 xml:space="preserve">The differing revenue models became more apparent during the COVID-19 pandemic. Shangri-La’s dependency on luxury </w:t>
      </w:r>
      <w:r w:rsidRPr="0088597E">
        <w:rPr>
          <w:rFonts w:ascii="Arial" w:hAnsi="Arial" w:cs="Arial"/>
          <w:sz w:val="24"/>
          <w:szCs w:val="24"/>
        </w:rPr>
        <w:t>travellers</w:t>
      </w:r>
      <w:r w:rsidRPr="0088597E">
        <w:rPr>
          <w:rFonts w:ascii="Arial" w:hAnsi="Arial" w:cs="Arial"/>
          <w:sz w:val="24"/>
          <w:szCs w:val="24"/>
        </w:rPr>
        <w:t xml:space="preserve"> made it highly vulnerable to global travel restrictions. In 2020, its total revenue collapsed by 57.5%, dropping from USD 2.43 billion in 2019 to USD 1.03 billion in 2020, with occupancy falling to 33% (Shangri-La, 2020). Although the company reduced its ADR to USD 121, it couldn’t attract enough domestic </w:t>
      </w:r>
      <w:r w:rsidRPr="0088597E">
        <w:rPr>
          <w:rFonts w:ascii="Arial" w:hAnsi="Arial" w:cs="Arial"/>
          <w:sz w:val="24"/>
          <w:szCs w:val="24"/>
        </w:rPr>
        <w:t>travellers</w:t>
      </w:r>
      <w:r w:rsidRPr="0088597E">
        <w:rPr>
          <w:rFonts w:ascii="Arial" w:hAnsi="Arial" w:cs="Arial"/>
          <w:sz w:val="24"/>
          <w:szCs w:val="24"/>
        </w:rPr>
        <w:t xml:space="preserve"> to offset the loss of international visitors, highlighting the rigidity of its strategy during crises.</w:t>
      </w:r>
    </w:p>
    <w:p w14:paraId="25B0395A" w14:textId="6404E22E"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On the other hand, Premier Inn's domestic market focus allowed it to weather the pandemic better. In 2020, Premier Inn's revenue dropped by 71.8%, but its flexible dynamic pricing system helped maintain higher occupancy rates compared to Shangri-La, especially by targeting essential workers and domestic staycations (Whitbread, 2020). By focusing on domestic recovery, Premier Inn rebounded faster, recovering 207.9% in room revenue by 2022, reaching £2.25 billion as travel restrictions eased (Whitbread, 2022).</w:t>
      </w:r>
    </w:p>
    <w:p w14:paraId="7AA941BD" w14:textId="77777777" w:rsidR="001C38B7" w:rsidRPr="0088597E" w:rsidRDefault="001C38B7" w:rsidP="0088597E">
      <w:pPr>
        <w:spacing w:line="360" w:lineRule="auto"/>
        <w:jc w:val="both"/>
        <w:rPr>
          <w:rFonts w:ascii="Arial" w:hAnsi="Arial" w:cs="Arial"/>
          <w:sz w:val="24"/>
          <w:szCs w:val="24"/>
        </w:rPr>
      </w:pPr>
    </w:p>
    <w:p w14:paraId="7494F1E8"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Revenue Growth Drivers: Pricing vs Occupancy</w:t>
      </w:r>
    </w:p>
    <w:p w14:paraId="5E8449D5" w14:textId="4EE8D70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For Shangri-La, revenue per available room was consistently driven by high ADR, with relatively stable occupancy. In 2018, RevPAR rose from USD 110 to USD 115, supported primarily by price increases in luxury markets (Shangri-La, 2018). However, by 2020, RevPAR plummeted to USD 40 due to falling occupancy and reduced demand for high-end rooms. Shangri-La’s inability to maintain pricing power during crises exposed a major weakness in its luxury-focused model.</w:t>
      </w:r>
    </w:p>
    <w:p w14:paraId="141157EF"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lastRenderedPageBreak/>
        <w:t>Conversely, Premier Inn’s RevPAR was more resilient, primarily driven by maintaining occupancy through price adjustments. In 2019, despite a slight drop in occupancy (from 79% to 78%), Premier Inn managed to keep RevPAR relatively stable due to its pricing flexibility. By 2023, Premier Inn’s RevPAR increased by 19.3%, rising from £46.91 in 2020 to £55.97 in 2023, reflecting its success in combining higher occupancy with modest price increases (Whitbread, 2023). This demonstrates Premier Inn’s adaptability in managing demand fluctuations through cost leadership and price optimization.</w:t>
      </w:r>
    </w:p>
    <w:p w14:paraId="78672059" w14:textId="77777777" w:rsidR="00A727CA" w:rsidRPr="0088597E" w:rsidRDefault="00A727CA" w:rsidP="0088597E">
      <w:pPr>
        <w:spacing w:line="360" w:lineRule="auto"/>
        <w:jc w:val="both"/>
        <w:rPr>
          <w:rFonts w:ascii="Arial" w:hAnsi="Arial" w:cs="Arial"/>
          <w:sz w:val="24"/>
          <w:szCs w:val="24"/>
        </w:rPr>
      </w:pPr>
    </w:p>
    <w:p w14:paraId="2750DCD6"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Operational Efficiency and Cost Structures</w:t>
      </w:r>
    </w:p>
    <w:p w14:paraId="574862F1" w14:textId="7814BECE"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 xml:space="preserve">Shangri-La faced significant operational challenges during the pandemic, especially due to its high </w:t>
      </w:r>
      <w:r w:rsidRPr="0088597E">
        <w:rPr>
          <w:rFonts w:ascii="Arial" w:hAnsi="Arial" w:cs="Arial"/>
          <w:sz w:val="24"/>
          <w:szCs w:val="24"/>
        </w:rPr>
        <w:t>labour</w:t>
      </w:r>
      <w:r w:rsidRPr="0088597E">
        <w:rPr>
          <w:rFonts w:ascii="Arial" w:hAnsi="Arial" w:cs="Arial"/>
          <w:sz w:val="24"/>
          <w:szCs w:val="24"/>
        </w:rPr>
        <w:t xml:space="preserve"> costs and reliance on expensive properties in premium markets. In 2018, Shangri-La’s </w:t>
      </w:r>
      <w:r w:rsidRPr="0088597E">
        <w:rPr>
          <w:rFonts w:ascii="Arial" w:hAnsi="Arial" w:cs="Arial"/>
          <w:sz w:val="24"/>
          <w:szCs w:val="24"/>
        </w:rPr>
        <w:t>labour</w:t>
      </w:r>
      <w:r w:rsidRPr="0088597E">
        <w:rPr>
          <w:rFonts w:ascii="Arial" w:hAnsi="Arial" w:cs="Arial"/>
          <w:sz w:val="24"/>
          <w:szCs w:val="24"/>
        </w:rPr>
        <w:t xml:space="preserve"> costs alone reached USD 811.4 million, representing a substantial portion of its expenses (Shangri-La, 2018). While Shangri-La attempted to cut costs by furloughing staff and reducing operations in 2020, its fixed costs in high-end properties (e.g., USD 336.3 million in depreciation) limited its ability to scale down during low-demand periods (Shangri-La, 2020).</w:t>
      </w:r>
    </w:p>
    <w:p w14:paraId="4AE4A064" w14:textId="0F089EBB" w:rsidR="00447EF6"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In contrast, Premier Inn’s leaner operational model allowed it to better manage cost pressures. In 2019, Premier Inn’s property costs stood at £350 million, but it effectively controlled expenses through energy efficiency initiatives, such as LED lighting and solar panel installations, which helped reduce utility costs (Whitbread, 2019). By 2023, Premier Inn’s employee benefits costs were stable at £665 million, while Shangri-La faced rising costs, driven by wage inflation in luxury markets (Whitbread, 2023).</w:t>
      </w:r>
    </w:p>
    <w:p w14:paraId="60D52528" w14:textId="77777777" w:rsidR="00D9329A" w:rsidRPr="0088597E" w:rsidRDefault="00D9329A" w:rsidP="0088597E">
      <w:pPr>
        <w:spacing w:line="360" w:lineRule="auto"/>
        <w:jc w:val="both"/>
        <w:rPr>
          <w:rFonts w:ascii="Arial" w:hAnsi="Arial" w:cs="Arial"/>
          <w:sz w:val="24"/>
          <w:szCs w:val="24"/>
        </w:rPr>
      </w:pPr>
    </w:p>
    <w:p w14:paraId="3FE9EEF9" w14:textId="77777777" w:rsidR="00447EF6" w:rsidRPr="0088597E" w:rsidRDefault="00447EF6" w:rsidP="0088597E">
      <w:pPr>
        <w:spacing w:line="360" w:lineRule="auto"/>
        <w:jc w:val="both"/>
        <w:rPr>
          <w:rFonts w:ascii="Arial" w:hAnsi="Arial" w:cs="Arial"/>
          <w:b/>
          <w:bCs/>
          <w:sz w:val="24"/>
          <w:szCs w:val="24"/>
        </w:rPr>
      </w:pPr>
      <w:r w:rsidRPr="0088597E">
        <w:rPr>
          <w:rFonts w:ascii="Arial" w:hAnsi="Arial" w:cs="Arial"/>
          <w:b/>
          <w:bCs/>
          <w:sz w:val="24"/>
          <w:szCs w:val="24"/>
        </w:rPr>
        <w:t>2. Market Position: Shangri-La Hotels vs Premier Inn</w:t>
      </w:r>
    </w:p>
    <w:p w14:paraId="7C489C79" w14:textId="77777777" w:rsidR="001C38B7" w:rsidRPr="0088597E" w:rsidRDefault="001C38B7" w:rsidP="0088597E">
      <w:pPr>
        <w:spacing w:line="360" w:lineRule="auto"/>
        <w:jc w:val="both"/>
        <w:rPr>
          <w:rFonts w:ascii="Arial" w:hAnsi="Arial" w:cs="Arial"/>
          <w:b/>
          <w:bCs/>
          <w:sz w:val="24"/>
          <w:szCs w:val="24"/>
        </w:rPr>
      </w:pPr>
    </w:p>
    <w:p w14:paraId="0C81ADB6" w14:textId="77777777"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Shangri-La Hotels: Market Position</w:t>
      </w:r>
    </w:p>
    <w:p w14:paraId="0AE38EFA" w14:textId="3C74EA43"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Shangri-La has historically maintained a strong position in the luxury hotel sector, with a particularly dominant presence in Asia. In 2018, the company had an ADR of USD 169 in its primary markets of China and Hong Kong (Shangri-La, 2018). However, its </w:t>
      </w:r>
      <w:r w:rsidRPr="0088597E">
        <w:rPr>
          <w:rFonts w:ascii="Arial" w:hAnsi="Arial" w:cs="Arial"/>
          <w:sz w:val="24"/>
          <w:szCs w:val="24"/>
        </w:rPr>
        <w:lastRenderedPageBreak/>
        <w:t xml:space="preserve">reliance on international </w:t>
      </w:r>
      <w:r w:rsidR="00F7497E" w:rsidRPr="0088597E">
        <w:rPr>
          <w:rFonts w:ascii="Arial" w:hAnsi="Arial" w:cs="Arial"/>
          <w:sz w:val="24"/>
          <w:szCs w:val="24"/>
        </w:rPr>
        <w:t>travellers</w:t>
      </w:r>
      <w:r w:rsidRPr="0088597E">
        <w:rPr>
          <w:rFonts w:ascii="Arial" w:hAnsi="Arial" w:cs="Arial"/>
          <w:sz w:val="24"/>
          <w:szCs w:val="24"/>
        </w:rPr>
        <w:t xml:space="preserve">, combined with political instability in Hong Kong, severely affected its occupancy rates and revenue by 2019. Occupancy rates plummeted to 33% in 2020 during the COVID-19 pandemic, demonstrating the risk inherent in its reliance on luxury services and affluent international </w:t>
      </w:r>
      <w:r w:rsidR="00F7497E" w:rsidRPr="0088597E">
        <w:rPr>
          <w:rFonts w:ascii="Arial" w:hAnsi="Arial" w:cs="Arial"/>
          <w:sz w:val="24"/>
          <w:szCs w:val="24"/>
        </w:rPr>
        <w:t>travellers</w:t>
      </w:r>
      <w:r w:rsidRPr="0088597E">
        <w:rPr>
          <w:rFonts w:ascii="Arial" w:hAnsi="Arial" w:cs="Arial"/>
          <w:sz w:val="24"/>
          <w:szCs w:val="24"/>
        </w:rPr>
        <w:t xml:space="preserve"> (Shangri-La, 2020)</w:t>
      </w:r>
    </w:p>
    <w:p w14:paraId="6F9D57CB" w14:textId="382F7B49"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In the luxury sector, Porter’s Five Forces shows that Shangri-La faces significant competition from other luxury hotel chains, and the threat of substitutes, such as high-end vacation rentals (Airbnb), is growing (Porter, 1980). Additionally, economic and geopolitical instability in key markets like Hong Kong increases risks for the company, necessitating a diversification strategy to mitigate such vulnerabilities</w:t>
      </w:r>
      <w:r w:rsidR="00BD068E">
        <w:rPr>
          <w:rFonts w:ascii="Arial" w:hAnsi="Arial" w:cs="Arial"/>
          <w:sz w:val="24"/>
          <w:szCs w:val="24"/>
        </w:rPr>
        <w:t>.</w:t>
      </w:r>
    </w:p>
    <w:p w14:paraId="474477C2" w14:textId="77777777" w:rsidR="001C38B7" w:rsidRPr="0088597E" w:rsidRDefault="001C38B7" w:rsidP="0088597E">
      <w:pPr>
        <w:spacing w:line="360" w:lineRule="auto"/>
        <w:jc w:val="both"/>
        <w:rPr>
          <w:rFonts w:ascii="Arial" w:hAnsi="Arial" w:cs="Arial"/>
          <w:sz w:val="24"/>
          <w:szCs w:val="24"/>
        </w:rPr>
      </w:pPr>
    </w:p>
    <w:p w14:paraId="023DF39F" w14:textId="77777777"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Premier Inn: Market Position</w:t>
      </w:r>
    </w:p>
    <w:p w14:paraId="2F0290C0" w14:textId="345D6051"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Premier Inn holds a dominant position in the UK budget hotel sector and has been expanding its presence into Europe, particularly Germany. Its mid-market positioning allowed it to remain resilient during the pandemic. With over 800 hotels in the UK and 40 in Germany by 2023, Premier Inn has a much broader market appeal, allowing it to cater to domestic and budget-conscious international </w:t>
      </w:r>
      <w:r w:rsidR="00F7497E" w:rsidRPr="0088597E">
        <w:rPr>
          <w:rFonts w:ascii="Arial" w:hAnsi="Arial" w:cs="Arial"/>
          <w:sz w:val="24"/>
          <w:szCs w:val="24"/>
        </w:rPr>
        <w:t>travellers</w:t>
      </w:r>
      <w:r w:rsidRPr="0088597E">
        <w:rPr>
          <w:rFonts w:ascii="Arial" w:hAnsi="Arial" w:cs="Arial"/>
          <w:sz w:val="24"/>
          <w:szCs w:val="24"/>
        </w:rPr>
        <w:t xml:space="preserve"> (Whitbread, 2023).</w:t>
      </w:r>
    </w:p>
    <w:p w14:paraId="62497B62" w14:textId="2EBAD64E"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Premier Inn’s market development strategy in Germany can be explained using Ansoff’s Matrix, which highlights the company's ability to leverage its expertise in budget accommodations to enter new geographical markets (Ansoff, 1957). This expansion strategy capitalizes on Premier Inn’s ability to scale cost-efficiently, but it also carries risks, such as cultural adaptation challenges and local competition, which the company needs to manage through detailed market research and localization efforts (Hill et al., 2017).</w:t>
      </w:r>
    </w:p>
    <w:p w14:paraId="380F3DE9" w14:textId="1494E250"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While Shangri-La holds a strong position in the luxury market, its reliance on high-end international </w:t>
      </w:r>
      <w:r w:rsidR="00F7497E" w:rsidRPr="0088597E">
        <w:rPr>
          <w:rFonts w:ascii="Arial" w:hAnsi="Arial" w:cs="Arial"/>
          <w:sz w:val="24"/>
          <w:szCs w:val="24"/>
        </w:rPr>
        <w:t>travellers</w:t>
      </w:r>
      <w:r w:rsidRPr="0088597E">
        <w:rPr>
          <w:rFonts w:ascii="Arial" w:hAnsi="Arial" w:cs="Arial"/>
          <w:sz w:val="24"/>
          <w:szCs w:val="24"/>
        </w:rPr>
        <w:t xml:space="preserve"> exposes it to greater risks during economic and political upheavals. Premier Inn’s broader demographic appeal and cost leadership strategy make it more flexible and resilient, particularly in times of market disruptions (KPMG, 2022).</w:t>
      </w:r>
    </w:p>
    <w:p w14:paraId="4A31A555" w14:textId="77777777" w:rsidR="0088597E" w:rsidRPr="0088597E" w:rsidRDefault="0088597E" w:rsidP="0088597E">
      <w:pPr>
        <w:spacing w:line="360" w:lineRule="auto"/>
        <w:jc w:val="both"/>
        <w:rPr>
          <w:rFonts w:ascii="Arial" w:hAnsi="Arial" w:cs="Arial"/>
          <w:sz w:val="24"/>
          <w:szCs w:val="24"/>
        </w:rPr>
      </w:pPr>
    </w:p>
    <w:p w14:paraId="42CF6A2C" w14:textId="08A7CD6A" w:rsidR="001C38B7" w:rsidRPr="0088597E" w:rsidRDefault="001C38B7" w:rsidP="0088597E">
      <w:pPr>
        <w:spacing w:line="360" w:lineRule="auto"/>
        <w:jc w:val="both"/>
        <w:rPr>
          <w:rFonts w:ascii="Arial" w:hAnsi="Arial" w:cs="Arial"/>
          <w:b/>
          <w:bCs/>
          <w:sz w:val="24"/>
          <w:szCs w:val="24"/>
        </w:rPr>
      </w:pPr>
      <w:r w:rsidRPr="0088597E">
        <w:rPr>
          <w:rFonts w:ascii="Arial" w:hAnsi="Arial" w:cs="Arial"/>
          <w:b/>
          <w:bCs/>
          <w:sz w:val="24"/>
          <w:szCs w:val="24"/>
        </w:rPr>
        <w:lastRenderedPageBreak/>
        <w:t>3. Growth Potential: Shangri-La Hotels vs Premier Inn</w:t>
      </w:r>
    </w:p>
    <w:p w14:paraId="53A36D07" w14:textId="77777777" w:rsidR="001C38B7" w:rsidRPr="0088597E" w:rsidRDefault="001C38B7" w:rsidP="0088597E">
      <w:pPr>
        <w:spacing w:line="360" w:lineRule="auto"/>
        <w:jc w:val="both"/>
        <w:rPr>
          <w:rFonts w:ascii="Arial" w:hAnsi="Arial" w:cs="Arial"/>
          <w:b/>
          <w:bCs/>
          <w:sz w:val="24"/>
          <w:szCs w:val="24"/>
        </w:rPr>
      </w:pPr>
    </w:p>
    <w:p w14:paraId="57458FD3" w14:textId="2A28EEE1"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Shangri-La Hotels: Growth Potential</w:t>
      </w:r>
    </w:p>
    <w:p w14:paraId="22AB6979" w14:textId="35EF87AE"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 xml:space="preserve">Shangri-La’s growth strategy focuses heavily on luxury hospitality in Asia, particularly Mainland China and Hong Kong. This product development approach, as defined in Ansoff’s Matrix, has enabled the brand to thrive in the high-end market, with Mainland China alone generating USD 842.1 million in 2018 (Shangri-La, 2018). However, the capital-intensive nature of luxury property development exposes Shangri-La to financial risks, particularly in politically unstable regions. For instance, in 2019, revenue from Hong Kong dropped by 20% due to political unrest (Shangri-La, 2019). This dependence on luxury </w:t>
      </w:r>
      <w:r w:rsidRPr="0088597E">
        <w:rPr>
          <w:rFonts w:ascii="Arial" w:hAnsi="Arial" w:cs="Arial"/>
          <w:sz w:val="24"/>
          <w:szCs w:val="24"/>
        </w:rPr>
        <w:t>travellers</w:t>
      </w:r>
      <w:r w:rsidRPr="0088597E">
        <w:rPr>
          <w:rFonts w:ascii="Arial" w:hAnsi="Arial" w:cs="Arial"/>
          <w:sz w:val="24"/>
          <w:szCs w:val="24"/>
        </w:rPr>
        <w:t xml:space="preserve"> and premium markets makes the company vulnerable to external shocks, as seen during the COVID-19 pandemic when revenue plummeted by 57.5% (Shangri-La, 2020).</w:t>
      </w:r>
    </w:p>
    <w:p w14:paraId="24FA0167" w14:textId="77777777" w:rsidR="001C38B7" w:rsidRPr="0088597E" w:rsidRDefault="001C38B7" w:rsidP="0088597E">
      <w:pPr>
        <w:spacing w:line="360" w:lineRule="auto"/>
        <w:jc w:val="both"/>
        <w:rPr>
          <w:rFonts w:ascii="Arial" w:hAnsi="Arial" w:cs="Arial"/>
          <w:sz w:val="24"/>
          <w:szCs w:val="24"/>
        </w:rPr>
      </w:pPr>
    </w:p>
    <w:p w14:paraId="261499F8" w14:textId="0C6B8C95"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Shangri-La’s growth limitations are exacerbated by its high operational costs, such as USD 318.4 million in capital expenditures in 2020, largely dedicated to refurbishments and new luxury properties (Shangri-La, 2020). These financial demands restrict its flexibility to expand quickly into new markets. To mitigate these risks, Shangri-La could diversify into mid-market accommodations or explore the growing vacation rental sector, which offers lower operational costs and broader market appeal</w:t>
      </w:r>
      <w:r w:rsidR="00BD068E">
        <w:rPr>
          <w:rFonts w:ascii="Arial" w:hAnsi="Arial" w:cs="Arial"/>
          <w:sz w:val="24"/>
          <w:szCs w:val="24"/>
        </w:rPr>
        <w:t>.</w:t>
      </w:r>
    </w:p>
    <w:p w14:paraId="7F6398DB" w14:textId="77777777" w:rsidR="001C38B7" w:rsidRPr="0088597E" w:rsidRDefault="001C38B7" w:rsidP="0088597E">
      <w:pPr>
        <w:spacing w:line="360" w:lineRule="auto"/>
        <w:jc w:val="both"/>
        <w:rPr>
          <w:rFonts w:ascii="Arial" w:hAnsi="Arial" w:cs="Arial"/>
          <w:sz w:val="24"/>
          <w:szCs w:val="24"/>
        </w:rPr>
      </w:pPr>
    </w:p>
    <w:p w14:paraId="39FAA9B6" w14:textId="3F9A9244"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Premier Inn: Growth Potential</w:t>
      </w:r>
    </w:p>
    <w:p w14:paraId="1831E558" w14:textId="27EA03AF"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In contrast, Premier Inn’s growth strategy is based on market development, focusing on expanding into underpenetrated regions like Germany. By 2023, Premier Inn operated over 40 hotels in Germany, leveraging its cost-efficient business model to grow in a market with limited budget hotel competition (Whitbread, 2023). This expansion has been particularly effective, with Premier Inn’s room revenue increasing by 207.9% in 2022 (Whitbread, 2022). Its market development strategy allows Premier Inn to scale cost-effectively, using AI-driven pricing to maintain profitability even in mature markets (Hemmington, 2021).</w:t>
      </w:r>
    </w:p>
    <w:p w14:paraId="4D381B90" w14:textId="2CF6F1C2"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lastRenderedPageBreak/>
        <w:t>While Premier Inn’s domestic market in the UK is nearing saturation, its German expansion provides substantial growth opportunities. However, this international growth carries risks, such as the need for market localization and navigating different regulatory environments (Hill et al., 2017). To address these challenges, Premier Inn should continue its localized marketing efforts and adapt its operational strategies to meet regional demand in Europe</w:t>
      </w:r>
      <w:r w:rsidR="00BD068E">
        <w:rPr>
          <w:rFonts w:ascii="Arial" w:hAnsi="Arial" w:cs="Arial"/>
          <w:sz w:val="24"/>
          <w:szCs w:val="24"/>
        </w:rPr>
        <w:t>.</w:t>
      </w:r>
    </w:p>
    <w:p w14:paraId="7C863ECC" w14:textId="77777777" w:rsidR="001C38B7" w:rsidRPr="0088597E" w:rsidRDefault="001C38B7" w:rsidP="0088597E">
      <w:pPr>
        <w:spacing w:line="360" w:lineRule="auto"/>
        <w:jc w:val="both"/>
        <w:rPr>
          <w:rFonts w:ascii="Arial" w:hAnsi="Arial" w:cs="Arial"/>
          <w:sz w:val="24"/>
          <w:szCs w:val="24"/>
        </w:rPr>
      </w:pPr>
    </w:p>
    <w:p w14:paraId="13867518" w14:textId="579C2744"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Comparative Analysis</w:t>
      </w:r>
    </w:p>
    <w:p w14:paraId="2846C9D3" w14:textId="7035B727" w:rsidR="001C38B7" w:rsidRPr="0088597E" w:rsidRDefault="001C38B7" w:rsidP="0088597E">
      <w:pPr>
        <w:spacing w:line="360" w:lineRule="auto"/>
        <w:jc w:val="both"/>
        <w:rPr>
          <w:rFonts w:ascii="Arial" w:hAnsi="Arial" w:cs="Arial"/>
          <w:sz w:val="24"/>
          <w:szCs w:val="24"/>
        </w:rPr>
      </w:pPr>
      <w:r w:rsidRPr="0088597E">
        <w:rPr>
          <w:rFonts w:ascii="Arial" w:hAnsi="Arial" w:cs="Arial"/>
          <w:sz w:val="24"/>
          <w:szCs w:val="24"/>
        </w:rPr>
        <w:t xml:space="preserve">Shangri-La’s luxury-focused, capital-heavy growth model offers high returns in stable periods but exposes the company to geopolitical and economic risks. Its limited flexibility during market disruptions, such as the 57.5% revenue drop in 2020, highlights the vulnerability of relying solely on high-end </w:t>
      </w:r>
      <w:r w:rsidRPr="0088597E">
        <w:rPr>
          <w:rFonts w:ascii="Arial" w:hAnsi="Arial" w:cs="Arial"/>
          <w:sz w:val="24"/>
          <w:szCs w:val="24"/>
        </w:rPr>
        <w:t>travellers</w:t>
      </w:r>
      <w:r w:rsidRPr="0088597E">
        <w:rPr>
          <w:rFonts w:ascii="Arial" w:hAnsi="Arial" w:cs="Arial"/>
          <w:sz w:val="24"/>
          <w:szCs w:val="24"/>
        </w:rPr>
        <w:t xml:space="preserve"> (Shangri-La, 2020). On the other hand, Premier Inn’s cost-effective expansion strategy into new markets like Germany offers a more stable and scalable growth potential. Premier Inn’s adaptability, driven by dynamic pricing and efficient operational models, allows it to grow rapidly and manage risk better, especially in unpredictable economic climates.</w:t>
      </w:r>
    </w:p>
    <w:p w14:paraId="0F3025B6" w14:textId="77777777" w:rsidR="001C38B7" w:rsidRPr="0088597E" w:rsidRDefault="001C38B7" w:rsidP="0088597E">
      <w:pPr>
        <w:spacing w:line="360" w:lineRule="auto"/>
        <w:jc w:val="both"/>
        <w:rPr>
          <w:rFonts w:ascii="Arial" w:hAnsi="Arial" w:cs="Arial"/>
          <w:sz w:val="24"/>
          <w:szCs w:val="24"/>
        </w:rPr>
      </w:pPr>
    </w:p>
    <w:p w14:paraId="6F115B20" w14:textId="77777777" w:rsidR="00A727CA" w:rsidRPr="0088597E" w:rsidRDefault="00A727CA" w:rsidP="0088597E">
      <w:pPr>
        <w:spacing w:line="360" w:lineRule="auto"/>
        <w:jc w:val="both"/>
        <w:rPr>
          <w:rFonts w:ascii="Arial" w:hAnsi="Arial" w:cs="Arial"/>
          <w:b/>
          <w:bCs/>
          <w:sz w:val="24"/>
          <w:szCs w:val="24"/>
        </w:rPr>
      </w:pPr>
      <w:r w:rsidRPr="0088597E">
        <w:rPr>
          <w:rFonts w:ascii="Arial" w:hAnsi="Arial" w:cs="Arial"/>
          <w:b/>
          <w:bCs/>
          <w:sz w:val="24"/>
          <w:szCs w:val="24"/>
        </w:rPr>
        <w:t>4. Financial Commitment to CSR: Shangri-La Hotels vs Premier Inn</w:t>
      </w:r>
    </w:p>
    <w:p w14:paraId="79476BB3" w14:textId="77777777" w:rsidR="001C38B7" w:rsidRPr="0088597E" w:rsidRDefault="001C38B7" w:rsidP="0088597E">
      <w:pPr>
        <w:spacing w:line="360" w:lineRule="auto"/>
        <w:jc w:val="both"/>
        <w:rPr>
          <w:rFonts w:ascii="Arial" w:hAnsi="Arial" w:cs="Arial"/>
          <w:b/>
          <w:bCs/>
          <w:sz w:val="24"/>
          <w:szCs w:val="24"/>
        </w:rPr>
      </w:pPr>
    </w:p>
    <w:p w14:paraId="07E1BF1C"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Comparative CSR Strategies</w:t>
      </w:r>
    </w:p>
    <w:p w14:paraId="4B21B5A7" w14:textId="43FBB06E"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Shangri-La's Shangri-La Cares program emphasizes high-cost sustainability initiatives, including a goal to achieve carbon neutrality by 2030 and sourcing 40% of food and beverage offerings sustainably (Shangri-La, 2021). While these initiatives align with Porter &amp; Kramer’s Shared Value model, which seeks to integrate social responsibility into competitive strategy (Porter &amp; Kramer, 2006), they also present financial risks. Retrofitting luxury properties to meet environmental standards requires substantial capital, and in times of economic downturns, such high fixed costs could strain profitability.</w:t>
      </w:r>
    </w:p>
    <w:p w14:paraId="6742A09B"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 xml:space="preserve">In contrast, Premier Inn's Force for Good program prioritizes cost-efficient sustainability. Initiatives like reducing energy consumption by 20% per room through </w:t>
      </w:r>
      <w:r w:rsidRPr="0088597E">
        <w:rPr>
          <w:rFonts w:ascii="Arial" w:hAnsi="Arial" w:cs="Arial"/>
          <w:sz w:val="24"/>
          <w:szCs w:val="24"/>
        </w:rPr>
        <w:lastRenderedPageBreak/>
        <w:t>solar panels and LED lighting align with Barney’s Resource-Based View (RBV), where sustainability is viewed as a resource that reduces operational costs while delivering a competitive advantage (Barney, 1991). Premier Inn’s CSR strategy integrates well with its budget-focused model, where the emphasis is on maintaining profitability while adhering to environmental regulations.</w:t>
      </w:r>
    </w:p>
    <w:p w14:paraId="02184B74" w14:textId="77777777" w:rsidR="00A727CA" w:rsidRPr="0088597E" w:rsidRDefault="00A727CA" w:rsidP="0088597E">
      <w:pPr>
        <w:spacing w:line="360" w:lineRule="auto"/>
        <w:jc w:val="both"/>
        <w:rPr>
          <w:rFonts w:ascii="Arial" w:hAnsi="Arial" w:cs="Arial"/>
          <w:sz w:val="24"/>
          <w:szCs w:val="24"/>
        </w:rPr>
      </w:pPr>
    </w:p>
    <w:p w14:paraId="79135F41"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Financial Implications and Risk Management</w:t>
      </w:r>
    </w:p>
    <w:p w14:paraId="0E6B767C" w14:textId="40E48C08"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Shangri-La's luxury positioning makes its CSR commitments more capital-intensive. Its focus on retrofitting older, high-end properties requires significant upfront investments, which could be a financial burden during market downturns. To mitigate these risks, Shangri-La could adopt phased implementation of sustainability initiatives and explore green financing options such as sustainability-linked bonds or partnerships with eco-tech firms (Deloitte, 202</w:t>
      </w:r>
      <w:r w:rsidR="003D69C8">
        <w:rPr>
          <w:rFonts w:ascii="Arial" w:hAnsi="Arial" w:cs="Arial"/>
          <w:sz w:val="24"/>
          <w:szCs w:val="24"/>
        </w:rPr>
        <w:t>3</w:t>
      </w:r>
      <w:r w:rsidRPr="0088597E">
        <w:rPr>
          <w:rFonts w:ascii="Arial" w:hAnsi="Arial" w:cs="Arial"/>
          <w:sz w:val="24"/>
          <w:szCs w:val="24"/>
        </w:rPr>
        <w:t>). These strategies could spread costs over time, reducing financial strain while achieving long-term environmental goals.</w:t>
      </w:r>
    </w:p>
    <w:p w14:paraId="4BAD27B9"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Premier Inn, by contrast, embeds its CSR initiatives within its cost leadership strategy. The company's focus on energy efficiency not only supports sustainability but also drives long-term cost savings, reducing operational expenses per room (Whitbread, 2022). Premier Inn’s risk management approach involves ensuring that these sustainability efforts generate clear financial returns, enabling the company to comply with environmental regulations without sacrificing profitability. Expanding these practices into international markets, particularly in Germany, further enhances Premier Inn’s reputation as an eco-friendly budget option while keeping costs manageable (Jones &amp; Lockwood, 2020).</w:t>
      </w:r>
    </w:p>
    <w:p w14:paraId="4CD9B248" w14:textId="77777777" w:rsidR="00A727CA" w:rsidRPr="0088597E" w:rsidRDefault="00A727CA" w:rsidP="0088597E">
      <w:pPr>
        <w:spacing w:line="360" w:lineRule="auto"/>
        <w:jc w:val="both"/>
        <w:rPr>
          <w:rFonts w:ascii="Arial" w:hAnsi="Arial" w:cs="Arial"/>
          <w:sz w:val="24"/>
          <w:szCs w:val="24"/>
        </w:rPr>
      </w:pPr>
    </w:p>
    <w:p w14:paraId="56995856" w14:textId="77777777" w:rsidR="00A727CA"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CSR Comparison</w:t>
      </w:r>
    </w:p>
    <w:p w14:paraId="25F28F01" w14:textId="289D3044" w:rsidR="00447EF6" w:rsidRPr="0088597E" w:rsidRDefault="00A727CA" w:rsidP="0088597E">
      <w:pPr>
        <w:spacing w:line="360" w:lineRule="auto"/>
        <w:jc w:val="both"/>
        <w:rPr>
          <w:rFonts w:ascii="Arial" w:hAnsi="Arial" w:cs="Arial"/>
          <w:sz w:val="24"/>
          <w:szCs w:val="24"/>
        </w:rPr>
      </w:pPr>
      <w:r w:rsidRPr="0088597E">
        <w:rPr>
          <w:rFonts w:ascii="Arial" w:hAnsi="Arial" w:cs="Arial"/>
          <w:sz w:val="24"/>
          <w:szCs w:val="24"/>
        </w:rPr>
        <w:t>While both companies are committed to sustainability, their approaches reflect their different business models. Shangri-La's ambitious CSR goals, though commendable, pose financial risks due to their high costs, especially during economic downturns. Risk management for Shangri-La will require careful financial planning to balance CSR investments with profitability (Deloitte, 202</w:t>
      </w:r>
      <w:r w:rsidR="003D69C8">
        <w:rPr>
          <w:rFonts w:ascii="Arial" w:hAnsi="Arial" w:cs="Arial"/>
          <w:sz w:val="24"/>
          <w:szCs w:val="24"/>
        </w:rPr>
        <w:t>3</w:t>
      </w:r>
      <w:r w:rsidRPr="0088597E">
        <w:rPr>
          <w:rFonts w:ascii="Arial" w:hAnsi="Arial" w:cs="Arial"/>
          <w:sz w:val="24"/>
          <w:szCs w:val="24"/>
        </w:rPr>
        <w:t xml:space="preserve">). In contrast, Premier Inn's cost-efficient CSR approach aligns with its business model, turning sustainability into a competitive </w:t>
      </w:r>
      <w:r w:rsidRPr="0088597E">
        <w:rPr>
          <w:rFonts w:ascii="Arial" w:hAnsi="Arial" w:cs="Arial"/>
          <w:sz w:val="24"/>
          <w:szCs w:val="24"/>
        </w:rPr>
        <w:lastRenderedPageBreak/>
        <w:t>advantage through operational cost reductions and regulatory compliance, ensuring financial resilience even in challenging market conditions (Barney, 1991).</w:t>
      </w:r>
    </w:p>
    <w:p w14:paraId="16C68A23" w14:textId="77777777" w:rsidR="00D9329A" w:rsidRPr="0088597E" w:rsidRDefault="00D9329A" w:rsidP="0088597E">
      <w:pPr>
        <w:spacing w:line="360" w:lineRule="auto"/>
        <w:jc w:val="both"/>
        <w:rPr>
          <w:rFonts w:ascii="Arial" w:hAnsi="Arial" w:cs="Arial"/>
          <w:sz w:val="24"/>
          <w:szCs w:val="24"/>
        </w:rPr>
      </w:pPr>
    </w:p>
    <w:p w14:paraId="711BDA39" w14:textId="77777777" w:rsidR="00D9329A" w:rsidRPr="0088597E" w:rsidRDefault="00D9329A" w:rsidP="0088597E">
      <w:pPr>
        <w:spacing w:line="360" w:lineRule="auto"/>
        <w:jc w:val="both"/>
        <w:rPr>
          <w:rFonts w:ascii="Arial" w:hAnsi="Arial" w:cs="Arial"/>
          <w:b/>
          <w:bCs/>
          <w:sz w:val="24"/>
          <w:szCs w:val="24"/>
        </w:rPr>
      </w:pPr>
      <w:r w:rsidRPr="0088597E">
        <w:rPr>
          <w:rFonts w:ascii="Arial" w:hAnsi="Arial" w:cs="Arial"/>
          <w:b/>
          <w:bCs/>
          <w:sz w:val="24"/>
          <w:szCs w:val="24"/>
        </w:rPr>
        <w:t>Conclusion</w:t>
      </w:r>
    </w:p>
    <w:p w14:paraId="2A491D37" w14:textId="2B94D3B1" w:rsidR="00D9329A" w:rsidRPr="0088597E" w:rsidRDefault="00D9329A" w:rsidP="0088597E">
      <w:pPr>
        <w:spacing w:line="360" w:lineRule="auto"/>
        <w:jc w:val="both"/>
        <w:rPr>
          <w:rFonts w:ascii="Arial" w:hAnsi="Arial" w:cs="Arial"/>
          <w:sz w:val="24"/>
          <w:szCs w:val="24"/>
        </w:rPr>
      </w:pPr>
      <w:r w:rsidRPr="0088597E">
        <w:rPr>
          <w:rFonts w:ascii="Arial" w:hAnsi="Arial" w:cs="Arial"/>
          <w:sz w:val="24"/>
          <w:szCs w:val="24"/>
        </w:rPr>
        <w:t xml:space="preserve">The comparison between Shangri-La Hotels and Premier Inn from 2018 to 2023 highlights their distinct strategies and responses to market challenges. Shangri-La’s luxury positioning, driven by high ADRs and international </w:t>
      </w:r>
      <w:r w:rsidR="001C38B7" w:rsidRPr="0088597E">
        <w:rPr>
          <w:rFonts w:ascii="Arial" w:hAnsi="Arial" w:cs="Arial"/>
          <w:sz w:val="24"/>
          <w:szCs w:val="24"/>
        </w:rPr>
        <w:t>travellers</w:t>
      </w:r>
      <w:r w:rsidRPr="0088597E">
        <w:rPr>
          <w:rFonts w:ascii="Arial" w:hAnsi="Arial" w:cs="Arial"/>
          <w:sz w:val="24"/>
          <w:szCs w:val="24"/>
        </w:rPr>
        <w:t>, left it vulnerable to external shocks like the COVID-19 pandemic and geopolitical instability. This reliance on premium markets led to a slower recovery, revealing the risks of its high-cost model during crises.</w:t>
      </w:r>
    </w:p>
    <w:p w14:paraId="64190992" w14:textId="75D5EA6E" w:rsidR="00D9329A" w:rsidRPr="0088597E" w:rsidRDefault="00D9329A" w:rsidP="0088597E">
      <w:pPr>
        <w:spacing w:line="360" w:lineRule="auto"/>
        <w:jc w:val="both"/>
        <w:rPr>
          <w:rFonts w:ascii="Arial" w:hAnsi="Arial" w:cs="Arial"/>
          <w:sz w:val="24"/>
          <w:szCs w:val="24"/>
        </w:rPr>
      </w:pPr>
      <w:r w:rsidRPr="0088597E">
        <w:rPr>
          <w:rFonts w:ascii="Arial" w:hAnsi="Arial" w:cs="Arial"/>
          <w:sz w:val="24"/>
          <w:szCs w:val="24"/>
        </w:rPr>
        <w:t xml:space="preserve">In contrast, Premier Inn’s cost leadership strategy and focus on domestic </w:t>
      </w:r>
      <w:r w:rsidR="001C38B7" w:rsidRPr="0088597E">
        <w:rPr>
          <w:rFonts w:ascii="Arial" w:hAnsi="Arial" w:cs="Arial"/>
          <w:sz w:val="24"/>
          <w:szCs w:val="24"/>
        </w:rPr>
        <w:t>travellers</w:t>
      </w:r>
      <w:r w:rsidRPr="0088597E">
        <w:rPr>
          <w:rFonts w:ascii="Arial" w:hAnsi="Arial" w:cs="Arial"/>
          <w:sz w:val="24"/>
          <w:szCs w:val="24"/>
        </w:rPr>
        <w:t xml:space="preserve"> provided greater flexibility. Its ability to maintain high occupancy through dynamic pricing, even during economic downturns, enabled a faster recovery. Additionally, Premier Inn's expansion into Germany and commitment to operational efficiency, such as energy-saving initiatives, helped it navigate challenges more effectively.</w:t>
      </w:r>
    </w:p>
    <w:p w14:paraId="0820D844" w14:textId="2F91196E" w:rsidR="00D9329A" w:rsidRPr="0088597E" w:rsidRDefault="00D9329A" w:rsidP="0088597E">
      <w:pPr>
        <w:spacing w:line="360" w:lineRule="auto"/>
        <w:jc w:val="both"/>
        <w:rPr>
          <w:rFonts w:ascii="Arial" w:hAnsi="Arial" w:cs="Arial"/>
          <w:sz w:val="24"/>
          <w:szCs w:val="24"/>
        </w:rPr>
      </w:pPr>
      <w:r w:rsidRPr="0088597E">
        <w:rPr>
          <w:rFonts w:ascii="Arial" w:hAnsi="Arial" w:cs="Arial"/>
          <w:sz w:val="24"/>
          <w:szCs w:val="24"/>
        </w:rPr>
        <w:t>On the CSR front, Shangri-La's ambitious sustainability initiatives are commendable but financially demanding. Premier Inn’s approach, integrating cost-efficient sustainability practices, aligns better with its business model, ensuring both profitability and regulatory compliance. Overall, Premier Inn’s adaptable and cost-conscious approach proved more resilient and better suited to navigating global disruptions.</w:t>
      </w:r>
    </w:p>
    <w:p w14:paraId="0F5A237F" w14:textId="77777777" w:rsidR="00B57F86" w:rsidRPr="0088597E" w:rsidRDefault="00B57F86" w:rsidP="0088597E">
      <w:pPr>
        <w:spacing w:line="360" w:lineRule="auto"/>
        <w:jc w:val="both"/>
        <w:rPr>
          <w:rFonts w:ascii="Arial" w:hAnsi="Arial" w:cs="Arial"/>
          <w:sz w:val="24"/>
          <w:szCs w:val="24"/>
        </w:rPr>
      </w:pPr>
    </w:p>
    <w:p w14:paraId="06C50A94" w14:textId="77777777" w:rsidR="0088597E" w:rsidRPr="0088597E" w:rsidRDefault="0088597E" w:rsidP="0088597E">
      <w:pPr>
        <w:spacing w:line="360" w:lineRule="auto"/>
        <w:jc w:val="both"/>
        <w:rPr>
          <w:rFonts w:ascii="Arial" w:hAnsi="Arial" w:cs="Arial"/>
          <w:b/>
          <w:bCs/>
          <w:sz w:val="24"/>
          <w:szCs w:val="24"/>
        </w:rPr>
      </w:pPr>
      <w:r w:rsidRPr="0088597E">
        <w:rPr>
          <w:rFonts w:ascii="Arial" w:hAnsi="Arial" w:cs="Arial"/>
          <w:b/>
          <w:bCs/>
          <w:sz w:val="24"/>
          <w:szCs w:val="24"/>
        </w:rPr>
        <w:t>Recommendations</w:t>
      </w:r>
    </w:p>
    <w:p w14:paraId="50337E38" w14:textId="77777777" w:rsidR="0088597E" w:rsidRPr="00294EC5" w:rsidRDefault="0088597E" w:rsidP="0088597E">
      <w:pPr>
        <w:spacing w:line="360" w:lineRule="auto"/>
        <w:jc w:val="both"/>
        <w:rPr>
          <w:rFonts w:ascii="Arial" w:hAnsi="Arial" w:cs="Arial"/>
          <w:sz w:val="24"/>
          <w:szCs w:val="24"/>
        </w:rPr>
      </w:pPr>
      <w:r w:rsidRPr="00294EC5">
        <w:rPr>
          <w:rFonts w:ascii="Arial" w:hAnsi="Arial" w:cs="Arial"/>
          <w:sz w:val="24"/>
          <w:szCs w:val="24"/>
        </w:rPr>
        <w:t>Shangri-La Hotels:</w:t>
      </w:r>
    </w:p>
    <w:p w14:paraId="627E1BDC" w14:textId="77777777" w:rsidR="0088597E" w:rsidRPr="00294EC5" w:rsidRDefault="0088597E" w:rsidP="0088597E">
      <w:pPr>
        <w:spacing w:line="360" w:lineRule="auto"/>
        <w:jc w:val="both"/>
        <w:rPr>
          <w:rFonts w:ascii="Arial" w:hAnsi="Arial" w:cs="Arial"/>
          <w:sz w:val="24"/>
          <w:szCs w:val="24"/>
        </w:rPr>
      </w:pPr>
    </w:p>
    <w:p w14:paraId="1AFFA7E2" w14:textId="77777777" w:rsidR="0088597E" w:rsidRPr="00294EC5" w:rsidRDefault="0088597E" w:rsidP="0088597E">
      <w:pPr>
        <w:spacing w:line="360" w:lineRule="auto"/>
        <w:jc w:val="both"/>
        <w:rPr>
          <w:rFonts w:ascii="Arial" w:hAnsi="Arial" w:cs="Arial"/>
          <w:sz w:val="24"/>
          <w:szCs w:val="24"/>
        </w:rPr>
      </w:pPr>
      <w:r w:rsidRPr="00294EC5">
        <w:rPr>
          <w:rFonts w:ascii="Arial" w:hAnsi="Arial" w:cs="Arial"/>
          <w:sz w:val="24"/>
          <w:szCs w:val="24"/>
        </w:rPr>
        <w:t>Expand into Mid-Market Segments</w:t>
      </w:r>
    </w:p>
    <w:p w14:paraId="3B92B197" w14:textId="7580ECFF" w:rsidR="0088597E" w:rsidRDefault="0088597E" w:rsidP="0088597E">
      <w:pPr>
        <w:spacing w:line="360" w:lineRule="auto"/>
        <w:jc w:val="both"/>
        <w:rPr>
          <w:rFonts w:ascii="Arial" w:hAnsi="Arial" w:cs="Arial"/>
          <w:sz w:val="24"/>
          <w:szCs w:val="24"/>
        </w:rPr>
      </w:pPr>
      <w:r w:rsidRPr="00294EC5">
        <w:rPr>
          <w:rFonts w:ascii="Arial" w:hAnsi="Arial" w:cs="Arial"/>
          <w:sz w:val="24"/>
          <w:szCs w:val="24"/>
        </w:rPr>
        <w:t xml:space="preserve">Shangri-La should consider diversifying beyond luxury to tap into the growing mid-market hotel sector, particularly in regions like Southeast Asia. Expanding into mid-range offerings, </w:t>
      </w:r>
      <w:r w:rsidR="00294EC5" w:rsidRPr="00294EC5">
        <w:rPr>
          <w:rFonts w:ascii="Arial" w:hAnsi="Arial" w:cs="Arial"/>
          <w:sz w:val="24"/>
          <w:szCs w:val="24"/>
        </w:rPr>
        <w:t>like</w:t>
      </w:r>
      <w:r w:rsidRPr="00294EC5">
        <w:rPr>
          <w:rFonts w:ascii="Arial" w:hAnsi="Arial" w:cs="Arial"/>
          <w:sz w:val="24"/>
          <w:szCs w:val="24"/>
        </w:rPr>
        <w:t xml:space="preserve"> Marriott’s “Courtyard” brand, would help mitigate risks associated with economic downturns and dependency on high-end international travellers. This </w:t>
      </w:r>
      <w:r w:rsidRPr="00294EC5">
        <w:rPr>
          <w:rFonts w:ascii="Arial" w:hAnsi="Arial" w:cs="Arial"/>
          <w:sz w:val="24"/>
          <w:szCs w:val="24"/>
        </w:rPr>
        <w:lastRenderedPageBreak/>
        <w:t>diversification aligns with Ansoff’s Market Penetration strategy, where leveraging existing markets with new price points could drive revenue growth during global disruptions (Johnson et al., 2017).</w:t>
      </w:r>
    </w:p>
    <w:p w14:paraId="19F662A7" w14:textId="77777777" w:rsidR="00294EC5" w:rsidRPr="00294EC5" w:rsidRDefault="00294EC5" w:rsidP="0088597E">
      <w:pPr>
        <w:spacing w:line="360" w:lineRule="auto"/>
        <w:jc w:val="both"/>
        <w:rPr>
          <w:rFonts w:ascii="Arial" w:hAnsi="Arial" w:cs="Arial"/>
          <w:sz w:val="24"/>
          <w:szCs w:val="24"/>
        </w:rPr>
      </w:pPr>
    </w:p>
    <w:p w14:paraId="05B3C3BA" w14:textId="77777777" w:rsidR="0088597E" w:rsidRPr="00294EC5" w:rsidRDefault="0088597E" w:rsidP="0088597E">
      <w:pPr>
        <w:spacing w:line="360" w:lineRule="auto"/>
        <w:jc w:val="both"/>
        <w:rPr>
          <w:rFonts w:ascii="Arial" w:hAnsi="Arial" w:cs="Arial"/>
          <w:sz w:val="24"/>
          <w:szCs w:val="24"/>
        </w:rPr>
      </w:pPr>
      <w:r w:rsidRPr="00294EC5">
        <w:rPr>
          <w:rFonts w:ascii="Arial" w:hAnsi="Arial" w:cs="Arial"/>
          <w:sz w:val="24"/>
          <w:szCs w:val="24"/>
        </w:rPr>
        <w:t>Geopolitical Risk Diversification</w:t>
      </w:r>
    </w:p>
    <w:p w14:paraId="0605A881" w14:textId="7EB9FCD8" w:rsidR="00447EF6" w:rsidRPr="00294EC5" w:rsidRDefault="0088597E" w:rsidP="0088597E">
      <w:pPr>
        <w:spacing w:line="360" w:lineRule="auto"/>
        <w:jc w:val="both"/>
        <w:rPr>
          <w:rFonts w:ascii="Arial" w:hAnsi="Arial" w:cs="Arial"/>
          <w:sz w:val="24"/>
          <w:szCs w:val="24"/>
        </w:rPr>
      </w:pPr>
      <w:r w:rsidRPr="00294EC5">
        <w:rPr>
          <w:rFonts w:ascii="Arial" w:hAnsi="Arial" w:cs="Arial"/>
          <w:sz w:val="24"/>
          <w:szCs w:val="24"/>
        </w:rPr>
        <w:t>Given Shangri-La’s vulnerability to geopolitical risks in key markets like China and Hong Kong, the brand should expand its footprint into more politically stable regions. A good example is Hyatt’s strategy of diversifying its global portfolio, reducing its exposure to any single country’s economic shifts. Shangri-La could benefit from a similar risk management approach, spreading its luxury properties across more resilient markets</w:t>
      </w:r>
      <w:r w:rsidR="00BD068E">
        <w:rPr>
          <w:rFonts w:ascii="Arial" w:hAnsi="Arial" w:cs="Arial"/>
          <w:sz w:val="24"/>
          <w:szCs w:val="24"/>
        </w:rPr>
        <w:t>.</w:t>
      </w:r>
    </w:p>
    <w:p w14:paraId="74B39ECD" w14:textId="77777777" w:rsidR="00447EF6" w:rsidRPr="00294EC5" w:rsidRDefault="00447EF6" w:rsidP="0088597E">
      <w:pPr>
        <w:spacing w:line="360" w:lineRule="auto"/>
        <w:jc w:val="both"/>
        <w:rPr>
          <w:rFonts w:ascii="Arial" w:hAnsi="Arial" w:cs="Arial"/>
          <w:sz w:val="24"/>
          <w:szCs w:val="24"/>
        </w:rPr>
      </w:pPr>
    </w:p>
    <w:p w14:paraId="05CE6152" w14:textId="14AE15A4" w:rsidR="00294EC5" w:rsidRPr="00294EC5" w:rsidRDefault="00294EC5" w:rsidP="00294EC5">
      <w:pPr>
        <w:spacing w:line="360" w:lineRule="auto"/>
        <w:jc w:val="both"/>
        <w:rPr>
          <w:rFonts w:ascii="Arial" w:hAnsi="Arial" w:cs="Arial"/>
          <w:sz w:val="24"/>
          <w:szCs w:val="24"/>
        </w:rPr>
      </w:pPr>
      <w:r w:rsidRPr="00294EC5">
        <w:rPr>
          <w:rFonts w:ascii="Arial" w:hAnsi="Arial" w:cs="Arial"/>
          <w:sz w:val="24"/>
          <w:szCs w:val="24"/>
        </w:rPr>
        <w:t>Premier Inn:</w:t>
      </w:r>
    </w:p>
    <w:p w14:paraId="597845A7" w14:textId="77777777" w:rsidR="00294EC5" w:rsidRPr="00294EC5" w:rsidRDefault="00294EC5" w:rsidP="00294EC5">
      <w:pPr>
        <w:spacing w:line="360" w:lineRule="auto"/>
        <w:jc w:val="both"/>
        <w:rPr>
          <w:rFonts w:ascii="Arial" w:hAnsi="Arial" w:cs="Arial"/>
          <w:sz w:val="24"/>
          <w:szCs w:val="24"/>
        </w:rPr>
      </w:pPr>
      <w:r w:rsidRPr="00294EC5">
        <w:rPr>
          <w:rFonts w:ascii="Arial" w:hAnsi="Arial" w:cs="Arial"/>
          <w:sz w:val="24"/>
          <w:szCs w:val="24"/>
        </w:rPr>
        <w:t>Optimize Energy Efficiency and Sustainability Initiatives</w:t>
      </w:r>
    </w:p>
    <w:p w14:paraId="761500B7" w14:textId="77777777" w:rsidR="00294EC5" w:rsidRPr="00294EC5" w:rsidRDefault="00294EC5" w:rsidP="00294EC5">
      <w:pPr>
        <w:spacing w:line="360" w:lineRule="auto"/>
        <w:jc w:val="both"/>
        <w:rPr>
          <w:rFonts w:ascii="Arial" w:hAnsi="Arial" w:cs="Arial"/>
          <w:sz w:val="24"/>
          <w:szCs w:val="24"/>
        </w:rPr>
      </w:pPr>
      <w:r w:rsidRPr="00294EC5">
        <w:rPr>
          <w:rFonts w:ascii="Arial" w:hAnsi="Arial" w:cs="Arial"/>
          <w:sz w:val="24"/>
          <w:szCs w:val="24"/>
        </w:rPr>
        <w:t>Expanding its energy-saving practices, like the use of solar panels and LED lighting, would continue to lower operational costs while aligning with customer expectations for eco-friendly accommodations. Premier Inn’s sustainability initiatives mirror Accor’s energy-efficient models, where substantial cost savings are realized through green technologies. Investing further in these areas can improve both profitability and brand reputation (Jones &amp; Lockwood, 2020).</w:t>
      </w:r>
    </w:p>
    <w:p w14:paraId="1EC95FA6" w14:textId="77777777" w:rsidR="00294EC5" w:rsidRPr="00294EC5" w:rsidRDefault="00294EC5" w:rsidP="00294EC5">
      <w:pPr>
        <w:spacing w:line="360" w:lineRule="auto"/>
        <w:jc w:val="both"/>
        <w:rPr>
          <w:rFonts w:ascii="Arial" w:hAnsi="Arial" w:cs="Arial"/>
          <w:sz w:val="24"/>
          <w:szCs w:val="24"/>
        </w:rPr>
      </w:pPr>
    </w:p>
    <w:p w14:paraId="2E671DD3" w14:textId="77777777" w:rsidR="00294EC5" w:rsidRPr="00294EC5" w:rsidRDefault="00294EC5" w:rsidP="00294EC5">
      <w:pPr>
        <w:spacing w:line="360" w:lineRule="auto"/>
        <w:jc w:val="both"/>
        <w:rPr>
          <w:rFonts w:ascii="Arial" w:hAnsi="Arial" w:cs="Arial"/>
          <w:sz w:val="24"/>
          <w:szCs w:val="24"/>
        </w:rPr>
      </w:pPr>
      <w:r w:rsidRPr="00294EC5">
        <w:rPr>
          <w:rFonts w:ascii="Arial" w:hAnsi="Arial" w:cs="Arial"/>
          <w:sz w:val="24"/>
          <w:szCs w:val="24"/>
        </w:rPr>
        <w:t>Enhance AI-Driven Revenue and Pricing Models</w:t>
      </w:r>
    </w:p>
    <w:p w14:paraId="173936D6" w14:textId="1C336155" w:rsidR="00447EF6" w:rsidRDefault="00294EC5" w:rsidP="0088597E">
      <w:pPr>
        <w:spacing w:line="360" w:lineRule="auto"/>
        <w:jc w:val="both"/>
        <w:rPr>
          <w:rFonts w:ascii="Arial" w:hAnsi="Arial" w:cs="Arial"/>
          <w:sz w:val="24"/>
          <w:szCs w:val="24"/>
        </w:rPr>
      </w:pPr>
      <w:r w:rsidRPr="00294EC5">
        <w:rPr>
          <w:rFonts w:ascii="Arial" w:hAnsi="Arial" w:cs="Arial"/>
          <w:sz w:val="24"/>
          <w:szCs w:val="24"/>
        </w:rPr>
        <w:t>Increasing its use of AI for dynamic pricing and revenue management would optimize Premier Inn’s performance in mature markets. This strategy has proven effective for hotel brands like Marriott, which uses AI to adjust pricing based on demand in real time. Premier Inn can leverage this approach to drive RevPAR growth, particularly in competitive European markets (Barney, 1991).</w:t>
      </w:r>
    </w:p>
    <w:p w14:paraId="023E1385" w14:textId="77777777" w:rsidR="00415BFC" w:rsidRDefault="00415BFC" w:rsidP="0088597E">
      <w:pPr>
        <w:spacing w:line="360" w:lineRule="auto"/>
        <w:jc w:val="both"/>
        <w:rPr>
          <w:rFonts w:ascii="Arial" w:hAnsi="Arial" w:cs="Arial"/>
          <w:sz w:val="24"/>
          <w:szCs w:val="24"/>
        </w:rPr>
      </w:pPr>
    </w:p>
    <w:p w14:paraId="0F681FAD" w14:textId="77777777" w:rsidR="00415BFC" w:rsidRPr="0088597E" w:rsidRDefault="00415BFC" w:rsidP="0088597E">
      <w:pPr>
        <w:spacing w:line="360" w:lineRule="auto"/>
        <w:jc w:val="both"/>
        <w:rPr>
          <w:rFonts w:ascii="Arial" w:hAnsi="Arial" w:cs="Arial"/>
          <w:sz w:val="24"/>
          <w:szCs w:val="24"/>
        </w:rPr>
      </w:pPr>
    </w:p>
    <w:p w14:paraId="1F3BEF6E" w14:textId="77777777" w:rsidR="00447EF6" w:rsidRPr="0088597E" w:rsidRDefault="00447EF6" w:rsidP="0088597E">
      <w:pPr>
        <w:spacing w:line="360" w:lineRule="auto"/>
        <w:jc w:val="both"/>
        <w:rPr>
          <w:rFonts w:ascii="Arial" w:hAnsi="Arial" w:cs="Arial"/>
          <w:b/>
          <w:bCs/>
          <w:sz w:val="24"/>
          <w:szCs w:val="24"/>
        </w:rPr>
      </w:pPr>
      <w:r w:rsidRPr="0088597E">
        <w:rPr>
          <w:rFonts w:ascii="Arial" w:hAnsi="Arial" w:cs="Arial"/>
          <w:b/>
          <w:bCs/>
          <w:sz w:val="24"/>
          <w:szCs w:val="24"/>
        </w:rPr>
        <w:lastRenderedPageBreak/>
        <w:t>References</w:t>
      </w:r>
    </w:p>
    <w:p w14:paraId="595D11A5" w14:textId="77777777" w:rsidR="00447EF6" w:rsidRPr="0088597E" w:rsidRDefault="00447EF6" w:rsidP="0088597E">
      <w:pPr>
        <w:spacing w:line="360" w:lineRule="auto"/>
        <w:jc w:val="both"/>
        <w:rPr>
          <w:rFonts w:ascii="Arial" w:hAnsi="Arial" w:cs="Arial"/>
          <w:sz w:val="24"/>
          <w:szCs w:val="24"/>
        </w:rPr>
      </w:pPr>
    </w:p>
    <w:p w14:paraId="1E0E1E9E" w14:textId="772EBA77"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Ansoff, I. (1957) </w:t>
      </w:r>
      <w:r w:rsidRPr="00294EC5">
        <w:rPr>
          <w:rFonts w:ascii="Arial" w:hAnsi="Arial" w:cs="Arial"/>
          <w:i/>
          <w:iCs/>
          <w:sz w:val="24"/>
          <w:szCs w:val="24"/>
        </w:rPr>
        <w:t>Strategies for diversification</w:t>
      </w:r>
      <w:r w:rsidRPr="0088597E">
        <w:rPr>
          <w:rFonts w:ascii="Arial" w:hAnsi="Arial" w:cs="Arial"/>
          <w:sz w:val="24"/>
          <w:szCs w:val="24"/>
        </w:rPr>
        <w:t>, Harvard Business Review, 35(5), pp. 113-124.</w:t>
      </w:r>
    </w:p>
    <w:p w14:paraId="48C9240B" w14:textId="020A58D4"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Barney, J.B. (1991) Firm resources and sustained competitive advantage, </w:t>
      </w:r>
      <w:r w:rsidRPr="00294EC5">
        <w:rPr>
          <w:rFonts w:ascii="Arial" w:hAnsi="Arial" w:cs="Arial"/>
          <w:i/>
          <w:iCs/>
          <w:sz w:val="24"/>
          <w:szCs w:val="24"/>
        </w:rPr>
        <w:t>Journal of Management</w:t>
      </w:r>
      <w:r w:rsidRPr="0088597E">
        <w:rPr>
          <w:rFonts w:ascii="Arial" w:hAnsi="Arial" w:cs="Arial"/>
          <w:sz w:val="24"/>
          <w:szCs w:val="24"/>
        </w:rPr>
        <w:t>, 17(1), pp. 99-120.</w:t>
      </w:r>
    </w:p>
    <w:p w14:paraId="1587A48A" w14:textId="22EFD0F7"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Deloitte (202</w:t>
      </w:r>
      <w:r w:rsidR="00282584" w:rsidRPr="0088597E">
        <w:rPr>
          <w:rFonts w:ascii="Arial" w:hAnsi="Arial" w:cs="Arial"/>
          <w:sz w:val="24"/>
          <w:szCs w:val="24"/>
        </w:rPr>
        <w:t>3</w:t>
      </w:r>
      <w:r w:rsidRPr="0088597E">
        <w:rPr>
          <w:rFonts w:ascii="Arial" w:hAnsi="Arial" w:cs="Arial"/>
          <w:sz w:val="24"/>
          <w:szCs w:val="24"/>
        </w:rPr>
        <w:t xml:space="preserve">) Hospitality industry outlook: </w:t>
      </w:r>
      <w:r w:rsidR="00282584" w:rsidRPr="00294EC5">
        <w:rPr>
          <w:rFonts w:ascii="Arial" w:hAnsi="Arial" w:cs="Arial"/>
          <w:i/>
          <w:iCs/>
          <w:sz w:val="24"/>
          <w:szCs w:val="24"/>
        </w:rPr>
        <w:t>Time for recovery</w:t>
      </w:r>
      <w:r w:rsidRPr="0088597E">
        <w:rPr>
          <w:rFonts w:ascii="Arial" w:hAnsi="Arial" w:cs="Arial"/>
          <w:sz w:val="24"/>
          <w:szCs w:val="24"/>
        </w:rPr>
        <w:t xml:space="preserve">. Available at: </w:t>
      </w:r>
      <w:r w:rsidR="00282584" w:rsidRPr="0088597E">
        <w:rPr>
          <w:rFonts w:ascii="Arial" w:hAnsi="Arial" w:cs="Arial"/>
          <w:sz w:val="24"/>
          <w:szCs w:val="24"/>
        </w:rPr>
        <w:t>https://www.deloitte.com/uk/en/services/financial-advisory/perspectives/the-hospitality-industry-time-for-recovery.html</w:t>
      </w:r>
      <w:r w:rsidRPr="0088597E">
        <w:rPr>
          <w:rFonts w:ascii="Arial" w:hAnsi="Arial" w:cs="Arial"/>
          <w:sz w:val="24"/>
          <w:szCs w:val="24"/>
        </w:rPr>
        <w:t xml:space="preserve"> (Accessed: </w:t>
      </w:r>
      <w:r w:rsidR="00F7497E" w:rsidRPr="0088597E">
        <w:rPr>
          <w:rFonts w:ascii="Arial" w:hAnsi="Arial" w:cs="Arial"/>
          <w:sz w:val="24"/>
          <w:szCs w:val="24"/>
        </w:rPr>
        <w:t>9</w:t>
      </w:r>
      <w:r w:rsidRPr="0088597E">
        <w:rPr>
          <w:rFonts w:ascii="Arial" w:hAnsi="Arial" w:cs="Arial"/>
          <w:sz w:val="24"/>
          <w:szCs w:val="24"/>
        </w:rPr>
        <w:t xml:space="preserve"> </w:t>
      </w:r>
      <w:r w:rsidR="00F7497E" w:rsidRPr="0088597E">
        <w:rPr>
          <w:rFonts w:ascii="Arial" w:hAnsi="Arial" w:cs="Arial"/>
          <w:sz w:val="24"/>
          <w:szCs w:val="24"/>
        </w:rPr>
        <w:t>October</w:t>
      </w:r>
      <w:r w:rsidRPr="0088597E">
        <w:rPr>
          <w:rFonts w:ascii="Arial" w:hAnsi="Arial" w:cs="Arial"/>
          <w:sz w:val="24"/>
          <w:szCs w:val="24"/>
        </w:rPr>
        <w:t xml:space="preserve"> 202</w:t>
      </w:r>
      <w:r w:rsidR="00F7497E" w:rsidRPr="0088597E">
        <w:rPr>
          <w:rFonts w:ascii="Arial" w:hAnsi="Arial" w:cs="Arial"/>
          <w:sz w:val="24"/>
          <w:szCs w:val="24"/>
        </w:rPr>
        <w:t>4</w:t>
      </w:r>
      <w:r w:rsidRPr="0088597E">
        <w:rPr>
          <w:rFonts w:ascii="Arial" w:hAnsi="Arial" w:cs="Arial"/>
          <w:sz w:val="24"/>
          <w:szCs w:val="24"/>
        </w:rPr>
        <w:t>).</w:t>
      </w:r>
    </w:p>
    <w:p w14:paraId="65512F05" w14:textId="74A7A9D4"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Hill, C.W., Schilling, M.A. and Jones, G.R. (2017) Strategic management: </w:t>
      </w:r>
      <w:r w:rsidRPr="00294EC5">
        <w:rPr>
          <w:rFonts w:ascii="Arial" w:hAnsi="Arial" w:cs="Arial"/>
          <w:i/>
          <w:iCs/>
          <w:sz w:val="24"/>
          <w:szCs w:val="24"/>
        </w:rPr>
        <w:t>Theory and cases</w:t>
      </w:r>
      <w:r w:rsidRPr="0088597E">
        <w:rPr>
          <w:rFonts w:ascii="Arial" w:hAnsi="Arial" w:cs="Arial"/>
          <w:sz w:val="24"/>
          <w:szCs w:val="24"/>
        </w:rPr>
        <w:t>. 12th edn. Cengage Learning.</w:t>
      </w:r>
    </w:p>
    <w:p w14:paraId="0314E57F" w14:textId="682DB43B"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Hemmington, N. (2021) AI and dynamic pricing in the hotel industry: </w:t>
      </w:r>
      <w:r w:rsidRPr="00294EC5">
        <w:rPr>
          <w:rFonts w:ascii="Arial" w:hAnsi="Arial" w:cs="Arial"/>
          <w:i/>
          <w:iCs/>
          <w:sz w:val="24"/>
          <w:szCs w:val="24"/>
        </w:rPr>
        <w:t>Opportunities for growth</w:t>
      </w:r>
      <w:r w:rsidRPr="0088597E">
        <w:rPr>
          <w:rFonts w:ascii="Arial" w:hAnsi="Arial" w:cs="Arial"/>
          <w:sz w:val="24"/>
          <w:szCs w:val="24"/>
        </w:rPr>
        <w:t>, Journal of Hospitality Management, 15(3), pp. 45-61.</w:t>
      </w:r>
    </w:p>
    <w:p w14:paraId="610DFBE1" w14:textId="048E8948"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Johnson, G., Scholes, K. and Whittington, R. (2017) </w:t>
      </w:r>
      <w:r w:rsidRPr="00294EC5">
        <w:rPr>
          <w:rFonts w:ascii="Arial" w:hAnsi="Arial" w:cs="Arial"/>
          <w:i/>
          <w:iCs/>
          <w:sz w:val="24"/>
          <w:szCs w:val="24"/>
        </w:rPr>
        <w:t>Exploring corporate strategy</w:t>
      </w:r>
      <w:r w:rsidRPr="0088597E">
        <w:rPr>
          <w:rFonts w:ascii="Arial" w:hAnsi="Arial" w:cs="Arial"/>
          <w:sz w:val="24"/>
          <w:szCs w:val="24"/>
        </w:rPr>
        <w:t>. 10th edn. Harlow: Pearson Education.</w:t>
      </w:r>
    </w:p>
    <w:p w14:paraId="2FA621E5" w14:textId="522880CF"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Jones, P. and Lockwood, A. (2020) Sustainability in the budget hotel sector: </w:t>
      </w:r>
      <w:r w:rsidRPr="00294EC5">
        <w:rPr>
          <w:rFonts w:ascii="Arial" w:hAnsi="Arial" w:cs="Arial"/>
          <w:i/>
          <w:iCs/>
          <w:sz w:val="24"/>
          <w:szCs w:val="24"/>
        </w:rPr>
        <w:t>A comparative analysis</w:t>
      </w:r>
      <w:r w:rsidRPr="0088597E">
        <w:rPr>
          <w:rFonts w:ascii="Arial" w:hAnsi="Arial" w:cs="Arial"/>
          <w:sz w:val="24"/>
          <w:szCs w:val="24"/>
        </w:rPr>
        <w:t>, International Journal of Hospitality and Tourism Management, 18(2), pp. 33-48.</w:t>
      </w:r>
    </w:p>
    <w:p w14:paraId="2A8D8A83" w14:textId="40E5E0DE"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KPMG (2022) Hospitality report 2022: Key trends. Available at: </w:t>
      </w:r>
      <w:r w:rsidR="00F7497E" w:rsidRPr="0088597E">
        <w:rPr>
          <w:rFonts w:ascii="Arial" w:hAnsi="Arial" w:cs="Arial"/>
          <w:sz w:val="24"/>
          <w:szCs w:val="24"/>
        </w:rPr>
        <w:t>https://assets.kpmg.com/content/dam/kpmg/ae/pdf-2023/01/Dubai-Hospitality-report-2022.pdf</w:t>
      </w:r>
      <w:r w:rsidR="00F7497E" w:rsidRPr="0088597E">
        <w:rPr>
          <w:rFonts w:ascii="Arial" w:hAnsi="Arial" w:cs="Arial"/>
          <w:sz w:val="24"/>
          <w:szCs w:val="24"/>
        </w:rPr>
        <w:t xml:space="preserve">  </w:t>
      </w:r>
      <w:r w:rsidRPr="0088597E">
        <w:rPr>
          <w:rFonts w:ascii="Arial" w:hAnsi="Arial" w:cs="Arial"/>
          <w:sz w:val="24"/>
          <w:szCs w:val="24"/>
        </w:rPr>
        <w:t>(</w:t>
      </w:r>
      <w:r w:rsidR="00F7497E" w:rsidRPr="0088597E">
        <w:rPr>
          <w:rFonts w:ascii="Arial" w:hAnsi="Arial" w:cs="Arial"/>
          <w:sz w:val="24"/>
          <w:szCs w:val="24"/>
        </w:rPr>
        <w:t xml:space="preserve">Accessed: </w:t>
      </w:r>
      <w:r w:rsidR="003D7F19">
        <w:rPr>
          <w:rFonts w:ascii="Arial" w:hAnsi="Arial" w:cs="Arial"/>
          <w:sz w:val="24"/>
          <w:szCs w:val="24"/>
        </w:rPr>
        <w:t>9</w:t>
      </w:r>
      <w:r w:rsidR="00F7497E" w:rsidRPr="0088597E">
        <w:rPr>
          <w:rFonts w:ascii="Arial" w:hAnsi="Arial" w:cs="Arial"/>
          <w:sz w:val="24"/>
          <w:szCs w:val="24"/>
        </w:rPr>
        <w:t xml:space="preserve"> October 2024</w:t>
      </w:r>
      <w:r w:rsidRPr="0088597E">
        <w:rPr>
          <w:rFonts w:ascii="Arial" w:hAnsi="Arial" w:cs="Arial"/>
          <w:sz w:val="24"/>
          <w:szCs w:val="24"/>
        </w:rPr>
        <w:t>).</w:t>
      </w:r>
    </w:p>
    <w:p w14:paraId="21FC4701" w14:textId="00A9DC49"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Porter, M.E. (1980) Competitive strategy: </w:t>
      </w:r>
      <w:r w:rsidRPr="00294EC5">
        <w:rPr>
          <w:rFonts w:ascii="Arial" w:hAnsi="Arial" w:cs="Arial"/>
          <w:i/>
          <w:iCs/>
          <w:sz w:val="24"/>
          <w:szCs w:val="24"/>
        </w:rPr>
        <w:t>Techniques for analysing industries and competitors</w:t>
      </w:r>
      <w:r w:rsidRPr="0088597E">
        <w:rPr>
          <w:rFonts w:ascii="Arial" w:hAnsi="Arial" w:cs="Arial"/>
          <w:sz w:val="24"/>
          <w:szCs w:val="24"/>
        </w:rPr>
        <w:t>. New York: Free Press.</w:t>
      </w:r>
    </w:p>
    <w:p w14:paraId="407E12EA" w14:textId="1C8C5119"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Porter, M.E. and Kramer, M.R. (2006) Strategy and society: </w:t>
      </w:r>
      <w:r w:rsidRPr="00294EC5">
        <w:rPr>
          <w:rFonts w:ascii="Arial" w:hAnsi="Arial" w:cs="Arial"/>
          <w:i/>
          <w:iCs/>
          <w:sz w:val="24"/>
          <w:szCs w:val="24"/>
        </w:rPr>
        <w:t>The link between competitive advantage and corporate social responsibility</w:t>
      </w:r>
      <w:r w:rsidRPr="0088597E">
        <w:rPr>
          <w:rFonts w:ascii="Arial" w:hAnsi="Arial" w:cs="Arial"/>
          <w:sz w:val="24"/>
          <w:szCs w:val="24"/>
        </w:rPr>
        <w:t>, Harvard Business Review, 84(12), pp. 78-92.</w:t>
      </w:r>
    </w:p>
    <w:p w14:paraId="3C63BCD5" w14:textId="02A39713"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Shangri-La (2018) </w:t>
      </w:r>
      <w:r w:rsidRPr="005A46F0">
        <w:rPr>
          <w:rFonts w:ascii="Arial" w:hAnsi="Arial" w:cs="Arial"/>
          <w:i/>
          <w:iCs/>
          <w:sz w:val="24"/>
          <w:szCs w:val="24"/>
        </w:rPr>
        <w:t>Annual report 2018</w:t>
      </w:r>
      <w:r w:rsidRPr="0088597E">
        <w:rPr>
          <w:rFonts w:ascii="Arial" w:hAnsi="Arial" w:cs="Arial"/>
          <w:sz w:val="24"/>
          <w:szCs w:val="24"/>
        </w:rPr>
        <w:t>. Available at:</w:t>
      </w:r>
      <w:r w:rsidR="00F7497E" w:rsidRPr="0088597E">
        <w:rPr>
          <w:rFonts w:ascii="Arial" w:hAnsi="Arial" w:cs="Arial"/>
          <w:sz w:val="24"/>
          <w:szCs w:val="24"/>
        </w:rPr>
        <w:t xml:space="preserve"> </w:t>
      </w:r>
      <w:hyperlink r:id="rId6" w:history="1">
        <w:r w:rsidR="00F7497E" w:rsidRPr="0088597E">
          <w:rPr>
            <w:rStyle w:val="Hyperlink"/>
            <w:rFonts w:ascii="Arial" w:hAnsi="Arial" w:cs="Arial"/>
            <w:sz w:val="24"/>
            <w:szCs w:val="24"/>
          </w:rPr>
          <w:t>https://sitecore-cd.shangri-la.com/-/media/Project/Shangri-La-Group/Investor/Files/Public-Disclosures/Financial-Information/Financial-Reports/2018_Annual_Report.pdf</w:t>
        </w:r>
      </w:hyperlink>
      <w:r w:rsidR="00F7497E"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6F3E6830" w14:textId="6DC71D3B"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lastRenderedPageBreak/>
        <w:t xml:space="preserve">Shangri-La (2019) </w:t>
      </w:r>
      <w:r w:rsidRPr="005A46F0">
        <w:rPr>
          <w:rFonts w:ascii="Arial" w:hAnsi="Arial" w:cs="Arial"/>
          <w:i/>
          <w:iCs/>
          <w:sz w:val="24"/>
          <w:szCs w:val="24"/>
        </w:rPr>
        <w:t>Annual report 2019</w:t>
      </w:r>
      <w:r w:rsidRPr="0088597E">
        <w:rPr>
          <w:rFonts w:ascii="Arial" w:hAnsi="Arial" w:cs="Arial"/>
          <w:sz w:val="24"/>
          <w:szCs w:val="24"/>
        </w:rPr>
        <w:t xml:space="preserve">. Available at: </w:t>
      </w:r>
      <w:hyperlink r:id="rId7" w:history="1">
        <w:r w:rsidR="00916C71" w:rsidRPr="0088597E">
          <w:rPr>
            <w:rStyle w:val="Hyperlink"/>
            <w:rFonts w:ascii="Arial" w:hAnsi="Arial" w:cs="Arial"/>
            <w:sz w:val="24"/>
            <w:szCs w:val="24"/>
          </w:rPr>
          <w:t>https://sitecore-cd.shangri-la.com/-/media/Project/Shangri-La-Group/Investor/Files/Public-Disclosures/Financial-Information/Financial-Reports/2019Annual-Report-Eng.pdf</w:t>
        </w:r>
      </w:hyperlink>
      <w:r w:rsidR="00916C71" w:rsidRPr="0088597E">
        <w:rPr>
          <w:rFonts w:ascii="Arial" w:hAnsi="Arial" w:cs="Arial"/>
          <w:sz w:val="24"/>
          <w:szCs w:val="24"/>
        </w:rPr>
        <w:t xml:space="preserve"> </w:t>
      </w:r>
      <w:r w:rsidRPr="0088597E">
        <w:rPr>
          <w:rFonts w:ascii="Arial" w:hAnsi="Arial" w:cs="Arial"/>
          <w:sz w:val="24"/>
          <w:szCs w:val="24"/>
        </w:rPr>
        <w:t xml:space="preserve">(Accessed: </w:t>
      </w:r>
      <w:r w:rsidR="003D7F19">
        <w:rPr>
          <w:rFonts w:ascii="Arial" w:hAnsi="Arial" w:cs="Arial"/>
          <w:sz w:val="24"/>
          <w:szCs w:val="24"/>
        </w:rPr>
        <w:t>4</w:t>
      </w:r>
      <w:r w:rsidRPr="0088597E">
        <w:rPr>
          <w:rFonts w:ascii="Arial" w:hAnsi="Arial" w:cs="Arial"/>
          <w:sz w:val="24"/>
          <w:szCs w:val="24"/>
        </w:rPr>
        <w:t xml:space="preserve"> October 2024).</w:t>
      </w:r>
    </w:p>
    <w:p w14:paraId="6F6CC9A8" w14:textId="6C776BC5"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Shangri-La (2020) </w:t>
      </w:r>
      <w:r w:rsidRPr="005A46F0">
        <w:rPr>
          <w:rFonts w:ascii="Arial" w:hAnsi="Arial" w:cs="Arial"/>
          <w:i/>
          <w:iCs/>
          <w:sz w:val="24"/>
          <w:szCs w:val="24"/>
        </w:rPr>
        <w:t>Annual report 2020</w:t>
      </w:r>
      <w:r w:rsidRPr="0088597E">
        <w:rPr>
          <w:rFonts w:ascii="Arial" w:hAnsi="Arial" w:cs="Arial"/>
          <w:sz w:val="24"/>
          <w:szCs w:val="24"/>
        </w:rPr>
        <w:t xml:space="preserve">. Available at: </w:t>
      </w:r>
      <w:hyperlink r:id="rId8" w:history="1">
        <w:r w:rsidR="00916C71" w:rsidRPr="0088597E">
          <w:rPr>
            <w:rStyle w:val="Hyperlink"/>
            <w:rFonts w:ascii="Arial" w:hAnsi="Arial" w:cs="Arial"/>
            <w:sz w:val="24"/>
            <w:szCs w:val="24"/>
          </w:rPr>
          <w:t>https://sitecore-cd.shangri-la.com/-/media/Project/Shangri-La-Group/Investor/Files/Public-Disclosures/Announcements-and-Circulars/2021/2021-04-26-AR_E.pdf</w:t>
        </w:r>
      </w:hyperlink>
      <w:r w:rsidR="00916C71"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637CFB7B" w14:textId="43FEBD05"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Shangri-La (2021) </w:t>
      </w:r>
      <w:r w:rsidRPr="005A46F0">
        <w:rPr>
          <w:rFonts w:ascii="Arial" w:hAnsi="Arial" w:cs="Arial"/>
          <w:i/>
          <w:iCs/>
          <w:sz w:val="24"/>
          <w:szCs w:val="24"/>
        </w:rPr>
        <w:t>Annual report 2021</w:t>
      </w:r>
      <w:r w:rsidRPr="0088597E">
        <w:rPr>
          <w:rFonts w:ascii="Arial" w:hAnsi="Arial" w:cs="Arial"/>
          <w:sz w:val="24"/>
          <w:szCs w:val="24"/>
        </w:rPr>
        <w:t xml:space="preserve">. Available at: </w:t>
      </w:r>
      <w:hyperlink r:id="rId9" w:history="1">
        <w:r w:rsidR="00A54F82" w:rsidRPr="0088597E">
          <w:rPr>
            <w:rStyle w:val="Hyperlink"/>
            <w:rFonts w:ascii="Arial" w:hAnsi="Arial" w:cs="Arial"/>
            <w:sz w:val="24"/>
            <w:szCs w:val="24"/>
          </w:rPr>
          <w:t>https://sitecore-cd.shangri-la.com/-/media/Project/Shangri-La-Group/Investor/Files/Public-Disclosures/Latest-Top-Publications/2021_Annual-Report_E.pdf</w:t>
        </w:r>
      </w:hyperlink>
      <w:r w:rsidR="00A54F82" w:rsidRPr="0088597E">
        <w:rPr>
          <w:rFonts w:ascii="Arial" w:hAnsi="Arial" w:cs="Arial"/>
          <w:sz w:val="24"/>
          <w:szCs w:val="24"/>
        </w:rPr>
        <w:t xml:space="preserve"> </w:t>
      </w:r>
      <w:r w:rsidRPr="0088597E">
        <w:rPr>
          <w:rFonts w:ascii="Arial" w:hAnsi="Arial" w:cs="Arial"/>
          <w:sz w:val="24"/>
          <w:szCs w:val="24"/>
        </w:rPr>
        <w:t xml:space="preserve"> (</w:t>
      </w:r>
      <w:r w:rsidR="00F7497E" w:rsidRPr="0088597E">
        <w:rPr>
          <w:rFonts w:ascii="Arial" w:hAnsi="Arial" w:cs="Arial"/>
          <w:sz w:val="24"/>
          <w:szCs w:val="24"/>
        </w:rPr>
        <w:t xml:space="preserve">Accessed: </w:t>
      </w:r>
      <w:r w:rsidR="003D7F19">
        <w:rPr>
          <w:rFonts w:ascii="Arial" w:hAnsi="Arial" w:cs="Arial"/>
          <w:sz w:val="24"/>
          <w:szCs w:val="24"/>
        </w:rPr>
        <w:t>4</w:t>
      </w:r>
      <w:r w:rsidR="00F7497E" w:rsidRPr="0088597E">
        <w:rPr>
          <w:rFonts w:ascii="Arial" w:hAnsi="Arial" w:cs="Arial"/>
          <w:sz w:val="24"/>
          <w:szCs w:val="24"/>
        </w:rPr>
        <w:t xml:space="preserve"> October 2024</w:t>
      </w:r>
      <w:r w:rsidRPr="0088597E">
        <w:rPr>
          <w:rFonts w:ascii="Arial" w:hAnsi="Arial" w:cs="Arial"/>
          <w:sz w:val="24"/>
          <w:szCs w:val="24"/>
        </w:rPr>
        <w:t>).</w:t>
      </w:r>
    </w:p>
    <w:p w14:paraId="6F95DF53" w14:textId="683EC643" w:rsidR="00A54F82" w:rsidRPr="0088597E" w:rsidRDefault="00A54F82" w:rsidP="0088597E">
      <w:pPr>
        <w:spacing w:line="360" w:lineRule="auto"/>
        <w:jc w:val="both"/>
        <w:rPr>
          <w:rFonts w:ascii="Arial" w:hAnsi="Arial" w:cs="Arial"/>
          <w:sz w:val="24"/>
          <w:szCs w:val="24"/>
        </w:rPr>
      </w:pPr>
      <w:r w:rsidRPr="0088597E">
        <w:rPr>
          <w:rFonts w:ascii="Arial" w:hAnsi="Arial" w:cs="Arial"/>
          <w:sz w:val="24"/>
          <w:szCs w:val="24"/>
        </w:rPr>
        <w:t>Shangri-La (202</w:t>
      </w:r>
      <w:r w:rsidRPr="0088597E">
        <w:rPr>
          <w:rFonts w:ascii="Arial" w:hAnsi="Arial" w:cs="Arial"/>
          <w:sz w:val="24"/>
          <w:szCs w:val="24"/>
        </w:rPr>
        <w:t>2</w:t>
      </w:r>
      <w:r w:rsidRPr="0088597E">
        <w:rPr>
          <w:rFonts w:ascii="Arial" w:hAnsi="Arial" w:cs="Arial"/>
          <w:sz w:val="24"/>
          <w:szCs w:val="24"/>
        </w:rPr>
        <w:t xml:space="preserve">) </w:t>
      </w:r>
      <w:r w:rsidRPr="005A46F0">
        <w:rPr>
          <w:rFonts w:ascii="Arial" w:hAnsi="Arial" w:cs="Arial"/>
          <w:i/>
          <w:iCs/>
          <w:sz w:val="24"/>
          <w:szCs w:val="24"/>
        </w:rPr>
        <w:t>Annual report 202</w:t>
      </w:r>
      <w:r w:rsidR="005A46F0" w:rsidRPr="005A46F0">
        <w:rPr>
          <w:rFonts w:ascii="Arial" w:hAnsi="Arial" w:cs="Arial"/>
          <w:i/>
          <w:iCs/>
          <w:sz w:val="24"/>
          <w:szCs w:val="24"/>
        </w:rPr>
        <w:t>2</w:t>
      </w:r>
      <w:r w:rsidRPr="0088597E">
        <w:rPr>
          <w:rFonts w:ascii="Arial" w:hAnsi="Arial" w:cs="Arial"/>
          <w:sz w:val="24"/>
          <w:szCs w:val="24"/>
        </w:rPr>
        <w:t xml:space="preserve">. Available at: </w:t>
      </w:r>
      <w:hyperlink r:id="rId10" w:history="1">
        <w:r w:rsidRPr="0088597E">
          <w:rPr>
            <w:rStyle w:val="Hyperlink"/>
            <w:rFonts w:ascii="Arial" w:hAnsi="Arial" w:cs="Arial"/>
            <w:sz w:val="24"/>
            <w:szCs w:val="24"/>
          </w:rPr>
          <w:t>https://sitecore-cd.shangri-la.com/-/media/Project/Shangri-La-Group/Investor/Files/Public-Disclosures/Latest-Top-Publications/e0069_230418_AR.pdf</w:t>
        </w:r>
      </w:hyperlink>
      <w:r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42FFB172" w14:textId="3FECC30F"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Shangri-La (2023) </w:t>
      </w:r>
      <w:r w:rsidRPr="005A46F0">
        <w:rPr>
          <w:rFonts w:ascii="Arial" w:hAnsi="Arial" w:cs="Arial"/>
          <w:i/>
          <w:iCs/>
          <w:sz w:val="24"/>
          <w:szCs w:val="24"/>
        </w:rPr>
        <w:t>Annual report 2023</w:t>
      </w:r>
      <w:r w:rsidRPr="0088597E">
        <w:rPr>
          <w:rFonts w:ascii="Arial" w:hAnsi="Arial" w:cs="Arial"/>
          <w:sz w:val="24"/>
          <w:szCs w:val="24"/>
        </w:rPr>
        <w:t xml:space="preserve">. Available at: </w:t>
      </w:r>
      <w:hyperlink r:id="rId11" w:history="1">
        <w:r w:rsidR="00A54F82" w:rsidRPr="0088597E">
          <w:rPr>
            <w:rStyle w:val="Hyperlink"/>
            <w:rFonts w:ascii="Arial" w:hAnsi="Arial" w:cs="Arial"/>
            <w:sz w:val="24"/>
            <w:szCs w:val="24"/>
          </w:rPr>
          <w:t>https://sitecore-cd.shangri-la.com/-/media/Project/Shangri-La-Group/Investor/Files/Public-Disclosures/Latest-Top-Publications/2023_Annual_Report_E.pdf</w:t>
        </w:r>
      </w:hyperlink>
      <w:r w:rsidR="00A54F82" w:rsidRPr="0088597E">
        <w:rPr>
          <w:rFonts w:ascii="Arial" w:hAnsi="Arial" w:cs="Arial"/>
          <w:sz w:val="24"/>
          <w:szCs w:val="24"/>
        </w:rPr>
        <w:t xml:space="preserve"> </w:t>
      </w:r>
      <w:r w:rsidRPr="0088597E">
        <w:rPr>
          <w:rFonts w:ascii="Arial" w:hAnsi="Arial" w:cs="Arial"/>
          <w:sz w:val="24"/>
          <w:szCs w:val="24"/>
        </w:rPr>
        <w:t xml:space="preserve"> (</w:t>
      </w:r>
      <w:r w:rsidR="00F7497E" w:rsidRPr="0088597E">
        <w:rPr>
          <w:rFonts w:ascii="Arial" w:hAnsi="Arial" w:cs="Arial"/>
          <w:sz w:val="24"/>
          <w:szCs w:val="24"/>
        </w:rPr>
        <w:t xml:space="preserve">Accessed: </w:t>
      </w:r>
      <w:r w:rsidR="003D7F19">
        <w:rPr>
          <w:rFonts w:ascii="Arial" w:hAnsi="Arial" w:cs="Arial"/>
          <w:sz w:val="24"/>
          <w:szCs w:val="24"/>
        </w:rPr>
        <w:t>4</w:t>
      </w:r>
      <w:r w:rsidR="00F7497E" w:rsidRPr="0088597E">
        <w:rPr>
          <w:rFonts w:ascii="Arial" w:hAnsi="Arial" w:cs="Arial"/>
          <w:sz w:val="24"/>
          <w:szCs w:val="24"/>
        </w:rPr>
        <w:t xml:space="preserve"> October 2024</w:t>
      </w:r>
      <w:r w:rsidRPr="0088597E">
        <w:rPr>
          <w:rFonts w:ascii="Arial" w:hAnsi="Arial" w:cs="Arial"/>
          <w:sz w:val="24"/>
          <w:szCs w:val="24"/>
        </w:rPr>
        <w:t>).</w:t>
      </w:r>
    </w:p>
    <w:p w14:paraId="5494CA28" w14:textId="288D6864"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Strategy Story (2023) Shangri-La hotels SWOT analysis, </w:t>
      </w:r>
      <w:r w:rsidRPr="00294EC5">
        <w:rPr>
          <w:rFonts w:ascii="Arial" w:hAnsi="Arial" w:cs="Arial"/>
          <w:i/>
          <w:iCs/>
          <w:sz w:val="24"/>
          <w:szCs w:val="24"/>
        </w:rPr>
        <w:t>The Strategy Story</w:t>
      </w:r>
      <w:r w:rsidRPr="0088597E">
        <w:rPr>
          <w:rFonts w:ascii="Arial" w:hAnsi="Arial" w:cs="Arial"/>
          <w:sz w:val="24"/>
          <w:szCs w:val="24"/>
        </w:rPr>
        <w:t xml:space="preserve">. Available at: </w:t>
      </w:r>
      <w:r w:rsidR="00A54F82" w:rsidRPr="0088597E">
        <w:rPr>
          <w:rFonts w:ascii="Arial" w:hAnsi="Arial" w:cs="Arial"/>
          <w:sz w:val="24"/>
          <w:szCs w:val="24"/>
        </w:rPr>
        <w:t>https://thestrategystory.com/blog/shangri-la-hotels-swot-analysis/</w:t>
      </w:r>
      <w:r w:rsidR="00A54F82" w:rsidRPr="0088597E">
        <w:rPr>
          <w:rFonts w:ascii="Arial" w:hAnsi="Arial" w:cs="Arial"/>
          <w:sz w:val="24"/>
          <w:szCs w:val="24"/>
        </w:rPr>
        <w:t xml:space="preserve"> </w:t>
      </w:r>
      <w:r w:rsidRPr="0088597E">
        <w:rPr>
          <w:rFonts w:ascii="Arial" w:hAnsi="Arial" w:cs="Arial"/>
          <w:sz w:val="24"/>
          <w:szCs w:val="24"/>
        </w:rPr>
        <w:t>(</w:t>
      </w:r>
      <w:r w:rsidR="00F7497E" w:rsidRPr="0088597E">
        <w:rPr>
          <w:rFonts w:ascii="Arial" w:hAnsi="Arial" w:cs="Arial"/>
          <w:sz w:val="24"/>
          <w:szCs w:val="24"/>
        </w:rPr>
        <w:t xml:space="preserve">Accessed: </w:t>
      </w:r>
      <w:r w:rsidR="003D7F19">
        <w:rPr>
          <w:rFonts w:ascii="Arial" w:hAnsi="Arial" w:cs="Arial"/>
          <w:sz w:val="24"/>
          <w:szCs w:val="24"/>
        </w:rPr>
        <w:t>8</w:t>
      </w:r>
      <w:r w:rsidR="00F7497E" w:rsidRPr="0088597E">
        <w:rPr>
          <w:rFonts w:ascii="Arial" w:hAnsi="Arial" w:cs="Arial"/>
          <w:sz w:val="24"/>
          <w:szCs w:val="24"/>
        </w:rPr>
        <w:t xml:space="preserve"> October 2024</w:t>
      </w:r>
      <w:r w:rsidRPr="0088597E">
        <w:rPr>
          <w:rFonts w:ascii="Arial" w:hAnsi="Arial" w:cs="Arial"/>
          <w:sz w:val="24"/>
          <w:szCs w:val="24"/>
        </w:rPr>
        <w:t>).</w:t>
      </w:r>
    </w:p>
    <w:p w14:paraId="36EF298D" w14:textId="65B063C4"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Whitbread (2018) </w:t>
      </w:r>
      <w:r w:rsidRPr="005A46F0">
        <w:rPr>
          <w:rFonts w:ascii="Arial" w:hAnsi="Arial" w:cs="Arial"/>
          <w:i/>
          <w:iCs/>
          <w:sz w:val="24"/>
          <w:szCs w:val="24"/>
        </w:rPr>
        <w:t>Premier Inn annual report 2018</w:t>
      </w:r>
      <w:r w:rsidRPr="0088597E">
        <w:rPr>
          <w:rFonts w:ascii="Arial" w:hAnsi="Arial" w:cs="Arial"/>
          <w:sz w:val="24"/>
          <w:szCs w:val="24"/>
        </w:rPr>
        <w:t xml:space="preserve">. Available at: </w:t>
      </w:r>
      <w:hyperlink r:id="rId12" w:history="1">
        <w:r w:rsidR="00A54F82" w:rsidRPr="0088597E">
          <w:rPr>
            <w:rStyle w:val="Hyperlink"/>
            <w:rFonts w:ascii="Arial" w:hAnsi="Arial" w:cs="Arial"/>
            <w:sz w:val="24"/>
            <w:szCs w:val="24"/>
          </w:rPr>
          <w:t>https://www.annualreports.com/HostedData/AnnualReportArchive/w/LSE_WTB_2018.pdf</w:t>
        </w:r>
      </w:hyperlink>
      <w:r w:rsidR="00A54F82"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4CCF4ACF" w14:textId="3A0D65F5"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Whitbread (2019) </w:t>
      </w:r>
      <w:r w:rsidRPr="005A46F0">
        <w:rPr>
          <w:rFonts w:ascii="Arial" w:hAnsi="Arial" w:cs="Arial"/>
          <w:i/>
          <w:iCs/>
          <w:sz w:val="24"/>
          <w:szCs w:val="24"/>
        </w:rPr>
        <w:t>Premier Inn annual report 2019</w:t>
      </w:r>
      <w:r w:rsidRPr="0088597E">
        <w:rPr>
          <w:rFonts w:ascii="Arial" w:hAnsi="Arial" w:cs="Arial"/>
          <w:sz w:val="24"/>
          <w:szCs w:val="24"/>
        </w:rPr>
        <w:t xml:space="preserve">. Available at: </w:t>
      </w:r>
      <w:hyperlink r:id="rId13" w:history="1">
        <w:r w:rsidR="00A54F82" w:rsidRPr="0088597E">
          <w:rPr>
            <w:rStyle w:val="Hyperlink"/>
            <w:rFonts w:ascii="Arial" w:hAnsi="Arial" w:cs="Arial"/>
            <w:sz w:val="24"/>
            <w:szCs w:val="24"/>
          </w:rPr>
          <w:t>https://www.annualreports.com/HostedData/AnnualReportArchive/w/LSE_WTB_2019.pdf</w:t>
        </w:r>
      </w:hyperlink>
      <w:r w:rsidR="00A54F82"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0E21CFCA" w14:textId="29F7D3FD"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Whitbread (2020) </w:t>
      </w:r>
      <w:r w:rsidRPr="005A46F0">
        <w:rPr>
          <w:rFonts w:ascii="Arial" w:hAnsi="Arial" w:cs="Arial"/>
          <w:i/>
          <w:iCs/>
          <w:sz w:val="24"/>
          <w:szCs w:val="24"/>
        </w:rPr>
        <w:t>Premier Inn annual report 2020</w:t>
      </w:r>
      <w:r w:rsidRPr="0088597E">
        <w:rPr>
          <w:rFonts w:ascii="Arial" w:hAnsi="Arial" w:cs="Arial"/>
          <w:sz w:val="24"/>
          <w:szCs w:val="24"/>
        </w:rPr>
        <w:t xml:space="preserve">. Available at: </w:t>
      </w:r>
      <w:hyperlink r:id="rId14" w:history="1">
        <w:r w:rsidR="00A54F82" w:rsidRPr="0088597E">
          <w:rPr>
            <w:rStyle w:val="Hyperlink"/>
            <w:rFonts w:ascii="Arial" w:hAnsi="Arial" w:cs="Arial"/>
            <w:sz w:val="24"/>
            <w:szCs w:val="24"/>
          </w:rPr>
          <w:t>https://www.annualreports.com/HostedData/AnnualReportArchive/w/LSE_WTB_2020.pdf</w:t>
        </w:r>
      </w:hyperlink>
      <w:r w:rsidR="00A54F82"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264F7839" w14:textId="21B65023" w:rsidR="00A54F82" w:rsidRPr="0088597E" w:rsidRDefault="00A54F82" w:rsidP="0088597E">
      <w:pPr>
        <w:spacing w:line="360" w:lineRule="auto"/>
        <w:jc w:val="both"/>
        <w:rPr>
          <w:rFonts w:ascii="Arial" w:hAnsi="Arial" w:cs="Arial"/>
          <w:sz w:val="24"/>
          <w:szCs w:val="24"/>
        </w:rPr>
      </w:pPr>
      <w:r w:rsidRPr="0088597E">
        <w:rPr>
          <w:rFonts w:ascii="Arial" w:hAnsi="Arial" w:cs="Arial"/>
          <w:sz w:val="24"/>
          <w:szCs w:val="24"/>
        </w:rPr>
        <w:lastRenderedPageBreak/>
        <w:t>Whitbread (202</w:t>
      </w:r>
      <w:r w:rsidRPr="0088597E">
        <w:rPr>
          <w:rFonts w:ascii="Arial" w:hAnsi="Arial" w:cs="Arial"/>
          <w:sz w:val="24"/>
          <w:szCs w:val="24"/>
        </w:rPr>
        <w:t>1</w:t>
      </w:r>
      <w:r w:rsidRPr="0088597E">
        <w:rPr>
          <w:rFonts w:ascii="Arial" w:hAnsi="Arial" w:cs="Arial"/>
          <w:sz w:val="24"/>
          <w:szCs w:val="24"/>
        </w:rPr>
        <w:t xml:space="preserve">) </w:t>
      </w:r>
      <w:r w:rsidRPr="005A46F0">
        <w:rPr>
          <w:rFonts w:ascii="Arial" w:hAnsi="Arial" w:cs="Arial"/>
          <w:i/>
          <w:iCs/>
          <w:sz w:val="24"/>
          <w:szCs w:val="24"/>
        </w:rPr>
        <w:t>Premier Inn annual report 202</w:t>
      </w:r>
      <w:r w:rsidR="005A46F0" w:rsidRPr="005A46F0">
        <w:rPr>
          <w:rFonts w:ascii="Arial" w:hAnsi="Arial" w:cs="Arial"/>
          <w:i/>
          <w:iCs/>
          <w:sz w:val="24"/>
          <w:szCs w:val="24"/>
        </w:rPr>
        <w:t>1</w:t>
      </w:r>
      <w:r w:rsidRPr="0088597E">
        <w:rPr>
          <w:rFonts w:ascii="Arial" w:hAnsi="Arial" w:cs="Arial"/>
          <w:sz w:val="24"/>
          <w:szCs w:val="24"/>
        </w:rPr>
        <w:t xml:space="preserve">. Available at: </w:t>
      </w:r>
      <w:hyperlink r:id="rId15" w:history="1">
        <w:r w:rsidR="007C39E8" w:rsidRPr="0088597E">
          <w:rPr>
            <w:rStyle w:val="Hyperlink"/>
            <w:rFonts w:ascii="Arial" w:hAnsi="Arial" w:cs="Arial"/>
            <w:sz w:val="24"/>
            <w:szCs w:val="24"/>
          </w:rPr>
          <w:t>https://www.annualreports.com/HostedData/AnnualReportArchive/w/LSE_WTB_2021.pdf</w:t>
        </w:r>
      </w:hyperlink>
      <w:r w:rsidR="007C39E8"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57E1C0A6" w14:textId="00CCA27C"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Whitbread (2022) </w:t>
      </w:r>
      <w:r w:rsidRPr="005A46F0">
        <w:rPr>
          <w:rFonts w:ascii="Arial" w:hAnsi="Arial" w:cs="Arial"/>
          <w:i/>
          <w:iCs/>
          <w:sz w:val="24"/>
          <w:szCs w:val="24"/>
        </w:rPr>
        <w:t>Premier Inn annual report 2022</w:t>
      </w:r>
      <w:r w:rsidRPr="0088597E">
        <w:rPr>
          <w:rFonts w:ascii="Arial" w:hAnsi="Arial" w:cs="Arial"/>
          <w:sz w:val="24"/>
          <w:szCs w:val="24"/>
        </w:rPr>
        <w:t xml:space="preserve">. Available at: </w:t>
      </w:r>
      <w:hyperlink r:id="rId16" w:history="1">
        <w:r w:rsidR="007C39E8" w:rsidRPr="0088597E">
          <w:rPr>
            <w:rStyle w:val="Hyperlink"/>
            <w:rFonts w:ascii="Arial" w:hAnsi="Arial" w:cs="Arial"/>
            <w:sz w:val="24"/>
            <w:szCs w:val="24"/>
          </w:rPr>
          <w:t>https://www.annualreports.com/HostedData/AnnualReportArchive/w/LSE_WTB_2022.pdf</w:t>
        </w:r>
      </w:hyperlink>
      <w:r w:rsidR="007C39E8"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7C34B12E" w14:textId="045AD537" w:rsidR="00447EF6" w:rsidRPr="0088597E" w:rsidRDefault="00447EF6" w:rsidP="0088597E">
      <w:pPr>
        <w:spacing w:line="360" w:lineRule="auto"/>
        <w:jc w:val="both"/>
        <w:rPr>
          <w:rFonts w:ascii="Arial" w:hAnsi="Arial" w:cs="Arial"/>
          <w:sz w:val="24"/>
          <w:szCs w:val="24"/>
        </w:rPr>
      </w:pPr>
      <w:r w:rsidRPr="0088597E">
        <w:rPr>
          <w:rFonts w:ascii="Arial" w:hAnsi="Arial" w:cs="Arial"/>
          <w:sz w:val="24"/>
          <w:szCs w:val="24"/>
        </w:rPr>
        <w:t xml:space="preserve">Whitbread (2023) </w:t>
      </w:r>
      <w:r w:rsidRPr="005A46F0">
        <w:rPr>
          <w:rFonts w:ascii="Arial" w:hAnsi="Arial" w:cs="Arial"/>
          <w:i/>
          <w:iCs/>
          <w:sz w:val="24"/>
          <w:szCs w:val="24"/>
        </w:rPr>
        <w:t>Premier Inn annual report 2023</w:t>
      </w:r>
      <w:r w:rsidRPr="0088597E">
        <w:rPr>
          <w:rFonts w:ascii="Arial" w:hAnsi="Arial" w:cs="Arial"/>
          <w:sz w:val="24"/>
          <w:szCs w:val="24"/>
        </w:rPr>
        <w:t xml:space="preserve">. Available at: </w:t>
      </w:r>
      <w:hyperlink r:id="rId17" w:history="1">
        <w:r w:rsidR="0042666B" w:rsidRPr="0088597E">
          <w:rPr>
            <w:rStyle w:val="Hyperlink"/>
            <w:rFonts w:ascii="Arial" w:hAnsi="Arial" w:cs="Arial"/>
            <w:sz w:val="24"/>
            <w:szCs w:val="24"/>
          </w:rPr>
          <w:t>https://www.annualreports.com/HostedData/AnnualReports/PDF/LSE_WTB_2023.pdf</w:t>
        </w:r>
      </w:hyperlink>
      <w:r w:rsidR="0042666B" w:rsidRPr="0088597E">
        <w:rPr>
          <w:rFonts w:ascii="Arial" w:hAnsi="Arial" w:cs="Arial"/>
          <w:sz w:val="24"/>
          <w:szCs w:val="24"/>
        </w:rPr>
        <w:t xml:space="preserve"> </w:t>
      </w:r>
      <w:r w:rsidRPr="0088597E">
        <w:rPr>
          <w:rFonts w:ascii="Arial" w:hAnsi="Arial" w:cs="Arial"/>
          <w:sz w:val="24"/>
          <w:szCs w:val="24"/>
        </w:rPr>
        <w:t xml:space="preserve"> (Accessed: </w:t>
      </w:r>
      <w:r w:rsidR="003D7F19">
        <w:rPr>
          <w:rFonts w:ascii="Arial" w:hAnsi="Arial" w:cs="Arial"/>
          <w:sz w:val="24"/>
          <w:szCs w:val="24"/>
        </w:rPr>
        <w:t>4</w:t>
      </w:r>
      <w:r w:rsidRPr="0088597E">
        <w:rPr>
          <w:rFonts w:ascii="Arial" w:hAnsi="Arial" w:cs="Arial"/>
          <w:sz w:val="24"/>
          <w:szCs w:val="24"/>
        </w:rPr>
        <w:t xml:space="preserve"> October 2024).</w:t>
      </w:r>
    </w:p>
    <w:p w14:paraId="5A20173B" w14:textId="0219FBC1" w:rsidR="00447EF6" w:rsidRDefault="00447EF6" w:rsidP="0088597E">
      <w:pPr>
        <w:spacing w:line="360" w:lineRule="auto"/>
        <w:jc w:val="both"/>
        <w:rPr>
          <w:rFonts w:ascii="Arial" w:hAnsi="Arial" w:cs="Arial"/>
          <w:sz w:val="24"/>
          <w:szCs w:val="24"/>
        </w:rPr>
      </w:pPr>
      <w:r w:rsidRPr="0088597E">
        <w:rPr>
          <w:rFonts w:ascii="Arial" w:hAnsi="Arial" w:cs="Arial"/>
          <w:sz w:val="24"/>
          <w:szCs w:val="24"/>
        </w:rPr>
        <w:t>Wong, S. (2021) Sustainable tourism development and luxury hotel operations</w:t>
      </w:r>
      <w:r w:rsidRPr="00294EC5">
        <w:rPr>
          <w:rFonts w:ascii="Arial" w:hAnsi="Arial" w:cs="Arial"/>
          <w:i/>
          <w:iCs/>
          <w:sz w:val="24"/>
          <w:szCs w:val="24"/>
        </w:rPr>
        <w:t>: The case of Shangri-La hotels</w:t>
      </w:r>
      <w:r w:rsidRPr="0088597E">
        <w:rPr>
          <w:rFonts w:ascii="Arial" w:hAnsi="Arial" w:cs="Arial"/>
          <w:sz w:val="24"/>
          <w:szCs w:val="24"/>
        </w:rPr>
        <w:t>, Tourism Management Journal, 34(2), pp. 120-135.</w:t>
      </w:r>
      <w:bookmarkEnd w:id="0"/>
    </w:p>
    <w:p w14:paraId="3044BBAF" w14:textId="5F08ACD2" w:rsidR="00294EC5" w:rsidRPr="00294EC5" w:rsidRDefault="00294EC5" w:rsidP="005A46F0">
      <w:pPr>
        <w:spacing w:line="360" w:lineRule="auto"/>
        <w:jc w:val="both"/>
        <w:rPr>
          <w:rFonts w:ascii="Arial" w:hAnsi="Arial" w:cs="Arial"/>
          <w:i/>
          <w:iCs/>
          <w:sz w:val="24"/>
          <w:szCs w:val="24"/>
        </w:rPr>
      </w:pPr>
    </w:p>
    <w:sectPr w:rsidR="00294EC5" w:rsidRPr="00294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altName w:val="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B703A"/>
    <w:multiLevelType w:val="multilevel"/>
    <w:tmpl w:val="7DAC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1000D"/>
    <w:multiLevelType w:val="multilevel"/>
    <w:tmpl w:val="5E3E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5A089C"/>
    <w:multiLevelType w:val="multilevel"/>
    <w:tmpl w:val="DB305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525DA"/>
    <w:multiLevelType w:val="multilevel"/>
    <w:tmpl w:val="A49C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0B1E6F"/>
    <w:multiLevelType w:val="multilevel"/>
    <w:tmpl w:val="6B4A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B11ED"/>
    <w:multiLevelType w:val="multilevel"/>
    <w:tmpl w:val="C4F4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4B15FD"/>
    <w:multiLevelType w:val="multilevel"/>
    <w:tmpl w:val="93CC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2E619F"/>
    <w:multiLevelType w:val="multilevel"/>
    <w:tmpl w:val="B814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BF5BDE"/>
    <w:multiLevelType w:val="multilevel"/>
    <w:tmpl w:val="1A84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8FE2668"/>
    <w:multiLevelType w:val="multilevel"/>
    <w:tmpl w:val="2DBC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720401"/>
    <w:multiLevelType w:val="multilevel"/>
    <w:tmpl w:val="70026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545615"/>
    <w:multiLevelType w:val="multilevel"/>
    <w:tmpl w:val="48D0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C1641B"/>
    <w:multiLevelType w:val="multilevel"/>
    <w:tmpl w:val="7818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977582">
    <w:abstractNumId w:val="5"/>
  </w:num>
  <w:num w:numId="2" w16cid:durableId="1456370259">
    <w:abstractNumId w:val="12"/>
  </w:num>
  <w:num w:numId="3" w16cid:durableId="1388608391">
    <w:abstractNumId w:val="4"/>
  </w:num>
  <w:num w:numId="4" w16cid:durableId="1526747056">
    <w:abstractNumId w:val="3"/>
  </w:num>
  <w:num w:numId="5" w16cid:durableId="502934514">
    <w:abstractNumId w:val="0"/>
  </w:num>
  <w:num w:numId="6" w16cid:durableId="1385324758">
    <w:abstractNumId w:val="1"/>
  </w:num>
  <w:num w:numId="7" w16cid:durableId="61955448">
    <w:abstractNumId w:val="7"/>
  </w:num>
  <w:num w:numId="8" w16cid:durableId="336736277">
    <w:abstractNumId w:val="13"/>
  </w:num>
  <w:num w:numId="9" w16cid:durableId="1670401665">
    <w:abstractNumId w:val="8"/>
  </w:num>
  <w:num w:numId="10" w16cid:durableId="2137797298">
    <w:abstractNumId w:val="10"/>
  </w:num>
  <w:num w:numId="11" w16cid:durableId="1511212122">
    <w:abstractNumId w:val="2"/>
  </w:num>
  <w:num w:numId="12" w16cid:durableId="663749458">
    <w:abstractNumId w:val="11"/>
  </w:num>
  <w:num w:numId="13" w16cid:durableId="448937323">
    <w:abstractNumId w:val="6"/>
  </w:num>
  <w:num w:numId="14" w16cid:durableId="4723331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CE6"/>
    <w:rsid w:val="0001463D"/>
    <w:rsid w:val="001C38B7"/>
    <w:rsid w:val="00282584"/>
    <w:rsid w:val="0028785A"/>
    <w:rsid w:val="00294EC5"/>
    <w:rsid w:val="002B1C9C"/>
    <w:rsid w:val="00366F4D"/>
    <w:rsid w:val="003D69C8"/>
    <w:rsid w:val="003D7F19"/>
    <w:rsid w:val="00415BFC"/>
    <w:rsid w:val="0042666B"/>
    <w:rsid w:val="00447EF6"/>
    <w:rsid w:val="005A46F0"/>
    <w:rsid w:val="00612508"/>
    <w:rsid w:val="00662D64"/>
    <w:rsid w:val="007C39E8"/>
    <w:rsid w:val="0088597E"/>
    <w:rsid w:val="00916C71"/>
    <w:rsid w:val="009B7D76"/>
    <w:rsid w:val="00A54F82"/>
    <w:rsid w:val="00A727CA"/>
    <w:rsid w:val="00AA5F1A"/>
    <w:rsid w:val="00B50615"/>
    <w:rsid w:val="00B57F86"/>
    <w:rsid w:val="00B66487"/>
    <w:rsid w:val="00BD068E"/>
    <w:rsid w:val="00BD7EC4"/>
    <w:rsid w:val="00D35D13"/>
    <w:rsid w:val="00D9329A"/>
    <w:rsid w:val="00E6354B"/>
    <w:rsid w:val="00EB0CE6"/>
    <w:rsid w:val="00F7497E"/>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7159"/>
  <w15:chartTrackingRefBased/>
  <w15:docId w15:val="{2CE600BD-B6CC-42D9-B70E-A1493CEC5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0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0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0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CE6"/>
    <w:rPr>
      <w:rFonts w:eastAsiaTheme="majorEastAsia" w:cstheme="majorBidi"/>
      <w:color w:val="272727" w:themeColor="text1" w:themeTint="D8"/>
    </w:rPr>
  </w:style>
  <w:style w:type="paragraph" w:styleId="Title">
    <w:name w:val="Title"/>
    <w:basedOn w:val="Normal"/>
    <w:next w:val="Normal"/>
    <w:link w:val="TitleChar"/>
    <w:uiPriority w:val="10"/>
    <w:qFormat/>
    <w:rsid w:val="00EB0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CE6"/>
    <w:pPr>
      <w:spacing w:before="160"/>
      <w:jc w:val="center"/>
    </w:pPr>
    <w:rPr>
      <w:i/>
      <w:iCs/>
      <w:color w:val="404040" w:themeColor="text1" w:themeTint="BF"/>
    </w:rPr>
  </w:style>
  <w:style w:type="character" w:customStyle="1" w:styleId="QuoteChar">
    <w:name w:val="Quote Char"/>
    <w:basedOn w:val="DefaultParagraphFont"/>
    <w:link w:val="Quote"/>
    <w:uiPriority w:val="29"/>
    <w:rsid w:val="00EB0CE6"/>
    <w:rPr>
      <w:i/>
      <w:iCs/>
      <w:color w:val="404040" w:themeColor="text1" w:themeTint="BF"/>
    </w:rPr>
  </w:style>
  <w:style w:type="paragraph" w:styleId="ListParagraph">
    <w:name w:val="List Paragraph"/>
    <w:basedOn w:val="Normal"/>
    <w:uiPriority w:val="34"/>
    <w:qFormat/>
    <w:rsid w:val="00EB0CE6"/>
    <w:pPr>
      <w:ind w:left="720"/>
      <w:contextualSpacing/>
    </w:pPr>
  </w:style>
  <w:style w:type="character" w:styleId="IntenseEmphasis">
    <w:name w:val="Intense Emphasis"/>
    <w:basedOn w:val="DefaultParagraphFont"/>
    <w:uiPriority w:val="21"/>
    <w:qFormat/>
    <w:rsid w:val="00EB0CE6"/>
    <w:rPr>
      <w:i/>
      <w:iCs/>
      <w:color w:val="0F4761" w:themeColor="accent1" w:themeShade="BF"/>
    </w:rPr>
  </w:style>
  <w:style w:type="paragraph" w:styleId="IntenseQuote">
    <w:name w:val="Intense Quote"/>
    <w:basedOn w:val="Normal"/>
    <w:next w:val="Normal"/>
    <w:link w:val="IntenseQuoteChar"/>
    <w:uiPriority w:val="30"/>
    <w:qFormat/>
    <w:rsid w:val="00EB0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CE6"/>
    <w:rPr>
      <w:i/>
      <w:iCs/>
      <w:color w:val="0F4761" w:themeColor="accent1" w:themeShade="BF"/>
    </w:rPr>
  </w:style>
  <w:style w:type="character" w:styleId="IntenseReference">
    <w:name w:val="Intense Reference"/>
    <w:basedOn w:val="DefaultParagraphFont"/>
    <w:uiPriority w:val="32"/>
    <w:qFormat/>
    <w:rsid w:val="00EB0CE6"/>
    <w:rPr>
      <w:b/>
      <w:bCs/>
      <w:smallCaps/>
      <w:color w:val="0F4761" w:themeColor="accent1" w:themeShade="BF"/>
      <w:spacing w:val="5"/>
    </w:rPr>
  </w:style>
  <w:style w:type="character" w:styleId="Strong">
    <w:name w:val="Strong"/>
    <w:basedOn w:val="DefaultParagraphFont"/>
    <w:uiPriority w:val="22"/>
    <w:qFormat/>
    <w:rsid w:val="009B7D76"/>
    <w:rPr>
      <w:b/>
      <w:bCs/>
    </w:rPr>
  </w:style>
  <w:style w:type="paragraph" w:styleId="NormalWeb">
    <w:name w:val="Normal (Web)"/>
    <w:basedOn w:val="Normal"/>
    <w:uiPriority w:val="99"/>
    <w:semiHidden/>
    <w:unhideWhenUsed/>
    <w:rsid w:val="009B7D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B7D76"/>
    <w:rPr>
      <w:color w:val="467886" w:themeColor="hyperlink"/>
      <w:u w:val="single"/>
    </w:rPr>
  </w:style>
  <w:style w:type="character" w:styleId="UnresolvedMention">
    <w:name w:val="Unresolved Mention"/>
    <w:basedOn w:val="DefaultParagraphFont"/>
    <w:uiPriority w:val="99"/>
    <w:semiHidden/>
    <w:unhideWhenUsed/>
    <w:rsid w:val="009B7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67164">
      <w:bodyDiv w:val="1"/>
      <w:marLeft w:val="0"/>
      <w:marRight w:val="0"/>
      <w:marTop w:val="0"/>
      <w:marBottom w:val="0"/>
      <w:divBdr>
        <w:top w:val="none" w:sz="0" w:space="0" w:color="auto"/>
        <w:left w:val="none" w:sz="0" w:space="0" w:color="auto"/>
        <w:bottom w:val="none" w:sz="0" w:space="0" w:color="auto"/>
        <w:right w:val="none" w:sz="0" w:space="0" w:color="auto"/>
      </w:divBdr>
    </w:div>
    <w:div w:id="593055976">
      <w:bodyDiv w:val="1"/>
      <w:marLeft w:val="0"/>
      <w:marRight w:val="0"/>
      <w:marTop w:val="0"/>
      <w:marBottom w:val="0"/>
      <w:divBdr>
        <w:top w:val="none" w:sz="0" w:space="0" w:color="auto"/>
        <w:left w:val="none" w:sz="0" w:space="0" w:color="auto"/>
        <w:bottom w:val="none" w:sz="0" w:space="0" w:color="auto"/>
        <w:right w:val="none" w:sz="0" w:space="0" w:color="auto"/>
      </w:divBdr>
    </w:div>
    <w:div w:id="619380798">
      <w:bodyDiv w:val="1"/>
      <w:marLeft w:val="0"/>
      <w:marRight w:val="0"/>
      <w:marTop w:val="0"/>
      <w:marBottom w:val="0"/>
      <w:divBdr>
        <w:top w:val="none" w:sz="0" w:space="0" w:color="auto"/>
        <w:left w:val="none" w:sz="0" w:space="0" w:color="auto"/>
        <w:bottom w:val="none" w:sz="0" w:space="0" w:color="auto"/>
        <w:right w:val="none" w:sz="0" w:space="0" w:color="auto"/>
      </w:divBdr>
    </w:div>
    <w:div w:id="639117139">
      <w:bodyDiv w:val="1"/>
      <w:marLeft w:val="0"/>
      <w:marRight w:val="0"/>
      <w:marTop w:val="0"/>
      <w:marBottom w:val="0"/>
      <w:divBdr>
        <w:top w:val="none" w:sz="0" w:space="0" w:color="auto"/>
        <w:left w:val="none" w:sz="0" w:space="0" w:color="auto"/>
        <w:bottom w:val="none" w:sz="0" w:space="0" w:color="auto"/>
        <w:right w:val="none" w:sz="0" w:space="0" w:color="auto"/>
      </w:divBdr>
    </w:div>
    <w:div w:id="783186429">
      <w:bodyDiv w:val="1"/>
      <w:marLeft w:val="0"/>
      <w:marRight w:val="0"/>
      <w:marTop w:val="0"/>
      <w:marBottom w:val="0"/>
      <w:divBdr>
        <w:top w:val="none" w:sz="0" w:space="0" w:color="auto"/>
        <w:left w:val="none" w:sz="0" w:space="0" w:color="auto"/>
        <w:bottom w:val="none" w:sz="0" w:space="0" w:color="auto"/>
        <w:right w:val="none" w:sz="0" w:space="0" w:color="auto"/>
      </w:divBdr>
    </w:div>
    <w:div w:id="789321283">
      <w:bodyDiv w:val="1"/>
      <w:marLeft w:val="0"/>
      <w:marRight w:val="0"/>
      <w:marTop w:val="0"/>
      <w:marBottom w:val="0"/>
      <w:divBdr>
        <w:top w:val="none" w:sz="0" w:space="0" w:color="auto"/>
        <w:left w:val="none" w:sz="0" w:space="0" w:color="auto"/>
        <w:bottom w:val="none" w:sz="0" w:space="0" w:color="auto"/>
        <w:right w:val="none" w:sz="0" w:space="0" w:color="auto"/>
      </w:divBdr>
    </w:div>
    <w:div w:id="911038665">
      <w:bodyDiv w:val="1"/>
      <w:marLeft w:val="0"/>
      <w:marRight w:val="0"/>
      <w:marTop w:val="0"/>
      <w:marBottom w:val="0"/>
      <w:divBdr>
        <w:top w:val="none" w:sz="0" w:space="0" w:color="auto"/>
        <w:left w:val="none" w:sz="0" w:space="0" w:color="auto"/>
        <w:bottom w:val="none" w:sz="0" w:space="0" w:color="auto"/>
        <w:right w:val="none" w:sz="0" w:space="0" w:color="auto"/>
      </w:divBdr>
    </w:div>
    <w:div w:id="1368411516">
      <w:bodyDiv w:val="1"/>
      <w:marLeft w:val="0"/>
      <w:marRight w:val="0"/>
      <w:marTop w:val="0"/>
      <w:marBottom w:val="0"/>
      <w:divBdr>
        <w:top w:val="none" w:sz="0" w:space="0" w:color="auto"/>
        <w:left w:val="none" w:sz="0" w:space="0" w:color="auto"/>
        <w:bottom w:val="none" w:sz="0" w:space="0" w:color="auto"/>
        <w:right w:val="none" w:sz="0" w:space="0" w:color="auto"/>
      </w:divBdr>
    </w:div>
    <w:div w:id="1463502377">
      <w:bodyDiv w:val="1"/>
      <w:marLeft w:val="0"/>
      <w:marRight w:val="0"/>
      <w:marTop w:val="0"/>
      <w:marBottom w:val="0"/>
      <w:divBdr>
        <w:top w:val="none" w:sz="0" w:space="0" w:color="auto"/>
        <w:left w:val="none" w:sz="0" w:space="0" w:color="auto"/>
        <w:bottom w:val="none" w:sz="0" w:space="0" w:color="auto"/>
        <w:right w:val="none" w:sz="0" w:space="0" w:color="auto"/>
      </w:divBdr>
    </w:div>
    <w:div w:id="1686709406">
      <w:bodyDiv w:val="1"/>
      <w:marLeft w:val="0"/>
      <w:marRight w:val="0"/>
      <w:marTop w:val="0"/>
      <w:marBottom w:val="0"/>
      <w:divBdr>
        <w:top w:val="none" w:sz="0" w:space="0" w:color="auto"/>
        <w:left w:val="none" w:sz="0" w:space="0" w:color="auto"/>
        <w:bottom w:val="none" w:sz="0" w:space="0" w:color="auto"/>
        <w:right w:val="none" w:sz="0" w:space="0" w:color="auto"/>
      </w:divBdr>
    </w:div>
    <w:div w:id="196858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core-cd.shangri-la.com/-/media/Project/Shangri-La-Group/Investor/Files/Public-Disclosures/Announcements-and-Circulars/2021/2021-04-26-AR_E.pdf" TargetMode="External"/><Relationship Id="rId13" Type="http://schemas.openxmlformats.org/officeDocument/2006/relationships/hyperlink" Target="https://www.annualreports.com/HostedData/AnnualReportArchive/w/LSE_WTB_2019.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tecore-cd.shangri-la.com/-/media/Project/Shangri-La-Group/Investor/Files/Public-Disclosures/Financial-Information/Financial-Reports/2019Annual-Report-Eng.pdf" TargetMode="External"/><Relationship Id="rId12" Type="http://schemas.openxmlformats.org/officeDocument/2006/relationships/hyperlink" Target="https://www.annualreports.com/HostedData/AnnualReportArchive/w/LSE_WTB_2018.pdf" TargetMode="External"/><Relationship Id="rId17" Type="http://schemas.openxmlformats.org/officeDocument/2006/relationships/hyperlink" Target="https://www.annualreports.com/HostedData/AnnualReports/PDF/LSE_WTB_2023.pdf" TargetMode="External"/><Relationship Id="rId2" Type="http://schemas.openxmlformats.org/officeDocument/2006/relationships/styles" Target="styles.xml"/><Relationship Id="rId16" Type="http://schemas.openxmlformats.org/officeDocument/2006/relationships/hyperlink" Target="https://www.annualreports.com/HostedData/AnnualReportArchive/w/LSE_WTB_2022.pdf" TargetMode="External"/><Relationship Id="rId1" Type="http://schemas.openxmlformats.org/officeDocument/2006/relationships/numbering" Target="numbering.xml"/><Relationship Id="rId6" Type="http://schemas.openxmlformats.org/officeDocument/2006/relationships/hyperlink" Target="https://sitecore-cd.shangri-la.com/-/media/Project/Shangri-La-Group/Investor/Files/Public-Disclosures/Financial-Information/Financial-Reports/2018_Annual_Report.pdf" TargetMode="External"/><Relationship Id="rId11" Type="http://schemas.openxmlformats.org/officeDocument/2006/relationships/hyperlink" Target="https://sitecore-cd.shangri-la.com/-/media/Project/Shangri-La-Group/Investor/Files/Public-Disclosures/Latest-Top-Publications/2023_Annual_Report_E.pdf" TargetMode="External"/><Relationship Id="rId5" Type="http://schemas.openxmlformats.org/officeDocument/2006/relationships/image" Target="media/image1.jpeg"/><Relationship Id="rId15" Type="http://schemas.openxmlformats.org/officeDocument/2006/relationships/hyperlink" Target="https://www.annualreports.com/HostedData/AnnualReportArchive/w/LSE_WTB_2021.pdf" TargetMode="External"/><Relationship Id="rId10" Type="http://schemas.openxmlformats.org/officeDocument/2006/relationships/hyperlink" Target="https://sitecore-cd.shangri-la.com/-/media/Project/Shangri-La-Group/Investor/Files/Public-Disclosures/Latest-Top-Publications/e0069_230418_AR.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itecore-cd.shangri-la.com/-/media/Project/Shangri-La-Group/Investor/Files/Public-Disclosures/Latest-Top-Publications/2021_Annual-Report_E.pdf" TargetMode="External"/><Relationship Id="rId14" Type="http://schemas.openxmlformats.org/officeDocument/2006/relationships/hyperlink" Target="https://www.annualreports.com/HostedData/AnnualReportArchive/w/LSE_WTB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14</Pages>
  <Words>3743</Words>
  <Characters>21340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19</cp:revision>
  <dcterms:created xsi:type="dcterms:W3CDTF">2024-10-13T13:13:00Z</dcterms:created>
  <dcterms:modified xsi:type="dcterms:W3CDTF">2024-10-14T15:35:00Z</dcterms:modified>
</cp:coreProperties>
</file>