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E91E4" w14:textId="358E5C1B" w:rsidR="004F4469" w:rsidRPr="004F4469" w:rsidRDefault="004F4469" w:rsidP="004F4469">
      <w:pPr>
        <w:spacing w:before="240" w:line="360" w:lineRule="auto"/>
        <w:jc w:val="center"/>
        <w:rPr>
          <w:rFonts w:asciiTheme="minorBidi" w:hAnsiTheme="minorBidi"/>
          <w:sz w:val="22"/>
          <w:lang w:val="en-US"/>
        </w:rPr>
      </w:pPr>
      <w:r>
        <w:rPr>
          <w:noProof/>
        </w:rPr>
        <w:drawing>
          <wp:anchor distT="0" distB="0" distL="114300" distR="114300" simplePos="0" relativeHeight="251658240" behindDoc="0" locked="0" layoutInCell="1" allowOverlap="1" wp14:anchorId="50304CF0" wp14:editId="413A4B82">
            <wp:simplePos x="0" y="0"/>
            <wp:positionH relativeFrom="column">
              <wp:posOffset>-50800</wp:posOffset>
            </wp:positionH>
            <wp:positionV relativeFrom="page">
              <wp:posOffset>831850</wp:posOffset>
            </wp:positionV>
            <wp:extent cx="1809750" cy="723900"/>
            <wp:effectExtent l="0" t="0" r="0" b="0"/>
            <wp:wrapTopAndBottom/>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2D0F9C64" w14:textId="63315941" w:rsidR="004F4469" w:rsidRPr="004F4469" w:rsidRDefault="004F4469" w:rsidP="004F4469">
      <w:pPr>
        <w:spacing w:before="240" w:line="360" w:lineRule="auto"/>
        <w:jc w:val="center"/>
        <w:rPr>
          <w:rFonts w:asciiTheme="minorBidi" w:hAnsiTheme="minorBidi"/>
          <w:sz w:val="22"/>
          <w:lang w:val="en-US"/>
        </w:rPr>
      </w:pPr>
      <w:r w:rsidRPr="004F4469">
        <w:rPr>
          <w:rFonts w:asciiTheme="minorBidi" w:hAnsiTheme="minorBidi"/>
          <w:sz w:val="22"/>
          <w:lang w:val="en-US"/>
        </w:rPr>
        <w:t xml:space="preserve"> </w:t>
      </w:r>
    </w:p>
    <w:p w14:paraId="4AEF6385" w14:textId="54720749" w:rsidR="004F4469" w:rsidRPr="004F4469" w:rsidRDefault="004F4469" w:rsidP="004F4469">
      <w:pPr>
        <w:spacing w:before="240" w:line="360" w:lineRule="auto"/>
        <w:jc w:val="center"/>
        <w:rPr>
          <w:rFonts w:asciiTheme="minorBidi" w:hAnsiTheme="minorBidi"/>
          <w:sz w:val="22"/>
          <w:lang w:val="en-US"/>
        </w:rPr>
      </w:pPr>
      <w:r w:rsidRPr="004F4469">
        <w:rPr>
          <w:rFonts w:asciiTheme="minorBidi" w:hAnsiTheme="minorBidi"/>
          <w:sz w:val="22"/>
          <w:lang w:val="en-US"/>
        </w:rPr>
        <w:t xml:space="preserve"> </w:t>
      </w:r>
    </w:p>
    <w:p w14:paraId="5CC9D230" w14:textId="77777777" w:rsidR="004F4469" w:rsidRPr="004F4469" w:rsidRDefault="004F4469" w:rsidP="004F4469">
      <w:pPr>
        <w:spacing w:before="240" w:line="360" w:lineRule="auto"/>
        <w:jc w:val="center"/>
        <w:rPr>
          <w:rFonts w:asciiTheme="minorBidi" w:hAnsiTheme="minorBidi"/>
          <w:sz w:val="22"/>
          <w:lang w:val="en-US"/>
        </w:rPr>
      </w:pPr>
      <w:r w:rsidRPr="004F4469">
        <w:rPr>
          <w:rFonts w:asciiTheme="minorBidi" w:hAnsiTheme="minorBidi"/>
          <w:sz w:val="22"/>
          <w:lang w:val="en-US"/>
        </w:rPr>
        <w:t xml:space="preserve"> </w:t>
      </w:r>
    </w:p>
    <w:p w14:paraId="4591525B" w14:textId="544643FC" w:rsidR="004F4469" w:rsidRP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b/>
          <w:bCs/>
          <w:sz w:val="28"/>
          <w:szCs w:val="28"/>
          <w:lang w:val="en-US"/>
        </w:rPr>
        <w:t>Module name</w:t>
      </w:r>
      <w:r w:rsidRPr="004F4469">
        <w:rPr>
          <w:rFonts w:asciiTheme="minorBidi" w:hAnsiTheme="minorBidi"/>
          <w:sz w:val="28"/>
          <w:szCs w:val="28"/>
          <w:lang w:val="en-US"/>
        </w:rPr>
        <w:t xml:space="preserve">: </w:t>
      </w:r>
      <w:r w:rsidR="00455030">
        <w:rPr>
          <w:rFonts w:asciiTheme="minorBidi" w:hAnsiTheme="minorBidi"/>
          <w:sz w:val="28"/>
          <w:szCs w:val="28"/>
          <w:lang w:val="en-US"/>
        </w:rPr>
        <w:t>Introduction</w:t>
      </w:r>
      <w:r w:rsidR="00455030" w:rsidRPr="00455030">
        <w:rPr>
          <w:rFonts w:asciiTheme="minorBidi" w:hAnsiTheme="minorBidi"/>
          <w:sz w:val="28"/>
          <w:szCs w:val="28"/>
          <w:lang w:val="en-US"/>
        </w:rPr>
        <w:t xml:space="preserve"> to Health and Social Care</w:t>
      </w:r>
    </w:p>
    <w:p w14:paraId="73113B81" w14:textId="66B3B7E4" w:rsid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b/>
          <w:bCs/>
          <w:sz w:val="28"/>
          <w:szCs w:val="28"/>
          <w:lang w:val="en-US"/>
        </w:rPr>
        <w:t>Module code</w:t>
      </w:r>
      <w:r w:rsidRPr="004F4469">
        <w:rPr>
          <w:rFonts w:asciiTheme="minorBidi" w:hAnsiTheme="minorBidi"/>
          <w:sz w:val="28"/>
          <w:szCs w:val="28"/>
          <w:lang w:val="en-US"/>
        </w:rPr>
        <w:t>:</w:t>
      </w:r>
      <w:r w:rsidR="00455030">
        <w:rPr>
          <w:rFonts w:asciiTheme="minorBidi" w:hAnsiTheme="minorBidi"/>
          <w:sz w:val="28"/>
          <w:szCs w:val="28"/>
          <w:lang w:val="en-US"/>
        </w:rPr>
        <w:t xml:space="preserve"> LCHS4003</w:t>
      </w:r>
    </w:p>
    <w:p w14:paraId="527578DC" w14:textId="7508CA0E" w:rsidR="00455030" w:rsidRPr="004F4469" w:rsidRDefault="0020702E" w:rsidP="0020702E">
      <w:pPr>
        <w:spacing w:before="240" w:line="360" w:lineRule="auto"/>
        <w:jc w:val="center"/>
        <w:rPr>
          <w:rFonts w:asciiTheme="minorBidi" w:hAnsiTheme="minorBidi"/>
          <w:sz w:val="28"/>
          <w:szCs w:val="28"/>
          <w:lang w:val="en-US"/>
        </w:rPr>
      </w:pPr>
      <w:r w:rsidRPr="0020702E">
        <w:rPr>
          <w:rFonts w:asciiTheme="minorBidi" w:hAnsiTheme="minorBidi"/>
          <w:sz w:val="28"/>
          <w:szCs w:val="28"/>
          <w:lang w:val="en-US"/>
        </w:rPr>
        <w:t>Component 2</w:t>
      </w:r>
      <w:r>
        <w:rPr>
          <w:rFonts w:asciiTheme="minorBidi" w:hAnsiTheme="minorBidi"/>
          <w:sz w:val="28"/>
          <w:szCs w:val="28"/>
          <w:lang w:val="en-US"/>
        </w:rPr>
        <w:t xml:space="preserve"> </w:t>
      </w:r>
      <w:r w:rsidRPr="0020702E">
        <w:rPr>
          <w:rFonts w:asciiTheme="minorBidi" w:hAnsiTheme="minorBidi"/>
          <w:sz w:val="28"/>
          <w:szCs w:val="28"/>
          <w:lang w:val="en-US"/>
        </w:rPr>
        <w:t>Written Assignment</w:t>
      </w:r>
    </w:p>
    <w:p w14:paraId="7724CAE2" w14:textId="77777777" w:rsidR="004F4469" w:rsidRPr="004F4469" w:rsidRDefault="004F4469" w:rsidP="004F4469">
      <w:pPr>
        <w:spacing w:before="240" w:line="360" w:lineRule="auto"/>
        <w:jc w:val="center"/>
        <w:rPr>
          <w:rFonts w:asciiTheme="minorBidi" w:hAnsiTheme="minorBidi"/>
          <w:b/>
          <w:bCs/>
          <w:sz w:val="28"/>
          <w:szCs w:val="28"/>
          <w:lang w:val="en-US"/>
        </w:rPr>
      </w:pPr>
      <w:r w:rsidRPr="004F4469">
        <w:rPr>
          <w:rFonts w:asciiTheme="minorBidi" w:hAnsiTheme="minorBidi"/>
          <w:b/>
          <w:bCs/>
          <w:sz w:val="28"/>
          <w:szCs w:val="28"/>
          <w:lang w:val="en-US"/>
        </w:rPr>
        <w:t xml:space="preserve"> </w:t>
      </w:r>
    </w:p>
    <w:p w14:paraId="5988263A" w14:textId="1E323A7A" w:rsidR="004F4469" w:rsidRP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b/>
          <w:bCs/>
          <w:sz w:val="28"/>
          <w:szCs w:val="28"/>
          <w:lang w:val="en-US"/>
        </w:rPr>
        <w:t>Student name</w:t>
      </w:r>
      <w:r w:rsidRPr="004F4469">
        <w:rPr>
          <w:rFonts w:asciiTheme="minorBidi" w:hAnsiTheme="minorBidi"/>
          <w:sz w:val="28"/>
          <w:szCs w:val="28"/>
          <w:lang w:val="en-US"/>
        </w:rPr>
        <w:t>:</w:t>
      </w:r>
      <w:r w:rsidR="00F8240B">
        <w:rPr>
          <w:rFonts w:asciiTheme="minorBidi" w:hAnsiTheme="minorBidi"/>
          <w:sz w:val="28"/>
          <w:szCs w:val="28"/>
          <w:lang w:val="en-US"/>
        </w:rPr>
        <w:t xml:space="preserve"> </w:t>
      </w:r>
      <w:r w:rsidR="00F8240B" w:rsidRPr="00F8240B">
        <w:rPr>
          <w:rFonts w:asciiTheme="minorBidi" w:hAnsiTheme="minorBidi"/>
          <w:sz w:val="28"/>
          <w:szCs w:val="28"/>
          <w:lang w:val="en-US"/>
        </w:rPr>
        <w:t xml:space="preserve">Fernanda </w:t>
      </w:r>
      <w:r w:rsidR="00B802E8">
        <w:rPr>
          <w:rFonts w:asciiTheme="minorBidi" w:hAnsiTheme="minorBidi"/>
          <w:sz w:val="28"/>
          <w:szCs w:val="28"/>
          <w:lang w:val="en-US"/>
        </w:rPr>
        <w:t>Egypc Ponta Garca Carvalho</w:t>
      </w:r>
    </w:p>
    <w:p w14:paraId="572F6F16" w14:textId="07D2425A" w:rsidR="004F4469" w:rsidRP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b/>
          <w:bCs/>
          <w:sz w:val="28"/>
          <w:szCs w:val="28"/>
          <w:lang w:val="en-US"/>
        </w:rPr>
        <w:t>Student ID</w:t>
      </w:r>
      <w:r w:rsidRPr="004F4469">
        <w:rPr>
          <w:rFonts w:asciiTheme="minorBidi" w:hAnsiTheme="minorBidi"/>
          <w:sz w:val="28"/>
          <w:szCs w:val="28"/>
          <w:lang w:val="en-US"/>
        </w:rPr>
        <w:t>:</w:t>
      </w:r>
      <w:r w:rsidR="008E17C3" w:rsidRPr="008E17C3">
        <w:rPr>
          <w:rFonts w:asciiTheme="minorBidi" w:hAnsiTheme="minorBidi"/>
          <w:b/>
          <w:bCs/>
          <w:sz w:val="28"/>
          <w:szCs w:val="28"/>
        </w:rPr>
        <w:t>2525127</w:t>
      </w:r>
    </w:p>
    <w:p w14:paraId="51C58E09" w14:textId="77777777" w:rsidR="004F4469" w:rsidRP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sz w:val="28"/>
          <w:szCs w:val="28"/>
          <w:lang w:val="en-US"/>
        </w:rPr>
        <w:t xml:space="preserve"> </w:t>
      </w:r>
    </w:p>
    <w:p w14:paraId="22E6D074" w14:textId="695ABDF9" w:rsidR="004F4469" w:rsidRPr="004F4469" w:rsidRDefault="004F4469" w:rsidP="004F4469">
      <w:pPr>
        <w:spacing w:before="240" w:line="360" w:lineRule="auto"/>
        <w:jc w:val="center"/>
        <w:rPr>
          <w:rFonts w:asciiTheme="minorBidi" w:hAnsiTheme="minorBidi"/>
          <w:sz w:val="28"/>
          <w:szCs w:val="28"/>
          <w:lang w:val="en-US"/>
        </w:rPr>
      </w:pPr>
      <w:r w:rsidRPr="004F4469">
        <w:rPr>
          <w:rFonts w:asciiTheme="minorBidi" w:hAnsiTheme="minorBidi"/>
          <w:b/>
          <w:bCs/>
          <w:sz w:val="28"/>
          <w:szCs w:val="28"/>
          <w:lang w:val="en-US"/>
        </w:rPr>
        <w:t>Lecturer’s name</w:t>
      </w:r>
      <w:r w:rsidRPr="004F4469">
        <w:rPr>
          <w:rFonts w:asciiTheme="minorBidi" w:hAnsiTheme="minorBidi"/>
          <w:sz w:val="28"/>
          <w:szCs w:val="28"/>
          <w:lang w:val="en-US"/>
        </w:rPr>
        <w:t>:</w:t>
      </w:r>
      <w:r w:rsidR="0010102F">
        <w:rPr>
          <w:rFonts w:asciiTheme="minorBidi" w:hAnsiTheme="minorBidi"/>
          <w:sz w:val="28"/>
          <w:szCs w:val="28"/>
          <w:lang w:val="en-US"/>
        </w:rPr>
        <w:t xml:space="preserve"> </w:t>
      </w:r>
      <w:r w:rsidR="00B802E8">
        <w:rPr>
          <w:rFonts w:asciiTheme="minorBidi" w:hAnsiTheme="minorBidi"/>
          <w:sz w:val="28"/>
          <w:szCs w:val="28"/>
          <w:lang w:val="en-US"/>
        </w:rPr>
        <w:t>Sam Parker</w:t>
      </w:r>
    </w:p>
    <w:p w14:paraId="4BA52CE3" w14:textId="51032750" w:rsidR="00B03BD1" w:rsidRPr="00CD33A8" w:rsidRDefault="00B03BD1" w:rsidP="00FD420A">
      <w:pPr>
        <w:spacing w:before="240" w:line="360" w:lineRule="auto"/>
        <w:jc w:val="center"/>
        <w:rPr>
          <w:rFonts w:asciiTheme="minorBidi" w:hAnsiTheme="minorBidi"/>
          <w:sz w:val="22"/>
        </w:rPr>
      </w:pPr>
    </w:p>
    <w:p w14:paraId="39D08584" w14:textId="77777777" w:rsidR="00074402" w:rsidRPr="00CD33A8" w:rsidRDefault="00074402" w:rsidP="00A909EA">
      <w:pPr>
        <w:tabs>
          <w:tab w:val="left" w:pos="6540"/>
        </w:tabs>
        <w:spacing w:before="240" w:line="360" w:lineRule="auto"/>
        <w:jc w:val="both"/>
        <w:rPr>
          <w:rFonts w:asciiTheme="minorBidi" w:hAnsiTheme="minorBidi"/>
          <w:sz w:val="22"/>
        </w:rPr>
      </w:pPr>
    </w:p>
    <w:p w14:paraId="5B66D125" w14:textId="77777777" w:rsidR="00074402" w:rsidRPr="00CD33A8" w:rsidRDefault="00074402" w:rsidP="00A909EA">
      <w:pPr>
        <w:tabs>
          <w:tab w:val="left" w:pos="6540"/>
        </w:tabs>
        <w:spacing w:before="240" w:line="360" w:lineRule="auto"/>
        <w:jc w:val="both"/>
        <w:rPr>
          <w:rFonts w:asciiTheme="minorBidi" w:hAnsiTheme="minorBidi"/>
          <w:sz w:val="22"/>
        </w:rPr>
      </w:pPr>
    </w:p>
    <w:p w14:paraId="291524A2" w14:textId="2CBFF360" w:rsidR="00074402" w:rsidRPr="00CD33A8" w:rsidRDefault="00074402" w:rsidP="00A909EA">
      <w:pPr>
        <w:tabs>
          <w:tab w:val="left" w:pos="6540"/>
        </w:tabs>
        <w:spacing w:before="240" w:line="360" w:lineRule="auto"/>
        <w:jc w:val="both"/>
        <w:rPr>
          <w:rFonts w:asciiTheme="minorBidi" w:hAnsiTheme="minorBidi"/>
          <w:sz w:val="22"/>
        </w:rPr>
      </w:pPr>
    </w:p>
    <w:p w14:paraId="5AE88297" w14:textId="24E6B718" w:rsidR="00B87E75" w:rsidRPr="00CD33A8" w:rsidRDefault="00B87E75" w:rsidP="00A909EA">
      <w:pPr>
        <w:tabs>
          <w:tab w:val="left" w:pos="6540"/>
        </w:tabs>
        <w:spacing w:before="240" w:line="360" w:lineRule="auto"/>
        <w:jc w:val="both"/>
        <w:rPr>
          <w:rFonts w:asciiTheme="minorBidi" w:hAnsiTheme="minorBidi"/>
          <w:sz w:val="22"/>
        </w:rPr>
      </w:pPr>
    </w:p>
    <w:p w14:paraId="420ADE33" w14:textId="35FB1322" w:rsidR="00B87E75" w:rsidRPr="00CD33A8" w:rsidRDefault="00B87E75" w:rsidP="00A909EA">
      <w:pPr>
        <w:spacing w:before="240" w:line="360" w:lineRule="auto"/>
        <w:jc w:val="both"/>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A909EA">
      <w:pPr>
        <w:pStyle w:val="Heading1"/>
        <w:jc w:val="both"/>
      </w:pPr>
      <w:bookmarkStart w:id="0" w:name="_Toc235375048"/>
      <w:r w:rsidRPr="00CD33A8">
        <w:lastRenderedPageBreak/>
        <w:t>Table of contents</w:t>
      </w:r>
      <w:bookmarkEnd w:id="0"/>
    </w:p>
    <w:sdt>
      <w:sdtPr>
        <w:rPr>
          <w:rFonts w:ascii="Times New Roman" w:eastAsiaTheme="minorHAnsi" w:hAnsi="Times New Roman" w:cstheme="minorBidi"/>
          <w:color w:val="auto"/>
          <w:sz w:val="24"/>
          <w:szCs w:val="22"/>
          <w:lang w:val="en-GB"/>
        </w:rPr>
        <w:id w:val="-606349038"/>
        <w:docPartObj>
          <w:docPartGallery w:val="Table of Contents"/>
          <w:docPartUnique/>
        </w:docPartObj>
      </w:sdtPr>
      <w:sdtEndPr>
        <w:rPr>
          <w:b/>
          <w:bCs/>
          <w:noProof/>
        </w:rPr>
      </w:sdtEndPr>
      <w:sdtContent>
        <w:p w14:paraId="7D378B7A" w14:textId="1899F20E" w:rsidR="00A26001" w:rsidRDefault="00A26001">
          <w:pPr>
            <w:pStyle w:val="TOCHeading"/>
          </w:pPr>
        </w:p>
        <w:p w14:paraId="0856DD43" w14:textId="2537E134" w:rsidR="00A26001" w:rsidRPr="007D6B36" w:rsidRDefault="00A26001">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235375048" w:history="1">
            <w:r w:rsidRPr="007D6B36">
              <w:rPr>
                <w:rStyle w:val="Hyperlink"/>
                <w:rFonts w:ascii="Arial" w:hAnsi="Arial" w:cs="Arial"/>
                <w:noProof/>
              </w:rPr>
              <w:t>Table of contents</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_Toc235375048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2</w:t>
            </w:r>
            <w:r w:rsidRPr="007D6B36">
              <w:rPr>
                <w:rFonts w:ascii="Arial" w:hAnsi="Arial" w:cs="Arial"/>
                <w:noProof/>
                <w:webHidden/>
              </w:rPr>
              <w:fldChar w:fldCharType="end"/>
            </w:r>
          </w:hyperlink>
        </w:p>
        <w:p w14:paraId="07730AB7" w14:textId="4D94CA30" w:rsidR="00A26001" w:rsidRPr="007D6B36" w:rsidRDefault="00A26001">
          <w:pPr>
            <w:pStyle w:val="TOC1"/>
            <w:tabs>
              <w:tab w:val="right" w:leader="dot" w:pos="9016"/>
            </w:tabs>
            <w:rPr>
              <w:rFonts w:ascii="Arial" w:hAnsi="Arial" w:cs="Arial"/>
              <w:noProof/>
            </w:rPr>
          </w:pPr>
          <w:hyperlink w:anchor="_Toc235375049" w:history="1">
            <w:r w:rsidRPr="007D6B36">
              <w:rPr>
                <w:rStyle w:val="Hyperlink"/>
                <w:rFonts w:ascii="Arial" w:hAnsi="Arial" w:cs="Arial"/>
                <w:noProof/>
              </w:rPr>
              <w:t>1. Introduction</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_Toc235375049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3</w:t>
            </w:r>
            <w:r w:rsidRPr="007D6B36">
              <w:rPr>
                <w:rFonts w:ascii="Arial" w:hAnsi="Arial" w:cs="Arial"/>
                <w:noProof/>
                <w:webHidden/>
              </w:rPr>
              <w:fldChar w:fldCharType="end"/>
            </w:r>
          </w:hyperlink>
        </w:p>
        <w:p w14:paraId="636ECADF" w14:textId="32C6E7CB" w:rsidR="00A26001" w:rsidRPr="007D6B36" w:rsidRDefault="00A26001">
          <w:pPr>
            <w:pStyle w:val="TOC1"/>
            <w:tabs>
              <w:tab w:val="right" w:leader="dot" w:pos="9016"/>
            </w:tabs>
            <w:rPr>
              <w:rFonts w:ascii="Arial" w:hAnsi="Arial" w:cs="Arial"/>
              <w:noProof/>
            </w:rPr>
          </w:pPr>
          <w:hyperlink w:anchor="_Toc235375050" w:history="1">
            <w:r w:rsidRPr="007D6B36">
              <w:rPr>
                <w:rStyle w:val="Hyperlink"/>
                <w:rFonts w:ascii="Arial" w:hAnsi="Arial" w:cs="Arial"/>
                <w:noProof/>
              </w:rPr>
              <w:t>2. Importance of effective communication</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_Toc235375050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3</w:t>
            </w:r>
            <w:r w:rsidRPr="007D6B36">
              <w:rPr>
                <w:rFonts w:ascii="Arial" w:hAnsi="Arial" w:cs="Arial"/>
                <w:noProof/>
                <w:webHidden/>
              </w:rPr>
              <w:fldChar w:fldCharType="end"/>
            </w:r>
          </w:hyperlink>
        </w:p>
        <w:p w14:paraId="2C69B64A" w14:textId="4D49C4B0" w:rsidR="00A26001" w:rsidRPr="007D6B36" w:rsidRDefault="00A26001">
          <w:pPr>
            <w:pStyle w:val="TOC1"/>
            <w:tabs>
              <w:tab w:val="right" w:leader="dot" w:pos="9016"/>
            </w:tabs>
            <w:rPr>
              <w:rFonts w:ascii="Arial" w:hAnsi="Arial" w:cs="Arial"/>
              <w:noProof/>
            </w:rPr>
          </w:pPr>
          <w:hyperlink w:anchor="_Toc235375051" w:history="1">
            <w:r w:rsidRPr="007D6B36">
              <w:rPr>
                <w:rStyle w:val="Hyperlink"/>
                <w:rFonts w:ascii="Arial" w:hAnsi="Arial" w:cs="Arial"/>
                <w:noProof/>
              </w:rPr>
              <w:t>3. Importance of good administrative skills</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_Toc235375051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5</w:t>
            </w:r>
            <w:r w:rsidRPr="007D6B36">
              <w:rPr>
                <w:rFonts w:ascii="Arial" w:hAnsi="Arial" w:cs="Arial"/>
                <w:noProof/>
                <w:webHidden/>
              </w:rPr>
              <w:fldChar w:fldCharType="end"/>
            </w:r>
          </w:hyperlink>
        </w:p>
        <w:p w14:paraId="6E82F039" w14:textId="236C8EC6" w:rsidR="00A26001" w:rsidRPr="007D6B36" w:rsidRDefault="00A26001">
          <w:pPr>
            <w:pStyle w:val="TOC1"/>
            <w:tabs>
              <w:tab w:val="right" w:leader="dot" w:pos="9016"/>
            </w:tabs>
            <w:rPr>
              <w:rFonts w:ascii="Arial" w:hAnsi="Arial" w:cs="Arial"/>
              <w:noProof/>
            </w:rPr>
          </w:pPr>
          <w:hyperlink w:anchor="_Toc235375052" w:history="1">
            <w:r w:rsidRPr="007D6B36">
              <w:rPr>
                <w:rStyle w:val="Hyperlink"/>
                <w:rFonts w:ascii="Arial" w:hAnsi="Arial" w:cs="Arial"/>
                <w:noProof/>
              </w:rPr>
              <w:t>4. Importance of working collaboratively</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_Toc235375052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7</w:t>
            </w:r>
            <w:r w:rsidRPr="007D6B36">
              <w:rPr>
                <w:rFonts w:ascii="Arial" w:hAnsi="Arial" w:cs="Arial"/>
                <w:noProof/>
                <w:webHidden/>
              </w:rPr>
              <w:fldChar w:fldCharType="end"/>
            </w:r>
          </w:hyperlink>
        </w:p>
        <w:p w14:paraId="3046B584" w14:textId="0526885A" w:rsidR="00A26001" w:rsidRPr="007D6B36" w:rsidRDefault="00A26001">
          <w:pPr>
            <w:pStyle w:val="TOC1"/>
            <w:tabs>
              <w:tab w:val="right" w:leader="dot" w:pos="9016"/>
            </w:tabs>
            <w:rPr>
              <w:rFonts w:ascii="Arial" w:hAnsi="Arial" w:cs="Arial"/>
              <w:noProof/>
            </w:rPr>
          </w:pPr>
          <w:hyperlink w:anchor="_Toc235375053" w:history="1">
            <w:r w:rsidRPr="007D6B36">
              <w:rPr>
                <w:rStyle w:val="Hyperlink"/>
                <w:rFonts w:ascii="Arial" w:hAnsi="Arial" w:cs="Arial"/>
                <w:noProof/>
              </w:rPr>
              <w:t>5. Conclusion</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_Toc235375053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8</w:t>
            </w:r>
            <w:r w:rsidRPr="007D6B36">
              <w:rPr>
                <w:rFonts w:ascii="Arial" w:hAnsi="Arial" w:cs="Arial"/>
                <w:noProof/>
                <w:webHidden/>
              </w:rPr>
              <w:fldChar w:fldCharType="end"/>
            </w:r>
          </w:hyperlink>
        </w:p>
        <w:p w14:paraId="23AE57B4" w14:textId="6A9D9EF2" w:rsidR="00A26001" w:rsidRPr="007D6B36" w:rsidRDefault="00A26001">
          <w:pPr>
            <w:pStyle w:val="TOC1"/>
            <w:tabs>
              <w:tab w:val="right" w:leader="dot" w:pos="9016"/>
            </w:tabs>
            <w:rPr>
              <w:rFonts w:ascii="Arial" w:hAnsi="Arial" w:cs="Arial"/>
              <w:noProof/>
            </w:rPr>
          </w:pPr>
          <w:hyperlink w:anchor="_Toc235375054" w:history="1">
            <w:r w:rsidRPr="007D6B36">
              <w:rPr>
                <w:rStyle w:val="Hyperlink"/>
                <w:rFonts w:ascii="Arial" w:hAnsi="Arial" w:cs="Arial"/>
                <w:noProof/>
              </w:rPr>
              <w:t>References</w:t>
            </w:r>
            <w:r w:rsidRPr="007D6B36">
              <w:rPr>
                <w:rFonts w:ascii="Arial" w:hAnsi="Arial" w:cs="Arial"/>
                <w:noProof/>
                <w:webHidden/>
              </w:rPr>
              <w:tab/>
            </w:r>
            <w:r w:rsidRPr="007D6B36">
              <w:rPr>
                <w:rFonts w:ascii="Arial" w:hAnsi="Arial" w:cs="Arial"/>
                <w:noProof/>
                <w:webHidden/>
              </w:rPr>
              <w:fldChar w:fldCharType="begin"/>
            </w:r>
            <w:r w:rsidRPr="007D6B36">
              <w:rPr>
                <w:rFonts w:ascii="Arial" w:hAnsi="Arial" w:cs="Arial"/>
                <w:noProof/>
                <w:webHidden/>
              </w:rPr>
              <w:instrText xml:space="preserve"> PAGEREF _Toc235375054 \h </w:instrText>
            </w:r>
            <w:r w:rsidRPr="007D6B36">
              <w:rPr>
                <w:rFonts w:ascii="Arial" w:hAnsi="Arial" w:cs="Arial"/>
                <w:noProof/>
                <w:webHidden/>
              </w:rPr>
            </w:r>
            <w:r w:rsidRPr="007D6B36">
              <w:rPr>
                <w:rFonts w:ascii="Arial" w:hAnsi="Arial" w:cs="Arial"/>
                <w:noProof/>
                <w:webHidden/>
              </w:rPr>
              <w:fldChar w:fldCharType="separate"/>
            </w:r>
            <w:r w:rsidR="00815CAA">
              <w:rPr>
                <w:rFonts w:ascii="Arial" w:hAnsi="Arial" w:cs="Arial"/>
                <w:noProof/>
                <w:webHidden/>
              </w:rPr>
              <w:t>9</w:t>
            </w:r>
            <w:r w:rsidRPr="007D6B36">
              <w:rPr>
                <w:rFonts w:ascii="Arial" w:hAnsi="Arial" w:cs="Arial"/>
                <w:noProof/>
                <w:webHidden/>
              </w:rPr>
              <w:fldChar w:fldCharType="end"/>
            </w:r>
          </w:hyperlink>
        </w:p>
        <w:p w14:paraId="56EECCC4" w14:textId="63D00D33" w:rsidR="00A26001" w:rsidRDefault="00A26001">
          <w:r>
            <w:rPr>
              <w:b/>
              <w:bCs/>
              <w:noProof/>
            </w:rPr>
            <w:fldChar w:fldCharType="end"/>
          </w:r>
        </w:p>
      </w:sdtContent>
    </w:sdt>
    <w:p w14:paraId="2E79F7ED" w14:textId="182913C0" w:rsidR="00B87E75" w:rsidRPr="00CD33A8" w:rsidRDefault="00B87E75" w:rsidP="00A909EA">
      <w:pPr>
        <w:spacing w:before="240" w:line="360" w:lineRule="auto"/>
        <w:jc w:val="both"/>
        <w:rPr>
          <w:rFonts w:asciiTheme="minorBidi" w:hAnsiTheme="minorBidi"/>
          <w:sz w:val="22"/>
        </w:rPr>
      </w:pPr>
    </w:p>
    <w:p w14:paraId="7AE771D5" w14:textId="1C06E45A" w:rsidR="00B87E75" w:rsidRPr="00CD33A8" w:rsidRDefault="00B87E75" w:rsidP="00A909EA">
      <w:pPr>
        <w:spacing w:before="240" w:line="360" w:lineRule="auto"/>
        <w:jc w:val="both"/>
        <w:rPr>
          <w:rFonts w:asciiTheme="minorBidi" w:hAnsiTheme="minorBidi"/>
          <w:sz w:val="22"/>
        </w:rPr>
      </w:pPr>
    </w:p>
    <w:p w14:paraId="4F7320CB" w14:textId="000D21B8" w:rsidR="00B87E75" w:rsidRPr="00CD33A8" w:rsidRDefault="00B87E75" w:rsidP="00A909EA">
      <w:pPr>
        <w:spacing w:before="240" w:line="360" w:lineRule="auto"/>
        <w:jc w:val="both"/>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A909EA">
      <w:pPr>
        <w:pStyle w:val="Heading1"/>
        <w:jc w:val="both"/>
      </w:pPr>
      <w:bookmarkStart w:id="1" w:name="_Toc235375049"/>
      <w:r w:rsidRPr="00CD33A8">
        <w:lastRenderedPageBreak/>
        <w:t>1. Introduction</w:t>
      </w:r>
      <w:bookmarkEnd w:id="1"/>
    </w:p>
    <w:p w14:paraId="52010A5E" w14:textId="0FBA498E" w:rsidR="0026393A" w:rsidRPr="00A909EA" w:rsidRDefault="00D5376B" w:rsidP="00A909EA">
      <w:pPr>
        <w:tabs>
          <w:tab w:val="left" w:pos="6540"/>
        </w:tabs>
        <w:spacing w:before="240" w:line="360" w:lineRule="auto"/>
        <w:jc w:val="both"/>
        <w:rPr>
          <w:rFonts w:ascii="Arial" w:hAnsi="Arial" w:cs="Arial"/>
          <w:szCs w:val="24"/>
        </w:rPr>
      </w:pPr>
      <w:r w:rsidRPr="00A909EA">
        <w:rPr>
          <w:rFonts w:ascii="Arial" w:hAnsi="Arial" w:cs="Arial"/>
          <w:szCs w:val="24"/>
        </w:rPr>
        <w:t xml:space="preserve">This is a comprehensive report on the multi-agency care that is provided to Mrs Thompson, an </w:t>
      </w:r>
      <w:r w:rsidR="00AC4096">
        <w:rPr>
          <w:rFonts w:ascii="Arial" w:hAnsi="Arial" w:cs="Arial"/>
          <w:szCs w:val="24"/>
        </w:rPr>
        <w:t>84-year-old</w:t>
      </w:r>
      <w:r w:rsidRPr="00A909EA">
        <w:rPr>
          <w:rFonts w:ascii="Arial" w:hAnsi="Arial" w:cs="Arial"/>
          <w:szCs w:val="24"/>
        </w:rPr>
        <w:t xml:space="preserve"> resident of sheltered housing. Mrs Thompson's needs have increased greatly in recent times as she has been discharged from hospital with pneumonia and has mild dementia, coupled with a safeguarding incident where she has been wandering out and a recent critical medication omission. Her safety and well-being </w:t>
      </w:r>
      <w:r w:rsidR="00AC4096">
        <w:rPr>
          <w:rFonts w:ascii="Arial" w:hAnsi="Arial" w:cs="Arial"/>
          <w:szCs w:val="24"/>
        </w:rPr>
        <w:t>depend</w:t>
      </w:r>
      <w:r w:rsidRPr="00A909EA">
        <w:rPr>
          <w:rFonts w:ascii="Arial" w:hAnsi="Arial" w:cs="Arial"/>
          <w:szCs w:val="24"/>
        </w:rPr>
        <w:t xml:space="preserve"> on the ability to operate as a vulnerable person with </w:t>
      </w:r>
      <w:r w:rsidR="00AC4096">
        <w:rPr>
          <w:rFonts w:ascii="Arial" w:hAnsi="Arial" w:cs="Arial"/>
          <w:szCs w:val="24"/>
        </w:rPr>
        <w:t>twice-daily</w:t>
      </w:r>
      <w:r w:rsidRPr="00A909EA">
        <w:rPr>
          <w:rFonts w:ascii="Arial" w:hAnsi="Arial" w:cs="Arial"/>
          <w:szCs w:val="24"/>
        </w:rPr>
        <w:t xml:space="preserve"> domiciliary care and having a cohesive and proactive health and social care network</w:t>
      </w:r>
      <w:r w:rsidR="00AC4096">
        <w:rPr>
          <w:rFonts w:ascii="Arial" w:hAnsi="Arial" w:cs="Arial"/>
          <w:szCs w:val="24"/>
        </w:rPr>
        <w:t xml:space="preserve"> (Galsby, 2017)</w:t>
      </w:r>
      <w:r w:rsidRPr="00A909EA">
        <w:rPr>
          <w:rFonts w:ascii="Arial" w:hAnsi="Arial" w:cs="Arial"/>
          <w:szCs w:val="24"/>
        </w:rPr>
        <w:t xml:space="preserve">. This report focuses on three areas of professional practice that are integral to the person-centred interventions she currently provides: </w:t>
      </w:r>
      <w:r w:rsidR="00AC4096">
        <w:rPr>
          <w:rFonts w:ascii="Arial" w:hAnsi="Arial" w:cs="Arial"/>
          <w:szCs w:val="24"/>
        </w:rPr>
        <w:t xml:space="preserve">the application of person-centred communication models in the context of equality law; the need for robust administrative record-keeping in legal and clinical settings; and the </w:t>
      </w:r>
      <w:r w:rsidRPr="00A909EA">
        <w:rPr>
          <w:rFonts w:ascii="Arial" w:hAnsi="Arial" w:cs="Arial"/>
          <w:szCs w:val="24"/>
        </w:rPr>
        <w:t xml:space="preserve">skills and strategies for effective multidisciplinary collaboration. The ultimate aim is to create a safe, dignified and integrated care system that minimises risk whilst actively upholding Mrs Thompson's residual independence. </w:t>
      </w:r>
    </w:p>
    <w:p w14:paraId="73B07562" w14:textId="0E99FAFE" w:rsidR="008E3943" w:rsidRDefault="0026393A" w:rsidP="00A909EA">
      <w:pPr>
        <w:pStyle w:val="Heading1"/>
        <w:jc w:val="both"/>
      </w:pPr>
      <w:bookmarkStart w:id="2" w:name="_Toc235375050"/>
      <w:r w:rsidRPr="00CD33A8">
        <w:t xml:space="preserve">2. </w:t>
      </w:r>
      <w:r w:rsidR="008E3943">
        <w:t>I</w:t>
      </w:r>
      <w:r w:rsidR="008E3943" w:rsidRPr="008E3943">
        <w:t>mportance of effective communication</w:t>
      </w:r>
      <w:bookmarkEnd w:id="2"/>
    </w:p>
    <w:p w14:paraId="0537CEF5" w14:textId="6D33E9D5" w:rsidR="003E4ECF" w:rsidRDefault="00D5376B"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 xml:space="preserve">Communication is key to safe, </w:t>
      </w:r>
      <w:r w:rsidR="00AC4096">
        <w:rPr>
          <w:rFonts w:asciiTheme="minorBidi" w:hAnsiTheme="minorBidi"/>
          <w:szCs w:val="24"/>
        </w:rPr>
        <w:t>high-quality</w:t>
      </w:r>
      <w:r w:rsidRPr="00A909EA">
        <w:rPr>
          <w:rFonts w:asciiTheme="minorBidi" w:hAnsiTheme="minorBidi"/>
          <w:szCs w:val="24"/>
        </w:rPr>
        <w:t xml:space="preserve"> care, especially for those with cognitive loss. When Mrs Thompson is unable to remember them all, or to process the information as quickly, communication needs to be carefully planned to help her maintain her independence, minimise her anxiety and avoid failure of care, such as forgetting to take </w:t>
      </w:r>
      <w:r w:rsidR="00EE0325" w:rsidRPr="00A909EA">
        <w:rPr>
          <w:rFonts w:asciiTheme="minorBidi" w:hAnsiTheme="minorBidi"/>
          <w:szCs w:val="24"/>
        </w:rPr>
        <w:t>medicatio</w:t>
      </w:r>
      <w:r w:rsidRPr="00A909EA">
        <w:rPr>
          <w:rFonts w:asciiTheme="minorBidi" w:hAnsiTheme="minorBidi"/>
          <w:szCs w:val="24"/>
        </w:rPr>
        <w:t>n</w:t>
      </w:r>
      <w:r w:rsidR="00EE0325" w:rsidRPr="00A909EA">
        <w:rPr>
          <w:rFonts w:asciiTheme="minorBidi" w:hAnsiTheme="minorBidi"/>
          <w:szCs w:val="24"/>
        </w:rPr>
        <w:t xml:space="preserve"> (Lee et al., 2022)</w:t>
      </w:r>
      <w:r w:rsidRPr="00A909EA">
        <w:rPr>
          <w:rFonts w:asciiTheme="minorBidi" w:hAnsiTheme="minorBidi"/>
          <w:szCs w:val="24"/>
        </w:rPr>
        <w:t xml:space="preserve">. The VIPS framework (Value, </w:t>
      </w:r>
      <w:r w:rsidR="00AC4096">
        <w:rPr>
          <w:rFonts w:asciiTheme="minorBidi" w:hAnsiTheme="minorBidi"/>
          <w:szCs w:val="24"/>
        </w:rPr>
        <w:t>Individualised</w:t>
      </w:r>
      <w:r w:rsidRPr="00A909EA">
        <w:rPr>
          <w:rFonts w:asciiTheme="minorBidi" w:hAnsiTheme="minorBidi"/>
          <w:szCs w:val="24"/>
        </w:rPr>
        <w:t xml:space="preserve">, Perspective, Social environment) is the basic approach to communication that needs to be followed when communicating with Mrs Thompson (as per the </w:t>
      </w:r>
      <w:r w:rsidR="00AC4096">
        <w:rPr>
          <w:rFonts w:asciiTheme="minorBidi" w:hAnsiTheme="minorBidi"/>
          <w:szCs w:val="24"/>
        </w:rPr>
        <w:t>person-centred</w:t>
      </w:r>
      <w:r w:rsidRPr="00A909EA">
        <w:rPr>
          <w:rFonts w:asciiTheme="minorBidi" w:hAnsiTheme="minorBidi"/>
          <w:szCs w:val="24"/>
        </w:rPr>
        <w:t xml:space="preserve"> dementia care philosophy of Tom Kitwood)</w:t>
      </w:r>
      <w:r w:rsidR="00FE5719" w:rsidRPr="00A909EA">
        <w:rPr>
          <w:rFonts w:asciiTheme="minorBidi" w:hAnsiTheme="minorBidi"/>
          <w:szCs w:val="24"/>
        </w:rPr>
        <w:t xml:space="preserve"> (Brooker, 2022)</w:t>
      </w:r>
      <w:r w:rsidRPr="00A909EA">
        <w:rPr>
          <w:rFonts w:asciiTheme="minorBidi" w:hAnsiTheme="minorBidi"/>
          <w:szCs w:val="24"/>
        </w:rPr>
        <w:t>.</w:t>
      </w:r>
    </w:p>
    <w:p w14:paraId="55550866" w14:textId="601EC4DD" w:rsidR="00572F7C" w:rsidRDefault="00572F7C" w:rsidP="00A909EA">
      <w:pPr>
        <w:tabs>
          <w:tab w:val="left" w:pos="6540"/>
        </w:tabs>
        <w:spacing w:before="240" w:line="360" w:lineRule="auto"/>
        <w:jc w:val="both"/>
        <w:rPr>
          <w:rFonts w:asciiTheme="minorBidi" w:hAnsiTheme="minorBidi"/>
          <w:szCs w:val="24"/>
        </w:rPr>
      </w:pPr>
      <w:r>
        <w:rPr>
          <w:rFonts w:asciiTheme="minorBidi" w:hAnsiTheme="minorBidi"/>
          <w:noProof/>
          <w:szCs w:val="24"/>
        </w:rPr>
        <w:lastRenderedPageBreak/>
        <w:drawing>
          <wp:inline distT="0" distB="0" distL="0" distR="0" wp14:anchorId="17732BAD" wp14:editId="333E0EB2">
            <wp:extent cx="5486400" cy="3200400"/>
            <wp:effectExtent l="0" t="0" r="19050" b="19050"/>
            <wp:docPr id="33987986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7E7096F" w14:textId="0C37F3E6" w:rsidR="00763128" w:rsidRPr="004B0737" w:rsidRDefault="00A9664A" w:rsidP="00A9664A">
      <w:pPr>
        <w:pStyle w:val="Caption"/>
        <w:jc w:val="center"/>
        <w:rPr>
          <w:rFonts w:ascii="Arial" w:hAnsi="Arial" w:cs="Arial"/>
          <w:color w:val="000000" w:themeColor="text1"/>
          <w:sz w:val="24"/>
          <w:szCs w:val="24"/>
        </w:rPr>
      </w:pPr>
      <w:r w:rsidRPr="004B0737">
        <w:rPr>
          <w:rFonts w:ascii="Arial" w:hAnsi="Arial" w:cs="Arial"/>
          <w:color w:val="000000" w:themeColor="text1"/>
          <w:sz w:val="24"/>
          <w:szCs w:val="24"/>
        </w:rPr>
        <w:t xml:space="preserve">Figure </w:t>
      </w:r>
      <w:r w:rsidRPr="004B0737">
        <w:rPr>
          <w:rFonts w:ascii="Arial" w:hAnsi="Arial" w:cs="Arial"/>
          <w:color w:val="000000" w:themeColor="text1"/>
          <w:sz w:val="24"/>
          <w:szCs w:val="24"/>
        </w:rPr>
        <w:fldChar w:fldCharType="begin"/>
      </w:r>
      <w:r w:rsidRPr="004B0737">
        <w:rPr>
          <w:rFonts w:ascii="Arial" w:hAnsi="Arial" w:cs="Arial"/>
          <w:color w:val="000000" w:themeColor="text1"/>
          <w:sz w:val="24"/>
          <w:szCs w:val="24"/>
        </w:rPr>
        <w:instrText xml:space="preserve"> SEQ Figure \* ARABIC </w:instrText>
      </w:r>
      <w:r w:rsidRPr="004B0737">
        <w:rPr>
          <w:rFonts w:ascii="Arial" w:hAnsi="Arial" w:cs="Arial"/>
          <w:color w:val="000000" w:themeColor="text1"/>
          <w:sz w:val="24"/>
          <w:szCs w:val="24"/>
        </w:rPr>
        <w:fldChar w:fldCharType="separate"/>
      </w:r>
      <w:r w:rsidRPr="004B0737">
        <w:rPr>
          <w:rFonts w:ascii="Arial" w:hAnsi="Arial" w:cs="Arial"/>
          <w:noProof/>
          <w:color w:val="000000" w:themeColor="text1"/>
          <w:sz w:val="24"/>
          <w:szCs w:val="24"/>
        </w:rPr>
        <w:t>1</w:t>
      </w:r>
      <w:r w:rsidRPr="004B0737">
        <w:rPr>
          <w:rFonts w:ascii="Arial" w:hAnsi="Arial" w:cs="Arial"/>
          <w:color w:val="000000" w:themeColor="text1"/>
          <w:sz w:val="24"/>
          <w:szCs w:val="24"/>
        </w:rPr>
        <w:fldChar w:fldCharType="end"/>
      </w:r>
      <w:r w:rsidRPr="004B0737">
        <w:rPr>
          <w:rFonts w:ascii="Arial" w:hAnsi="Arial" w:cs="Arial"/>
          <w:color w:val="000000" w:themeColor="text1"/>
          <w:sz w:val="24"/>
          <w:szCs w:val="24"/>
        </w:rPr>
        <w:t xml:space="preserve"> </w:t>
      </w:r>
      <w:r w:rsidR="00763128" w:rsidRPr="004B0737">
        <w:rPr>
          <w:rFonts w:ascii="Arial" w:hAnsi="Arial" w:cs="Arial"/>
          <w:color w:val="000000" w:themeColor="text1"/>
          <w:sz w:val="24"/>
          <w:szCs w:val="24"/>
        </w:rPr>
        <w:t>VIPS Framework for Mrs Thompson (Source: Author)</w:t>
      </w:r>
    </w:p>
    <w:p w14:paraId="3398AF2B" w14:textId="5115ED3D" w:rsidR="008E3943" w:rsidRPr="00A909EA" w:rsidRDefault="00D5376B"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 xml:space="preserve">Practitioners must be aware </w:t>
      </w:r>
      <w:r w:rsidR="00AC4096">
        <w:rPr>
          <w:rFonts w:asciiTheme="minorBidi" w:hAnsiTheme="minorBidi"/>
          <w:szCs w:val="24"/>
        </w:rPr>
        <w:t xml:space="preserve">of </w:t>
      </w:r>
      <w:r w:rsidRPr="00A909EA">
        <w:rPr>
          <w:rFonts w:asciiTheme="minorBidi" w:hAnsiTheme="minorBidi"/>
          <w:szCs w:val="24"/>
        </w:rPr>
        <w:t>and respect Mrs Thompson as a whole person and not just as someone with a diagnosis. Communication should be very personal and consider her life and preferences, using short, simple sentences and closed questions; not giving her too many options as this can confuse her. Also, workers should attempt to listen to her and attempt to understand her psychological perspective</w:t>
      </w:r>
      <w:r w:rsidR="00AC4096">
        <w:rPr>
          <w:rFonts w:asciiTheme="minorBidi" w:hAnsiTheme="minorBidi"/>
          <w:szCs w:val="24"/>
        </w:rPr>
        <w:t>,</w:t>
      </w:r>
      <w:r w:rsidRPr="00A909EA">
        <w:rPr>
          <w:rFonts w:asciiTheme="minorBidi" w:hAnsiTheme="minorBidi"/>
          <w:szCs w:val="24"/>
        </w:rPr>
        <w:t xml:space="preserve"> as she may be refusing to take medications or walk around because she may be afraid, uncomfortable or feel she has a purpose. Finally, the social context must be calm, without interfering noises and non-verbal support </w:t>
      </w:r>
      <w:r w:rsidR="00905A01" w:rsidRPr="00A909EA">
        <w:rPr>
          <w:rFonts w:asciiTheme="minorBidi" w:hAnsiTheme="minorBidi"/>
          <w:szCs w:val="24"/>
        </w:rPr>
        <w:t xml:space="preserve">such as </w:t>
      </w:r>
      <w:r w:rsidRPr="00A909EA">
        <w:rPr>
          <w:rFonts w:asciiTheme="minorBidi" w:hAnsiTheme="minorBidi"/>
          <w:szCs w:val="24"/>
        </w:rPr>
        <w:t>eye contact, body language</w:t>
      </w:r>
      <w:r w:rsidR="00AC4096">
        <w:rPr>
          <w:rFonts w:asciiTheme="minorBidi" w:hAnsiTheme="minorBidi"/>
          <w:szCs w:val="24"/>
        </w:rPr>
        <w:t>,</w:t>
      </w:r>
      <w:r w:rsidRPr="00A909EA">
        <w:rPr>
          <w:rFonts w:asciiTheme="minorBidi" w:hAnsiTheme="minorBidi"/>
          <w:szCs w:val="24"/>
        </w:rPr>
        <w:t xml:space="preserve"> etc.</w:t>
      </w:r>
      <w:r w:rsidR="00905A01" w:rsidRPr="00A909EA">
        <w:rPr>
          <w:rFonts w:asciiTheme="minorBidi" w:hAnsiTheme="minorBidi"/>
          <w:szCs w:val="24"/>
        </w:rPr>
        <w:t xml:space="preserve"> (Grover et al., 2022).</w:t>
      </w:r>
      <w:r w:rsidR="002C1CD9">
        <w:rPr>
          <w:rFonts w:asciiTheme="minorBidi" w:hAnsiTheme="minorBidi"/>
          <w:szCs w:val="24"/>
        </w:rPr>
        <w:t xml:space="preserve"> </w:t>
      </w:r>
      <w:r w:rsidRPr="00A909EA">
        <w:rPr>
          <w:rFonts w:asciiTheme="minorBidi" w:hAnsiTheme="minorBidi"/>
          <w:szCs w:val="24"/>
        </w:rPr>
        <w:t xml:space="preserve">As the interaction with Mrs Thompson's family </w:t>
      </w:r>
      <w:r w:rsidR="00AC4096">
        <w:rPr>
          <w:rFonts w:asciiTheme="minorBidi" w:hAnsiTheme="minorBidi"/>
          <w:szCs w:val="24"/>
        </w:rPr>
        <w:t>develops</w:t>
      </w:r>
      <w:r w:rsidRPr="00A909EA">
        <w:rPr>
          <w:rFonts w:asciiTheme="minorBidi" w:hAnsiTheme="minorBidi"/>
          <w:szCs w:val="24"/>
        </w:rPr>
        <w:t xml:space="preserve">, the communication </w:t>
      </w:r>
      <w:r w:rsidR="00AC4096">
        <w:rPr>
          <w:rFonts w:asciiTheme="minorBidi" w:hAnsiTheme="minorBidi"/>
          <w:szCs w:val="24"/>
        </w:rPr>
        <w:t>becomes</w:t>
      </w:r>
      <w:r w:rsidRPr="00A909EA">
        <w:rPr>
          <w:rFonts w:asciiTheme="minorBidi" w:hAnsiTheme="minorBidi"/>
          <w:szCs w:val="24"/>
        </w:rPr>
        <w:t xml:space="preserve"> more transparent and more collaborative, and is more supportive of emotions. Family members are crucial links to her past and her normal behaviours. These should be communicated to them in a structured manner that is respectful and empathetic</w:t>
      </w:r>
      <w:r w:rsidR="00AC4096">
        <w:rPr>
          <w:rFonts w:asciiTheme="minorBidi" w:hAnsiTheme="minorBidi"/>
          <w:szCs w:val="24"/>
        </w:rPr>
        <w:t>,</w:t>
      </w:r>
      <w:r w:rsidRPr="00A909EA">
        <w:rPr>
          <w:rFonts w:asciiTheme="minorBidi" w:hAnsiTheme="minorBidi"/>
          <w:szCs w:val="24"/>
        </w:rPr>
        <w:t xml:space="preserve"> and that they are aware of risk reviews but not at the detriment of Mrs Thompson's rights</w:t>
      </w:r>
      <w:r w:rsidR="00AC4096">
        <w:rPr>
          <w:rFonts w:asciiTheme="minorBidi" w:hAnsiTheme="minorBidi"/>
          <w:szCs w:val="24"/>
        </w:rPr>
        <w:t xml:space="preserve"> (Chambers et al., 2021)</w:t>
      </w:r>
      <w:r w:rsidRPr="00A909EA">
        <w:rPr>
          <w:rFonts w:asciiTheme="minorBidi" w:hAnsiTheme="minorBidi"/>
          <w:szCs w:val="24"/>
        </w:rPr>
        <w:t>.</w:t>
      </w:r>
    </w:p>
    <w:p w14:paraId="3DDF5254" w14:textId="43F87044" w:rsidR="00D5376B" w:rsidRPr="00A909EA" w:rsidRDefault="00D5376B"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 xml:space="preserve">A direct response to the Equality Act 2010, which makes it a legal responsibility to prevent discrimination against others </w:t>
      </w:r>
      <w:r w:rsidR="00AC4096">
        <w:rPr>
          <w:rFonts w:asciiTheme="minorBidi" w:hAnsiTheme="minorBidi"/>
          <w:szCs w:val="24"/>
        </w:rPr>
        <w:t>based on</w:t>
      </w:r>
      <w:r w:rsidRPr="00A909EA">
        <w:rPr>
          <w:rFonts w:asciiTheme="minorBidi" w:hAnsiTheme="minorBidi"/>
          <w:szCs w:val="24"/>
        </w:rPr>
        <w:t xml:space="preserve"> their protected characteristics</w:t>
      </w:r>
      <w:r w:rsidR="00AC4096">
        <w:rPr>
          <w:rFonts w:asciiTheme="minorBidi" w:hAnsiTheme="minorBidi"/>
          <w:szCs w:val="24"/>
        </w:rPr>
        <w:t>,</w:t>
      </w:r>
      <w:r w:rsidRPr="00A909EA">
        <w:rPr>
          <w:rFonts w:asciiTheme="minorBidi" w:hAnsiTheme="minorBidi"/>
          <w:szCs w:val="24"/>
        </w:rPr>
        <w:t xml:space="preserve"> including disability and age</w:t>
      </w:r>
      <w:r w:rsidR="00D05DF2" w:rsidRPr="00A909EA">
        <w:rPr>
          <w:rFonts w:asciiTheme="minorBidi" w:hAnsiTheme="minorBidi"/>
          <w:szCs w:val="24"/>
        </w:rPr>
        <w:t xml:space="preserve"> (</w:t>
      </w:r>
      <w:proofErr w:type="spellStart"/>
      <w:r w:rsidR="00D05DF2" w:rsidRPr="00A909EA">
        <w:rPr>
          <w:rFonts w:asciiTheme="minorBidi" w:hAnsiTheme="minorBidi"/>
          <w:szCs w:val="24"/>
        </w:rPr>
        <w:t>Koutsouris</w:t>
      </w:r>
      <w:proofErr w:type="spellEnd"/>
      <w:r w:rsidR="00D05DF2" w:rsidRPr="00A909EA">
        <w:rPr>
          <w:rFonts w:asciiTheme="minorBidi" w:hAnsiTheme="minorBidi"/>
          <w:szCs w:val="24"/>
        </w:rPr>
        <w:t xml:space="preserve"> et al., 2022)</w:t>
      </w:r>
      <w:r w:rsidRPr="00A909EA">
        <w:rPr>
          <w:rFonts w:asciiTheme="minorBidi" w:hAnsiTheme="minorBidi"/>
          <w:szCs w:val="24"/>
        </w:rPr>
        <w:t xml:space="preserve">. The Act imposes a responsibility on a care provider to make reasonable adjustments to overcome barriers to communication. This involves Mrs Thompson </w:t>
      </w:r>
      <w:r w:rsidR="00AC4096">
        <w:rPr>
          <w:rFonts w:asciiTheme="minorBidi" w:hAnsiTheme="minorBidi"/>
          <w:szCs w:val="24"/>
        </w:rPr>
        <w:t>using</w:t>
      </w:r>
      <w:r w:rsidRPr="00A909EA">
        <w:rPr>
          <w:rFonts w:asciiTheme="minorBidi" w:hAnsiTheme="minorBidi"/>
          <w:szCs w:val="24"/>
        </w:rPr>
        <w:t xml:space="preserve"> communication aids such as large </w:t>
      </w:r>
      <w:r w:rsidRPr="00A909EA">
        <w:rPr>
          <w:rFonts w:asciiTheme="minorBidi" w:hAnsiTheme="minorBidi"/>
          <w:szCs w:val="24"/>
        </w:rPr>
        <w:lastRenderedPageBreak/>
        <w:t>print written care plans, using pictorial medication plans and ensuring extra time is used during assessments for her to process information. Professionals respect the basic principles of the Act, equality of opportunity, freedom from unlawful discrimination and her inherent dignity within the care system, by actively adjusting communication to her cognitive ability</w:t>
      </w:r>
      <w:r w:rsidR="00946661">
        <w:rPr>
          <w:rFonts w:asciiTheme="minorBidi" w:hAnsiTheme="minorBidi"/>
          <w:szCs w:val="24"/>
        </w:rPr>
        <w:t xml:space="preserve"> (Galsby and Dickinson, 2014)</w:t>
      </w:r>
      <w:r w:rsidRPr="00A909EA">
        <w:rPr>
          <w:rFonts w:asciiTheme="minorBidi" w:hAnsiTheme="minorBidi"/>
          <w:szCs w:val="24"/>
        </w:rPr>
        <w:t>. This will help her to stay engaged in her care, even though she has cognitive impairment.</w:t>
      </w:r>
    </w:p>
    <w:p w14:paraId="60B2CDC3" w14:textId="12EE5464" w:rsidR="00B87E75" w:rsidRPr="00CD33A8" w:rsidRDefault="0026393A" w:rsidP="00A909EA">
      <w:pPr>
        <w:pStyle w:val="Heading1"/>
        <w:jc w:val="both"/>
      </w:pPr>
      <w:bookmarkStart w:id="3" w:name="_Toc235375051"/>
      <w:r w:rsidRPr="00CD33A8">
        <w:t>3</w:t>
      </w:r>
      <w:r w:rsidR="00B87E75" w:rsidRPr="00CD33A8">
        <w:t>.</w:t>
      </w:r>
      <w:r w:rsidR="008E3943">
        <w:t xml:space="preserve"> I</w:t>
      </w:r>
      <w:r w:rsidR="008E3943" w:rsidRPr="008E3943">
        <w:t>mportance of good administrative skills</w:t>
      </w:r>
      <w:bookmarkEnd w:id="3"/>
      <w:r w:rsidR="008E3943" w:rsidRPr="008E3943">
        <w:t xml:space="preserve"> </w:t>
      </w:r>
    </w:p>
    <w:p w14:paraId="4FC14C6B" w14:textId="4E116BF6" w:rsidR="00B87E75" w:rsidRDefault="00AB43E4"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Ensuring that documentation and good administrative processes are maintained is of importance in health and social care. In terms of Mrs Thompson’s case, administrative inaccuracy is a matter of clinical safety</w:t>
      </w:r>
      <w:r w:rsidR="00FC3DFD">
        <w:rPr>
          <w:rFonts w:asciiTheme="minorBidi" w:hAnsiTheme="minorBidi"/>
          <w:szCs w:val="24"/>
        </w:rPr>
        <w:t xml:space="preserve"> (Barnard, 2017)</w:t>
      </w:r>
      <w:r w:rsidRPr="00A909EA">
        <w:rPr>
          <w:rFonts w:asciiTheme="minorBidi" w:hAnsiTheme="minorBidi"/>
          <w:szCs w:val="24"/>
        </w:rPr>
        <w:t>. The most immediate risk of inadequate or delayed information tracking is the breakdown that led to her not taking vital medications on two separate days, causing her to be in a state of acute confusion. Good administrative practice is the completion of incident reports, medicines administration records (MAR charts) and care logs, which are completed objectively, properly and contemporaneously.</w:t>
      </w:r>
    </w:p>
    <w:p w14:paraId="2BF06B7E" w14:textId="6DA149E1" w:rsidR="0032168D" w:rsidRPr="0032168D" w:rsidRDefault="0032168D" w:rsidP="0032168D">
      <w:pPr>
        <w:pStyle w:val="Caption"/>
        <w:rPr>
          <w:rFonts w:ascii="Arial" w:hAnsi="Arial" w:cs="Arial"/>
          <w:i w:val="0"/>
          <w:iCs w:val="0"/>
          <w:color w:val="auto"/>
          <w:sz w:val="20"/>
          <w:szCs w:val="20"/>
        </w:rPr>
      </w:pPr>
      <w:r w:rsidRPr="0032168D">
        <w:rPr>
          <w:rFonts w:ascii="Arial" w:hAnsi="Arial" w:cs="Arial"/>
          <w:i w:val="0"/>
          <w:iCs w:val="0"/>
          <w:color w:val="auto"/>
          <w:sz w:val="20"/>
          <w:szCs w:val="20"/>
        </w:rPr>
        <w:t xml:space="preserve">Table </w:t>
      </w:r>
      <w:r w:rsidRPr="0032168D">
        <w:rPr>
          <w:rFonts w:ascii="Arial" w:hAnsi="Arial" w:cs="Arial"/>
          <w:i w:val="0"/>
          <w:iCs w:val="0"/>
          <w:color w:val="auto"/>
          <w:sz w:val="20"/>
          <w:szCs w:val="20"/>
        </w:rPr>
        <w:fldChar w:fldCharType="begin"/>
      </w:r>
      <w:r w:rsidRPr="0032168D">
        <w:rPr>
          <w:rFonts w:ascii="Arial" w:hAnsi="Arial" w:cs="Arial"/>
          <w:i w:val="0"/>
          <w:iCs w:val="0"/>
          <w:color w:val="auto"/>
          <w:sz w:val="20"/>
          <w:szCs w:val="20"/>
        </w:rPr>
        <w:instrText xml:space="preserve"> SEQ Table \* ARABIC </w:instrText>
      </w:r>
      <w:r w:rsidRPr="0032168D">
        <w:rPr>
          <w:rFonts w:ascii="Arial" w:hAnsi="Arial" w:cs="Arial"/>
          <w:i w:val="0"/>
          <w:iCs w:val="0"/>
          <w:color w:val="auto"/>
          <w:sz w:val="20"/>
          <w:szCs w:val="20"/>
        </w:rPr>
        <w:fldChar w:fldCharType="separate"/>
      </w:r>
      <w:r w:rsidRPr="0032168D">
        <w:rPr>
          <w:rFonts w:ascii="Arial" w:hAnsi="Arial" w:cs="Arial"/>
          <w:i w:val="0"/>
          <w:iCs w:val="0"/>
          <w:noProof/>
          <w:color w:val="auto"/>
          <w:sz w:val="20"/>
          <w:szCs w:val="20"/>
        </w:rPr>
        <w:t>1</w:t>
      </w:r>
      <w:r w:rsidRPr="0032168D">
        <w:rPr>
          <w:rFonts w:ascii="Arial" w:hAnsi="Arial" w:cs="Arial"/>
          <w:i w:val="0"/>
          <w:iCs w:val="0"/>
          <w:color w:val="auto"/>
          <w:sz w:val="20"/>
          <w:szCs w:val="20"/>
        </w:rPr>
        <w:fldChar w:fldCharType="end"/>
      </w:r>
      <w:r w:rsidRPr="0032168D">
        <w:rPr>
          <w:rFonts w:ascii="Arial" w:hAnsi="Arial" w:cs="Arial"/>
          <w:i w:val="0"/>
          <w:iCs w:val="0"/>
          <w:color w:val="auto"/>
          <w:sz w:val="20"/>
          <w:szCs w:val="20"/>
        </w:rPr>
        <w:t xml:space="preserve"> Information routing matrix for Special Category Data during a medication incident response</w:t>
      </w:r>
    </w:p>
    <w:tbl>
      <w:tblPr>
        <w:tblStyle w:val="GridTable1Light"/>
        <w:tblW w:w="0" w:type="auto"/>
        <w:tblLook w:val="04A0" w:firstRow="1" w:lastRow="0" w:firstColumn="1" w:lastColumn="0" w:noHBand="0" w:noVBand="1"/>
      </w:tblPr>
      <w:tblGrid>
        <w:gridCol w:w="1851"/>
        <w:gridCol w:w="3465"/>
        <w:gridCol w:w="3700"/>
      </w:tblGrid>
      <w:tr w:rsidR="002B2883" w:rsidRPr="00A909EA" w14:paraId="742D2914" w14:textId="77777777" w:rsidTr="002B28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6DF0A7" w14:textId="77777777" w:rsidR="002B2883" w:rsidRPr="00A909EA" w:rsidRDefault="002B2883" w:rsidP="002567BB">
            <w:pPr>
              <w:tabs>
                <w:tab w:val="left" w:pos="6540"/>
              </w:tabs>
              <w:spacing w:before="240" w:after="160" w:line="360" w:lineRule="auto"/>
              <w:jc w:val="center"/>
              <w:rPr>
                <w:rFonts w:asciiTheme="minorBidi" w:hAnsiTheme="minorBidi"/>
                <w:szCs w:val="24"/>
                <w:lang w:val="en-US"/>
              </w:rPr>
            </w:pPr>
            <w:r w:rsidRPr="00A909EA">
              <w:rPr>
                <w:rFonts w:asciiTheme="minorBidi" w:hAnsiTheme="minorBidi"/>
                <w:szCs w:val="24"/>
                <w:lang w:val="en-US"/>
              </w:rPr>
              <w:t>Stage in Data Cycle</w:t>
            </w:r>
          </w:p>
        </w:tc>
        <w:tc>
          <w:tcPr>
            <w:tcW w:w="0" w:type="auto"/>
            <w:hideMark/>
          </w:tcPr>
          <w:p w14:paraId="00B62916" w14:textId="77777777" w:rsidR="002B2883" w:rsidRPr="00A909EA" w:rsidRDefault="002B2883" w:rsidP="002567BB">
            <w:pPr>
              <w:tabs>
                <w:tab w:val="left" w:pos="6540"/>
              </w:tabs>
              <w:spacing w:before="240" w:after="16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Action Taken</w:t>
            </w:r>
          </w:p>
        </w:tc>
        <w:tc>
          <w:tcPr>
            <w:tcW w:w="0" w:type="auto"/>
            <w:hideMark/>
          </w:tcPr>
          <w:p w14:paraId="6752F27A" w14:textId="77777777" w:rsidR="002B2883" w:rsidRPr="00A909EA" w:rsidRDefault="002B2883" w:rsidP="002567BB">
            <w:pPr>
              <w:tabs>
                <w:tab w:val="left" w:pos="6540"/>
              </w:tabs>
              <w:spacing w:before="240" w:after="16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DPA 2018 / GDPR Compliance Rule Applied</w:t>
            </w:r>
          </w:p>
        </w:tc>
      </w:tr>
      <w:tr w:rsidR="002B2883" w:rsidRPr="00A909EA" w14:paraId="7006D084" w14:textId="77777777" w:rsidTr="002B2883">
        <w:tc>
          <w:tcPr>
            <w:cnfStyle w:val="001000000000" w:firstRow="0" w:lastRow="0" w:firstColumn="1" w:lastColumn="0" w:oddVBand="0" w:evenVBand="0" w:oddHBand="0" w:evenHBand="0" w:firstRowFirstColumn="0" w:firstRowLastColumn="0" w:lastRowFirstColumn="0" w:lastRowLastColumn="0"/>
            <w:tcW w:w="0" w:type="auto"/>
            <w:hideMark/>
          </w:tcPr>
          <w:p w14:paraId="038DEC1D" w14:textId="77777777" w:rsidR="002B2883" w:rsidRPr="00A909EA" w:rsidRDefault="002B2883" w:rsidP="00A909EA">
            <w:pPr>
              <w:tabs>
                <w:tab w:val="left" w:pos="6540"/>
              </w:tabs>
              <w:spacing w:before="240" w:after="160" w:line="360" w:lineRule="auto"/>
              <w:jc w:val="both"/>
              <w:rPr>
                <w:rFonts w:asciiTheme="minorBidi" w:hAnsiTheme="minorBidi"/>
                <w:szCs w:val="24"/>
                <w:lang w:val="en-US"/>
              </w:rPr>
            </w:pPr>
            <w:r w:rsidRPr="00A909EA">
              <w:rPr>
                <w:rFonts w:asciiTheme="minorBidi" w:hAnsiTheme="minorBidi"/>
                <w:szCs w:val="24"/>
                <w:lang w:val="en-US"/>
              </w:rPr>
              <w:t>1. Origin</w:t>
            </w:r>
          </w:p>
        </w:tc>
        <w:tc>
          <w:tcPr>
            <w:tcW w:w="0" w:type="auto"/>
            <w:hideMark/>
          </w:tcPr>
          <w:p w14:paraId="76A7D425"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Domiciliary worker logs the missed medication event on a secure handset.</w:t>
            </w:r>
          </w:p>
        </w:tc>
        <w:tc>
          <w:tcPr>
            <w:tcW w:w="0" w:type="auto"/>
            <w:hideMark/>
          </w:tcPr>
          <w:p w14:paraId="1F8297D0" w14:textId="48551C02"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b/>
                <w:bCs/>
                <w:szCs w:val="24"/>
                <w:lang w:val="en-US"/>
              </w:rPr>
              <w:t xml:space="preserve">Data </w:t>
            </w:r>
            <w:proofErr w:type="spellStart"/>
            <w:r w:rsidR="00AC4096">
              <w:rPr>
                <w:rFonts w:asciiTheme="minorBidi" w:hAnsiTheme="minorBidi"/>
                <w:b/>
                <w:bCs/>
                <w:szCs w:val="24"/>
                <w:lang w:val="en-US"/>
              </w:rPr>
              <w:t>Minimisation</w:t>
            </w:r>
            <w:proofErr w:type="spellEnd"/>
            <w:r w:rsidRPr="00A909EA">
              <w:rPr>
                <w:rFonts w:asciiTheme="minorBidi" w:hAnsiTheme="minorBidi"/>
                <w:b/>
                <w:bCs/>
                <w:szCs w:val="24"/>
                <w:lang w:val="en-US"/>
              </w:rPr>
              <w:t>:</w:t>
            </w:r>
            <w:r w:rsidRPr="00A909EA">
              <w:rPr>
                <w:rFonts w:asciiTheme="minorBidi" w:hAnsiTheme="minorBidi"/>
                <w:szCs w:val="24"/>
                <w:lang w:val="en-US"/>
              </w:rPr>
              <w:t xml:space="preserve"> Only critical facts recorded; no irrelevant personal commentary.</w:t>
            </w:r>
          </w:p>
        </w:tc>
      </w:tr>
      <w:tr w:rsidR="002B2883" w:rsidRPr="00A909EA" w14:paraId="21F56D7E" w14:textId="77777777" w:rsidTr="002B2883">
        <w:tc>
          <w:tcPr>
            <w:cnfStyle w:val="001000000000" w:firstRow="0" w:lastRow="0" w:firstColumn="1" w:lastColumn="0" w:oddVBand="0" w:evenVBand="0" w:oddHBand="0" w:evenHBand="0" w:firstRowFirstColumn="0" w:firstRowLastColumn="0" w:lastRowFirstColumn="0" w:lastRowLastColumn="0"/>
            <w:tcW w:w="0" w:type="auto"/>
            <w:hideMark/>
          </w:tcPr>
          <w:p w14:paraId="507A3C82" w14:textId="77777777" w:rsidR="002B2883" w:rsidRPr="00A909EA" w:rsidRDefault="002B2883" w:rsidP="00A909EA">
            <w:pPr>
              <w:tabs>
                <w:tab w:val="left" w:pos="6540"/>
              </w:tabs>
              <w:spacing w:before="240" w:after="160" w:line="360" w:lineRule="auto"/>
              <w:jc w:val="both"/>
              <w:rPr>
                <w:rFonts w:asciiTheme="minorBidi" w:hAnsiTheme="minorBidi"/>
                <w:szCs w:val="24"/>
                <w:lang w:val="en-US"/>
              </w:rPr>
            </w:pPr>
            <w:r w:rsidRPr="00A909EA">
              <w:rPr>
                <w:rFonts w:asciiTheme="minorBidi" w:hAnsiTheme="minorBidi"/>
                <w:szCs w:val="24"/>
                <w:lang w:val="en-US"/>
              </w:rPr>
              <w:t>2. Storage</w:t>
            </w:r>
          </w:p>
        </w:tc>
        <w:tc>
          <w:tcPr>
            <w:tcW w:w="0" w:type="auto"/>
            <w:hideMark/>
          </w:tcPr>
          <w:p w14:paraId="7C701812"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Log uploaded directly to an encrypted, password-protected care portal.</w:t>
            </w:r>
          </w:p>
        </w:tc>
        <w:tc>
          <w:tcPr>
            <w:tcW w:w="0" w:type="auto"/>
            <w:hideMark/>
          </w:tcPr>
          <w:p w14:paraId="73586A5D" w14:textId="1956B26F"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b/>
                <w:bCs/>
                <w:szCs w:val="24"/>
                <w:lang w:val="en-US"/>
              </w:rPr>
              <w:t>Integrity &amp; Confidentiality:</w:t>
            </w:r>
            <w:r w:rsidRPr="00A909EA">
              <w:rPr>
                <w:rFonts w:asciiTheme="minorBidi" w:hAnsiTheme="minorBidi"/>
                <w:szCs w:val="24"/>
                <w:lang w:val="en-US"/>
              </w:rPr>
              <w:t xml:space="preserve"> Prevented from </w:t>
            </w:r>
            <w:proofErr w:type="spellStart"/>
            <w:r w:rsidR="00AC4096">
              <w:rPr>
                <w:rFonts w:asciiTheme="minorBidi" w:hAnsiTheme="minorBidi"/>
                <w:szCs w:val="24"/>
                <w:lang w:val="en-US"/>
              </w:rPr>
              <w:t>unauthorised</w:t>
            </w:r>
            <w:proofErr w:type="spellEnd"/>
            <w:r w:rsidRPr="00A909EA">
              <w:rPr>
                <w:rFonts w:asciiTheme="minorBidi" w:hAnsiTheme="minorBidi"/>
                <w:szCs w:val="24"/>
                <w:lang w:val="en-US"/>
              </w:rPr>
              <w:t xml:space="preserve"> access or accidental loss.</w:t>
            </w:r>
          </w:p>
        </w:tc>
      </w:tr>
      <w:tr w:rsidR="002B2883" w:rsidRPr="00A909EA" w14:paraId="064CFF51" w14:textId="77777777" w:rsidTr="002B2883">
        <w:tc>
          <w:tcPr>
            <w:cnfStyle w:val="001000000000" w:firstRow="0" w:lastRow="0" w:firstColumn="1" w:lastColumn="0" w:oddVBand="0" w:evenVBand="0" w:oddHBand="0" w:evenHBand="0" w:firstRowFirstColumn="0" w:firstRowLastColumn="0" w:lastRowFirstColumn="0" w:lastRowLastColumn="0"/>
            <w:tcW w:w="0" w:type="auto"/>
            <w:hideMark/>
          </w:tcPr>
          <w:p w14:paraId="5F76506A" w14:textId="77777777" w:rsidR="002B2883" w:rsidRPr="00A909EA" w:rsidRDefault="002B2883" w:rsidP="00A909EA">
            <w:pPr>
              <w:tabs>
                <w:tab w:val="left" w:pos="6540"/>
              </w:tabs>
              <w:spacing w:before="240" w:after="160" w:line="360" w:lineRule="auto"/>
              <w:jc w:val="both"/>
              <w:rPr>
                <w:rFonts w:asciiTheme="minorBidi" w:hAnsiTheme="minorBidi"/>
                <w:szCs w:val="24"/>
                <w:lang w:val="en-US"/>
              </w:rPr>
            </w:pPr>
            <w:r w:rsidRPr="00A909EA">
              <w:rPr>
                <w:rFonts w:asciiTheme="minorBidi" w:hAnsiTheme="minorBidi"/>
                <w:szCs w:val="24"/>
                <w:lang w:val="en-US"/>
              </w:rPr>
              <w:t>3. Transfer</w:t>
            </w:r>
          </w:p>
        </w:tc>
        <w:tc>
          <w:tcPr>
            <w:tcW w:w="0" w:type="auto"/>
            <w:hideMark/>
          </w:tcPr>
          <w:p w14:paraId="58F7E3F3"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Incident flagged via secure NHS mail to the GP and Local Council Safeguarding Team.</w:t>
            </w:r>
          </w:p>
        </w:tc>
        <w:tc>
          <w:tcPr>
            <w:tcW w:w="0" w:type="auto"/>
            <w:hideMark/>
          </w:tcPr>
          <w:p w14:paraId="38F0BB44"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b/>
                <w:bCs/>
                <w:szCs w:val="24"/>
                <w:lang w:val="en-US"/>
              </w:rPr>
              <w:t>Purpose Limitation:</w:t>
            </w:r>
            <w:r w:rsidRPr="00A909EA">
              <w:rPr>
                <w:rFonts w:asciiTheme="minorBidi" w:hAnsiTheme="minorBidi"/>
                <w:szCs w:val="24"/>
                <w:lang w:val="en-US"/>
              </w:rPr>
              <w:t xml:space="preserve"> Information shared solely for </w:t>
            </w:r>
            <w:r w:rsidRPr="00A909EA">
              <w:rPr>
                <w:rFonts w:asciiTheme="minorBidi" w:hAnsiTheme="minorBidi"/>
                <w:szCs w:val="24"/>
                <w:lang w:val="en-US"/>
              </w:rPr>
              <w:lastRenderedPageBreak/>
              <w:t>direct clinical and protective review.</w:t>
            </w:r>
          </w:p>
        </w:tc>
      </w:tr>
      <w:tr w:rsidR="002B2883" w:rsidRPr="00A909EA" w14:paraId="3AD3BD97" w14:textId="77777777" w:rsidTr="002B2883">
        <w:tc>
          <w:tcPr>
            <w:cnfStyle w:val="001000000000" w:firstRow="0" w:lastRow="0" w:firstColumn="1" w:lastColumn="0" w:oddVBand="0" w:evenVBand="0" w:oddHBand="0" w:evenHBand="0" w:firstRowFirstColumn="0" w:firstRowLastColumn="0" w:lastRowFirstColumn="0" w:lastRowLastColumn="0"/>
            <w:tcW w:w="0" w:type="auto"/>
            <w:hideMark/>
          </w:tcPr>
          <w:p w14:paraId="52EB7136" w14:textId="77777777" w:rsidR="002B2883" w:rsidRPr="00A909EA" w:rsidRDefault="002B2883" w:rsidP="00A909EA">
            <w:pPr>
              <w:tabs>
                <w:tab w:val="left" w:pos="6540"/>
              </w:tabs>
              <w:spacing w:before="240" w:after="160" w:line="360" w:lineRule="auto"/>
              <w:jc w:val="both"/>
              <w:rPr>
                <w:rFonts w:asciiTheme="minorBidi" w:hAnsiTheme="minorBidi"/>
                <w:szCs w:val="24"/>
                <w:lang w:val="en-US"/>
              </w:rPr>
            </w:pPr>
            <w:r w:rsidRPr="00A909EA">
              <w:rPr>
                <w:rFonts w:asciiTheme="minorBidi" w:hAnsiTheme="minorBidi"/>
                <w:szCs w:val="24"/>
                <w:lang w:val="en-US"/>
              </w:rPr>
              <w:lastRenderedPageBreak/>
              <w:t>4. Maintenance</w:t>
            </w:r>
          </w:p>
        </w:tc>
        <w:tc>
          <w:tcPr>
            <w:tcW w:w="0" w:type="auto"/>
            <w:hideMark/>
          </w:tcPr>
          <w:p w14:paraId="2D62F398"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szCs w:val="24"/>
                <w:lang w:val="en-US"/>
              </w:rPr>
              <w:t>Records kept for the legally mandated period, then securely archived.</w:t>
            </w:r>
          </w:p>
        </w:tc>
        <w:tc>
          <w:tcPr>
            <w:tcW w:w="0" w:type="auto"/>
            <w:hideMark/>
          </w:tcPr>
          <w:p w14:paraId="4827D2EE" w14:textId="77777777" w:rsidR="002B2883" w:rsidRPr="00A909EA" w:rsidRDefault="002B2883" w:rsidP="00A909EA">
            <w:pPr>
              <w:tabs>
                <w:tab w:val="left" w:pos="6540"/>
              </w:tabs>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Cs w:val="24"/>
                <w:lang w:val="en-US"/>
              </w:rPr>
            </w:pPr>
            <w:r w:rsidRPr="00A909EA">
              <w:rPr>
                <w:rFonts w:asciiTheme="minorBidi" w:hAnsiTheme="minorBidi"/>
                <w:b/>
                <w:bCs/>
                <w:szCs w:val="24"/>
                <w:lang w:val="en-US"/>
              </w:rPr>
              <w:t>Storage Limitation:</w:t>
            </w:r>
            <w:r w:rsidRPr="00A909EA">
              <w:rPr>
                <w:rFonts w:asciiTheme="minorBidi" w:hAnsiTheme="minorBidi"/>
                <w:szCs w:val="24"/>
                <w:lang w:val="en-US"/>
              </w:rPr>
              <w:t xml:space="preserve"> Ensuring data is not retained longer than necessary.</w:t>
            </w:r>
          </w:p>
        </w:tc>
      </w:tr>
    </w:tbl>
    <w:p w14:paraId="68FFD705" w14:textId="3E8D6561" w:rsidR="008E3943"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All professional references relating to Mrs Thompson should be carried out in full compliance with the Data Protection Act 2018 (DPA 2018)</w:t>
      </w:r>
      <w:r w:rsidR="00AC4096">
        <w:rPr>
          <w:rFonts w:asciiTheme="minorBidi" w:hAnsiTheme="minorBidi"/>
          <w:szCs w:val="24"/>
        </w:rPr>
        <w:t>,</w:t>
      </w:r>
      <w:r w:rsidRPr="00A909EA">
        <w:rPr>
          <w:rFonts w:asciiTheme="minorBidi" w:hAnsiTheme="minorBidi"/>
          <w:szCs w:val="24"/>
        </w:rPr>
        <w:t xml:space="preserve"> which brings the General Data Protection Regulation (GDPR) into UK law. Additional security measures are required for her records as she has special category information</w:t>
      </w:r>
      <w:r w:rsidR="00AC4096">
        <w:rPr>
          <w:rFonts w:asciiTheme="minorBidi" w:hAnsiTheme="minorBidi"/>
          <w:szCs w:val="24"/>
        </w:rPr>
        <w:t>,</w:t>
      </w:r>
      <w:r w:rsidRPr="00A909EA">
        <w:rPr>
          <w:rFonts w:asciiTheme="minorBidi" w:hAnsiTheme="minorBidi"/>
          <w:szCs w:val="24"/>
        </w:rPr>
        <w:t xml:space="preserve"> including medical history</w:t>
      </w:r>
      <w:r w:rsidR="00AC4096">
        <w:rPr>
          <w:rFonts w:asciiTheme="minorBidi" w:hAnsiTheme="minorBidi"/>
          <w:szCs w:val="24"/>
        </w:rPr>
        <w:t xml:space="preserve"> and a</w:t>
      </w:r>
      <w:r w:rsidRPr="00A909EA">
        <w:rPr>
          <w:rFonts w:asciiTheme="minorBidi" w:hAnsiTheme="minorBidi"/>
          <w:szCs w:val="24"/>
        </w:rPr>
        <w:t xml:space="preserve"> dementia diagnosis</w:t>
      </w:r>
      <w:r w:rsidR="00D05DF2" w:rsidRPr="00A909EA">
        <w:rPr>
          <w:rFonts w:asciiTheme="minorBidi" w:hAnsiTheme="minorBidi"/>
          <w:szCs w:val="24"/>
        </w:rPr>
        <w:t xml:space="preserve"> (Pathak, 2024)</w:t>
      </w:r>
      <w:r w:rsidRPr="00A909EA">
        <w:rPr>
          <w:rFonts w:asciiTheme="minorBidi" w:hAnsiTheme="minorBidi"/>
          <w:szCs w:val="24"/>
        </w:rPr>
        <w:t xml:space="preserve">. Processing of information under DPA 2018 needs to follow the basic principles. Firstly, the processing of data has to be lawful, fair and transparent. Second, purpose limitation – data </w:t>
      </w:r>
      <w:r w:rsidR="00AC4096">
        <w:rPr>
          <w:rFonts w:asciiTheme="minorBidi" w:hAnsiTheme="minorBidi"/>
          <w:szCs w:val="24"/>
        </w:rPr>
        <w:t>on</w:t>
      </w:r>
      <w:r w:rsidRPr="00A909EA">
        <w:rPr>
          <w:rFonts w:asciiTheme="minorBidi" w:hAnsiTheme="minorBidi"/>
          <w:szCs w:val="24"/>
        </w:rPr>
        <w:t xml:space="preserve"> her drug omission can only be used for these two purposes – for her direct care and for review of her safety, and not for other administrative purposes. Third is that data needs to be kept to the minimum, adequate and relevant</w:t>
      </w:r>
      <w:r w:rsidR="00BA3E26" w:rsidRPr="00A909EA">
        <w:rPr>
          <w:rFonts w:asciiTheme="minorBidi" w:hAnsiTheme="minorBidi"/>
          <w:szCs w:val="24"/>
        </w:rPr>
        <w:t xml:space="preserve"> (Hacker et al., 2024)</w:t>
      </w:r>
      <w:r w:rsidRPr="00A909EA">
        <w:rPr>
          <w:rFonts w:asciiTheme="minorBidi" w:hAnsiTheme="minorBidi"/>
          <w:szCs w:val="24"/>
        </w:rPr>
        <w:t>.</w:t>
      </w:r>
    </w:p>
    <w:p w14:paraId="458BDCFF" w14:textId="7827BBF7" w:rsidR="00823279"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It is just as important that accuracy is also paramount and the facts of the missed medicine and the council's review should be clearly recorded, differentiating between facts and professional opinion. Last but not least, storage limitation</w:t>
      </w:r>
      <w:r w:rsidR="00AC4096">
        <w:rPr>
          <w:rFonts w:asciiTheme="minorBidi" w:hAnsiTheme="minorBidi"/>
          <w:szCs w:val="24"/>
        </w:rPr>
        <w:t>,</w:t>
      </w:r>
      <w:r w:rsidRPr="00A909EA">
        <w:rPr>
          <w:rFonts w:asciiTheme="minorBidi" w:hAnsiTheme="minorBidi"/>
          <w:szCs w:val="24"/>
        </w:rPr>
        <w:t xml:space="preserve"> integrity</w:t>
      </w:r>
      <w:r w:rsidR="007E5988">
        <w:rPr>
          <w:rFonts w:asciiTheme="minorBidi" w:hAnsiTheme="minorBidi"/>
          <w:szCs w:val="24"/>
        </w:rPr>
        <w:t xml:space="preserve"> and </w:t>
      </w:r>
      <w:r w:rsidRPr="00A909EA">
        <w:rPr>
          <w:rFonts w:asciiTheme="minorBidi" w:hAnsiTheme="minorBidi"/>
          <w:szCs w:val="24"/>
        </w:rPr>
        <w:t xml:space="preserve">confidentiality </w:t>
      </w:r>
      <w:r w:rsidR="00AC4096">
        <w:rPr>
          <w:rFonts w:asciiTheme="minorBidi" w:hAnsiTheme="minorBidi"/>
          <w:szCs w:val="24"/>
        </w:rPr>
        <w:t>mean</w:t>
      </w:r>
      <w:r w:rsidRPr="00A909EA">
        <w:rPr>
          <w:rFonts w:asciiTheme="minorBidi" w:hAnsiTheme="minorBidi"/>
          <w:szCs w:val="24"/>
        </w:rPr>
        <w:t xml:space="preserve"> that the e-care log has to be password protected and only available to the circle of care, so that she can also prevent others from accessing the document or from it being accidentally lost. </w:t>
      </w:r>
    </w:p>
    <w:p w14:paraId="2B008FF6" w14:textId="771B9B1C" w:rsidR="008E3943" w:rsidRPr="00731A73"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This is backed up by the statutory requirements of the Health and Social Care Act 2012 and the Care Quality Commission (CQC) Regulation 17 – Good Governance. The requirements of Regulation 17 include accurate, complete and secure records for every individual who receives services from the provider</w:t>
      </w:r>
      <w:r w:rsidR="0044396E" w:rsidRPr="00A909EA">
        <w:rPr>
          <w:rFonts w:asciiTheme="minorBidi" w:hAnsiTheme="minorBidi"/>
          <w:szCs w:val="24"/>
        </w:rPr>
        <w:t xml:space="preserve"> (</w:t>
      </w:r>
      <w:proofErr w:type="spellStart"/>
      <w:r w:rsidR="0044396E" w:rsidRPr="00A909EA">
        <w:rPr>
          <w:rFonts w:asciiTheme="minorBidi" w:hAnsiTheme="minorBidi"/>
          <w:szCs w:val="24"/>
        </w:rPr>
        <w:t>Yanamala</w:t>
      </w:r>
      <w:proofErr w:type="spellEnd"/>
      <w:r w:rsidR="0044396E" w:rsidRPr="00A909EA">
        <w:rPr>
          <w:rFonts w:asciiTheme="minorBidi" w:hAnsiTheme="minorBidi"/>
          <w:szCs w:val="24"/>
        </w:rPr>
        <w:t xml:space="preserve"> and Suryadevara, 2024)</w:t>
      </w:r>
      <w:r w:rsidRPr="00A909EA">
        <w:rPr>
          <w:rFonts w:asciiTheme="minorBidi" w:hAnsiTheme="minorBidi"/>
          <w:szCs w:val="24"/>
        </w:rPr>
        <w:t>. The domiciliary care agency that delivered the care for Mrs Thompson adhered to the formal process of incident recording and for a GP review, which is a regulatory requirement. Administrative records make sure that the information is all the same for the local council, GP and care managers and that information is verified, reducing the risk of vital medical information being lost.</w:t>
      </w:r>
    </w:p>
    <w:p w14:paraId="581C99BF" w14:textId="264B49DF" w:rsidR="00B87E75" w:rsidRPr="00CD33A8" w:rsidRDefault="004A736E" w:rsidP="00A909EA">
      <w:pPr>
        <w:pStyle w:val="Heading1"/>
        <w:jc w:val="both"/>
      </w:pPr>
      <w:bookmarkStart w:id="4" w:name="_Toc235375052"/>
      <w:r w:rsidRPr="00CD33A8">
        <w:lastRenderedPageBreak/>
        <w:t>4</w:t>
      </w:r>
      <w:r w:rsidR="00B87E75" w:rsidRPr="00CD33A8">
        <w:t xml:space="preserve">. </w:t>
      </w:r>
      <w:r w:rsidR="008E3943">
        <w:t>I</w:t>
      </w:r>
      <w:r w:rsidR="008E3943" w:rsidRPr="008E3943">
        <w:t>mportance of working collaboratively</w:t>
      </w:r>
      <w:bookmarkEnd w:id="4"/>
    </w:p>
    <w:p w14:paraId="682D1769" w14:textId="37AB0472" w:rsidR="003E4ECF"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There is a very integrated multi-agency network working with Mrs Thompson</w:t>
      </w:r>
      <w:r w:rsidR="00AC4096">
        <w:rPr>
          <w:rFonts w:asciiTheme="minorBidi" w:hAnsiTheme="minorBidi"/>
          <w:szCs w:val="24"/>
        </w:rPr>
        <w:t>;</w:t>
      </w:r>
      <w:r w:rsidRPr="00A909EA">
        <w:rPr>
          <w:rFonts w:asciiTheme="minorBidi" w:hAnsiTheme="minorBidi"/>
          <w:szCs w:val="24"/>
        </w:rPr>
        <w:t xml:space="preserve"> this includes her GP, community nurse, domiciliary care workers and local council social workers. These are her acute medical needs (post-pneumonia), chronic cognitive needs (dementia), and physical needs (wandering), and no one agency can meet all these needs individually</w:t>
      </w:r>
      <w:r w:rsidR="00045D50" w:rsidRPr="00A909EA">
        <w:rPr>
          <w:rFonts w:asciiTheme="minorBidi" w:hAnsiTheme="minorBidi"/>
          <w:szCs w:val="24"/>
        </w:rPr>
        <w:t xml:space="preserve"> (Witkowski et al., 2024)</w:t>
      </w:r>
      <w:r w:rsidRPr="00A909EA">
        <w:rPr>
          <w:rFonts w:asciiTheme="minorBidi" w:hAnsiTheme="minorBidi"/>
          <w:szCs w:val="24"/>
        </w:rPr>
        <w:t>.</w:t>
      </w:r>
    </w:p>
    <w:p w14:paraId="15C25996" w14:textId="0B16FC62" w:rsidR="008E3943"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Structured and integrated approaches are needed to promote effective collaboration between agencies. Multidisciplinary Team (MDT) meeting is the primary tool to facilitate case review on a regular and synchronised basis. The GP will have shared access to digital care portals (via information sharing protocols) to receive real-time updates from domiciliary workers if they have been prescribed medication</w:t>
      </w:r>
      <w:r w:rsidR="00AC4096">
        <w:rPr>
          <w:rFonts w:asciiTheme="minorBidi" w:hAnsiTheme="minorBidi"/>
          <w:szCs w:val="24"/>
        </w:rPr>
        <w:t>,</w:t>
      </w:r>
      <w:r w:rsidRPr="00A909EA">
        <w:rPr>
          <w:rFonts w:asciiTheme="minorBidi" w:hAnsiTheme="minorBidi"/>
          <w:szCs w:val="24"/>
        </w:rPr>
        <w:t xml:space="preserve"> and </w:t>
      </w:r>
      <w:r w:rsidR="00AC4096">
        <w:rPr>
          <w:rFonts w:asciiTheme="minorBidi" w:hAnsiTheme="minorBidi"/>
          <w:szCs w:val="24"/>
        </w:rPr>
        <w:t xml:space="preserve">the </w:t>
      </w:r>
      <w:r w:rsidRPr="00A909EA">
        <w:rPr>
          <w:rFonts w:asciiTheme="minorBidi" w:hAnsiTheme="minorBidi"/>
          <w:szCs w:val="24"/>
        </w:rPr>
        <w:t>community nurse to record recovery rates following pneumococcal infection</w:t>
      </w:r>
      <w:r w:rsidR="00E77AFA" w:rsidRPr="00A909EA">
        <w:rPr>
          <w:rFonts w:asciiTheme="minorBidi" w:hAnsiTheme="minorBidi"/>
          <w:szCs w:val="24"/>
        </w:rPr>
        <w:t xml:space="preserve"> (Kang et al., 2022)</w:t>
      </w:r>
      <w:r w:rsidRPr="00A909EA">
        <w:rPr>
          <w:rFonts w:asciiTheme="minorBidi" w:hAnsiTheme="minorBidi"/>
          <w:szCs w:val="24"/>
        </w:rPr>
        <w:t>. Also, when a domiciliary worker considers an escalation to GP because of an increase in Mrs Thompson's confusion, by following a standard method of communication such as SBAR (Situation, Background, Assessment, Recommendation), it is easy for the GP to see the situation, background, assessment and recommendation</w:t>
      </w:r>
      <w:r w:rsidR="00045F74" w:rsidRPr="00A909EA">
        <w:rPr>
          <w:rFonts w:asciiTheme="minorBidi" w:hAnsiTheme="minorBidi"/>
          <w:szCs w:val="24"/>
        </w:rPr>
        <w:t xml:space="preserve"> (</w:t>
      </w:r>
      <w:proofErr w:type="spellStart"/>
      <w:r w:rsidR="00045F74" w:rsidRPr="00A909EA">
        <w:rPr>
          <w:rFonts w:asciiTheme="minorBidi" w:hAnsiTheme="minorBidi"/>
          <w:szCs w:val="24"/>
        </w:rPr>
        <w:t>Lichtwarck</w:t>
      </w:r>
      <w:proofErr w:type="spellEnd"/>
      <w:r w:rsidR="00045F74" w:rsidRPr="00A909EA">
        <w:rPr>
          <w:rFonts w:asciiTheme="minorBidi" w:hAnsiTheme="minorBidi"/>
          <w:szCs w:val="24"/>
        </w:rPr>
        <w:t>, 2025)</w:t>
      </w:r>
      <w:r w:rsidRPr="00A909EA">
        <w:rPr>
          <w:rFonts w:asciiTheme="minorBidi" w:hAnsiTheme="minorBidi"/>
          <w:szCs w:val="24"/>
        </w:rPr>
        <w:t>.</w:t>
      </w:r>
    </w:p>
    <w:p w14:paraId="3A742EE2" w14:textId="344B79B6" w:rsidR="008E3943"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Multi-agency working is critical, but generally comes with its own set of problems such as information silos and conflicting professional agendas. Social services could assume long-term housing security</w:t>
      </w:r>
      <w:r w:rsidR="00AC4096">
        <w:rPr>
          <w:rFonts w:asciiTheme="minorBidi" w:hAnsiTheme="minorBidi"/>
          <w:szCs w:val="24"/>
        </w:rPr>
        <w:t>,</w:t>
      </w:r>
      <w:r w:rsidRPr="00A909EA">
        <w:rPr>
          <w:rFonts w:asciiTheme="minorBidi" w:hAnsiTheme="minorBidi"/>
          <w:szCs w:val="24"/>
        </w:rPr>
        <w:t xml:space="preserve"> and </w:t>
      </w:r>
      <w:r w:rsidR="00AC4096">
        <w:rPr>
          <w:rFonts w:asciiTheme="minorBidi" w:hAnsiTheme="minorBidi"/>
          <w:szCs w:val="24"/>
        </w:rPr>
        <w:t>immediate</w:t>
      </w:r>
      <w:r w:rsidRPr="00A909EA">
        <w:rPr>
          <w:rFonts w:asciiTheme="minorBidi" w:hAnsiTheme="minorBidi"/>
          <w:szCs w:val="24"/>
        </w:rPr>
        <w:t xml:space="preserve"> pharmacological </w:t>
      </w:r>
      <w:r w:rsidR="00AC4096">
        <w:rPr>
          <w:rFonts w:asciiTheme="minorBidi" w:hAnsiTheme="minorBidi"/>
          <w:szCs w:val="24"/>
        </w:rPr>
        <w:t>stabilisation</w:t>
      </w:r>
      <w:r w:rsidRPr="00A909EA">
        <w:rPr>
          <w:rFonts w:asciiTheme="minorBidi" w:hAnsiTheme="minorBidi"/>
          <w:szCs w:val="24"/>
        </w:rPr>
        <w:t xml:space="preserve"> could be assumed by the GP</w:t>
      </w:r>
      <w:r w:rsidR="00683546">
        <w:rPr>
          <w:rFonts w:asciiTheme="minorBidi" w:hAnsiTheme="minorBidi"/>
          <w:szCs w:val="24"/>
        </w:rPr>
        <w:t xml:space="preserve"> (Edwards and Best, 2020)</w:t>
      </w:r>
      <w:r w:rsidRPr="00A909EA">
        <w:rPr>
          <w:rFonts w:asciiTheme="minorBidi" w:hAnsiTheme="minorBidi"/>
          <w:szCs w:val="24"/>
        </w:rPr>
        <w:t>. These barriers can be addressed by a named Case Manager</w:t>
      </w:r>
      <w:r w:rsidR="00E9411E" w:rsidRPr="00A909EA">
        <w:rPr>
          <w:rFonts w:asciiTheme="minorBidi" w:hAnsiTheme="minorBidi"/>
          <w:szCs w:val="24"/>
        </w:rPr>
        <w:t xml:space="preserve"> or </w:t>
      </w:r>
      <w:r w:rsidRPr="00A909EA">
        <w:rPr>
          <w:rFonts w:asciiTheme="minorBidi" w:hAnsiTheme="minorBidi"/>
          <w:szCs w:val="24"/>
        </w:rPr>
        <w:t>Lead Coordinator for Mrs Thompson's Care Plan. In addition, agencies must have a formal Joint Inter-Agency Information Sharing Agreement and specify the information that they will share under the DPA 2018 in a safeguarding crisis</w:t>
      </w:r>
      <w:r w:rsidR="00E9411E" w:rsidRPr="00A909EA">
        <w:rPr>
          <w:rFonts w:asciiTheme="minorBidi" w:hAnsiTheme="minorBidi"/>
          <w:szCs w:val="24"/>
        </w:rPr>
        <w:t xml:space="preserve"> (De Deyne et al., 2025)</w:t>
      </w:r>
      <w:r w:rsidRPr="00A909EA">
        <w:rPr>
          <w:rFonts w:asciiTheme="minorBidi" w:hAnsiTheme="minorBidi"/>
          <w:szCs w:val="24"/>
        </w:rPr>
        <w:t>. The hurdles to address are cultural and systemic, and where those are overcome, the change from a cacophony of scattered services to a responsive, coordinated safety net with Mrs Thompson's best interests in mind is successful.</w:t>
      </w:r>
    </w:p>
    <w:p w14:paraId="16FAF0EA" w14:textId="2F93A55A" w:rsidR="00B87E75" w:rsidRPr="00CD33A8" w:rsidRDefault="008E3943" w:rsidP="00A909EA">
      <w:pPr>
        <w:pStyle w:val="Heading1"/>
        <w:jc w:val="both"/>
      </w:pPr>
      <w:bookmarkStart w:id="5" w:name="_Toc235375053"/>
      <w:r>
        <w:lastRenderedPageBreak/>
        <w:t>5</w:t>
      </w:r>
      <w:r w:rsidR="00B87E75" w:rsidRPr="00CD33A8">
        <w:t>. Conclusion</w:t>
      </w:r>
      <w:bookmarkEnd w:id="5"/>
      <w:r w:rsidR="00CD33A8">
        <w:t xml:space="preserve"> </w:t>
      </w:r>
    </w:p>
    <w:p w14:paraId="3EA3C7DD" w14:textId="40F12982" w:rsidR="00F66E1B" w:rsidRPr="00A909EA" w:rsidRDefault="00823279" w:rsidP="00A909EA">
      <w:pPr>
        <w:tabs>
          <w:tab w:val="left" w:pos="6540"/>
        </w:tabs>
        <w:spacing w:before="240" w:line="360" w:lineRule="auto"/>
        <w:jc w:val="both"/>
        <w:rPr>
          <w:rFonts w:asciiTheme="minorBidi" w:hAnsiTheme="minorBidi"/>
          <w:szCs w:val="24"/>
        </w:rPr>
      </w:pPr>
      <w:r w:rsidRPr="00A909EA">
        <w:rPr>
          <w:rFonts w:asciiTheme="minorBidi" w:hAnsiTheme="minorBidi"/>
          <w:szCs w:val="24"/>
        </w:rPr>
        <w:t>Professional care isn't collaboration or communication or administration – it's all those, all wrapped up in the complex situation that is Mrs Thompson. Having a voice</w:t>
      </w:r>
      <w:r w:rsidR="00D20E80">
        <w:rPr>
          <w:rFonts w:asciiTheme="minorBidi" w:hAnsiTheme="minorBidi"/>
          <w:szCs w:val="24"/>
        </w:rPr>
        <w:t>,</w:t>
      </w:r>
      <w:r w:rsidRPr="00A909EA">
        <w:rPr>
          <w:rFonts w:asciiTheme="minorBidi" w:hAnsiTheme="minorBidi"/>
          <w:szCs w:val="24"/>
        </w:rPr>
        <w:t xml:space="preserve"> </w:t>
      </w:r>
      <w:r w:rsidR="00AC4096">
        <w:rPr>
          <w:rFonts w:asciiTheme="minorBidi" w:hAnsiTheme="minorBidi"/>
          <w:szCs w:val="24"/>
        </w:rPr>
        <w:t>person-centred</w:t>
      </w:r>
      <w:r w:rsidRPr="00A909EA">
        <w:rPr>
          <w:rFonts w:asciiTheme="minorBidi" w:hAnsiTheme="minorBidi"/>
          <w:szCs w:val="24"/>
        </w:rPr>
        <w:t xml:space="preserve"> VIPS</w:t>
      </w:r>
      <w:r w:rsidR="00D20E80">
        <w:rPr>
          <w:rFonts w:asciiTheme="minorBidi" w:hAnsiTheme="minorBidi"/>
          <w:szCs w:val="24"/>
        </w:rPr>
        <w:t>,</w:t>
      </w:r>
      <w:r w:rsidRPr="00A909EA">
        <w:rPr>
          <w:rFonts w:asciiTheme="minorBidi" w:hAnsiTheme="minorBidi"/>
          <w:szCs w:val="24"/>
        </w:rPr>
        <w:t xml:space="preserve"> is ensuring her dignity under the Equality Act 2010. Meanwhile, good administration and adherence to the Data Protection Act 2018 </w:t>
      </w:r>
      <w:r w:rsidR="00AC4096">
        <w:rPr>
          <w:rFonts w:asciiTheme="minorBidi" w:hAnsiTheme="minorBidi"/>
          <w:szCs w:val="24"/>
        </w:rPr>
        <w:t>provide</w:t>
      </w:r>
      <w:r w:rsidRPr="00A909EA">
        <w:rPr>
          <w:rFonts w:asciiTheme="minorBidi" w:hAnsiTheme="minorBidi"/>
          <w:szCs w:val="24"/>
        </w:rPr>
        <w:t xml:space="preserve"> the legal and practical framework for a person to be able to track her health and ensure that her medication is not forgotten and that potentially harmful omissions are avoided. Lastly, they are all linked together in a multi-agency team to support independent workers to create an agile and protective network to respond to her medical and safeguarding needs. This will allow the care system to effectively manage risks associated with Mrs Thompson's dementia and post-hospital care and recovery and ensure that she can be cared for safely, co-ordinated and in a dignified manner in her home.</w:t>
      </w:r>
    </w:p>
    <w:p w14:paraId="5C76528F" w14:textId="77777777" w:rsidR="00F66E1B" w:rsidRPr="00CD33A8" w:rsidRDefault="00F66E1B" w:rsidP="00A909EA">
      <w:pPr>
        <w:tabs>
          <w:tab w:val="left" w:pos="6540"/>
        </w:tabs>
        <w:spacing w:before="240" w:line="360" w:lineRule="auto"/>
        <w:jc w:val="both"/>
        <w:rPr>
          <w:rFonts w:asciiTheme="minorBidi" w:hAnsiTheme="minorBidi"/>
          <w:sz w:val="22"/>
        </w:rPr>
      </w:pPr>
    </w:p>
    <w:p w14:paraId="18999130" w14:textId="77777777" w:rsidR="00CD33A8" w:rsidRDefault="00CD33A8" w:rsidP="00A909EA">
      <w:pPr>
        <w:spacing w:before="240" w:line="360" w:lineRule="auto"/>
        <w:jc w:val="both"/>
        <w:rPr>
          <w:rFonts w:asciiTheme="minorBidi" w:eastAsiaTheme="majorEastAsia" w:hAnsiTheme="minorBidi"/>
          <w:b/>
          <w:sz w:val="28"/>
        </w:rPr>
      </w:pPr>
      <w:r>
        <w:br w:type="page"/>
      </w:r>
    </w:p>
    <w:p w14:paraId="33F8F0BD" w14:textId="597FD84B" w:rsidR="00B87E75" w:rsidRPr="00CD33A8" w:rsidRDefault="00B87E75" w:rsidP="00A909EA">
      <w:pPr>
        <w:pStyle w:val="Heading1"/>
        <w:jc w:val="both"/>
      </w:pPr>
      <w:bookmarkStart w:id="6" w:name="_Toc235375054"/>
      <w:r w:rsidRPr="00CD33A8">
        <w:lastRenderedPageBreak/>
        <w:t>References</w:t>
      </w:r>
      <w:bookmarkEnd w:id="6"/>
    </w:p>
    <w:p w14:paraId="4B031934" w14:textId="1392AAE5" w:rsidR="00980EE6" w:rsidRPr="00D0149B" w:rsidRDefault="00980EE6" w:rsidP="00980EE6">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 xml:space="preserve">Barnard, A. (2017) Key themes in health and social care: a </w:t>
      </w:r>
      <w:r w:rsidR="00570393" w:rsidRPr="00D0149B">
        <w:rPr>
          <w:rFonts w:asciiTheme="minorBidi" w:hAnsiTheme="minorBidi"/>
          <w:szCs w:val="24"/>
          <w:lang w:val="en-US"/>
        </w:rPr>
        <w:t>learning companion</w:t>
      </w:r>
      <w:r w:rsidRPr="00D0149B">
        <w:rPr>
          <w:rFonts w:asciiTheme="minorBidi" w:hAnsiTheme="minorBidi"/>
          <w:szCs w:val="24"/>
          <w:lang w:val="en-US"/>
        </w:rPr>
        <w:t xml:space="preserve"> (3rd edition). New York: Taylor and Francis</w:t>
      </w:r>
    </w:p>
    <w:p w14:paraId="50EAB66F" w14:textId="22866260"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Brooker, D. (2022) Person-</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dementia care: The legacy of Tom Kitwood. </w:t>
      </w:r>
      <w:r w:rsidRPr="00D0149B">
        <w:rPr>
          <w:rFonts w:asciiTheme="minorBidi" w:hAnsiTheme="minorBidi"/>
          <w:i/>
          <w:iCs/>
          <w:szCs w:val="24"/>
          <w:lang w:val="en-US"/>
        </w:rPr>
        <w:t xml:space="preserve">International Journal of Person </w:t>
      </w:r>
      <w:proofErr w:type="spellStart"/>
      <w:r w:rsidRPr="00D0149B">
        <w:rPr>
          <w:rFonts w:asciiTheme="minorBidi" w:hAnsiTheme="minorBidi"/>
          <w:i/>
          <w:iCs/>
          <w:szCs w:val="24"/>
          <w:lang w:val="en-US"/>
        </w:rPr>
        <w:t>Centred</w:t>
      </w:r>
      <w:proofErr w:type="spellEnd"/>
      <w:r w:rsidRPr="00D0149B">
        <w:rPr>
          <w:rFonts w:asciiTheme="minorBidi" w:hAnsiTheme="minorBidi"/>
          <w:i/>
          <w:iCs/>
          <w:szCs w:val="24"/>
          <w:lang w:val="en-US"/>
        </w:rPr>
        <w:t xml:space="preserve"> Medicine</w:t>
      </w:r>
      <w:r w:rsidRPr="00D0149B">
        <w:rPr>
          <w:rFonts w:asciiTheme="minorBidi" w:hAnsiTheme="minorBidi"/>
          <w:szCs w:val="24"/>
          <w:lang w:val="en-US"/>
        </w:rPr>
        <w:t xml:space="preserve">, </w:t>
      </w:r>
      <w:r w:rsidRPr="00D0149B">
        <w:rPr>
          <w:rFonts w:asciiTheme="minorBidi" w:hAnsiTheme="minorBidi"/>
          <w:i/>
          <w:iCs/>
          <w:szCs w:val="24"/>
          <w:lang w:val="en-US"/>
        </w:rPr>
        <w:t>12</w:t>
      </w:r>
      <w:r w:rsidRPr="00D0149B">
        <w:rPr>
          <w:rFonts w:asciiTheme="minorBidi" w:hAnsiTheme="minorBidi"/>
          <w:szCs w:val="24"/>
          <w:lang w:val="en-US"/>
        </w:rPr>
        <w:t>(2), pp.21-36. </w:t>
      </w:r>
    </w:p>
    <w:p w14:paraId="5765924B" w14:textId="05BB23B6" w:rsidR="00980EE6" w:rsidRPr="00D0149B" w:rsidRDefault="00980EE6" w:rsidP="00980EE6">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Chambers, D., Cantrell, A. and Booth, A. (2021) Rapid evidence review: challenges to implementing digital and data-driven technologies in health and social care. Report. The University of Sheffield, Sheffield.</w:t>
      </w:r>
    </w:p>
    <w:p w14:paraId="6EAA3C82" w14:textId="77777777" w:rsidR="00980EE6" w:rsidRPr="00D0149B" w:rsidRDefault="00980EE6" w:rsidP="00980EE6">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Edwards, D.J. &amp; Best, S. (2020) The textbook of health and social care. London: SAGE Publications</w:t>
      </w:r>
    </w:p>
    <w:p w14:paraId="13E02B55" w14:textId="77777777" w:rsidR="00980EE6" w:rsidRPr="00D0149B" w:rsidRDefault="00980EE6" w:rsidP="00980EE6">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Glasby, J. &amp; Dickinson, H. (2014) Partnership working in health and social care: what is integrated care and how can we deliver it? Bristol: The Policy Press</w:t>
      </w:r>
    </w:p>
    <w:p w14:paraId="19EB2922" w14:textId="77777777" w:rsidR="00980EE6" w:rsidRPr="00D0149B" w:rsidRDefault="00980EE6" w:rsidP="00980EE6">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Glasby, J. (2017) Understanding health and social care (3rd edition) Bristol: The Policy Press</w:t>
      </w:r>
    </w:p>
    <w:p w14:paraId="6D95BB3D" w14:textId="77777777" w:rsidR="00980EE6" w:rsidRPr="00D0149B" w:rsidRDefault="00980EE6" w:rsidP="00E61DB5">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 xml:space="preserve">Gov.UK (2026) </w:t>
      </w:r>
      <w:r w:rsidRPr="00D0149B">
        <w:rPr>
          <w:rFonts w:asciiTheme="minorBidi" w:hAnsiTheme="minorBidi"/>
          <w:i/>
          <w:iCs/>
          <w:szCs w:val="24"/>
          <w:lang w:val="en-US"/>
        </w:rPr>
        <w:t>UK Public General Acts</w:t>
      </w:r>
      <w:r w:rsidRPr="00D0149B">
        <w:rPr>
          <w:rFonts w:asciiTheme="minorBidi" w:hAnsiTheme="minorBidi"/>
          <w:szCs w:val="24"/>
          <w:lang w:val="en-US"/>
        </w:rPr>
        <w:t xml:space="preserve">. Available at: </w:t>
      </w:r>
      <w:hyperlink r:id="rId18" w:history="1">
        <w:r w:rsidRPr="00D0149B">
          <w:rPr>
            <w:rStyle w:val="Hyperlink"/>
            <w:rFonts w:asciiTheme="minorBidi" w:hAnsiTheme="minorBidi"/>
            <w:szCs w:val="24"/>
            <w:lang w:val="en-US"/>
          </w:rPr>
          <w:t>https://www.legislation.gov.uk/ukpga</w:t>
        </w:r>
      </w:hyperlink>
      <w:r w:rsidRPr="00D0149B">
        <w:rPr>
          <w:rFonts w:asciiTheme="minorBidi" w:hAnsiTheme="minorBidi"/>
          <w:szCs w:val="24"/>
          <w:lang w:val="en-US"/>
        </w:rPr>
        <w:t xml:space="preserve"> (Accessed: 21 July 2026). </w:t>
      </w:r>
    </w:p>
    <w:p w14:paraId="243D14B7"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Grover, S., Fitzpatrick, A., Azim, F.T., Ariza-Vega, P., Bellwood, P., Burns, J., Burton, E., Fleig, L., Clemson, L., Hoppmann, C.A. and Madden, K.M., (2022) Defining and implementing patient-</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care: An umbrella review. </w:t>
      </w:r>
      <w:r w:rsidRPr="00D0149B">
        <w:rPr>
          <w:rFonts w:asciiTheme="minorBidi" w:hAnsiTheme="minorBidi"/>
          <w:i/>
          <w:iCs/>
          <w:szCs w:val="24"/>
          <w:lang w:val="en-US"/>
        </w:rPr>
        <w:t>Patient education and counselling</w:t>
      </w:r>
      <w:r w:rsidRPr="00D0149B">
        <w:rPr>
          <w:rFonts w:asciiTheme="minorBidi" w:hAnsiTheme="minorBidi"/>
          <w:szCs w:val="24"/>
          <w:lang w:val="en-US"/>
        </w:rPr>
        <w:t xml:space="preserve">, </w:t>
      </w:r>
      <w:r w:rsidRPr="00D0149B">
        <w:rPr>
          <w:rFonts w:asciiTheme="minorBidi" w:hAnsiTheme="minorBidi"/>
          <w:i/>
          <w:iCs/>
          <w:szCs w:val="24"/>
          <w:lang w:val="en-US"/>
        </w:rPr>
        <w:t>105</w:t>
      </w:r>
      <w:r w:rsidRPr="00D0149B">
        <w:rPr>
          <w:rFonts w:asciiTheme="minorBidi" w:hAnsiTheme="minorBidi"/>
          <w:szCs w:val="24"/>
          <w:lang w:val="en-US"/>
        </w:rPr>
        <w:t>(7), pp.1679-1688. </w:t>
      </w:r>
    </w:p>
    <w:p w14:paraId="56506634"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 xml:space="preserve">Hacker, P., Cordes, J. and Rochon, J., (2024) Regulating gatekeeper artificial intelligence and data: Transparency, access and fairness under the Digital Markets Act, the General Data Protection Regulation and beyond. </w:t>
      </w:r>
      <w:r w:rsidRPr="00D0149B">
        <w:rPr>
          <w:rFonts w:asciiTheme="minorBidi" w:hAnsiTheme="minorBidi"/>
          <w:i/>
          <w:iCs/>
          <w:szCs w:val="24"/>
          <w:lang w:val="en-US"/>
        </w:rPr>
        <w:t>European Journal of Risk Regulation</w:t>
      </w:r>
      <w:r w:rsidRPr="00D0149B">
        <w:rPr>
          <w:rFonts w:asciiTheme="minorBidi" w:hAnsiTheme="minorBidi"/>
          <w:szCs w:val="24"/>
          <w:lang w:val="en-US"/>
        </w:rPr>
        <w:t xml:space="preserve">, </w:t>
      </w:r>
      <w:r w:rsidRPr="00D0149B">
        <w:rPr>
          <w:rFonts w:asciiTheme="minorBidi" w:hAnsiTheme="minorBidi"/>
          <w:i/>
          <w:iCs/>
          <w:szCs w:val="24"/>
          <w:lang w:val="en-US"/>
        </w:rPr>
        <w:t>15</w:t>
      </w:r>
      <w:r w:rsidRPr="00D0149B">
        <w:rPr>
          <w:rFonts w:asciiTheme="minorBidi" w:hAnsiTheme="minorBidi"/>
          <w:szCs w:val="24"/>
          <w:lang w:val="en-US"/>
        </w:rPr>
        <w:t>(1), pp.49-86. </w:t>
      </w:r>
    </w:p>
    <w:p w14:paraId="656DBBCB"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Kang, E., Kim, M.Y., Lipsey, K.L. and Foster, E.R., (2022) Person-</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goal setting: a systematic review of intervention components and level of active engagement in </w:t>
      </w:r>
      <w:r w:rsidRPr="00D0149B">
        <w:rPr>
          <w:rFonts w:asciiTheme="minorBidi" w:hAnsiTheme="minorBidi"/>
          <w:szCs w:val="24"/>
          <w:lang w:val="en-US"/>
        </w:rPr>
        <w:lastRenderedPageBreak/>
        <w:t xml:space="preserve">rehabilitation goal-setting interventions. </w:t>
      </w:r>
      <w:r w:rsidRPr="00D0149B">
        <w:rPr>
          <w:rFonts w:asciiTheme="minorBidi" w:hAnsiTheme="minorBidi"/>
          <w:i/>
          <w:iCs/>
          <w:szCs w:val="24"/>
          <w:lang w:val="en-US"/>
        </w:rPr>
        <w:t>Archives of Physical Medicine and Rehabilitation</w:t>
      </w:r>
      <w:r w:rsidRPr="00D0149B">
        <w:rPr>
          <w:rFonts w:asciiTheme="minorBidi" w:hAnsiTheme="minorBidi"/>
          <w:szCs w:val="24"/>
          <w:lang w:val="en-US"/>
        </w:rPr>
        <w:t xml:space="preserve">, </w:t>
      </w:r>
      <w:r w:rsidRPr="00D0149B">
        <w:rPr>
          <w:rFonts w:asciiTheme="minorBidi" w:hAnsiTheme="minorBidi"/>
          <w:i/>
          <w:iCs/>
          <w:szCs w:val="24"/>
          <w:lang w:val="en-US"/>
        </w:rPr>
        <w:t>103</w:t>
      </w:r>
      <w:r w:rsidRPr="00D0149B">
        <w:rPr>
          <w:rFonts w:asciiTheme="minorBidi" w:hAnsiTheme="minorBidi"/>
          <w:szCs w:val="24"/>
          <w:lang w:val="en-US"/>
        </w:rPr>
        <w:t>(1), pp.121-130. </w:t>
      </w:r>
    </w:p>
    <w:p w14:paraId="3DCA51F5" w14:textId="77777777" w:rsidR="00980EE6" w:rsidRPr="00D0149B" w:rsidRDefault="00980EE6" w:rsidP="00A909EA">
      <w:pPr>
        <w:tabs>
          <w:tab w:val="left" w:pos="6540"/>
        </w:tabs>
        <w:spacing w:before="240" w:line="360" w:lineRule="auto"/>
        <w:jc w:val="both"/>
        <w:rPr>
          <w:rFonts w:asciiTheme="minorBidi" w:hAnsiTheme="minorBidi"/>
          <w:szCs w:val="24"/>
          <w:lang w:val="en-US"/>
        </w:rPr>
      </w:pPr>
      <w:proofErr w:type="spellStart"/>
      <w:r w:rsidRPr="00D0149B">
        <w:rPr>
          <w:rFonts w:asciiTheme="minorBidi" w:hAnsiTheme="minorBidi"/>
          <w:szCs w:val="24"/>
          <w:lang w:val="en-US"/>
        </w:rPr>
        <w:t>Koutsouris</w:t>
      </w:r>
      <w:proofErr w:type="spellEnd"/>
      <w:r w:rsidRPr="00D0149B">
        <w:rPr>
          <w:rFonts w:asciiTheme="minorBidi" w:hAnsiTheme="minorBidi"/>
          <w:szCs w:val="24"/>
          <w:lang w:val="en-US"/>
        </w:rPr>
        <w:t xml:space="preserve">, G., Stentiford, L. and Norwich, B., (2022) A critical exploration of inclusion policies of elite UK universities. </w:t>
      </w:r>
      <w:r w:rsidRPr="00D0149B">
        <w:rPr>
          <w:rFonts w:asciiTheme="minorBidi" w:hAnsiTheme="minorBidi"/>
          <w:i/>
          <w:iCs/>
          <w:szCs w:val="24"/>
          <w:lang w:val="en-US"/>
        </w:rPr>
        <w:t>British Educational Research Journal</w:t>
      </w:r>
      <w:r w:rsidRPr="00D0149B">
        <w:rPr>
          <w:rFonts w:asciiTheme="minorBidi" w:hAnsiTheme="minorBidi"/>
          <w:szCs w:val="24"/>
          <w:lang w:val="en-US"/>
        </w:rPr>
        <w:t xml:space="preserve">, </w:t>
      </w:r>
      <w:r w:rsidRPr="00D0149B">
        <w:rPr>
          <w:rFonts w:asciiTheme="minorBidi" w:hAnsiTheme="minorBidi"/>
          <w:i/>
          <w:iCs/>
          <w:szCs w:val="24"/>
          <w:lang w:val="en-US"/>
        </w:rPr>
        <w:t>48</w:t>
      </w:r>
      <w:r w:rsidRPr="00D0149B">
        <w:rPr>
          <w:rFonts w:asciiTheme="minorBidi" w:hAnsiTheme="minorBidi"/>
          <w:szCs w:val="24"/>
          <w:lang w:val="en-US"/>
        </w:rPr>
        <w:t>(5), pp.878-895. </w:t>
      </w:r>
    </w:p>
    <w:p w14:paraId="15B6FD79"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Lee, K.H., Lee, J.Y. and Kim, B., (2022) Person-</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care in persons living with dementia: A systematic review and meta-analysis. </w:t>
      </w:r>
      <w:r w:rsidRPr="00D0149B">
        <w:rPr>
          <w:rFonts w:asciiTheme="minorBidi" w:hAnsiTheme="minorBidi"/>
          <w:i/>
          <w:iCs/>
          <w:szCs w:val="24"/>
          <w:lang w:val="en-US"/>
        </w:rPr>
        <w:t>The Gerontologist</w:t>
      </w:r>
      <w:r w:rsidRPr="00D0149B">
        <w:rPr>
          <w:rFonts w:asciiTheme="minorBidi" w:hAnsiTheme="minorBidi"/>
          <w:szCs w:val="24"/>
          <w:lang w:val="en-US"/>
        </w:rPr>
        <w:t xml:space="preserve">, </w:t>
      </w:r>
      <w:r w:rsidRPr="00D0149B">
        <w:rPr>
          <w:rFonts w:asciiTheme="minorBidi" w:hAnsiTheme="minorBidi"/>
          <w:i/>
          <w:iCs/>
          <w:szCs w:val="24"/>
          <w:lang w:val="en-US"/>
        </w:rPr>
        <w:t>62</w:t>
      </w:r>
      <w:r w:rsidRPr="00D0149B">
        <w:rPr>
          <w:rFonts w:asciiTheme="minorBidi" w:hAnsiTheme="minorBidi"/>
          <w:szCs w:val="24"/>
          <w:lang w:val="en-US"/>
        </w:rPr>
        <w:t xml:space="preserve">(4), </w:t>
      </w:r>
      <w:proofErr w:type="gramStart"/>
      <w:r w:rsidRPr="00D0149B">
        <w:rPr>
          <w:rFonts w:asciiTheme="minorBidi" w:hAnsiTheme="minorBidi"/>
          <w:szCs w:val="24"/>
          <w:lang w:val="en-US"/>
        </w:rPr>
        <w:t>pp.e</w:t>
      </w:r>
      <w:proofErr w:type="gramEnd"/>
      <w:r w:rsidRPr="00D0149B">
        <w:rPr>
          <w:rFonts w:asciiTheme="minorBidi" w:hAnsiTheme="minorBidi"/>
          <w:szCs w:val="24"/>
          <w:lang w:val="en-US"/>
        </w:rPr>
        <w:t>253-e264. </w:t>
      </w:r>
    </w:p>
    <w:p w14:paraId="2826B9CA" w14:textId="25C64FC4" w:rsidR="00980EE6" w:rsidRPr="00D0149B" w:rsidRDefault="00980EE6" w:rsidP="00A909EA">
      <w:pPr>
        <w:tabs>
          <w:tab w:val="left" w:pos="6540"/>
        </w:tabs>
        <w:spacing w:before="240" w:line="360" w:lineRule="auto"/>
        <w:jc w:val="both"/>
        <w:rPr>
          <w:rFonts w:asciiTheme="minorBidi" w:hAnsiTheme="minorBidi"/>
          <w:szCs w:val="24"/>
          <w:lang w:val="en-US"/>
        </w:rPr>
      </w:pPr>
      <w:proofErr w:type="spellStart"/>
      <w:r w:rsidRPr="00D0149B">
        <w:rPr>
          <w:rFonts w:asciiTheme="minorBidi" w:hAnsiTheme="minorBidi"/>
          <w:szCs w:val="24"/>
          <w:lang w:val="en-US"/>
        </w:rPr>
        <w:t>Lichtwarck</w:t>
      </w:r>
      <w:proofErr w:type="spellEnd"/>
      <w:r w:rsidRPr="00D0149B">
        <w:rPr>
          <w:rFonts w:asciiTheme="minorBidi" w:hAnsiTheme="minorBidi"/>
          <w:szCs w:val="24"/>
          <w:lang w:val="en-US"/>
        </w:rPr>
        <w:t>, B. (2025) Person-</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care and existential health. In </w:t>
      </w:r>
      <w:r w:rsidRPr="00D0149B">
        <w:rPr>
          <w:rFonts w:asciiTheme="minorBidi" w:hAnsiTheme="minorBidi"/>
          <w:i/>
          <w:iCs/>
          <w:szCs w:val="24"/>
          <w:lang w:val="en-US"/>
        </w:rPr>
        <w:t>Understanding Existential Health for Dementia Care</w:t>
      </w:r>
      <w:r w:rsidRPr="00D0149B">
        <w:rPr>
          <w:rFonts w:asciiTheme="minorBidi" w:hAnsiTheme="minorBidi"/>
          <w:szCs w:val="24"/>
          <w:lang w:val="en-US"/>
        </w:rPr>
        <w:t xml:space="preserve"> (pp. 47-54). Routledge. </w:t>
      </w:r>
    </w:p>
    <w:p w14:paraId="70B24203"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 xml:space="preserve">Pathak, M., (2024) Data Governance Redefined: The Evolution of EU Data Regulations from the GDPR to the DMA, DSA, DGA, Data Act and AI Act. </w:t>
      </w:r>
      <w:r w:rsidRPr="00D0149B">
        <w:rPr>
          <w:rFonts w:asciiTheme="minorBidi" w:hAnsiTheme="minorBidi"/>
          <w:i/>
          <w:iCs/>
          <w:szCs w:val="24"/>
          <w:lang w:val="en-US"/>
        </w:rPr>
        <w:t>European Data Protection Law Review (EDPL)</w:t>
      </w:r>
      <w:r w:rsidRPr="00D0149B">
        <w:rPr>
          <w:rFonts w:asciiTheme="minorBidi" w:hAnsiTheme="minorBidi"/>
          <w:szCs w:val="24"/>
          <w:lang w:val="en-US"/>
        </w:rPr>
        <w:t xml:space="preserve">, </w:t>
      </w:r>
      <w:r w:rsidRPr="00D0149B">
        <w:rPr>
          <w:rFonts w:asciiTheme="minorBidi" w:hAnsiTheme="minorBidi"/>
          <w:i/>
          <w:iCs/>
          <w:szCs w:val="24"/>
          <w:lang w:val="en-US"/>
        </w:rPr>
        <w:t>10</w:t>
      </w:r>
      <w:r w:rsidRPr="00D0149B">
        <w:rPr>
          <w:rFonts w:asciiTheme="minorBidi" w:hAnsiTheme="minorBidi"/>
          <w:szCs w:val="24"/>
          <w:lang w:val="en-US"/>
        </w:rPr>
        <w:t>(1). </w:t>
      </w:r>
    </w:p>
    <w:p w14:paraId="019B5FCF" w14:textId="77777777" w:rsidR="00980EE6" w:rsidRPr="00D0149B" w:rsidRDefault="00980EE6" w:rsidP="00A909EA">
      <w:pPr>
        <w:tabs>
          <w:tab w:val="left" w:pos="6540"/>
        </w:tabs>
        <w:spacing w:before="240" w:line="360" w:lineRule="auto"/>
        <w:jc w:val="both"/>
        <w:rPr>
          <w:rFonts w:asciiTheme="minorBidi" w:hAnsiTheme="minorBidi"/>
          <w:szCs w:val="24"/>
          <w:lang w:val="en-US"/>
        </w:rPr>
      </w:pPr>
      <w:r w:rsidRPr="00D0149B">
        <w:rPr>
          <w:rFonts w:asciiTheme="minorBidi" w:hAnsiTheme="minorBidi"/>
          <w:szCs w:val="24"/>
          <w:lang w:val="en-US"/>
        </w:rPr>
        <w:t>Witkowski, K., Dougherty, R.B. and Neely, S.R., (2024) Public perceptions of artificial intelligence in healthcare: ethical concerns and opportunities for patient-</w:t>
      </w:r>
      <w:proofErr w:type="spellStart"/>
      <w:r w:rsidRPr="00D0149B">
        <w:rPr>
          <w:rFonts w:asciiTheme="minorBidi" w:hAnsiTheme="minorBidi"/>
          <w:szCs w:val="24"/>
          <w:lang w:val="en-US"/>
        </w:rPr>
        <w:t>centred</w:t>
      </w:r>
      <w:proofErr w:type="spellEnd"/>
      <w:r w:rsidRPr="00D0149B">
        <w:rPr>
          <w:rFonts w:asciiTheme="minorBidi" w:hAnsiTheme="minorBidi"/>
          <w:szCs w:val="24"/>
          <w:lang w:val="en-US"/>
        </w:rPr>
        <w:t xml:space="preserve"> care. </w:t>
      </w:r>
      <w:r w:rsidRPr="00D0149B">
        <w:rPr>
          <w:rFonts w:asciiTheme="minorBidi" w:hAnsiTheme="minorBidi"/>
          <w:i/>
          <w:iCs/>
          <w:szCs w:val="24"/>
          <w:lang w:val="en-US"/>
        </w:rPr>
        <w:t>BMC Medical Ethics</w:t>
      </w:r>
      <w:r w:rsidRPr="00D0149B">
        <w:rPr>
          <w:rFonts w:asciiTheme="minorBidi" w:hAnsiTheme="minorBidi"/>
          <w:szCs w:val="24"/>
          <w:lang w:val="en-US"/>
        </w:rPr>
        <w:t xml:space="preserve">, </w:t>
      </w:r>
      <w:r w:rsidRPr="00D0149B">
        <w:rPr>
          <w:rFonts w:asciiTheme="minorBidi" w:hAnsiTheme="minorBidi"/>
          <w:i/>
          <w:iCs/>
          <w:szCs w:val="24"/>
          <w:lang w:val="en-US"/>
        </w:rPr>
        <w:t>25</w:t>
      </w:r>
      <w:r w:rsidRPr="00D0149B">
        <w:rPr>
          <w:rFonts w:asciiTheme="minorBidi" w:hAnsiTheme="minorBidi"/>
          <w:szCs w:val="24"/>
          <w:lang w:val="en-US"/>
        </w:rPr>
        <w:t>(1), p.74. </w:t>
      </w:r>
    </w:p>
    <w:p w14:paraId="40B73F46" w14:textId="2309AFED" w:rsidR="00D0149B" w:rsidRDefault="00980EE6" w:rsidP="00A909EA">
      <w:pPr>
        <w:tabs>
          <w:tab w:val="left" w:pos="6540"/>
        </w:tabs>
        <w:spacing w:before="240" w:line="360" w:lineRule="auto"/>
        <w:jc w:val="both"/>
        <w:rPr>
          <w:rFonts w:asciiTheme="minorBidi" w:hAnsiTheme="minorBidi"/>
          <w:szCs w:val="24"/>
          <w:lang w:val="en-US"/>
        </w:rPr>
      </w:pPr>
      <w:proofErr w:type="spellStart"/>
      <w:r w:rsidRPr="00D0149B">
        <w:rPr>
          <w:rFonts w:asciiTheme="minorBidi" w:hAnsiTheme="minorBidi"/>
          <w:szCs w:val="24"/>
          <w:lang w:val="en-US"/>
        </w:rPr>
        <w:t>Yanamala</w:t>
      </w:r>
      <w:proofErr w:type="spellEnd"/>
      <w:r w:rsidRPr="00D0149B">
        <w:rPr>
          <w:rFonts w:asciiTheme="minorBidi" w:hAnsiTheme="minorBidi"/>
          <w:szCs w:val="24"/>
          <w:lang w:val="en-US"/>
        </w:rPr>
        <w:t xml:space="preserve">, A.K.Y. and Suryadevara, S., (2024) Navigating data protection challenges in the era of artificial intelligence: A comprehensive review. </w:t>
      </w:r>
      <w:r w:rsidRPr="00D0149B">
        <w:rPr>
          <w:rFonts w:asciiTheme="minorBidi" w:hAnsiTheme="minorBidi"/>
          <w:i/>
          <w:iCs/>
          <w:szCs w:val="24"/>
          <w:lang w:val="en-US"/>
        </w:rPr>
        <w:t xml:space="preserve">Revista de </w:t>
      </w:r>
      <w:proofErr w:type="spellStart"/>
      <w:r w:rsidRPr="00D0149B">
        <w:rPr>
          <w:rFonts w:asciiTheme="minorBidi" w:hAnsiTheme="minorBidi"/>
          <w:i/>
          <w:iCs/>
          <w:szCs w:val="24"/>
          <w:lang w:val="en-US"/>
        </w:rPr>
        <w:t>Inteligencia</w:t>
      </w:r>
      <w:proofErr w:type="spellEnd"/>
      <w:r w:rsidRPr="00D0149B">
        <w:rPr>
          <w:rFonts w:asciiTheme="minorBidi" w:hAnsiTheme="minorBidi"/>
          <w:i/>
          <w:iCs/>
          <w:szCs w:val="24"/>
          <w:lang w:val="en-US"/>
        </w:rPr>
        <w:t xml:space="preserve"> Artificial </w:t>
      </w:r>
      <w:proofErr w:type="spellStart"/>
      <w:r w:rsidRPr="00D0149B">
        <w:rPr>
          <w:rFonts w:asciiTheme="minorBidi" w:hAnsiTheme="minorBidi"/>
          <w:i/>
          <w:iCs/>
          <w:szCs w:val="24"/>
          <w:lang w:val="en-US"/>
        </w:rPr>
        <w:t>en</w:t>
      </w:r>
      <w:proofErr w:type="spellEnd"/>
      <w:r w:rsidRPr="00D0149B">
        <w:rPr>
          <w:rFonts w:asciiTheme="minorBidi" w:hAnsiTheme="minorBidi"/>
          <w:i/>
          <w:iCs/>
          <w:szCs w:val="24"/>
          <w:lang w:val="en-US"/>
        </w:rPr>
        <w:t xml:space="preserve"> Medicina</w:t>
      </w:r>
      <w:r w:rsidRPr="00D0149B">
        <w:rPr>
          <w:rFonts w:asciiTheme="minorBidi" w:hAnsiTheme="minorBidi"/>
          <w:szCs w:val="24"/>
          <w:lang w:val="en-US"/>
        </w:rPr>
        <w:t xml:space="preserve">, </w:t>
      </w:r>
      <w:r w:rsidRPr="00D0149B">
        <w:rPr>
          <w:rFonts w:asciiTheme="minorBidi" w:hAnsiTheme="minorBidi"/>
          <w:i/>
          <w:iCs/>
          <w:szCs w:val="24"/>
          <w:lang w:val="en-US"/>
        </w:rPr>
        <w:t>15</w:t>
      </w:r>
      <w:r w:rsidRPr="00D0149B">
        <w:rPr>
          <w:rFonts w:asciiTheme="minorBidi" w:hAnsiTheme="minorBidi"/>
          <w:szCs w:val="24"/>
          <w:lang w:val="en-US"/>
        </w:rPr>
        <w:t>(1), pp.113-146. </w:t>
      </w:r>
    </w:p>
    <w:p w14:paraId="5E2A97AD" w14:textId="262B677E" w:rsidR="00980EE6" w:rsidRPr="00D0149B" w:rsidRDefault="00980EE6" w:rsidP="004F4469">
      <w:pPr>
        <w:rPr>
          <w:rFonts w:asciiTheme="minorBidi" w:hAnsiTheme="minorBidi"/>
          <w:szCs w:val="24"/>
          <w:lang w:val="en-US"/>
        </w:rPr>
      </w:pPr>
    </w:p>
    <w:sectPr w:rsidR="00980EE6" w:rsidRPr="00D0149B"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21254" w14:textId="77777777" w:rsidR="00F372A5" w:rsidRDefault="00F372A5" w:rsidP="003E4ECF">
      <w:pPr>
        <w:spacing w:after="0" w:line="240" w:lineRule="auto"/>
      </w:pPr>
      <w:r>
        <w:separator/>
      </w:r>
    </w:p>
  </w:endnote>
  <w:endnote w:type="continuationSeparator" w:id="0">
    <w:p w14:paraId="203F09B1" w14:textId="77777777" w:rsidR="00F372A5" w:rsidRDefault="00F372A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82480" w14:textId="77777777" w:rsidR="00F372A5" w:rsidRDefault="00F372A5" w:rsidP="003E4ECF">
      <w:pPr>
        <w:spacing w:after="0" w:line="240" w:lineRule="auto"/>
      </w:pPr>
      <w:r>
        <w:separator/>
      </w:r>
    </w:p>
  </w:footnote>
  <w:footnote w:type="continuationSeparator" w:id="0">
    <w:p w14:paraId="39367C6A" w14:textId="77777777" w:rsidR="00F372A5" w:rsidRDefault="00F372A5"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12E43"/>
    <w:multiLevelType w:val="multilevel"/>
    <w:tmpl w:val="E63C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1321C2"/>
    <w:multiLevelType w:val="multilevel"/>
    <w:tmpl w:val="7F766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314425">
    <w:abstractNumId w:val="1"/>
  </w:num>
  <w:num w:numId="2" w16cid:durableId="1235122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7A7"/>
    <w:rsid w:val="00045D50"/>
    <w:rsid w:val="00045F74"/>
    <w:rsid w:val="000572BF"/>
    <w:rsid w:val="00074402"/>
    <w:rsid w:val="000B55CE"/>
    <w:rsid w:val="0010102F"/>
    <w:rsid w:val="001262F9"/>
    <w:rsid w:val="0019029B"/>
    <w:rsid w:val="001D7C03"/>
    <w:rsid w:val="0020702E"/>
    <w:rsid w:val="00216C85"/>
    <w:rsid w:val="00243AFE"/>
    <w:rsid w:val="002567BB"/>
    <w:rsid w:val="0026393A"/>
    <w:rsid w:val="00273EDD"/>
    <w:rsid w:val="00282A50"/>
    <w:rsid w:val="002B2883"/>
    <w:rsid w:val="002C1CD9"/>
    <w:rsid w:val="002C3965"/>
    <w:rsid w:val="00304CF4"/>
    <w:rsid w:val="00306A09"/>
    <w:rsid w:val="0032168D"/>
    <w:rsid w:val="00321C4C"/>
    <w:rsid w:val="003378B9"/>
    <w:rsid w:val="00392BBC"/>
    <w:rsid w:val="003B2253"/>
    <w:rsid w:val="003C3EE9"/>
    <w:rsid w:val="003E4ECF"/>
    <w:rsid w:val="00433A7D"/>
    <w:rsid w:val="0044396E"/>
    <w:rsid w:val="00455030"/>
    <w:rsid w:val="0047131E"/>
    <w:rsid w:val="004A736E"/>
    <w:rsid w:val="004B0737"/>
    <w:rsid w:val="004B2201"/>
    <w:rsid w:val="004F4469"/>
    <w:rsid w:val="00570393"/>
    <w:rsid w:val="00572F7C"/>
    <w:rsid w:val="006252D2"/>
    <w:rsid w:val="00640A7A"/>
    <w:rsid w:val="00683546"/>
    <w:rsid w:val="006925AA"/>
    <w:rsid w:val="006E7A60"/>
    <w:rsid w:val="00725177"/>
    <w:rsid w:val="00731A73"/>
    <w:rsid w:val="00750643"/>
    <w:rsid w:val="00763128"/>
    <w:rsid w:val="007A1B8D"/>
    <w:rsid w:val="007D3C80"/>
    <w:rsid w:val="007D6B36"/>
    <w:rsid w:val="007E5988"/>
    <w:rsid w:val="008032EE"/>
    <w:rsid w:val="00814A9E"/>
    <w:rsid w:val="00815CAA"/>
    <w:rsid w:val="00823279"/>
    <w:rsid w:val="008436A4"/>
    <w:rsid w:val="008B0EC0"/>
    <w:rsid w:val="008E17C3"/>
    <w:rsid w:val="008E3943"/>
    <w:rsid w:val="008F7AA0"/>
    <w:rsid w:val="0090040D"/>
    <w:rsid w:val="00905A01"/>
    <w:rsid w:val="00946661"/>
    <w:rsid w:val="00980EE6"/>
    <w:rsid w:val="009B5D53"/>
    <w:rsid w:val="009D052C"/>
    <w:rsid w:val="009D1D1E"/>
    <w:rsid w:val="00A035FD"/>
    <w:rsid w:val="00A26001"/>
    <w:rsid w:val="00A338D9"/>
    <w:rsid w:val="00A909EA"/>
    <w:rsid w:val="00A9664A"/>
    <w:rsid w:val="00AB43E4"/>
    <w:rsid w:val="00AC4096"/>
    <w:rsid w:val="00AD23A0"/>
    <w:rsid w:val="00B03BD1"/>
    <w:rsid w:val="00B66322"/>
    <w:rsid w:val="00B802E8"/>
    <w:rsid w:val="00B86449"/>
    <w:rsid w:val="00B87E75"/>
    <w:rsid w:val="00BA3E26"/>
    <w:rsid w:val="00C26846"/>
    <w:rsid w:val="00CD33A8"/>
    <w:rsid w:val="00D0149B"/>
    <w:rsid w:val="00D05DF2"/>
    <w:rsid w:val="00D20E80"/>
    <w:rsid w:val="00D5376B"/>
    <w:rsid w:val="00DF68C1"/>
    <w:rsid w:val="00E345D7"/>
    <w:rsid w:val="00E43934"/>
    <w:rsid w:val="00E569FD"/>
    <w:rsid w:val="00E61DB5"/>
    <w:rsid w:val="00E620E7"/>
    <w:rsid w:val="00E77AFA"/>
    <w:rsid w:val="00E929DD"/>
    <w:rsid w:val="00E9411E"/>
    <w:rsid w:val="00E955D2"/>
    <w:rsid w:val="00EE0325"/>
    <w:rsid w:val="00F372A5"/>
    <w:rsid w:val="00F66E1B"/>
    <w:rsid w:val="00F8240B"/>
    <w:rsid w:val="00FC3DFD"/>
    <w:rsid w:val="00FD420A"/>
    <w:rsid w:val="00FE57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table" w:styleId="GridTable1Light">
    <w:name w:val="Grid Table 1 Light"/>
    <w:basedOn w:val="TableNormal"/>
    <w:uiPriority w:val="46"/>
    <w:rsid w:val="002B288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A26001"/>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A26001"/>
    <w:pPr>
      <w:spacing w:after="100"/>
    </w:pPr>
  </w:style>
  <w:style w:type="character" w:styleId="Hyperlink">
    <w:name w:val="Hyperlink"/>
    <w:basedOn w:val="DefaultParagraphFont"/>
    <w:uiPriority w:val="99"/>
    <w:unhideWhenUsed/>
    <w:rsid w:val="00A26001"/>
    <w:rPr>
      <w:color w:val="0563C1" w:themeColor="hyperlink"/>
      <w:u w:val="single"/>
    </w:rPr>
  </w:style>
  <w:style w:type="paragraph" w:styleId="Caption">
    <w:name w:val="caption"/>
    <w:basedOn w:val="Normal"/>
    <w:next w:val="Normal"/>
    <w:uiPriority w:val="35"/>
    <w:unhideWhenUsed/>
    <w:qFormat/>
    <w:rsid w:val="0032168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E61D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www.legislation.gov.uk/ukpga"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QuickStyle" Target="diagrams/quickStyle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1020DD-86F4-464E-AEE4-F2A16414966C}" type="doc">
      <dgm:prSet loTypeId="urn:microsoft.com/office/officeart/2005/8/layout/matrix1" loCatId="matrix" qsTypeId="urn:microsoft.com/office/officeart/2005/8/quickstyle/simple1" qsCatId="simple" csTypeId="urn:microsoft.com/office/officeart/2005/8/colors/accent0_1" csCatId="mainScheme" phldr="1"/>
      <dgm:spPr/>
      <dgm:t>
        <a:bodyPr/>
        <a:lstStyle/>
        <a:p>
          <a:endParaRPr lang="en-US"/>
        </a:p>
      </dgm:t>
    </dgm:pt>
    <dgm:pt modelId="{B6C47C80-607A-4BCA-8BDE-CE242B5A05AF}">
      <dgm:prSet phldrT="[Text]"/>
      <dgm:spPr/>
      <dgm:t>
        <a:bodyPr/>
        <a:lstStyle/>
        <a:p>
          <a:pPr algn="ctr"/>
          <a:r>
            <a:rPr lang="en-US"/>
            <a:t>VIPS Framework</a:t>
          </a:r>
        </a:p>
      </dgm:t>
    </dgm:pt>
    <dgm:pt modelId="{1B1380BF-279F-4B5D-8539-99FF6B98BADE}" type="parTrans" cxnId="{4551A87F-43C0-463A-9B76-A0A842DBE904}">
      <dgm:prSet/>
      <dgm:spPr/>
      <dgm:t>
        <a:bodyPr/>
        <a:lstStyle/>
        <a:p>
          <a:pPr algn="ctr"/>
          <a:endParaRPr lang="en-US"/>
        </a:p>
      </dgm:t>
    </dgm:pt>
    <dgm:pt modelId="{E99FE0A2-533A-4015-8FEC-FF9A24FFC3BD}" type="sibTrans" cxnId="{4551A87F-43C0-463A-9B76-A0A842DBE904}">
      <dgm:prSet/>
      <dgm:spPr/>
      <dgm:t>
        <a:bodyPr/>
        <a:lstStyle/>
        <a:p>
          <a:pPr algn="ctr"/>
          <a:endParaRPr lang="en-US"/>
        </a:p>
      </dgm:t>
    </dgm:pt>
    <dgm:pt modelId="{6FD927FA-C7C4-41C5-9AA5-953411E12B27}">
      <dgm:prSet phldrT="[Text]"/>
      <dgm:spPr/>
      <dgm:t>
        <a:bodyPr/>
        <a:lstStyle/>
        <a:p>
          <a:pPr algn="ctr"/>
          <a:r>
            <a:rPr lang="en-US"/>
            <a:t>Value (V)</a:t>
          </a:r>
        </a:p>
      </dgm:t>
    </dgm:pt>
    <dgm:pt modelId="{40635EF3-3002-48E8-BD1C-45C3853236D1}" type="parTrans" cxnId="{3343FB17-5B2C-4802-9964-993BFA2C2CC2}">
      <dgm:prSet/>
      <dgm:spPr/>
      <dgm:t>
        <a:bodyPr/>
        <a:lstStyle/>
        <a:p>
          <a:pPr algn="ctr"/>
          <a:endParaRPr lang="en-US"/>
        </a:p>
      </dgm:t>
    </dgm:pt>
    <dgm:pt modelId="{F496D50C-7395-4196-9950-166486E34730}" type="sibTrans" cxnId="{3343FB17-5B2C-4802-9964-993BFA2C2CC2}">
      <dgm:prSet/>
      <dgm:spPr/>
      <dgm:t>
        <a:bodyPr/>
        <a:lstStyle/>
        <a:p>
          <a:pPr algn="ctr"/>
          <a:endParaRPr lang="en-US"/>
        </a:p>
      </dgm:t>
    </dgm:pt>
    <dgm:pt modelId="{46370209-606F-44F6-BF32-902CFD0D5A41}">
      <dgm:prSet phldrT="[Text]"/>
      <dgm:spPr/>
      <dgm:t>
        <a:bodyPr/>
        <a:lstStyle/>
        <a:p>
          <a:pPr algn="ctr"/>
          <a:r>
            <a:rPr lang="en-US"/>
            <a:t>Individual (I)</a:t>
          </a:r>
        </a:p>
      </dgm:t>
    </dgm:pt>
    <dgm:pt modelId="{AEB77D32-4B8C-4AFF-AE68-FBDE06B7A390}" type="parTrans" cxnId="{BFC99F58-3B1E-470B-B192-986FED22B7D2}">
      <dgm:prSet/>
      <dgm:spPr/>
      <dgm:t>
        <a:bodyPr/>
        <a:lstStyle/>
        <a:p>
          <a:pPr algn="ctr"/>
          <a:endParaRPr lang="en-US"/>
        </a:p>
      </dgm:t>
    </dgm:pt>
    <dgm:pt modelId="{A2A35E4C-CDFB-4A84-A03B-67237986626B}" type="sibTrans" cxnId="{BFC99F58-3B1E-470B-B192-986FED22B7D2}">
      <dgm:prSet/>
      <dgm:spPr/>
      <dgm:t>
        <a:bodyPr/>
        <a:lstStyle/>
        <a:p>
          <a:pPr algn="ctr"/>
          <a:endParaRPr lang="en-US"/>
        </a:p>
      </dgm:t>
    </dgm:pt>
    <dgm:pt modelId="{7FBABB3A-B485-46FA-8278-B4FBAB2E83AE}">
      <dgm:prSet phldrT="[Text]"/>
      <dgm:spPr/>
      <dgm:t>
        <a:bodyPr/>
        <a:lstStyle/>
        <a:p>
          <a:pPr algn="ctr"/>
          <a:r>
            <a:rPr lang="en-US"/>
            <a:t>Perspective (P)</a:t>
          </a:r>
        </a:p>
      </dgm:t>
    </dgm:pt>
    <dgm:pt modelId="{3DA96195-098F-477F-8527-7B91EAEB2AAB}" type="parTrans" cxnId="{6ADDF6B1-68E2-4420-82B2-5F7EB4CC88AA}">
      <dgm:prSet/>
      <dgm:spPr/>
      <dgm:t>
        <a:bodyPr/>
        <a:lstStyle/>
        <a:p>
          <a:pPr algn="ctr"/>
          <a:endParaRPr lang="en-US"/>
        </a:p>
      </dgm:t>
    </dgm:pt>
    <dgm:pt modelId="{47BEE448-8560-4D68-8584-D6377D01C9BB}" type="sibTrans" cxnId="{6ADDF6B1-68E2-4420-82B2-5F7EB4CC88AA}">
      <dgm:prSet/>
      <dgm:spPr/>
      <dgm:t>
        <a:bodyPr/>
        <a:lstStyle/>
        <a:p>
          <a:pPr algn="ctr"/>
          <a:endParaRPr lang="en-US"/>
        </a:p>
      </dgm:t>
    </dgm:pt>
    <dgm:pt modelId="{EBAA28A8-D7FF-4AEF-A17F-4B8E840F300E}">
      <dgm:prSet phldrT="[Text]"/>
      <dgm:spPr/>
      <dgm:t>
        <a:bodyPr/>
        <a:lstStyle/>
        <a:p>
          <a:pPr algn="ctr"/>
          <a:r>
            <a:rPr lang="en-US"/>
            <a:t>Social</a:t>
          </a:r>
        </a:p>
      </dgm:t>
    </dgm:pt>
    <dgm:pt modelId="{694F072A-975D-401B-8A9A-3BA215C3F05E}" type="parTrans" cxnId="{EA15EF76-A44D-4BC0-AC59-8B8BD44DBA2B}">
      <dgm:prSet/>
      <dgm:spPr/>
      <dgm:t>
        <a:bodyPr/>
        <a:lstStyle/>
        <a:p>
          <a:pPr algn="ctr"/>
          <a:endParaRPr lang="en-US"/>
        </a:p>
      </dgm:t>
    </dgm:pt>
    <dgm:pt modelId="{DB29354D-C211-4C62-A99C-5F63D03CF421}" type="sibTrans" cxnId="{EA15EF76-A44D-4BC0-AC59-8B8BD44DBA2B}">
      <dgm:prSet/>
      <dgm:spPr/>
      <dgm:t>
        <a:bodyPr/>
        <a:lstStyle/>
        <a:p>
          <a:pPr algn="ctr"/>
          <a:endParaRPr lang="en-US"/>
        </a:p>
      </dgm:t>
    </dgm:pt>
    <dgm:pt modelId="{6C9C9417-855F-4C13-91F3-069C418881A3}">
      <dgm:prSet phldrT="[Text]"/>
      <dgm:spPr/>
      <dgm:t>
        <a:bodyPr/>
        <a:lstStyle/>
        <a:p>
          <a:pPr algn="ctr"/>
          <a:r>
            <a:rPr lang="en-US"/>
            <a:t>Treats Mrs Thompson as a unique human</a:t>
          </a:r>
        </a:p>
      </dgm:t>
    </dgm:pt>
    <dgm:pt modelId="{66F7DE5E-52D9-485B-8C70-D5CD06291442}" type="parTrans" cxnId="{BF7174D9-E721-4138-A5DF-505B03144012}">
      <dgm:prSet/>
      <dgm:spPr/>
      <dgm:t>
        <a:bodyPr/>
        <a:lstStyle/>
        <a:p>
          <a:pPr algn="ctr"/>
          <a:endParaRPr lang="en-US"/>
        </a:p>
      </dgm:t>
    </dgm:pt>
    <dgm:pt modelId="{AC780414-67D9-46FC-96C3-521C182C834E}" type="sibTrans" cxnId="{BF7174D9-E721-4138-A5DF-505B03144012}">
      <dgm:prSet/>
      <dgm:spPr/>
      <dgm:t>
        <a:bodyPr/>
        <a:lstStyle/>
        <a:p>
          <a:pPr algn="ctr"/>
          <a:endParaRPr lang="en-US"/>
        </a:p>
      </dgm:t>
    </dgm:pt>
    <dgm:pt modelId="{7C55E4EC-E8C5-4398-810F-74B0B699F4A0}">
      <dgm:prSet phldrT="[Text]"/>
      <dgm:spPr/>
      <dgm:t>
        <a:bodyPr/>
        <a:lstStyle/>
        <a:p>
          <a:pPr algn="ctr"/>
          <a:r>
            <a:rPr lang="en-US"/>
            <a:t>Counters Ageism</a:t>
          </a:r>
        </a:p>
      </dgm:t>
    </dgm:pt>
    <dgm:pt modelId="{807E12CE-F297-478D-881A-83032F63C1D6}" type="parTrans" cxnId="{ACD10A4C-5343-46E7-900A-C2DE0E58B8C3}">
      <dgm:prSet/>
      <dgm:spPr/>
      <dgm:t>
        <a:bodyPr/>
        <a:lstStyle/>
        <a:p>
          <a:pPr algn="ctr"/>
          <a:endParaRPr lang="en-US"/>
        </a:p>
      </dgm:t>
    </dgm:pt>
    <dgm:pt modelId="{ED8C48A2-962B-46C0-9FE3-8C08B1A22353}" type="sibTrans" cxnId="{ACD10A4C-5343-46E7-900A-C2DE0E58B8C3}">
      <dgm:prSet/>
      <dgm:spPr/>
      <dgm:t>
        <a:bodyPr/>
        <a:lstStyle/>
        <a:p>
          <a:pPr algn="ctr"/>
          <a:endParaRPr lang="en-US"/>
        </a:p>
      </dgm:t>
    </dgm:pt>
    <dgm:pt modelId="{29999BE1-C744-41ED-A488-691F7DBD927B}">
      <dgm:prSet phldrT="[Text]"/>
      <dgm:spPr/>
      <dgm:t>
        <a:bodyPr/>
        <a:lstStyle/>
        <a:p>
          <a:pPr algn="ctr"/>
          <a:r>
            <a:rPr lang="en-US"/>
            <a:t>Tailored to her life history</a:t>
          </a:r>
        </a:p>
      </dgm:t>
    </dgm:pt>
    <dgm:pt modelId="{A7F7AAF5-33B0-4D24-BED9-C7C18558EDA7}" type="parTrans" cxnId="{9F64244B-3430-45D0-BFE7-76EEABC34B49}">
      <dgm:prSet/>
      <dgm:spPr/>
      <dgm:t>
        <a:bodyPr/>
        <a:lstStyle/>
        <a:p>
          <a:pPr algn="ctr"/>
          <a:endParaRPr lang="en-US"/>
        </a:p>
      </dgm:t>
    </dgm:pt>
    <dgm:pt modelId="{83ED201D-9D94-4B3A-81B6-D73D8B7F385A}" type="sibTrans" cxnId="{9F64244B-3430-45D0-BFE7-76EEABC34B49}">
      <dgm:prSet/>
      <dgm:spPr/>
      <dgm:t>
        <a:bodyPr/>
        <a:lstStyle/>
        <a:p>
          <a:pPr algn="ctr"/>
          <a:endParaRPr lang="en-US"/>
        </a:p>
      </dgm:t>
    </dgm:pt>
    <dgm:pt modelId="{547E9FC1-92AA-47F8-9CFC-68D1B9ACACE7}">
      <dgm:prSet phldrT="[Text]"/>
      <dgm:spPr/>
      <dgm:t>
        <a:bodyPr/>
        <a:lstStyle/>
        <a:p>
          <a:pPr algn="ctr"/>
          <a:r>
            <a:rPr lang="en-US"/>
            <a:t>Short sentences</a:t>
          </a:r>
        </a:p>
      </dgm:t>
    </dgm:pt>
    <dgm:pt modelId="{B0BD47CD-6027-4F81-AAE1-FE3158525FFF}" type="parTrans" cxnId="{CBF4B0A2-C475-462C-B96E-0B1EC79E3C99}">
      <dgm:prSet/>
      <dgm:spPr/>
      <dgm:t>
        <a:bodyPr/>
        <a:lstStyle/>
        <a:p>
          <a:pPr algn="ctr"/>
          <a:endParaRPr lang="en-US"/>
        </a:p>
      </dgm:t>
    </dgm:pt>
    <dgm:pt modelId="{10DDB903-44C0-454D-8F7F-C9F3D80B0CB4}" type="sibTrans" cxnId="{CBF4B0A2-C475-462C-B96E-0B1EC79E3C99}">
      <dgm:prSet/>
      <dgm:spPr/>
      <dgm:t>
        <a:bodyPr/>
        <a:lstStyle/>
        <a:p>
          <a:pPr algn="ctr"/>
          <a:endParaRPr lang="en-US"/>
        </a:p>
      </dgm:t>
    </dgm:pt>
    <dgm:pt modelId="{54D441C7-2EDB-40A7-9953-2C184616F5C2}">
      <dgm:prSet phldrT="[Text]"/>
      <dgm:spPr/>
      <dgm:t>
        <a:bodyPr/>
        <a:lstStyle/>
        <a:p>
          <a:pPr algn="ctr"/>
          <a:r>
            <a:rPr lang="en-US"/>
            <a:t>Sees environment through her eyes to spot triggers</a:t>
          </a:r>
        </a:p>
      </dgm:t>
    </dgm:pt>
    <dgm:pt modelId="{5F1DA6C4-9F56-4ACE-808C-17B83FF54C3C}" type="parTrans" cxnId="{11E43FB3-E31B-4E1D-8C12-4A864ECA4BF6}">
      <dgm:prSet/>
      <dgm:spPr/>
      <dgm:t>
        <a:bodyPr/>
        <a:lstStyle/>
        <a:p>
          <a:pPr algn="ctr"/>
          <a:endParaRPr lang="en-US"/>
        </a:p>
      </dgm:t>
    </dgm:pt>
    <dgm:pt modelId="{BE879E6D-C3B7-4E0D-8BBB-AC1B3D971647}" type="sibTrans" cxnId="{11E43FB3-E31B-4E1D-8C12-4A864ECA4BF6}">
      <dgm:prSet/>
      <dgm:spPr/>
      <dgm:t>
        <a:bodyPr/>
        <a:lstStyle/>
        <a:p>
          <a:pPr algn="ctr"/>
          <a:endParaRPr lang="en-US"/>
        </a:p>
      </dgm:t>
    </dgm:pt>
    <dgm:pt modelId="{68F35666-2C36-455C-9311-310E3CBA70E1}">
      <dgm:prSet phldrT="[Text]"/>
      <dgm:spPr/>
      <dgm:t>
        <a:bodyPr/>
        <a:lstStyle/>
        <a:p>
          <a:pPr algn="ctr"/>
          <a:r>
            <a:rPr lang="en-US"/>
            <a:t>Calm atmosphere</a:t>
          </a:r>
        </a:p>
      </dgm:t>
    </dgm:pt>
    <dgm:pt modelId="{7C20BA38-E632-4CDC-9337-9299AAC3B885}" type="parTrans" cxnId="{11C2E044-F081-48D2-8E06-6730A77C23F1}">
      <dgm:prSet/>
      <dgm:spPr/>
      <dgm:t>
        <a:bodyPr/>
        <a:lstStyle/>
        <a:p>
          <a:pPr algn="ctr"/>
          <a:endParaRPr lang="en-US"/>
        </a:p>
      </dgm:t>
    </dgm:pt>
    <dgm:pt modelId="{1677F850-05A0-4919-9458-91E734CEB47E}" type="sibTrans" cxnId="{11C2E044-F081-48D2-8E06-6730A77C23F1}">
      <dgm:prSet/>
      <dgm:spPr/>
      <dgm:t>
        <a:bodyPr/>
        <a:lstStyle/>
        <a:p>
          <a:pPr algn="ctr"/>
          <a:endParaRPr lang="en-US"/>
        </a:p>
      </dgm:t>
    </dgm:pt>
    <dgm:pt modelId="{2C4755EE-0577-4DE8-A4C2-A6EF43B15D25}">
      <dgm:prSet phldrT="[Text]"/>
      <dgm:spPr/>
      <dgm:t>
        <a:bodyPr/>
        <a:lstStyle/>
        <a:p>
          <a:pPr algn="ctr"/>
          <a:r>
            <a:rPr lang="en-US"/>
            <a:t>Eye contact</a:t>
          </a:r>
        </a:p>
      </dgm:t>
    </dgm:pt>
    <dgm:pt modelId="{FF729AC0-F813-4CE3-9B49-8E8EC7B68BC3}" type="parTrans" cxnId="{5D140D19-C151-42CE-B6F6-7A5A4303A78E}">
      <dgm:prSet/>
      <dgm:spPr/>
      <dgm:t>
        <a:bodyPr/>
        <a:lstStyle/>
        <a:p>
          <a:pPr algn="ctr"/>
          <a:endParaRPr lang="en-US"/>
        </a:p>
      </dgm:t>
    </dgm:pt>
    <dgm:pt modelId="{9BB78009-CD32-42F8-BE35-5342907CBF96}" type="sibTrans" cxnId="{5D140D19-C151-42CE-B6F6-7A5A4303A78E}">
      <dgm:prSet/>
      <dgm:spPr/>
      <dgm:t>
        <a:bodyPr/>
        <a:lstStyle/>
        <a:p>
          <a:pPr algn="ctr"/>
          <a:endParaRPr lang="en-US"/>
        </a:p>
      </dgm:t>
    </dgm:pt>
    <dgm:pt modelId="{FCD17C0E-996E-4A75-8068-0F802589D235}">
      <dgm:prSet phldrT="[Text]"/>
      <dgm:spPr/>
      <dgm:t>
        <a:bodyPr/>
        <a:lstStyle/>
        <a:p>
          <a:pPr algn="ctr"/>
          <a:r>
            <a:rPr lang="en-US"/>
            <a:t>No Background noise</a:t>
          </a:r>
        </a:p>
      </dgm:t>
    </dgm:pt>
    <dgm:pt modelId="{9CF70C7C-6B9F-4A62-84CA-98EFF49E5993}" type="parTrans" cxnId="{652E75F7-689D-4318-ADA2-3A31D30694B3}">
      <dgm:prSet/>
      <dgm:spPr/>
      <dgm:t>
        <a:bodyPr/>
        <a:lstStyle/>
        <a:p>
          <a:pPr algn="ctr"/>
          <a:endParaRPr lang="en-US"/>
        </a:p>
      </dgm:t>
    </dgm:pt>
    <dgm:pt modelId="{F625DF27-4CBD-4F7F-B5D1-46BA4B37C2E1}" type="sibTrans" cxnId="{652E75F7-689D-4318-ADA2-3A31D30694B3}">
      <dgm:prSet/>
      <dgm:spPr/>
      <dgm:t>
        <a:bodyPr/>
        <a:lstStyle/>
        <a:p>
          <a:pPr algn="ctr"/>
          <a:endParaRPr lang="en-US"/>
        </a:p>
      </dgm:t>
    </dgm:pt>
    <dgm:pt modelId="{34C90206-CDCE-4C0D-A377-C2A530212F53}" type="pres">
      <dgm:prSet presAssocID="{C11020DD-86F4-464E-AEE4-F2A16414966C}" presName="diagram" presStyleCnt="0">
        <dgm:presLayoutVars>
          <dgm:chMax val="1"/>
          <dgm:dir/>
          <dgm:animLvl val="ctr"/>
          <dgm:resizeHandles val="exact"/>
        </dgm:presLayoutVars>
      </dgm:prSet>
      <dgm:spPr/>
    </dgm:pt>
    <dgm:pt modelId="{B35230A9-E444-41B8-917D-400FD0049F0B}" type="pres">
      <dgm:prSet presAssocID="{C11020DD-86F4-464E-AEE4-F2A16414966C}" presName="matrix" presStyleCnt="0"/>
      <dgm:spPr/>
    </dgm:pt>
    <dgm:pt modelId="{9C1596D8-2DD2-42BF-B058-069148DCE0CF}" type="pres">
      <dgm:prSet presAssocID="{C11020DD-86F4-464E-AEE4-F2A16414966C}" presName="tile1" presStyleLbl="node1" presStyleIdx="0" presStyleCnt="4"/>
      <dgm:spPr/>
    </dgm:pt>
    <dgm:pt modelId="{75FDF663-05E2-492D-90AA-B6A0D04354A5}" type="pres">
      <dgm:prSet presAssocID="{C11020DD-86F4-464E-AEE4-F2A16414966C}" presName="tile1text" presStyleLbl="node1" presStyleIdx="0" presStyleCnt="4">
        <dgm:presLayoutVars>
          <dgm:chMax val="0"/>
          <dgm:chPref val="0"/>
          <dgm:bulletEnabled val="1"/>
        </dgm:presLayoutVars>
      </dgm:prSet>
      <dgm:spPr/>
    </dgm:pt>
    <dgm:pt modelId="{BBB9E2E2-2435-401F-9B6C-51567FE2197E}" type="pres">
      <dgm:prSet presAssocID="{C11020DD-86F4-464E-AEE4-F2A16414966C}" presName="tile2" presStyleLbl="node1" presStyleIdx="1" presStyleCnt="4"/>
      <dgm:spPr/>
    </dgm:pt>
    <dgm:pt modelId="{34DB0DEF-0241-430E-ABB0-493F34F54E60}" type="pres">
      <dgm:prSet presAssocID="{C11020DD-86F4-464E-AEE4-F2A16414966C}" presName="tile2text" presStyleLbl="node1" presStyleIdx="1" presStyleCnt="4">
        <dgm:presLayoutVars>
          <dgm:chMax val="0"/>
          <dgm:chPref val="0"/>
          <dgm:bulletEnabled val="1"/>
        </dgm:presLayoutVars>
      </dgm:prSet>
      <dgm:spPr/>
    </dgm:pt>
    <dgm:pt modelId="{C931E7B5-03B0-471B-A922-0DBD4404A49F}" type="pres">
      <dgm:prSet presAssocID="{C11020DD-86F4-464E-AEE4-F2A16414966C}" presName="tile3" presStyleLbl="node1" presStyleIdx="2" presStyleCnt="4"/>
      <dgm:spPr/>
    </dgm:pt>
    <dgm:pt modelId="{5EAFCC9D-D181-406C-836F-B246C912A86F}" type="pres">
      <dgm:prSet presAssocID="{C11020DD-86F4-464E-AEE4-F2A16414966C}" presName="tile3text" presStyleLbl="node1" presStyleIdx="2" presStyleCnt="4">
        <dgm:presLayoutVars>
          <dgm:chMax val="0"/>
          <dgm:chPref val="0"/>
          <dgm:bulletEnabled val="1"/>
        </dgm:presLayoutVars>
      </dgm:prSet>
      <dgm:spPr/>
    </dgm:pt>
    <dgm:pt modelId="{489A6EEC-925F-4A53-B549-7D6D3D87BF01}" type="pres">
      <dgm:prSet presAssocID="{C11020DD-86F4-464E-AEE4-F2A16414966C}" presName="tile4" presStyleLbl="node1" presStyleIdx="3" presStyleCnt="4"/>
      <dgm:spPr/>
    </dgm:pt>
    <dgm:pt modelId="{25626D72-2910-4E90-90F1-BBF8A90CE230}" type="pres">
      <dgm:prSet presAssocID="{C11020DD-86F4-464E-AEE4-F2A16414966C}" presName="tile4text" presStyleLbl="node1" presStyleIdx="3" presStyleCnt="4">
        <dgm:presLayoutVars>
          <dgm:chMax val="0"/>
          <dgm:chPref val="0"/>
          <dgm:bulletEnabled val="1"/>
        </dgm:presLayoutVars>
      </dgm:prSet>
      <dgm:spPr/>
    </dgm:pt>
    <dgm:pt modelId="{E0E990F3-7E7D-40E6-9783-F39E45A3F6B8}" type="pres">
      <dgm:prSet presAssocID="{C11020DD-86F4-464E-AEE4-F2A16414966C}" presName="centerTile" presStyleLbl="fgShp" presStyleIdx="0" presStyleCnt="1">
        <dgm:presLayoutVars>
          <dgm:chMax val="0"/>
          <dgm:chPref val="0"/>
        </dgm:presLayoutVars>
      </dgm:prSet>
      <dgm:spPr/>
    </dgm:pt>
  </dgm:ptLst>
  <dgm:cxnLst>
    <dgm:cxn modelId="{30C10902-D738-4918-B171-1A66B000386D}" type="presOf" srcId="{7FBABB3A-B485-46FA-8278-B4FBAB2E83AE}" destId="{5EAFCC9D-D181-406C-836F-B246C912A86F}" srcOrd="1" destOrd="0" presId="urn:microsoft.com/office/officeart/2005/8/layout/matrix1"/>
    <dgm:cxn modelId="{D2CDEF09-B04A-4D8A-8F9F-DCACCE1A8F68}" type="presOf" srcId="{FCD17C0E-996E-4A75-8068-0F802589D235}" destId="{25626D72-2910-4E90-90F1-BBF8A90CE230}" srcOrd="1" destOrd="3" presId="urn:microsoft.com/office/officeart/2005/8/layout/matrix1"/>
    <dgm:cxn modelId="{3343FB17-5B2C-4802-9964-993BFA2C2CC2}" srcId="{B6C47C80-607A-4BCA-8BDE-CE242B5A05AF}" destId="{6FD927FA-C7C4-41C5-9AA5-953411E12B27}" srcOrd="0" destOrd="0" parTransId="{40635EF3-3002-48E8-BD1C-45C3853236D1}" sibTransId="{F496D50C-7395-4196-9950-166486E34730}"/>
    <dgm:cxn modelId="{5D140D19-C151-42CE-B6F6-7A5A4303A78E}" srcId="{EBAA28A8-D7FF-4AEF-A17F-4B8E840F300E}" destId="{2C4755EE-0577-4DE8-A4C2-A6EF43B15D25}" srcOrd="1" destOrd="0" parTransId="{FF729AC0-F813-4CE3-9B49-8E8EC7B68BC3}" sibTransId="{9BB78009-CD32-42F8-BE35-5342907CBF96}"/>
    <dgm:cxn modelId="{A4F7AE19-3F99-4C98-AF30-D02ED3249603}" type="presOf" srcId="{46370209-606F-44F6-BF32-902CFD0D5A41}" destId="{34DB0DEF-0241-430E-ABB0-493F34F54E60}" srcOrd="1" destOrd="0" presId="urn:microsoft.com/office/officeart/2005/8/layout/matrix1"/>
    <dgm:cxn modelId="{C484C01C-752E-4421-B4AF-D9A968205525}" type="presOf" srcId="{547E9FC1-92AA-47F8-9CFC-68D1B9ACACE7}" destId="{BBB9E2E2-2435-401F-9B6C-51567FE2197E}" srcOrd="0" destOrd="2" presId="urn:microsoft.com/office/officeart/2005/8/layout/matrix1"/>
    <dgm:cxn modelId="{8A37462B-76BE-42ED-A571-1CD853E9ECDD}" type="presOf" srcId="{2C4755EE-0577-4DE8-A4C2-A6EF43B15D25}" destId="{489A6EEC-925F-4A53-B549-7D6D3D87BF01}" srcOrd="0" destOrd="2" presId="urn:microsoft.com/office/officeart/2005/8/layout/matrix1"/>
    <dgm:cxn modelId="{595F8C2F-9944-4816-9406-1257DD8C27FD}" type="presOf" srcId="{6FD927FA-C7C4-41C5-9AA5-953411E12B27}" destId="{9C1596D8-2DD2-42BF-B058-069148DCE0CF}" srcOrd="0" destOrd="0" presId="urn:microsoft.com/office/officeart/2005/8/layout/matrix1"/>
    <dgm:cxn modelId="{5C762340-38A0-478D-B994-9E219F8DEDB9}" type="presOf" srcId="{B6C47C80-607A-4BCA-8BDE-CE242B5A05AF}" destId="{E0E990F3-7E7D-40E6-9783-F39E45A3F6B8}" srcOrd="0" destOrd="0" presId="urn:microsoft.com/office/officeart/2005/8/layout/matrix1"/>
    <dgm:cxn modelId="{B38EFD62-D2B6-4411-B8EC-B2EA5F7888DC}" type="presOf" srcId="{29999BE1-C744-41ED-A488-691F7DBD927B}" destId="{BBB9E2E2-2435-401F-9B6C-51567FE2197E}" srcOrd="0" destOrd="1" presId="urn:microsoft.com/office/officeart/2005/8/layout/matrix1"/>
    <dgm:cxn modelId="{A04D1B64-1F9E-4F1C-8160-79B11766C359}" type="presOf" srcId="{6FD927FA-C7C4-41C5-9AA5-953411E12B27}" destId="{75FDF663-05E2-492D-90AA-B6A0D04354A5}" srcOrd="1" destOrd="0" presId="urn:microsoft.com/office/officeart/2005/8/layout/matrix1"/>
    <dgm:cxn modelId="{11C2E044-F081-48D2-8E06-6730A77C23F1}" srcId="{EBAA28A8-D7FF-4AEF-A17F-4B8E840F300E}" destId="{68F35666-2C36-455C-9311-310E3CBA70E1}" srcOrd="0" destOrd="0" parTransId="{7C20BA38-E632-4CDC-9337-9299AAC3B885}" sibTransId="{1677F850-05A0-4919-9458-91E734CEB47E}"/>
    <dgm:cxn modelId="{F2203147-9CD6-4F36-AD73-39DA0765B023}" type="presOf" srcId="{68F35666-2C36-455C-9311-310E3CBA70E1}" destId="{489A6EEC-925F-4A53-B549-7D6D3D87BF01}" srcOrd="0" destOrd="1" presId="urn:microsoft.com/office/officeart/2005/8/layout/matrix1"/>
    <dgm:cxn modelId="{D3FA504A-16D9-4B8D-B8AA-3F5BBB262CFB}" type="presOf" srcId="{54D441C7-2EDB-40A7-9953-2C184616F5C2}" destId="{5EAFCC9D-D181-406C-836F-B246C912A86F}" srcOrd="1" destOrd="1" presId="urn:microsoft.com/office/officeart/2005/8/layout/matrix1"/>
    <dgm:cxn modelId="{9F64244B-3430-45D0-BFE7-76EEABC34B49}" srcId="{46370209-606F-44F6-BF32-902CFD0D5A41}" destId="{29999BE1-C744-41ED-A488-691F7DBD927B}" srcOrd="0" destOrd="0" parTransId="{A7F7AAF5-33B0-4D24-BED9-C7C18558EDA7}" sibTransId="{83ED201D-9D94-4B3A-81B6-D73D8B7F385A}"/>
    <dgm:cxn modelId="{ACD10A4C-5343-46E7-900A-C2DE0E58B8C3}" srcId="{6FD927FA-C7C4-41C5-9AA5-953411E12B27}" destId="{7C55E4EC-E8C5-4398-810F-74B0B699F4A0}" srcOrd="1" destOrd="0" parTransId="{807E12CE-F297-478D-881A-83032F63C1D6}" sibTransId="{ED8C48A2-962B-46C0-9FE3-8C08B1A22353}"/>
    <dgm:cxn modelId="{F98B2152-12FA-4B28-8856-B1298D0019DB}" type="presOf" srcId="{FCD17C0E-996E-4A75-8068-0F802589D235}" destId="{489A6EEC-925F-4A53-B549-7D6D3D87BF01}" srcOrd="0" destOrd="3" presId="urn:microsoft.com/office/officeart/2005/8/layout/matrix1"/>
    <dgm:cxn modelId="{EA15EF76-A44D-4BC0-AC59-8B8BD44DBA2B}" srcId="{B6C47C80-607A-4BCA-8BDE-CE242B5A05AF}" destId="{EBAA28A8-D7FF-4AEF-A17F-4B8E840F300E}" srcOrd="3" destOrd="0" parTransId="{694F072A-975D-401B-8A9A-3BA215C3F05E}" sibTransId="{DB29354D-C211-4C62-A99C-5F63D03CF421}"/>
    <dgm:cxn modelId="{BFC99F58-3B1E-470B-B192-986FED22B7D2}" srcId="{B6C47C80-607A-4BCA-8BDE-CE242B5A05AF}" destId="{46370209-606F-44F6-BF32-902CFD0D5A41}" srcOrd="1" destOrd="0" parTransId="{AEB77D32-4B8C-4AFF-AE68-FBDE06B7A390}" sibTransId="{A2A35E4C-CDFB-4A84-A03B-67237986626B}"/>
    <dgm:cxn modelId="{3BE0737A-9FDE-4ACD-A96A-035112DAFE22}" type="presOf" srcId="{7FBABB3A-B485-46FA-8278-B4FBAB2E83AE}" destId="{C931E7B5-03B0-471B-A922-0DBD4404A49F}" srcOrd="0" destOrd="0" presId="urn:microsoft.com/office/officeart/2005/8/layout/matrix1"/>
    <dgm:cxn modelId="{4551A87F-43C0-463A-9B76-A0A842DBE904}" srcId="{C11020DD-86F4-464E-AEE4-F2A16414966C}" destId="{B6C47C80-607A-4BCA-8BDE-CE242B5A05AF}" srcOrd="0" destOrd="0" parTransId="{1B1380BF-279F-4B5D-8539-99FF6B98BADE}" sibTransId="{E99FE0A2-533A-4015-8FEC-FF9A24FFC3BD}"/>
    <dgm:cxn modelId="{2F2E2280-E093-4969-9DBB-522CEAC5E429}" type="presOf" srcId="{54D441C7-2EDB-40A7-9953-2C184616F5C2}" destId="{C931E7B5-03B0-471B-A922-0DBD4404A49F}" srcOrd="0" destOrd="1" presId="urn:microsoft.com/office/officeart/2005/8/layout/matrix1"/>
    <dgm:cxn modelId="{2F35F982-B431-4EDE-A32E-749F0A9E207A}" type="presOf" srcId="{6C9C9417-855F-4C13-91F3-069C418881A3}" destId="{9C1596D8-2DD2-42BF-B058-069148DCE0CF}" srcOrd="0" destOrd="1" presId="urn:microsoft.com/office/officeart/2005/8/layout/matrix1"/>
    <dgm:cxn modelId="{8F923E99-89CD-4410-92FC-A1BEC422DE2C}" type="presOf" srcId="{EBAA28A8-D7FF-4AEF-A17F-4B8E840F300E}" destId="{25626D72-2910-4E90-90F1-BBF8A90CE230}" srcOrd="1" destOrd="0" presId="urn:microsoft.com/office/officeart/2005/8/layout/matrix1"/>
    <dgm:cxn modelId="{B6D1E89B-C558-407D-A143-43D1823E0667}" type="presOf" srcId="{C11020DD-86F4-464E-AEE4-F2A16414966C}" destId="{34C90206-CDCE-4C0D-A377-C2A530212F53}" srcOrd="0" destOrd="0" presId="urn:microsoft.com/office/officeart/2005/8/layout/matrix1"/>
    <dgm:cxn modelId="{A13C7B9C-C25D-4E6E-994A-23012C7712AA}" type="presOf" srcId="{7C55E4EC-E8C5-4398-810F-74B0B699F4A0}" destId="{9C1596D8-2DD2-42BF-B058-069148DCE0CF}" srcOrd="0" destOrd="2" presId="urn:microsoft.com/office/officeart/2005/8/layout/matrix1"/>
    <dgm:cxn modelId="{CBF4B0A2-C475-462C-B96E-0B1EC79E3C99}" srcId="{46370209-606F-44F6-BF32-902CFD0D5A41}" destId="{547E9FC1-92AA-47F8-9CFC-68D1B9ACACE7}" srcOrd="1" destOrd="0" parTransId="{B0BD47CD-6027-4F81-AAE1-FE3158525FFF}" sibTransId="{10DDB903-44C0-454D-8F7F-C9F3D80B0CB4}"/>
    <dgm:cxn modelId="{6ADDF6B1-68E2-4420-82B2-5F7EB4CC88AA}" srcId="{B6C47C80-607A-4BCA-8BDE-CE242B5A05AF}" destId="{7FBABB3A-B485-46FA-8278-B4FBAB2E83AE}" srcOrd="2" destOrd="0" parTransId="{3DA96195-098F-477F-8527-7B91EAEB2AAB}" sibTransId="{47BEE448-8560-4D68-8584-D6377D01C9BB}"/>
    <dgm:cxn modelId="{11E43FB3-E31B-4E1D-8C12-4A864ECA4BF6}" srcId="{7FBABB3A-B485-46FA-8278-B4FBAB2E83AE}" destId="{54D441C7-2EDB-40A7-9953-2C184616F5C2}" srcOrd="0" destOrd="0" parTransId="{5F1DA6C4-9F56-4ACE-808C-17B83FF54C3C}" sibTransId="{BE879E6D-C3B7-4E0D-8BBB-AC1B3D971647}"/>
    <dgm:cxn modelId="{663103C5-2B4A-45F0-833C-9688BB55380D}" type="presOf" srcId="{29999BE1-C744-41ED-A488-691F7DBD927B}" destId="{34DB0DEF-0241-430E-ABB0-493F34F54E60}" srcOrd="1" destOrd="1" presId="urn:microsoft.com/office/officeart/2005/8/layout/matrix1"/>
    <dgm:cxn modelId="{12E692CA-E2AA-4C59-9CC2-5884A7191C06}" type="presOf" srcId="{2C4755EE-0577-4DE8-A4C2-A6EF43B15D25}" destId="{25626D72-2910-4E90-90F1-BBF8A90CE230}" srcOrd="1" destOrd="2" presId="urn:microsoft.com/office/officeart/2005/8/layout/matrix1"/>
    <dgm:cxn modelId="{6632EED3-482E-4825-8693-34D89CEEB912}" type="presOf" srcId="{EBAA28A8-D7FF-4AEF-A17F-4B8E840F300E}" destId="{489A6EEC-925F-4A53-B549-7D6D3D87BF01}" srcOrd="0" destOrd="0" presId="urn:microsoft.com/office/officeart/2005/8/layout/matrix1"/>
    <dgm:cxn modelId="{0F002ED5-CEBD-4DFA-A998-360F49BA85C6}" type="presOf" srcId="{7C55E4EC-E8C5-4398-810F-74B0B699F4A0}" destId="{75FDF663-05E2-492D-90AA-B6A0D04354A5}" srcOrd="1" destOrd="2" presId="urn:microsoft.com/office/officeart/2005/8/layout/matrix1"/>
    <dgm:cxn modelId="{BF7174D9-E721-4138-A5DF-505B03144012}" srcId="{6FD927FA-C7C4-41C5-9AA5-953411E12B27}" destId="{6C9C9417-855F-4C13-91F3-069C418881A3}" srcOrd="0" destOrd="0" parTransId="{66F7DE5E-52D9-485B-8C70-D5CD06291442}" sibTransId="{AC780414-67D9-46FC-96C3-521C182C834E}"/>
    <dgm:cxn modelId="{8C58AEDE-8734-4B02-B7E4-BDF574AF060B}" type="presOf" srcId="{68F35666-2C36-455C-9311-310E3CBA70E1}" destId="{25626D72-2910-4E90-90F1-BBF8A90CE230}" srcOrd="1" destOrd="1" presId="urn:microsoft.com/office/officeart/2005/8/layout/matrix1"/>
    <dgm:cxn modelId="{4D6196E2-21D7-4B95-9FF4-F13B24D78268}" type="presOf" srcId="{46370209-606F-44F6-BF32-902CFD0D5A41}" destId="{BBB9E2E2-2435-401F-9B6C-51567FE2197E}" srcOrd="0" destOrd="0" presId="urn:microsoft.com/office/officeart/2005/8/layout/matrix1"/>
    <dgm:cxn modelId="{D8AF03E6-9624-4A0D-B61E-F40F894EBBF0}" type="presOf" srcId="{547E9FC1-92AA-47F8-9CFC-68D1B9ACACE7}" destId="{34DB0DEF-0241-430E-ABB0-493F34F54E60}" srcOrd="1" destOrd="2" presId="urn:microsoft.com/office/officeart/2005/8/layout/matrix1"/>
    <dgm:cxn modelId="{652E75F7-689D-4318-ADA2-3A31D30694B3}" srcId="{EBAA28A8-D7FF-4AEF-A17F-4B8E840F300E}" destId="{FCD17C0E-996E-4A75-8068-0F802589D235}" srcOrd="2" destOrd="0" parTransId="{9CF70C7C-6B9F-4A62-84CA-98EFF49E5993}" sibTransId="{F625DF27-4CBD-4F7F-B5D1-46BA4B37C2E1}"/>
    <dgm:cxn modelId="{BDF25CFA-FE93-42EA-80E4-1DD0EE7B7F23}" type="presOf" srcId="{6C9C9417-855F-4C13-91F3-069C418881A3}" destId="{75FDF663-05E2-492D-90AA-B6A0D04354A5}" srcOrd="1" destOrd="1" presId="urn:microsoft.com/office/officeart/2005/8/layout/matrix1"/>
    <dgm:cxn modelId="{2AEB7588-E972-4D24-8A45-1D58C1F757DB}" type="presParOf" srcId="{34C90206-CDCE-4C0D-A377-C2A530212F53}" destId="{B35230A9-E444-41B8-917D-400FD0049F0B}" srcOrd="0" destOrd="0" presId="urn:microsoft.com/office/officeart/2005/8/layout/matrix1"/>
    <dgm:cxn modelId="{A365F6B5-7AAC-4045-94B7-1A803DC9E45B}" type="presParOf" srcId="{B35230A9-E444-41B8-917D-400FD0049F0B}" destId="{9C1596D8-2DD2-42BF-B058-069148DCE0CF}" srcOrd="0" destOrd="0" presId="urn:microsoft.com/office/officeart/2005/8/layout/matrix1"/>
    <dgm:cxn modelId="{041AB201-A4B1-4FD7-A099-DDCB866D04D6}" type="presParOf" srcId="{B35230A9-E444-41B8-917D-400FD0049F0B}" destId="{75FDF663-05E2-492D-90AA-B6A0D04354A5}" srcOrd="1" destOrd="0" presId="urn:microsoft.com/office/officeart/2005/8/layout/matrix1"/>
    <dgm:cxn modelId="{17FA7902-F733-4075-B409-607ABD4D54D2}" type="presParOf" srcId="{B35230A9-E444-41B8-917D-400FD0049F0B}" destId="{BBB9E2E2-2435-401F-9B6C-51567FE2197E}" srcOrd="2" destOrd="0" presId="urn:microsoft.com/office/officeart/2005/8/layout/matrix1"/>
    <dgm:cxn modelId="{05CD080B-00A2-4053-B95D-196B7CCADD48}" type="presParOf" srcId="{B35230A9-E444-41B8-917D-400FD0049F0B}" destId="{34DB0DEF-0241-430E-ABB0-493F34F54E60}" srcOrd="3" destOrd="0" presId="urn:microsoft.com/office/officeart/2005/8/layout/matrix1"/>
    <dgm:cxn modelId="{3ED4E894-1792-4AC6-9B32-F70CA9FAD88D}" type="presParOf" srcId="{B35230A9-E444-41B8-917D-400FD0049F0B}" destId="{C931E7B5-03B0-471B-A922-0DBD4404A49F}" srcOrd="4" destOrd="0" presId="urn:microsoft.com/office/officeart/2005/8/layout/matrix1"/>
    <dgm:cxn modelId="{3BD9EC6C-9CD9-4A53-AA92-91AB92787E54}" type="presParOf" srcId="{B35230A9-E444-41B8-917D-400FD0049F0B}" destId="{5EAFCC9D-D181-406C-836F-B246C912A86F}" srcOrd="5" destOrd="0" presId="urn:microsoft.com/office/officeart/2005/8/layout/matrix1"/>
    <dgm:cxn modelId="{F721CF95-A542-46F7-90B9-BD0D88A37825}" type="presParOf" srcId="{B35230A9-E444-41B8-917D-400FD0049F0B}" destId="{489A6EEC-925F-4A53-B549-7D6D3D87BF01}" srcOrd="6" destOrd="0" presId="urn:microsoft.com/office/officeart/2005/8/layout/matrix1"/>
    <dgm:cxn modelId="{A2615DCF-D3D1-4054-91DB-23E752A3D6D3}" type="presParOf" srcId="{B35230A9-E444-41B8-917D-400FD0049F0B}" destId="{25626D72-2910-4E90-90F1-BBF8A90CE230}" srcOrd="7" destOrd="0" presId="urn:microsoft.com/office/officeart/2005/8/layout/matrix1"/>
    <dgm:cxn modelId="{CBAA0FF0-02F8-48E9-89D7-96EBAE15280B}" type="presParOf" srcId="{34C90206-CDCE-4C0D-A377-C2A530212F53}" destId="{E0E990F3-7E7D-40E6-9783-F39E45A3F6B8}" srcOrd="1" destOrd="0" presId="urn:microsoft.com/office/officeart/2005/8/layout/matrix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1596D8-2DD2-42BF-B058-069148DCE0CF}">
      <dsp:nvSpPr>
        <dsp:cNvPr id="0" name=""/>
        <dsp:cNvSpPr/>
      </dsp:nvSpPr>
      <dsp:spPr>
        <a:xfrm rot="16200000">
          <a:off x="571500" y="-571500"/>
          <a:ext cx="1600200" cy="27432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t" anchorCtr="0">
          <a:noAutofit/>
        </a:bodyPr>
        <a:lstStyle/>
        <a:p>
          <a:pPr marL="0" lvl="0" indent="0" algn="ctr" defTabSz="755650">
            <a:lnSpc>
              <a:spcPct val="90000"/>
            </a:lnSpc>
            <a:spcBef>
              <a:spcPct val="0"/>
            </a:spcBef>
            <a:spcAft>
              <a:spcPct val="35000"/>
            </a:spcAft>
            <a:buNone/>
          </a:pPr>
          <a:r>
            <a:rPr lang="en-US" sz="1700" kern="1200"/>
            <a:t>Value (V)</a:t>
          </a:r>
        </a:p>
        <a:p>
          <a:pPr marL="114300" lvl="1" indent="-114300" algn="ctr" defTabSz="577850">
            <a:lnSpc>
              <a:spcPct val="90000"/>
            </a:lnSpc>
            <a:spcBef>
              <a:spcPct val="0"/>
            </a:spcBef>
            <a:spcAft>
              <a:spcPct val="15000"/>
            </a:spcAft>
            <a:buChar char="•"/>
          </a:pPr>
          <a:r>
            <a:rPr lang="en-US" sz="1300" kern="1200"/>
            <a:t>Treats Mrs Thompson as a unique human</a:t>
          </a:r>
        </a:p>
        <a:p>
          <a:pPr marL="114300" lvl="1" indent="-114300" algn="ctr" defTabSz="577850">
            <a:lnSpc>
              <a:spcPct val="90000"/>
            </a:lnSpc>
            <a:spcBef>
              <a:spcPct val="0"/>
            </a:spcBef>
            <a:spcAft>
              <a:spcPct val="15000"/>
            </a:spcAft>
            <a:buChar char="•"/>
          </a:pPr>
          <a:r>
            <a:rPr lang="en-US" sz="1300" kern="1200"/>
            <a:t>Counters Ageism</a:t>
          </a:r>
        </a:p>
      </dsp:txBody>
      <dsp:txXfrm rot="5400000">
        <a:off x="-1" y="1"/>
        <a:ext cx="2743200" cy="1200150"/>
      </dsp:txXfrm>
    </dsp:sp>
    <dsp:sp modelId="{BBB9E2E2-2435-401F-9B6C-51567FE2197E}">
      <dsp:nvSpPr>
        <dsp:cNvPr id="0" name=""/>
        <dsp:cNvSpPr/>
      </dsp:nvSpPr>
      <dsp:spPr>
        <a:xfrm>
          <a:off x="2743200" y="0"/>
          <a:ext cx="2743200" cy="16002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t" anchorCtr="0">
          <a:noAutofit/>
        </a:bodyPr>
        <a:lstStyle/>
        <a:p>
          <a:pPr marL="0" lvl="0" indent="0" algn="ctr" defTabSz="755650">
            <a:lnSpc>
              <a:spcPct val="90000"/>
            </a:lnSpc>
            <a:spcBef>
              <a:spcPct val="0"/>
            </a:spcBef>
            <a:spcAft>
              <a:spcPct val="35000"/>
            </a:spcAft>
            <a:buNone/>
          </a:pPr>
          <a:r>
            <a:rPr lang="en-US" sz="1700" kern="1200"/>
            <a:t>Individual (I)</a:t>
          </a:r>
        </a:p>
        <a:p>
          <a:pPr marL="114300" lvl="1" indent="-114300" algn="ctr" defTabSz="577850">
            <a:lnSpc>
              <a:spcPct val="90000"/>
            </a:lnSpc>
            <a:spcBef>
              <a:spcPct val="0"/>
            </a:spcBef>
            <a:spcAft>
              <a:spcPct val="15000"/>
            </a:spcAft>
            <a:buChar char="•"/>
          </a:pPr>
          <a:r>
            <a:rPr lang="en-US" sz="1300" kern="1200"/>
            <a:t>Tailored to her life history</a:t>
          </a:r>
        </a:p>
        <a:p>
          <a:pPr marL="114300" lvl="1" indent="-114300" algn="ctr" defTabSz="577850">
            <a:lnSpc>
              <a:spcPct val="90000"/>
            </a:lnSpc>
            <a:spcBef>
              <a:spcPct val="0"/>
            </a:spcBef>
            <a:spcAft>
              <a:spcPct val="15000"/>
            </a:spcAft>
            <a:buChar char="•"/>
          </a:pPr>
          <a:r>
            <a:rPr lang="en-US" sz="1300" kern="1200"/>
            <a:t>Short sentences</a:t>
          </a:r>
        </a:p>
      </dsp:txBody>
      <dsp:txXfrm>
        <a:off x="2743200" y="0"/>
        <a:ext cx="2743200" cy="1200150"/>
      </dsp:txXfrm>
    </dsp:sp>
    <dsp:sp modelId="{C931E7B5-03B0-471B-A922-0DBD4404A49F}">
      <dsp:nvSpPr>
        <dsp:cNvPr id="0" name=""/>
        <dsp:cNvSpPr/>
      </dsp:nvSpPr>
      <dsp:spPr>
        <a:xfrm rot="10800000">
          <a:off x="0" y="1600200"/>
          <a:ext cx="2743200" cy="16002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t" anchorCtr="0">
          <a:noAutofit/>
        </a:bodyPr>
        <a:lstStyle/>
        <a:p>
          <a:pPr marL="0" lvl="0" indent="0" algn="ctr" defTabSz="755650">
            <a:lnSpc>
              <a:spcPct val="90000"/>
            </a:lnSpc>
            <a:spcBef>
              <a:spcPct val="0"/>
            </a:spcBef>
            <a:spcAft>
              <a:spcPct val="35000"/>
            </a:spcAft>
            <a:buNone/>
          </a:pPr>
          <a:r>
            <a:rPr lang="en-US" sz="1700" kern="1200"/>
            <a:t>Perspective (P)</a:t>
          </a:r>
        </a:p>
        <a:p>
          <a:pPr marL="114300" lvl="1" indent="-114300" algn="ctr" defTabSz="577850">
            <a:lnSpc>
              <a:spcPct val="90000"/>
            </a:lnSpc>
            <a:spcBef>
              <a:spcPct val="0"/>
            </a:spcBef>
            <a:spcAft>
              <a:spcPct val="15000"/>
            </a:spcAft>
            <a:buChar char="•"/>
          </a:pPr>
          <a:r>
            <a:rPr lang="en-US" sz="1300" kern="1200"/>
            <a:t>Sees environment through her eyes to spot triggers</a:t>
          </a:r>
        </a:p>
      </dsp:txBody>
      <dsp:txXfrm rot="10800000">
        <a:off x="0" y="2000250"/>
        <a:ext cx="2743200" cy="1200150"/>
      </dsp:txXfrm>
    </dsp:sp>
    <dsp:sp modelId="{489A6EEC-925F-4A53-B549-7D6D3D87BF01}">
      <dsp:nvSpPr>
        <dsp:cNvPr id="0" name=""/>
        <dsp:cNvSpPr/>
      </dsp:nvSpPr>
      <dsp:spPr>
        <a:xfrm rot="5400000">
          <a:off x="3314700" y="1028700"/>
          <a:ext cx="1600200" cy="2743200"/>
        </a:xfrm>
        <a:prstGeom prst="round1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0904" tIns="120904" rIns="120904" bIns="120904" numCol="1" spcCol="1270" anchor="t" anchorCtr="0">
          <a:noAutofit/>
        </a:bodyPr>
        <a:lstStyle/>
        <a:p>
          <a:pPr marL="0" lvl="0" indent="0" algn="ctr" defTabSz="755650">
            <a:lnSpc>
              <a:spcPct val="90000"/>
            </a:lnSpc>
            <a:spcBef>
              <a:spcPct val="0"/>
            </a:spcBef>
            <a:spcAft>
              <a:spcPct val="35000"/>
            </a:spcAft>
            <a:buNone/>
          </a:pPr>
          <a:r>
            <a:rPr lang="en-US" sz="1700" kern="1200"/>
            <a:t>Social</a:t>
          </a:r>
        </a:p>
        <a:p>
          <a:pPr marL="114300" lvl="1" indent="-114300" algn="ctr" defTabSz="577850">
            <a:lnSpc>
              <a:spcPct val="90000"/>
            </a:lnSpc>
            <a:spcBef>
              <a:spcPct val="0"/>
            </a:spcBef>
            <a:spcAft>
              <a:spcPct val="15000"/>
            </a:spcAft>
            <a:buChar char="•"/>
          </a:pPr>
          <a:r>
            <a:rPr lang="en-US" sz="1300" kern="1200"/>
            <a:t>Calm atmosphere</a:t>
          </a:r>
        </a:p>
        <a:p>
          <a:pPr marL="114300" lvl="1" indent="-114300" algn="ctr" defTabSz="577850">
            <a:lnSpc>
              <a:spcPct val="90000"/>
            </a:lnSpc>
            <a:spcBef>
              <a:spcPct val="0"/>
            </a:spcBef>
            <a:spcAft>
              <a:spcPct val="15000"/>
            </a:spcAft>
            <a:buChar char="•"/>
          </a:pPr>
          <a:r>
            <a:rPr lang="en-US" sz="1300" kern="1200"/>
            <a:t>Eye contact</a:t>
          </a:r>
        </a:p>
        <a:p>
          <a:pPr marL="114300" lvl="1" indent="-114300" algn="ctr" defTabSz="577850">
            <a:lnSpc>
              <a:spcPct val="90000"/>
            </a:lnSpc>
            <a:spcBef>
              <a:spcPct val="0"/>
            </a:spcBef>
            <a:spcAft>
              <a:spcPct val="15000"/>
            </a:spcAft>
            <a:buChar char="•"/>
          </a:pPr>
          <a:r>
            <a:rPr lang="en-US" sz="1300" kern="1200"/>
            <a:t>No Background noise</a:t>
          </a:r>
        </a:p>
      </dsp:txBody>
      <dsp:txXfrm rot="-5400000">
        <a:off x="2743200" y="2000250"/>
        <a:ext cx="2743200" cy="1200150"/>
      </dsp:txXfrm>
    </dsp:sp>
    <dsp:sp modelId="{E0E990F3-7E7D-40E6-9783-F39E45A3F6B8}">
      <dsp:nvSpPr>
        <dsp:cNvPr id="0" name=""/>
        <dsp:cNvSpPr/>
      </dsp:nvSpPr>
      <dsp:spPr>
        <a:xfrm>
          <a:off x="1920240" y="1200150"/>
          <a:ext cx="1645920" cy="800100"/>
        </a:xfrm>
        <a:prstGeom prst="roundRect">
          <a:avLst/>
        </a:prstGeom>
        <a:solidFill>
          <a:schemeClr val="dk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VIPS Framework</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7" ma:contentTypeDescription="Create a new document." ma:contentTypeScope="" ma:versionID="444bf340781b5733eaf0834bf131b95c">
  <xsd:schema xmlns:xsd="http://www.w3.org/2001/XMLSchema" xmlns:xs="http://www.w3.org/2001/XMLSchema" xmlns:p="http://schemas.microsoft.com/office/2006/metadata/properties" xmlns:ns3="3a45fc47-eb9b-4e12-9db8-9c54afcdd495" targetNamespace="http://schemas.microsoft.com/office/2006/metadata/properties" ma:root="true" ma:fieldsID="11c57b2e8f53428c7aa0d67afe81ecda"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AAC913-EC13-4AD0-AFF0-EE5828A71E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422A4E-08BB-4263-BE53-3A9E2248F4D4}">
  <ds:schemaRefs>
    <ds:schemaRef ds:uri="http://schemas.openxmlformats.org/officeDocument/2006/bibliography"/>
  </ds:schemaRefs>
</ds:datastoreItem>
</file>

<file path=customXml/itemProps3.xml><?xml version="1.0" encoding="utf-8"?>
<ds:datastoreItem xmlns:ds="http://schemas.openxmlformats.org/officeDocument/2006/customXml" ds:itemID="{5124363D-E0F4-41C1-8186-85EA458B0E2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03C52BE-C473-48C5-94A4-1C34A42446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2149</Words>
  <Characters>12250</Characters>
  <Application>Microsoft Office Word</Application>
  <DocSecurity>0</DocSecurity>
  <Lines>102</Lines>
  <Paragraphs>28</Paragraphs>
  <ScaleCrop>false</ScaleCrop>
  <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2026-08-11T12:24:00Z</dcterms:created>
  <dcterms:modified xsi:type="dcterms:W3CDTF">2026-08-11T12:27:00Z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b311297a-1e81-4aae-bf4b-992d186245da</vt:lpwstr>
  </property>
  <property fmtid="{D5CDD505-2E9C-101B-9397-08002B2CF9AE}" pid="3" name="ContentTypeId">
    <vt:lpwstr>0x010100726380AC60170645A0935717CAD1D47D</vt:lpwstr>
  </property>
</Properties>
</file>