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Human Resource Management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A Critical Analysis of Employee Engagement at Tencent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Keyun Chen</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2229979</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24 March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0" w:name="_Toc13879"/>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2"/>
          <w:szCs w:val="22"/>
          <w:lang w:val="en-US" w:eastAsia="zh-CN"/>
        </w:rPr>
      </w:pPr>
      <w:bookmarkStart w:id="1" w:name="_Toc31286"/>
      <w:r>
        <w:rPr>
          <w:rFonts w:hint="default" w:ascii="Times New Roman" w:hAnsi="Times New Roman" w:cs="Times New Roman"/>
          <w:b/>
          <w:bCs/>
          <w:sz w:val="22"/>
          <w:szCs w:val="22"/>
          <w:lang w:val="en-US" w:eastAsia="zh-CN"/>
        </w:rPr>
        <w:t>Abstract</w:t>
      </w:r>
      <w:bookmarkEnd w:id="0"/>
      <w:bookmarkEnd w:id="1"/>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Tencent has demonstrated strengths in human resource management, such as offering competitive compensation and benefits, and providing opportunities for career growth and development.However, there are also some weaknesses and challenges facing Tencent's HRM, such as potential issues with employee engagement, motivation, recognition, and development opportunities(xiao ,2020). The company may also need to address concerns regarding communication and transparency practices, as well as employee well-being and work-life balance(jiang,2017). By considering models such as BlessingWhite's Model, Maslow's Hierarchy of Needs Model, and the SHRM model, Tencent can continue to improve its human resource management practices and </w:t>
      </w:r>
      <w:r>
        <w:rPr>
          <w:rFonts w:hint="eastAsia" w:ascii="Times New Roman" w:hAnsi="Times New Roman" w:cs="Times New Roman"/>
          <w:sz w:val="22"/>
          <w:szCs w:val="22"/>
          <w:lang w:val="en-US" w:eastAsia="zh-CN"/>
        </w:rPr>
        <w:t>m</w:t>
      </w:r>
      <w:r>
        <w:rPr>
          <w:rFonts w:hint="default" w:ascii="Times New Roman" w:hAnsi="Times New Roman" w:cs="Times New Roman"/>
          <w:sz w:val="22"/>
          <w:szCs w:val="22"/>
          <w:lang w:val="en-US" w:eastAsia="zh-CN"/>
        </w:rPr>
        <w:t>ake sure that all its employees are fully committed and involved in their work</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motivated, and committed to the company's mission and values.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b/>
          <w:bCs/>
          <w:sz w:val="22"/>
          <w:szCs w:val="22"/>
          <w:lang w:val="en-US" w:eastAsia="zh-CN"/>
        </w:rPr>
        <w:t>Key words</w:t>
      </w:r>
      <w:r>
        <w:rPr>
          <w:rFonts w:hint="eastAsia" w:ascii="Times New Roman" w:hAnsi="Times New Roman" w:cs="Times New Roman"/>
          <w:b/>
          <w:bCs/>
          <w:sz w:val="22"/>
          <w:szCs w:val="22"/>
          <w:lang w:val="en-US" w:eastAsia="zh-CN"/>
        </w:rPr>
        <w:t>：</w:t>
      </w:r>
      <w:r>
        <w:rPr>
          <w:rFonts w:hint="eastAsia" w:ascii="Times New Roman" w:hAnsi="Times New Roman" w:cs="Times New Roman"/>
          <w:sz w:val="22"/>
          <w:szCs w:val="22"/>
          <w:lang w:val="en-US" w:eastAsia="zh-CN"/>
        </w:rPr>
        <w:t>Employee engagement、communication、competitiveness improvement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pStyle w:val="4"/>
        <w:tabs>
          <w:tab w:val="right" w:leader="dot" w:pos="8306"/>
        </w:tabs>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Contents</w:t>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TOC \o "1-3" \h \u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_Toc31286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Abstract</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_Toc31286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_Toc17212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_Toc17212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_Toc18843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Strengths and weaknesses in Tencent 's HRM</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_Toc18843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_Toc21723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1、BlessingWhite's Model :</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_Toc21723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_Toc20468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eastAsiaTheme="minorEastAsia"/>
          <w:bCs/>
          <w:kern w:val="2"/>
          <w:sz w:val="22"/>
          <w:szCs w:val="22"/>
          <w:lang w:val="en-US" w:eastAsia="zh-CN" w:bidi="ar-SA"/>
        </w:rPr>
        <w:t>2、Maslow Model</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_Toc20468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_Toc24657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3、the SHRM model</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_Toc24657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_Toc25012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_Toc25012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_Toc24522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 1</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_Toc24522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_Toc20919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 2</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_Toc20919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_Toc7824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_Toc7824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_Toc23190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References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_Toc23190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_Toc24450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Appendix</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_Toc24450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_Toc947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Interview outline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_Toc947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 w:name="_Toc6722"/>
      <w:bookmarkStart w:id="3" w:name="_Toc17212"/>
      <w:r>
        <w:rPr>
          <w:rFonts w:hint="default" w:ascii="Times New Roman" w:hAnsi="Times New Roman" w:cs="Times New Roman"/>
          <w:b/>
          <w:bCs/>
          <w:sz w:val="22"/>
          <w:szCs w:val="22"/>
          <w:lang w:val="en-US" w:eastAsia="zh-CN"/>
        </w:rPr>
        <w:t>Introduction</w:t>
      </w:r>
      <w:bookmarkEnd w:id="2"/>
      <w:bookmarkEnd w:id="3"/>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Tencent Holdings Limited, commonly known as Tencent, is a Chinese multinational technology conglomerate founded in 1998. The company is one of the largest internet and AI companies in the world, providing a range of services including social media, gaming, music, e-commerce, and more. Tencent's most popular product is the instant messaging software WeChat, which has over 1 billion monthly active users worldwide. The company is headquartered in Shenzhen, China, and has offices and operations in numerous countries.(Tencent</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 xml:space="preserve"> 202</w:t>
      </w:r>
      <w:r>
        <w:rPr>
          <w:rFonts w:hint="eastAsia" w:ascii="Times New Roman" w:hAnsi="Times New Roman" w:cs="Times New Roman"/>
          <w:sz w:val="22"/>
          <w:szCs w:val="22"/>
          <w:lang w:val="en-US" w:eastAsia="zh-CN"/>
        </w:rPr>
        <w:t>3</w:t>
      </w:r>
      <w:r>
        <w:rPr>
          <w:rFonts w:hint="default" w:ascii="Times New Roman" w:hAnsi="Times New Roman" w:cs="Times New Roman"/>
          <w:sz w:val="22"/>
          <w:szCs w:val="22"/>
          <w:lang w:val="en-US" w:eastAsia="zh-CN"/>
        </w:rPr>
        <w: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Being the biggest technology companies globally, Tencent places great emphasis on its human resource management practices. The company is known for offering competitive salaries and benefits packages, as well as opportunities for career growth and development. Tencent's HR department uses a data-driven approach to identify and recruit top talent, and also invests heavily in employee training and development programs. The company also has a strong focus on employee engagement, with regular feedback mechanisms and channels for employees to voice their opinions and concerns.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Despite Tencent's strong focus on employee engagement, there have been some concerns about employee participation and involvement in decision-making processes(Bai,2018). Some employees have expressed dissatisfaction with the company's communication and transparency practices, and have called for more opportunities to provide feedback and contribute to the company's direction (Melewar,2005) . In response to these concerns, Tencent has launched initiatives such as regular town hall meetings, employee surveys, and online platforms for feedback and communication. The company has also increased its efforts to involve employees in social responsibility and community engagement projects, </w:t>
      </w:r>
      <w:r>
        <w:rPr>
          <w:rFonts w:hint="eastAsia" w:ascii="Times New Roman" w:hAnsi="Times New Roman" w:cs="Times New Roman"/>
          <w:sz w:val="22"/>
          <w:szCs w:val="22"/>
          <w:lang w:val="en-US" w:eastAsia="zh-CN"/>
        </w:rPr>
        <w:t>w</w:t>
      </w:r>
      <w:r>
        <w:rPr>
          <w:rFonts w:hint="default" w:ascii="Times New Roman" w:hAnsi="Times New Roman" w:cs="Times New Roman"/>
          <w:sz w:val="22"/>
          <w:szCs w:val="22"/>
          <w:lang w:val="en-US" w:eastAsia="zh-CN"/>
        </w:rPr>
        <w:t>ith the aim of boosting employee motivation and fostering a greater sense of meaning in their work.(McCown,,2023）.</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4" w:name="_Toc18843"/>
      <w:bookmarkStart w:id="5" w:name="_Toc27814"/>
      <w:r>
        <w:rPr>
          <w:rFonts w:hint="default" w:ascii="Times New Roman" w:hAnsi="Times New Roman" w:cs="Times New Roman"/>
          <w:b/>
          <w:bCs/>
          <w:sz w:val="22"/>
          <w:szCs w:val="22"/>
          <w:lang w:val="en-US" w:eastAsia="zh-CN"/>
        </w:rPr>
        <w:t>Strengths and weaknesses in Tencent 's HRM</w:t>
      </w:r>
      <w:bookmarkEnd w:id="4"/>
      <w:bookmarkEnd w:id="5"/>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Employee engagement refers to the extent to which an employee is emotionally and intellectually invested in their organization's objectives. Engaged employees are driven, committed, and motivated to excel in their work and contribute to their organization's growth and success (Bedarkar, 2014). Numerous studies have demonstrated that employee engagement is linked to better organizational performance, enhanced productivity, improved customer satisfaction, and increased employee well-being. The advantages of employee engagement for organizations include greater productivity, lower turnover rates, higher levels of customer satisfaction, and more innovation. When employees are engaged, they are more likely to remain with their organization, reducing the expenses of recruitment and training. In addition, engaged employees are more creative and willing to take risks, which can lead to greater innovation and originality within the organization.</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kern w:val="2"/>
          <w:sz w:val="22"/>
          <w:szCs w:val="22"/>
          <w:lang w:val="en-US" w:eastAsia="zh-CN" w:bidi="ar-SA"/>
        </w:rPr>
        <w:t>Despite the emphasis on employee engagement at Tencent, there are several weaknesses that need to be addressed. One of the significant weaknesses is the lack of effective communication between managers and employees(Suen , 2022). Employees often feel that their ideas and feedback are not valued or taken seriously, leading to disengagement and decreased productivity. Additionally, Tencent's rigid organizational structure limits employees' opportunities for growth and development, resulting in lower job satisfaction and decreased engagement(Kane, 2017).</w:t>
      </w:r>
    </w:p>
    <w:p>
      <w:pPr>
        <w:keepNext w:val="0"/>
        <w:keepLines w:val="0"/>
        <w:pageBreakBefore w:val="0"/>
        <w:kinsoku/>
        <w:wordWrap/>
        <w:overflowPunct/>
        <w:topLinePunct w:val="0"/>
        <w:autoSpaceDE/>
        <w:autoSpaceDN/>
        <w:bidi w:val="0"/>
        <w:adjustRightInd/>
        <w:snapToGrid/>
        <w:spacing w:line="360" w:lineRule="auto"/>
        <w:ind w:firstLine="442" w:firstLineChars="200"/>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2" w:firstLineChars="200"/>
        <w:jc w:val="both"/>
        <w:textAlignment w:val="auto"/>
        <w:outlineLvl w:val="1"/>
        <w:rPr>
          <w:rFonts w:hint="default" w:ascii="Times New Roman" w:hAnsi="Times New Roman" w:cs="Times New Roman"/>
          <w:sz w:val="22"/>
          <w:szCs w:val="22"/>
          <w:lang w:val="en-US" w:eastAsia="zh-CN"/>
        </w:rPr>
      </w:pPr>
      <w:bookmarkStart w:id="6" w:name="_Toc21723"/>
      <w:bookmarkStart w:id="7" w:name="_Toc28830"/>
      <w:r>
        <w:rPr>
          <w:rFonts w:hint="default" w:ascii="Times New Roman" w:hAnsi="Times New Roman" w:cs="Times New Roman"/>
          <w:b/>
          <w:bCs/>
          <w:sz w:val="22"/>
          <w:szCs w:val="22"/>
          <w:lang w:val="en-US" w:eastAsia="zh-CN"/>
        </w:rPr>
        <w:t>1、BlessingWhite's Model :</w:t>
      </w:r>
      <w:bookmarkEnd w:id="6"/>
      <w:bookmarkEnd w:id="7"/>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Engagement: This stage is about employees' commitment to the organization and their work. Engaged employees feel connected to the company's mission and values.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Contribution: This stage is about employees' willingness to go above and beyond their job requirements. Contributing employees are motivated to do their best work and make a difference in the organization.</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Growth: This stage is about employees' desire to develop their skills and knowledge. Growing employees are interested in learning and taking on new challenges.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Satisfaction: This stage is about employees' overall happiness and well-being. Satisfied employees feel valued and supported by the organization(Markos &amp; Sridevi, 2010).</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sz w:val="22"/>
          <w:szCs w:val="22"/>
          <w:lang w:val="en-US" w:eastAsia="zh-CN"/>
        </w:rPr>
        <w:t>In terms of employee engagement, Tencent may have an issue with the engagement stage, as some employees may not feel fully committed to the company's mission and values. In terms of contribution, Tencent may have an issue with employees feeling not motivated to go above and beyond their job requirements. This may impact the company's ability to innovate and stay competitive. In terms of growth, Tencent may have an issue with  not providing sufficient opportunities for employees to develop their skills and knowledge, which could impact employee retention and satisfaction. Finally, in terms of satisfaction, Tencent may have an issue with employee well-being, as some employees may experience high levels of stress or burnout due to the demanding nature of the tech industry. These issues could all impact employee participation and their willingness to be fully engaged in their work.</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8" w:name="_Toc30267"/>
      <w:bookmarkStart w:id="9" w:name="_Toc20468"/>
      <w:r>
        <w:rPr>
          <w:rFonts w:hint="default" w:ascii="Times New Roman" w:hAnsi="Times New Roman" w:cs="Times New Roman" w:eastAsiaTheme="minorEastAsia"/>
          <w:b/>
          <w:bCs/>
          <w:kern w:val="2"/>
          <w:sz w:val="22"/>
          <w:szCs w:val="22"/>
          <w:lang w:val="en-US" w:eastAsia="zh-CN" w:bidi="ar-SA"/>
        </w:rPr>
        <w:t>2、Maslow Model</w:t>
      </w:r>
      <w:bookmarkEnd w:id="8"/>
      <w:bookmarkEnd w:id="9"/>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Maslow's Hierarchy of Needs Model is a theory of human motivation and is based on a five-tier pyramid of needs:Physiological Needs、Safety Needs、Love and Belonging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 xml:space="preserve">Esteem Needs and Self-Actualization Needs(McCall, 2017).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sz w:val="22"/>
          <w:szCs w:val="22"/>
          <w:lang w:val="en-US" w:eastAsia="zh-CN"/>
        </w:rPr>
        <w:drawing>
          <wp:inline distT="0" distB="0" distL="114300" distR="114300">
            <wp:extent cx="3235960" cy="2109470"/>
            <wp:effectExtent l="0" t="0" r="2540" b="5080"/>
            <wp:docPr id="1" name="图片 1" descr="0ac42949a3a94c5d564d5577626d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0ac42949a3a94c5d564d5577626d438"/>
                    <pic:cNvPicPr>
                      <a:picLocks noChangeAspect="1"/>
                    </pic:cNvPicPr>
                  </pic:nvPicPr>
                  <pic:blipFill>
                    <a:blip r:embed="rId5"/>
                    <a:stretch>
                      <a:fillRect/>
                    </a:stretch>
                  </pic:blipFill>
                  <pic:spPr>
                    <a:xfrm>
                      <a:off x="0" y="0"/>
                      <a:ext cx="3235960" cy="2109470"/>
                    </a:xfrm>
                    <a:prstGeom prst="rect">
                      <a:avLst/>
                    </a:prstGeom>
                  </pic:spPr>
                </pic:pic>
              </a:graphicData>
            </a:graphic>
          </wp:inline>
        </w:drawing>
      </w:r>
      <w:r>
        <w:rPr>
          <w:rFonts w:hint="default" w:ascii="Times New Roman" w:hAnsi="Times New Roman" w:cs="Times New Roman"/>
          <w:sz w:val="22"/>
          <w:szCs w:val="22"/>
          <w:lang w:val="en-US" w:eastAsia="zh-CN"/>
        </w:rPr>
        <w:tab/>
      </w:r>
      <w:r>
        <w:rPr>
          <w:rFonts w:hint="default" w:ascii="Times New Roman" w:hAnsi="Times New Roman" w:eastAsia="宋体" w:cs="Times New Roman"/>
          <w:color w:val="000000"/>
          <w:kern w:val="0"/>
          <w:sz w:val="22"/>
          <w:szCs w:val="22"/>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eastAsia="宋体" w:cs="Times New Roman"/>
          <w:color w:val="000000"/>
          <w:kern w:val="0"/>
          <w:sz w:val="22"/>
          <w:szCs w:val="22"/>
          <w:lang w:val="en-US" w:eastAsia="zh-CN" w:bidi="ar"/>
        </w:rPr>
        <w:t>Maslow's hierarchy of needs</w:t>
      </w:r>
      <w:r>
        <w:rPr>
          <w:rFonts w:hint="default" w:ascii="Times New Roman" w:hAnsi="Times New Roman" w:cs="Times New Roman"/>
          <w:kern w:val="2"/>
          <w:sz w:val="22"/>
          <w:szCs w:val="22"/>
          <w:lang w:val="en-US" w:eastAsia="zh-CN" w:bidi="ar-SA"/>
        </w:rPr>
        <w:t>(McLeod, 2007)</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eastAsia"/>
          <w:lang w:val="en-US" w:eastAsia="zh-CN"/>
        </w:rPr>
        <w:t xml:space="preserve"> </w:t>
      </w:r>
    </w:p>
    <w:p>
      <w:pPr>
        <w:bidi w:val="0"/>
        <w:rPr>
          <w:rFonts w:hint="default"/>
          <w:lang w:val="en-US" w:eastAsia="zh-CN"/>
        </w:rPr>
      </w:pPr>
    </w:p>
    <w:tbl>
      <w:tblPr>
        <w:tblStyle w:val="8"/>
        <w:tblpPr w:leftFromText="180" w:rightFromText="180" w:vertAnchor="text" w:horzAnchor="page" w:tblpX="2133" w:tblpY="-933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70"/>
        <w:gridCol w:w="63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Physiological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a comfortable and safe work environment for its employees, especially for those who work long hours in front of a computer. The lack of ergonomic workstations and insufficient breaks could lead to health issues such as eye strain, back pain, and stress.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Safety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job security and stability for its employees, particularly for those in the tech industry where the competition is fierce. This could lead to a sense of insecurity and fear of losing their job, which could impact their performance and engagement.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Love</w:t>
            </w:r>
            <w:r>
              <w:rPr>
                <w:rFonts w:hint="eastAsia" w:ascii="Times New Roman" w:hAnsi="Times New Roman" w:cs="Times New Roman"/>
                <w:b/>
                <w:bCs/>
                <w:kern w:val="2"/>
                <w:sz w:val="22"/>
                <w:szCs w:val="22"/>
                <w:lang w:val="en-US" w:eastAsia="zh-CN" w:bidi="ar-SA"/>
              </w:rPr>
              <w:t xml:space="preserve"> </w:t>
            </w:r>
            <w:r>
              <w:rPr>
                <w:rFonts w:hint="default" w:ascii="Times New Roman" w:hAnsi="Times New Roman" w:cs="Times New Roman" w:eastAsiaTheme="minorEastAsia"/>
                <w:b/>
                <w:bCs/>
                <w:kern w:val="2"/>
                <w:sz w:val="22"/>
                <w:szCs w:val="22"/>
                <w:lang w:val="en-US" w:eastAsia="zh-CN" w:bidi="ar-SA"/>
              </w:rPr>
              <w:t>and Belonging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 xml:space="preserve"> Tencent may have an issue with fostering a sense of community and social interaction among its employees. The company culture may be focused solely on work and productivity, and may not provide enough opportunities for employees to connect with one another, build relationships, and create a sense of belonging.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Esteem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recognizing and rewarding employees' achievements and contributions. A lack of recognition and appreciation could lead to a decrease in employee morale, engagement, and motivation(Moro,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Self-Actualization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opportunities for personal growth and development for its employees. The company may not prioritize employee training and development programs, which could lead to a lack of skills, knowledge, and advancement opportunities for employees.</w:t>
            </w:r>
          </w:p>
        </w:tc>
      </w:tr>
    </w:tbl>
    <w:p>
      <w:pPr>
        <w:keepNext w:val="0"/>
        <w:keepLines w:val="0"/>
        <w:pageBreakBefore w:val="0"/>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lang w:val="en-US" w:eastAsia="zh-CN" w:bidi="ar-SA"/>
        </w:rPr>
      </w:pPr>
      <w:bookmarkStart w:id="26" w:name="_GoBack"/>
      <w:bookmarkEnd w:id="26"/>
      <w:r>
        <w:rPr>
          <w:rFonts w:hint="default" w:ascii="Times New Roman" w:hAnsi="Times New Roman" w:cs="Times New Roman"/>
          <w:kern w:val="2"/>
          <w:sz w:val="22"/>
          <w:szCs w:val="22"/>
          <w:lang w:val="en-US" w:eastAsia="zh-CN" w:bidi="ar-SA"/>
        </w:rPr>
        <w:t>In conclusion, by considering Maslow's Hierarchy of Needs Model, Tencent's human resource management may have issues in providing a safe and comfortable work environment, job security, social interaction, recognition, and development opportunities for its employees. These issues could impact employee participation and their willingness to be fully engaged in their work.</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b/>
          <w:bCs/>
          <w:kern w:val="2"/>
          <w:sz w:val="22"/>
          <w:szCs w:val="22"/>
          <w:lang w:val="en-US" w:eastAsia="zh-CN" w:bidi="ar-SA"/>
        </w:rPr>
      </w:pPr>
      <w:bookmarkStart w:id="10" w:name="_Toc26631"/>
      <w:bookmarkStart w:id="11" w:name="_Toc24657"/>
      <w:r>
        <w:rPr>
          <w:rFonts w:hint="default" w:ascii="Times New Roman" w:hAnsi="Times New Roman" w:cs="Times New Roman"/>
          <w:b/>
          <w:bCs/>
          <w:kern w:val="2"/>
          <w:sz w:val="22"/>
          <w:szCs w:val="22"/>
          <w:lang w:val="en-US" w:eastAsia="zh-CN" w:bidi="ar-SA"/>
        </w:rPr>
        <w:t>3、the SHRM model</w:t>
      </w:r>
      <w:bookmarkEnd w:id="10"/>
      <w:bookmarkEnd w:id="11"/>
      <w:r>
        <w:rPr>
          <w:rFonts w:hint="default" w:ascii="Times New Roman" w:hAnsi="Times New Roman" w:cs="Times New Roman"/>
          <w:b/>
          <w:bCs/>
          <w:kern w:val="2"/>
          <w:sz w:val="22"/>
          <w:szCs w:val="22"/>
          <w:lang w:val="en-US" w:eastAsia="zh-CN" w:bidi="ar-SA"/>
        </w:rPr>
        <w:t xml:space="preserve"> </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The Strategic Human Resource Management (SHRM) model is a framework that highlights the crucial role of human resource management in an organization's success. It asserts that effective management of people is essential for achieving organizational goals and gaining a competitive edge in the market (Waiganjo, 2012). The SHRM model proposes that organizations should align their human resource strategies with their overall business objectives to be successful. This involves identifying the key competencies necessary for success, creating strategies to attract and retain employees with those competencies, and fostering a supportive work environment that enables employees to perform optimally. Additionally, the SHRM model stresses the importance of continuous assessment and improvement. Organizations should regularly evaluate their human resource strategies and make necessary adjustments to remain competitive (Waiganjo, 2012).</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However, there are some current situations of low participation of Tencent employees, and the analysis of the reasons may be：High employee turnover: Inadequate employee engagement or job satisfaction can increase the likelihood of employee turnover. High employee turnover can be a sign of low engagement levels；Lack of employee input: If employees are not given opportunities to provide feedback or participate in decision-making processes, they may feel disconnected from the company's mission and goals. This can lead to decreased motivation and engagement levels；Poor communication: If communication between management and employees is unclear or ineffective, it can lead to misunderstandings and a lack of clarity about roles, responsibilities, and expectations. This can negatively impact employee engagement；Limited career growth opportunities: If employees do not see opportunities for career advancement or development within the company, they may become disengaged and seek opportunities elsewhere.（This study adopts semi structured and unstructured in-depth interview methods with strong theoretical guidance and good flexibility. The main interviewees are Tencent senior human resource managers, senior employees in business departments, etc. In this study, two interviews were conducted with Tencent, including employees from the human resources management department, middle and senior managementManagers, business teams, etc. 10 people/time. Most of the interviewees are employees who have worked at Tencent for more than 5 years and have experienced changes in the organizational structure of Tencent's human resources management.）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According to the previous question, the main issue facing Tencent's human resource management is related to the low level of employee engagement. Using the SHRM (Strategic Human Resource Management) model, we can analyze the problem and suggest potential solutions.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The SHRM model comprises four essential elements: analyzing the external environment, developing strategies, implementing strategies, and monitoring and adjusting strategies as needed. We will focus on the strategy implementation component, as this is where the employee engagement issue is most relevant(Boxall, 1996).</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One potential reason for the low level of employee engagement at Tencent could be a lack of effective communication and feedback mechanisms. To address this issue, Tencent could implement more regular and structured feedback processes, such as performance reviews, employee surveys, and suggestion boxes. By actively seeking and responding to employee feedback, Tencent can demonstrate that it values and respects its employees, which could help to boost engagement.Investing in employee training and development is another viable option. By offering employees the chance to acquire new skills and progress in their careers,Tencent can increase employee satisfaction and engagement. Additionally, Tencent could consider implementing a rewards and recognition program to incentivize and recognize high-performing employees.Overall, by implementing these strategies, Tencent can increase employee engagement and improve its human resource management practices(Bamberger, 2014).</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2"/>
          <w:szCs w:val="22"/>
          <w:lang w:val="en-US" w:eastAsia="zh-CN"/>
        </w:rPr>
      </w:pPr>
      <w:bookmarkStart w:id="12" w:name="_Toc9511"/>
      <w:bookmarkStart w:id="13" w:name="_Toc25012"/>
      <w:r>
        <w:rPr>
          <w:rFonts w:hint="default" w:ascii="Times New Roman" w:hAnsi="Times New Roman" w:cs="Times New Roman"/>
          <w:b/>
          <w:bCs/>
          <w:kern w:val="2"/>
          <w:sz w:val="22"/>
          <w:szCs w:val="22"/>
          <w:lang w:val="en-US" w:eastAsia="zh-CN" w:bidi="ar-SA"/>
        </w:rPr>
        <w:t>Recommendation</w:t>
      </w:r>
      <w:bookmarkEnd w:id="12"/>
      <w:bookmarkEnd w:id="13"/>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Weak employee engagement at Tencent has several negative outcomes, including decreased productivity, increased turnover rates, and reduced innovation. Disengaged employees are more likely to leave their organization, leading to higher recruitment and training costs. Additionally, low employee engagement can lead to reduced productivity and lower quality work, resulting in decreased customer satisfaction and ultimately impacting Tencent's bottom line.</w:t>
      </w:r>
      <w:r>
        <w:rPr>
          <w:rFonts w:hint="default" w:ascii="Times New Roman" w:hAnsi="Times New Roman" w:cs="Times New Roman" w:eastAsiaTheme="minorEastAsia"/>
          <w:kern w:val="2"/>
          <w:sz w:val="22"/>
          <w:szCs w:val="22"/>
          <w:lang w:val="en-US" w:eastAsia="zh-CN" w:bidi="ar-SA"/>
        </w:rPr>
        <w:t>Feasible Recommendations for Improving Employee Engagement at Tencent:To improve employee engagement at Tencent, the organization must focus on improving communication channels between managers and employees. This can be achieved through regular feedback sessions, town hall meetings, and employee engagement surveys. Additionally, Tencent should consider implementing a more flexible organizational structure that encourages employees' growth and development. This can include providing opportunities for job rotation, cross-functional training, and mentorship programs(Peter,2019).</w:t>
      </w: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14" w:name="_Toc24522"/>
      <w:bookmarkStart w:id="15" w:name="_Toc9962"/>
      <w:r>
        <w:rPr>
          <w:rFonts w:hint="default" w:ascii="Times New Roman" w:hAnsi="Times New Roman" w:cs="Times New Roman"/>
          <w:b/>
          <w:bCs/>
          <w:kern w:val="2"/>
          <w:sz w:val="22"/>
          <w:szCs w:val="22"/>
          <w:lang w:val="en-US" w:eastAsia="zh-CN" w:bidi="ar-SA"/>
        </w:rPr>
        <w:t>Recommendation 1:</w:t>
      </w:r>
      <w:bookmarkEnd w:id="14"/>
      <w:bookmarkEnd w:id="15"/>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Improving communication channels: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Regular feedback meetings:</w:t>
      </w:r>
      <w:r>
        <w:rPr>
          <w:rFonts w:hint="default" w:ascii="Times New Roman" w:hAnsi="Times New Roman" w:cs="Times New Roman" w:eastAsiaTheme="minorEastAsia"/>
          <w:kern w:val="2"/>
          <w:sz w:val="22"/>
          <w:szCs w:val="22"/>
          <w:lang w:val="en-US" w:eastAsia="zh-CN" w:bidi="ar-SA"/>
        </w:rPr>
        <w:t xml:space="preserve"> Regular individual feedback and performance evaluation meetings with employees to discuss their strengths and areas for improvement, and to provide guidance and support to help them achieve their career goals.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Town Hall Meetings:</w:t>
      </w:r>
      <w:r>
        <w:rPr>
          <w:rFonts w:hint="default" w:ascii="Times New Roman" w:hAnsi="Times New Roman" w:cs="Times New Roman" w:eastAsiaTheme="minorEastAsia"/>
          <w:kern w:val="2"/>
          <w:sz w:val="22"/>
          <w:szCs w:val="22"/>
          <w:lang w:val="en-US" w:eastAsia="zh-CN" w:bidi="ar-SA"/>
        </w:rPr>
        <w:t xml:space="preserve"> Quarterly or semi-annual large meetings are held for employees to communicate and share with executives the latest company strategies and achievements. This not only improves employees' understanding of the company, but also provides opportunities for employees to perform while enhancing the connection between employees and the company(Morgan, 2014).</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Employee engagement surveys: </w:t>
      </w:r>
      <w:r>
        <w:rPr>
          <w:rFonts w:hint="default" w:ascii="Times New Roman" w:hAnsi="Times New Roman" w:cs="Times New Roman" w:eastAsiaTheme="minorEastAsia"/>
          <w:kern w:val="2"/>
          <w:sz w:val="22"/>
          <w:szCs w:val="22"/>
          <w:lang w:val="en-US" w:eastAsia="zh-CN" w:bidi="ar-SA"/>
        </w:rPr>
        <w:t>Conduct regular employee engagement surveys to assess employee satisfaction with their jobs and loyalty to the company, and collect employee feedback so the company can respond and improve in a timely manner.</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kern w:val="2"/>
          <w:sz w:val="22"/>
          <w:szCs w:val="22"/>
          <w:lang w:val="en-US" w:eastAsia="zh-CN" w:bidi="ar-SA"/>
        </w:rPr>
        <w:t>Provide opportunities: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Job Rotation: </w:t>
      </w:r>
      <w:r>
        <w:rPr>
          <w:rFonts w:hint="default" w:ascii="Times New Roman" w:hAnsi="Times New Roman" w:cs="Times New Roman" w:eastAsiaTheme="minorEastAsia"/>
          <w:kern w:val="2"/>
          <w:sz w:val="22"/>
          <w:szCs w:val="22"/>
          <w:lang w:val="en-US" w:eastAsia="zh-CN" w:bidi="ar-SA"/>
        </w:rPr>
        <w:t>Provide employees with the opportunity to rotate jobs between different teams and business units to expand their skills and knowledge and enhance their adaptability and leadership skills(Campion, 1994).</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Cross-functional training:</w:t>
      </w:r>
      <w:r>
        <w:rPr>
          <w:rFonts w:hint="default" w:ascii="Times New Roman" w:hAnsi="Times New Roman" w:cs="Times New Roman" w:eastAsiaTheme="minorEastAsia"/>
          <w:kern w:val="2"/>
          <w:sz w:val="22"/>
          <w:szCs w:val="22"/>
          <w:lang w:val="en-US" w:eastAsia="zh-CN" w:bidi="ar-SA"/>
        </w:rPr>
        <w:t xml:space="preserve"> Provide cross-functional training programs to expose employees to the operations and business of other parts of the company, as well as to expand their skills and knowledge to help them better respond to the needs and challenges of the company.</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Mentorship program:</w:t>
      </w:r>
      <w:r>
        <w:rPr>
          <w:rFonts w:hint="default" w:ascii="Times New Roman" w:hAnsi="Times New Roman" w:cs="Times New Roman" w:eastAsiaTheme="minorEastAsia"/>
          <w:kern w:val="2"/>
          <w:sz w:val="22"/>
          <w:szCs w:val="22"/>
          <w:lang w:val="en-US" w:eastAsia="zh-CN" w:bidi="ar-SA"/>
        </w:rPr>
        <w:t xml:space="preserve"> Establish a mentorship program for employees to work with experienced mentors from which they can receive guidance and advice to accelerate their career development and enhance their sense of belonging and loyalty.</w:t>
      </w: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16" w:name="_Toc25642"/>
      <w:bookmarkStart w:id="17" w:name="_Toc20919"/>
      <w:r>
        <w:rPr>
          <w:rFonts w:hint="default" w:ascii="Times New Roman" w:hAnsi="Times New Roman" w:cs="Times New Roman"/>
          <w:b/>
          <w:bCs/>
          <w:kern w:val="2"/>
          <w:sz w:val="22"/>
          <w:szCs w:val="22"/>
          <w:lang w:val="en-US" w:eastAsia="zh-CN" w:bidi="ar-SA"/>
        </w:rPr>
        <w:t>Recommendation 2:</w:t>
      </w:r>
      <w:bookmarkEnd w:id="16"/>
      <w:bookmarkEnd w:id="17"/>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kern w:val="2"/>
          <w:sz w:val="22"/>
          <w:szCs w:val="22"/>
          <w:lang w:val="en-US" w:eastAsia="zh-CN" w:bidi="ar-SA"/>
        </w:rPr>
        <w:t>Tencent also has the problem of career crisis and career anxiety at the age of 35, which is one of the main reasons causing low employee engagement and no sense of belonging. To solve the above problems there are the following suggestions: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Provide career planning and training opportunities for employees: </w:t>
      </w:r>
      <w:r>
        <w:rPr>
          <w:rFonts w:hint="default" w:ascii="Times New Roman" w:hAnsi="Times New Roman" w:cs="Times New Roman" w:eastAsiaTheme="minorEastAsia"/>
          <w:kern w:val="2"/>
          <w:sz w:val="22"/>
          <w:szCs w:val="22"/>
          <w:lang w:val="en-US" w:eastAsia="zh-CN" w:bidi="ar-SA"/>
        </w:rPr>
        <w:t>The company can develop career planning and training programs based on employees' personal interests and career development needs to help employees improve their skills and knowledge, and enhance their competitiveness and career development prospects.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Provide diversified promotion opportunities:</w:t>
      </w:r>
      <w:r>
        <w:rPr>
          <w:rFonts w:hint="default" w:ascii="Times New Roman" w:hAnsi="Times New Roman" w:cs="Times New Roman" w:eastAsiaTheme="minorEastAsia"/>
          <w:kern w:val="2"/>
          <w:sz w:val="22"/>
          <w:szCs w:val="22"/>
          <w:lang w:val="en-US" w:eastAsia="zh-CN" w:bidi="ar-SA"/>
        </w:rPr>
        <w:t xml:space="preserve"> The company can provide different promotion channels and positions so that employees can have more choices and opportunities and feel that their dedication and efforts can be recognized and rewarded</w:t>
      </w:r>
      <w:r>
        <w:rPr>
          <w:rFonts w:hint="default" w:ascii="Times New Roman" w:hAnsi="Times New Roman" w:cs="Times New Roman"/>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Mainiero&amp;Sullivan</w:t>
      </w:r>
      <w:r>
        <w:rPr>
          <w:rFonts w:hint="default" w:ascii="Times New Roman" w:hAnsi="Times New Roman" w:cs="Times New Roman"/>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2006).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Introduce flexible working methods: </w:t>
      </w:r>
      <w:r>
        <w:rPr>
          <w:rFonts w:hint="default" w:ascii="Times New Roman" w:hAnsi="Times New Roman" w:cs="Times New Roman" w:eastAsiaTheme="minorEastAsia"/>
          <w:kern w:val="2"/>
          <w:sz w:val="22"/>
          <w:szCs w:val="22"/>
          <w:lang w:val="en-US" w:eastAsia="zh-CN" w:bidi="ar-SA"/>
        </w:rPr>
        <w:t>Companies can adopt flexible working methods, such as flexible working hours and remote work, to allow employees to better balance work and life and reduce occupational stress and anxiety(Kelliher &amp; Anderson, 2010).</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Establish a sound welfare system:</w:t>
      </w:r>
      <w:r>
        <w:rPr>
          <w:rFonts w:hint="default" w:ascii="Times New Roman" w:hAnsi="Times New Roman" w:cs="Times New Roman" w:eastAsiaTheme="minorEastAsia"/>
          <w:kern w:val="2"/>
          <w:sz w:val="22"/>
          <w:szCs w:val="22"/>
          <w:lang w:val="en-US" w:eastAsia="zh-CN" w:bidi="ar-SA"/>
        </w:rPr>
        <w:t xml:space="preserve"> The company can establish a sound welfare system, including medical insurance, pension insurance, children's education, etc., so that employees can feel the company's care and support.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18" w:name="_Toc7824"/>
      <w:bookmarkStart w:id="19" w:name="_Toc23298"/>
      <w:r>
        <w:rPr>
          <w:rFonts w:hint="default" w:ascii="Times New Roman" w:hAnsi="Times New Roman" w:cs="Times New Roman"/>
          <w:b/>
          <w:bCs/>
          <w:sz w:val="22"/>
          <w:szCs w:val="22"/>
          <w:lang w:val="en-US" w:eastAsia="zh-CN"/>
        </w:rPr>
        <w:t>Conclusion:</w:t>
      </w:r>
      <w:bookmarkEnd w:id="18"/>
      <w:bookmarkEnd w:id="19"/>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Based on the analysis of Tencent's human resource management practices, it can be concluded that the company has several strengths, including a data-driven approach to recruitment, investment in employee training and development. However, there are also several weaknesses that need to be addressed, including a lack of effective communication, limited opportunities for growth and development, and potential issues with employee well-being</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Grant</w:t>
      </w:r>
      <w:r>
        <w:rPr>
          <w:rFonts w:hint="eastAsia" w:ascii="Times New Roman" w:hAnsi="Times New Roman" w:cs="Times New Roman"/>
          <w:sz w:val="22"/>
          <w:szCs w:val="22"/>
          <w:lang w:val="en-US" w:eastAsia="zh-CN"/>
        </w:rPr>
        <w:t>,2013)</w:t>
      </w:r>
      <w:r>
        <w:rPr>
          <w:rFonts w:hint="default" w:ascii="Times New Roman" w:hAnsi="Times New Roman" w:cs="Times New Roman"/>
          <w:sz w:val="22"/>
          <w:szCs w:val="22"/>
          <w:lang w:val="en-US" w:eastAsia="zh-CN"/>
        </w:rPr>
        <w:t>.Using the BlessingWhite Model of employee engagement, it was found that Tencent may have issues with the engagement stage, as some employees may not feel fully committed to the company's mission and values. Additionally, the company may have issues with contribution and growth stages, where employees may not be motivated to go above and beyond their job requirements and may not have sufficient opportunities to develop their skills and knowledge.Using Maslow's Hierarchy of Needs Model, it was found that Tencent may have issues with providing a comfortable and safe work environment, job security and stability, fostering a sense of community and social interaction, and recognizing and rewarding employees' achievements and contributions.To address these weaknesses, Tencent should consider improving communication channels between managers and employees, providing more opportunities for growth and development, promoting a positive and supportive company culture that fosters a sense of community, and recognizing and rewarding employees' contributions and achievements</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Steve</w:t>
      </w:r>
      <w:r>
        <w:rPr>
          <w:rFonts w:hint="eastAsia" w:ascii="Times New Roman" w:hAnsi="Times New Roman" w:cs="Times New Roman"/>
          <w:sz w:val="22"/>
          <w:szCs w:val="22"/>
          <w:lang w:val="en-US" w:eastAsia="zh-CN"/>
        </w:rPr>
        <w:t>,2011)</w:t>
      </w:r>
      <w:r>
        <w:rPr>
          <w:rFonts w:hint="default" w:ascii="Times New Roman" w:hAnsi="Times New Roman" w:cs="Times New Roman"/>
          <w:sz w:val="22"/>
          <w:szCs w:val="22"/>
          <w:lang w:val="en-US" w:eastAsia="zh-CN"/>
        </w:rPr>
        <w: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0" w:name="_Toc23190"/>
      <w:bookmarkStart w:id="21" w:name="_Toc18464"/>
      <w:r>
        <w:rPr>
          <w:rFonts w:hint="default" w:ascii="Times New Roman" w:hAnsi="Times New Roman" w:cs="Times New Roman"/>
          <w:b/>
          <w:bCs/>
          <w:sz w:val="22"/>
          <w:szCs w:val="22"/>
          <w:lang w:val="en-US" w:eastAsia="zh-CN"/>
        </w:rPr>
        <w:t>References</w:t>
      </w:r>
      <w:bookmarkEnd w:id="20"/>
      <w:bookmarkEnd w:id="21"/>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highlight w:val="none"/>
          <w:shd w:val="clear" w:fill="FFFFFF"/>
        </w:rPr>
      </w:pPr>
      <w:r>
        <w:rPr>
          <w:rFonts w:hint="default" w:ascii="Times New Roman" w:hAnsi="Times New Roman" w:eastAsia="宋体" w:cs="Times New Roman"/>
          <w:i w:val="0"/>
          <w:iCs w:val="0"/>
          <w:caps w:val="0"/>
          <w:color w:val="222222"/>
          <w:spacing w:val="0"/>
          <w:sz w:val="22"/>
          <w:szCs w:val="22"/>
          <w:highlight w:val="none"/>
          <w:shd w:val="clear" w:fill="FFFFFF"/>
        </w:rPr>
        <w:t xml:space="preserve">Tencent. (n.d.). Tencent website. Retrieved from </w:t>
      </w:r>
      <w:r>
        <w:rPr>
          <w:rFonts w:hint="default" w:ascii="Times New Roman" w:hAnsi="Times New Roman" w:eastAsia="宋体" w:cs="Times New Roman"/>
          <w:i w:val="0"/>
          <w:iCs w:val="0"/>
          <w:caps w:val="0"/>
          <w:color w:val="222222"/>
          <w:spacing w:val="0"/>
          <w:sz w:val="22"/>
          <w:szCs w:val="22"/>
          <w:highlight w:val="none"/>
          <w:shd w:val="clear" w:fill="FFFFFF"/>
        </w:rPr>
        <w:fldChar w:fldCharType="begin"/>
      </w:r>
      <w:r>
        <w:rPr>
          <w:rFonts w:hint="default" w:ascii="Times New Roman" w:hAnsi="Times New Roman" w:eastAsia="宋体" w:cs="Times New Roman"/>
          <w:i w:val="0"/>
          <w:iCs w:val="0"/>
          <w:caps w:val="0"/>
          <w:color w:val="222222"/>
          <w:spacing w:val="0"/>
          <w:sz w:val="22"/>
          <w:szCs w:val="22"/>
          <w:highlight w:val="none"/>
          <w:shd w:val="clear" w:fill="FFFFFF"/>
        </w:rPr>
        <w:instrText xml:space="preserve"> HYPERLINK "https://www.tencent.com/" \t "https://chat.openai.com/_new" </w:instrText>
      </w:r>
      <w:r>
        <w:rPr>
          <w:rFonts w:hint="default" w:ascii="Times New Roman" w:hAnsi="Times New Roman" w:eastAsia="宋体" w:cs="Times New Roman"/>
          <w:i w:val="0"/>
          <w:iCs w:val="0"/>
          <w:caps w:val="0"/>
          <w:color w:val="222222"/>
          <w:spacing w:val="0"/>
          <w:sz w:val="22"/>
          <w:szCs w:val="22"/>
          <w:highlight w:val="none"/>
          <w:shd w:val="clear" w:fill="FFFFFF"/>
        </w:rPr>
        <w:fldChar w:fldCharType="separate"/>
      </w:r>
      <w:r>
        <w:rPr>
          <w:rFonts w:hint="default" w:ascii="Times New Roman" w:hAnsi="Times New Roman" w:eastAsia="宋体" w:cs="Times New Roman"/>
          <w:i w:val="0"/>
          <w:iCs w:val="0"/>
          <w:caps w:val="0"/>
          <w:color w:val="222222"/>
          <w:spacing w:val="0"/>
          <w:sz w:val="22"/>
          <w:szCs w:val="22"/>
          <w:highlight w:val="none"/>
          <w:shd w:val="clear" w:fill="FFFFFF"/>
        </w:rPr>
        <w:t>https://www.tencent.com/</w:t>
      </w:r>
      <w:r>
        <w:rPr>
          <w:rFonts w:hint="default" w:ascii="Times New Roman" w:hAnsi="Times New Roman" w:eastAsia="宋体" w:cs="Times New Roman"/>
          <w:i w:val="0"/>
          <w:iCs w:val="0"/>
          <w:caps w:val="0"/>
          <w:color w:val="222222"/>
          <w:spacing w:val="0"/>
          <w:sz w:val="22"/>
          <w:szCs w:val="22"/>
          <w:highlight w:val="none"/>
          <w:shd w:val="clear" w:fill="FFFFFF"/>
        </w:rPr>
        <w:fldChar w:fldCharType="end"/>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highlight w:val="none"/>
          <w:shd w:val="clear" w:fill="FFFFFF"/>
        </w:rPr>
        <w:t>Attridge, M. (2009). Measuring and managing employee work engagement: A review of the research and business literature. Journal of workplace behavioral health, 24(4), 383-398.</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Bai, J.&amp; Liu, J. (2018). A study on the influence of career growth on work engagement among new generation employees. Open Journal of Business and Management, 6(02), 300.</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Bamberger, P. A., Biron, M., &amp; Boon, C. (2014). Human resource strategy: Formulation, implementation, and impact. Routledge.</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Bedarkar, M., &amp; Pandita, D. (2014). A study on the drivers of employee engagement impacting employee performance. Procedia-Social and Behavioral Sciences, 133, 106-115.</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Boxall, P. (1996). The strategic HRM debate and the resource‐based view of the firm. </w:t>
      </w:r>
      <w:r>
        <w:rPr>
          <w:rFonts w:hint="default" w:ascii="Times New Roman" w:hAnsi="Times New Roman" w:eastAsia="宋体" w:cs="Times New Roman"/>
          <w:i/>
          <w:iCs/>
          <w:caps w:val="0"/>
          <w:color w:val="222222"/>
          <w:spacing w:val="0"/>
          <w:sz w:val="22"/>
          <w:szCs w:val="22"/>
          <w:shd w:val="clear" w:fill="FFFFFF"/>
        </w:rPr>
        <w:t>Human resource management journal</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6</w:t>
      </w:r>
      <w:r>
        <w:rPr>
          <w:rFonts w:hint="default" w:ascii="Times New Roman" w:hAnsi="Times New Roman" w:eastAsia="宋体" w:cs="Times New Roman"/>
          <w:i w:val="0"/>
          <w:iCs w:val="0"/>
          <w:caps w:val="0"/>
          <w:color w:val="222222"/>
          <w:spacing w:val="0"/>
          <w:sz w:val="22"/>
          <w:szCs w:val="22"/>
          <w:shd w:val="clear" w:fill="FFFFFF"/>
        </w:rPr>
        <w:t>(3), 59-75.</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Campion, M. A., Cheraskin, L., &amp; Stevens, M. J. (1994). Career-related antecedents and outcomes of job rotation. Academy of management journal, 37(6), 1518-1542.</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Ericksen, J., &amp; Dyer, L. (2005). Toward a strategic human resource management model of high reliability organization performance. The international journal of human resource management, 16(6), 907-928.</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Henry, A. (2021). Understanding strategic management. Oxford University Press.</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Hitt, M. A.</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(2016). Strategic management: Concepts and cases: Competitiveness and globalization. Cengage Learning.</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Jiang, H., &amp; Men, R. L. (2017). Creating an engaged workforce: The impact of authentic leadership, transparent organizational communication, and work-life enrichment. </w:t>
      </w:r>
      <w:r>
        <w:rPr>
          <w:rFonts w:hint="default" w:ascii="Times New Roman" w:hAnsi="Times New Roman" w:eastAsia="宋体" w:cs="Times New Roman"/>
          <w:i/>
          <w:iCs/>
          <w:caps w:val="0"/>
          <w:color w:val="222222"/>
          <w:spacing w:val="0"/>
          <w:sz w:val="22"/>
          <w:szCs w:val="22"/>
          <w:shd w:val="clear" w:fill="FFFFFF"/>
        </w:rPr>
        <w:t>Communication research</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44</w:t>
      </w:r>
      <w:r>
        <w:rPr>
          <w:rFonts w:hint="default" w:ascii="Times New Roman" w:hAnsi="Times New Roman" w:eastAsia="宋体" w:cs="Times New Roman"/>
          <w:i w:val="0"/>
          <w:iCs w:val="0"/>
          <w:caps w:val="0"/>
          <w:color w:val="222222"/>
          <w:spacing w:val="0"/>
          <w:sz w:val="22"/>
          <w:szCs w:val="22"/>
          <w:shd w:val="clear" w:fill="FFFFFF"/>
        </w:rPr>
        <w:t>(2), 225-243.</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Kane, G. C. (2017). The evolutionary implications of social media for organizational knowledge management. Information and organization, 27(1), 37-46.</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Kelliher, C., &amp; Anderson, D. (2010). Doing more with less? Flexible working practices and the intensification of work. Human relations, 63(1), 83-106.</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Lengnick-Hall, M. L.</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(2009). Strategic human resource management: The evolution of the field. Human resource management review, 19(2), 64-85.</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Mainiero, L. A., &amp; Sullivan, S. E. (2006). The opt out revolt: Whe people are leaving companies to create kaleidoscope careers. Davies-Black Publishing.</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Markos, S., &amp; Sridevi, M. S. (2010). Employee engagement: The key to improving performance. International journal of business and management, 5(12), 89.</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McCall, D. (2017). An Exploration of the Experiences of African American Male Teachers Who Left the Profession: Framed with Maslow's Hierarchy of Needs. Lamar University-Beaumont.</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McCown, N</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(2023). Internal Communication and Employee Engagement: A Case Study Approach. Taylor &amp; Francis.</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Melewar,T.C.</w:t>
      </w:r>
      <w:r>
        <w:rPr>
          <w:rFonts w:ascii="Times New Roman" w:hAnsi="Times New Roman" w:cs="Times New Roman"/>
          <w:i/>
          <w:iCs/>
          <w:sz w:val="24"/>
        </w:rPr>
        <w:t>et</w:t>
      </w:r>
      <w:r>
        <w:rPr>
          <w:rFonts w:hint="eastAsia" w:ascii="Times New Roman" w:hAnsi="Times New Roman" w:cs="Times New Roman"/>
          <w:i/>
          <w:iCs/>
          <w:sz w:val="24"/>
          <w:lang w:val="en-US" w:eastAsia="zh-CN"/>
        </w:rPr>
        <w:t xml:space="preserve"> </w:t>
      </w:r>
      <w:r>
        <w:rPr>
          <w:rFonts w:ascii="Times New Roman" w:hAnsi="Times New Roman" w:cs="Times New Roman"/>
          <w:i/>
          <w:iCs/>
          <w:sz w:val="24"/>
        </w:rPr>
        <w:t>al.</w:t>
      </w:r>
      <w:r>
        <w:rPr>
          <w:rFonts w:hint="default" w:ascii="Times New Roman" w:hAnsi="Times New Roman" w:eastAsia="宋体" w:cs="Times New Roman"/>
          <w:i w:val="0"/>
          <w:iCs w:val="0"/>
          <w:caps w:val="0"/>
          <w:color w:val="222222"/>
          <w:spacing w:val="0"/>
          <w:sz w:val="22"/>
          <w:szCs w:val="22"/>
          <w:shd w:val="clear" w:fill="FFFFFF"/>
        </w:rPr>
        <w:t xml:space="preserve"> (2005). Corporate identity: concept, components and contribution. </w:t>
      </w:r>
      <w:r>
        <w:rPr>
          <w:rFonts w:hint="default" w:ascii="Times New Roman" w:hAnsi="Times New Roman" w:eastAsia="宋体" w:cs="Times New Roman"/>
          <w:i/>
          <w:iCs/>
          <w:caps w:val="0"/>
          <w:color w:val="222222"/>
          <w:spacing w:val="0"/>
          <w:sz w:val="22"/>
          <w:szCs w:val="22"/>
          <w:shd w:val="clear" w:fill="FFFFFF"/>
        </w:rPr>
        <w:t>Journal of General Management</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31</w:t>
      </w:r>
      <w:r>
        <w:rPr>
          <w:rFonts w:hint="default" w:ascii="Times New Roman" w:hAnsi="Times New Roman" w:eastAsia="宋体" w:cs="Times New Roman"/>
          <w:i w:val="0"/>
          <w:iCs w:val="0"/>
          <w:caps w:val="0"/>
          <w:color w:val="222222"/>
          <w:spacing w:val="0"/>
          <w:sz w:val="22"/>
          <w:szCs w:val="22"/>
          <w:shd w:val="clear" w:fill="FFFFFF"/>
        </w:rPr>
        <w:t>(1), 59-81.</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Morgan, J. (2014). The future of work: Attract new talent, build better leaders, and create a competitive organization. John Wiley &amp; Sons.</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Moro, S.,</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(2021). What drives job satisfaction in IT companies?. International Journal of Productivity and Performance Management, 70(2), 391-407.</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Napitupulu, B. E. P. (2020). What Makes Tencent Becomes A Successful Business? A Case Study</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Peter, L.</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(2019). Collaboration Between Corporations and Startups: The Startup-Collaboration-Model.</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Waiganjo, E. W., Mukulu, E., &amp; Kahiri, J. (2012). Relationship between strategic human resource management and firm performance of Kenya’s corporate organizations. </w:t>
      </w:r>
      <w:r>
        <w:rPr>
          <w:rFonts w:hint="default" w:ascii="Times New Roman" w:hAnsi="Times New Roman" w:eastAsia="宋体" w:cs="Times New Roman"/>
          <w:i/>
          <w:iCs/>
          <w:caps w:val="0"/>
          <w:color w:val="222222"/>
          <w:spacing w:val="0"/>
          <w:sz w:val="22"/>
          <w:szCs w:val="22"/>
          <w:shd w:val="clear" w:fill="FFFFFF"/>
        </w:rPr>
        <w:t>International Journal of Humanities and Social Science</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2</w:t>
      </w:r>
      <w:r>
        <w:rPr>
          <w:rFonts w:hint="default" w:ascii="Times New Roman" w:hAnsi="Times New Roman" w:eastAsia="宋体" w:cs="Times New Roman"/>
          <w:i w:val="0"/>
          <w:iCs w:val="0"/>
          <w:caps w:val="0"/>
          <w:color w:val="222222"/>
          <w:spacing w:val="0"/>
          <w:sz w:val="22"/>
          <w:szCs w:val="22"/>
          <w:shd w:val="clear" w:fill="FFFFFF"/>
        </w:rPr>
        <w:t>(10), 62-70.</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cs="Times New Roman"/>
          <w:b/>
          <w:bCs/>
          <w:sz w:val="22"/>
          <w:szCs w:val="22"/>
          <w:lang w:val="en-US" w:eastAsia="zh-CN"/>
        </w:rPr>
      </w:pPr>
      <w:r>
        <w:rPr>
          <w:rFonts w:hint="default" w:ascii="Times New Roman" w:hAnsi="Times New Roman" w:eastAsia="宋体" w:cs="Times New Roman"/>
          <w:i w:val="0"/>
          <w:iCs w:val="0"/>
          <w:caps w:val="0"/>
          <w:color w:val="222222"/>
          <w:spacing w:val="0"/>
          <w:sz w:val="22"/>
          <w:szCs w:val="22"/>
          <w:shd w:val="clear" w:fill="FFFFFF"/>
        </w:rPr>
        <w:t>Suen, T. Y.</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 xml:space="preserve"> (2022). Effects of intrinsic and extrinsic motivational factors on employee participation in internal crowdsourcing initiatives in China. </w:t>
      </w:r>
      <w:r>
        <w:rPr>
          <w:rFonts w:hint="default" w:ascii="Times New Roman" w:hAnsi="Times New Roman" w:eastAsia="宋体" w:cs="Times New Roman"/>
          <w:i/>
          <w:iCs/>
          <w:caps w:val="0"/>
          <w:color w:val="222222"/>
          <w:spacing w:val="0"/>
          <w:sz w:val="22"/>
          <w:szCs w:val="22"/>
          <w:shd w:val="clear" w:fill="FFFFFF"/>
        </w:rPr>
        <w:t>Sustainability</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14</w:t>
      </w:r>
      <w:r>
        <w:rPr>
          <w:rFonts w:hint="default" w:ascii="Times New Roman" w:hAnsi="Times New Roman" w:eastAsia="宋体" w:cs="Times New Roman"/>
          <w:i w:val="0"/>
          <w:iCs w:val="0"/>
          <w:caps w:val="0"/>
          <w:color w:val="222222"/>
          <w:spacing w:val="0"/>
          <w:sz w:val="22"/>
          <w:szCs w:val="22"/>
          <w:shd w:val="clear" w:fill="FFFFFF"/>
        </w:rPr>
        <w:t>(14), 8878.</w:t>
      </w:r>
    </w:p>
    <w:p>
      <w:pPr>
        <w:keepNext w:val="0"/>
        <w:keepLines w:val="0"/>
        <w:pageBreakBefore w:val="0"/>
        <w:numPr>
          <w:ilvl w:val="0"/>
          <w:numId w:val="1"/>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Times New Roman" w:hAnsi="Times New Roman" w:cs="Times New Roman"/>
          <w:b/>
          <w:bCs/>
          <w:sz w:val="22"/>
          <w:szCs w:val="22"/>
          <w:lang w:val="en-US" w:eastAsia="zh-CN"/>
        </w:rPr>
      </w:pPr>
      <w:r>
        <w:rPr>
          <w:rFonts w:hint="default" w:ascii="Times New Roman" w:hAnsi="Times New Roman" w:eastAsia="宋体" w:cs="Times New Roman"/>
          <w:i w:val="0"/>
          <w:iCs w:val="0"/>
          <w:caps w:val="0"/>
          <w:color w:val="222222"/>
          <w:spacing w:val="0"/>
          <w:sz w:val="22"/>
          <w:szCs w:val="22"/>
          <w:shd w:val="clear" w:fill="FFFFFF"/>
        </w:rPr>
        <w:t xml:space="preserve">Xiao, M., </w:t>
      </w:r>
      <w:r>
        <w:rPr>
          <w:rFonts w:ascii="Times New Roman" w:hAnsi="Times New Roman" w:cs="Times New Roman"/>
          <w:i/>
          <w:iCs/>
          <w:sz w:val="24"/>
        </w:rPr>
        <w:t>et al.</w:t>
      </w:r>
      <w:r>
        <w:rPr>
          <w:rFonts w:hint="default" w:ascii="Times New Roman" w:hAnsi="Times New Roman" w:eastAsia="宋体" w:cs="Times New Roman"/>
          <w:i w:val="0"/>
          <w:iCs w:val="0"/>
          <w:caps w:val="0"/>
          <w:color w:val="222222"/>
          <w:spacing w:val="0"/>
          <w:sz w:val="22"/>
          <w:szCs w:val="22"/>
          <w:shd w:val="clear" w:fill="FFFFFF"/>
        </w:rPr>
        <w:t>(2020). To what extent is corporate social responsibility part of human resource management in the Chinese context? A review of literature and future research directions. </w:t>
      </w:r>
      <w:r>
        <w:rPr>
          <w:rFonts w:hint="default" w:ascii="Times New Roman" w:hAnsi="Times New Roman" w:eastAsia="宋体" w:cs="Times New Roman"/>
          <w:i/>
          <w:iCs/>
          <w:caps w:val="0"/>
          <w:color w:val="222222"/>
          <w:spacing w:val="0"/>
          <w:sz w:val="22"/>
          <w:szCs w:val="22"/>
          <w:shd w:val="clear" w:fill="FFFFFF"/>
        </w:rPr>
        <w:t>Human Resource Management Review</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30</w:t>
      </w:r>
      <w:r>
        <w:rPr>
          <w:rFonts w:hint="default" w:ascii="Times New Roman" w:hAnsi="Times New Roman" w:eastAsia="宋体" w:cs="Times New Roman"/>
          <w:i w:val="0"/>
          <w:iCs w:val="0"/>
          <w:caps w:val="0"/>
          <w:color w:val="222222"/>
          <w:spacing w:val="0"/>
          <w:sz w:val="22"/>
          <w:szCs w:val="22"/>
          <w:shd w:val="clear" w:fill="FFFFFF"/>
        </w:rPr>
        <w:t>(4), 100726.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2" w:name="_Toc13187"/>
      <w:bookmarkStart w:id="23" w:name="_Toc24450"/>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Appendix</w:t>
      </w:r>
      <w:bookmarkEnd w:id="22"/>
      <w:bookmarkEnd w:id="23"/>
      <w:r>
        <w:rPr>
          <w:rFonts w:hint="default" w:ascii="Times New Roman" w:hAnsi="Times New Roman" w:cs="Times New Roman"/>
          <w:b/>
          <w:bCs/>
          <w:sz w:val="22"/>
          <w:szCs w:val="22"/>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4" w:name="_Toc8722"/>
      <w:bookmarkStart w:id="25" w:name="_Toc947"/>
      <w:r>
        <w:rPr>
          <w:rFonts w:hint="default" w:ascii="Times New Roman" w:hAnsi="Times New Roman" w:cs="Times New Roman"/>
          <w:b/>
          <w:bCs/>
          <w:sz w:val="22"/>
          <w:szCs w:val="22"/>
          <w:lang w:val="en-US" w:eastAsia="zh-CN"/>
        </w:rPr>
        <w:t>Interview outline</w:t>
      </w:r>
      <w:bookmarkEnd w:id="24"/>
      <w:bookmarkEnd w:id="25"/>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 xml:space="preserve">Interview Topic: Employees' views on Tencent's existing HR system and the level ofparticipation  Interview content: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Please tell us your general understanding of Tencent's human resources management?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kind of training do you think Tencent has for the development and growth of its employees?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qualities do you think Tencent values most in its requirements for talents? Are they the same for different businesses?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How do you think you participate and contribute in your work?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communication methods do you think Tencent has and how much does it affect your daily work?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do you think are the main reasons that make you less involved at work?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When the business has demand for HR, how does HR provide help? </w:t>
      </w:r>
    </w:p>
    <w:p>
      <w:pPr>
        <w:keepNext w:val="0"/>
        <w:keepLines w:val="0"/>
        <w:pageBreakBefore w:val="0"/>
        <w:numPr>
          <w:ilvl w:val="0"/>
          <w:numId w:val="2"/>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What other opinions or suggestions do you have for the company's HR management?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58471D"/>
    <w:multiLevelType w:val="singleLevel"/>
    <w:tmpl w:val="9058471D"/>
    <w:lvl w:ilvl="0" w:tentative="0">
      <w:start w:val="1"/>
      <w:numFmt w:val="decimal"/>
      <w:suff w:val="space"/>
      <w:lvlText w:val="%1."/>
      <w:lvlJc w:val="left"/>
      <w:pPr>
        <w:ind w:left="105" w:leftChars="0" w:firstLine="0" w:firstLineChars="0"/>
      </w:pPr>
    </w:lvl>
  </w:abstractNum>
  <w:abstractNum w:abstractNumId="1">
    <w:nsid w:val="96E6C717"/>
    <w:multiLevelType w:val="singleLevel"/>
    <w:tmpl w:val="96E6C717"/>
    <w:lvl w:ilvl="0" w:tentative="0">
      <w:start w:val="1"/>
      <w:numFmt w:val="decimal"/>
      <w:lvlText w:val="%1."/>
      <w:lvlJc w:val="left"/>
      <w:pPr>
        <w:ind w:left="425" w:hanging="425"/>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JkODQ5MTdiZGYyY2Q3ZTE4MzEzOTk3MjE4OTY5YTcifQ=="/>
  </w:docVars>
  <w:rsids>
    <w:rsidRoot w:val="00000000"/>
    <w:rsid w:val="00292767"/>
    <w:rsid w:val="002E512F"/>
    <w:rsid w:val="007E567F"/>
    <w:rsid w:val="00A879DA"/>
    <w:rsid w:val="00E57BE0"/>
    <w:rsid w:val="015A44F0"/>
    <w:rsid w:val="015E4AD6"/>
    <w:rsid w:val="01657C13"/>
    <w:rsid w:val="017701AF"/>
    <w:rsid w:val="01960264"/>
    <w:rsid w:val="01B73CF6"/>
    <w:rsid w:val="01EC537E"/>
    <w:rsid w:val="023254F5"/>
    <w:rsid w:val="02CC0A05"/>
    <w:rsid w:val="02DF281B"/>
    <w:rsid w:val="03181C9A"/>
    <w:rsid w:val="0325169B"/>
    <w:rsid w:val="03724E42"/>
    <w:rsid w:val="041F2E1B"/>
    <w:rsid w:val="042350E1"/>
    <w:rsid w:val="04856039"/>
    <w:rsid w:val="04B40AC2"/>
    <w:rsid w:val="052D229B"/>
    <w:rsid w:val="053D7C71"/>
    <w:rsid w:val="054D69D3"/>
    <w:rsid w:val="05B80C59"/>
    <w:rsid w:val="07F67821"/>
    <w:rsid w:val="08656662"/>
    <w:rsid w:val="08EB2893"/>
    <w:rsid w:val="09015098"/>
    <w:rsid w:val="09681660"/>
    <w:rsid w:val="09757460"/>
    <w:rsid w:val="097D4CD3"/>
    <w:rsid w:val="099A4D6D"/>
    <w:rsid w:val="0A2C23B4"/>
    <w:rsid w:val="0A71219B"/>
    <w:rsid w:val="0A900998"/>
    <w:rsid w:val="0AC57A3F"/>
    <w:rsid w:val="0AEC7B1C"/>
    <w:rsid w:val="0B7F088C"/>
    <w:rsid w:val="0BF73B5D"/>
    <w:rsid w:val="0C27534D"/>
    <w:rsid w:val="0C4A6B41"/>
    <w:rsid w:val="0CAD07EE"/>
    <w:rsid w:val="0D2D374E"/>
    <w:rsid w:val="0D9164D0"/>
    <w:rsid w:val="0DB42CE2"/>
    <w:rsid w:val="0DCF6A20"/>
    <w:rsid w:val="0E247C0F"/>
    <w:rsid w:val="0E3B277A"/>
    <w:rsid w:val="0E5471E3"/>
    <w:rsid w:val="0E632035"/>
    <w:rsid w:val="0E8C3A5F"/>
    <w:rsid w:val="0F3155D8"/>
    <w:rsid w:val="0F8B4CE8"/>
    <w:rsid w:val="0FA17166"/>
    <w:rsid w:val="101B6E73"/>
    <w:rsid w:val="101C3B92"/>
    <w:rsid w:val="107616CB"/>
    <w:rsid w:val="11052156"/>
    <w:rsid w:val="118D7048"/>
    <w:rsid w:val="11902A8A"/>
    <w:rsid w:val="11C64C74"/>
    <w:rsid w:val="123A29F6"/>
    <w:rsid w:val="12530553"/>
    <w:rsid w:val="12863F52"/>
    <w:rsid w:val="12E806A4"/>
    <w:rsid w:val="12F4294B"/>
    <w:rsid w:val="12F50D4A"/>
    <w:rsid w:val="131A64FE"/>
    <w:rsid w:val="1343009C"/>
    <w:rsid w:val="1409038E"/>
    <w:rsid w:val="14874BA2"/>
    <w:rsid w:val="14E14F7C"/>
    <w:rsid w:val="15197F4F"/>
    <w:rsid w:val="159A18FC"/>
    <w:rsid w:val="15A25B9D"/>
    <w:rsid w:val="15FE08AB"/>
    <w:rsid w:val="16490ED6"/>
    <w:rsid w:val="17581AEC"/>
    <w:rsid w:val="17A53A5E"/>
    <w:rsid w:val="17B96AD8"/>
    <w:rsid w:val="1861143C"/>
    <w:rsid w:val="18F521AF"/>
    <w:rsid w:val="191076B1"/>
    <w:rsid w:val="1925024E"/>
    <w:rsid w:val="19283A9C"/>
    <w:rsid w:val="193B7916"/>
    <w:rsid w:val="19AB618B"/>
    <w:rsid w:val="19CC0F60"/>
    <w:rsid w:val="19D72D50"/>
    <w:rsid w:val="19E204C7"/>
    <w:rsid w:val="1A057D8D"/>
    <w:rsid w:val="1A8567D8"/>
    <w:rsid w:val="1B0B13D3"/>
    <w:rsid w:val="1B6C5721"/>
    <w:rsid w:val="1B6E1D7B"/>
    <w:rsid w:val="1BF63E31"/>
    <w:rsid w:val="1C411353"/>
    <w:rsid w:val="1C65122C"/>
    <w:rsid w:val="1C8828B3"/>
    <w:rsid w:val="1D151F38"/>
    <w:rsid w:val="1D2B3667"/>
    <w:rsid w:val="1D3D2E59"/>
    <w:rsid w:val="1DA0069D"/>
    <w:rsid w:val="1E917E41"/>
    <w:rsid w:val="1EBA56AD"/>
    <w:rsid w:val="1EDE49BF"/>
    <w:rsid w:val="1F7F7DCC"/>
    <w:rsid w:val="1FEA3B82"/>
    <w:rsid w:val="1FF348E3"/>
    <w:rsid w:val="20084521"/>
    <w:rsid w:val="2059439C"/>
    <w:rsid w:val="209D2ACD"/>
    <w:rsid w:val="211F46B2"/>
    <w:rsid w:val="21C14629"/>
    <w:rsid w:val="21CF0FEE"/>
    <w:rsid w:val="220459B9"/>
    <w:rsid w:val="220C76C7"/>
    <w:rsid w:val="221A1EFC"/>
    <w:rsid w:val="2222415F"/>
    <w:rsid w:val="224D283B"/>
    <w:rsid w:val="22F866E1"/>
    <w:rsid w:val="234E729A"/>
    <w:rsid w:val="2361109A"/>
    <w:rsid w:val="241412F8"/>
    <w:rsid w:val="244B1947"/>
    <w:rsid w:val="248F4E23"/>
    <w:rsid w:val="24A06BF0"/>
    <w:rsid w:val="24A26114"/>
    <w:rsid w:val="24C32F6E"/>
    <w:rsid w:val="24D71C58"/>
    <w:rsid w:val="25011583"/>
    <w:rsid w:val="25B974F6"/>
    <w:rsid w:val="25D25173"/>
    <w:rsid w:val="2633464D"/>
    <w:rsid w:val="26734C14"/>
    <w:rsid w:val="2682413B"/>
    <w:rsid w:val="2691725A"/>
    <w:rsid w:val="26C3141B"/>
    <w:rsid w:val="27396123"/>
    <w:rsid w:val="27454D70"/>
    <w:rsid w:val="27504D7B"/>
    <w:rsid w:val="279041CB"/>
    <w:rsid w:val="27A96254"/>
    <w:rsid w:val="27CA3DE8"/>
    <w:rsid w:val="2806221B"/>
    <w:rsid w:val="280F17D3"/>
    <w:rsid w:val="288F26C5"/>
    <w:rsid w:val="28C02C4A"/>
    <w:rsid w:val="29114058"/>
    <w:rsid w:val="2930421E"/>
    <w:rsid w:val="293F2A9A"/>
    <w:rsid w:val="29882EF8"/>
    <w:rsid w:val="29993857"/>
    <w:rsid w:val="29C56BF1"/>
    <w:rsid w:val="29FA689B"/>
    <w:rsid w:val="2A517FB3"/>
    <w:rsid w:val="2A7A2C26"/>
    <w:rsid w:val="2A7D2326"/>
    <w:rsid w:val="2AAD03A2"/>
    <w:rsid w:val="2B9609D4"/>
    <w:rsid w:val="2BAF3B19"/>
    <w:rsid w:val="2BB24F51"/>
    <w:rsid w:val="2BE60F5B"/>
    <w:rsid w:val="2C72720D"/>
    <w:rsid w:val="2C8046D6"/>
    <w:rsid w:val="2C82086A"/>
    <w:rsid w:val="2C901738"/>
    <w:rsid w:val="2C9215CF"/>
    <w:rsid w:val="2D2B4EB1"/>
    <w:rsid w:val="2D2C7125"/>
    <w:rsid w:val="2D511872"/>
    <w:rsid w:val="2D92328E"/>
    <w:rsid w:val="2DB80DA5"/>
    <w:rsid w:val="2DBD2C5A"/>
    <w:rsid w:val="2DF7665A"/>
    <w:rsid w:val="2DF93D25"/>
    <w:rsid w:val="2E5158E4"/>
    <w:rsid w:val="2E6972FC"/>
    <w:rsid w:val="2E9E347E"/>
    <w:rsid w:val="2F033D63"/>
    <w:rsid w:val="2F340AA1"/>
    <w:rsid w:val="2F3473D4"/>
    <w:rsid w:val="2F7B222C"/>
    <w:rsid w:val="30222901"/>
    <w:rsid w:val="303A6AB7"/>
    <w:rsid w:val="30865446"/>
    <w:rsid w:val="30A6777C"/>
    <w:rsid w:val="30F93F38"/>
    <w:rsid w:val="31826B09"/>
    <w:rsid w:val="31C75C99"/>
    <w:rsid w:val="32743175"/>
    <w:rsid w:val="328C47A1"/>
    <w:rsid w:val="3302255B"/>
    <w:rsid w:val="332D3AB9"/>
    <w:rsid w:val="335F00B6"/>
    <w:rsid w:val="33641F23"/>
    <w:rsid w:val="345E2BF2"/>
    <w:rsid w:val="34AF746B"/>
    <w:rsid w:val="34B8747E"/>
    <w:rsid w:val="34F85C61"/>
    <w:rsid w:val="3502656A"/>
    <w:rsid w:val="35690D78"/>
    <w:rsid w:val="35840AB9"/>
    <w:rsid w:val="35D13367"/>
    <w:rsid w:val="363472A7"/>
    <w:rsid w:val="3641554E"/>
    <w:rsid w:val="364156A8"/>
    <w:rsid w:val="369405FC"/>
    <w:rsid w:val="36BE1376"/>
    <w:rsid w:val="372C6329"/>
    <w:rsid w:val="37677539"/>
    <w:rsid w:val="378842E6"/>
    <w:rsid w:val="379D5E78"/>
    <w:rsid w:val="38F14DC4"/>
    <w:rsid w:val="38F85D0F"/>
    <w:rsid w:val="39300EC5"/>
    <w:rsid w:val="39704B22"/>
    <w:rsid w:val="397F7028"/>
    <w:rsid w:val="39DE08F2"/>
    <w:rsid w:val="3A7206CF"/>
    <w:rsid w:val="3A882316"/>
    <w:rsid w:val="3A90665A"/>
    <w:rsid w:val="3B6B4562"/>
    <w:rsid w:val="3BC444EA"/>
    <w:rsid w:val="3C896075"/>
    <w:rsid w:val="3D22462E"/>
    <w:rsid w:val="3DA26A97"/>
    <w:rsid w:val="3DE5463A"/>
    <w:rsid w:val="3DF20324"/>
    <w:rsid w:val="3E5A667E"/>
    <w:rsid w:val="3E8C5BDD"/>
    <w:rsid w:val="3F177A97"/>
    <w:rsid w:val="3F2C68BE"/>
    <w:rsid w:val="3FBE4F64"/>
    <w:rsid w:val="3FFB0BEF"/>
    <w:rsid w:val="40C60231"/>
    <w:rsid w:val="41101133"/>
    <w:rsid w:val="41D60DAD"/>
    <w:rsid w:val="427D2CBF"/>
    <w:rsid w:val="42921D61"/>
    <w:rsid w:val="42D00828"/>
    <w:rsid w:val="42E303BC"/>
    <w:rsid w:val="43323263"/>
    <w:rsid w:val="43BA3657"/>
    <w:rsid w:val="444B03BD"/>
    <w:rsid w:val="44A16E73"/>
    <w:rsid w:val="457A3B09"/>
    <w:rsid w:val="45972853"/>
    <w:rsid w:val="45C21C6B"/>
    <w:rsid w:val="461D2149"/>
    <w:rsid w:val="465166DD"/>
    <w:rsid w:val="46647A66"/>
    <w:rsid w:val="46CA0FCA"/>
    <w:rsid w:val="46F97D6A"/>
    <w:rsid w:val="47283B21"/>
    <w:rsid w:val="474632B2"/>
    <w:rsid w:val="47646A3F"/>
    <w:rsid w:val="48AE4FC8"/>
    <w:rsid w:val="48B06F92"/>
    <w:rsid w:val="48F74973"/>
    <w:rsid w:val="496F02B6"/>
    <w:rsid w:val="49E76427"/>
    <w:rsid w:val="4A192915"/>
    <w:rsid w:val="4A2A2330"/>
    <w:rsid w:val="4AB3555F"/>
    <w:rsid w:val="4B0912CD"/>
    <w:rsid w:val="4B916B24"/>
    <w:rsid w:val="4B9506C1"/>
    <w:rsid w:val="4BC02CAB"/>
    <w:rsid w:val="4C06511B"/>
    <w:rsid w:val="4C4865CF"/>
    <w:rsid w:val="4C586A84"/>
    <w:rsid w:val="4C620180"/>
    <w:rsid w:val="4CAA1A0D"/>
    <w:rsid w:val="4CE0596C"/>
    <w:rsid w:val="4CEF5BAF"/>
    <w:rsid w:val="4D512F11"/>
    <w:rsid w:val="4F1B031F"/>
    <w:rsid w:val="4F343D4D"/>
    <w:rsid w:val="4F540874"/>
    <w:rsid w:val="4FC52472"/>
    <w:rsid w:val="4FCF3630"/>
    <w:rsid w:val="4FD71AC6"/>
    <w:rsid w:val="500F184D"/>
    <w:rsid w:val="503433BF"/>
    <w:rsid w:val="504306EC"/>
    <w:rsid w:val="5052092F"/>
    <w:rsid w:val="51157E67"/>
    <w:rsid w:val="515F5F9C"/>
    <w:rsid w:val="51894824"/>
    <w:rsid w:val="51B20719"/>
    <w:rsid w:val="51BB7C44"/>
    <w:rsid w:val="521F4740"/>
    <w:rsid w:val="52A54971"/>
    <w:rsid w:val="53AC21BD"/>
    <w:rsid w:val="53BE4E22"/>
    <w:rsid w:val="53EE58FB"/>
    <w:rsid w:val="548F1C1A"/>
    <w:rsid w:val="54957705"/>
    <w:rsid w:val="54B1092A"/>
    <w:rsid w:val="54E24523"/>
    <w:rsid w:val="550A4741"/>
    <w:rsid w:val="56D563C5"/>
    <w:rsid w:val="58016707"/>
    <w:rsid w:val="58393C95"/>
    <w:rsid w:val="584E16BE"/>
    <w:rsid w:val="588D356A"/>
    <w:rsid w:val="58B74903"/>
    <w:rsid w:val="58BA7D8A"/>
    <w:rsid w:val="59FA45B4"/>
    <w:rsid w:val="5A2D5E25"/>
    <w:rsid w:val="5B1155F5"/>
    <w:rsid w:val="5B960E71"/>
    <w:rsid w:val="5C6735EF"/>
    <w:rsid w:val="5C7F2AAC"/>
    <w:rsid w:val="5CC001D9"/>
    <w:rsid w:val="5CFB1FC5"/>
    <w:rsid w:val="5D3A3F9A"/>
    <w:rsid w:val="5DE81553"/>
    <w:rsid w:val="5E0A45F7"/>
    <w:rsid w:val="5E3E6F89"/>
    <w:rsid w:val="5E5D4214"/>
    <w:rsid w:val="5E745F14"/>
    <w:rsid w:val="5EB073E3"/>
    <w:rsid w:val="5EB74058"/>
    <w:rsid w:val="5ECE136B"/>
    <w:rsid w:val="5FD815EA"/>
    <w:rsid w:val="5FF4555F"/>
    <w:rsid w:val="60092372"/>
    <w:rsid w:val="60885CA7"/>
    <w:rsid w:val="60A32AE1"/>
    <w:rsid w:val="61613EC7"/>
    <w:rsid w:val="61686204"/>
    <w:rsid w:val="61C85FA4"/>
    <w:rsid w:val="61D50A26"/>
    <w:rsid w:val="61FC5A18"/>
    <w:rsid w:val="62546789"/>
    <w:rsid w:val="62C5306D"/>
    <w:rsid w:val="62CF45B5"/>
    <w:rsid w:val="62D34D28"/>
    <w:rsid w:val="631A7DDA"/>
    <w:rsid w:val="63365E8E"/>
    <w:rsid w:val="635F0938"/>
    <w:rsid w:val="6382453B"/>
    <w:rsid w:val="642330A7"/>
    <w:rsid w:val="645C36D2"/>
    <w:rsid w:val="648B38BE"/>
    <w:rsid w:val="64E370D3"/>
    <w:rsid w:val="65992475"/>
    <w:rsid w:val="65F577BE"/>
    <w:rsid w:val="66AE3716"/>
    <w:rsid w:val="66EB28C1"/>
    <w:rsid w:val="66F534D1"/>
    <w:rsid w:val="670A68A7"/>
    <w:rsid w:val="671F4304"/>
    <w:rsid w:val="675E0A14"/>
    <w:rsid w:val="67717A51"/>
    <w:rsid w:val="67AB66A9"/>
    <w:rsid w:val="67C779FD"/>
    <w:rsid w:val="68320923"/>
    <w:rsid w:val="68374063"/>
    <w:rsid w:val="68C47CE2"/>
    <w:rsid w:val="68CF4DBB"/>
    <w:rsid w:val="68E46A69"/>
    <w:rsid w:val="69865489"/>
    <w:rsid w:val="69965B9C"/>
    <w:rsid w:val="69B31FE7"/>
    <w:rsid w:val="69C669BB"/>
    <w:rsid w:val="69F96393"/>
    <w:rsid w:val="69FE47E4"/>
    <w:rsid w:val="6A6E544E"/>
    <w:rsid w:val="6ADB1710"/>
    <w:rsid w:val="6AFE57D1"/>
    <w:rsid w:val="6B2F1B41"/>
    <w:rsid w:val="6B685053"/>
    <w:rsid w:val="6B8B410F"/>
    <w:rsid w:val="6BA90B88"/>
    <w:rsid w:val="6BC71D79"/>
    <w:rsid w:val="6BF76C60"/>
    <w:rsid w:val="6C3C2733"/>
    <w:rsid w:val="6C902F58"/>
    <w:rsid w:val="6CA9685B"/>
    <w:rsid w:val="6CB71DEE"/>
    <w:rsid w:val="6DC31959"/>
    <w:rsid w:val="6E2A7758"/>
    <w:rsid w:val="6E2B1CF6"/>
    <w:rsid w:val="6E4A6D96"/>
    <w:rsid w:val="6E6F0955"/>
    <w:rsid w:val="6E843B83"/>
    <w:rsid w:val="6E921CDD"/>
    <w:rsid w:val="6F154AB9"/>
    <w:rsid w:val="6F5E4058"/>
    <w:rsid w:val="70275539"/>
    <w:rsid w:val="706B5DEC"/>
    <w:rsid w:val="707149AA"/>
    <w:rsid w:val="70C52E18"/>
    <w:rsid w:val="71A63482"/>
    <w:rsid w:val="71AC153F"/>
    <w:rsid w:val="71C150B8"/>
    <w:rsid w:val="71E35433"/>
    <w:rsid w:val="720803EC"/>
    <w:rsid w:val="722143C6"/>
    <w:rsid w:val="72634B29"/>
    <w:rsid w:val="726B172D"/>
    <w:rsid w:val="726D4E54"/>
    <w:rsid w:val="72A72CE0"/>
    <w:rsid w:val="72C02631"/>
    <w:rsid w:val="73547DB1"/>
    <w:rsid w:val="735A34D3"/>
    <w:rsid w:val="73C61E7F"/>
    <w:rsid w:val="746A1E3C"/>
    <w:rsid w:val="74BC0363"/>
    <w:rsid w:val="74C95CDE"/>
    <w:rsid w:val="75622B13"/>
    <w:rsid w:val="756C77F7"/>
    <w:rsid w:val="757D5F8D"/>
    <w:rsid w:val="75DE6508"/>
    <w:rsid w:val="75DF2FED"/>
    <w:rsid w:val="76C21ADD"/>
    <w:rsid w:val="770927C2"/>
    <w:rsid w:val="7735129F"/>
    <w:rsid w:val="77CA22B5"/>
    <w:rsid w:val="78DD498A"/>
    <w:rsid w:val="79216E36"/>
    <w:rsid w:val="792C4040"/>
    <w:rsid w:val="79B0209F"/>
    <w:rsid w:val="79B82596"/>
    <w:rsid w:val="79C00962"/>
    <w:rsid w:val="7A76260D"/>
    <w:rsid w:val="7A7D6BCC"/>
    <w:rsid w:val="7A8C4EE4"/>
    <w:rsid w:val="7AA8721A"/>
    <w:rsid w:val="7B455324"/>
    <w:rsid w:val="7B5774D2"/>
    <w:rsid w:val="7B933764"/>
    <w:rsid w:val="7B9652C4"/>
    <w:rsid w:val="7B9A4DB4"/>
    <w:rsid w:val="7BE0170B"/>
    <w:rsid w:val="7BE20509"/>
    <w:rsid w:val="7BEC2911"/>
    <w:rsid w:val="7C0D1A2A"/>
    <w:rsid w:val="7C170394"/>
    <w:rsid w:val="7CAD0B17"/>
    <w:rsid w:val="7DA30EEF"/>
    <w:rsid w:val="7DDB602A"/>
    <w:rsid w:val="7E354ADD"/>
    <w:rsid w:val="7E662627"/>
    <w:rsid w:val="7E957AB5"/>
    <w:rsid w:val="7F213FA3"/>
    <w:rsid w:val="7F21759B"/>
    <w:rsid w:val="7F515B34"/>
    <w:rsid w:val="7F8C710A"/>
    <w:rsid w:val="7FC91A8D"/>
    <w:rsid w:val="7FD42200"/>
    <w:rsid w:val="7FD540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table" w:styleId="8">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iPriority w:val="0"/>
    <w:rPr>
      <w:color w:val="0000FF"/>
      <w:u w:val="single"/>
    </w:rPr>
  </w:style>
  <w:style w:type="paragraph" w:customStyle="1" w:styleId="11">
    <w:name w:val="_Style 4"/>
    <w:basedOn w:val="1"/>
    <w:next w:val="1"/>
    <w:qFormat/>
    <w:uiPriority w:val="0"/>
    <w:pPr>
      <w:pBdr>
        <w:bottom w:val="single" w:color="auto" w:sz="6" w:space="1"/>
      </w:pBdr>
      <w:jc w:val="center"/>
    </w:pPr>
    <w:rPr>
      <w:rFonts w:ascii="Arial" w:eastAsia="宋体"/>
      <w:vanish/>
      <w:sz w:val="16"/>
    </w:rPr>
  </w:style>
  <w:style w:type="paragraph" w:customStyle="1" w:styleId="12">
    <w:name w:val="_Style 5"/>
    <w:basedOn w:val="1"/>
    <w:next w:val="1"/>
    <w:qFormat/>
    <w:uiPriority w:val="0"/>
    <w:pPr>
      <w:pBdr>
        <w:top w:val="single" w:color="auto" w:sz="6" w:space="1"/>
      </w:pBdr>
      <w:jc w:val="center"/>
    </w:pPr>
    <w:rPr>
      <w:rFonts w:ascii="Arial" w:eastAsia="宋体"/>
      <w:vanish/>
      <w:sz w:val="16"/>
    </w:rPr>
  </w:style>
  <w:style w:type="paragraph" w:styleId="13">
    <w:name w:val="No Spacing"/>
    <w:qFormat/>
    <w:uiPriority w:val="1"/>
    <w:rPr>
      <w:rFonts w:ascii="Arial" w:hAnsi="Arial" w:eastAsia="Times New Roman" w:cs="Times New Roman"/>
      <w:sz w:val="24"/>
      <w:lang w:val="en-GB" w:eastAsia="en-GB"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3251</Words>
  <Characters>19873</Characters>
  <Lines>0</Lines>
  <Paragraphs>0</Paragraphs>
  <TotalTime>1</TotalTime>
  <ScaleCrop>false</ScaleCrop>
  <LinksUpToDate>false</LinksUpToDate>
  <CharactersWithSpaces>22996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2023-01-27T02:16:00Z</dcterms:created>
  <dc:creator>Administrator</dc:creator>
  <cp:lastModifiedBy>Ꮩ࿆Ꭵ࿆Ꮲ࿆-joe</cp:lastModifiedBy>
  <dcterms:modified xsi:type="dcterms:W3CDTF">2023-03-25T05:54:16Z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53B0AF33952B4D5EBD110F97B27EF83B</vt:lpwstr>
  </property>
</Properties>
</file>