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6BC455B" w:rsidR="00B21F2E" w:rsidRPr="00D165DA" w:rsidRDefault="00B21F2E">
            <w:pPr>
              <w:rPr>
                <w:rFonts w:ascii="Tahoma" w:hAnsi="Tahoma" w:cs="Tahoma"/>
                <w:b/>
                <w:sz w:val="20"/>
                <w:szCs w:val="20"/>
                <w:lang w:val="nl-NL"/>
              </w:rPr>
            </w:pPr>
            <w:r w:rsidRPr="00D165DA">
              <w:rPr>
                <w:rFonts w:ascii="Tahoma" w:hAnsi="Tahoma" w:cs="Tahoma"/>
                <w:b/>
                <w:sz w:val="20"/>
                <w:szCs w:val="20"/>
                <w:lang w:val="nl-NL"/>
              </w:rPr>
              <w:t>Student Name:</w:t>
            </w:r>
            <w:r w:rsidR="003478CE" w:rsidRPr="00D165DA">
              <w:rPr>
                <w:rFonts w:ascii="Tahoma" w:hAnsi="Tahoma" w:cs="Tahoma"/>
                <w:b/>
                <w:sz w:val="20"/>
                <w:szCs w:val="20"/>
                <w:lang w:val="nl-NL"/>
              </w:rPr>
              <w:t xml:space="preserve"> </w:t>
            </w:r>
            <w:r w:rsidR="00D165DA" w:rsidRPr="00D165DA">
              <w:rPr>
                <w:rFonts w:ascii="Tahoma" w:hAnsi="Tahoma" w:cs="Tahoma"/>
                <w:b/>
                <w:sz w:val="20"/>
                <w:szCs w:val="20"/>
                <w:lang w:val="nl-NL"/>
              </w:rPr>
              <w:t>Amar Haddouche</w:t>
            </w:r>
          </w:p>
          <w:p w14:paraId="498F0B10" w14:textId="77777777" w:rsidR="001B69C8" w:rsidRPr="00D165DA" w:rsidRDefault="001B69C8">
            <w:pPr>
              <w:rPr>
                <w:rFonts w:ascii="Tahoma" w:hAnsi="Tahoma" w:cs="Tahoma"/>
                <w:b/>
                <w:sz w:val="20"/>
                <w:szCs w:val="20"/>
                <w:lang w:val="nl-NL"/>
              </w:rPr>
            </w:pPr>
          </w:p>
          <w:p w14:paraId="69E1F0CF" w14:textId="13E3EB4B" w:rsidR="00B21F2E" w:rsidRPr="00D165DA" w:rsidRDefault="001B69C8">
            <w:pPr>
              <w:rPr>
                <w:rFonts w:ascii="Tahoma" w:hAnsi="Tahoma" w:cs="Tahoma"/>
                <w:b/>
                <w:sz w:val="20"/>
                <w:szCs w:val="20"/>
                <w:lang w:val="nl-NL"/>
              </w:rPr>
            </w:pPr>
            <w:r w:rsidRPr="00D165DA">
              <w:rPr>
                <w:rFonts w:ascii="Tahoma" w:hAnsi="Tahoma" w:cs="Tahoma"/>
                <w:b/>
                <w:sz w:val="20"/>
                <w:szCs w:val="20"/>
                <w:lang w:val="nl-NL"/>
              </w:rPr>
              <w:t xml:space="preserve">Student </w:t>
            </w:r>
            <w:proofErr w:type="spellStart"/>
            <w:r w:rsidRPr="00D165DA">
              <w:rPr>
                <w:rFonts w:ascii="Tahoma" w:hAnsi="Tahoma" w:cs="Tahoma"/>
                <w:b/>
                <w:sz w:val="20"/>
                <w:szCs w:val="20"/>
                <w:lang w:val="nl-NL"/>
              </w:rPr>
              <w:t>Number</w:t>
            </w:r>
            <w:proofErr w:type="spellEnd"/>
            <w:r w:rsidRPr="00D165DA">
              <w:rPr>
                <w:rFonts w:ascii="Tahoma" w:hAnsi="Tahoma" w:cs="Tahoma"/>
                <w:b/>
                <w:sz w:val="20"/>
                <w:szCs w:val="20"/>
                <w:lang w:val="nl-NL"/>
              </w:rPr>
              <w:t>:</w:t>
            </w:r>
            <w:r w:rsidR="003478CE" w:rsidRPr="00D165DA">
              <w:rPr>
                <w:rFonts w:ascii="Tahoma" w:hAnsi="Tahoma" w:cs="Tahoma"/>
                <w:b/>
                <w:sz w:val="20"/>
                <w:szCs w:val="20"/>
                <w:lang w:val="nl-NL"/>
              </w:rPr>
              <w:t xml:space="preserve"> </w:t>
            </w:r>
            <w:r w:rsidR="00D165DA">
              <w:rPr>
                <w:rFonts w:ascii="Tahoma" w:hAnsi="Tahoma" w:cs="Tahoma"/>
                <w:b/>
                <w:sz w:val="20"/>
                <w:szCs w:val="20"/>
                <w:lang w:val="nl-NL"/>
              </w:rPr>
              <w:t>2017328</w:t>
            </w:r>
          </w:p>
          <w:p w14:paraId="1BE02E96" w14:textId="77777777" w:rsidR="00B21F2E" w:rsidRPr="00D165DA" w:rsidRDefault="00B21F2E">
            <w:pPr>
              <w:rPr>
                <w:rFonts w:ascii="Tahoma" w:hAnsi="Tahoma" w:cs="Tahoma"/>
                <w:b/>
                <w:sz w:val="20"/>
                <w:szCs w:val="20"/>
                <w:lang w:val="nl-NL"/>
              </w:rPr>
            </w:pPr>
          </w:p>
        </w:tc>
        <w:tc>
          <w:tcPr>
            <w:tcW w:w="7195" w:type="dxa"/>
            <w:shd w:val="clear" w:color="auto" w:fill="8DB3E2" w:themeFill="text2" w:themeFillTint="66"/>
          </w:tcPr>
          <w:p w14:paraId="488BCD26" w14:textId="571ECAB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165DA">
              <w:rPr>
                <w:rFonts w:ascii="Tahoma" w:hAnsi="Tahoma" w:cs="Tahoma"/>
                <w:b/>
                <w:sz w:val="20"/>
                <w:szCs w:val="20"/>
              </w:rPr>
              <w:t>Food and Beverage Operations</w:t>
            </w:r>
          </w:p>
          <w:p w14:paraId="2019D1B6" w14:textId="77777777" w:rsidR="00B21F2E" w:rsidRDefault="00B21F2E" w:rsidP="00B21F2E">
            <w:pPr>
              <w:rPr>
                <w:rFonts w:ascii="Tahoma" w:hAnsi="Tahoma" w:cs="Tahoma"/>
                <w:b/>
                <w:sz w:val="20"/>
                <w:szCs w:val="20"/>
              </w:rPr>
            </w:pPr>
          </w:p>
          <w:p w14:paraId="450FE136" w14:textId="72BF2BD4"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165DA">
              <w:rPr>
                <w:rFonts w:ascii="Tahoma" w:hAnsi="Tahoma" w:cs="Tahoma"/>
                <w:b/>
                <w:sz w:val="20"/>
                <w:szCs w:val="20"/>
              </w:rPr>
              <w:t xml:space="preserve">Ffion </w:t>
            </w:r>
            <w:proofErr w:type="spellStart"/>
            <w:r w:rsidR="00D165DA">
              <w:rPr>
                <w:rFonts w:ascii="Tahoma" w:hAnsi="Tahoma" w:cs="Tahoma"/>
                <w:b/>
                <w:sz w:val="20"/>
                <w:szCs w:val="20"/>
              </w:rPr>
              <w:t>Cumberpa</w:t>
            </w:r>
            <w:r w:rsidR="00256358">
              <w:rPr>
                <w:rFonts w:ascii="Tahoma" w:hAnsi="Tahoma" w:cs="Tahoma"/>
                <w:b/>
                <w:sz w:val="20"/>
                <w:szCs w:val="20"/>
              </w:rPr>
              <w:t>t</w:t>
            </w:r>
            <w:r w:rsidR="00D165DA">
              <w:rPr>
                <w:rFonts w:ascii="Tahoma" w:hAnsi="Tahoma" w:cs="Tahoma"/>
                <w:b/>
                <w:sz w:val="20"/>
                <w:szCs w:val="20"/>
              </w:rPr>
              <w: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151BC390"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256358">
              <w:rPr>
                <w:rFonts w:ascii="Tahoma" w:hAnsi="Tahoma" w:cs="Tahoma"/>
                <w:b/>
                <w:sz w:val="20"/>
                <w:szCs w:val="20"/>
              </w:rPr>
              <w:t>Allergies and Intolerances and the importance within the industry</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256358" w14:paraId="60CC0225" w14:textId="77777777" w:rsidTr="00A91FD6">
        <w:trPr>
          <w:trHeight w:val="2494"/>
        </w:trPr>
        <w:tc>
          <w:tcPr>
            <w:tcW w:w="11182" w:type="dxa"/>
            <w:gridSpan w:val="2"/>
          </w:tcPr>
          <w:p w14:paraId="47AE1DCA" w14:textId="77777777" w:rsidR="00256358" w:rsidRPr="00256358" w:rsidRDefault="00256358" w:rsidP="006C30A8">
            <w:pPr>
              <w:spacing w:line="360" w:lineRule="auto"/>
              <w:jc w:val="both"/>
              <w:rPr>
                <w:rFonts w:ascii="Arial" w:hAnsi="Arial" w:cs="Arial"/>
              </w:rPr>
            </w:pPr>
          </w:p>
          <w:p w14:paraId="4B62C50C" w14:textId="0ACDFB08" w:rsidR="00D165DA" w:rsidRPr="00256358" w:rsidRDefault="00D165DA" w:rsidP="006C30A8">
            <w:pPr>
              <w:spacing w:line="360" w:lineRule="auto"/>
              <w:jc w:val="both"/>
              <w:rPr>
                <w:rFonts w:ascii="Arial" w:hAnsi="Arial" w:cs="Arial"/>
              </w:rPr>
            </w:pPr>
            <w:r w:rsidRPr="00256358">
              <w:rPr>
                <w:rFonts w:ascii="Arial" w:hAnsi="Arial" w:cs="Arial"/>
              </w:rPr>
              <w:t>Allergies and Intolerances in the Hospitality Industry</w:t>
            </w:r>
            <w:r w:rsidR="000E1E05">
              <w:rPr>
                <w:rFonts w:ascii="Arial" w:hAnsi="Arial" w:cs="Arial"/>
              </w:rPr>
              <w:t>:</w:t>
            </w:r>
          </w:p>
          <w:p w14:paraId="32E312E2" w14:textId="014827F6" w:rsidR="00D165DA" w:rsidRPr="00256358" w:rsidRDefault="00D165DA" w:rsidP="006C30A8">
            <w:pPr>
              <w:spacing w:line="360" w:lineRule="auto"/>
              <w:jc w:val="both"/>
              <w:rPr>
                <w:rFonts w:ascii="Arial" w:hAnsi="Arial" w:cs="Arial"/>
              </w:rPr>
            </w:pPr>
            <w:r w:rsidRPr="00256358">
              <w:rPr>
                <w:rFonts w:ascii="Arial" w:hAnsi="Arial" w:cs="Arial"/>
              </w:rPr>
              <w:t>Food allergies and intolerance are important health factors to consider in the hospital industry (Lynch, 2016). The substances known to initiate the allergic reactions are known as allergens, which explains where the words allergies come from. Allergens present in foods normally are unharmful to many people. However, they might rapidly respond to another individual (</w:t>
            </w:r>
            <w:r w:rsidRPr="00256358">
              <w:rPr>
                <w:rFonts w:ascii="Arial" w:hAnsi="Arial" w:cs="Arial"/>
                <w:color w:val="222222"/>
                <w:shd w:val="clear" w:color="auto" w:fill="FFFFFF"/>
              </w:rPr>
              <w:t>Nettleton, Woods, Burrows &amp; Kerr, 2009).</w:t>
            </w:r>
            <w:r w:rsidRPr="00256358">
              <w:rPr>
                <w:rFonts w:ascii="Arial" w:hAnsi="Arial" w:cs="Arial"/>
              </w:rPr>
              <w:t xml:space="preserve"> </w:t>
            </w:r>
            <w:r w:rsidR="000E1E05">
              <w:rPr>
                <w:rFonts w:ascii="Arial" w:hAnsi="Arial" w:cs="Arial"/>
              </w:rPr>
              <w:t>H</w:t>
            </w:r>
            <w:r w:rsidRPr="00256358">
              <w:rPr>
                <w:rFonts w:ascii="Arial" w:hAnsi="Arial" w:cs="Arial"/>
              </w:rPr>
              <w:t>uman body</w:t>
            </w:r>
            <w:r w:rsidR="000E1E05">
              <w:rPr>
                <w:rFonts w:ascii="Arial" w:hAnsi="Arial" w:cs="Arial"/>
              </w:rPr>
              <w:t xml:space="preserve"> </w:t>
            </w:r>
            <w:r w:rsidRPr="00256358">
              <w:rPr>
                <w:rFonts w:ascii="Arial" w:hAnsi="Arial" w:cs="Arial"/>
              </w:rPr>
              <w:t xml:space="preserve">gives different feedback to what is consumed. </w:t>
            </w:r>
            <w:r w:rsidR="0028502C">
              <w:rPr>
                <w:rFonts w:ascii="Arial" w:hAnsi="Arial" w:cs="Arial"/>
              </w:rPr>
              <w:t>There are 14 major allergens, and</w:t>
            </w:r>
            <w:r w:rsidRPr="00256358">
              <w:rPr>
                <w:rFonts w:ascii="Arial" w:hAnsi="Arial" w:cs="Arial"/>
              </w:rPr>
              <w:t xml:space="preserve"> peanuts are the major cause of allergies. Maybe we have seen people close to us with peanut allergies or even heard of one, mostly seen in movies. On other occasions, a small portion of allergen intake can lead to an allergic reaction immediately after consumption (</w:t>
            </w:r>
            <w:r w:rsidRPr="00256358">
              <w:rPr>
                <w:rFonts w:ascii="Arial" w:hAnsi="Arial" w:cs="Arial"/>
                <w:color w:val="222222"/>
                <w:shd w:val="clear" w:color="auto" w:fill="FFFFFF"/>
              </w:rPr>
              <w:t>Heart Foundation, 2022)</w:t>
            </w:r>
            <w:r w:rsidRPr="00256358">
              <w:rPr>
                <w:rFonts w:ascii="Arial" w:hAnsi="Arial" w:cs="Arial"/>
              </w:rPr>
              <w:t>. Allergic reactions vary from mild to severe,</w:t>
            </w:r>
            <w:r w:rsidR="00603AF6">
              <w:rPr>
                <w:rFonts w:ascii="Arial" w:hAnsi="Arial" w:cs="Arial"/>
              </w:rPr>
              <w:t xml:space="preserve"> can also be</w:t>
            </w:r>
            <w:r w:rsidRPr="00256358">
              <w:rPr>
                <w:rFonts w:ascii="Arial" w:hAnsi="Arial" w:cs="Arial"/>
              </w:rPr>
              <w:t xml:space="preserve"> life-threatening</w:t>
            </w:r>
            <w:r w:rsidR="00603AF6">
              <w:rPr>
                <w:rFonts w:ascii="Arial" w:hAnsi="Arial" w:cs="Arial"/>
              </w:rPr>
              <w:t xml:space="preserve">. </w:t>
            </w:r>
            <w:r w:rsidRPr="00256358">
              <w:rPr>
                <w:rFonts w:ascii="Arial" w:hAnsi="Arial" w:cs="Arial"/>
              </w:rPr>
              <w:t xml:space="preserve">Allergic to any particular food condition is considered a health condition. Hence people need to be careful when choosing what to eat. </w:t>
            </w:r>
          </w:p>
          <w:p w14:paraId="4C582A56" w14:textId="25C2E45C" w:rsidR="00D165DA" w:rsidRPr="00256358" w:rsidRDefault="00D165DA" w:rsidP="006C30A8">
            <w:pPr>
              <w:spacing w:line="360" w:lineRule="auto"/>
              <w:jc w:val="both"/>
              <w:rPr>
                <w:rFonts w:ascii="Arial" w:hAnsi="Arial" w:cs="Arial"/>
              </w:rPr>
            </w:pPr>
            <w:r w:rsidRPr="00256358">
              <w:rPr>
                <w:rFonts w:ascii="Arial" w:hAnsi="Arial" w:cs="Arial"/>
              </w:rPr>
              <w:t>Natasha’s Law comes in handy to offer protection to food consumers. Natasha’s Law</w:t>
            </w:r>
            <w:r w:rsidR="009C0CBD">
              <w:rPr>
                <w:rFonts w:ascii="Arial" w:hAnsi="Arial" w:cs="Arial"/>
              </w:rPr>
              <w:t xml:space="preserve"> came into </w:t>
            </w:r>
            <w:r w:rsidR="00BA3096">
              <w:rPr>
                <w:rFonts w:ascii="Arial" w:hAnsi="Arial" w:cs="Arial"/>
              </w:rPr>
              <w:t>effect on the 1</w:t>
            </w:r>
            <w:r w:rsidR="00BA3096" w:rsidRPr="00BA3096">
              <w:rPr>
                <w:rFonts w:ascii="Arial" w:hAnsi="Arial" w:cs="Arial"/>
                <w:vertAlign w:val="superscript"/>
              </w:rPr>
              <w:t>st</w:t>
            </w:r>
            <w:r w:rsidR="00BA3096">
              <w:rPr>
                <w:rFonts w:ascii="Arial" w:hAnsi="Arial" w:cs="Arial"/>
              </w:rPr>
              <w:t xml:space="preserve"> of October </w:t>
            </w:r>
            <w:r w:rsidRPr="00256358">
              <w:rPr>
                <w:rFonts w:ascii="Arial" w:hAnsi="Arial" w:cs="Arial"/>
              </w:rPr>
              <w:t xml:space="preserve">2021, which necessitated businesses offering food services to give a complete list of ingredients and allergen tagging on food packages for the direct sales of the premises. The Law offers protection to people with allergies issues and equips them with confidence in the food they buy and consume (Natasha Allergy Research Foundation, 2019). The Law emerged due to some tragic event of an allergy case that led to the death of o teenager, Natasha </w:t>
            </w:r>
            <w:proofErr w:type="spellStart"/>
            <w:r w:rsidRPr="00256358">
              <w:rPr>
                <w:rFonts w:ascii="Arial" w:hAnsi="Arial" w:cs="Arial"/>
              </w:rPr>
              <w:t>Ednan-Laperouse</w:t>
            </w:r>
            <w:proofErr w:type="spellEnd"/>
            <w:r w:rsidRPr="00256358">
              <w:rPr>
                <w:rFonts w:ascii="Arial" w:hAnsi="Arial" w:cs="Arial"/>
              </w:rPr>
              <w:t xml:space="preserve">, caused by an unannounced ingredient in a prepacked meal. Natasha's death resulted in a lobbying </w:t>
            </w:r>
            <w:r w:rsidR="00BA3096" w:rsidRPr="00256358">
              <w:rPr>
                <w:rFonts w:ascii="Arial" w:hAnsi="Arial" w:cs="Arial"/>
              </w:rPr>
              <w:t>group</w:t>
            </w:r>
            <w:r w:rsidRPr="00256358">
              <w:rPr>
                <w:rFonts w:ascii="Arial" w:hAnsi="Arial" w:cs="Arial"/>
              </w:rPr>
              <w:t xml:space="preserve"> headed by her parents, which bored positive fruits, hence the Natasha Laws' introduction. Based on the new rules, PPDS, also known as Prepacked for Direct Sale, where food has to display packaging information visibly; the name of the food, complete names of ingredients, and allergenic ingredients. </w:t>
            </w:r>
          </w:p>
          <w:p w14:paraId="6D5D14F5" w14:textId="77777777" w:rsidR="00D165DA" w:rsidRPr="00256358" w:rsidRDefault="00D165DA" w:rsidP="006C30A8">
            <w:pPr>
              <w:spacing w:line="360" w:lineRule="auto"/>
              <w:jc w:val="both"/>
              <w:rPr>
                <w:rFonts w:ascii="Arial" w:hAnsi="Arial" w:cs="Arial"/>
              </w:rPr>
            </w:pPr>
            <w:r w:rsidRPr="00256358">
              <w:rPr>
                <w:rFonts w:ascii="Arial" w:hAnsi="Arial" w:cs="Arial"/>
              </w:rPr>
              <w:t xml:space="preserve">Many people working in the hospitality industry have encountered food allergies and intolerances, which entail lactose intolerance, gluten intolerance, and the most common peanut intolerance. The allergies and food intolerances have different magnitudes, some even leading to death, like the case of Natasha. Food intolerance occurs when the body cannot correctly digest specific foods, while food allergies occur </w:t>
            </w:r>
            <w:r w:rsidRPr="00256358">
              <w:rPr>
                <w:rFonts w:ascii="Arial" w:hAnsi="Arial" w:cs="Arial"/>
              </w:rPr>
              <w:lastRenderedPageBreak/>
              <w:t xml:space="preserve">when the body reacts to a particular food with immune feedback. From the theoretical perspective gathered from this topic, I am now equipped with the knowledge and the right ideas while working in the hospitality industry. While dealing with various reactions, different deals have to be adopted. While even the smallest trace of some food particles can have some drastic consequences for an individual allergic to them, those possessing an intolerance are likely to be influenced by the small quantity. I need to gather all the necessary information from the customers to equip them with the necessary precautions. </w:t>
            </w:r>
          </w:p>
          <w:p w14:paraId="26F9F48A" w14:textId="77777777" w:rsidR="00D165DA" w:rsidRPr="00256358" w:rsidRDefault="00D165DA" w:rsidP="006C30A8">
            <w:pPr>
              <w:spacing w:line="360" w:lineRule="auto"/>
              <w:jc w:val="both"/>
              <w:rPr>
                <w:rFonts w:ascii="Arial" w:hAnsi="Arial" w:cs="Arial"/>
              </w:rPr>
            </w:pPr>
            <w:r w:rsidRPr="00256358">
              <w:rPr>
                <w:rFonts w:ascii="Arial" w:hAnsi="Arial" w:cs="Arial"/>
              </w:rPr>
              <w:t>Being allergic to a particular food is regarded as a health condition. Hence, an individual working in the hotel industry needs to be cautious while preparing food before informing their customers. The only assured model of preventing food allergic reactions is to evade allergens; the food industry and the hospitality industry are mandated with a vital responsibility to protect the consumers. To avoid this occurrence and any allergic reaction and intolerance, I would ensure that the customer receives every information of ingredients present in the food to discerning what they are allergic to (</w:t>
            </w:r>
            <w:r w:rsidRPr="00256358">
              <w:rPr>
                <w:rFonts w:ascii="Arial" w:hAnsi="Arial" w:cs="Arial"/>
                <w:color w:val="222222"/>
                <w:shd w:val="clear" w:color="auto" w:fill="FFFFFF"/>
              </w:rPr>
              <w:t>Wen &amp; Kwon, 2016)</w:t>
            </w:r>
            <w:r w:rsidRPr="00256358">
              <w:rPr>
                <w:rFonts w:ascii="Arial" w:hAnsi="Arial" w:cs="Arial"/>
              </w:rPr>
              <w:t>. I would also offer the customer an opportunity to write down their preferred ingredients of choice or list the allergic constituents (</w:t>
            </w:r>
            <w:r w:rsidRPr="00256358">
              <w:rPr>
                <w:rFonts w:ascii="Arial" w:hAnsi="Arial" w:cs="Arial"/>
                <w:color w:val="222222"/>
                <w:shd w:val="clear" w:color="auto" w:fill="FFFFFF"/>
              </w:rPr>
              <w:t xml:space="preserve">Miles, </w:t>
            </w:r>
            <w:proofErr w:type="spellStart"/>
            <w:r w:rsidRPr="00256358">
              <w:rPr>
                <w:rFonts w:ascii="Arial" w:hAnsi="Arial" w:cs="Arial"/>
                <w:color w:val="222222"/>
                <w:shd w:val="clear" w:color="auto" w:fill="FFFFFF"/>
              </w:rPr>
              <w:t>Crevel</w:t>
            </w:r>
            <w:proofErr w:type="spellEnd"/>
            <w:r w:rsidRPr="00256358">
              <w:rPr>
                <w:rFonts w:ascii="Arial" w:hAnsi="Arial" w:cs="Arial"/>
                <w:color w:val="222222"/>
                <w:shd w:val="clear" w:color="auto" w:fill="FFFFFF"/>
              </w:rPr>
              <w:t xml:space="preserve">, </w:t>
            </w:r>
            <w:proofErr w:type="spellStart"/>
            <w:r w:rsidRPr="00256358">
              <w:rPr>
                <w:rFonts w:ascii="Arial" w:hAnsi="Arial" w:cs="Arial"/>
                <w:color w:val="222222"/>
                <w:shd w:val="clear" w:color="auto" w:fill="FFFFFF"/>
              </w:rPr>
              <w:t>Chryssochoidis</w:t>
            </w:r>
            <w:proofErr w:type="spellEnd"/>
            <w:r w:rsidRPr="00256358">
              <w:rPr>
                <w:rFonts w:ascii="Arial" w:hAnsi="Arial" w:cs="Arial"/>
                <w:color w:val="222222"/>
                <w:shd w:val="clear" w:color="auto" w:fill="FFFFFF"/>
              </w:rPr>
              <w:t xml:space="preserve">, </w:t>
            </w:r>
            <w:proofErr w:type="spellStart"/>
            <w:r w:rsidRPr="00256358">
              <w:rPr>
                <w:rFonts w:ascii="Arial" w:hAnsi="Arial" w:cs="Arial"/>
                <w:color w:val="222222"/>
                <w:shd w:val="clear" w:color="auto" w:fill="FFFFFF"/>
              </w:rPr>
              <w:t>Frewer</w:t>
            </w:r>
            <w:proofErr w:type="spellEnd"/>
            <w:r w:rsidRPr="00256358">
              <w:rPr>
                <w:rFonts w:ascii="Arial" w:hAnsi="Arial" w:cs="Arial"/>
                <w:color w:val="222222"/>
                <w:shd w:val="clear" w:color="auto" w:fill="FFFFFF"/>
              </w:rPr>
              <w:t xml:space="preserve">, Grimshaw, </w:t>
            </w:r>
            <w:proofErr w:type="spellStart"/>
            <w:r w:rsidRPr="00256358">
              <w:rPr>
                <w:rFonts w:ascii="Arial" w:hAnsi="Arial" w:cs="Arial"/>
                <w:color w:val="222222"/>
                <w:shd w:val="clear" w:color="auto" w:fill="FFFFFF"/>
              </w:rPr>
              <w:t>Riera</w:t>
            </w:r>
            <w:proofErr w:type="spellEnd"/>
            <w:r w:rsidRPr="00256358">
              <w:rPr>
                <w:rFonts w:ascii="Arial" w:hAnsi="Arial" w:cs="Arial"/>
                <w:color w:val="222222"/>
                <w:shd w:val="clear" w:color="auto" w:fill="FFFFFF"/>
              </w:rPr>
              <w:t>, &amp; Verbeke, 2006)</w:t>
            </w:r>
            <w:r w:rsidRPr="00256358">
              <w:rPr>
                <w:rFonts w:ascii="Arial" w:hAnsi="Arial" w:cs="Arial"/>
              </w:rPr>
              <w:t xml:space="preserve">. To ensure no cases of allergies, it is important to ensure that utensils are thoroughly cleaned before being used, particularly utensils used to prepare meals consisting of allergens. Those responsible for preparing food should ensure their hands are thoroughly washed while preparing foods with allergies alongside those without allergens. While storing foods, there should be </w:t>
            </w:r>
            <w:proofErr w:type="spellStart"/>
            <w:r w:rsidRPr="00256358">
              <w:rPr>
                <w:rFonts w:ascii="Arial" w:hAnsi="Arial" w:cs="Arial"/>
              </w:rPr>
              <w:t>labeling</w:t>
            </w:r>
            <w:proofErr w:type="spellEnd"/>
            <w:r w:rsidRPr="00256358">
              <w:rPr>
                <w:rFonts w:ascii="Arial" w:hAnsi="Arial" w:cs="Arial"/>
              </w:rPr>
              <w:t xml:space="preserve"> and separation of food containing allergens and those without. And when one has no idea if the food contains an allergen, it is important to be open to the customer to evade any risk encounters. </w:t>
            </w:r>
          </w:p>
          <w:p w14:paraId="5E271D96" w14:textId="77777777" w:rsidR="00D165DA" w:rsidRPr="00256358" w:rsidRDefault="00D165DA" w:rsidP="006C30A8">
            <w:pPr>
              <w:spacing w:line="360" w:lineRule="auto"/>
              <w:jc w:val="both"/>
              <w:rPr>
                <w:rFonts w:ascii="Arial" w:hAnsi="Arial" w:cs="Arial"/>
              </w:rPr>
            </w:pPr>
            <w:r w:rsidRPr="00256358">
              <w:rPr>
                <w:rFonts w:ascii="Arial" w:hAnsi="Arial" w:cs="Arial"/>
              </w:rPr>
              <w:t>Since the only model of averting food allergy reactions and intolerance is to evade allergens, the food industry acts as a vital responsibility to offer protection to its consumers. The hospitality industry plays a vital role, accountable for protecting the health of its consumers (</w:t>
            </w:r>
            <w:r w:rsidRPr="00256358">
              <w:rPr>
                <w:rFonts w:ascii="Arial" w:hAnsi="Arial" w:cs="Arial"/>
                <w:color w:val="222222"/>
                <w:shd w:val="clear" w:color="auto" w:fill="FFFFFF"/>
              </w:rPr>
              <w:t>Dean, 2000)</w:t>
            </w:r>
            <w:r w:rsidRPr="00256358">
              <w:rPr>
                <w:rFonts w:ascii="Arial" w:hAnsi="Arial" w:cs="Arial"/>
              </w:rPr>
              <w:t xml:space="preserve">. The hospitality industry is a wide field under the service industry that entails drinks and food services, event planning, traveling, and tourism; it’s a constituent of restaurants, bars, hotels, and tourism agencies. Every combination in the hospitality industry is accountable for dealing with human beings, particularly what they consume, including foods and drinks. With this in hand, the hotel industry is necessitated to be accountable and be extra careful of what they offer their customers. </w:t>
            </w:r>
          </w:p>
          <w:p w14:paraId="1DA6D9F6" w14:textId="77777777" w:rsidR="00D165DA" w:rsidRPr="00256358" w:rsidRDefault="00D165DA" w:rsidP="006C30A8">
            <w:pPr>
              <w:spacing w:line="360" w:lineRule="auto"/>
              <w:jc w:val="both"/>
              <w:rPr>
                <w:rFonts w:ascii="Arial" w:hAnsi="Arial" w:cs="Arial"/>
              </w:rPr>
            </w:pPr>
          </w:p>
          <w:p w14:paraId="10B11E51" w14:textId="77777777" w:rsidR="00375882" w:rsidRPr="00256358" w:rsidRDefault="00375882" w:rsidP="006C30A8">
            <w:pPr>
              <w:spacing w:line="360" w:lineRule="auto"/>
              <w:jc w:val="both"/>
              <w:rPr>
                <w:rFonts w:ascii="Arial" w:hAnsi="Arial" w:cs="Arial"/>
              </w:rPr>
            </w:pPr>
          </w:p>
          <w:p w14:paraId="629A4250" w14:textId="77777777" w:rsidR="00375882" w:rsidRPr="00256358" w:rsidRDefault="00375882" w:rsidP="006C30A8">
            <w:pPr>
              <w:spacing w:line="360" w:lineRule="auto"/>
              <w:jc w:val="both"/>
              <w:rPr>
                <w:rFonts w:ascii="Arial" w:hAnsi="Arial" w:cs="Arial"/>
              </w:rPr>
            </w:pPr>
          </w:p>
          <w:p w14:paraId="3223D94F" w14:textId="77777777" w:rsidR="00375882" w:rsidRPr="00256358" w:rsidRDefault="00375882" w:rsidP="006C30A8">
            <w:pPr>
              <w:spacing w:line="360" w:lineRule="auto"/>
              <w:jc w:val="both"/>
              <w:rPr>
                <w:rFonts w:ascii="Arial" w:hAnsi="Arial" w:cs="Arial"/>
              </w:rPr>
            </w:pPr>
          </w:p>
          <w:p w14:paraId="5AAD8421" w14:textId="77777777" w:rsidR="00375882" w:rsidRPr="00256358" w:rsidRDefault="00375882" w:rsidP="006C30A8">
            <w:pPr>
              <w:spacing w:line="360" w:lineRule="auto"/>
              <w:jc w:val="both"/>
              <w:rPr>
                <w:rFonts w:ascii="Arial" w:hAnsi="Arial" w:cs="Arial"/>
              </w:rPr>
            </w:pPr>
          </w:p>
          <w:p w14:paraId="601C5B2A" w14:textId="77777777" w:rsidR="00375882" w:rsidRPr="00256358" w:rsidRDefault="00375882" w:rsidP="006C30A8">
            <w:pPr>
              <w:spacing w:line="360" w:lineRule="auto"/>
              <w:jc w:val="both"/>
              <w:rPr>
                <w:rFonts w:ascii="Arial" w:hAnsi="Arial" w:cs="Arial"/>
              </w:rPr>
            </w:pPr>
          </w:p>
          <w:p w14:paraId="169E8A99" w14:textId="77777777" w:rsidR="00375882" w:rsidRPr="00256358" w:rsidRDefault="00375882" w:rsidP="006C30A8">
            <w:pPr>
              <w:spacing w:line="360" w:lineRule="auto"/>
              <w:jc w:val="both"/>
              <w:rPr>
                <w:rFonts w:ascii="Arial" w:hAnsi="Arial" w:cs="Arial"/>
              </w:rPr>
            </w:pPr>
          </w:p>
          <w:p w14:paraId="0514EA32" w14:textId="77777777" w:rsidR="00375882" w:rsidRPr="00256358" w:rsidRDefault="00375882" w:rsidP="006C30A8">
            <w:pPr>
              <w:spacing w:line="360" w:lineRule="auto"/>
              <w:jc w:val="both"/>
              <w:rPr>
                <w:rFonts w:ascii="Arial" w:hAnsi="Arial" w:cs="Arial"/>
              </w:rPr>
            </w:pPr>
          </w:p>
          <w:p w14:paraId="733FBFA5" w14:textId="77777777" w:rsidR="00375882" w:rsidRPr="00256358" w:rsidRDefault="00375882" w:rsidP="006C30A8">
            <w:pPr>
              <w:spacing w:line="360" w:lineRule="auto"/>
              <w:jc w:val="both"/>
              <w:rPr>
                <w:rFonts w:ascii="Arial" w:hAnsi="Arial" w:cs="Arial"/>
              </w:rPr>
            </w:pPr>
          </w:p>
          <w:p w14:paraId="20085F77" w14:textId="77777777" w:rsidR="00375882" w:rsidRPr="00256358" w:rsidRDefault="00375882" w:rsidP="006C30A8">
            <w:pPr>
              <w:spacing w:line="360" w:lineRule="auto"/>
              <w:jc w:val="both"/>
              <w:rPr>
                <w:rFonts w:ascii="Arial" w:hAnsi="Arial" w:cs="Arial"/>
              </w:rPr>
            </w:pPr>
          </w:p>
          <w:p w14:paraId="368349A1" w14:textId="77777777" w:rsidR="00375882" w:rsidRPr="00256358" w:rsidRDefault="00375882" w:rsidP="006C30A8">
            <w:pPr>
              <w:spacing w:line="360" w:lineRule="auto"/>
              <w:jc w:val="both"/>
              <w:rPr>
                <w:rFonts w:ascii="Arial" w:hAnsi="Arial" w:cs="Arial"/>
              </w:rPr>
            </w:pPr>
          </w:p>
          <w:p w14:paraId="24449AB5" w14:textId="77777777" w:rsidR="00375882" w:rsidRPr="00256358" w:rsidRDefault="00375882" w:rsidP="006C30A8">
            <w:pPr>
              <w:spacing w:line="360" w:lineRule="auto"/>
              <w:jc w:val="both"/>
              <w:rPr>
                <w:rFonts w:ascii="Arial" w:hAnsi="Arial" w:cs="Arial"/>
              </w:rPr>
            </w:pPr>
          </w:p>
          <w:p w14:paraId="5B6F190D" w14:textId="77777777" w:rsidR="00375882" w:rsidRPr="00256358" w:rsidRDefault="00375882" w:rsidP="006C30A8">
            <w:pPr>
              <w:spacing w:line="360" w:lineRule="auto"/>
              <w:jc w:val="both"/>
              <w:rPr>
                <w:rFonts w:ascii="Arial" w:hAnsi="Arial" w:cs="Arial"/>
              </w:rPr>
            </w:pPr>
          </w:p>
          <w:p w14:paraId="1CBB91F9" w14:textId="77777777" w:rsidR="00375882" w:rsidRPr="00256358" w:rsidRDefault="00375882" w:rsidP="006C30A8">
            <w:pPr>
              <w:spacing w:line="360" w:lineRule="auto"/>
              <w:jc w:val="both"/>
              <w:rPr>
                <w:rFonts w:ascii="Arial" w:hAnsi="Arial" w:cs="Arial"/>
              </w:rPr>
            </w:pPr>
          </w:p>
          <w:p w14:paraId="22B4E043" w14:textId="77777777" w:rsidR="00375882" w:rsidRPr="00256358" w:rsidRDefault="00375882" w:rsidP="006C30A8">
            <w:pPr>
              <w:spacing w:line="360" w:lineRule="auto"/>
              <w:jc w:val="both"/>
              <w:rPr>
                <w:rFonts w:ascii="Arial" w:hAnsi="Arial" w:cs="Arial"/>
              </w:rPr>
            </w:pPr>
          </w:p>
          <w:p w14:paraId="40B794DC" w14:textId="77777777" w:rsidR="00375882" w:rsidRPr="00256358" w:rsidRDefault="00375882" w:rsidP="006C30A8">
            <w:pPr>
              <w:spacing w:line="360" w:lineRule="auto"/>
              <w:jc w:val="both"/>
              <w:rPr>
                <w:rFonts w:ascii="Arial" w:hAnsi="Arial" w:cs="Arial"/>
              </w:rPr>
            </w:pPr>
          </w:p>
          <w:p w14:paraId="0A732014" w14:textId="77777777" w:rsidR="00375882" w:rsidRPr="00256358" w:rsidRDefault="00375882" w:rsidP="006C30A8">
            <w:pPr>
              <w:spacing w:line="360" w:lineRule="auto"/>
              <w:jc w:val="both"/>
              <w:rPr>
                <w:rFonts w:ascii="Arial" w:hAnsi="Arial" w:cs="Arial"/>
              </w:rPr>
            </w:pPr>
          </w:p>
          <w:p w14:paraId="57B1B02B" w14:textId="77777777" w:rsidR="00375882" w:rsidRPr="00256358" w:rsidRDefault="00375882" w:rsidP="006C30A8">
            <w:pPr>
              <w:spacing w:line="360" w:lineRule="auto"/>
              <w:jc w:val="both"/>
              <w:rPr>
                <w:rFonts w:ascii="Arial" w:hAnsi="Arial" w:cs="Arial"/>
              </w:rPr>
            </w:pPr>
          </w:p>
          <w:p w14:paraId="29092048" w14:textId="77777777" w:rsidR="00375882" w:rsidRPr="00256358" w:rsidRDefault="00375882" w:rsidP="006C30A8">
            <w:pPr>
              <w:spacing w:line="360" w:lineRule="auto"/>
              <w:jc w:val="both"/>
              <w:rPr>
                <w:rFonts w:ascii="Arial" w:hAnsi="Arial" w:cs="Arial"/>
              </w:rPr>
            </w:pPr>
          </w:p>
          <w:p w14:paraId="45D18CD5" w14:textId="77777777" w:rsidR="00375882" w:rsidRPr="00256358" w:rsidRDefault="00375882" w:rsidP="006C30A8">
            <w:pPr>
              <w:spacing w:line="360" w:lineRule="auto"/>
              <w:jc w:val="both"/>
              <w:rPr>
                <w:rFonts w:ascii="Arial" w:hAnsi="Arial" w:cs="Arial"/>
              </w:rPr>
            </w:pPr>
          </w:p>
          <w:p w14:paraId="18548036" w14:textId="77777777" w:rsidR="00375882" w:rsidRPr="00256358" w:rsidRDefault="00375882" w:rsidP="006C30A8">
            <w:pPr>
              <w:spacing w:line="360" w:lineRule="auto"/>
              <w:jc w:val="both"/>
              <w:rPr>
                <w:rFonts w:ascii="Arial" w:hAnsi="Arial" w:cs="Arial"/>
              </w:rPr>
            </w:pPr>
          </w:p>
          <w:p w14:paraId="04482D04" w14:textId="77777777" w:rsidR="00375882" w:rsidRPr="00256358" w:rsidRDefault="00375882" w:rsidP="006C30A8">
            <w:pPr>
              <w:spacing w:line="360" w:lineRule="auto"/>
              <w:jc w:val="both"/>
              <w:rPr>
                <w:rFonts w:ascii="Arial" w:hAnsi="Arial" w:cs="Arial"/>
              </w:rPr>
            </w:pPr>
          </w:p>
          <w:p w14:paraId="21316D23" w14:textId="77777777" w:rsidR="00375882" w:rsidRPr="00256358" w:rsidRDefault="00375882" w:rsidP="006C30A8">
            <w:pPr>
              <w:spacing w:line="360" w:lineRule="auto"/>
              <w:jc w:val="both"/>
              <w:rPr>
                <w:rFonts w:ascii="Arial" w:hAnsi="Arial" w:cs="Arial"/>
              </w:rPr>
            </w:pPr>
          </w:p>
          <w:p w14:paraId="7ABB693F" w14:textId="77777777" w:rsidR="00375882" w:rsidRPr="00256358" w:rsidRDefault="00375882" w:rsidP="006C30A8">
            <w:pPr>
              <w:spacing w:line="360" w:lineRule="auto"/>
              <w:jc w:val="both"/>
              <w:rPr>
                <w:rFonts w:ascii="Arial" w:hAnsi="Arial" w:cs="Arial"/>
              </w:rPr>
            </w:pPr>
          </w:p>
          <w:p w14:paraId="558B68CD" w14:textId="77777777" w:rsidR="00375882" w:rsidRPr="00256358" w:rsidRDefault="00375882" w:rsidP="006C30A8">
            <w:pPr>
              <w:spacing w:line="360" w:lineRule="auto"/>
              <w:jc w:val="both"/>
              <w:rPr>
                <w:rFonts w:ascii="Arial" w:hAnsi="Arial" w:cs="Arial"/>
              </w:rPr>
            </w:pPr>
          </w:p>
          <w:p w14:paraId="213727D5" w14:textId="77777777" w:rsidR="00375882" w:rsidRPr="00256358" w:rsidRDefault="00375882" w:rsidP="006C30A8">
            <w:pPr>
              <w:spacing w:line="360" w:lineRule="auto"/>
              <w:jc w:val="both"/>
              <w:rPr>
                <w:rFonts w:ascii="Arial" w:hAnsi="Arial" w:cs="Arial"/>
              </w:rPr>
            </w:pPr>
          </w:p>
          <w:p w14:paraId="0209048A" w14:textId="77777777" w:rsidR="00375882" w:rsidRPr="00256358" w:rsidRDefault="00375882" w:rsidP="006C30A8">
            <w:pPr>
              <w:spacing w:line="360" w:lineRule="auto"/>
              <w:jc w:val="both"/>
              <w:rPr>
                <w:rFonts w:ascii="Arial" w:hAnsi="Arial" w:cs="Arial"/>
              </w:rPr>
            </w:pPr>
          </w:p>
          <w:p w14:paraId="29A6BCD8" w14:textId="77777777" w:rsidR="00375882" w:rsidRPr="00256358" w:rsidRDefault="00375882" w:rsidP="006C30A8">
            <w:pPr>
              <w:spacing w:line="360" w:lineRule="auto"/>
              <w:jc w:val="both"/>
              <w:rPr>
                <w:rFonts w:ascii="Arial" w:hAnsi="Arial" w:cs="Arial"/>
              </w:rPr>
            </w:pPr>
          </w:p>
          <w:p w14:paraId="40F3433A" w14:textId="77777777" w:rsidR="00375882" w:rsidRPr="00256358" w:rsidRDefault="00375882" w:rsidP="006C30A8">
            <w:pPr>
              <w:spacing w:line="360" w:lineRule="auto"/>
              <w:jc w:val="both"/>
              <w:rPr>
                <w:rFonts w:ascii="Arial" w:hAnsi="Arial" w:cs="Arial"/>
              </w:rPr>
            </w:pPr>
          </w:p>
          <w:p w14:paraId="3723CE45" w14:textId="77777777" w:rsidR="00375882" w:rsidRPr="00256358" w:rsidRDefault="00375882" w:rsidP="006C30A8">
            <w:pPr>
              <w:spacing w:line="360" w:lineRule="auto"/>
              <w:jc w:val="both"/>
              <w:rPr>
                <w:rFonts w:ascii="Arial" w:hAnsi="Arial" w:cs="Arial"/>
              </w:rPr>
            </w:pPr>
          </w:p>
          <w:p w14:paraId="3B344F1E" w14:textId="4F66D5C5" w:rsidR="00375882" w:rsidRPr="00256358" w:rsidRDefault="00375882" w:rsidP="006C30A8">
            <w:pPr>
              <w:spacing w:line="360" w:lineRule="auto"/>
              <w:jc w:val="both"/>
              <w:rPr>
                <w:rFonts w:ascii="Arial" w:hAnsi="Arial" w:cs="Arial"/>
              </w:rPr>
            </w:pPr>
          </w:p>
        </w:tc>
      </w:tr>
    </w:tbl>
    <w:p w14:paraId="7D9A52CF" w14:textId="77777777" w:rsidR="00B00678" w:rsidRPr="00256358" w:rsidRDefault="00B00678" w:rsidP="006C30A8">
      <w:pPr>
        <w:spacing w:line="360" w:lineRule="auto"/>
        <w:jc w:val="both"/>
        <w:rPr>
          <w:rFonts w:ascii="Arial" w:hAnsi="Arial" w:cs="Arial"/>
          <w:b/>
        </w:rPr>
      </w:pPr>
    </w:p>
    <w:tbl>
      <w:tblPr>
        <w:tblStyle w:val="TableGrid"/>
        <w:tblW w:w="0" w:type="auto"/>
        <w:tblLook w:val="01E0" w:firstRow="1" w:lastRow="1" w:firstColumn="1" w:lastColumn="1" w:noHBand="0" w:noVBand="0"/>
      </w:tblPr>
      <w:tblGrid>
        <w:gridCol w:w="10752"/>
        <w:gridCol w:w="430"/>
      </w:tblGrid>
      <w:tr w:rsidR="00375882" w:rsidRPr="00256358" w14:paraId="693FCD7B" w14:textId="77777777" w:rsidTr="00375882">
        <w:tc>
          <w:tcPr>
            <w:tcW w:w="10910" w:type="dxa"/>
            <w:shd w:val="clear" w:color="auto" w:fill="FBD4B4" w:themeFill="accent6" w:themeFillTint="66"/>
          </w:tcPr>
          <w:p w14:paraId="0731D9DE" w14:textId="423CB3E9" w:rsidR="00375882" w:rsidRPr="00256358" w:rsidRDefault="00375882" w:rsidP="006C30A8">
            <w:pPr>
              <w:spacing w:line="360" w:lineRule="auto"/>
              <w:jc w:val="both"/>
              <w:rPr>
                <w:rFonts w:ascii="Arial" w:hAnsi="Arial" w:cs="Arial"/>
                <w:b/>
              </w:rPr>
            </w:pPr>
            <w:r w:rsidRPr="00256358">
              <w:rPr>
                <w:rFonts w:ascii="Arial" w:hAnsi="Arial" w:cs="Arial"/>
                <w:b/>
              </w:rPr>
              <w:t xml:space="preserve">REFERENCE LIST </w:t>
            </w:r>
            <w:r w:rsidR="00A138AA" w:rsidRPr="00256358">
              <w:rPr>
                <w:rFonts w:ascii="Arial" w:hAnsi="Arial" w:cs="Arial"/>
                <w:b/>
              </w:rPr>
              <w:t>(not included in word count)</w:t>
            </w:r>
          </w:p>
        </w:tc>
        <w:tc>
          <w:tcPr>
            <w:tcW w:w="272" w:type="dxa"/>
            <w:shd w:val="clear" w:color="auto" w:fill="FBD4B4" w:themeFill="accent6" w:themeFillTint="66"/>
          </w:tcPr>
          <w:p w14:paraId="2A993785" w14:textId="77777777" w:rsidR="00375882" w:rsidRPr="00256358" w:rsidRDefault="00375882" w:rsidP="006C30A8">
            <w:pPr>
              <w:spacing w:line="360" w:lineRule="auto"/>
              <w:jc w:val="both"/>
              <w:rPr>
                <w:rFonts w:ascii="Arial" w:hAnsi="Arial" w:cs="Arial"/>
                <w:b/>
              </w:rPr>
            </w:pPr>
          </w:p>
          <w:p w14:paraId="52F3ACFA" w14:textId="77777777" w:rsidR="00375882" w:rsidRPr="00256358" w:rsidRDefault="00375882" w:rsidP="006C30A8">
            <w:pPr>
              <w:spacing w:line="360" w:lineRule="auto"/>
              <w:jc w:val="both"/>
              <w:rPr>
                <w:rFonts w:ascii="Arial" w:hAnsi="Arial" w:cs="Arial"/>
                <w:b/>
              </w:rPr>
            </w:pPr>
          </w:p>
        </w:tc>
      </w:tr>
      <w:tr w:rsidR="00375882" w:rsidRPr="00256358" w14:paraId="130E5631" w14:textId="77777777" w:rsidTr="007F6692">
        <w:trPr>
          <w:trHeight w:val="2494"/>
        </w:trPr>
        <w:tc>
          <w:tcPr>
            <w:tcW w:w="11182" w:type="dxa"/>
            <w:gridSpan w:val="2"/>
          </w:tcPr>
          <w:p w14:paraId="7BA3F452" w14:textId="429C7CDF" w:rsidR="00D165DA" w:rsidRPr="00256358" w:rsidRDefault="00D165DA" w:rsidP="006C30A8">
            <w:pPr>
              <w:spacing w:line="360" w:lineRule="auto"/>
              <w:jc w:val="both"/>
              <w:rPr>
                <w:rFonts w:ascii="Arial" w:hAnsi="Arial" w:cs="Arial"/>
              </w:rPr>
            </w:pPr>
          </w:p>
          <w:p w14:paraId="5BE0E60C" w14:textId="77777777" w:rsidR="00D165DA" w:rsidRPr="00256358" w:rsidRDefault="00D165DA" w:rsidP="006C30A8">
            <w:pPr>
              <w:spacing w:line="360" w:lineRule="auto"/>
              <w:ind w:left="720" w:hanging="720"/>
              <w:jc w:val="both"/>
              <w:rPr>
                <w:rFonts w:ascii="Arial" w:hAnsi="Arial" w:cs="Arial"/>
                <w:color w:val="222222"/>
                <w:shd w:val="clear" w:color="auto" w:fill="FFFFFF"/>
              </w:rPr>
            </w:pPr>
            <w:r w:rsidRPr="00256358">
              <w:rPr>
                <w:rFonts w:ascii="Arial" w:hAnsi="Arial" w:cs="Arial"/>
                <w:color w:val="222222"/>
                <w:shd w:val="clear" w:color="auto" w:fill="FFFFFF"/>
              </w:rPr>
              <w:t>Dean, T. (Ed.). (2000). </w:t>
            </w:r>
            <w:r w:rsidRPr="00256358">
              <w:rPr>
                <w:rFonts w:ascii="Arial" w:hAnsi="Arial" w:cs="Arial"/>
                <w:i/>
                <w:iCs/>
                <w:color w:val="222222"/>
                <w:shd w:val="clear" w:color="auto" w:fill="FFFFFF"/>
              </w:rPr>
              <w:t>Food intolerance and the food industry</w:t>
            </w:r>
            <w:r w:rsidRPr="00256358">
              <w:rPr>
                <w:rFonts w:ascii="Arial" w:hAnsi="Arial" w:cs="Arial"/>
                <w:color w:val="222222"/>
                <w:shd w:val="clear" w:color="auto" w:fill="FFFFFF"/>
              </w:rPr>
              <w:t>. Elsevier.</w:t>
            </w:r>
          </w:p>
          <w:p w14:paraId="5DE648BA" w14:textId="77777777" w:rsidR="00D165DA" w:rsidRPr="00256358" w:rsidRDefault="00D165DA" w:rsidP="006C30A8">
            <w:pPr>
              <w:spacing w:line="360" w:lineRule="auto"/>
              <w:ind w:left="720" w:hanging="720"/>
              <w:jc w:val="both"/>
              <w:rPr>
                <w:rFonts w:ascii="Arial" w:hAnsi="Arial" w:cs="Arial"/>
                <w:color w:val="222222"/>
                <w:shd w:val="clear" w:color="auto" w:fill="FFFFFF"/>
              </w:rPr>
            </w:pPr>
            <w:r w:rsidRPr="00256358">
              <w:rPr>
                <w:rFonts w:ascii="Arial" w:hAnsi="Arial" w:cs="Arial"/>
                <w:color w:val="222222"/>
                <w:shd w:val="clear" w:color="auto" w:fill="FFFFFF"/>
              </w:rPr>
              <w:t xml:space="preserve">Food Standards Agency. (2021). Food Allergy and Intolerance. Retrieved from </w:t>
            </w:r>
            <w:hyperlink r:id="rId7" w:history="1">
              <w:r w:rsidRPr="00256358">
                <w:rPr>
                  <w:rStyle w:val="Hyperlink"/>
                  <w:rFonts w:ascii="Arial" w:hAnsi="Arial" w:cs="Arial"/>
                  <w:shd w:val="clear" w:color="auto" w:fill="FFFFFF"/>
                </w:rPr>
                <w:t>https://www.food.gov.uk/safety-hygiene/food-allergy-and-intolerance</w:t>
              </w:r>
            </w:hyperlink>
          </w:p>
          <w:p w14:paraId="6680F6C3" w14:textId="77777777" w:rsidR="00D165DA" w:rsidRPr="00256358" w:rsidRDefault="00D165DA" w:rsidP="006C30A8">
            <w:pPr>
              <w:spacing w:line="360" w:lineRule="auto"/>
              <w:ind w:left="720" w:hanging="720"/>
              <w:jc w:val="both"/>
              <w:rPr>
                <w:rFonts w:ascii="Arial" w:hAnsi="Arial" w:cs="Arial"/>
                <w:color w:val="222222"/>
                <w:shd w:val="clear" w:color="auto" w:fill="FFFFFF"/>
              </w:rPr>
            </w:pPr>
            <w:proofErr w:type="spellStart"/>
            <w:r w:rsidRPr="00256358">
              <w:rPr>
                <w:rFonts w:ascii="Arial" w:hAnsi="Arial" w:cs="Arial"/>
                <w:color w:val="222222"/>
                <w:shd w:val="clear" w:color="auto" w:fill="FFFFFF"/>
              </w:rPr>
              <w:t>Gowland</w:t>
            </w:r>
            <w:proofErr w:type="spellEnd"/>
            <w:r w:rsidRPr="00256358">
              <w:rPr>
                <w:rFonts w:ascii="Arial" w:hAnsi="Arial" w:cs="Arial"/>
                <w:color w:val="222222"/>
                <w:shd w:val="clear" w:color="auto" w:fill="FFFFFF"/>
              </w:rPr>
              <w:t>, H. Food Allergens Update.</w:t>
            </w:r>
          </w:p>
          <w:p w14:paraId="7C8785F5" w14:textId="77777777" w:rsidR="00D165DA" w:rsidRPr="00256358" w:rsidRDefault="00D165DA" w:rsidP="006C30A8">
            <w:pPr>
              <w:spacing w:line="360" w:lineRule="auto"/>
              <w:ind w:left="720" w:hanging="720"/>
              <w:jc w:val="both"/>
              <w:rPr>
                <w:rFonts w:ascii="Arial" w:hAnsi="Arial" w:cs="Arial"/>
                <w:color w:val="222222"/>
                <w:shd w:val="clear" w:color="auto" w:fill="FFFFFF"/>
              </w:rPr>
            </w:pPr>
            <w:r w:rsidRPr="00256358">
              <w:rPr>
                <w:rFonts w:ascii="Arial" w:hAnsi="Arial" w:cs="Arial"/>
                <w:color w:val="222222"/>
                <w:shd w:val="clear" w:color="auto" w:fill="FFFFFF"/>
              </w:rPr>
              <w:t xml:space="preserve">Heart Foundation. (2022). Be Allergy Aware. Retrieved from </w:t>
            </w:r>
            <w:hyperlink r:id="rId8" w:history="1">
              <w:r w:rsidRPr="00256358">
                <w:rPr>
                  <w:rStyle w:val="Hyperlink"/>
                  <w:rFonts w:ascii="Arial" w:hAnsi="Arial" w:cs="Arial"/>
                  <w:shd w:val="clear" w:color="auto" w:fill="FFFFFF"/>
                </w:rPr>
                <w:t>https://www.heartfoundation.org.nz/professionals/food-industry-and-hospitality/hospitality-hub/be-allergy-aware</w:t>
              </w:r>
            </w:hyperlink>
          </w:p>
          <w:p w14:paraId="762AF027" w14:textId="77777777" w:rsidR="00D165DA" w:rsidRPr="00256358" w:rsidRDefault="00D165DA" w:rsidP="006C30A8">
            <w:pPr>
              <w:spacing w:line="360" w:lineRule="auto"/>
              <w:ind w:left="720" w:hanging="720"/>
              <w:jc w:val="both"/>
              <w:rPr>
                <w:rFonts w:ascii="Arial" w:hAnsi="Arial" w:cs="Arial"/>
                <w:color w:val="222222"/>
                <w:shd w:val="clear" w:color="auto" w:fill="FFFFFF"/>
              </w:rPr>
            </w:pPr>
            <w:r w:rsidRPr="00256358">
              <w:rPr>
                <w:rFonts w:ascii="Arial" w:hAnsi="Arial" w:cs="Arial"/>
              </w:rPr>
              <w:t xml:space="preserve">Lynch. K. (2016). Food Allergies: Why it’s important for restaurants to pay attention. Retrieved from </w:t>
            </w:r>
            <w:hyperlink r:id="rId9" w:history="1">
              <w:r w:rsidRPr="00256358">
                <w:rPr>
                  <w:rStyle w:val="Hyperlink"/>
                  <w:rFonts w:ascii="Arial" w:hAnsi="Arial" w:cs="Arial"/>
                </w:rPr>
                <w:t>https://www.canr.msu.edu/news/food_allergies_why_its_important_for_restaurants_to_pay_attention</w:t>
              </w:r>
            </w:hyperlink>
          </w:p>
          <w:p w14:paraId="684BF496" w14:textId="77777777" w:rsidR="00D165DA" w:rsidRPr="00256358" w:rsidRDefault="00D165DA" w:rsidP="006C30A8">
            <w:pPr>
              <w:spacing w:line="360" w:lineRule="auto"/>
              <w:ind w:left="720" w:hanging="720"/>
              <w:jc w:val="both"/>
              <w:rPr>
                <w:rFonts w:ascii="Arial" w:hAnsi="Arial" w:cs="Arial"/>
                <w:color w:val="222222"/>
                <w:shd w:val="clear" w:color="auto" w:fill="FFFFFF"/>
              </w:rPr>
            </w:pPr>
            <w:r w:rsidRPr="00256358">
              <w:rPr>
                <w:rFonts w:ascii="Arial" w:hAnsi="Arial" w:cs="Arial"/>
                <w:color w:val="222222"/>
                <w:shd w:val="clear" w:color="auto" w:fill="FFFFFF"/>
              </w:rPr>
              <w:t xml:space="preserve">Miles, S., </w:t>
            </w:r>
            <w:proofErr w:type="spellStart"/>
            <w:r w:rsidRPr="00256358">
              <w:rPr>
                <w:rFonts w:ascii="Arial" w:hAnsi="Arial" w:cs="Arial"/>
                <w:color w:val="222222"/>
                <w:shd w:val="clear" w:color="auto" w:fill="FFFFFF"/>
              </w:rPr>
              <w:t>Crevel</w:t>
            </w:r>
            <w:proofErr w:type="spellEnd"/>
            <w:r w:rsidRPr="00256358">
              <w:rPr>
                <w:rFonts w:ascii="Arial" w:hAnsi="Arial" w:cs="Arial"/>
                <w:color w:val="222222"/>
                <w:shd w:val="clear" w:color="auto" w:fill="FFFFFF"/>
              </w:rPr>
              <w:t xml:space="preserve">, R., </w:t>
            </w:r>
            <w:proofErr w:type="spellStart"/>
            <w:r w:rsidRPr="00256358">
              <w:rPr>
                <w:rFonts w:ascii="Arial" w:hAnsi="Arial" w:cs="Arial"/>
                <w:color w:val="222222"/>
                <w:shd w:val="clear" w:color="auto" w:fill="FFFFFF"/>
              </w:rPr>
              <w:t>Chryssochoidis</w:t>
            </w:r>
            <w:proofErr w:type="spellEnd"/>
            <w:r w:rsidRPr="00256358">
              <w:rPr>
                <w:rFonts w:ascii="Arial" w:hAnsi="Arial" w:cs="Arial"/>
                <w:color w:val="222222"/>
                <w:shd w:val="clear" w:color="auto" w:fill="FFFFFF"/>
              </w:rPr>
              <w:t xml:space="preserve">, G., </w:t>
            </w:r>
            <w:proofErr w:type="spellStart"/>
            <w:r w:rsidRPr="00256358">
              <w:rPr>
                <w:rFonts w:ascii="Arial" w:hAnsi="Arial" w:cs="Arial"/>
                <w:color w:val="222222"/>
                <w:shd w:val="clear" w:color="auto" w:fill="FFFFFF"/>
              </w:rPr>
              <w:t>Frewer</w:t>
            </w:r>
            <w:proofErr w:type="spellEnd"/>
            <w:r w:rsidRPr="00256358">
              <w:rPr>
                <w:rFonts w:ascii="Arial" w:hAnsi="Arial" w:cs="Arial"/>
                <w:color w:val="222222"/>
                <w:shd w:val="clear" w:color="auto" w:fill="FFFFFF"/>
              </w:rPr>
              <w:t xml:space="preserve">, L. J., Grimshaw, K., </w:t>
            </w:r>
            <w:proofErr w:type="spellStart"/>
            <w:r w:rsidRPr="00256358">
              <w:rPr>
                <w:rFonts w:ascii="Arial" w:hAnsi="Arial" w:cs="Arial"/>
                <w:color w:val="222222"/>
                <w:shd w:val="clear" w:color="auto" w:fill="FFFFFF"/>
              </w:rPr>
              <w:t>Riera</w:t>
            </w:r>
            <w:proofErr w:type="spellEnd"/>
            <w:r w:rsidRPr="00256358">
              <w:rPr>
                <w:rFonts w:ascii="Arial" w:hAnsi="Arial" w:cs="Arial"/>
                <w:color w:val="222222"/>
                <w:shd w:val="clear" w:color="auto" w:fill="FFFFFF"/>
              </w:rPr>
              <w:t>, A. G., ... &amp; Verbeke, W. (2006). Communication needs and food allergy: an analysis of stakeholder views. In </w:t>
            </w:r>
            <w:r w:rsidRPr="00256358">
              <w:rPr>
                <w:rFonts w:ascii="Arial" w:hAnsi="Arial" w:cs="Arial"/>
                <w:i/>
                <w:iCs/>
                <w:color w:val="222222"/>
                <w:shd w:val="clear" w:color="auto" w:fill="FFFFFF"/>
              </w:rPr>
              <w:t>Allergy matters: new approaches to allergy prevention and management</w:t>
            </w:r>
            <w:r w:rsidRPr="00256358">
              <w:rPr>
                <w:rFonts w:ascii="Arial" w:hAnsi="Arial" w:cs="Arial"/>
                <w:color w:val="222222"/>
                <w:shd w:val="clear" w:color="auto" w:fill="FFFFFF"/>
              </w:rPr>
              <w:t> (No. 10, pp. 171-193). Wageningen University Press.</w:t>
            </w:r>
          </w:p>
          <w:p w14:paraId="44F31867" w14:textId="77777777" w:rsidR="00D165DA" w:rsidRPr="00256358" w:rsidRDefault="00D165DA" w:rsidP="006C30A8">
            <w:pPr>
              <w:spacing w:line="360" w:lineRule="auto"/>
              <w:ind w:left="720" w:hanging="720"/>
              <w:jc w:val="both"/>
              <w:rPr>
                <w:rFonts w:ascii="Arial" w:hAnsi="Arial" w:cs="Arial"/>
                <w:color w:val="222222"/>
                <w:shd w:val="clear" w:color="auto" w:fill="FFFFFF"/>
              </w:rPr>
            </w:pPr>
            <w:r w:rsidRPr="00256358">
              <w:rPr>
                <w:rFonts w:ascii="Arial" w:hAnsi="Arial" w:cs="Arial"/>
              </w:rPr>
              <w:t xml:space="preserve">Natasha Allergy Research Foundation. (2019). The History Behind Natasha’s Law. Retrieved from </w:t>
            </w:r>
            <w:hyperlink r:id="rId10" w:history="1">
              <w:r w:rsidRPr="00256358">
                <w:rPr>
                  <w:rStyle w:val="Hyperlink"/>
                  <w:rFonts w:ascii="Arial" w:hAnsi="Arial" w:cs="Arial"/>
                </w:rPr>
                <w:t>https://www.narf.org.uk/natashaslaw</w:t>
              </w:r>
            </w:hyperlink>
          </w:p>
          <w:p w14:paraId="3CFBEF33" w14:textId="77777777" w:rsidR="00D165DA" w:rsidRPr="00256358" w:rsidRDefault="00D165DA" w:rsidP="006C30A8">
            <w:pPr>
              <w:spacing w:line="360" w:lineRule="auto"/>
              <w:ind w:left="720" w:hanging="720"/>
              <w:jc w:val="both"/>
              <w:rPr>
                <w:rFonts w:ascii="Arial" w:hAnsi="Arial" w:cs="Arial"/>
                <w:color w:val="222222"/>
                <w:shd w:val="clear" w:color="auto" w:fill="FFFFFF"/>
              </w:rPr>
            </w:pPr>
            <w:r w:rsidRPr="00256358">
              <w:rPr>
                <w:rFonts w:ascii="Arial" w:hAnsi="Arial" w:cs="Arial"/>
                <w:color w:val="222222"/>
                <w:shd w:val="clear" w:color="auto" w:fill="FFFFFF"/>
              </w:rPr>
              <w:t>Nettleton, S., Woods, B., Burrows, R., &amp; Kerr, A. (2009). Food allergy and food intolerance: towards a sociological agenda. </w:t>
            </w:r>
            <w:r w:rsidRPr="00256358">
              <w:rPr>
                <w:rFonts w:ascii="Arial" w:hAnsi="Arial" w:cs="Arial"/>
                <w:i/>
                <w:iCs/>
                <w:color w:val="222222"/>
                <w:shd w:val="clear" w:color="auto" w:fill="FFFFFF"/>
              </w:rPr>
              <w:t>Health:</w:t>
            </w:r>
            <w:r w:rsidRPr="00256358">
              <w:rPr>
                <w:rFonts w:ascii="Arial" w:hAnsi="Arial" w:cs="Arial"/>
                <w:color w:val="222222"/>
                <w:shd w:val="clear" w:color="auto" w:fill="FFFFFF"/>
              </w:rPr>
              <w:t>, </w:t>
            </w:r>
            <w:r w:rsidRPr="00256358">
              <w:rPr>
                <w:rFonts w:ascii="Arial" w:hAnsi="Arial" w:cs="Arial"/>
                <w:i/>
                <w:iCs/>
                <w:color w:val="222222"/>
                <w:shd w:val="clear" w:color="auto" w:fill="FFFFFF"/>
              </w:rPr>
              <w:t>13</w:t>
            </w:r>
            <w:r w:rsidRPr="00256358">
              <w:rPr>
                <w:rFonts w:ascii="Arial" w:hAnsi="Arial" w:cs="Arial"/>
                <w:color w:val="222222"/>
                <w:shd w:val="clear" w:color="auto" w:fill="FFFFFF"/>
              </w:rPr>
              <w:t>(6), 647-664.</w:t>
            </w:r>
          </w:p>
          <w:p w14:paraId="4C6DEC4D" w14:textId="300F334B" w:rsidR="00375882" w:rsidRPr="00256358" w:rsidRDefault="00375882" w:rsidP="006C30A8">
            <w:pPr>
              <w:spacing w:line="360" w:lineRule="auto"/>
              <w:jc w:val="both"/>
              <w:rPr>
                <w:rFonts w:ascii="Arial" w:hAnsi="Arial" w:cs="Arial"/>
              </w:rPr>
            </w:pPr>
          </w:p>
          <w:p w14:paraId="522F9E9C" w14:textId="07E4A2C3" w:rsidR="00375882" w:rsidRPr="00256358" w:rsidRDefault="00375882" w:rsidP="006C30A8">
            <w:pPr>
              <w:spacing w:line="360" w:lineRule="auto"/>
              <w:jc w:val="both"/>
              <w:rPr>
                <w:rFonts w:ascii="Arial" w:hAnsi="Arial" w:cs="Arial"/>
              </w:rPr>
            </w:pPr>
          </w:p>
          <w:p w14:paraId="6944CF61" w14:textId="0FD4B374" w:rsidR="00375882" w:rsidRPr="00256358" w:rsidRDefault="00375882" w:rsidP="006C30A8">
            <w:pPr>
              <w:spacing w:line="360" w:lineRule="auto"/>
              <w:jc w:val="both"/>
              <w:rPr>
                <w:rFonts w:ascii="Arial" w:hAnsi="Arial" w:cs="Arial"/>
              </w:rPr>
            </w:pPr>
          </w:p>
          <w:p w14:paraId="6DF51C3D" w14:textId="6F494BB7" w:rsidR="00375882" w:rsidRPr="00256358" w:rsidRDefault="00375882" w:rsidP="006C30A8">
            <w:pPr>
              <w:spacing w:line="360" w:lineRule="auto"/>
              <w:jc w:val="both"/>
              <w:rPr>
                <w:rFonts w:ascii="Arial" w:hAnsi="Arial" w:cs="Arial"/>
              </w:rPr>
            </w:pPr>
          </w:p>
          <w:p w14:paraId="69EA998C" w14:textId="6811899E" w:rsidR="00375882" w:rsidRPr="00256358" w:rsidRDefault="00375882" w:rsidP="006C30A8">
            <w:pPr>
              <w:spacing w:line="360" w:lineRule="auto"/>
              <w:jc w:val="both"/>
              <w:rPr>
                <w:rFonts w:ascii="Arial" w:hAnsi="Arial" w:cs="Arial"/>
              </w:rPr>
            </w:pPr>
          </w:p>
          <w:p w14:paraId="03D9529C" w14:textId="4342E6D7" w:rsidR="00375882" w:rsidRPr="00256358" w:rsidRDefault="00375882" w:rsidP="006C30A8">
            <w:pPr>
              <w:spacing w:line="360" w:lineRule="auto"/>
              <w:jc w:val="both"/>
              <w:rPr>
                <w:rFonts w:ascii="Arial" w:hAnsi="Arial" w:cs="Arial"/>
              </w:rPr>
            </w:pPr>
          </w:p>
          <w:p w14:paraId="789E9A79" w14:textId="77990206" w:rsidR="00375882" w:rsidRPr="00256358" w:rsidRDefault="00375882" w:rsidP="006C30A8">
            <w:pPr>
              <w:spacing w:line="360" w:lineRule="auto"/>
              <w:jc w:val="both"/>
              <w:rPr>
                <w:rFonts w:ascii="Arial" w:hAnsi="Arial" w:cs="Arial"/>
              </w:rPr>
            </w:pPr>
          </w:p>
          <w:p w14:paraId="43EF99F0" w14:textId="59F16C78" w:rsidR="00375882" w:rsidRPr="00256358" w:rsidRDefault="00375882" w:rsidP="006C30A8">
            <w:pPr>
              <w:spacing w:line="360" w:lineRule="auto"/>
              <w:jc w:val="both"/>
              <w:rPr>
                <w:rFonts w:ascii="Arial" w:hAnsi="Arial" w:cs="Arial"/>
              </w:rPr>
            </w:pPr>
          </w:p>
          <w:p w14:paraId="1DDB2118" w14:textId="7A9165F7" w:rsidR="00375882" w:rsidRPr="00256358" w:rsidRDefault="00375882" w:rsidP="006C30A8">
            <w:pPr>
              <w:spacing w:line="360" w:lineRule="auto"/>
              <w:jc w:val="both"/>
              <w:rPr>
                <w:rFonts w:ascii="Arial" w:hAnsi="Arial" w:cs="Arial"/>
              </w:rPr>
            </w:pPr>
          </w:p>
          <w:p w14:paraId="3701A32D" w14:textId="54DDC54C" w:rsidR="00375882" w:rsidRPr="00256358" w:rsidRDefault="00375882" w:rsidP="006C30A8">
            <w:pPr>
              <w:spacing w:line="360" w:lineRule="auto"/>
              <w:jc w:val="both"/>
              <w:rPr>
                <w:rFonts w:ascii="Arial" w:hAnsi="Arial" w:cs="Arial"/>
              </w:rPr>
            </w:pPr>
          </w:p>
          <w:p w14:paraId="5AE6C72E" w14:textId="62740FFE" w:rsidR="00375882" w:rsidRPr="00256358" w:rsidRDefault="00375882" w:rsidP="006C30A8">
            <w:pPr>
              <w:spacing w:line="360" w:lineRule="auto"/>
              <w:jc w:val="both"/>
              <w:rPr>
                <w:rFonts w:ascii="Arial" w:hAnsi="Arial" w:cs="Arial"/>
              </w:rPr>
            </w:pPr>
          </w:p>
          <w:p w14:paraId="19966CC6" w14:textId="3AD7B82E" w:rsidR="00375882" w:rsidRPr="00256358" w:rsidRDefault="00375882" w:rsidP="006C30A8">
            <w:pPr>
              <w:spacing w:line="360" w:lineRule="auto"/>
              <w:jc w:val="both"/>
              <w:rPr>
                <w:rFonts w:ascii="Arial" w:hAnsi="Arial" w:cs="Arial"/>
              </w:rPr>
            </w:pPr>
          </w:p>
          <w:p w14:paraId="00C184CC" w14:textId="1B102F8C" w:rsidR="00375882" w:rsidRPr="00256358" w:rsidRDefault="00375882" w:rsidP="006C30A8">
            <w:pPr>
              <w:spacing w:line="360" w:lineRule="auto"/>
              <w:jc w:val="both"/>
              <w:rPr>
                <w:rFonts w:ascii="Arial" w:hAnsi="Arial" w:cs="Arial"/>
              </w:rPr>
            </w:pPr>
          </w:p>
          <w:p w14:paraId="56FCD27E" w14:textId="3C241FCD" w:rsidR="00375882" w:rsidRPr="00256358" w:rsidRDefault="00375882" w:rsidP="006C30A8">
            <w:pPr>
              <w:spacing w:line="360" w:lineRule="auto"/>
              <w:jc w:val="both"/>
              <w:rPr>
                <w:rFonts w:ascii="Arial" w:hAnsi="Arial" w:cs="Arial"/>
              </w:rPr>
            </w:pPr>
          </w:p>
          <w:p w14:paraId="50E4CC8B" w14:textId="7487DEDD" w:rsidR="00375882" w:rsidRPr="00256358" w:rsidRDefault="00375882" w:rsidP="006C30A8">
            <w:pPr>
              <w:spacing w:line="360" w:lineRule="auto"/>
              <w:jc w:val="both"/>
              <w:rPr>
                <w:rFonts w:ascii="Arial" w:hAnsi="Arial" w:cs="Arial"/>
              </w:rPr>
            </w:pPr>
          </w:p>
          <w:p w14:paraId="2E020AEF" w14:textId="77777777" w:rsidR="00375882" w:rsidRPr="00256358" w:rsidRDefault="00375882" w:rsidP="006C30A8">
            <w:pPr>
              <w:spacing w:line="360" w:lineRule="auto"/>
              <w:jc w:val="both"/>
              <w:rPr>
                <w:rFonts w:ascii="Arial" w:hAnsi="Arial" w:cs="Arial"/>
              </w:rPr>
            </w:pPr>
          </w:p>
          <w:p w14:paraId="47FB6995" w14:textId="77777777" w:rsidR="00375882" w:rsidRPr="00256358" w:rsidRDefault="00375882" w:rsidP="006C30A8">
            <w:pPr>
              <w:spacing w:line="360" w:lineRule="auto"/>
              <w:jc w:val="both"/>
              <w:rPr>
                <w:rFonts w:ascii="Arial" w:hAnsi="Arial" w:cs="Arial"/>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77935158">
    <w:abstractNumId w:val="12"/>
  </w:num>
  <w:num w:numId="2" w16cid:durableId="1395271687">
    <w:abstractNumId w:val="4"/>
  </w:num>
  <w:num w:numId="3" w16cid:durableId="2108424504">
    <w:abstractNumId w:val="27"/>
  </w:num>
  <w:num w:numId="4" w16cid:durableId="1333532375">
    <w:abstractNumId w:val="5"/>
  </w:num>
  <w:num w:numId="5" w16cid:durableId="394401994">
    <w:abstractNumId w:val="23"/>
  </w:num>
  <w:num w:numId="6" w16cid:durableId="782655386">
    <w:abstractNumId w:val="6"/>
  </w:num>
  <w:num w:numId="7" w16cid:durableId="1007899765">
    <w:abstractNumId w:val="0"/>
  </w:num>
  <w:num w:numId="8" w16cid:durableId="1496458485">
    <w:abstractNumId w:val="26"/>
  </w:num>
  <w:num w:numId="9" w16cid:durableId="1204636126">
    <w:abstractNumId w:val="15"/>
  </w:num>
  <w:num w:numId="10" w16cid:durableId="1210651682">
    <w:abstractNumId w:val="18"/>
  </w:num>
  <w:num w:numId="11" w16cid:durableId="1098480798">
    <w:abstractNumId w:val="3"/>
  </w:num>
  <w:num w:numId="12" w16cid:durableId="1867939650">
    <w:abstractNumId w:val="13"/>
  </w:num>
  <w:num w:numId="13" w16cid:durableId="623579162">
    <w:abstractNumId w:val="2"/>
  </w:num>
  <w:num w:numId="14" w16cid:durableId="745568452">
    <w:abstractNumId w:val="9"/>
  </w:num>
  <w:num w:numId="15" w16cid:durableId="1902014888">
    <w:abstractNumId w:val="17"/>
  </w:num>
  <w:num w:numId="16" w16cid:durableId="521826283">
    <w:abstractNumId w:val="19"/>
  </w:num>
  <w:num w:numId="17" w16cid:durableId="151337073">
    <w:abstractNumId w:val="1"/>
  </w:num>
  <w:num w:numId="18" w16cid:durableId="1588273722">
    <w:abstractNumId w:val="25"/>
  </w:num>
  <w:num w:numId="19" w16cid:durableId="870386740">
    <w:abstractNumId w:val="8"/>
  </w:num>
  <w:num w:numId="20" w16cid:durableId="194315276">
    <w:abstractNumId w:val="20"/>
  </w:num>
  <w:num w:numId="21" w16cid:durableId="713500330">
    <w:abstractNumId w:val="11"/>
  </w:num>
  <w:num w:numId="22" w16cid:durableId="285746035">
    <w:abstractNumId w:val="16"/>
  </w:num>
  <w:num w:numId="23" w16cid:durableId="1868903469">
    <w:abstractNumId w:val="24"/>
  </w:num>
  <w:num w:numId="24" w16cid:durableId="123543245">
    <w:abstractNumId w:val="10"/>
  </w:num>
  <w:num w:numId="25" w16cid:durableId="1359115377">
    <w:abstractNumId w:val="22"/>
  </w:num>
  <w:num w:numId="26" w16cid:durableId="474642313">
    <w:abstractNumId w:val="7"/>
  </w:num>
  <w:num w:numId="27" w16cid:durableId="1985504234">
    <w:abstractNumId w:val="21"/>
  </w:num>
  <w:num w:numId="28" w16cid:durableId="14889371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E1E05"/>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56358"/>
    <w:rsid w:val="002659F5"/>
    <w:rsid w:val="00283BE2"/>
    <w:rsid w:val="0028502C"/>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B3FE1"/>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03AF6"/>
    <w:rsid w:val="0062012D"/>
    <w:rsid w:val="00643CB9"/>
    <w:rsid w:val="0066732A"/>
    <w:rsid w:val="00677D1F"/>
    <w:rsid w:val="00697481"/>
    <w:rsid w:val="006A4F97"/>
    <w:rsid w:val="006C30A8"/>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0CBD"/>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3096"/>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165DA"/>
    <w:rsid w:val="00D75FBB"/>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D165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rtfoundation.org.nz/professionals/food-industry-and-hospitality/hospitality-hub/be-allergy-awa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ood.gov.uk/safety-hygiene/food-allergy-and-intoleranc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arf.org.uk/natashaslaw" TargetMode="External"/><Relationship Id="rId4" Type="http://schemas.openxmlformats.org/officeDocument/2006/relationships/webSettings" Target="webSettings.xml"/><Relationship Id="rId9" Type="http://schemas.openxmlformats.org/officeDocument/2006/relationships/hyperlink" Target="https://www.canr.msu.edu/news/food_allergies_why_its_important_for_restaurants_to_pay_attent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989</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Amar Haddouche (2017328)</cp:lastModifiedBy>
  <cp:revision>2</cp:revision>
  <cp:lastPrinted>2020-09-28T20:53:00Z</cp:lastPrinted>
  <dcterms:created xsi:type="dcterms:W3CDTF">2022-06-01T22:53:00Z</dcterms:created>
  <dcterms:modified xsi:type="dcterms:W3CDTF">2022-06-01T22:53:00Z</dcterms:modified>
</cp:coreProperties>
</file>